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C2" w:rsidRPr="00380DA5" w:rsidRDefault="00457DC2" w:rsidP="009E4EDD">
      <w:pPr>
        <w:pStyle w:val="Heading2"/>
        <w:tabs>
          <w:tab w:val="left" w:pos="4536"/>
        </w:tabs>
        <w:spacing w:before="0" w:line="240" w:lineRule="auto"/>
        <w:rPr>
          <w:sz w:val="24"/>
          <w:szCs w:val="24"/>
        </w:rPr>
      </w:pPr>
      <w:r w:rsidRPr="00380DA5">
        <w:rPr>
          <w:sz w:val="24"/>
          <w:szCs w:val="24"/>
        </w:rPr>
        <w:t xml:space="preserve">                                                                                                                                                                                                </w:t>
      </w:r>
    </w:p>
    <w:p w:rsidR="00457DC2" w:rsidRPr="00834450" w:rsidRDefault="00457DC2" w:rsidP="006D221C">
      <w:pPr>
        <w:rPr>
          <w:szCs w:val="24"/>
          <w:lang w:val="lv-LV"/>
        </w:rPr>
      </w:pPr>
      <w:r w:rsidRPr="00834450">
        <w:rPr>
          <w:b/>
          <w:szCs w:val="24"/>
          <w:lang w:val="lv-LV"/>
        </w:rPr>
        <w:t xml:space="preserve">Ministru kabineta </w:t>
      </w:r>
      <w:r w:rsidR="00835AEF" w:rsidRPr="00834450">
        <w:rPr>
          <w:b/>
          <w:szCs w:val="24"/>
          <w:lang w:val="lv-LV"/>
        </w:rPr>
        <w:t>noteikumu</w:t>
      </w:r>
      <w:r w:rsidRPr="00834450">
        <w:rPr>
          <w:b/>
          <w:szCs w:val="24"/>
          <w:lang w:val="lv-LV"/>
        </w:rPr>
        <w:t xml:space="preserve"> projekta</w:t>
      </w:r>
      <w:bookmarkStart w:id="0" w:name="OLE_LINK3"/>
      <w:bookmarkStart w:id="1" w:name="OLE_LINK4"/>
      <w:r w:rsidR="006D221C" w:rsidRPr="00834450">
        <w:rPr>
          <w:b/>
          <w:szCs w:val="24"/>
          <w:lang w:val="lv-LV"/>
        </w:rPr>
        <w:t xml:space="preserve"> „</w:t>
      </w:r>
      <w:r w:rsidR="00DA5482" w:rsidRPr="00834450">
        <w:rPr>
          <w:b/>
          <w:szCs w:val="24"/>
          <w:lang w:val="lv-LV"/>
        </w:rPr>
        <w:t>Norvēģijas finanšu instrumenta 2009.–2014.gada perioda programmas "Inovācijas "zaļās" ražošanas jomā" atklāta projektu konkursa īstenošanas kārtība</w:t>
      </w:r>
      <w:r w:rsidR="001D5DE7" w:rsidRPr="00834450">
        <w:rPr>
          <w:b/>
          <w:szCs w:val="24"/>
          <w:lang w:val="lv-LV"/>
        </w:rPr>
        <w:t>”</w:t>
      </w:r>
      <w:bookmarkEnd w:id="0"/>
      <w:bookmarkEnd w:id="1"/>
      <w:r w:rsidRPr="00834450">
        <w:rPr>
          <w:szCs w:val="24"/>
          <w:lang w:val="lv-LV"/>
        </w:rPr>
        <w:t xml:space="preserve"> </w:t>
      </w:r>
      <w:bookmarkStart w:id="2" w:name="OLE_LINK5"/>
      <w:bookmarkStart w:id="3" w:name="OLE_LINK6"/>
      <w:r w:rsidRPr="00834450">
        <w:rPr>
          <w:b/>
          <w:szCs w:val="24"/>
          <w:lang w:val="lv-LV"/>
        </w:rPr>
        <w:t>sākotnējās ietekmes novērtējuma ziņojums (anotācija)</w:t>
      </w:r>
      <w:bookmarkEnd w:id="2"/>
      <w:bookmarkEnd w:id="3"/>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4"/>
        <w:gridCol w:w="2737"/>
        <w:gridCol w:w="5840"/>
      </w:tblGrid>
      <w:tr w:rsidR="00457DC2" w:rsidRPr="006A7C4E">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57DC2" w:rsidRPr="00380DA5" w:rsidRDefault="00457DC2">
            <w:pPr>
              <w:spacing w:before="75"/>
              <w:jc w:val="center"/>
              <w:rPr>
                <w:szCs w:val="24"/>
                <w:lang w:val="lv-LV"/>
              </w:rPr>
            </w:pPr>
            <w:r w:rsidRPr="00380DA5">
              <w:rPr>
                <w:szCs w:val="24"/>
                <w:lang w:val="lv-LV"/>
              </w:rPr>
              <w:t xml:space="preserve">  </w:t>
            </w:r>
            <w:r w:rsidRPr="00380DA5">
              <w:rPr>
                <w:b/>
                <w:szCs w:val="24"/>
                <w:lang w:val="lv-LV"/>
              </w:rPr>
              <w:t>I. Tiesību akta projekta izstrādes nepieciešamība</w:t>
            </w:r>
          </w:p>
        </w:tc>
      </w:tr>
      <w:tr w:rsidR="00457DC2" w:rsidRPr="006A7C4E" w:rsidTr="00D86E11">
        <w:trPr>
          <w:trHeight w:val="502"/>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 1.</w:t>
            </w:r>
          </w:p>
        </w:tc>
        <w:tc>
          <w:tcPr>
            <w:tcW w:w="27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Pamatojums</w:t>
            </w:r>
          </w:p>
        </w:tc>
        <w:tc>
          <w:tcPr>
            <w:tcW w:w="5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FA7C00" w:rsidRPr="00834450" w:rsidRDefault="00B87943" w:rsidP="00835AEF">
            <w:pPr>
              <w:tabs>
                <w:tab w:val="left" w:pos="814"/>
                <w:tab w:val="left" w:pos="1129"/>
              </w:tabs>
              <w:ind w:firstLine="425"/>
              <w:rPr>
                <w:szCs w:val="24"/>
                <w:lang w:val="lv-LV"/>
              </w:rPr>
            </w:pPr>
            <w:r w:rsidRPr="00834450">
              <w:rPr>
                <w:bCs/>
                <w:szCs w:val="24"/>
                <w:lang w:val="lv-LV"/>
              </w:rPr>
              <w:t xml:space="preserve">Ministru kabineta </w:t>
            </w:r>
            <w:r w:rsidR="00835AEF" w:rsidRPr="00834450">
              <w:rPr>
                <w:bCs/>
                <w:szCs w:val="24"/>
                <w:lang w:val="lv-LV"/>
              </w:rPr>
              <w:t xml:space="preserve">noteikumu </w:t>
            </w:r>
            <w:r w:rsidRPr="00834450">
              <w:rPr>
                <w:bCs/>
                <w:szCs w:val="24"/>
                <w:lang w:val="lv-LV"/>
              </w:rPr>
              <w:t>projekts</w:t>
            </w:r>
            <w:r w:rsidR="00835AEF" w:rsidRPr="00834450">
              <w:rPr>
                <w:szCs w:val="24"/>
                <w:lang w:val="lv-LV"/>
              </w:rPr>
              <w:t xml:space="preserve"> „</w:t>
            </w:r>
            <w:r w:rsidR="00DA5482" w:rsidRPr="00834450">
              <w:rPr>
                <w:szCs w:val="24"/>
                <w:lang w:val="lv-LV"/>
              </w:rPr>
              <w:t xml:space="preserve">Norvēģijas finanšu instrumenta 2009.–2014.gada perioda programmas "Inovācijas "zaļās" ražošanas jomā" atklāta projektu konkursa īstenošanas kārtība” </w:t>
            </w:r>
            <w:r w:rsidRPr="00834450">
              <w:rPr>
                <w:szCs w:val="24"/>
                <w:lang w:val="lv-LV"/>
              </w:rPr>
              <w:t xml:space="preserve">(turpmāk– </w:t>
            </w:r>
            <w:r w:rsidR="00835AEF" w:rsidRPr="00834450">
              <w:rPr>
                <w:szCs w:val="24"/>
                <w:lang w:val="lv-LV"/>
              </w:rPr>
              <w:t>noteikumu</w:t>
            </w:r>
            <w:r w:rsidRPr="00834450">
              <w:rPr>
                <w:szCs w:val="24"/>
                <w:lang w:val="lv-LV"/>
              </w:rPr>
              <w:t xml:space="preserve"> projekts) izstrādāts, ievērojot Ministru kabineta </w:t>
            </w:r>
            <w:r w:rsidR="00FA1397" w:rsidRPr="00834450">
              <w:rPr>
                <w:szCs w:val="24"/>
                <w:lang w:val="lv-LV"/>
              </w:rPr>
              <w:t xml:space="preserve">2011.gada 29.marta </w:t>
            </w:r>
            <w:proofErr w:type="spellStart"/>
            <w:r w:rsidRPr="00834450">
              <w:rPr>
                <w:szCs w:val="24"/>
                <w:lang w:val="lv-LV"/>
              </w:rPr>
              <w:t>protokollēmuma</w:t>
            </w:r>
            <w:proofErr w:type="spellEnd"/>
            <w:r w:rsidRPr="00834450">
              <w:rPr>
                <w:szCs w:val="24"/>
                <w:lang w:val="lv-LV"/>
              </w:rPr>
              <w:t xml:space="preserve"> </w:t>
            </w:r>
            <w:proofErr w:type="spellStart"/>
            <w:r w:rsidRPr="00834450">
              <w:rPr>
                <w:szCs w:val="24"/>
                <w:lang w:val="lv-LV"/>
              </w:rPr>
              <w:t>Nr</w:t>
            </w:r>
            <w:proofErr w:type="spellEnd"/>
            <w:r w:rsidRPr="00834450">
              <w:rPr>
                <w:szCs w:val="24"/>
                <w:lang w:val="lv-LV"/>
              </w:rPr>
              <w:t>. 20 63.§ „Noteikumu projekts „Par Latvijas Republikas un Norvēģijas Karalistes saprašanās memorandu par Norvēģijas finanšu instrumenta ieviešanu 2009.</w:t>
            </w:r>
            <w:r w:rsidR="00132AFC" w:rsidRPr="00834450">
              <w:rPr>
                <w:szCs w:val="24"/>
                <w:lang w:val="lv-LV"/>
              </w:rPr>
              <w:t>-</w:t>
            </w:r>
            <w:r w:rsidRPr="00834450">
              <w:rPr>
                <w:szCs w:val="24"/>
                <w:lang w:val="lv-LV"/>
              </w:rPr>
              <w:t xml:space="preserve">2014.gadā”” (turpmāk– MK </w:t>
            </w:r>
            <w:proofErr w:type="spellStart"/>
            <w:r w:rsidRPr="00834450">
              <w:rPr>
                <w:szCs w:val="24"/>
                <w:lang w:val="lv-LV"/>
              </w:rPr>
              <w:t>protokollēmums</w:t>
            </w:r>
            <w:proofErr w:type="spellEnd"/>
            <w:r w:rsidRPr="00834450">
              <w:rPr>
                <w:szCs w:val="24"/>
                <w:lang w:val="lv-LV"/>
              </w:rPr>
              <w:t>)</w:t>
            </w:r>
            <w:r w:rsidR="00132AFC" w:rsidRPr="00834450">
              <w:rPr>
                <w:szCs w:val="24"/>
                <w:lang w:val="lv-LV"/>
              </w:rPr>
              <w:t xml:space="preserve"> </w:t>
            </w:r>
            <w:r w:rsidRPr="00834450">
              <w:rPr>
                <w:szCs w:val="24"/>
                <w:lang w:val="lv-LV"/>
              </w:rPr>
              <w:t>3.</w:t>
            </w:r>
            <w:r w:rsidR="00835AEF" w:rsidRPr="00834450">
              <w:rPr>
                <w:szCs w:val="24"/>
                <w:lang w:val="lv-LV"/>
              </w:rPr>
              <w:t>3</w:t>
            </w:r>
            <w:r w:rsidR="00492CFC" w:rsidRPr="00834450">
              <w:rPr>
                <w:szCs w:val="24"/>
                <w:lang w:val="lv-LV"/>
              </w:rPr>
              <w:t>.</w:t>
            </w:r>
            <w:r w:rsidRPr="00834450">
              <w:rPr>
                <w:szCs w:val="24"/>
                <w:lang w:val="lv-LV"/>
              </w:rPr>
              <w:t>apakšpunktu, kā arī 2011. gada 28. aprīļa Saprašanās memorandu par Norvēģijas finanšu instrumenta ieviešanu 2009.</w:t>
            </w:r>
            <w:r w:rsidR="00132AFC" w:rsidRPr="00834450">
              <w:rPr>
                <w:szCs w:val="24"/>
                <w:lang w:val="lv-LV"/>
              </w:rPr>
              <w:t>-</w:t>
            </w:r>
            <w:r w:rsidRPr="00834450">
              <w:rPr>
                <w:szCs w:val="24"/>
                <w:lang w:val="lv-LV"/>
              </w:rPr>
              <w:t>2014. gadā starp Latvijas Republiku un Norvēģijas Karalisti (turpmāk- saprašanās memorands).</w:t>
            </w:r>
          </w:p>
          <w:p w:rsidR="00D74A1E" w:rsidRPr="00834450" w:rsidRDefault="00D74A1E" w:rsidP="00DA5482">
            <w:pPr>
              <w:tabs>
                <w:tab w:val="left" w:pos="814"/>
                <w:tab w:val="left" w:pos="1129"/>
              </w:tabs>
              <w:rPr>
                <w:szCs w:val="24"/>
                <w:lang w:val="lv-LV"/>
              </w:rPr>
            </w:pPr>
            <w:r w:rsidRPr="00834450">
              <w:rPr>
                <w:szCs w:val="24"/>
                <w:lang w:val="lv-LV"/>
              </w:rPr>
              <w:t xml:space="preserve">Tiesību akta izdošanas tiesiskais pamats ir </w:t>
            </w:r>
            <w:r w:rsidR="00694E2C" w:rsidRPr="00834450">
              <w:rPr>
                <w:szCs w:val="24"/>
                <w:lang w:val="lv-LV"/>
              </w:rPr>
              <w:t>Eiropas Ekonomikas zonas finanšu instrumenta un Norvēģijas finan</w:t>
            </w:r>
            <w:r w:rsidR="00132AFC" w:rsidRPr="00834450">
              <w:rPr>
                <w:szCs w:val="24"/>
                <w:lang w:val="lv-LV"/>
              </w:rPr>
              <w:t>šu instrumenta 2009.-</w:t>
            </w:r>
            <w:r w:rsidR="00694E2C" w:rsidRPr="00834450">
              <w:rPr>
                <w:szCs w:val="24"/>
                <w:lang w:val="lv-LV"/>
              </w:rPr>
              <w:t>2014.gadam perioda vadības likuma (</w:t>
            </w:r>
            <w:r w:rsidR="00A95E3A" w:rsidRPr="00834450">
              <w:rPr>
                <w:szCs w:val="24"/>
                <w:lang w:val="lv-LV"/>
              </w:rPr>
              <w:t>2012.gada</w:t>
            </w:r>
            <w:r w:rsidR="00132AFC" w:rsidRPr="00834450">
              <w:rPr>
                <w:szCs w:val="24"/>
                <w:lang w:val="lv-LV"/>
              </w:rPr>
              <w:t xml:space="preserve"> </w:t>
            </w:r>
            <w:r w:rsidR="00A95E3A" w:rsidRPr="00834450">
              <w:rPr>
                <w:szCs w:val="24"/>
                <w:lang w:val="lv-LV"/>
              </w:rPr>
              <w:t xml:space="preserve">26.janvāra redakcijā) </w:t>
            </w:r>
            <w:r w:rsidR="00C040C4" w:rsidRPr="00834450">
              <w:rPr>
                <w:szCs w:val="24"/>
                <w:lang w:val="lv-LV"/>
              </w:rPr>
              <w:t xml:space="preserve">9.panta pirmā daļa un </w:t>
            </w:r>
            <w:r w:rsidR="00694E2C" w:rsidRPr="00834450">
              <w:rPr>
                <w:szCs w:val="24"/>
                <w:lang w:val="lv-LV"/>
              </w:rPr>
              <w:t xml:space="preserve">15.panta </w:t>
            </w:r>
            <w:r w:rsidR="00E75B20" w:rsidRPr="00834450">
              <w:rPr>
                <w:szCs w:val="24"/>
                <w:lang w:val="lv-LV"/>
              </w:rPr>
              <w:t>6.</w:t>
            </w:r>
            <w:r w:rsidR="00694E2C" w:rsidRPr="00834450">
              <w:rPr>
                <w:szCs w:val="24"/>
                <w:lang w:val="lv-LV"/>
              </w:rPr>
              <w:t>punkts.</w:t>
            </w:r>
          </w:p>
        </w:tc>
      </w:tr>
      <w:tr w:rsidR="00457DC2" w:rsidRPr="006A7C4E" w:rsidTr="00D86E11">
        <w:trPr>
          <w:trHeight w:val="360"/>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27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after="75"/>
              <w:rPr>
                <w:szCs w:val="24"/>
                <w:lang w:val="lv-LV"/>
              </w:rPr>
            </w:pPr>
            <w:r w:rsidRPr="00380DA5">
              <w:rPr>
                <w:szCs w:val="24"/>
                <w:lang w:val="lv-LV"/>
              </w:rPr>
              <w:t>Pašreizējā situācija un problēmas</w:t>
            </w:r>
          </w:p>
        </w:tc>
        <w:tc>
          <w:tcPr>
            <w:tcW w:w="5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22101E" w:rsidRDefault="008C1353" w:rsidP="009C7444">
            <w:pPr>
              <w:ind w:firstLine="425"/>
              <w:jc w:val="both"/>
              <w:rPr>
                <w:szCs w:val="24"/>
                <w:lang w:val="lv-LV"/>
              </w:rPr>
            </w:pPr>
            <w:r>
              <w:rPr>
                <w:szCs w:val="24"/>
                <w:lang w:val="lv-LV"/>
              </w:rPr>
              <w:t>Atbilstoši Nacionālā attīstības plāna 2007.-2013.gadam prioritātēm, lai panāktu Latvijas ekonomikas konkurētspēju globālā mērogā, ir jāveic pāreja no zemas pievienotās vērtības produktu ražošanu uz augstas pievienotās vērtības produktu ražošanu, investējot pamatlīdzekļos un veicinot jaunu tehnoloģiju un produktu attīstību tehnoloģiski izcilos uzņēmumos, kuriem ir potenciāls jaunu tehnolo</w:t>
            </w:r>
            <w:r w:rsidR="0022101E">
              <w:rPr>
                <w:szCs w:val="24"/>
                <w:lang w:val="lv-LV"/>
              </w:rPr>
              <w:t xml:space="preserve">ģiju, produktu ieviešanai. Nozares, kurās prioritāri ir iespējama produktu ar augstāku pievienoto vērtību ražošana, un kurām  ir izaugsmes potenciāls ir kokapstrāde, optisko šķiedru ražošana, mašīnbūve un metālapstrāde, ķīmija un farmācija. Šīm nozarēm papildus izaugsmes potenciālam un augstas pievienotās vērtības produktiem ir arī vislielākā starpnozaru ietekme. </w:t>
            </w:r>
            <w:r w:rsidR="009D1E94">
              <w:rPr>
                <w:szCs w:val="24"/>
                <w:lang w:val="lv-LV"/>
              </w:rPr>
              <w:t xml:space="preserve">Papildus iepriekš minētajam, lai nodrošinātu privātā sektora investīciju piesaisti jaunu produktu un tehnoloģiju attīstīšanai, ir plānots veicināt privātā sektora un zinātnes sadarbību, papildus investīcijām pamatlīdzekļos, veicot ar jaunu produktu un pakalpojumu </w:t>
            </w:r>
            <w:r w:rsidR="00F72E7E">
              <w:rPr>
                <w:szCs w:val="24"/>
                <w:lang w:val="lv-LV"/>
              </w:rPr>
              <w:t>ieviešanu ražošanā</w:t>
            </w:r>
            <w:r w:rsidR="009D1E94">
              <w:rPr>
                <w:szCs w:val="24"/>
                <w:lang w:val="lv-LV"/>
              </w:rPr>
              <w:t xml:space="preserve"> saistītus pētījumus. </w:t>
            </w:r>
          </w:p>
          <w:p w:rsidR="00CE6F55" w:rsidRDefault="0022101E" w:rsidP="009C7444">
            <w:pPr>
              <w:ind w:firstLine="425"/>
              <w:jc w:val="both"/>
              <w:rPr>
                <w:szCs w:val="24"/>
                <w:lang w:val="lv-LV"/>
              </w:rPr>
            </w:pPr>
            <w:r>
              <w:rPr>
                <w:szCs w:val="24"/>
                <w:lang w:val="lv-LV"/>
              </w:rPr>
              <w:t xml:space="preserve">Vienlaikus ar industriālo attīstību nepieciešams veicināt ilgtspējīgu attīstību, samazinot industriālās attīstības ietekmi uz vidi. </w:t>
            </w:r>
          </w:p>
          <w:p w:rsidR="009C7444" w:rsidRPr="00380DA5" w:rsidRDefault="00DD197F" w:rsidP="009D1E94">
            <w:pPr>
              <w:ind w:firstLine="425"/>
              <w:jc w:val="both"/>
              <w:rPr>
                <w:szCs w:val="24"/>
                <w:lang w:val="lv-LV"/>
              </w:rPr>
            </w:pPr>
            <w:r w:rsidRPr="00380DA5">
              <w:rPr>
                <w:szCs w:val="24"/>
                <w:lang w:val="lv-LV"/>
              </w:rPr>
              <w:t>Balstoties uz iepriekš minēto</w:t>
            </w:r>
            <w:r w:rsidR="00835AEF">
              <w:rPr>
                <w:szCs w:val="24"/>
                <w:lang w:val="lv-LV"/>
              </w:rPr>
              <w:t>,</w:t>
            </w:r>
            <w:r w:rsidRPr="00380DA5">
              <w:rPr>
                <w:szCs w:val="24"/>
                <w:lang w:val="lv-LV"/>
              </w:rPr>
              <w:t xml:space="preserve"> </w:t>
            </w:r>
            <w:r w:rsidR="00835AEF">
              <w:rPr>
                <w:szCs w:val="24"/>
                <w:lang w:val="lv-LV"/>
              </w:rPr>
              <w:t>Ministru kabineta noteikumu projekta īstenošanas rezultātā tiks</w:t>
            </w:r>
            <w:r w:rsidRPr="00380DA5">
              <w:rPr>
                <w:szCs w:val="24"/>
                <w:lang w:val="lv-LV"/>
              </w:rPr>
              <w:t xml:space="preserve"> veicināt</w:t>
            </w:r>
            <w:r w:rsidR="00835AEF">
              <w:rPr>
                <w:szCs w:val="24"/>
                <w:lang w:val="lv-LV"/>
              </w:rPr>
              <w:t>a</w:t>
            </w:r>
            <w:r w:rsidRPr="00380DA5">
              <w:rPr>
                <w:szCs w:val="24"/>
                <w:lang w:val="lv-LV"/>
              </w:rPr>
              <w:t xml:space="preserve"> inovācijas darbību attīstīšan</w:t>
            </w:r>
            <w:r w:rsidR="00EA7765">
              <w:rPr>
                <w:szCs w:val="24"/>
                <w:lang w:val="lv-LV"/>
              </w:rPr>
              <w:t>a</w:t>
            </w:r>
            <w:r w:rsidRPr="00380DA5">
              <w:rPr>
                <w:szCs w:val="24"/>
                <w:lang w:val="lv-LV"/>
              </w:rPr>
              <w:t xml:space="preserve">, </w:t>
            </w:r>
            <w:r w:rsidR="00DA5482">
              <w:rPr>
                <w:szCs w:val="24"/>
                <w:lang w:val="lv-LV"/>
              </w:rPr>
              <w:t>t</w:t>
            </w:r>
            <w:r w:rsidRPr="00380DA5">
              <w:rPr>
                <w:szCs w:val="24"/>
                <w:lang w:val="lv-LV"/>
              </w:rPr>
              <w:t>ehnoloģiju pārnes</w:t>
            </w:r>
            <w:r w:rsidR="00835AEF">
              <w:rPr>
                <w:szCs w:val="24"/>
                <w:lang w:val="lv-LV"/>
              </w:rPr>
              <w:t>e</w:t>
            </w:r>
            <w:r w:rsidR="008041BF">
              <w:rPr>
                <w:szCs w:val="24"/>
                <w:lang w:val="lv-LV"/>
              </w:rPr>
              <w:t xml:space="preserve"> un </w:t>
            </w:r>
            <w:r w:rsidR="00646F3A">
              <w:rPr>
                <w:szCs w:val="24"/>
                <w:lang w:val="lv-LV"/>
              </w:rPr>
              <w:t>komersantu</w:t>
            </w:r>
            <w:r w:rsidR="008041BF">
              <w:rPr>
                <w:szCs w:val="24"/>
                <w:lang w:val="lv-LV"/>
              </w:rPr>
              <w:t xml:space="preserve"> konkurētspēj</w:t>
            </w:r>
            <w:r w:rsidR="00044983">
              <w:rPr>
                <w:szCs w:val="24"/>
                <w:lang w:val="lv-LV"/>
              </w:rPr>
              <w:t>a</w:t>
            </w:r>
            <w:r w:rsidR="00DA5482">
              <w:rPr>
                <w:szCs w:val="24"/>
                <w:lang w:val="lv-LV"/>
              </w:rPr>
              <w:t>, veicinot uzņēmējdarbības p</w:t>
            </w:r>
            <w:r w:rsidR="00EA7765">
              <w:rPr>
                <w:szCs w:val="24"/>
                <w:lang w:val="lv-LV"/>
              </w:rPr>
              <w:t xml:space="preserve">āreju </w:t>
            </w:r>
            <w:r w:rsidR="00EA7765">
              <w:rPr>
                <w:szCs w:val="24"/>
                <w:lang w:val="lv-LV"/>
              </w:rPr>
              <w:lastRenderedPageBreak/>
              <w:t>uz videi draudzīgākām un efektīvākām ražošanas metodēm, kā arī veicin</w:t>
            </w:r>
            <w:r w:rsidR="009D1E94">
              <w:rPr>
                <w:szCs w:val="24"/>
                <w:lang w:val="lv-LV"/>
              </w:rPr>
              <w:t>ot</w:t>
            </w:r>
            <w:r w:rsidR="00EA7765">
              <w:rPr>
                <w:szCs w:val="24"/>
                <w:lang w:val="lv-LV"/>
              </w:rPr>
              <w:t xml:space="preserve"> jaunu produktu un tehnoloģiju attīstību, kas samazina enerģijas patēriņu, izmešu apjomu, citu ražošanai nepieciešamo resursu patēriņu. </w:t>
            </w:r>
          </w:p>
        </w:tc>
      </w:tr>
      <w:tr w:rsidR="00457DC2" w:rsidRPr="00380DA5" w:rsidTr="00D86E11">
        <w:trPr>
          <w:trHeight w:val="709"/>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3.</w:t>
            </w:r>
          </w:p>
        </w:tc>
        <w:tc>
          <w:tcPr>
            <w:tcW w:w="27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Saistītie politikas ietekmes novērtējumi un pētījumi</w:t>
            </w:r>
          </w:p>
        </w:tc>
        <w:tc>
          <w:tcPr>
            <w:tcW w:w="5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25234B">
            <w:pPr>
              <w:ind w:firstLine="425"/>
              <w:jc w:val="both"/>
              <w:rPr>
                <w:szCs w:val="24"/>
                <w:lang w:val="lv-LV"/>
              </w:rPr>
            </w:pPr>
            <w:r w:rsidRPr="00380DA5">
              <w:rPr>
                <w:szCs w:val="24"/>
                <w:lang w:val="lv-LV"/>
              </w:rPr>
              <w:t>Projekts šo jomu neskar.</w:t>
            </w:r>
          </w:p>
        </w:tc>
      </w:tr>
      <w:tr w:rsidR="00457DC2" w:rsidRPr="006A7C4E" w:rsidTr="00D86E11">
        <w:trPr>
          <w:trHeight w:val="501"/>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4.</w:t>
            </w:r>
          </w:p>
        </w:tc>
        <w:tc>
          <w:tcPr>
            <w:tcW w:w="27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Tiesiskā regulējuma mērķis un būtība</w:t>
            </w:r>
          </w:p>
        </w:tc>
        <w:tc>
          <w:tcPr>
            <w:tcW w:w="5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F52228" w:rsidRPr="00C071BE" w:rsidRDefault="00835AEF" w:rsidP="0025234B">
            <w:pPr>
              <w:tabs>
                <w:tab w:val="left" w:pos="835"/>
              </w:tabs>
              <w:ind w:firstLine="425"/>
              <w:jc w:val="both"/>
              <w:rPr>
                <w:szCs w:val="24"/>
                <w:lang w:val="lv-LV"/>
              </w:rPr>
            </w:pPr>
            <w:r w:rsidRPr="00C071BE">
              <w:rPr>
                <w:szCs w:val="24"/>
                <w:lang w:val="lv-LV"/>
              </w:rPr>
              <w:t xml:space="preserve">Ministru kabineta noteikumu </w:t>
            </w:r>
            <w:r w:rsidR="00F52228" w:rsidRPr="00C071BE">
              <w:rPr>
                <w:szCs w:val="24"/>
                <w:lang w:val="lv-LV"/>
              </w:rPr>
              <w:t xml:space="preserve">projekts paredz </w:t>
            </w:r>
            <w:r w:rsidRPr="00C071BE">
              <w:rPr>
                <w:szCs w:val="24"/>
                <w:lang w:val="lv-LV"/>
              </w:rPr>
              <w:t>īstenošanas nosacījumus nacionālā līmenī p</w:t>
            </w:r>
            <w:r w:rsidR="00F52228" w:rsidRPr="00C071BE">
              <w:rPr>
                <w:szCs w:val="24"/>
                <w:lang w:val="lv-LV"/>
              </w:rPr>
              <w:t>rogramma</w:t>
            </w:r>
            <w:r w:rsidR="00CE6F55">
              <w:rPr>
                <w:szCs w:val="24"/>
                <w:lang w:val="lv-LV"/>
              </w:rPr>
              <w:t>s</w:t>
            </w:r>
            <w:r w:rsidR="00F52228" w:rsidRPr="00C071BE">
              <w:rPr>
                <w:szCs w:val="24"/>
                <w:lang w:val="lv-LV"/>
              </w:rPr>
              <w:t xml:space="preserve"> </w:t>
            </w:r>
            <w:r w:rsidR="00033580" w:rsidRPr="00C071BE">
              <w:rPr>
                <w:szCs w:val="24"/>
                <w:lang w:val="lv-LV"/>
              </w:rPr>
              <w:t>„Inovācijas „zaļās” ražošanas jomā” (turpmāk– Programma)</w:t>
            </w:r>
            <w:r w:rsidR="00CE6F55">
              <w:rPr>
                <w:szCs w:val="24"/>
                <w:lang w:val="lv-LV"/>
              </w:rPr>
              <w:t xml:space="preserve"> atklātam </w:t>
            </w:r>
            <w:r w:rsidR="00CE6F55" w:rsidRPr="006B0D0A">
              <w:rPr>
                <w:szCs w:val="24"/>
                <w:lang w:val="lv-LV"/>
              </w:rPr>
              <w:t>projektu konkursam „</w:t>
            </w:r>
            <w:r w:rsidR="00DA5482" w:rsidRPr="006B0D0A">
              <w:rPr>
                <w:szCs w:val="24"/>
                <w:lang w:val="lv-LV"/>
              </w:rPr>
              <w:t>Atbalsts "zaļo" tehnoloģiju ieviešanai ražošanā" (turpmāk- atklāts konkurss).</w:t>
            </w:r>
          </w:p>
          <w:p w:rsidR="00B7701C" w:rsidRDefault="00835AEF" w:rsidP="00B7701C">
            <w:pPr>
              <w:ind w:firstLine="425"/>
              <w:jc w:val="both"/>
              <w:rPr>
                <w:szCs w:val="24"/>
                <w:lang w:val="lv-LV"/>
              </w:rPr>
            </w:pPr>
            <w:r w:rsidRPr="00C071BE">
              <w:rPr>
                <w:szCs w:val="24"/>
                <w:lang w:val="lv-LV"/>
              </w:rPr>
              <w:t xml:space="preserve">Ministru kabineta noteikumu projekts paredz </w:t>
            </w:r>
            <w:r w:rsidR="007D7F03">
              <w:rPr>
                <w:szCs w:val="24"/>
                <w:lang w:val="lv-LV"/>
              </w:rPr>
              <w:t xml:space="preserve">atbalsta sniegšanas nosacījumus </w:t>
            </w:r>
            <w:r w:rsidRPr="00C071BE">
              <w:rPr>
                <w:szCs w:val="24"/>
                <w:lang w:val="lv-LV"/>
              </w:rPr>
              <w:t>atklāta</w:t>
            </w:r>
            <w:r w:rsidR="007D7F03">
              <w:rPr>
                <w:szCs w:val="24"/>
                <w:lang w:val="lv-LV"/>
              </w:rPr>
              <w:t>m</w:t>
            </w:r>
            <w:r w:rsidRPr="00C071BE">
              <w:rPr>
                <w:szCs w:val="24"/>
                <w:lang w:val="lv-LV"/>
              </w:rPr>
              <w:t xml:space="preserve"> konkursa</w:t>
            </w:r>
            <w:r w:rsidR="007D7F03">
              <w:rPr>
                <w:szCs w:val="24"/>
                <w:lang w:val="lv-LV"/>
              </w:rPr>
              <w:t>m</w:t>
            </w:r>
            <w:r w:rsidR="00B7701C" w:rsidRPr="00C071BE">
              <w:rPr>
                <w:szCs w:val="24"/>
                <w:lang w:val="lv-LV"/>
              </w:rPr>
              <w:t>.</w:t>
            </w:r>
          </w:p>
          <w:p w:rsidR="00B7701C" w:rsidRPr="00C071BE" w:rsidRDefault="00091867" w:rsidP="00B7701C">
            <w:pPr>
              <w:ind w:firstLine="425"/>
              <w:jc w:val="both"/>
              <w:rPr>
                <w:szCs w:val="24"/>
                <w:lang w:val="lv-LV"/>
              </w:rPr>
            </w:pPr>
            <w:r>
              <w:rPr>
                <w:szCs w:val="24"/>
                <w:lang w:val="lv-LV"/>
              </w:rPr>
              <w:t xml:space="preserve">Atklāta konkursa mērķis ir uzlabot situāciju tehnoloģiski ietilpīgajās nozarēs, lai veicinātu esošo </w:t>
            </w:r>
            <w:r w:rsidR="00A32744">
              <w:rPr>
                <w:szCs w:val="24"/>
                <w:lang w:val="lv-LV"/>
              </w:rPr>
              <w:t>komersantu</w:t>
            </w:r>
            <w:r>
              <w:rPr>
                <w:szCs w:val="24"/>
                <w:lang w:val="lv-LV"/>
              </w:rPr>
              <w:t xml:space="preserve"> interesi veikt uzlabojumus enerģijas un ražošanas izejvielu efektīvākai izmantošanai. Lai saņemtu atbalstu atklāta konkursa ietvaros, </w:t>
            </w:r>
            <w:r w:rsidR="00A32744">
              <w:rPr>
                <w:szCs w:val="24"/>
                <w:lang w:val="lv-LV"/>
              </w:rPr>
              <w:t xml:space="preserve">komersantiem būs ne tikai jāpierāda savas biznesa idejas dzīvotspēja, bet jānodrošina tās tieša pozitīva ietekme uz vidi. Lai nodrošinātu inovāciju veikšanu, atklāta konkursa ietvaros ir plānots veicināt sadarbību starp zinātniskajām institūcijām </w:t>
            </w:r>
            <w:r w:rsidR="006B0D0A">
              <w:rPr>
                <w:szCs w:val="24"/>
                <w:lang w:val="lv-LV"/>
              </w:rPr>
              <w:t>vai komersantiem Norvēģijas karalistē</w:t>
            </w:r>
            <w:r w:rsidR="00A32744">
              <w:rPr>
                <w:szCs w:val="24"/>
                <w:lang w:val="lv-LV"/>
              </w:rPr>
              <w:t xml:space="preserve"> un Latvijas komersantiem.</w:t>
            </w:r>
            <w:r w:rsidR="006B0D0A">
              <w:rPr>
                <w:szCs w:val="24"/>
                <w:lang w:val="lv-LV"/>
              </w:rPr>
              <w:t xml:space="preserve"> </w:t>
            </w:r>
            <w:r w:rsidR="00D80630">
              <w:rPr>
                <w:szCs w:val="24"/>
                <w:lang w:val="lv-LV"/>
              </w:rPr>
              <w:t>Atklāta konkursa atbalsts ļaus komersantiem iegādāties jaunas tehnoloģijas, kas</w:t>
            </w:r>
            <w:r w:rsidR="006B0D0A">
              <w:rPr>
                <w:szCs w:val="24"/>
                <w:lang w:val="lv-LV"/>
              </w:rPr>
              <w:t xml:space="preserve"> sniegs ieguldījumu videi draudzīgākas ražošanas attīstīšanai (samazinot CO</w:t>
            </w:r>
            <w:r w:rsidR="00CB7D6B" w:rsidRPr="00834450">
              <w:rPr>
                <w:szCs w:val="24"/>
                <w:vertAlign w:val="superscript"/>
                <w:lang w:val="lv-LV"/>
              </w:rPr>
              <w:t>2</w:t>
            </w:r>
            <w:r w:rsidR="006B0D0A">
              <w:rPr>
                <w:szCs w:val="24"/>
                <w:lang w:val="lv-LV"/>
              </w:rPr>
              <w:t xml:space="preserve"> izmešus, efektīvi patērējot enerģijas resursus un ražošanas izejvielas). Vienlaicīgi tiks veikti pētījumi, kā ar iegādāto iekārtu palīdzību var nodrošināt</w:t>
            </w:r>
            <w:r w:rsidR="00D80630">
              <w:rPr>
                <w:szCs w:val="24"/>
                <w:lang w:val="lv-LV"/>
              </w:rPr>
              <w:t xml:space="preserve"> </w:t>
            </w:r>
            <w:r w:rsidR="00B24672">
              <w:rPr>
                <w:szCs w:val="24"/>
                <w:lang w:val="lv-LV"/>
              </w:rPr>
              <w:t xml:space="preserve">efektīvu ražošanas vai pakalpojumu sniegšanas procesu. </w:t>
            </w:r>
          </w:p>
          <w:p w:rsidR="008E41BA" w:rsidRPr="00C071BE" w:rsidRDefault="00B24672" w:rsidP="009E2CD2">
            <w:pPr>
              <w:tabs>
                <w:tab w:val="left" w:pos="835"/>
              </w:tabs>
              <w:ind w:firstLine="425"/>
              <w:jc w:val="both"/>
              <w:rPr>
                <w:szCs w:val="24"/>
                <w:lang w:val="lv-LV"/>
              </w:rPr>
            </w:pPr>
            <w:r>
              <w:rPr>
                <w:szCs w:val="24"/>
                <w:lang w:val="lv-LV"/>
              </w:rPr>
              <w:t xml:space="preserve">Atklāta konkursa </w:t>
            </w:r>
            <w:r w:rsidR="00D44A70" w:rsidRPr="00C071BE">
              <w:rPr>
                <w:szCs w:val="24"/>
                <w:lang w:val="lv-LV"/>
              </w:rPr>
              <w:t xml:space="preserve">ietvaros kopējais pieejamais finansējums ir </w:t>
            </w:r>
            <w:r w:rsidR="00812DD3">
              <w:rPr>
                <w:szCs w:val="24"/>
                <w:lang w:val="lv-LV"/>
              </w:rPr>
              <w:t xml:space="preserve">EUR </w:t>
            </w:r>
            <w:r w:rsidR="00610A7C">
              <w:rPr>
                <w:szCs w:val="24"/>
                <w:lang w:val="lv-LV"/>
              </w:rPr>
              <w:t>7 769</w:t>
            </w:r>
            <w:r w:rsidR="00812DD3">
              <w:rPr>
                <w:szCs w:val="24"/>
                <w:lang w:val="lv-LV"/>
              </w:rPr>
              <w:t> </w:t>
            </w:r>
            <w:r w:rsidR="00610A7C">
              <w:rPr>
                <w:szCs w:val="24"/>
                <w:lang w:val="lv-LV"/>
              </w:rPr>
              <w:t>1</w:t>
            </w:r>
            <w:r w:rsidR="00F9305E">
              <w:rPr>
                <w:szCs w:val="24"/>
                <w:lang w:val="lv-LV"/>
              </w:rPr>
              <w:t>0</w:t>
            </w:r>
            <w:r w:rsidR="00610A7C">
              <w:rPr>
                <w:szCs w:val="24"/>
                <w:lang w:val="lv-LV"/>
              </w:rPr>
              <w:t>7</w:t>
            </w:r>
            <w:r w:rsidR="00812DD3">
              <w:rPr>
                <w:szCs w:val="24"/>
                <w:lang w:val="lv-LV"/>
              </w:rPr>
              <w:t xml:space="preserve"> ekvivalents latos</w:t>
            </w:r>
            <w:r w:rsidR="00610A7C">
              <w:rPr>
                <w:szCs w:val="24"/>
                <w:lang w:val="lv-LV"/>
              </w:rPr>
              <w:t xml:space="preserve">, no kuriem </w:t>
            </w:r>
            <w:r w:rsidR="00D86E11">
              <w:rPr>
                <w:szCs w:val="24"/>
                <w:lang w:val="lv-LV"/>
              </w:rPr>
              <w:t xml:space="preserve">EUR </w:t>
            </w:r>
            <w:r w:rsidR="00610A7C">
              <w:rPr>
                <w:szCs w:val="24"/>
                <w:lang w:val="lv-LV"/>
              </w:rPr>
              <w:t>6 992</w:t>
            </w:r>
            <w:r w:rsidR="00D86E11">
              <w:rPr>
                <w:szCs w:val="24"/>
                <w:lang w:val="lv-LV"/>
              </w:rPr>
              <w:t> </w:t>
            </w:r>
            <w:r w:rsidR="00610A7C">
              <w:rPr>
                <w:szCs w:val="24"/>
                <w:lang w:val="lv-LV"/>
              </w:rPr>
              <w:t xml:space="preserve">196 </w:t>
            </w:r>
            <w:r w:rsidR="00D86E11" w:rsidRPr="00D86E11">
              <w:rPr>
                <w:szCs w:val="24"/>
                <w:lang w:val="lv-LV"/>
              </w:rPr>
              <w:t xml:space="preserve">ekvivalents latos </w:t>
            </w:r>
            <w:r w:rsidR="00610A7C">
              <w:rPr>
                <w:szCs w:val="24"/>
                <w:lang w:val="lv-LV"/>
              </w:rPr>
              <w:t xml:space="preserve">ir Norvēģijas finanšu instrumenta līdzekļi, bet </w:t>
            </w:r>
            <w:r w:rsidR="00D86E11">
              <w:rPr>
                <w:szCs w:val="24"/>
                <w:lang w:val="lv-LV"/>
              </w:rPr>
              <w:t xml:space="preserve">EUR </w:t>
            </w:r>
            <w:r w:rsidR="00610A7C">
              <w:rPr>
                <w:szCs w:val="24"/>
                <w:lang w:val="lv-LV"/>
              </w:rPr>
              <w:t>776 911 ekvivalents latos ir valsts budžeta līdzekļi.</w:t>
            </w:r>
          </w:p>
          <w:p w:rsidR="00610A7C" w:rsidRDefault="00610A7C" w:rsidP="00AC67CD">
            <w:pPr>
              <w:ind w:firstLine="425"/>
              <w:jc w:val="both"/>
              <w:rPr>
                <w:szCs w:val="24"/>
                <w:lang w:val="lv-LV"/>
              </w:rPr>
            </w:pPr>
            <w:r>
              <w:rPr>
                <w:szCs w:val="24"/>
                <w:lang w:val="lv-LV"/>
              </w:rPr>
              <w:t xml:space="preserve">Vienam atbalsta saņēmējam atklāta konkursa ietvaros pieejamais finansējums ir no </w:t>
            </w:r>
            <w:r w:rsidR="00D86E11">
              <w:rPr>
                <w:szCs w:val="24"/>
                <w:lang w:val="lv-LV"/>
              </w:rPr>
              <w:t>EUR</w:t>
            </w:r>
            <w:r>
              <w:rPr>
                <w:szCs w:val="24"/>
                <w:lang w:val="lv-LV"/>
              </w:rPr>
              <w:t xml:space="preserve"> 170 000 ekvivalenta latos līdz </w:t>
            </w:r>
            <w:r w:rsidR="00D86E11">
              <w:rPr>
                <w:szCs w:val="24"/>
                <w:lang w:val="lv-LV"/>
              </w:rPr>
              <w:t>EUR</w:t>
            </w:r>
            <w:r>
              <w:rPr>
                <w:szCs w:val="24"/>
                <w:lang w:val="lv-LV"/>
              </w:rPr>
              <w:t xml:space="preserve"> </w:t>
            </w:r>
            <w:r w:rsidR="00F9305E">
              <w:rPr>
                <w:szCs w:val="24"/>
                <w:lang w:val="lv-LV"/>
              </w:rPr>
              <w:t>7</w:t>
            </w:r>
            <w:r>
              <w:rPr>
                <w:szCs w:val="24"/>
                <w:lang w:val="lv-LV"/>
              </w:rPr>
              <w:t>00 000 ekvivalentam latos</w:t>
            </w:r>
            <w:r w:rsidR="00F9305E">
              <w:rPr>
                <w:szCs w:val="24"/>
                <w:lang w:val="lv-LV"/>
              </w:rPr>
              <w:t>, tai skaitā</w:t>
            </w:r>
            <w:r>
              <w:rPr>
                <w:szCs w:val="24"/>
                <w:lang w:val="lv-LV"/>
              </w:rPr>
              <w:t xml:space="preserve"> iekārtu iegādei un ar to saistītajām izmaksām</w:t>
            </w:r>
            <w:r w:rsidR="00F9305E">
              <w:rPr>
                <w:szCs w:val="24"/>
                <w:lang w:val="lv-LV"/>
              </w:rPr>
              <w:t xml:space="preserve"> līdz </w:t>
            </w:r>
            <w:r w:rsidR="00D86E11">
              <w:rPr>
                <w:szCs w:val="24"/>
                <w:lang w:val="lv-LV"/>
              </w:rPr>
              <w:t>EUR</w:t>
            </w:r>
            <w:r w:rsidR="00F9305E" w:rsidRPr="00F9305E">
              <w:rPr>
                <w:szCs w:val="24"/>
                <w:lang w:val="lv-LV"/>
              </w:rPr>
              <w:t xml:space="preserve"> </w:t>
            </w:r>
            <w:r w:rsidR="00F9305E">
              <w:rPr>
                <w:szCs w:val="24"/>
                <w:lang w:val="lv-LV"/>
              </w:rPr>
              <w:t>500</w:t>
            </w:r>
            <w:r w:rsidR="00D86E11">
              <w:rPr>
                <w:szCs w:val="24"/>
                <w:lang w:val="lv-LV"/>
              </w:rPr>
              <w:t> </w:t>
            </w:r>
            <w:r w:rsidR="00F9305E">
              <w:rPr>
                <w:szCs w:val="24"/>
                <w:lang w:val="lv-LV"/>
              </w:rPr>
              <w:t>000</w:t>
            </w:r>
            <w:r w:rsidR="00D86E11">
              <w:rPr>
                <w:szCs w:val="24"/>
                <w:lang w:val="lv-LV"/>
              </w:rPr>
              <w:t xml:space="preserve"> </w:t>
            </w:r>
            <w:r w:rsidR="00D86E11" w:rsidRPr="00D86E11">
              <w:rPr>
                <w:szCs w:val="24"/>
                <w:lang w:val="lv-LV"/>
              </w:rPr>
              <w:t>ekvivalent</w:t>
            </w:r>
            <w:r w:rsidR="00D86E11">
              <w:rPr>
                <w:szCs w:val="24"/>
                <w:lang w:val="lv-LV"/>
              </w:rPr>
              <w:t>am</w:t>
            </w:r>
            <w:r w:rsidR="00D86E11" w:rsidRPr="00D86E11">
              <w:rPr>
                <w:szCs w:val="24"/>
                <w:lang w:val="lv-LV"/>
              </w:rPr>
              <w:t xml:space="preserve"> latos</w:t>
            </w:r>
            <w:r w:rsidR="00F726D4">
              <w:rPr>
                <w:szCs w:val="24"/>
                <w:lang w:val="lv-LV"/>
              </w:rPr>
              <w:t>,</w:t>
            </w:r>
            <w:r>
              <w:rPr>
                <w:szCs w:val="24"/>
                <w:lang w:val="lv-LV"/>
              </w:rPr>
              <w:t xml:space="preserve"> </w:t>
            </w:r>
            <w:r w:rsidR="00DB76E2">
              <w:rPr>
                <w:szCs w:val="24"/>
                <w:lang w:val="lv-LV"/>
              </w:rPr>
              <w:t xml:space="preserve">un līdz </w:t>
            </w:r>
            <w:r w:rsidR="00D86E11">
              <w:rPr>
                <w:szCs w:val="24"/>
                <w:lang w:val="lv-LV"/>
              </w:rPr>
              <w:t xml:space="preserve">EUR </w:t>
            </w:r>
            <w:r w:rsidR="00DB76E2">
              <w:rPr>
                <w:szCs w:val="24"/>
                <w:lang w:val="lv-LV"/>
              </w:rPr>
              <w:t>200</w:t>
            </w:r>
            <w:r w:rsidR="00D86E11">
              <w:rPr>
                <w:szCs w:val="24"/>
                <w:lang w:val="lv-LV"/>
              </w:rPr>
              <w:t> </w:t>
            </w:r>
            <w:r w:rsidR="00DB76E2">
              <w:rPr>
                <w:szCs w:val="24"/>
                <w:lang w:val="lv-LV"/>
              </w:rPr>
              <w:t>000</w:t>
            </w:r>
            <w:r w:rsidR="00D86E11">
              <w:rPr>
                <w:szCs w:val="24"/>
                <w:lang w:val="lv-LV"/>
              </w:rPr>
              <w:t xml:space="preserve"> </w:t>
            </w:r>
            <w:r w:rsidR="00D86E11" w:rsidRPr="00D86E11">
              <w:rPr>
                <w:szCs w:val="24"/>
                <w:lang w:val="lv-LV"/>
              </w:rPr>
              <w:t>ekvivalentam latos</w:t>
            </w:r>
            <w:r w:rsidR="00DB76E2">
              <w:rPr>
                <w:szCs w:val="24"/>
                <w:lang w:val="lv-LV"/>
              </w:rPr>
              <w:t xml:space="preserve"> ar produkta (tai skaitā preces vai pakalpojuma) vai tehnoloģijas ieviešanu ražošanā saistītās pētniecības izmaksas. Atbalsta intensitāte no atklāta konkursa līdzfinansējuma līdzekļiem ir </w:t>
            </w:r>
            <w:r w:rsidR="003B0193">
              <w:rPr>
                <w:szCs w:val="24"/>
                <w:lang w:val="lv-LV"/>
              </w:rPr>
              <w:t>4</w:t>
            </w:r>
            <w:r w:rsidR="00DB76E2">
              <w:rPr>
                <w:szCs w:val="24"/>
                <w:lang w:val="lv-LV"/>
              </w:rPr>
              <w:t>5%.</w:t>
            </w:r>
            <w:r w:rsidR="00CC4AD2">
              <w:rPr>
                <w:szCs w:val="24"/>
                <w:lang w:val="lv-LV"/>
              </w:rPr>
              <w:t xml:space="preserve"> Viens atbalsta saņēmējs šo noteikumu izpratnē ietver atbalsta saņēmēja saistīto personu grupu. </w:t>
            </w:r>
          </w:p>
          <w:p w:rsidR="00BA0BC1" w:rsidRPr="00C071BE" w:rsidRDefault="008F0FD6" w:rsidP="00AC67CD">
            <w:pPr>
              <w:ind w:firstLine="425"/>
              <w:jc w:val="both"/>
              <w:rPr>
                <w:szCs w:val="24"/>
                <w:lang w:val="lv-LV"/>
              </w:rPr>
            </w:pPr>
            <w:r w:rsidRPr="00C071BE">
              <w:rPr>
                <w:szCs w:val="24"/>
                <w:lang w:val="lv-LV"/>
              </w:rPr>
              <w:t xml:space="preserve">Ar terminu „zaļās” inovācijas </w:t>
            </w:r>
            <w:r w:rsidR="006941FA" w:rsidRPr="00C071BE">
              <w:rPr>
                <w:szCs w:val="24"/>
                <w:lang w:val="lv-LV"/>
              </w:rPr>
              <w:t xml:space="preserve">šā normatīvā akta projekta izpratnē </w:t>
            </w:r>
            <w:r w:rsidRPr="00C071BE">
              <w:rPr>
                <w:szCs w:val="24"/>
                <w:lang w:val="lv-LV"/>
              </w:rPr>
              <w:t>tiek saprastas inovācijas</w:t>
            </w:r>
            <w:r w:rsidR="006941FA" w:rsidRPr="00C071BE">
              <w:rPr>
                <w:szCs w:val="24"/>
                <w:lang w:val="lv-LV"/>
              </w:rPr>
              <w:t xml:space="preserve"> normatīvā akta projekta 2.punktā noteiktajās atbalsta jomās</w:t>
            </w:r>
            <w:r w:rsidR="007E4710" w:rsidRPr="00C071BE">
              <w:rPr>
                <w:szCs w:val="24"/>
                <w:lang w:val="lv-LV"/>
              </w:rPr>
              <w:t>.</w:t>
            </w:r>
          </w:p>
          <w:p w:rsidR="00AC67CD" w:rsidRDefault="00CC4AD2" w:rsidP="00AC67CD">
            <w:pPr>
              <w:ind w:firstLine="425"/>
              <w:jc w:val="both"/>
              <w:rPr>
                <w:szCs w:val="24"/>
                <w:lang w:val="lv-LV"/>
              </w:rPr>
            </w:pPr>
            <w:r>
              <w:rPr>
                <w:szCs w:val="24"/>
                <w:lang w:val="lv-LV"/>
              </w:rPr>
              <w:lastRenderedPageBreak/>
              <w:t xml:space="preserve">Atklāta konkursa ietvaros </w:t>
            </w:r>
            <w:r w:rsidR="009B6C96" w:rsidRPr="00C071BE">
              <w:rPr>
                <w:szCs w:val="24"/>
                <w:lang w:val="lv-LV"/>
              </w:rPr>
              <w:t xml:space="preserve">sniegto atbalstu ir atļauts kombinēt ar </w:t>
            </w:r>
            <w:r w:rsidR="00DB76E2">
              <w:rPr>
                <w:szCs w:val="24"/>
                <w:lang w:val="lv-LV"/>
              </w:rPr>
              <w:t xml:space="preserve">citu </w:t>
            </w:r>
            <w:r w:rsidR="009B6C96" w:rsidRPr="00C071BE">
              <w:rPr>
                <w:szCs w:val="24"/>
                <w:lang w:val="lv-LV"/>
              </w:rPr>
              <w:t xml:space="preserve">atbalstu </w:t>
            </w:r>
            <w:r w:rsidR="00DB76E2">
              <w:rPr>
                <w:szCs w:val="24"/>
                <w:lang w:val="lv-LV"/>
              </w:rPr>
              <w:t xml:space="preserve">no vietējiem, reģionālajiem, valsts, Eiropas Savienības un ārvalstu finanšu palīdzības </w:t>
            </w:r>
            <w:r w:rsidR="00714CC9">
              <w:rPr>
                <w:szCs w:val="24"/>
                <w:lang w:val="lv-LV"/>
              </w:rPr>
              <w:t xml:space="preserve">līdzekļiem, </w:t>
            </w:r>
            <w:r>
              <w:rPr>
                <w:szCs w:val="24"/>
                <w:lang w:val="lv-LV"/>
              </w:rPr>
              <w:t xml:space="preserve">nepārsniedzot maksimālo pieļaujamo </w:t>
            </w:r>
            <w:proofErr w:type="spellStart"/>
            <w:r w:rsidRPr="00AC67CD">
              <w:rPr>
                <w:i/>
                <w:szCs w:val="24"/>
                <w:lang w:val="lv-LV"/>
              </w:rPr>
              <w:t>de</w:t>
            </w:r>
            <w:proofErr w:type="spellEnd"/>
            <w:r w:rsidRPr="00AC67CD">
              <w:rPr>
                <w:i/>
                <w:szCs w:val="24"/>
                <w:lang w:val="lv-LV"/>
              </w:rPr>
              <w:t xml:space="preserve"> </w:t>
            </w:r>
            <w:proofErr w:type="spellStart"/>
            <w:r w:rsidRPr="00AC67CD">
              <w:rPr>
                <w:i/>
                <w:szCs w:val="24"/>
                <w:lang w:val="lv-LV"/>
              </w:rPr>
              <w:t>minimis</w:t>
            </w:r>
            <w:proofErr w:type="spellEnd"/>
            <w:r>
              <w:rPr>
                <w:szCs w:val="24"/>
                <w:lang w:val="lv-LV"/>
              </w:rPr>
              <w:t xml:space="preserve"> </w:t>
            </w:r>
            <w:r w:rsidR="00DB76E2">
              <w:rPr>
                <w:szCs w:val="24"/>
                <w:lang w:val="lv-LV"/>
              </w:rPr>
              <w:t xml:space="preserve">atbalsta </w:t>
            </w:r>
            <w:r>
              <w:rPr>
                <w:szCs w:val="24"/>
                <w:lang w:val="lv-LV"/>
              </w:rPr>
              <w:t xml:space="preserve">apmēru. </w:t>
            </w:r>
          </w:p>
          <w:p w:rsidR="00AC67CD" w:rsidRDefault="00CC4AD2" w:rsidP="00AC67CD">
            <w:pPr>
              <w:ind w:firstLine="425"/>
              <w:jc w:val="both"/>
              <w:rPr>
                <w:szCs w:val="24"/>
                <w:lang w:val="lv-LV"/>
              </w:rPr>
            </w:pPr>
            <w:r>
              <w:rPr>
                <w:szCs w:val="24"/>
                <w:lang w:val="lv-LV"/>
              </w:rPr>
              <w:t xml:space="preserve"> Šo noteikumu ietvaros sniegto reģionālo atbalstu, kas tiek sniegts atbilstoši Komisijas 2006.gada 15.decembra Regulai (EK) </w:t>
            </w:r>
            <w:proofErr w:type="spellStart"/>
            <w:r>
              <w:rPr>
                <w:szCs w:val="24"/>
                <w:lang w:val="lv-LV"/>
              </w:rPr>
              <w:t>Nr</w:t>
            </w:r>
            <w:proofErr w:type="spellEnd"/>
            <w:r>
              <w:rPr>
                <w:szCs w:val="24"/>
                <w:lang w:val="lv-LV"/>
              </w:rPr>
              <w:t>. 800/2008, kas atzīst noteiktas atbalsta kategorijas par saderīgām ar kopējo tirgu</w:t>
            </w:r>
            <w:r w:rsidR="00551BFB">
              <w:rPr>
                <w:szCs w:val="24"/>
                <w:lang w:val="lv-LV"/>
              </w:rPr>
              <w:t xml:space="preserve">, piemērojot Līguma 87. un 88.pantu </w:t>
            </w:r>
            <w:r>
              <w:rPr>
                <w:szCs w:val="24"/>
                <w:lang w:val="lv-LV"/>
              </w:rPr>
              <w:t>(</w:t>
            </w:r>
            <w:r w:rsidR="00551BFB">
              <w:rPr>
                <w:szCs w:val="24"/>
                <w:lang w:val="lv-LV"/>
              </w:rPr>
              <w:t xml:space="preserve">vispārējā grupu atbrīvojuma regula) (Eiropas Savienības Oficiālais Vēstnesis, 2008.gada 9.augusts, L 214) (turpmāk- </w:t>
            </w:r>
            <w:r w:rsidR="00F726D4">
              <w:rPr>
                <w:szCs w:val="24"/>
                <w:lang w:val="lv-LV"/>
              </w:rPr>
              <w:t xml:space="preserve">Komisijas </w:t>
            </w:r>
            <w:r w:rsidR="00551BFB">
              <w:rPr>
                <w:szCs w:val="24"/>
                <w:lang w:val="lv-LV"/>
              </w:rPr>
              <w:t xml:space="preserve">Regula </w:t>
            </w:r>
            <w:proofErr w:type="spellStart"/>
            <w:r w:rsidR="00551BFB">
              <w:rPr>
                <w:szCs w:val="24"/>
                <w:lang w:val="lv-LV"/>
              </w:rPr>
              <w:t>Nr</w:t>
            </w:r>
            <w:proofErr w:type="spellEnd"/>
            <w:r w:rsidR="00551BFB">
              <w:rPr>
                <w:szCs w:val="24"/>
                <w:lang w:val="lv-LV"/>
              </w:rPr>
              <w:t xml:space="preserve">. 800/2008) </w:t>
            </w:r>
            <w:r>
              <w:rPr>
                <w:szCs w:val="24"/>
                <w:lang w:val="lv-LV"/>
              </w:rPr>
              <w:t xml:space="preserve">drīkst apvienot ar </w:t>
            </w:r>
            <w:r w:rsidR="00551BFB">
              <w:rPr>
                <w:szCs w:val="24"/>
                <w:lang w:val="lv-LV"/>
              </w:rPr>
              <w:t>atbalstu no</w:t>
            </w:r>
            <w:r w:rsidR="00222F69" w:rsidRPr="00AC67CD">
              <w:rPr>
                <w:szCs w:val="24"/>
                <w:lang w:val="lv-LV"/>
              </w:rPr>
              <w:t xml:space="preserve"> </w:t>
            </w:r>
            <w:r w:rsidR="00222F69" w:rsidRPr="00222F69">
              <w:rPr>
                <w:szCs w:val="24"/>
                <w:lang w:val="lv-LV"/>
              </w:rPr>
              <w:t>vietējiem, reģionālajiem, valsts, Eiropas Savienības un citas ārvalstu finanšu palīdzības līdzekļiem</w:t>
            </w:r>
            <w:r w:rsidR="00222F69">
              <w:rPr>
                <w:szCs w:val="24"/>
                <w:lang w:val="lv-LV"/>
              </w:rPr>
              <w:t xml:space="preserve">, ja tas tiek sniegts kā </w:t>
            </w:r>
            <w:proofErr w:type="spellStart"/>
            <w:r w:rsidR="00222F69" w:rsidRPr="00AC67CD">
              <w:rPr>
                <w:i/>
                <w:szCs w:val="24"/>
                <w:lang w:val="lv-LV"/>
              </w:rPr>
              <w:t>de</w:t>
            </w:r>
            <w:proofErr w:type="spellEnd"/>
            <w:r w:rsidR="00222F69" w:rsidRPr="00AC67CD">
              <w:rPr>
                <w:i/>
                <w:szCs w:val="24"/>
                <w:lang w:val="lv-LV"/>
              </w:rPr>
              <w:t xml:space="preserve"> </w:t>
            </w:r>
            <w:proofErr w:type="spellStart"/>
            <w:r w:rsidR="00222F69" w:rsidRPr="00AC67CD">
              <w:rPr>
                <w:i/>
                <w:szCs w:val="24"/>
                <w:lang w:val="lv-LV"/>
              </w:rPr>
              <w:t>minimis</w:t>
            </w:r>
            <w:proofErr w:type="spellEnd"/>
            <w:r w:rsidR="00222F69">
              <w:rPr>
                <w:szCs w:val="24"/>
                <w:lang w:val="lv-LV"/>
              </w:rPr>
              <w:t xml:space="preserve"> atbalsts, ja piešķirtais finansējums kopā ar </w:t>
            </w:r>
            <w:proofErr w:type="spellStart"/>
            <w:r w:rsidR="00222F69" w:rsidRPr="00AC67CD">
              <w:rPr>
                <w:i/>
                <w:szCs w:val="24"/>
                <w:lang w:val="lv-LV"/>
              </w:rPr>
              <w:t>de</w:t>
            </w:r>
            <w:proofErr w:type="spellEnd"/>
            <w:r w:rsidR="00222F69" w:rsidRPr="00AC67CD">
              <w:rPr>
                <w:i/>
                <w:szCs w:val="24"/>
                <w:lang w:val="lv-LV"/>
              </w:rPr>
              <w:t xml:space="preserve"> </w:t>
            </w:r>
            <w:proofErr w:type="spellStart"/>
            <w:r w:rsidR="00222F69" w:rsidRPr="00AC67CD">
              <w:rPr>
                <w:i/>
                <w:szCs w:val="24"/>
                <w:lang w:val="lv-LV"/>
              </w:rPr>
              <w:t>minimis</w:t>
            </w:r>
            <w:proofErr w:type="spellEnd"/>
            <w:r w:rsidR="00222F69">
              <w:rPr>
                <w:szCs w:val="24"/>
                <w:lang w:val="lv-LV"/>
              </w:rPr>
              <w:t xml:space="preserve"> atbalstu </w:t>
            </w:r>
            <w:r w:rsidR="003352D7">
              <w:rPr>
                <w:szCs w:val="24"/>
                <w:lang w:val="lv-LV"/>
              </w:rPr>
              <w:t>š</w:t>
            </w:r>
            <w:r w:rsidR="003352D7" w:rsidRPr="003352D7">
              <w:rPr>
                <w:szCs w:val="24"/>
                <w:lang w:val="lv-LV"/>
              </w:rPr>
              <w:t xml:space="preserve">ādas kumulācijas rezultātā </w:t>
            </w:r>
            <w:r w:rsidR="003352D7">
              <w:rPr>
                <w:szCs w:val="24"/>
                <w:lang w:val="lv-LV"/>
              </w:rPr>
              <w:t xml:space="preserve">nepārsniedz </w:t>
            </w:r>
            <w:r w:rsidR="003352D7" w:rsidRPr="003352D7">
              <w:rPr>
                <w:szCs w:val="24"/>
                <w:lang w:val="lv-LV"/>
              </w:rPr>
              <w:t xml:space="preserve"> Komisijas regulā </w:t>
            </w:r>
            <w:proofErr w:type="spellStart"/>
            <w:r w:rsidR="003352D7" w:rsidRPr="003352D7">
              <w:rPr>
                <w:szCs w:val="24"/>
                <w:lang w:val="lv-LV"/>
              </w:rPr>
              <w:t>Nr</w:t>
            </w:r>
            <w:proofErr w:type="spellEnd"/>
            <w:r w:rsidR="003352D7" w:rsidRPr="003352D7">
              <w:rPr>
                <w:szCs w:val="24"/>
                <w:lang w:val="lv-LV"/>
              </w:rPr>
              <w:t>. 800/2008 vai Eiropas Komisijas apstiprinātajā atbalsta programmā, vai individuālajā atbalsta projektā noteikto maksimāli pieļaujamo atbalsta intensitāti</w:t>
            </w:r>
            <w:r w:rsidR="003352D7">
              <w:rPr>
                <w:szCs w:val="24"/>
                <w:lang w:val="lv-LV"/>
              </w:rPr>
              <w:t xml:space="preserve"> </w:t>
            </w:r>
            <w:r w:rsidR="00310970">
              <w:rPr>
                <w:szCs w:val="24"/>
                <w:lang w:val="lv-LV"/>
              </w:rPr>
              <w:t>no projekta kopējām attiecināmajām izmaksām. Šī normatīvā akta ietvaros paredzēto atbalstu nevar apvienot ar atbalstu vienām un tām pašām izmaksām, kas sniegts no Eiropas Savienības struktūrfondu līdzekļiem grantu veidā, un kuram piemēro</w:t>
            </w:r>
            <w:r w:rsidR="00875299">
              <w:rPr>
                <w:szCs w:val="24"/>
                <w:lang w:val="lv-LV"/>
              </w:rPr>
              <w:t xml:space="preserve"> </w:t>
            </w:r>
            <w:r w:rsidR="00875299" w:rsidRPr="00875299">
              <w:rPr>
                <w:szCs w:val="24"/>
                <w:lang w:val="lv-LV"/>
              </w:rPr>
              <w:t>Eiropas Parlamenta un Padomes 2012.gada 25.oktobra regulas (ES, EURATOM) Nr.966/2012 par finanšu noteikumiem, ko piemēro Savienības vispārējam budžetam, un par Padomes Regulas (EK, EURATOM) Nr.1605/2002 atcelšanu 129.panta 1.punkta ierobežojumu</w:t>
            </w:r>
            <w:r w:rsidR="00AC67CD">
              <w:rPr>
                <w:szCs w:val="24"/>
                <w:lang w:val="lv-LV"/>
              </w:rPr>
              <w:t xml:space="preserve">. </w:t>
            </w:r>
          </w:p>
          <w:p w:rsidR="00AC67CD" w:rsidRPr="00C071BE" w:rsidRDefault="00AC67CD" w:rsidP="00AC67CD">
            <w:pPr>
              <w:ind w:firstLine="425"/>
              <w:jc w:val="both"/>
              <w:rPr>
                <w:szCs w:val="24"/>
                <w:lang w:val="lv-LV"/>
              </w:rPr>
            </w:pPr>
            <w:r>
              <w:rPr>
                <w:szCs w:val="24"/>
                <w:lang w:val="lv-LV"/>
              </w:rPr>
              <w:t xml:space="preserve">Atklāta konkursa </w:t>
            </w:r>
            <w:r w:rsidR="009B6C96" w:rsidRPr="00C071BE">
              <w:rPr>
                <w:szCs w:val="24"/>
                <w:lang w:val="lv-LV"/>
              </w:rPr>
              <w:t xml:space="preserve">atbalsta saņēmēji, kuri vienlaicīgi ir saņēmuši vai plāno saņemt atbalstu riska kapitāla ieguldījumu veidā </w:t>
            </w:r>
            <w:r>
              <w:rPr>
                <w:szCs w:val="24"/>
                <w:lang w:val="lv-LV"/>
              </w:rPr>
              <w:t>atklāta konkursa</w:t>
            </w:r>
            <w:r w:rsidR="009B6C96" w:rsidRPr="00C071BE">
              <w:rPr>
                <w:szCs w:val="24"/>
                <w:lang w:val="lv-LV"/>
              </w:rPr>
              <w:t xml:space="preserve"> līdzfinansējuma summu samazina par 20%, piemērojot šo nosacījumu trīs gadus no riska kapitāla piešķiršanas. </w:t>
            </w:r>
          </w:p>
          <w:p w:rsidR="008A073C" w:rsidRDefault="00AC67CD" w:rsidP="00AC67CD">
            <w:pPr>
              <w:ind w:firstLine="425"/>
              <w:jc w:val="both"/>
              <w:rPr>
                <w:szCs w:val="24"/>
                <w:lang w:val="lv-LV"/>
              </w:rPr>
            </w:pPr>
            <w:r>
              <w:rPr>
                <w:szCs w:val="24"/>
                <w:lang w:val="lv-LV"/>
              </w:rPr>
              <w:t>D</w:t>
            </w:r>
            <w:r w:rsidR="009B6C96" w:rsidRPr="00C071BE">
              <w:rPr>
                <w:szCs w:val="24"/>
                <w:lang w:val="lv-LV"/>
              </w:rPr>
              <w:t>emarkācija</w:t>
            </w:r>
            <w:r>
              <w:rPr>
                <w:szCs w:val="24"/>
                <w:lang w:val="lv-LV"/>
              </w:rPr>
              <w:t xml:space="preserve"> ar Eiropas Savienības struktūrfondu atbalstu, kas tiek piešķirts grantu veidā</w:t>
            </w:r>
            <w:r w:rsidR="009B6C96" w:rsidRPr="00C071BE">
              <w:rPr>
                <w:szCs w:val="24"/>
                <w:lang w:val="lv-LV"/>
              </w:rPr>
              <w:t xml:space="preserve"> tiks nodrošināta, iegūstot informāciju par </w:t>
            </w:r>
            <w:r>
              <w:rPr>
                <w:szCs w:val="24"/>
                <w:lang w:val="lv-LV"/>
              </w:rPr>
              <w:t>atklāta konkursa</w:t>
            </w:r>
            <w:r w:rsidR="009B6C96" w:rsidRPr="00C071BE">
              <w:rPr>
                <w:szCs w:val="24"/>
                <w:lang w:val="lv-LV"/>
              </w:rPr>
              <w:t xml:space="preserve"> līdzfinansējuma saņēmējiem un salīdzinot to ar informāciju par komersanta saņemto atbalstu citās </w:t>
            </w:r>
            <w:r>
              <w:rPr>
                <w:szCs w:val="24"/>
                <w:lang w:val="lv-LV"/>
              </w:rPr>
              <w:t xml:space="preserve">tiešās valsts pārvaldes iestādes </w:t>
            </w:r>
            <w:r w:rsidR="009B6C96" w:rsidRPr="00C071BE">
              <w:rPr>
                <w:szCs w:val="24"/>
                <w:lang w:val="lv-LV"/>
              </w:rPr>
              <w:t>L</w:t>
            </w:r>
            <w:r>
              <w:rPr>
                <w:szCs w:val="24"/>
                <w:lang w:val="lv-LV"/>
              </w:rPr>
              <w:t xml:space="preserve">atvijas </w:t>
            </w:r>
            <w:r w:rsidR="009B6C96" w:rsidRPr="00C071BE">
              <w:rPr>
                <w:szCs w:val="24"/>
                <w:lang w:val="lv-LV"/>
              </w:rPr>
              <w:t>I</w:t>
            </w:r>
            <w:r>
              <w:rPr>
                <w:szCs w:val="24"/>
                <w:lang w:val="lv-LV"/>
              </w:rPr>
              <w:t>nvestīciju un attīstības aģentūras (turpmāk- LIAA) a</w:t>
            </w:r>
            <w:r w:rsidR="009B6C96" w:rsidRPr="00C071BE">
              <w:rPr>
                <w:szCs w:val="24"/>
                <w:lang w:val="lv-LV"/>
              </w:rPr>
              <w:t xml:space="preserve">dministrētajās valsts atbalsta programmās. </w:t>
            </w:r>
            <w:r>
              <w:rPr>
                <w:szCs w:val="24"/>
                <w:lang w:val="lv-LV"/>
              </w:rPr>
              <w:t>Atklāta konkursa projektu</w:t>
            </w:r>
            <w:r w:rsidR="00FF4420" w:rsidRPr="00C071BE">
              <w:rPr>
                <w:szCs w:val="24"/>
                <w:lang w:val="lv-LV"/>
              </w:rPr>
              <w:t xml:space="preserve"> īstenošanā savstarpējai datu salīdzināšanai par projektu attiecinām</w:t>
            </w:r>
            <w:r w:rsidR="005406A5" w:rsidRPr="00C071BE">
              <w:rPr>
                <w:szCs w:val="24"/>
                <w:lang w:val="lv-LV"/>
              </w:rPr>
              <w:t>a</w:t>
            </w:r>
            <w:r w:rsidR="00FF4420" w:rsidRPr="00C071BE">
              <w:rPr>
                <w:szCs w:val="24"/>
                <w:lang w:val="lv-LV"/>
              </w:rPr>
              <w:t xml:space="preserve">jām izmaksām tiks izmantota Eiropas Savienības struktūrfondu un Kohēzijas fonda vadības informācijas sistēma. </w:t>
            </w:r>
            <w:r w:rsidR="009B6C96" w:rsidRPr="00C071BE">
              <w:rPr>
                <w:szCs w:val="24"/>
                <w:lang w:val="lv-LV"/>
              </w:rPr>
              <w:t xml:space="preserve"> </w:t>
            </w:r>
          </w:p>
          <w:p w:rsidR="00D84C4A" w:rsidRPr="00C071BE" w:rsidRDefault="00D84C4A" w:rsidP="00AC67CD">
            <w:pPr>
              <w:ind w:firstLine="425"/>
              <w:jc w:val="both"/>
              <w:rPr>
                <w:szCs w:val="24"/>
                <w:lang w:val="lv-LV"/>
              </w:rPr>
            </w:pPr>
            <w:r w:rsidRPr="00D84C4A">
              <w:rPr>
                <w:szCs w:val="24"/>
                <w:lang w:val="lv-LV"/>
              </w:rPr>
              <w:t xml:space="preserve">Sakarā ar to, ka maksājumi programmas ietvaros tiks veikti tikai 2014.gadā pēc </w:t>
            </w:r>
            <w:proofErr w:type="spellStart"/>
            <w:r w:rsidRPr="00D84C4A">
              <w:rPr>
                <w:i/>
                <w:szCs w:val="24"/>
                <w:lang w:val="lv-LV"/>
              </w:rPr>
              <w:t>euro</w:t>
            </w:r>
            <w:proofErr w:type="spellEnd"/>
            <w:r w:rsidRPr="00D84C4A">
              <w:rPr>
                <w:szCs w:val="24"/>
                <w:lang w:val="lv-LV"/>
              </w:rPr>
              <w:t xml:space="preserve"> ieviešanas, attiecīgais regulējums </w:t>
            </w:r>
            <w:r>
              <w:rPr>
                <w:szCs w:val="24"/>
                <w:lang w:val="lv-LV"/>
              </w:rPr>
              <w:t xml:space="preserve">par maksājumiem atklāta konkursa līdzfinansējuma saņēmējiem </w:t>
            </w:r>
            <w:r w:rsidRPr="00D84C4A">
              <w:rPr>
                <w:szCs w:val="24"/>
                <w:lang w:val="lv-LV"/>
              </w:rPr>
              <w:t>tiks piemērots ar 2014.gadu.</w:t>
            </w:r>
          </w:p>
        </w:tc>
      </w:tr>
      <w:tr w:rsidR="00457DC2" w:rsidRPr="006A7C4E" w:rsidTr="00D86E11">
        <w:trPr>
          <w:trHeight w:val="476"/>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5.</w:t>
            </w:r>
          </w:p>
        </w:tc>
        <w:tc>
          <w:tcPr>
            <w:tcW w:w="27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Projekta izstrādē iesaistītās institūcijas</w:t>
            </w:r>
          </w:p>
        </w:tc>
        <w:tc>
          <w:tcPr>
            <w:tcW w:w="5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C071BE" w:rsidRDefault="007E4FD3" w:rsidP="003D015B">
            <w:pPr>
              <w:ind w:firstLine="284"/>
              <w:jc w:val="both"/>
              <w:rPr>
                <w:szCs w:val="24"/>
                <w:lang w:val="lv-LV"/>
              </w:rPr>
            </w:pPr>
            <w:r w:rsidRPr="00C071BE">
              <w:rPr>
                <w:szCs w:val="24"/>
                <w:lang w:val="lv-LV"/>
              </w:rPr>
              <w:t>Ministru kabineta noteikumu projekts</w:t>
            </w:r>
            <w:r w:rsidR="00E42EB2" w:rsidRPr="00C071BE">
              <w:rPr>
                <w:szCs w:val="24"/>
                <w:lang w:val="lv-LV"/>
              </w:rPr>
              <w:t xml:space="preserve"> izstrādāts ciešā partnerībā ar </w:t>
            </w:r>
            <w:r w:rsidR="00C562FC" w:rsidRPr="00C071BE">
              <w:rPr>
                <w:szCs w:val="24"/>
                <w:lang w:val="lv-LV"/>
              </w:rPr>
              <w:t>donorvalsts programmas partneri</w:t>
            </w:r>
            <w:r w:rsidR="003D015B">
              <w:rPr>
                <w:szCs w:val="24"/>
                <w:lang w:val="lv-LV"/>
              </w:rPr>
              <w:t xml:space="preserve"> Norvēģijas Inovāciju aģentūru </w:t>
            </w:r>
            <w:r w:rsidR="00E42EB2" w:rsidRPr="00C071BE">
              <w:rPr>
                <w:szCs w:val="24"/>
                <w:lang w:val="lv-LV"/>
              </w:rPr>
              <w:t xml:space="preserve">un LIAA. </w:t>
            </w:r>
          </w:p>
        </w:tc>
      </w:tr>
      <w:tr w:rsidR="00457DC2" w:rsidRPr="006A7C4E" w:rsidTr="00D86E11">
        <w:trPr>
          <w:trHeight w:val="1340"/>
        </w:trPr>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6.</w:t>
            </w:r>
          </w:p>
        </w:tc>
        <w:tc>
          <w:tcPr>
            <w:tcW w:w="27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Iemesli, kādēļ netika nodrošināta sabiedrības līdzdalība</w:t>
            </w:r>
          </w:p>
        </w:tc>
        <w:tc>
          <w:tcPr>
            <w:tcW w:w="5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E42EB2" w:rsidP="00AC67CD">
            <w:pPr>
              <w:spacing w:after="120"/>
              <w:ind w:firstLine="425"/>
              <w:jc w:val="both"/>
              <w:rPr>
                <w:szCs w:val="24"/>
                <w:lang w:val="lv-LV"/>
              </w:rPr>
            </w:pPr>
            <w:r w:rsidRPr="00380DA5">
              <w:rPr>
                <w:szCs w:val="24"/>
                <w:lang w:val="lv-LV"/>
              </w:rPr>
              <w:t>Ekonomikas ministrijas</w:t>
            </w:r>
            <w:r w:rsidR="007E4FD3">
              <w:rPr>
                <w:szCs w:val="24"/>
                <w:lang w:val="lv-LV"/>
              </w:rPr>
              <w:t xml:space="preserve"> un Norvēģijas Karalistes  vēstniecības Latvijā kopīgi organizētā programmas uzsākšanas pasākumā 2012. gada 3. oktobrī Norvēģijas dienu Latvijā ietvaros plašāka sabiedrība tika informēta par </w:t>
            </w:r>
            <w:r w:rsidR="00AC67CD">
              <w:rPr>
                <w:szCs w:val="24"/>
                <w:lang w:val="lv-LV"/>
              </w:rPr>
              <w:t>P</w:t>
            </w:r>
            <w:r w:rsidR="007E4FD3">
              <w:rPr>
                <w:szCs w:val="24"/>
                <w:lang w:val="lv-LV"/>
              </w:rPr>
              <w:t xml:space="preserve">rogrammas plānoto Ministru kabineta noteikumu saturu. </w:t>
            </w:r>
          </w:p>
        </w:tc>
      </w:tr>
      <w:tr w:rsidR="00457DC2" w:rsidRPr="00380DA5" w:rsidTr="00D86E11">
        <w:tc>
          <w:tcPr>
            <w:tcW w:w="524"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7.</w:t>
            </w:r>
          </w:p>
        </w:tc>
        <w:tc>
          <w:tcPr>
            <w:tcW w:w="27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840"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 Nav.</w:t>
            </w:r>
          </w:p>
        </w:tc>
      </w:tr>
    </w:tbl>
    <w:p w:rsidR="00457DC2" w:rsidRPr="00380DA5" w:rsidRDefault="00457DC2">
      <w:pPr>
        <w:spacing w:after="60"/>
        <w:ind w:firstLine="374"/>
        <w:rPr>
          <w:szCs w:val="24"/>
          <w:lang w:val="lv-LV"/>
        </w:rPr>
      </w:pPr>
      <w:r w:rsidRPr="00380DA5">
        <w:rPr>
          <w:szCs w:val="24"/>
          <w:lang w:val="lv-LV"/>
        </w:rPr>
        <w:t> </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036"/>
        <w:gridCol w:w="5542"/>
      </w:tblGrid>
      <w:tr w:rsidR="00457DC2" w:rsidRPr="006A7C4E">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457DC2" w:rsidRPr="00380DA5" w:rsidRDefault="00457DC2">
            <w:pPr>
              <w:spacing w:before="150" w:after="150"/>
              <w:jc w:val="center"/>
              <w:rPr>
                <w:b/>
                <w:szCs w:val="24"/>
                <w:lang w:val="lv-LV"/>
              </w:rPr>
            </w:pPr>
            <w:r w:rsidRPr="00380DA5">
              <w:rPr>
                <w:b/>
                <w:szCs w:val="24"/>
                <w:lang w:val="lv-LV"/>
              </w:rPr>
              <w:t>II. Tiesību akta projekta ietekme uz sabiedrību</w:t>
            </w:r>
          </w:p>
        </w:tc>
      </w:tr>
      <w:tr w:rsidR="00457DC2" w:rsidRPr="00380DA5" w:rsidTr="009E4EDD">
        <w:trPr>
          <w:trHeight w:val="46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1.</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xml:space="preserve">Sabiedrības </w:t>
            </w:r>
            <w:proofErr w:type="spellStart"/>
            <w:r w:rsidRPr="00380DA5">
              <w:rPr>
                <w:szCs w:val="24"/>
                <w:lang w:val="lv-LV"/>
              </w:rPr>
              <w:t>mērķgrupa</w:t>
            </w:r>
            <w:proofErr w:type="spellEnd"/>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AC67CD" w:rsidP="00AC67CD">
            <w:pPr>
              <w:ind w:firstLine="425"/>
              <w:jc w:val="both"/>
              <w:rPr>
                <w:szCs w:val="24"/>
                <w:lang w:val="lv-LV"/>
              </w:rPr>
            </w:pPr>
            <w:r>
              <w:rPr>
                <w:szCs w:val="24"/>
                <w:lang w:val="lv-LV"/>
              </w:rPr>
              <w:t>Komersanti</w:t>
            </w:r>
            <w:r w:rsidR="0081599F" w:rsidRPr="00380DA5">
              <w:rPr>
                <w:szCs w:val="24"/>
                <w:lang w:val="lv-LV"/>
              </w:rPr>
              <w:t xml:space="preserve">. </w:t>
            </w:r>
          </w:p>
        </w:tc>
      </w:tr>
      <w:tr w:rsidR="00457DC2" w:rsidRPr="00380DA5" w:rsidTr="009E4EDD">
        <w:trPr>
          <w:trHeight w:val="523"/>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xml:space="preserve">Citas sabiedrības grupas (bez </w:t>
            </w:r>
            <w:proofErr w:type="spellStart"/>
            <w:r w:rsidRPr="00380DA5">
              <w:rPr>
                <w:szCs w:val="24"/>
                <w:lang w:val="lv-LV"/>
              </w:rPr>
              <w:t>mērķgrupas</w:t>
            </w:r>
            <w:proofErr w:type="spellEnd"/>
            <w:r w:rsidRPr="00380DA5">
              <w:rPr>
                <w:szCs w:val="24"/>
                <w:lang w:val="lv-LV"/>
              </w:rPr>
              <w:t>), kuras tiesiskais regulējums arī ietekmē vai varētu ietekmēt</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jc w:val="both"/>
              <w:rPr>
                <w:szCs w:val="24"/>
                <w:lang w:val="lv-LV"/>
              </w:rPr>
            </w:pPr>
            <w:r w:rsidRPr="00380DA5">
              <w:rPr>
                <w:szCs w:val="24"/>
                <w:lang w:val="lv-LV"/>
              </w:rPr>
              <w:t>Projekts šo jomu neskar.</w:t>
            </w:r>
          </w:p>
        </w:tc>
      </w:tr>
      <w:tr w:rsidR="00457DC2" w:rsidRPr="006A7C4E" w:rsidTr="009E4EDD">
        <w:trPr>
          <w:trHeight w:val="51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3.</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Tiesiskā regulējuma finansiālā ietekme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10696E" w:rsidRPr="00380DA5" w:rsidRDefault="00582354" w:rsidP="00BA769B">
            <w:pPr>
              <w:spacing w:before="75" w:after="75"/>
              <w:ind w:firstLine="425"/>
              <w:jc w:val="both"/>
              <w:rPr>
                <w:szCs w:val="24"/>
                <w:lang w:val="lv-LV"/>
              </w:rPr>
            </w:pPr>
            <w:r w:rsidRPr="00582354">
              <w:rPr>
                <w:szCs w:val="24"/>
                <w:lang w:val="lv-LV"/>
              </w:rPr>
              <w:t>Atklāta konkursa ietvaros kopējais pieejamais finansējums ir EUR 7 769 1</w:t>
            </w:r>
            <w:r w:rsidR="00BA769B">
              <w:rPr>
                <w:szCs w:val="24"/>
                <w:lang w:val="lv-LV"/>
              </w:rPr>
              <w:t>0</w:t>
            </w:r>
            <w:r w:rsidRPr="00582354">
              <w:rPr>
                <w:szCs w:val="24"/>
                <w:lang w:val="lv-LV"/>
              </w:rPr>
              <w:t>7 ekvivalents latos, no kuriem EUR 6 992 196 ekvivalents latos ir Norvēģijas finanšu instrumenta līdzekļi, bet EUR 776 911 ekvivalents latos ir valsts budžeta līdzekļi.</w:t>
            </w:r>
          </w:p>
        </w:tc>
      </w:tr>
      <w:tr w:rsidR="00457DC2" w:rsidRPr="006A7C4E" w:rsidTr="009E4EDD">
        <w:trPr>
          <w:trHeight w:val="51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4.</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Tiesiskā regulējuma nefinansiālā ietekme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9E1111" w:rsidP="00582354">
            <w:pPr>
              <w:spacing w:before="75" w:after="75"/>
              <w:ind w:firstLine="425"/>
              <w:jc w:val="both"/>
              <w:rPr>
                <w:szCs w:val="24"/>
                <w:lang w:val="lv-LV"/>
              </w:rPr>
            </w:pPr>
            <w:r w:rsidRPr="00380DA5">
              <w:rPr>
                <w:szCs w:val="24"/>
                <w:lang w:val="lv-LV"/>
              </w:rPr>
              <w:t xml:space="preserve">Īstenojot </w:t>
            </w:r>
            <w:r w:rsidR="00582354">
              <w:rPr>
                <w:szCs w:val="24"/>
                <w:lang w:val="lv-LV"/>
              </w:rPr>
              <w:t>atklātu konkursu</w:t>
            </w:r>
            <w:r w:rsidRPr="00380DA5">
              <w:rPr>
                <w:szCs w:val="24"/>
                <w:lang w:val="lv-LV"/>
              </w:rPr>
              <w:t xml:space="preserve"> ir sagaidāms, ka tiks </w:t>
            </w:r>
            <w:r w:rsidR="00302A6A">
              <w:rPr>
                <w:szCs w:val="24"/>
                <w:lang w:val="lv-LV"/>
              </w:rPr>
              <w:t xml:space="preserve">ieviesti ražošanā </w:t>
            </w:r>
            <w:r w:rsidRPr="00380DA5">
              <w:rPr>
                <w:szCs w:val="24"/>
                <w:lang w:val="lv-LV"/>
              </w:rPr>
              <w:t>inovatīv</w:t>
            </w:r>
            <w:r w:rsidR="00581ADC">
              <w:rPr>
                <w:szCs w:val="24"/>
                <w:lang w:val="lv-LV"/>
              </w:rPr>
              <w:t>i</w:t>
            </w:r>
            <w:r w:rsidRPr="00380DA5">
              <w:rPr>
                <w:szCs w:val="24"/>
                <w:lang w:val="lv-LV"/>
              </w:rPr>
              <w:t xml:space="preserve"> produkti un izstrādātas inovatīvas tehnoloģijas, kas sekmētu videi draudzīgākas, zināšanu ietilpīgas </w:t>
            </w:r>
            <w:r w:rsidR="006C08FC">
              <w:rPr>
                <w:szCs w:val="24"/>
                <w:lang w:val="lv-LV"/>
              </w:rPr>
              <w:t>ražošanas</w:t>
            </w:r>
            <w:r w:rsidRPr="00380DA5">
              <w:rPr>
                <w:szCs w:val="24"/>
                <w:lang w:val="lv-LV"/>
              </w:rPr>
              <w:t xml:space="preserve"> attīstību, kā rezultātā būtu iespējams efektīvāk izmantot esošos dabas un enerģijas resursus un mazināt vides piesārņojumu.</w:t>
            </w:r>
            <w:r w:rsidR="006C08FC">
              <w:rPr>
                <w:szCs w:val="24"/>
                <w:lang w:val="lv-LV"/>
              </w:rPr>
              <w:t xml:space="preserve"> Papildus ir sagaidāms, ka </w:t>
            </w:r>
            <w:r w:rsidR="00302A6A">
              <w:rPr>
                <w:szCs w:val="24"/>
                <w:lang w:val="lv-LV"/>
              </w:rPr>
              <w:t>atklāta konkursa</w:t>
            </w:r>
            <w:r w:rsidR="006C08FC">
              <w:rPr>
                <w:szCs w:val="24"/>
                <w:lang w:val="lv-LV"/>
              </w:rPr>
              <w:t xml:space="preserve"> īstenošana veicinās </w:t>
            </w:r>
            <w:r w:rsidR="00581ADC" w:rsidRPr="00A73125">
              <w:rPr>
                <w:lang w:val="lv-LV"/>
              </w:rPr>
              <w:t>jaunu „zaļo” darba vietu radīšanu un esošo saglabāšanu un veido</w:t>
            </w:r>
            <w:r w:rsidR="00581ADC">
              <w:rPr>
                <w:lang w:val="lv-LV"/>
              </w:rPr>
              <w:t>s</w:t>
            </w:r>
            <w:r w:rsidR="00581ADC" w:rsidRPr="00A73125">
              <w:rPr>
                <w:lang w:val="lv-LV"/>
              </w:rPr>
              <w:t xml:space="preserve"> pamatu stabilai un ilgtspējīgai „zaļo” nozaru attīstībai Latvijā.</w:t>
            </w:r>
            <w:r w:rsidR="006C08FC">
              <w:rPr>
                <w:szCs w:val="24"/>
                <w:lang w:val="lv-LV"/>
              </w:rPr>
              <w:t xml:space="preserve"> </w:t>
            </w:r>
          </w:p>
        </w:tc>
      </w:tr>
      <w:tr w:rsidR="00457DC2" w:rsidRPr="006A7C4E" w:rsidTr="009E4EDD">
        <w:trPr>
          <w:trHeight w:val="531"/>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5.</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Administratīvās procedūras raksturojums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FD716E" w:rsidRPr="00C071BE" w:rsidRDefault="005C4371" w:rsidP="00A209C3">
            <w:pPr>
              <w:ind w:firstLine="425"/>
              <w:jc w:val="both"/>
              <w:rPr>
                <w:szCs w:val="24"/>
                <w:lang w:val="lv-LV"/>
              </w:rPr>
            </w:pPr>
            <w:r w:rsidRPr="00C071BE">
              <w:rPr>
                <w:szCs w:val="24"/>
                <w:lang w:val="lv-LV"/>
              </w:rPr>
              <w:t>Normatīv</w:t>
            </w:r>
            <w:r w:rsidR="00EF6596">
              <w:rPr>
                <w:szCs w:val="24"/>
                <w:lang w:val="lv-LV"/>
              </w:rPr>
              <w:t>ajā</w:t>
            </w:r>
            <w:r w:rsidRPr="00C071BE">
              <w:rPr>
                <w:szCs w:val="24"/>
                <w:lang w:val="lv-LV"/>
              </w:rPr>
              <w:t xml:space="preserve"> akt</w:t>
            </w:r>
            <w:r w:rsidR="00EF6596">
              <w:rPr>
                <w:szCs w:val="24"/>
                <w:lang w:val="lv-LV"/>
              </w:rPr>
              <w:t>ā</w:t>
            </w:r>
            <w:r w:rsidRPr="00C071BE">
              <w:rPr>
                <w:szCs w:val="24"/>
                <w:lang w:val="lv-LV"/>
              </w:rPr>
              <w:t xml:space="preserve"> </w:t>
            </w:r>
            <w:r w:rsidR="00EF6596">
              <w:rPr>
                <w:szCs w:val="24"/>
                <w:lang w:val="lv-LV"/>
              </w:rPr>
              <w:t xml:space="preserve">ir </w:t>
            </w:r>
            <w:r w:rsidR="00A209C3" w:rsidRPr="00C071BE">
              <w:rPr>
                <w:szCs w:val="24"/>
                <w:lang w:val="lv-LV"/>
              </w:rPr>
              <w:t xml:space="preserve">noteikts, ka </w:t>
            </w:r>
            <w:r w:rsidR="00EF6596">
              <w:rPr>
                <w:szCs w:val="24"/>
                <w:lang w:val="lv-LV"/>
              </w:rPr>
              <w:t xml:space="preserve">atklāta konkursa </w:t>
            </w:r>
            <w:r w:rsidR="00A209C3" w:rsidRPr="00C071BE">
              <w:rPr>
                <w:szCs w:val="24"/>
                <w:lang w:val="lv-LV"/>
              </w:rPr>
              <w:t xml:space="preserve">projekta iesniegumu var iesniegt  </w:t>
            </w:r>
            <w:r w:rsidR="00FD716E" w:rsidRPr="00C071BE">
              <w:rPr>
                <w:szCs w:val="24"/>
                <w:lang w:val="lv-LV"/>
              </w:rPr>
              <w:t>vienā no šādiem dokumentu iesniegšanas veidiem:</w:t>
            </w:r>
          </w:p>
          <w:p w:rsidR="00381DF2" w:rsidRPr="00C071BE" w:rsidRDefault="00A209C3" w:rsidP="00FD716E">
            <w:pPr>
              <w:numPr>
                <w:ilvl w:val="0"/>
                <w:numId w:val="1"/>
              </w:numPr>
              <w:jc w:val="both"/>
              <w:rPr>
                <w:szCs w:val="24"/>
                <w:lang w:val="lv-LV"/>
              </w:rPr>
            </w:pPr>
            <w:r w:rsidRPr="00C071BE">
              <w:rPr>
                <w:szCs w:val="24"/>
                <w:lang w:val="lv-LV"/>
              </w:rPr>
              <w:t>papīra formā</w:t>
            </w:r>
            <w:r w:rsidR="00FD716E" w:rsidRPr="00C071BE">
              <w:rPr>
                <w:szCs w:val="24"/>
                <w:lang w:val="lv-LV"/>
              </w:rPr>
              <w:t xml:space="preserve">, iesniedzot LIAA personīgi vai nosūtot pa pastu uz </w:t>
            </w:r>
            <w:r w:rsidR="00381DF2" w:rsidRPr="00C071BE">
              <w:rPr>
                <w:szCs w:val="24"/>
                <w:lang w:val="lv-LV"/>
              </w:rPr>
              <w:t>LIAA</w:t>
            </w:r>
            <w:r w:rsidR="00FD716E" w:rsidRPr="00C071BE">
              <w:rPr>
                <w:szCs w:val="24"/>
                <w:lang w:val="lv-LV"/>
              </w:rPr>
              <w:t xml:space="preserve"> pasta adresi. Ja projekta iesnieguma iesniedzējs izvēlas šo dokumentu iesniegšanas veidu, tas </w:t>
            </w:r>
            <w:r w:rsidR="00381DF2" w:rsidRPr="00C071BE">
              <w:rPr>
                <w:szCs w:val="24"/>
                <w:lang w:val="lv-LV"/>
              </w:rPr>
              <w:t>aizpildītu projekta iesnieguma veidlapu un biznesa plānu</w:t>
            </w:r>
            <w:r w:rsidR="00FD716E" w:rsidRPr="00C071BE">
              <w:rPr>
                <w:szCs w:val="24"/>
                <w:lang w:val="lv-LV"/>
              </w:rPr>
              <w:t xml:space="preserve"> </w:t>
            </w:r>
            <w:r w:rsidR="00381DF2" w:rsidRPr="00C071BE">
              <w:rPr>
                <w:szCs w:val="24"/>
                <w:lang w:val="lv-LV"/>
              </w:rPr>
              <w:t xml:space="preserve">DOC, XLS vai PDF datņu formātā iesniedz arī elektroniskā formā, bez elektroniskā paraksta nosūtot tos uz </w:t>
            </w:r>
            <w:r w:rsidRPr="00C071BE">
              <w:rPr>
                <w:szCs w:val="24"/>
                <w:lang w:val="lv-LV"/>
              </w:rPr>
              <w:t xml:space="preserve"> </w:t>
            </w:r>
            <w:r w:rsidR="00381DF2" w:rsidRPr="00C071BE">
              <w:rPr>
                <w:szCs w:val="24"/>
                <w:lang w:val="lv-LV"/>
              </w:rPr>
              <w:t>LIAA oficiālo elektroniskā pasta adresi vai izmantojot citus elektronisko dokumentu apritei izmantojamos datu nesējus;</w:t>
            </w:r>
          </w:p>
          <w:p w:rsidR="006D01C3" w:rsidRDefault="00A209C3" w:rsidP="00FD716E">
            <w:pPr>
              <w:numPr>
                <w:ilvl w:val="0"/>
                <w:numId w:val="1"/>
              </w:numPr>
              <w:jc w:val="both"/>
              <w:rPr>
                <w:szCs w:val="24"/>
                <w:lang w:val="lv-LV"/>
              </w:rPr>
            </w:pPr>
            <w:r w:rsidRPr="00C071BE">
              <w:rPr>
                <w:szCs w:val="24"/>
                <w:lang w:val="lv-LV"/>
              </w:rPr>
              <w:lastRenderedPageBreak/>
              <w:t>elektronisk</w:t>
            </w:r>
            <w:r w:rsidR="00381DF2" w:rsidRPr="00C071BE">
              <w:rPr>
                <w:szCs w:val="24"/>
                <w:lang w:val="lv-LV"/>
              </w:rPr>
              <w:t>ā</w:t>
            </w:r>
            <w:r w:rsidRPr="00C071BE">
              <w:rPr>
                <w:szCs w:val="24"/>
                <w:lang w:val="lv-LV"/>
              </w:rPr>
              <w:t xml:space="preserve"> formā, </w:t>
            </w:r>
            <w:r w:rsidR="00381DF2" w:rsidRPr="00C071BE">
              <w:rPr>
                <w:szCs w:val="24"/>
                <w:lang w:val="lv-LV"/>
              </w:rPr>
              <w:t xml:space="preserve">ja tas ir noformēts atbilstoši </w:t>
            </w:r>
            <w:r w:rsidR="00192EF1" w:rsidRPr="00C071BE">
              <w:rPr>
                <w:szCs w:val="24"/>
                <w:lang w:val="lv-LV"/>
              </w:rPr>
              <w:t>e</w:t>
            </w:r>
            <w:r w:rsidR="006D01C3" w:rsidRPr="00C071BE">
              <w:rPr>
                <w:szCs w:val="24"/>
                <w:lang w:val="lv-LV"/>
              </w:rPr>
              <w:t xml:space="preserve">-dokumentu noformēšanas prasībām un parakstīts normatīvajos aktos noteiktajā kārtībā, nosūtot </w:t>
            </w:r>
            <w:r w:rsidRPr="00C071BE">
              <w:rPr>
                <w:szCs w:val="24"/>
                <w:lang w:val="lv-LV"/>
              </w:rPr>
              <w:t xml:space="preserve">uz </w:t>
            </w:r>
            <w:r w:rsidR="006D01C3" w:rsidRPr="00C071BE">
              <w:rPr>
                <w:szCs w:val="24"/>
                <w:lang w:val="lv-LV"/>
              </w:rPr>
              <w:t>LIAA</w:t>
            </w:r>
            <w:r w:rsidR="00FD716E" w:rsidRPr="00C071BE">
              <w:rPr>
                <w:szCs w:val="24"/>
                <w:lang w:val="lv-LV"/>
              </w:rPr>
              <w:t xml:space="preserve"> </w:t>
            </w:r>
            <w:r w:rsidR="006D01C3" w:rsidRPr="00C071BE">
              <w:rPr>
                <w:szCs w:val="24"/>
                <w:lang w:val="lv-LV"/>
              </w:rPr>
              <w:t xml:space="preserve">elektroniskā pasta adresi, kas norādīta sludinājumā par </w:t>
            </w:r>
            <w:r w:rsidR="00EF6596">
              <w:rPr>
                <w:szCs w:val="24"/>
                <w:lang w:val="lv-LV"/>
              </w:rPr>
              <w:t>atklāta konkursa</w:t>
            </w:r>
            <w:r w:rsidR="006D01C3" w:rsidRPr="00C071BE">
              <w:rPr>
                <w:szCs w:val="24"/>
                <w:lang w:val="lv-LV"/>
              </w:rPr>
              <w:t xml:space="preserve"> projektu iesniegumu atlases uzsākšanu.</w:t>
            </w:r>
          </w:p>
          <w:p w:rsidR="0065502F" w:rsidRPr="0065502F" w:rsidRDefault="0065502F" w:rsidP="0065502F">
            <w:pPr>
              <w:ind w:firstLine="425"/>
              <w:jc w:val="both"/>
              <w:rPr>
                <w:szCs w:val="24"/>
                <w:lang w:val="lv-LV"/>
              </w:rPr>
            </w:pPr>
            <w:r w:rsidRPr="0065502F">
              <w:rPr>
                <w:szCs w:val="24"/>
                <w:lang w:val="lv-LV"/>
              </w:rPr>
              <w:t>Elektroniska dokumenta iesniegšana ātrākai vērtēšanas procesa nodrošināšanai ir privātpersonas interesēs.</w:t>
            </w:r>
          </w:p>
          <w:p w:rsidR="00A209C3" w:rsidRPr="00C071BE" w:rsidRDefault="00A209C3" w:rsidP="00A209C3">
            <w:pPr>
              <w:ind w:firstLine="425"/>
              <w:jc w:val="both"/>
              <w:rPr>
                <w:szCs w:val="24"/>
                <w:lang w:val="lv-LV"/>
              </w:rPr>
            </w:pPr>
            <w:r w:rsidRPr="00C071BE">
              <w:rPr>
                <w:szCs w:val="24"/>
                <w:lang w:val="lv-LV"/>
              </w:rPr>
              <w:t xml:space="preserve">Veicot </w:t>
            </w:r>
            <w:r w:rsidR="00EF6596">
              <w:rPr>
                <w:szCs w:val="24"/>
                <w:lang w:val="lv-LV"/>
              </w:rPr>
              <w:t xml:space="preserve">atklāta konkursa </w:t>
            </w:r>
            <w:r w:rsidRPr="00C071BE">
              <w:rPr>
                <w:szCs w:val="24"/>
                <w:lang w:val="lv-LV"/>
              </w:rPr>
              <w:t xml:space="preserve">projekta iesnieguma vērtēšanu, </w:t>
            </w:r>
            <w:r w:rsidR="00632F16" w:rsidRPr="00C071BE">
              <w:rPr>
                <w:szCs w:val="24"/>
                <w:lang w:val="lv-LV"/>
              </w:rPr>
              <w:t>LIAA</w:t>
            </w:r>
            <w:r w:rsidRPr="00C071BE">
              <w:rPr>
                <w:szCs w:val="24"/>
                <w:lang w:val="lv-LV"/>
              </w:rPr>
              <w:t xml:space="preserve"> pieprasa informāciju Valsts ieņēmumu dienestam par projekta iesniedzēju nodokļu parādu vai valsts sociālās apdrošināšanas obligāto iemaksu parādu</w:t>
            </w:r>
            <w:r w:rsidR="003D015B">
              <w:rPr>
                <w:szCs w:val="24"/>
                <w:lang w:val="lv-LV"/>
              </w:rPr>
              <w:t>, kas pārsniedz noteiktu slieksni,</w:t>
            </w:r>
            <w:r w:rsidRPr="00C071BE">
              <w:rPr>
                <w:szCs w:val="24"/>
                <w:lang w:val="lv-LV"/>
              </w:rPr>
              <w:t xml:space="preserve"> neesamību. </w:t>
            </w:r>
          </w:p>
          <w:p w:rsidR="00457DC2" w:rsidRPr="00380DA5" w:rsidRDefault="005C4371" w:rsidP="003D015B">
            <w:pPr>
              <w:ind w:firstLine="425"/>
              <w:jc w:val="both"/>
              <w:rPr>
                <w:szCs w:val="24"/>
                <w:lang w:val="lv-LV"/>
              </w:rPr>
            </w:pPr>
            <w:r w:rsidRPr="00C071BE">
              <w:rPr>
                <w:szCs w:val="24"/>
                <w:lang w:val="lv-LV"/>
              </w:rPr>
              <w:t>Normatīvā akta projektā</w:t>
            </w:r>
            <w:r w:rsidR="00A209C3" w:rsidRPr="00C071BE">
              <w:rPr>
                <w:szCs w:val="24"/>
                <w:lang w:val="lv-LV"/>
              </w:rPr>
              <w:t xml:space="preserve"> noteikta arī vispārīga kārtība, kādā </w:t>
            </w:r>
            <w:r w:rsidR="00EF6596">
              <w:rPr>
                <w:szCs w:val="24"/>
                <w:lang w:val="lv-LV"/>
              </w:rPr>
              <w:t xml:space="preserve">atklāta konkursa </w:t>
            </w:r>
            <w:r w:rsidR="00A209C3" w:rsidRPr="00C071BE">
              <w:rPr>
                <w:szCs w:val="24"/>
                <w:lang w:val="lv-LV"/>
              </w:rPr>
              <w:t>projekta līdzfinansējuma saņēmējam tiek ieskaitīts avanss  un tiesības programmas apsaimniekotājam vai aģentūrai lemt par avansa atmaksu. Noteikt</w:t>
            </w:r>
            <w:r w:rsidR="00FD716E" w:rsidRPr="00C071BE">
              <w:rPr>
                <w:szCs w:val="24"/>
                <w:lang w:val="lv-LV"/>
              </w:rPr>
              <w:t>s</w:t>
            </w:r>
            <w:r w:rsidR="00A209C3" w:rsidRPr="00C071BE">
              <w:rPr>
                <w:szCs w:val="24"/>
                <w:lang w:val="lv-LV"/>
              </w:rPr>
              <w:t xml:space="preserve"> arī </w:t>
            </w:r>
            <w:r w:rsidR="00FD716E" w:rsidRPr="00C071BE">
              <w:rPr>
                <w:szCs w:val="24"/>
                <w:lang w:val="lv-LV"/>
              </w:rPr>
              <w:t>termiņš</w:t>
            </w:r>
            <w:r w:rsidR="00A209C3" w:rsidRPr="00C071BE">
              <w:rPr>
                <w:szCs w:val="24"/>
                <w:lang w:val="lv-LV"/>
              </w:rPr>
              <w:t xml:space="preserve"> </w:t>
            </w:r>
            <w:r w:rsidR="00EF6596">
              <w:rPr>
                <w:szCs w:val="24"/>
                <w:lang w:val="lv-LV"/>
              </w:rPr>
              <w:t>atklāta konkursa</w:t>
            </w:r>
            <w:r w:rsidR="00A209C3" w:rsidRPr="00C071BE">
              <w:rPr>
                <w:szCs w:val="24"/>
                <w:lang w:val="lv-LV"/>
              </w:rPr>
              <w:t xml:space="preserve"> projekta starpposma pārskatu un noslēguma pārskat</w:t>
            </w:r>
            <w:r w:rsidR="00EF6596">
              <w:rPr>
                <w:szCs w:val="24"/>
                <w:lang w:val="lv-LV"/>
              </w:rPr>
              <w:t>a</w:t>
            </w:r>
            <w:r w:rsidR="00A209C3" w:rsidRPr="00C071BE">
              <w:rPr>
                <w:szCs w:val="24"/>
                <w:lang w:val="lv-LV"/>
              </w:rPr>
              <w:t xml:space="preserve"> iesniegšanai. </w:t>
            </w:r>
          </w:p>
        </w:tc>
      </w:tr>
      <w:tr w:rsidR="00457DC2" w:rsidRPr="00380DA5" w:rsidTr="009E4EDD">
        <w:trPr>
          <w:trHeight w:val="357"/>
        </w:trPr>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6.</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Administratīvo izmaksu monetārs novērtējums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Projekts šo jomu neskar.</w:t>
            </w:r>
          </w:p>
        </w:tc>
      </w:tr>
      <w:tr w:rsidR="00457DC2" w:rsidRPr="00380DA5" w:rsidTr="009E4EDD">
        <w:tc>
          <w:tcPr>
            <w:tcW w:w="523"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7.</w:t>
            </w:r>
          </w:p>
        </w:tc>
        <w:tc>
          <w:tcPr>
            <w:tcW w:w="3036"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D73C9B">
            <w:pPr>
              <w:spacing w:before="75" w:after="75"/>
              <w:ind w:firstLine="425"/>
              <w:rPr>
                <w:szCs w:val="24"/>
                <w:lang w:val="lv-LV"/>
              </w:rPr>
            </w:pPr>
            <w:r w:rsidRPr="00380DA5">
              <w:rPr>
                <w:szCs w:val="24"/>
                <w:lang w:val="lv-LV"/>
              </w:rPr>
              <w:t> Nav.</w:t>
            </w:r>
          </w:p>
        </w:tc>
      </w:tr>
    </w:tbl>
    <w:p w:rsidR="00457DC2" w:rsidRPr="00380DA5" w:rsidRDefault="00457DC2">
      <w:pPr>
        <w:spacing w:after="60"/>
        <w:rPr>
          <w:szCs w:val="24"/>
          <w:lang w:val="lv-LV"/>
        </w:rPr>
      </w:pPr>
      <w:r w:rsidRPr="00380DA5">
        <w:rPr>
          <w:szCs w:val="24"/>
          <w:lang w:val="lv-LV"/>
        </w:rPr>
        <w:t> </w:t>
      </w:r>
    </w:p>
    <w:tbl>
      <w:tblPr>
        <w:tblW w:w="5041" w:type="pct"/>
        <w:tblInd w:w="-38"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000" w:firstRow="0" w:lastRow="0" w:firstColumn="0" w:lastColumn="0" w:noHBand="0" w:noVBand="0"/>
      </w:tblPr>
      <w:tblGrid>
        <w:gridCol w:w="2701"/>
        <w:gridCol w:w="1375"/>
        <w:gridCol w:w="1355"/>
        <w:gridCol w:w="1233"/>
        <w:gridCol w:w="1276"/>
        <w:gridCol w:w="1417"/>
      </w:tblGrid>
      <w:tr w:rsidR="00380DA5" w:rsidRPr="006A7C4E" w:rsidTr="007532BC">
        <w:trPr>
          <w:trHeight w:val="432"/>
        </w:trPr>
        <w:tc>
          <w:tcPr>
            <w:tcW w:w="5000" w:type="pct"/>
            <w:gridSpan w:val="6"/>
            <w:vAlign w:val="center"/>
          </w:tcPr>
          <w:p w:rsidR="00380DA5" w:rsidRPr="00380DA5" w:rsidRDefault="00380DA5" w:rsidP="007532BC">
            <w:pPr>
              <w:jc w:val="center"/>
              <w:rPr>
                <w:b/>
                <w:szCs w:val="24"/>
                <w:lang w:val="lv-LV"/>
              </w:rPr>
            </w:pPr>
            <w:r w:rsidRPr="00380DA5">
              <w:rPr>
                <w:b/>
                <w:szCs w:val="24"/>
                <w:lang w:val="lv-LV"/>
              </w:rPr>
              <w:br w:type="page"/>
              <w:t>III. Tiesību akta projekta ietekme uz valsts budžetu un pašvaldību budžetiem</w:t>
            </w: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jc w:val="center"/>
        </w:trPr>
        <w:tc>
          <w:tcPr>
            <w:tcW w:w="1443" w:type="pct"/>
            <w:vMerge w:val="restart"/>
            <w:vAlign w:val="center"/>
          </w:tcPr>
          <w:p w:rsidR="00380DA5" w:rsidRPr="00380DA5" w:rsidRDefault="00380DA5" w:rsidP="007532BC">
            <w:pPr>
              <w:pStyle w:val="naisf"/>
              <w:spacing w:before="0" w:after="0"/>
              <w:jc w:val="center"/>
              <w:rPr>
                <w:b/>
                <w:szCs w:val="24"/>
              </w:rPr>
            </w:pPr>
            <w:r w:rsidRPr="00380DA5">
              <w:rPr>
                <w:b/>
                <w:szCs w:val="24"/>
              </w:rPr>
              <w:t>Rādītāji</w:t>
            </w:r>
          </w:p>
        </w:tc>
        <w:tc>
          <w:tcPr>
            <w:tcW w:w="1459" w:type="pct"/>
            <w:gridSpan w:val="2"/>
            <w:vMerge w:val="restart"/>
            <w:vAlign w:val="center"/>
          </w:tcPr>
          <w:p w:rsidR="00380DA5" w:rsidRPr="00380DA5" w:rsidRDefault="00380DA5" w:rsidP="00380DA5">
            <w:pPr>
              <w:pStyle w:val="naisf"/>
              <w:spacing w:before="0" w:after="0"/>
              <w:jc w:val="center"/>
              <w:rPr>
                <w:b/>
                <w:szCs w:val="24"/>
              </w:rPr>
            </w:pPr>
            <w:r w:rsidRPr="00380DA5">
              <w:rPr>
                <w:b/>
                <w:szCs w:val="24"/>
              </w:rPr>
              <w:t>2012.</w:t>
            </w:r>
          </w:p>
        </w:tc>
        <w:tc>
          <w:tcPr>
            <w:tcW w:w="2098" w:type="pct"/>
            <w:gridSpan w:val="3"/>
            <w:vAlign w:val="center"/>
          </w:tcPr>
          <w:p w:rsidR="00380DA5" w:rsidRPr="00380DA5" w:rsidRDefault="00380DA5" w:rsidP="007532BC">
            <w:pPr>
              <w:pStyle w:val="naisf"/>
              <w:spacing w:before="0" w:after="0"/>
              <w:jc w:val="center"/>
              <w:rPr>
                <w:b/>
                <w:i/>
                <w:szCs w:val="24"/>
              </w:rPr>
            </w:pPr>
            <w:r w:rsidRPr="00380DA5">
              <w:rPr>
                <w:szCs w:val="24"/>
              </w:rPr>
              <w:t>Turpmākie trīs gadi (</w:t>
            </w:r>
            <w:proofErr w:type="spellStart"/>
            <w:r w:rsidRPr="00380DA5">
              <w:rPr>
                <w:szCs w:val="24"/>
              </w:rPr>
              <w:t>tūkst</w:t>
            </w:r>
            <w:proofErr w:type="spellEnd"/>
            <w:r w:rsidRPr="00380DA5">
              <w:rPr>
                <w:szCs w:val="24"/>
              </w:rPr>
              <w:t>. latu)</w:t>
            </w:r>
          </w:p>
        </w:tc>
      </w:tr>
      <w:tr w:rsidR="00380DA5" w:rsidRPr="00380DA5" w:rsidTr="00E52C31">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vAlign w:val="center"/>
          </w:tcPr>
          <w:p w:rsidR="00380DA5" w:rsidRPr="00380DA5" w:rsidRDefault="00380DA5" w:rsidP="007532BC">
            <w:pPr>
              <w:pStyle w:val="naisf"/>
              <w:spacing w:before="0" w:after="0"/>
              <w:ind w:firstLine="720"/>
              <w:jc w:val="center"/>
              <w:rPr>
                <w:b/>
                <w:i/>
                <w:szCs w:val="24"/>
              </w:rPr>
            </w:pPr>
          </w:p>
        </w:tc>
        <w:tc>
          <w:tcPr>
            <w:tcW w:w="1459" w:type="pct"/>
            <w:gridSpan w:val="2"/>
            <w:vMerge/>
            <w:vAlign w:val="center"/>
          </w:tcPr>
          <w:p w:rsidR="00380DA5" w:rsidRPr="00380DA5" w:rsidRDefault="00380DA5" w:rsidP="007532BC">
            <w:pPr>
              <w:pStyle w:val="naisf"/>
              <w:spacing w:before="0" w:after="0"/>
              <w:ind w:firstLine="720"/>
              <w:jc w:val="center"/>
              <w:rPr>
                <w:b/>
                <w:i/>
                <w:szCs w:val="24"/>
              </w:rPr>
            </w:pPr>
          </w:p>
        </w:tc>
        <w:tc>
          <w:tcPr>
            <w:tcW w:w="659" w:type="pct"/>
            <w:vAlign w:val="center"/>
          </w:tcPr>
          <w:p w:rsidR="00380DA5" w:rsidRPr="00380DA5" w:rsidRDefault="00380DA5" w:rsidP="00380DA5">
            <w:pPr>
              <w:pStyle w:val="naisf"/>
              <w:spacing w:before="0" w:after="0"/>
              <w:jc w:val="center"/>
              <w:rPr>
                <w:b/>
                <w:i/>
                <w:szCs w:val="24"/>
              </w:rPr>
            </w:pPr>
            <w:r w:rsidRPr="00380DA5">
              <w:rPr>
                <w:b/>
                <w:bCs/>
                <w:szCs w:val="24"/>
              </w:rPr>
              <w:t>2013.</w:t>
            </w:r>
          </w:p>
        </w:tc>
        <w:tc>
          <w:tcPr>
            <w:tcW w:w="682" w:type="pct"/>
            <w:vAlign w:val="center"/>
          </w:tcPr>
          <w:p w:rsidR="00380DA5" w:rsidRPr="00380DA5" w:rsidRDefault="00380DA5" w:rsidP="00380DA5">
            <w:pPr>
              <w:pStyle w:val="naisf"/>
              <w:spacing w:before="0" w:after="0"/>
              <w:jc w:val="center"/>
              <w:rPr>
                <w:b/>
                <w:i/>
                <w:szCs w:val="24"/>
              </w:rPr>
            </w:pPr>
            <w:r w:rsidRPr="00380DA5">
              <w:rPr>
                <w:b/>
                <w:bCs/>
                <w:szCs w:val="24"/>
              </w:rPr>
              <w:t>2014.</w:t>
            </w:r>
          </w:p>
        </w:tc>
        <w:tc>
          <w:tcPr>
            <w:tcW w:w="757" w:type="pct"/>
            <w:vAlign w:val="center"/>
          </w:tcPr>
          <w:p w:rsidR="00380DA5" w:rsidRPr="00380DA5" w:rsidRDefault="00380DA5" w:rsidP="00380DA5">
            <w:pPr>
              <w:pStyle w:val="naisf"/>
              <w:spacing w:before="0" w:after="0"/>
              <w:jc w:val="center"/>
              <w:rPr>
                <w:b/>
                <w:i/>
                <w:szCs w:val="24"/>
              </w:rPr>
            </w:pPr>
            <w:r w:rsidRPr="00380DA5">
              <w:rPr>
                <w:b/>
                <w:bCs/>
                <w:szCs w:val="24"/>
              </w:rPr>
              <w:t>2015.</w:t>
            </w:r>
          </w:p>
        </w:tc>
      </w:tr>
      <w:tr w:rsidR="00380DA5" w:rsidRPr="006A7C4E"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vAlign w:val="center"/>
          </w:tcPr>
          <w:p w:rsidR="00380DA5" w:rsidRPr="00380DA5" w:rsidRDefault="00380DA5" w:rsidP="007532BC">
            <w:pPr>
              <w:pStyle w:val="naisf"/>
              <w:spacing w:before="0" w:after="0"/>
              <w:jc w:val="center"/>
              <w:rPr>
                <w:b/>
                <w:i/>
                <w:szCs w:val="24"/>
              </w:rPr>
            </w:pPr>
          </w:p>
        </w:tc>
        <w:tc>
          <w:tcPr>
            <w:tcW w:w="735" w:type="pct"/>
            <w:vAlign w:val="center"/>
          </w:tcPr>
          <w:p w:rsidR="00380DA5" w:rsidRPr="00380DA5" w:rsidRDefault="00380DA5" w:rsidP="007532BC">
            <w:pPr>
              <w:pStyle w:val="naisf"/>
              <w:spacing w:before="0" w:after="0"/>
              <w:jc w:val="center"/>
              <w:rPr>
                <w:b/>
                <w:i/>
                <w:szCs w:val="24"/>
              </w:rPr>
            </w:pPr>
            <w:r w:rsidRPr="00380DA5">
              <w:rPr>
                <w:szCs w:val="24"/>
              </w:rPr>
              <w:t>Saskaņā ar valsts budžetu kārtējam gadam</w:t>
            </w:r>
          </w:p>
        </w:tc>
        <w:tc>
          <w:tcPr>
            <w:tcW w:w="724" w:type="pct"/>
            <w:vAlign w:val="center"/>
          </w:tcPr>
          <w:p w:rsidR="00380DA5" w:rsidRPr="00380DA5" w:rsidRDefault="00380DA5" w:rsidP="007532BC">
            <w:pPr>
              <w:pStyle w:val="naisf"/>
              <w:spacing w:before="0" w:after="0"/>
              <w:jc w:val="center"/>
              <w:rPr>
                <w:b/>
                <w:i/>
                <w:szCs w:val="24"/>
              </w:rPr>
            </w:pPr>
            <w:r w:rsidRPr="00380DA5">
              <w:rPr>
                <w:szCs w:val="24"/>
              </w:rPr>
              <w:t>Izmaiņas kārtējā gadā, salīdzinot ar budžetu kārtējam gadam</w:t>
            </w:r>
          </w:p>
        </w:tc>
        <w:tc>
          <w:tcPr>
            <w:tcW w:w="659" w:type="pct"/>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c>
          <w:tcPr>
            <w:tcW w:w="682" w:type="pct"/>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c>
          <w:tcPr>
            <w:tcW w:w="757" w:type="pct"/>
            <w:vAlign w:val="center"/>
          </w:tcPr>
          <w:p w:rsidR="00380DA5" w:rsidRPr="00380DA5" w:rsidRDefault="00380DA5" w:rsidP="007532BC">
            <w:pPr>
              <w:pStyle w:val="naisf"/>
              <w:spacing w:before="0" w:after="0"/>
              <w:jc w:val="center"/>
              <w:rPr>
                <w:b/>
                <w:i/>
                <w:szCs w:val="24"/>
              </w:rPr>
            </w:pPr>
            <w:r w:rsidRPr="00380DA5">
              <w:rPr>
                <w:szCs w:val="24"/>
              </w:rPr>
              <w:t>Izmaiņas, salīdzinot ar kārtējo (n) gadu</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Align w:val="center"/>
          </w:tcPr>
          <w:p w:rsidR="00380DA5" w:rsidRPr="00380DA5" w:rsidRDefault="00380DA5" w:rsidP="007532BC">
            <w:pPr>
              <w:pStyle w:val="naisf"/>
              <w:spacing w:before="0" w:after="0"/>
              <w:jc w:val="center"/>
              <w:rPr>
                <w:bCs/>
                <w:szCs w:val="24"/>
              </w:rPr>
            </w:pPr>
            <w:r w:rsidRPr="00380DA5">
              <w:rPr>
                <w:bCs/>
                <w:szCs w:val="24"/>
              </w:rPr>
              <w:t>1</w:t>
            </w:r>
          </w:p>
        </w:tc>
        <w:tc>
          <w:tcPr>
            <w:tcW w:w="735" w:type="pct"/>
            <w:vAlign w:val="center"/>
          </w:tcPr>
          <w:p w:rsidR="00380DA5" w:rsidRPr="00380DA5" w:rsidRDefault="00380DA5" w:rsidP="007532BC">
            <w:pPr>
              <w:pStyle w:val="naisf"/>
              <w:spacing w:before="0" w:after="0"/>
              <w:jc w:val="center"/>
              <w:rPr>
                <w:bCs/>
                <w:szCs w:val="24"/>
              </w:rPr>
            </w:pPr>
            <w:r w:rsidRPr="00380DA5">
              <w:rPr>
                <w:bCs/>
                <w:szCs w:val="24"/>
              </w:rPr>
              <w:t>2</w:t>
            </w:r>
          </w:p>
        </w:tc>
        <w:tc>
          <w:tcPr>
            <w:tcW w:w="724" w:type="pct"/>
            <w:vAlign w:val="center"/>
          </w:tcPr>
          <w:p w:rsidR="00380DA5" w:rsidRPr="00380DA5" w:rsidRDefault="00380DA5" w:rsidP="007532BC">
            <w:pPr>
              <w:pStyle w:val="naisf"/>
              <w:spacing w:before="0" w:after="0"/>
              <w:jc w:val="center"/>
              <w:rPr>
                <w:bCs/>
                <w:szCs w:val="24"/>
              </w:rPr>
            </w:pPr>
            <w:r w:rsidRPr="00380DA5">
              <w:rPr>
                <w:bCs/>
                <w:szCs w:val="24"/>
              </w:rPr>
              <w:t>3</w:t>
            </w:r>
          </w:p>
        </w:tc>
        <w:tc>
          <w:tcPr>
            <w:tcW w:w="659" w:type="pct"/>
            <w:vAlign w:val="center"/>
          </w:tcPr>
          <w:p w:rsidR="00380DA5" w:rsidRPr="00380DA5" w:rsidRDefault="00380DA5" w:rsidP="007532BC">
            <w:pPr>
              <w:pStyle w:val="naisf"/>
              <w:spacing w:before="0" w:after="0"/>
              <w:jc w:val="center"/>
              <w:rPr>
                <w:bCs/>
                <w:szCs w:val="24"/>
              </w:rPr>
            </w:pPr>
            <w:r w:rsidRPr="00380DA5">
              <w:rPr>
                <w:bCs/>
                <w:szCs w:val="24"/>
              </w:rPr>
              <w:t>4</w:t>
            </w:r>
          </w:p>
        </w:tc>
        <w:tc>
          <w:tcPr>
            <w:tcW w:w="682" w:type="pct"/>
            <w:vAlign w:val="center"/>
          </w:tcPr>
          <w:p w:rsidR="00380DA5" w:rsidRPr="00380DA5" w:rsidRDefault="00380DA5" w:rsidP="007532BC">
            <w:pPr>
              <w:pStyle w:val="naisf"/>
              <w:spacing w:before="0" w:after="0"/>
              <w:jc w:val="center"/>
              <w:rPr>
                <w:bCs/>
                <w:szCs w:val="24"/>
              </w:rPr>
            </w:pPr>
            <w:r w:rsidRPr="00380DA5">
              <w:rPr>
                <w:bCs/>
                <w:szCs w:val="24"/>
              </w:rPr>
              <w:t>5</w:t>
            </w:r>
          </w:p>
        </w:tc>
        <w:tc>
          <w:tcPr>
            <w:tcW w:w="757" w:type="pct"/>
            <w:vAlign w:val="center"/>
          </w:tcPr>
          <w:p w:rsidR="00380DA5" w:rsidRPr="00380DA5" w:rsidRDefault="00380DA5" w:rsidP="007532BC">
            <w:pPr>
              <w:pStyle w:val="naisf"/>
              <w:spacing w:before="0" w:after="0"/>
              <w:jc w:val="center"/>
              <w:rPr>
                <w:bCs/>
                <w:szCs w:val="24"/>
              </w:rPr>
            </w:pPr>
            <w:r w:rsidRPr="00380DA5">
              <w:rPr>
                <w:bCs/>
                <w:szCs w:val="24"/>
              </w:rPr>
              <w:t>6</w:t>
            </w:r>
          </w:p>
        </w:tc>
      </w:tr>
      <w:tr w:rsidR="00E52C31" w:rsidRPr="00D35A76"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E52C31" w:rsidRPr="00380DA5" w:rsidRDefault="00E52C31" w:rsidP="007532BC">
            <w:pPr>
              <w:pStyle w:val="naisf"/>
              <w:spacing w:before="0" w:after="0"/>
              <w:rPr>
                <w:i/>
                <w:szCs w:val="24"/>
              </w:rPr>
            </w:pPr>
            <w:r w:rsidRPr="00380DA5">
              <w:rPr>
                <w:szCs w:val="24"/>
              </w:rPr>
              <w:t>1. Budžeta ieņēmumi:</w:t>
            </w:r>
          </w:p>
        </w:tc>
        <w:tc>
          <w:tcPr>
            <w:tcW w:w="735" w:type="pct"/>
          </w:tcPr>
          <w:p w:rsidR="00E52C31" w:rsidRPr="00837B23" w:rsidRDefault="00E52C31" w:rsidP="00E52C31">
            <w:pPr>
              <w:pStyle w:val="naisf"/>
              <w:spacing w:before="0" w:after="0"/>
              <w:rPr>
                <w:b/>
                <w:szCs w:val="24"/>
              </w:rPr>
            </w:pPr>
            <w:r w:rsidRPr="00E52C31">
              <w:rPr>
                <w:szCs w:val="24"/>
              </w:rPr>
              <w:t>0</w:t>
            </w:r>
          </w:p>
        </w:tc>
        <w:tc>
          <w:tcPr>
            <w:tcW w:w="724" w:type="pct"/>
          </w:tcPr>
          <w:p w:rsidR="00E52C31" w:rsidRPr="00666F23" w:rsidRDefault="00E52C31" w:rsidP="007532BC">
            <w:pPr>
              <w:pStyle w:val="naisf"/>
              <w:spacing w:before="0" w:after="0"/>
              <w:rPr>
                <w:szCs w:val="24"/>
              </w:rPr>
            </w:pPr>
            <w:r w:rsidRPr="00666F23">
              <w:rPr>
                <w:szCs w:val="24"/>
              </w:rPr>
              <w:t>0</w:t>
            </w:r>
          </w:p>
        </w:tc>
        <w:tc>
          <w:tcPr>
            <w:tcW w:w="659" w:type="pct"/>
          </w:tcPr>
          <w:p w:rsidR="00E52C31" w:rsidRPr="00E52C31" w:rsidRDefault="00E52C31" w:rsidP="00D35A76">
            <w:pPr>
              <w:pStyle w:val="naisf"/>
              <w:spacing w:before="0" w:after="0"/>
              <w:rPr>
                <w:szCs w:val="24"/>
              </w:rPr>
            </w:pPr>
            <w:r w:rsidRPr="00E52C31">
              <w:rPr>
                <w:szCs w:val="24"/>
              </w:rPr>
              <w:t>0</w:t>
            </w:r>
          </w:p>
        </w:tc>
        <w:tc>
          <w:tcPr>
            <w:tcW w:w="682" w:type="pct"/>
          </w:tcPr>
          <w:p w:rsidR="00E52C31" w:rsidRPr="000269EE" w:rsidRDefault="00E52C31" w:rsidP="00F27DD8">
            <w:r w:rsidRPr="000269EE">
              <w:t>0</w:t>
            </w:r>
          </w:p>
        </w:tc>
        <w:tc>
          <w:tcPr>
            <w:tcW w:w="757" w:type="pct"/>
          </w:tcPr>
          <w:p w:rsidR="00E52C31" w:rsidRDefault="00E52C31" w:rsidP="00F27DD8">
            <w:r w:rsidRPr="000269EE">
              <w:t>0</w:t>
            </w:r>
          </w:p>
        </w:tc>
      </w:tr>
      <w:tr w:rsidR="00E52C31"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E52C31" w:rsidRPr="00380DA5" w:rsidRDefault="00E52C31" w:rsidP="007532BC">
            <w:pPr>
              <w:pStyle w:val="naisf"/>
              <w:spacing w:before="0" w:after="0"/>
              <w:rPr>
                <w:i/>
                <w:szCs w:val="24"/>
              </w:rPr>
            </w:pPr>
            <w:r w:rsidRPr="00380DA5">
              <w:rPr>
                <w:szCs w:val="24"/>
              </w:rPr>
              <w:t>1.1. valsts pamatbudžets, tai skaitā ieņēmumi no maksas pakalpojumiem un citi pašu ieņēmumi</w:t>
            </w:r>
            <w:r>
              <w:rPr>
                <w:szCs w:val="24"/>
              </w:rPr>
              <w:t xml:space="preserve"> (ārvalstu finanšu līdzekļu ieņēmumi)</w:t>
            </w:r>
          </w:p>
        </w:tc>
        <w:tc>
          <w:tcPr>
            <w:tcW w:w="735" w:type="pct"/>
          </w:tcPr>
          <w:p w:rsidR="00E52C31" w:rsidRPr="00837B23" w:rsidRDefault="00E52C31" w:rsidP="007532BC">
            <w:pPr>
              <w:pStyle w:val="naisf"/>
              <w:spacing w:before="0" w:after="0"/>
              <w:rPr>
                <w:szCs w:val="24"/>
              </w:rPr>
            </w:pPr>
            <w:r>
              <w:rPr>
                <w:szCs w:val="24"/>
              </w:rPr>
              <w:t>0</w:t>
            </w:r>
          </w:p>
        </w:tc>
        <w:tc>
          <w:tcPr>
            <w:tcW w:w="724" w:type="pct"/>
          </w:tcPr>
          <w:p w:rsidR="00E52C31" w:rsidRPr="00666F23" w:rsidRDefault="00E52C31" w:rsidP="007532BC">
            <w:pPr>
              <w:pStyle w:val="naisf"/>
              <w:spacing w:before="0" w:after="0"/>
              <w:rPr>
                <w:szCs w:val="24"/>
              </w:rPr>
            </w:pPr>
            <w:r w:rsidRPr="00666F23">
              <w:rPr>
                <w:szCs w:val="24"/>
              </w:rPr>
              <w:t>0</w:t>
            </w:r>
          </w:p>
        </w:tc>
        <w:tc>
          <w:tcPr>
            <w:tcW w:w="659" w:type="pct"/>
          </w:tcPr>
          <w:p w:rsidR="00E52C31" w:rsidRPr="00B4296F" w:rsidRDefault="00E52C31" w:rsidP="00F27DD8">
            <w:r w:rsidRPr="00B4296F">
              <w:t>0</w:t>
            </w:r>
          </w:p>
        </w:tc>
        <w:tc>
          <w:tcPr>
            <w:tcW w:w="682" w:type="pct"/>
          </w:tcPr>
          <w:p w:rsidR="00E52C31" w:rsidRPr="00B4296F" w:rsidRDefault="00E52C31" w:rsidP="00F27DD8">
            <w:r w:rsidRPr="00B4296F">
              <w:t>0</w:t>
            </w:r>
          </w:p>
        </w:tc>
        <w:tc>
          <w:tcPr>
            <w:tcW w:w="757" w:type="pct"/>
          </w:tcPr>
          <w:p w:rsidR="00E52C31" w:rsidRDefault="00E52C31" w:rsidP="00F27DD8">
            <w:r w:rsidRPr="00B4296F">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pStyle w:val="naisf"/>
              <w:spacing w:before="0" w:after="0"/>
              <w:rPr>
                <w:i/>
                <w:szCs w:val="24"/>
              </w:rPr>
            </w:pPr>
            <w:r w:rsidRPr="00380DA5">
              <w:rPr>
                <w:szCs w:val="24"/>
              </w:rPr>
              <w:t>1.2. valsts speciālais budžets</w:t>
            </w:r>
          </w:p>
        </w:tc>
        <w:tc>
          <w:tcPr>
            <w:tcW w:w="735" w:type="pct"/>
          </w:tcPr>
          <w:p w:rsidR="00380DA5" w:rsidRPr="005A72B4" w:rsidRDefault="007276C2" w:rsidP="007532BC">
            <w:pPr>
              <w:pStyle w:val="naisf"/>
              <w:spacing w:before="0" w:after="0"/>
              <w:rPr>
                <w:szCs w:val="24"/>
              </w:rPr>
            </w:pPr>
            <w:r w:rsidRPr="005A72B4">
              <w:rPr>
                <w:szCs w:val="24"/>
              </w:rPr>
              <w:t>0</w:t>
            </w:r>
          </w:p>
        </w:tc>
        <w:tc>
          <w:tcPr>
            <w:tcW w:w="724" w:type="pct"/>
          </w:tcPr>
          <w:p w:rsidR="00380DA5" w:rsidRPr="005A72B4" w:rsidRDefault="00666F23" w:rsidP="007532BC">
            <w:pPr>
              <w:pStyle w:val="naisf"/>
              <w:spacing w:before="0" w:after="0"/>
              <w:rPr>
                <w:szCs w:val="24"/>
              </w:rPr>
            </w:pPr>
            <w:r w:rsidRPr="005A72B4">
              <w:rPr>
                <w:szCs w:val="24"/>
              </w:rPr>
              <w:t>0</w:t>
            </w:r>
          </w:p>
        </w:tc>
        <w:tc>
          <w:tcPr>
            <w:tcW w:w="659" w:type="pct"/>
          </w:tcPr>
          <w:p w:rsidR="00380DA5" w:rsidRPr="005A72B4" w:rsidRDefault="00E5551D" w:rsidP="007532BC">
            <w:pPr>
              <w:pStyle w:val="naisf"/>
              <w:spacing w:before="0" w:after="0"/>
              <w:rPr>
                <w:szCs w:val="24"/>
              </w:rPr>
            </w:pPr>
            <w:r w:rsidRPr="005A72B4">
              <w:rPr>
                <w:szCs w:val="24"/>
              </w:rPr>
              <w:t>0</w:t>
            </w:r>
          </w:p>
        </w:tc>
        <w:tc>
          <w:tcPr>
            <w:tcW w:w="682" w:type="pct"/>
          </w:tcPr>
          <w:p w:rsidR="00380DA5" w:rsidRPr="005A72B4" w:rsidRDefault="005A72B4" w:rsidP="007532BC">
            <w:pPr>
              <w:pStyle w:val="naisf"/>
              <w:spacing w:before="0" w:after="0"/>
              <w:rPr>
                <w:szCs w:val="24"/>
              </w:rPr>
            </w:pPr>
            <w:r w:rsidRPr="005A72B4">
              <w:rPr>
                <w:szCs w:val="24"/>
              </w:rPr>
              <w:t>0</w:t>
            </w:r>
          </w:p>
        </w:tc>
        <w:tc>
          <w:tcPr>
            <w:tcW w:w="757" w:type="pct"/>
          </w:tcPr>
          <w:p w:rsidR="00380DA5" w:rsidRPr="005A72B4" w:rsidRDefault="005A72B4" w:rsidP="007532BC">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pStyle w:val="naisf"/>
              <w:spacing w:before="0" w:after="0"/>
              <w:rPr>
                <w:i/>
                <w:szCs w:val="24"/>
              </w:rPr>
            </w:pPr>
            <w:r w:rsidRPr="00380DA5">
              <w:rPr>
                <w:szCs w:val="24"/>
              </w:rPr>
              <w:t>1.3. pašvaldību budžets</w:t>
            </w:r>
          </w:p>
        </w:tc>
        <w:tc>
          <w:tcPr>
            <w:tcW w:w="735" w:type="pct"/>
          </w:tcPr>
          <w:p w:rsidR="00380DA5" w:rsidRPr="005A72B4" w:rsidRDefault="007276C2" w:rsidP="007532BC">
            <w:pPr>
              <w:pStyle w:val="naisf"/>
              <w:spacing w:before="0" w:after="0"/>
              <w:rPr>
                <w:szCs w:val="24"/>
              </w:rPr>
            </w:pPr>
            <w:r w:rsidRPr="005A72B4">
              <w:rPr>
                <w:szCs w:val="24"/>
              </w:rPr>
              <w:t>0</w:t>
            </w:r>
          </w:p>
        </w:tc>
        <w:tc>
          <w:tcPr>
            <w:tcW w:w="724" w:type="pct"/>
          </w:tcPr>
          <w:p w:rsidR="00380DA5" w:rsidRPr="005A72B4" w:rsidRDefault="00666F23" w:rsidP="007532BC">
            <w:pPr>
              <w:pStyle w:val="naisf"/>
              <w:spacing w:before="0" w:after="0"/>
              <w:rPr>
                <w:szCs w:val="24"/>
              </w:rPr>
            </w:pPr>
            <w:r w:rsidRPr="005A72B4">
              <w:rPr>
                <w:szCs w:val="24"/>
              </w:rPr>
              <w:t>0</w:t>
            </w:r>
          </w:p>
        </w:tc>
        <w:tc>
          <w:tcPr>
            <w:tcW w:w="659" w:type="pct"/>
          </w:tcPr>
          <w:p w:rsidR="00380DA5" w:rsidRPr="005A72B4" w:rsidRDefault="00E5551D" w:rsidP="007532BC">
            <w:pPr>
              <w:pStyle w:val="naisf"/>
              <w:spacing w:before="0" w:after="0"/>
              <w:rPr>
                <w:szCs w:val="24"/>
              </w:rPr>
            </w:pPr>
            <w:r w:rsidRPr="005A72B4">
              <w:rPr>
                <w:szCs w:val="24"/>
              </w:rPr>
              <w:t>0</w:t>
            </w:r>
          </w:p>
        </w:tc>
        <w:tc>
          <w:tcPr>
            <w:tcW w:w="682" w:type="pct"/>
          </w:tcPr>
          <w:p w:rsidR="00380DA5" w:rsidRPr="005A72B4" w:rsidRDefault="005A72B4" w:rsidP="007532BC">
            <w:pPr>
              <w:pStyle w:val="naisf"/>
              <w:spacing w:before="0" w:after="0"/>
              <w:rPr>
                <w:szCs w:val="24"/>
              </w:rPr>
            </w:pPr>
            <w:r w:rsidRPr="005A72B4">
              <w:rPr>
                <w:szCs w:val="24"/>
              </w:rPr>
              <w:t>0</w:t>
            </w:r>
          </w:p>
        </w:tc>
        <w:tc>
          <w:tcPr>
            <w:tcW w:w="757" w:type="pct"/>
          </w:tcPr>
          <w:p w:rsidR="00380DA5" w:rsidRPr="005A72B4" w:rsidRDefault="005A72B4" w:rsidP="007532BC">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lastRenderedPageBreak/>
              <w:t>2. Budžeta izdevumi:</w:t>
            </w:r>
          </w:p>
        </w:tc>
        <w:tc>
          <w:tcPr>
            <w:tcW w:w="735" w:type="pct"/>
          </w:tcPr>
          <w:p w:rsidR="00380DA5" w:rsidRPr="00E5551D" w:rsidRDefault="00380DA5" w:rsidP="007532BC">
            <w:pPr>
              <w:pStyle w:val="naisf"/>
              <w:spacing w:before="0" w:after="0"/>
              <w:rPr>
                <w:b/>
                <w:szCs w:val="24"/>
              </w:rPr>
            </w:pPr>
          </w:p>
        </w:tc>
        <w:tc>
          <w:tcPr>
            <w:tcW w:w="724" w:type="pct"/>
          </w:tcPr>
          <w:p w:rsidR="00380DA5" w:rsidRPr="00666F23" w:rsidRDefault="00666F23" w:rsidP="007532BC">
            <w:pPr>
              <w:pStyle w:val="naisf"/>
              <w:spacing w:before="0" w:after="0"/>
              <w:rPr>
                <w:szCs w:val="24"/>
              </w:rPr>
            </w:pPr>
            <w:r w:rsidRPr="00666F23">
              <w:rPr>
                <w:szCs w:val="24"/>
              </w:rPr>
              <w:t>0</w:t>
            </w:r>
          </w:p>
        </w:tc>
        <w:tc>
          <w:tcPr>
            <w:tcW w:w="659" w:type="pct"/>
          </w:tcPr>
          <w:p w:rsidR="00380DA5" w:rsidRPr="00E5551D" w:rsidRDefault="00380DA5" w:rsidP="007532BC">
            <w:pPr>
              <w:pStyle w:val="naisf"/>
              <w:spacing w:before="0" w:after="0"/>
              <w:rPr>
                <w:b/>
                <w:szCs w:val="24"/>
              </w:rPr>
            </w:pPr>
          </w:p>
        </w:tc>
        <w:tc>
          <w:tcPr>
            <w:tcW w:w="682" w:type="pct"/>
          </w:tcPr>
          <w:p w:rsidR="00380DA5" w:rsidRPr="00380DA5" w:rsidRDefault="00380DA5" w:rsidP="007532BC">
            <w:pPr>
              <w:pStyle w:val="naisf"/>
              <w:spacing w:before="0" w:after="0"/>
              <w:rPr>
                <w:b/>
                <w:i/>
                <w:szCs w:val="24"/>
              </w:rPr>
            </w:pPr>
          </w:p>
        </w:tc>
        <w:tc>
          <w:tcPr>
            <w:tcW w:w="757" w:type="pct"/>
          </w:tcPr>
          <w:p w:rsidR="00380DA5" w:rsidRPr="00380DA5" w:rsidRDefault="00380DA5" w:rsidP="007532BC">
            <w:pPr>
              <w:pStyle w:val="naisf"/>
              <w:spacing w:before="0" w:after="0"/>
              <w:rPr>
                <w:b/>
                <w:i/>
                <w:szCs w:val="24"/>
              </w:rPr>
            </w:pP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2.1. valsts pamatbudžets</w:t>
            </w:r>
          </w:p>
        </w:tc>
        <w:tc>
          <w:tcPr>
            <w:tcW w:w="735" w:type="pct"/>
          </w:tcPr>
          <w:p w:rsidR="00380DA5" w:rsidRPr="00E5551D" w:rsidRDefault="00380DA5" w:rsidP="007532BC">
            <w:pPr>
              <w:pStyle w:val="naisf"/>
              <w:spacing w:before="0" w:after="0"/>
              <w:rPr>
                <w:szCs w:val="24"/>
              </w:rPr>
            </w:pPr>
          </w:p>
        </w:tc>
        <w:tc>
          <w:tcPr>
            <w:tcW w:w="724" w:type="pct"/>
          </w:tcPr>
          <w:p w:rsidR="00380DA5" w:rsidRPr="00666F23" w:rsidRDefault="00380DA5" w:rsidP="007532BC">
            <w:pPr>
              <w:pStyle w:val="naisf"/>
              <w:spacing w:before="0" w:after="0"/>
              <w:rPr>
                <w:szCs w:val="24"/>
              </w:rPr>
            </w:pPr>
          </w:p>
        </w:tc>
        <w:tc>
          <w:tcPr>
            <w:tcW w:w="659" w:type="pct"/>
          </w:tcPr>
          <w:p w:rsidR="00380DA5" w:rsidRPr="00E5551D" w:rsidRDefault="00380DA5" w:rsidP="007532BC">
            <w:pPr>
              <w:pStyle w:val="naisf"/>
              <w:spacing w:before="0" w:after="0"/>
              <w:rPr>
                <w:szCs w:val="24"/>
              </w:rPr>
            </w:pPr>
          </w:p>
        </w:tc>
        <w:tc>
          <w:tcPr>
            <w:tcW w:w="682" w:type="pct"/>
          </w:tcPr>
          <w:p w:rsidR="00380DA5" w:rsidRPr="00380DA5" w:rsidRDefault="00380DA5" w:rsidP="007532BC">
            <w:pPr>
              <w:pStyle w:val="naisf"/>
              <w:spacing w:before="0" w:after="0"/>
              <w:rPr>
                <w:szCs w:val="24"/>
              </w:rPr>
            </w:pPr>
          </w:p>
        </w:tc>
        <w:tc>
          <w:tcPr>
            <w:tcW w:w="757" w:type="pct"/>
          </w:tcPr>
          <w:p w:rsidR="00380DA5" w:rsidRPr="00380DA5" w:rsidRDefault="00380DA5" w:rsidP="007532BC">
            <w:pPr>
              <w:pStyle w:val="naisf"/>
              <w:spacing w:before="0" w:after="0"/>
              <w:rPr>
                <w:szCs w:val="24"/>
              </w:rPr>
            </w:pP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2.2. valsts speciālais budžets</w:t>
            </w:r>
          </w:p>
        </w:tc>
        <w:tc>
          <w:tcPr>
            <w:tcW w:w="735" w:type="pct"/>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 xml:space="preserve">2.3. pašvaldību budžets </w:t>
            </w:r>
          </w:p>
        </w:tc>
        <w:tc>
          <w:tcPr>
            <w:tcW w:w="735" w:type="pct"/>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3. Finansiālā ietekme:</w:t>
            </w:r>
          </w:p>
        </w:tc>
        <w:tc>
          <w:tcPr>
            <w:tcW w:w="735" w:type="pct"/>
            <w:shd w:val="clear" w:color="auto" w:fill="auto"/>
            <w:vAlign w:val="center"/>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3.1. valsts pamatbudžets</w:t>
            </w:r>
          </w:p>
        </w:tc>
        <w:tc>
          <w:tcPr>
            <w:tcW w:w="735" w:type="pct"/>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rPr>
                <w:szCs w:val="24"/>
                <w:vertAlign w:val="subscript"/>
                <w:lang w:val="lv-LV"/>
              </w:rPr>
            </w:pPr>
            <w:r w:rsidRPr="005A72B4">
              <w:rPr>
                <w:szCs w:val="24"/>
                <w:lang w:val="lv-LV"/>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3.2. speciālais budžets</w:t>
            </w:r>
          </w:p>
        </w:tc>
        <w:tc>
          <w:tcPr>
            <w:tcW w:w="735" w:type="pct"/>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 xml:space="preserve">3.3. pašvaldību budžets </w:t>
            </w:r>
          </w:p>
        </w:tc>
        <w:tc>
          <w:tcPr>
            <w:tcW w:w="735" w:type="pct"/>
            <w:shd w:val="clear" w:color="auto" w:fill="auto"/>
          </w:tcPr>
          <w:p w:rsidR="00380DA5" w:rsidRPr="005A72B4" w:rsidRDefault="007276C2" w:rsidP="005A72B4">
            <w:pPr>
              <w:pStyle w:val="naisf"/>
              <w:spacing w:before="0" w:after="0"/>
              <w:rPr>
                <w:szCs w:val="24"/>
              </w:rPr>
            </w:pPr>
            <w:r w:rsidRPr="005A72B4">
              <w:rPr>
                <w:szCs w:val="24"/>
              </w:rPr>
              <w:t>0</w:t>
            </w: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val="restart"/>
          </w:tcPr>
          <w:p w:rsidR="00380DA5" w:rsidRPr="00380DA5" w:rsidRDefault="00380DA5" w:rsidP="007532BC">
            <w:pPr>
              <w:jc w:val="both"/>
              <w:rPr>
                <w:szCs w:val="24"/>
                <w:lang w:val="lv-LV"/>
              </w:rPr>
            </w:pPr>
            <w:r w:rsidRPr="00380DA5">
              <w:rPr>
                <w:szCs w:val="24"/>
                <w:lang w:val="lv-LV"/>
              </w:rPr>
              <w:t>4. Finanšu līdzekļi papildu izde</w:t>
            </w:r>
            <w:r w:rsidRPr="00380DA5">
              <w:rPr>
                <w:szCs w:val="24"/>
                <w:lang w:val="lv-LV"/>
              </w:rPr>
              <w:softHyphen/>
              <w:t>vumu finansēšanai (kompensējošu izdevumu samazinājumu norāda ar "+" zīmi)</w:t>
            </w:r>
          </w:p>
        </w:tc>
        <w:tc>
          <w:tcPr>
            <w:tcW w:w="735" w:type="pct"/>
            <w:vMerge w:val="restart"/>
            <w:vAlign w:val="center"/>
          </w:tcPr>
          <w:p w:rsidR="00380DA5" w:rsidRPr="005A72B4" w:rsidRDefault="00380DA5" w:rsidP="005A72B4">
            <w:pPr>
              <w:pStyle w:val="naisf"/>
              <w:spacing w:before="0" w:after="0"/>
              <w:rPr>
                <w:szCs w:val="24"/>
              </w:rPr>
            </w:pPr>
            <w:r w:rsidRPr="005A72B4">
              <w:rPr>
                <w:szCs w:val="24"/>
              </w:rPr>
              <w:t>X</w:t>
            </w:r>
          </w:p>
          <w:p w:rsidR="00380DA5" w:rsidRPr="005A72B4" w:rsidRDefault="00380DA5" w:rsidP="005A72B4">
            <w:pPr>
              <w:rPr>
                <w:szCs w:val="24"/>
                <w:lang w:val="lv-LV"/>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tcPr>
          <w:p w:rsidR="00380DA5" w:rsidRPr="00380DA5" w:rsidRDefault="00380DA5" w:rsidP="007532BC">
            <w:pPr>
              <w:jc w:val="both"/>
              <w:rPr>
                <w:szCs w:val="24"/>
                <w:lang w:val="lv-LV"/>
              </w:rPr>
            </w:pP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vMerge/>
          </w:tcPr>
          <w:p w:rsidR="00380DA5" w:rsidRPr="00380DA5" w:rsidRDefault="00380DA5" w:rsidP="007532BC">
            <w:pPr>
              <w:jc w:val="both"/>
              <w:rPr>
                <w:szCs w:val="24"/>
                <w:lang w:val="lv-LV"/>
              </w:rPr>
            </w:pP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5. Precizēta finansiālā ietekme:</w:t>
            </w:r>
          </w:p>
        </w:tc>
        <w:tc>
          <w:tcPr>
            <w:tcW w:w="735" w:type="pct"/>
            <w:vMerge w:val="restart"/>
            <w:vAlign w:val="center"/>
          </w:tcPr>
          <w:p w:rsidR="00380DA5" w:rsidRPr="005A72B4" w:rsidRDefault="00380DA5" w:rsidP="005A72B4">
            <w:pPr>
              <w:pStyle w:val="naisf"/>
              <w:spacing w:before="0" w:after="0"/>
              <w:rPr>
                <w:szCs w:val="24"/>
              </w:rPr>
            </w:pPr>
            <w:r w:rsidRPr="005A72B4">
              <w:rPr>
                <w:szCs w:val="24"/>
              </w:rPr>
              <w:t>X</w:t>
            </w:r>
          </w:p>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5.1. valsts pamatbudžets</w:t>
            </w: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rPr>
                <w:szCs w:val="24"/>
                <w:vertAlign w:val="subscript"/>
                <w:lang w:val="lv-LV"/>
              </w:rPr>
            </w:pPr>
            <w:r w:rsidRPr="005A72B4">
              <w:rPr>
                <w:szCs w:val="24"/>
                <w:lang w:val="lv-LV"/>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5.2. speciālais budžets</w:t>
            </w: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insideH w:val="thickThinSmallGap" w:sz="12" w:space="0" w:color="BFBFBF" w:themeColor="background1" w:themeShade="BF"/>
            <w:insideV w:val="thickThinSmallGap" w:sz="12" w:space="0" w:color="BFBFBF" w:themeColor="background1" w:themeShade="BF"/>
          </w:tblBorders>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 xml:space="preserve">5.3. pašvaldību budžets </w:t>
            </w:r>
          </w:p>
        </w:tc>
        <w:tc>
          <w:tcPr>
            <w:tcW w:w="735" w:type="pct"/>
            <w:vMerge/>
            <w:vAlign w:val="center"/>
          </w:tcPr>
          <w:p w:rsidR="00380DA5" w:rsidRPr="005A72B4" w:rsidRDefault="00380DA5" w:rsidP="005A72B4">
            <w:pPr>
              <w:pStyle w:val="naisf"/>
              <w:spacing w:before="0" w:after="0"/>
              <w:rPr>
                <w:szCs w:val="24"/>
              </w:rPr>
            </w:pPr>
          </w:p>
        </w:tc>
        <w:tc>
          <w:tcPr>
            <w:tcW w:w="724" w:type="pct"/>
          </w:tcPr>
          <w:p w:rsidR="00380DA5" w:rsidRPr="005A72B4" w:rsidRDefault="00666F23" w:rsidP="005A72B4">
            <w:pPr>
              <w:pStyle w:val="naisf"/>
              <w:spacing w:before="0" w:after="0"/>
              <w:rPr>
                <w:szCs w:val="24"/>
              </w:rPr>
            </w:pPr>
            <w:r w:rsidRPr="005A72B4">
              <w:rPr>
                <w:szCs w:val="24"/>
              </w:rPr>
              <w:t>0</w:t>
            </w:r>
          </w:p>
        </w:tc>
        <w:tc>
          <w:tcPr>
            <w:tcW w:w="659" w:type="pct"/>
          </w:tcPr>
          <w:p w:rsidR="00380DA5" w:rsidRPr="005A72B4" w:rsidRDefault="00E5551D" w:rsidP="005A72B4">
            <w:pPr>
              <w:pStyle w:val="naisf"/>
              <w:spacing w:before="0" w:after="0"/>
              <w:rPr>
                <w:szCs w:val="24"/>
              </w:rPr>
            </w:pPr>
            <w:r w:rsidRPr="005A72B4">
              <w:rPr>
                <w:szCs w:val="24"/>
              </w:rPr>
              <w:t>0</w:t>
            </w:r>
          </w:p>
        </w:tc>
        <w:tc>
          <w:tcPr>
            <w:tcW w:w="682" w:type="pct"/>
          </w:tcPr>
          <w:p w:rsidR="00380DA5" w:rsidRPr="005A72B4" w:rsidRDefault="005A72B4" w:rsidP="005A72B4">
            <w:pPr>
              <w:pStyle w:val="naisf"/>
              <w:spacing w:before="0" w:after="0"/>
              <w:rPr>
                <w:szCs w:val="24"/>
              </w:rPr>
            </w:pPr>
            <w:r w:rsidRPr="005A72B4">
              <w:rPr>
                <w:szCs w:val="24"/>
              </w:rPr>
              <w:t>0</w:t>
            </w:r>
          </w:p>
        </w:tc>
        <w:tc>
          <w:tcPr>
            <w:tcW w:w="757" w:type="pct"/>
          </w:tcPr>
          <w:p w:rsidR="00380DA5" w:rsidRPr="005A72B4" w:rsidRDefault="005A72B4" w:rsidP="005A72B4">
            <w:pPr>
              <w:pStyle w:val="naisf"/>
              <w:spacing w:before="0" w:after="0"/>
              <w:rPr>
                <w:szCs w:val="24"/>
              </w:rPr>
            </w:pPr>
            <w:r w:rsidRPr="005A72B4">
              <w:rPr>
                <w:szCs w:val="24"/>
              </w:rPr>
              <w:t>0</w:t>
            </w: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jc w:val="center"/>
        </w:trPr>
        <w:tc>
          <w:tcPr>
            <w:tcW w:w="1443" w:type="pct"/>
          </w:tcPr>
          <w:p w:rsidR="00380DA5" w:rsidRPr="00380DA5" w:rsidRDefault="00380DA5" w:rsidP="007532BC">
            <w:pPr>
              <w:jc w:val="both"/>
              <w:rPr>
                <w:szCs w:val="24"/>
                <w:lang w:val="lv-LV"/>
              </w:rPr>
            </w:pPr>
            <w:r w:rsidRPr="00380DA5">
              <w:rPr>
                <w:szCs w:val="24"/>
                <w:lang w:val="lv-LV"/>
              </w:rPr>
              <w:t>6. Detalizēts ieņēmumu un izdevu</w:t>
            </w:r>
            <w:r w:rsidRPr="00380DA5">
              <w:rPr>
                <w:szCs w:val="24"/>
                <w:lang w:val="lv-LV"/>
              </w:rPr>
              <w:softHyphen/>
              <w:t>mu aprēķins (ja nepieciešams, detalizētu ieņēmumu un izdevumu aprēķinu var pievienot anotācijas pielikumā):</w:t>
            </w:r>
          </w:p>
        </w:tc>
        <w:tc>
          <w:tcPr>
            <w:tcW w:w="3557" w:type="pct"/>
            <w:gridSpan w:val="5"/>
            <w:vMerge w:val="restart"/>
            <w:vAlign w:val="center"/>
          </w:tcPr>
          <w:p w:rsidR="00380DA5" w:rsidRPr="00380DA5" w:rsidRDefault="00F468E0" w:rsidP="00666F23">
            <w:pPr>
              <w:jc w:val="both"/>
              <w:rPr>
                <w:szCs w:val="24"/>
                <w:lang w:val="lv-LV"/>
              </w:rPr>
            </w:pPr>
            <w:r>
              <w:rPr>
                <w:szCs w:val="24"/>
                <w:lang w:val="lv-LV"/>
              </w:rPr>
              <w:t>X</w:t>
            </w: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trHeight w:val="584"/>
          <w:jc w:val="center"/>
        </w:trPr>
        <w:tc>
          <w:tcPr>
            <w:tcW w:w="1443" w:type="pct"/>
          </w:tcPr>
          <w:p w:rsidR="00380DA5" w:rsidRPr="00380DA5" w:rsidRDefault="00380DA5" w:rsidP="007532BC">
            <w:pPr>
              <w:jc w:val="both"/>
              <w:rPr>
                <w:szCs w:val="24"/>
                <w:lang w:val="lv-LV"/>
              </w:rPr>
            </w:pPr>
            <w:r w:rsidRPr="00380DA5">
              <w:rPr>
                <w:szCs w:val="24"/>
                <w:lang w:val="lv-LV"/>
              </w:rPr>
              <w:t>6.1. detalizēts ieņēmumu aprēķins</w:t>
            </w:r>
          </w:p>
        </w:tc>
        <w:tc>
          <w:tcPr>
            <w:tcW w:w="3557" w:type="pct"/>
            <w:gridSpan w:val="5"/>
            <w:vMerge/>
          </w:tcPr>
          <w:p w:rsidR="00380DA5" w:rsidRPr="00380DA5" w:rsidRDefault="00380DA5" w:rsidP="007532BC">
            <w:pPr>
              <w:pStyle w:val="naisf"/>
              <w:spacing w:before="0" w:after="0"/>
              <w:rPr>
                <w:b/>
                <w:i/>
                <w:szCs w:val="24"/>
              </w:rPr>
            </w:pPr>
          </w:p>
        </w:tc>
      </w:tr>
      <w:tr w:rsidR="00380DA5" w:rsidRPr="00380DA5" w:rsidTr="00D74A1E">
        <w:tblPrEx>
          <w:jc w:val="center"/>
          <w:tblCellMar>
            <w:top w:w="0" w:type="dxa"/>
            <w:left w:w="108" w:type="dxa"/>
            <w:bottom w:w="0" w:type="dxa"/>
            <w:right w:w="108" w:type="dxa"/>
          </w:tblCellMar>
          <w:tblLook w:val="01E0" w:firstRow="1" w:lastRow="1" w:firstColumn="1" w:lastColumn="1" w:noHBand="0" w:noVBand="0"/>
        </w:tblPrEx>
        <w:trPr>
          <w:trHeight w:val="650"/>
          <w:jc w:val="center"/>
        </w:trPr>
        <w:tc>
          <w:tcPr>
            <w:tcW w:w="1443" w:type="pct"/>
          </w:tcPr>
          <w:p w:rsidR="00380DA5" w:rsidRPr="00380DA5" w:rsidRDefault="00380DA5" w:rsidP="007532BC">
            <w:pPr>
              <w:jc w:val="both"/>
              <w:rPr>
                <w:szCs w:val="24"/>
                <w:lang w:val="lv-LV"/>
              </w:rPr>
            </w:pPr>
            <w:r w:rsidRPr="00380DA5">
              <w:rPr>
                <w:szCs w:val="24"/>
                <w:lang w:val="lv-LV"/>
              </w:rPr>
              <w:t>6.2. detalizēts izdevumu aprēķins</w:t>
            </w:r>
          </w:p>
        </w:tc>
        <w:tc>
          <w:tcPr>
            <w:tcW w:w="3557" w:type="pct"/>
            <w:gridSpan w:val="5"/>
            <w:vMerge/>
          </w:tcPr>
          <w:p w:rsidR="00380DA5" w:rsidRPr="00380DA5" w:rsidRDefault="00380DA5" w:rsidP="007532BC">
            <w:pPr>
              <w:pStyle w:val="naisf"/>
              <w:spacing w:before="0" w:after="0"/>
              <w:rPr>
                <w:b/>
                <w:i/>
                <w:szCs w:val="24"/>
              </w:rPr>
            </w:pPr>
          </w:p>
        </w:tc>
      </w:tr>
      <w:tr w:rsidR="00666F23" w:rsidRPr="006A7C4E" w:rsidTr="00D74A1E">
        <w:tblPrEx>
          <w:jc w:val="center"/>
          <w:tblCellMar>
            <w:top w:w="0" w:type="dxa"/>
            <w:left w:w="108" w:type="dxa"/>
            <w:bottom w:w="0" w:type="dxa"/>
            <w:right w:w="108" w:type="dxa"/>
          </w:tblCellMar>
          <w:tblLook w:val="01E0" w:firstRow="1" w:lastRow="1" w:firstColumn="1" w:lastColumn="1" w:noHBand="0" w:noVBand="0"/>
        </w:tblPrEx>
        <w:trPr>
          <w:trHeight w:val="2936"/>
          <w:jc w:val="center"/>
        </w:trPr>
        <w:tc>
          <w:tcPr>
            <w:tcW w:w="1443" w:type="pct"/>
          </w:tcPr>
          <w:p w:rsidR="00666F23" w:rsidRPr="00666F23" w:rsidRDefault="00CE67B0" w:rsidP="007532BC">
            <w:pPr>
              <w:jc w:val="both"/>
              <w:rPr>
                <w:lang w:val="lv-LV"/>
              </w:rPr>
            </w:pPr>
            <w:r w:rsidRPr="00380DA5">
              <w:rPr>
                <w:szCs w:val="24"/>
                <w:lang w:val="lv-LV"/>
              </w:rPr>
              <w:t>7. Cita informācija</w:t>
            </w:r>
          </w:p>
        </w:tc>
        <w:tc>
          <w:tcPr>
            <w:tcW w:w="3557" w:type="pct"/>
            <w:gridSpan w:val="5"/>
          </w:tcPr>
          <w:p w:rsidR="00024C41" w:rsidRDefault="00320389" w:rsidP="00024C41">
            <w:pPr>
              <w:ind w:firstLine="451"/>
              <w:jc w:val="both"/>
              <w:rPr>
                <w:szCs w:val="24"/>
                <w:lang w:val="lv-LV"/>
              </w:rPr>
            </w:pPr>
            <w:r>
              <w:rPr>
                <w:szCs w:val="24"/>
                <w:lang w:val="lv-LV"/>
              </w:rPr>
              <w:t>Ministru kabineta noteikumu projekts paredz</w:t>
            </w:r>
            <w:r w:rsidR="00565A5E" w:rsidRPr="007D1F9D">
              <w:rPr>
                <w:szCs w:val="24"/>
                <w:lang w:val="lv-LV"/>
              </w:rPr>
              <w:t xml:space="preserve"> īstenot </w:t>
            </w:r>
            <w:r w:rsidR="00EF6596">
              <w:rPr>
                <w:szCs w:val="24"/>
                <w:lang w:val="lv-LV"/>
              </w:rPr>
              <w:t>atklātu projektu konkursu. Atklāta projektu konkursa īstenošanai nepieciešamie līdzekļi ir paredzēti budžeta apakšprogramm</w:t>
            </w:r>
            <w:r w:rsidR="00024C41">
              <w:rPr>
                <w:szCs w:val="24"/>
                <w:lang w:val="lv-LV"/>
              </w:rPr>
              <w:t xml:space="preserve">ā </w:t>
            </w:r>
            <w:r w:rsidR="00E52C31" w:rsidRPr="00E52C31">
              <w:rPr>
                <w:szCs w:val="24"/>
                <w:lang w:val="lv-LV"/>
              </w:rPr>
              <w:t>71.06. „Eiropas Ekonomikas zonas finanšu instrumenta un Norvēģijas valdības divpusējā finanšu instrumenta finansētie projekti”</w:t>
            </w:r>
            <w:r w:rsidR="00024C41">
              <w:rPr>
                <w:szCs w:val="24"/>
                <w:lang w:val="lv-LV"/>
              </w:rPr>
              <w:t xml:space="preserve">. </w:t>
            </w:r>
          </w:p>
          <w:p w:rsidR="004B13AF" w:rsidRDefault="00024C41" w:rsidP="00024C41">
            <w:pPr>
              <w:ind w:firstLine="451"/>
              <w:jc w:val="both"/>
              <w:rPr>
                <w:szCs w:val="24"/>
                <w:lang w:val="lv-LV"/>
              </w:rPr>
            </w:pPr>
            <w:r>
              <w:rPr>
                <w:szCs w:val="24"/>
                <w:lang w:val="lv-LV"/>
              </w:rPr>
              <w:t xml:space="preserve">Atklāts konkurss ir daļa no Programmas, kuras </w:t>
            </w:r>
            <w:r w:rsidR="00E52C31">
              <w:rPr>
                <w:szCs w:val="24"/>
                <w:lang w:val="lv-LV"/>
              </w:rPr>
              <w:t xml:space="preserve">ieviešanai </w:t>
            </w:r>
            <w:r w:rsidR="00E918B0">
              <w:rPr>
                <w:szCs w:val="24"/>
                <w:lang w:val="lv-LV"/>
              </w:rPr>
              <w:t xml:space="preserve">2014.gadam ir paredzēti 4 800 448 </w:t>
            </w:r>
            <w:proofErr w:type="spellStart"/>
            <w:r w:rsidR="00A52467">
              <w:rPr>
                <w:szCs w:val="24"/>
                <w:lang w:val="lv-LV"/>
              </w:rPr>
              <w:t>euro</w:t>
            </w:r>
            <w:proofErr w:type="spellEnd"/>
            <w:r w:rsidR="00E918B0">
              <w:rPr>
                <w:szCs w:val="24"/>
                <w:lang w:val="lv-LV"/>
              </w:rPr>
              <w:t xml:space="preserve">, 2015.gadam 5 937 748 </w:t>
            </w:r>
            <w:proofErr w:type="spellStart"/>
            <w:r w:rsidR="00A52467">
              <w:rPr>
                <w:szCs w:val="24"/>
                <w:lang w:val="lv-LV"/>
              </w:rPr>
              <w:t>euro</w:t>
            </w:r>
            <w:proofErr w:type="spellEnd"/>
            <w:r w:rsidR="00E918B0">
              <w:rPr>
                <w:szCs w:val="24"/>
                <w:lang w:val="lv-LV"/>
              </w:rPr>
              <w:t>, 2016.gadam 815</w:t>
            </w:r>
            <w:r w:rsidR="00A52467">
              <w:rPr>
                <w:szCs w:val="24"/>
                <w:lang w:val="lv-LV"/>
              </w:rPr>
              <w:t> </w:t>
            </w:r>
            <w:r w:rsidR="00E918B0">
              <w:rPr>
                <w:szCs w:val="24"/>
                <w:lang w:val="lv-LV"/>
              </w:rPr>
              <w:t>024</w:t>
            </w:r>
            <w:r w:rsidR="00A52467">
              <w:rPr>
                <w:szCs w:val="24"/>
                <w:lang w:val="lv-LV"/>
              </w:rPr>
              <w:t xml:space="preserve"> </w:t>
            </w:r>
            <w:proofErr w:type="spellStart"/>
            <w:r w:rsidR="00A52467">
              <w:rPr>
                <w:szCs w:val="24"/>
                <w:lang w:val="lv-LV"/>
              </w:rPr>
              <w:t>euro</w:t>
            </w:r>
            <w:proofErr w:type="spellEnd"/>
            <w:r w:rsidR="004B13AF">
              <w:rPr>
                <w:szCs w:val="24"/>
                <w:lang w:val="lv-LV"/>
              </w:rPr>
              <w:t>.</w:t>
            </w:r>
            <w:r w:rsidR="00E52C31">
              <w:rPr>
                <w:szCs w:val="24"/>
                <w:lang w:val="lv-LV"/>
              </w:rPr>
              <w:t xml:space="preserve"> </w:t>
            </w:r>
            <w:r w:rsidR="008C31AD">
              <w:rPr>
                <w:szCs w:val="24"/>
                <w:lang w:val="lv-LV"/>
              </w:rPr>
              <w:t>2017.gadam</w:t>
            </w:r>
            <w:r w:rsidR="00E52C31">
              <w:rPr>
                <w:szCs w:val="24"/>
                <w:lang w:val="lv-LV"/>
              </w:rPr>
              <w:t xml:space="preserve"> </w:t>
            </w:r>
            <w:r w:rsidR="008C31AD">
              <w:rPr>
                <w:szCs w:val="24"/>
                <w:lang w:val="lv-LV"/>
              </w:rPr>
              <w:t xml:space="preserve">ir plānots pieprasīt finansējumu </w:t>
            </w:r>
            <w:r w:rsidR="00E52C31">
              <w:rPr>
                <w:szCs w:val="24"/>
                <w:lang w:val="lv-LV"/>
              </w:rPr>
              <w:t xml:space="preserve">no </w:t>
            </w:r>
            <w:r w:rsidR="004B13AF">
              <w:rPr>
                <w:szCs w:val="24"/>
                <w:lang w:val="lv-LV"/>
              </w:rPr>
              <w:t>valsts budžeta programmas 80.00.00 „Nesadalītais finansējums Eiropas Savienības politiku instrumentu un pārējās ārvalstu finanšu palīdzības finansēto projektu un pasākumu īstenošanai” .</w:t>
            </w:r>
          </w:p>
          <w:p w:rsidR="00666F23" w:rsidRPr="00CC6D14" w:rsidRDefault="00024C41" w:rsidP="00A52467">
            <w:pPr>
              <w:ind w:firstLine="451"/>
              <w:jc w:val="both"/>
              <w:rPr>
                <w:szCs w:val="24"/>
                <w:lang w:val="lv-LV"/>
              </w:rPr>
            </w:pPr>
            <w:r w:rsidRPr="00CC6D14">
              <w:rPr>
                <w:szCs w:val="24"/>
                <w:lang w:val="lv-LV"/>
              </w:rPr>
              <w:t xml:space="preserve">Atklātam konkursam plānotais finansējums valsts budžetā ir </w:t>
            </w:r>
            <w:r w:rsidR="008C31AD" w:rsidRPr="00CC6D14">
              <w:rPr>
                <w:szCs w:val="24"/>
                <w:lang w:val="lv-LV"/>
              </w:rPr>
              <w:t>2014</w:t>
            </w:r>
            <w:r w:rsidRPr="00CC6D14">
              <w:rPr>
                <w:szCs w:val="24"/>
                <w:lang w:val="lv-LV"/>
              </w:rPr>
              <w:t xml:space="preserve">.gadam </w:t>
            </w:r>
            <w:r w:rsidR="00A52467" w:rsidRPr="00CC6D14">
              <w:rPr>
                <w:szCs w:val="24"/>
                <w:lang w:val="lv-LV" w:eastAsia="ja-JP"/>
              </w:rPr>
              <w:t xml:space="preserve">2 695 000 </w:t>
            </w:r>
            <w:r w:rsidRPr="00CC6D14">
              <w:rPr>
                <w:szCs w:val="24"/>
                <w:lang w:val="lv-LV"/>
              </w:rPr>
              <w:t xml:space="preserve"> </w:t>
            </w:r>
            <w:proofErr w:type="spellStart"/>
            <w:r w:rsidR="00A52467" w:rsidRPr="00CC6D14">
              <w:rPr>
                <w:szCs w:val="24"/>
                <w:lang w:val="lv-LV"/>
              </w:rPr>
              <w:t>euro</w:t>
            </w:r>
            <w:proofErr w:type="spellEnd"/>
            <w:r w:rsidRPr="00CC6D14">
              <w:rPr>
                <w:szCs w:val="24"/>
                <w:lang w:val="lv-LV"/>
              </w:rPr>
              <w:t>, 201</w:t>
            </w:r>
            <w:r w:rsidR="008C31AD" w:rsidRPr="00CC6D14">
              <w:rPr>
                <w:szCs w:val="24"/>
                <w:lang w:val="lv-LV"/>
              </w:rPr>
              <w:t>5</w:t>
            </w:r>
            <w:r w:rsidRPr="00CC6D14">
              <w:rPr>
                <w:szCs w:val="24"/>
                <w:lang w:val="lv-LV"/>
              </w:rPr>
              <w:t xml:space="preserve">.gadam </w:t>
            </w:r>
            <w:r w:rsidR="00A52467" w:rsidRPr="00CC6D14">
              <w:rPr>
                <w:szCs w:val="24"/>
                <w:lang w:val="lv-LV" w:eastAsia="ja-JP"/>
              </w:rPr>
              <w:t xml:space="preserve">4 297 167 </w:t>
            </w:r>
            <w:proofErr w:type="spellStart"/>
            <w:r w:rsidR="00A52467" w:rsidRPr="00CC6D14">
              <w:rPr>
                <w:szCs w:val="24"/>
                <w:lang w:val="lv-LV"/>
              </w:rPr>
              <w:t>euro</w:t>
            </w:r>
            <w:proofErr w:type="spellEnd"/>
            <w:r w:rsidR="00A52467" w:rsidRPr="00CC6D14">
              <w:rPr>
                <w:szCs w:val="24"/>
                <w:lang w:val="lv-LV"/>
              </w:rPr>
              <w:t xml:space="preserve"> </w:t>
            </w:r>
            <w:r w:rsidR="001C4887" w:rsidRPr="00CC6D14">
              <w:rPr>
                <w:szCs w:val="24"/>
                <w:lang w:val="lv-LV"/>
              </w:rPr>
              <w:t>un 201</w:t>
            </w:r>
            <w:r w:rsidR="008C31AD" w:rsidRPr="00CC6D14">
              <w:rPr>
                <w:szCs w:val="24"/>
                <w:lang w:val="lv-LV"/>
              </w:rPr>
              <w:t>6.</w:t>
            </w:r>
            <w:r w:rsidR="001C4887" w:rsidRPr="00CC6D14">
              <w:rPr>
                <w:szCs w:val="24"/>
                <w:lang w:val="lv-LV"/>
              </w:rPr>
              <w:t xml:space="preserve">gadam </w:t>
            </w:r>
            <w:r w:rsidR="00A52467" w:rsidRPr="00CC6D14">
              <w:rPr>
                <w:szCs w:val="24"/>
                <w:lang w:val="lv-LV" w:eastAsia="ja-JP"/>
              </w:rPr>
              <w:t xml:space="preserve">776 940 </w:t>
            </w:r>
            <w:proofErr w:type="spellStart"/>
            <w:r w:rsidR="00A52467" w:rsidRPr="00CC6D14">
              <w:rPr>
                <w:szCs w:val="24"/>
                <w:lang w:val="lv-LV"/>
              </w:rPr>
              <w:t>euro</w:t>
            </w:r>
            <w:proofErr w:type="spellEnd"/>
            <w:r w:rsidR="001C4887" w:rsidRPr="00CC6D14">
              <w:rPr>
                <w:szCs w:val="24"/>
                <w:lang w:val="lv-LV"/>
              </w:rPr>
              <w:t xml:space="preserve">. </w:t>
            </w:r>
          </w:p>
        </w:tc>
      </w:tr>
    </w:tbl>
    <w:p w:rsidR="00380DA5" w:rsidRDefault="00380DA5">
      <w:pPr>
        <w:spacing w:after="60"/>
        <w:rPr>
          <w:szCs w:val="24"/>
          <w:lang w:val="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21"/>
        <w:gridCol w:w="4368"/>
        <w:gridCol w:w="4498"/>
      </w:tblGrid>
      <w:tr w:rsidR="004B111A" w:rsidRPr="006A7C4E" w:rsidTr="00A77ACA">
        <w:trPr>
          <w:tblCellSpacing w:w="15" w:type="dxa"/>
        </w:trPr>
        <w:tc>
          <w:tcPr>
            <w:tcW w:w="4968" w:type="pct"/>
            <w:gridSpan w:val="3"/>
            <w:shd w:val="clear" w:color="auto" w:fill="auto"/>
            <w:hideMark/>
          </w:tcPr>
          <w:p w:rsidR="004B111A" w:rsidRPr="00835AEF" w:rsidRDefault="004B111A" w:rsidP="00002692">
            <w:pPr>
              <w:jc w:val="center"/>
              <w:rPr>
                <w:b/>
                <w:bCs/>
                <w:szCs w:val="24"/>
                <w:lang w:val="lv-LV"/>
              </w:rPr>
            </w:pPr>
            <w:r w:rsidRPr="00CE67B0">
              <w:rPr>
                <w:b/>
                <w:bCs/>
                <w:szCs w:val="24"/>
                <w:lang w:val="lv-LV"/>
              </w:rPr>
              <w:lastRenderedPageBreak/>
              <w:t>IV. Kāda var būt normatīvā akta ietekme uz spēkā esošo tiesību normu sistēmu</w:t>
            </w:r>
          </w:p>
        </w:tc>
      </w:tr>
      <w:tr w:rsidR="004B111A" w:rsidRPr="00C040C4" w:rsidTr="00EA5117">
        <w:trPr>
          <w:tblCellSpacing w:w="15" w:type="dxa"/>
        </w:trPr>
        <w:tc>
          <w:tcPr>
            <w:tcW w:w="204" w:type="pct"/>
            <w:shd w:val="clear" w:color="auto" w:fill="auto"/>
            <w:hideMark/>
          </w:tcPr>
          <w:p w:rsidR="004B111A" w:rsidRPr="001F10BC" w:rsidRDefault="004B111A" w:rsidP="00002692">
            <w:pPr>
              <w:rPr>
                <w:szCs w:val="24"/>
              </w:rPr>
            </w:pPr>
            <w:r w:rsidRPr="001F10BC">
              <w:rPr>
                <w:szCs w:val="24"/>
              </w:rPr>
              <w:t>1.</w:t>
            </w:r>
          </w:p>
        </w:tc>
        <w:tc>
          <w:tcPr>
            <w:tcW w:w="2351" w:type="pct"/>
            <w:shd w:val="clear" w:color="auto" w:fill="auto"/>
            <w:hideMark/>
          </w:tcPr>
          <w:p w:rsidR="004B111A" w:rsidRPr="00CE67B0" w:rsidRDefault="004B111A" w:rsidP="00002692">
            <w:pPr>
              <w:spacing w:before="100" w:beforeAutospacing="1" w:after="100" w:afterAutospacing="1"/>
              <w:jc w:val="both"/>
              <w:rPr>
                <w:szCs w:val="24"/>
                <w:lang w:val="lv-LV"/>
              </w:rPr>
            </w:pPr>
            <w:r w:rsidRPr="00CE67B0">
              <w:rPr>
                <w:szCs w:val="24"/>
                <w:lang w:val="lv-LV"/>
              </w:rPr>
              <w:t xml:space="preserve">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2381" w:type="pct"/>
            <w:shd w:val="clear" w:color="auto" w:fill="auto"/>
            <w:hideMark/>
          </w:tcPr>
          <w:p w:rsidR="004B111A" w:rsidRPr="007D1F9D" w:rsidRDefault="00F726D4" w:rsidP="00F726D4">
            <w:pPr>
              <w:ind w:firstLine="451"/>
              <w:jc w:val="both"/>
              <w:rPr>
                <w:szCs w:val="24"/>
                <w:lang w:val="lv-LV"/>
              </w:rPr>
            </w:pPr>
            <w:r>
              <w:rPr>
                <w:lang w:val="lv-LV"/>
              </w:rPr>
              <w:t>Nav.</w:t>
            </w:r>
          </w:p>
        </w:tc>
      </w:tr>
      <w:tr w:rsidR="004B111A" w:rsidRPr="001F10BC" w:rsidTr="00EA5117">
        <w:trPr>
          <w:tblCellSpacing w:w="15" w:type="dxa"/>
        </w:trPr>
        <w:tc>
          <w:tcPr>
            <w:tcW w:w="204" w:type="pct"/>
            <w:shd w:val="clear" w:color="auto" w:fill="auto"/>
            <w:hideMark/>
          </w:tcPr>
          <w:p w:rsidR="004B111A" w:rsidRPr="001F10BC" w:rsidRDefault="004B111A" w:rsidP="00002692">
            <w:pPr>
              <w:rPr>
                <w:szCs w:val="24"/>
              </w:rPr>
            </w:pPr>
            <w:r w:rsidRPr="001F10BC">
              <w:rPr>
                <w:szCs w:val="24"/>
              </w:rPr>
              <w:t>2.</w:t>
            </w:r>
          </w:p>
        </w:tc>
        <w:tc>
          <w:tcPr>
            <w:tcW w:w="2351" w:type="pct"/>
            <w:shd w:val="clear" w:color="auto" w:fill="auto"/>
            <w:hideMark/>
          </w:tcPr>
          <w:p w:rsidR="004B111A" w:rsidRPr="001F10BC" w:rsidRDefault="004B111A" w:rsidP="00002692">
            <w:pPr>
              <w:jc w:val="both"/>
              <w:rPr>
                <w:szCs w:val="24"/>
              </w:rPr>
            </w:pPr>
            <w:r w:rsidRPr="00CE67B0">
              <w:rPr>
                <w:szCs w:val="24"/>
                <w:lang w:val="lv-LV"/>
              </w:rPr>
              <w:t>Cita informācija</w:t>
            </w:r>
          </w:p>
        </w:tc>
        <w:tc>
          <w:tcPr>
            <w:tcW w:w="2381" w:type="pct"/>
            <w:shd w:val="clear" w:color="auto" w:fill="auto"/>
            <w:hideMark/>
          </w:tcPr>
          <w:p w:rsidR="004B111A" w:rsidRPr="001F10BC" w:rsidRDefault="004B111A" w:rsidP="00002692">
            <w:pPr>
              <w:ind w:firstLine="341"/>
              <w:jc w:val="both"/>
              <w:rPr>
                <w:szCs w:val="24"/>
              </w:rPr>
            </w:pPr>
            <w:r>
              <w:rPr>
                <w:szCs w:val="24"/>
              </w:rPr>
              <w:t>Nav.</w:t>
            </w:r>
          </w:p>
        </w:tc>
      </w:tr>
    </w:tbl>
    <w:p w:rsidR="004B111A" w:rsidRDefault="004B111A">
      <w:pPr>
        <w:spacing w:after="60"/>
        <w:rPr>
          <w:szCs w:val="24"/>
          <w:lang w:val="lv-LV"/>
        </w:rPr>
      </w:pPr>
    </w:p>
    <w:p w:rsidR="004B111A" w:rsidRDefault="004B111A">
      <w:pPr>
        <w:spacing w:after="60"/>
        <w:rPr>
          <w:szCs w:val="24"/>
          <w:lang w:val="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09"/>
        <w:gridCol w:w="1757"/>
        <w:gridCol w:w="7021"/>
      </w:tblGrid>
      <w:tr w:rsidR="00340C6E" w:rsidRPr="006A7C4E" w:rsidTr="00340C6E">
        <w:trPr>
          <w:tblCellSpacing w:w="15" w:type="dxa"/>
        </w:trPr>
        <w:tc>
          <w:tcPr>
            <w:tcW w:w="4968" w:type="pct"/>
            <w:gridSpan w:val="3"/>
            <w:shd w:val="clear" w:color="auto" w:fill="auto"/>
            <w:hideMark/>
          </w:tcPr>
          <w:p w:rsidR="00340C6E" w:rsidRPr="00340C6E" w:rsidRDefault="00340C6E" w:rsidP="0087512B">
            <w:pPr>
              <w:jc w:val="center"/>
              <w:rPr>
                <w:b/>
                <w:bCs/>
                <w:szCs w:val="24"/>
                <w:lang w:val="lv-LV"/>
              </w:rPr>
            </w:pPr>
            <w:r w:rsidRPr="00340C6E">
              <w:rPr>
                <w:b/>
                <w:bCs/>
                <w:szCs w:val="24"/>
                <w:lang w:val="lv-LV"/>
              </w:rPr>
              <w:t>V. Tiesību akta projekta atbilstība Latvijas Republikas starptautiskajām saistībām</w:t>
            </w:r>
          </w:p>
        </w:tc>
      </w:tr>
      <w:tr w:rsidR="00340C6E" w:rsidRPr="006A7C4E" w:rsidTr="004B111A">
        <w:trPr>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t>1.</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Saistības pret Eiropas Savienību</w:t>
            </w:r>
          </w:p>
        </w:tc>
        <w:tc>
          <w:tcPr>
            <w:tcW w:w="3749" w:type="pct"/>
            <w:shd w:val="clear" w:color="auto" w:fill="auto"/>
            <w:hideMark/>
          </w:tcPr>
          <w:p w:rsidR="00340C6E" w:rsidRPr="00C071BE" w:rsidRDefault="00340C6E" w:rsidP="00340C6E">
            <w:pPr>
              <w:jc w:val="both"/>
              <w:rPr>
                <w:szCs w:val="24"/>
                <w:lang w:val="lv-LV"/>
              </w:rPr>
            </w:pPr>
            <w:r w:rsidRPr="00C071BE">
              <w:rPr>
                <w:szCs w:val="24"/>
                <w:lang w:val="lv-LV"/>
              </w:rPr>
              <w:t>Tiesību akta projekts nodrošina šādu Eiropas Savienības tiesību akta prasību ievērošanu:</w:t>
            </w:r>
          </w:p>
          <w:p w:rsidR="00340C6E" w:rsidRPr="00C071BE" w:rsidRDefault="00DB2F24" w:rsidP="00632F16">
            <w:pPr>
              <w:numPr>
                <w:ilvl w:val="1"/>
                <w:numId w:val="2"/>
              </w:numPr>
              <w:tabs>
                <w:tab w:val="left" w:pos="835"/>
              </w:tabs>
              <w:jc w:val="both"/>
              <w:rPr>
                <w:szCs w:val="24"/>
                <w:lang w:val="lv-LV"/>
              </w:rPr>
            </w:pPr>
            <w:r w:rsidRPr="00C071BE">
              <w:rPr>
                <w:szCs w:val="24"/>
                <w:lang w:val="lv-LV"/>
              </w:rPr>
              <w:t xml:space="preserve">Komisijas </w:t>
            </w:r>
            <w:r w:rsidR="00F726D4">
              <w:rPr>
                <w:szCs w:val="24"/>
                <w:lang w:val="lv-LV"/>
              </w:rPr>
              <w:t>R</w:t>
            </w:r>
            <w:r w:rsidRPr="00C071BE">
              <w:rPr>
                <w:szCs w:val="24"/>
                <w:lang w:val="lv-LV"/>
              </w:rPr>
              <w:t xml:space="preserve">egula </w:t>
            </w:r>
            <w:proofErr w:type="spellStart"/>
            <w:r w:rsidRPr="00C071BE">
              <w:rPr>
                <w:szCs w:val="24"/>
                <w:lang w:val="lv-LV"/>
              </w:rPr>
              <w:t>Nr</w:t>
            </w:r>
            <w:proofErr w:type="spellEnd"/>
            <w:r w:rsidRPr="00C071BE">
              <w:rPr>
                <w:szCs w:val="24"/>
                <w:lang w:val="lv-LV"/>
              </w:rPr>
              <w:t>.</w:t>
            </w:r>
            <w:r w:rsidR="007F3E96" w:rsidRPr="00C071BE">
              <w:rPr>
                <w:szCs w:val="24"/>
                <w:lang w:val="lv-LV"/>
              </w:rPr>
              <w:t xml:space="preserve"> 800/2008</w:t>
            </w:r>
            <w:r w:rsidR="00340C6E" w:rsidRPr="00C071BE">
              <w:rPr>
                <w:szCs w:val="24"/>
                <w:lang w:val="lv-LV"/>
              </w:rPr>
              <w:t>;</w:t>
            </w:r>
          </w:p>
          <w:p w:rsidR="00340C6E" w:rsidRPr="00834450" w:rsidRDefault="00340C6E" w:rsidP="00632F16">
            <w:pPr>
              <w:numPr>
                <w:ilvl w:val="1"/>
                <w:numId w:val="2"/>
              </w:numPr>
              <w:tabs>
                <w:tab w:val="left" w:pos="835"/>
              </w:tabs>
              <w:jc w:val="both"/>
              <w:rPr>
                <w:lang w:val="lv-LV"/>
              </w:rPr>
            </w:pPr>
            <w:r w:rsidRPr="00834450">
              <w:rPr>
                <w:bCs/>
                <w:szCs w:val="24"/>
                <w:lang w:val="lv-LV"/>
              </w:rPr>
              <w:t>Komisi</w:t>
            </w:r>
            <w:r w:rsidR="00DB2F24" w:rsidRPr="00834450">
              <w:rPr>
                <w:bCs/>
                <w:szCs w:val="24"/>
                <w:lang w:val="lv-LV"/>
              </w:rPr>
              <w:t xml:space="preserve">jas Regula (EK) </w:t>
            </w:r>
            <w:proofErr w:type="spellStart"/>
            <w:r w:rsidR="00DB2F24" w:rsidRPr="00834450">
              <w:rPr>
                <w:bCs/>
                <w:szCs w:val="24"/>
                <w:lang w:val="lv-LV"/>
              </w:rPr>
              <w:t>Nr</w:t>
            </w:r>
            <w:proofErr w:type="spellEnd"/>
            <w:r w:rsidR="00DB2F24" w:rsidRPr="00834450">
              <w:rPr>
                <w:bCs/>
                <w:szCs w:val="24"/>
                <w:lang w:val="lv-LV"/>
              </w:rPr>
              <w:t>. 1998/2006 (2006. gada 15. decembris</w:t>
            </w:r>
            <w:r w:rsidRPr="00834450">
              <w:rPr>
                <w:bCs/>
                <w:szCs w:val="24"/>
                <w:lang w:val="lv-LV"/>
              </w:rPr>
              <w:t xml:space="preserve">) par Līguma 87. un 88. panta piemērošanu </w:t>
            </w:r>
            <w:proofErr w:type="spellStart"/>
            <w:r w:rsidRPr="00834450">
              <w:rPr>
                <w:bCs/>
                <w:i/>
                <w:szCs w:val="24"/>
                <w:lang w:val="lv-LV"/>
              </w:rPr>
              <w:t>de</w:t>
            </w:r>
            <w:proofErr w:type="spellEnd"/>
            <w:r w:rsidRPr="00834450">
              <w:rPr>
                <w:bCs/>
                <w:i/>
                <w:szCs w:val="24"/>
                <w:lang w:val="lv-LV"/>
              </w:rPr>
              <w:t xml:space="preserve"> </w:t>
            </w:r>
            <w:proofErr w:type="spellStart"/>
            <w:r w:rsidRPr="00834450">
              <w:rPr>
                <w:bCs/>
                <w:i/>
                <w:szCs w:val="24"/>
                <w:lang w:val="lv-LV"/>
              </w:rPr>
              <w:t>minimis</w:t>
            </w:r>
            <w:proofErr w:type="spellEnd"/>
            <w:r w:rsidRPr="00834450">
              <w:rPr>
                <w:bCs/>
                <w:szCs w:val="24"/>
                <w:lang w:val="lv-LV"/>
              </w:rPr>
              <w:t xml:space="preserve"> atbalstam</w:t>
            </w:r>
            <w:r w:rsidR="00DB2F24" w:rsidRPr="00834450">
              <w:rPr>
                <w:bCs/>
                <w:szCs w:val="24"/>
                <w:lang w:val="lv-LV"/>
              </w:rPr>
              <w:t xml:space="preserve"> (turpmāk – Komisijas </w:t>
            </w:r>
            <w:r w:rsidR="006D63CB" w:rsidRPr="00834450">
              <w:rPr>
                <w:bCs/>
                <w:szCs w:val="24"/>
                <w:lang w:val="lv-LV"/>
              </w:rPr>
              <w:t>R</w:t>
            </w:r>
            <w:r w:rsidR="00DB2F24" w:rsidRPr="00834450">
              <w:rPr>
                <w:bCs/>
                <w:szCs w:val="24"/>
                <w:lang w:val="lv-LV"/>
              </w:rPr>
              <w:t>egula Nr.1998/2006)</w:t>
            </w:r>
            <w:r w:rsidR="00BD0B0A" w:rsidRPr="00834450">
              <w:rPr>
                <w:bCs/>
                <w:szCs w:val="24"/>
                <w:lang w:val="lv-LV"/>
              </w:rPr>
              <w:t>.</w:t>
            </w:r>
          </w:p>
          <w:p w:rsidR="00976D1F" w:rsidRPr="00834450" w:rsidRDefault="006850F3" w:rsidP="009B0C27">
            <w:pPr>
              <w:ind w:firstLine="341"/>
              <w:jc w:val="both"/>
              <w:rPr>
                <w:iCs/>
                <w:lang w:val="lv-LV"/>
              </w:rPr>
            </w:pPr>
            <w:r w:rsidRPr="00834450">
              <w:rPr>
                <w:iCs/>
                <w:lang w:val="lv-LV"/>
              </w:rPr>
              <w:t xml:space="preserve">Komisijas </w:t>
            </w:r>
            <w:r w:rsidR="006D63CB" w:rsidRPr="00834450">
              <w:rPr>
                <w:iCs/>
                <w:lang w:val="lv-LV"/>
              </w:rPr>
              <w:t>R</w:t>
            </w:r>
            <w:r w:rsidRPr="00834450">
              <w:rPr>
                <w:iCs/>
                <w:lang w:val="lv-LV"/>
              </w:rPr>
              <w:t xml:space="preserve">egula (EK) </w:t>
            </w:r>
            <w:proofErr w:type="spellStart"/>
            <w:r w:rsidRPr="00834450">
              <w:rPr>
                <w:iCs/>
                <w:lang w:val="lv-LV"/>
              </w:rPr>
              <w:t>Nr</w:t>
            </w:r>
            <w:proofErr w:type="spellEnd"/>
            <w:r w:rsidRPr="00834450">
              <w:rPr>
                <w:iCs/>
                <w:lang w:val="lv-LV"/>
              </w:rPr>
              <w:t>. 1998/2006</w:t>
            </w:r>
            <w:r w:rsidR="00F726D4" w:rsidRPr="00834450">
              <w:rPr>
                <w:iCs/>
                <w:lang w:val="lv-LV"/>
              </w:rPr>
              <w:t xml:space="preserve"> </w:t>
            </w:r>
            <w:r w:rsidR="00976D1F" w:rsidRPr="00834450">
              <w:rPr>
                <w:iCs/>
                <w:lang w:val="lv-LV"/>
              </w:rPr>
              <w:t>būs spēkā līdz 2013.gada 31.decembrim.</w:t>
            </w:r>
            <w:r w:rsidR="00724CA8" w:rsidRPr="00834450">
              <w:rPr>
                <w:iCs/>
                <w:lang w:val="lv-LV"/>
              </w:rPr>
              <w:t xml:space="preserve"> Jaunais Komisijas regulas projekts, saskaņā ar kuru tiek sniegts atbalsts noteikumu projektā paredzētajām </w:t>
            </w:r>
            <w:proofErr w:type="spellStart"/>
            <w:r w:rsidR="00724CA8" w:rsidRPr="00834450">
              <w:rPr>
                <w:i/>
                <w:iCs/>
                <w:lang w:val="lv-LV"/>
              </w:rPr>
              <w:t>de</w:t>
            </w:r>
            <w:proofErr w:type="spellEnd"/>
            <w:r w:rsidR="00724CA8" w:rsidRPr="00834450">
              <w:rPr>
                <w:i/>
                <w:iCs/>
                <w:lang w:val="lv-LV"/>
              </w:rPr>
              <w:t xml:space="preserve"> </w:t>
            </w:r>
            <w:proofErr w:type="spellStart"/>
            <w:r w:rsidR="00724CA8" w:rsidRPr="00834450">
              <w:rPr>
                <w:i/>
                <w:iCs/>
                <w:lang w:val="lv-LV"/>
              </w:rPr>
              <w:t>minimis</w:t>
            </w:r>
            <w:proofErr w:type="spellEnd"/>
            <w:r w:rsidR="00724CA8" w:rsidRPr="00834450">
              <w:rPr>
                <w:iCs/>
                <w:lang w:val="lv-LV"/>
              </w:rPr>
              <w:t xml:space="preserve"> atbalsta aktivitātēm publiskajai konsultācijai Eiropas Komisija publicēja 2013.gada 17.jūlijā. Jaunais Komisijas regulas projekts paredz Komisijas regulas (EK) </w:t>
            </w:r>
            <w:proofErr w:type="spellStart"/>
            <w:r w:rsidR="00724CA8" w:rsidRPr="00834450">
              <w:rPr>
                <w:iCs/>
                <w:lang w:val="lv-LV"/>
              </w:rPr>
              <w:t>Nr</w:t>
            </w:r>
            <w:proofErr w:type="spellEnd"/>
            <w:r w:rsidR="00724CA8" w:rsidRPr="00834450">
              <w:rPr>
                <w:iCs/>
                <w:lang w:val="lv-LV"/>
              </w:rPr>
              <w:t>. 1998/2006 piemērošanas pārejas periodu līdz 2014.gada 30.jūnijam.</w:t>
            </w:r>
            <w:r w:rsidR="00976D1F" w:rsidRPr="00834450">
              <w:rPr>
                <w:iCs/>
                <w:lang w:val="lv-LV"/>
              </w:rPr>
              <w:t xml:space="preserve"> </w:t>
            </w:r>
          </w:p>
          <w:p w:rsidR="00AE6A25" w:rsidRDefault="00B45598" w:rsidP="005A6170">
            <w:pPr>
              <w:ind w:firstLine="341"/>
              <w:jc w:val="both"/>
              <w:rPr>
                <w:iCs/>
                <w:lang w:val="lv-LV"/>
              </w:rPr>
            </w:pPr>
            <w:r>
              <w:rPr>
                <w:iCs/>
                <w:lang w:val="lv-LV"/>
              </w:rPr>
              <w:t xml:space="preserve">Eiropas Komisija 2013.gada 24.jūlijā publiskajai konsultācijai publicēja </w:t>
            </w:r>
            <w:r w:rsidR="00F726D4" w:rsidRPr="009B0C27">
              <w:rPr>
                <w:iCs/>
                <w:lang w:val="lv-LV"/>
              </w:rPr>
              <w:t xml:space="preserve">Komisijas </w:t>
            </w:r>
            <w:r w:rsidR="009B0C27" w:rsidRPr="00834450">
              <w:rPr>
                <w:iCs/>
                <w:lang w:val="lv-LV"/>
              </w:rPr>
              <w:t>R</w:t>
            </w:r>
            <w:r w:rsidR="00F726D4" w:rsidRPr="009B0C27">
              <w:rPr>
                <w:iCs/>
                <w:lang w:val="lv-LV"/>
              </w:rPr>
              <w:t>egula</w:t>
            </w:r>
            <w:r>
              <w:rPr>
                <w:iCs/>
                <w:lang w:val="lv-LV"/>
              </w:rPr>
              <w:t>s</w:t>
            </w:r>
            <w:r w:rsidR="00F726D4" w:rsidRPr="009B0C27">
              <w:rPr>
                <w:iCs/>
                <w:lang w:val="lv-LV"/>
              </w:rPr>
              <w:t xml:space="preserve"> </w:t>
            </w:r>
            <w:proofErr w:type="spellStart"/>
            <w:r w:rsidR="00F726D4" w:rsidRPr="009B0C27">
              <w:rPr>
                <w:iCs/>
                <w:lang w:val="lv-LV"/>
              </w:rPr>
              <w:t>Nr</w:t>
            </w:r>
            <w:proofErr w:type="spellEnd"/>
            <w:r w:rsidR="00F726D4" w:rsidRPr="009B0C27">
              <w:rPr>
                <w:iCs/>
                <w:lang w:val="lv-LV"/>
              </w:rPr>
              <w:t>. 800/2008</w:t>
            </w:r>
            <w:r w:rsidR="00FF0DB8" w:rsidRPr="00834450">
              <w:rPr>
                <w:iCs/>
                <w:lang w:val="lv-LV"/>
              </w:rPr>
              <w:t>,</w:t>
            </w:r>
            <w:r w:rsidR="00892D58" w:rsidRPr="009B0C27">
              <w:rPr>
                <w:iCs/>
                <w:lang w:val="lv-LV"/>
              </w:rPr>
              <w:t xml:space="preserve"> </w:t>
            </w:r>
            <w:r w:rsidR="006850F3" w:rsidRPr="00834450">
              <w:rPr>
                <w:iCs/>
                <w:lang w:val="lv-LV"/>
              </w:rPr>
              <w:t xml:space="preserve">saskaņā ar kuru tiek sniegts atbalsts noteikumu projektā paredzētajām </w:t>
            </w:r>
            <w:r w:rsidRPr="00834450">
              <w:rPr>
                <w:iCs/>
                <w:lang w:val="lv-LV"/>
              </w:rPr>
              <w:t xml:space="preserve">reģionālā atbalsta </w:t>
            </w:r>
            <w:r w:rsidR="006850F3" w:rsidRPr="00834450">
              <w:rPr>
                <w:iCs/>
                <w:lang w:val="lv-LV"/>
              </w:rPr>
              <w:t>aktivitātēm,</w:t>
            </w:r>
            <w:r w:rsidRPr="00834450">
              <w:rPr>
                <w:iCs/>
                <w:lang w:val="lv-LV"/>
              </w:rPr>
              <w:t xml:space="preserve"> pagarinājumu līdz 2014.gada 30.jūnijam. </w:t>
            </w:r>
          </w:p>
          <w:p w:rsidR="005A6170" w:rsidRPr="005A6170" w:rsidRDefault="005A6170" w:rsidP="005A6170">
            <w:pPr>
              <w:ind w:firstLine="341"/>
              <w:jc w:val="both"/>
              <w:rPr>
                <w:szCs w:val="24"/>
                <w:lang w:val="lv-LV"/>
              </w:rPr>
            </w:pPr>
            <w:r w:rsidRPr="00CC6D14">
              <w:rPr>
                <w:lang w:val="lv-LV"/>
              </w:rPr>
              <w:t>Latvijas esošās reģionālā atbals</w:t>
            </w:r>
            <w:r w:rsidR="00D66A09" w:rsidRPr="00D66A09">
              <w:rPr>
                <w:lang w:val="lv-LV"/>
              </w:rPr>
              <w:t>ta kartes pagarinājums līdz 201</w:t>
            </w:r>
            <w:r w:rsidR="00D66A09">
              <w:rPr>
                <w:lang w:val="lv-LV"/>
              </w:rPr>
              <w:t>4</w:t>
            </w:r>
            <w:r w:rsidRPr="00CC6D14">
              <w:rPr>
                <w:lang w:val="lv-LV"/>
              </w:rPr>
              <w:t xml:space="preserve">.gada 30.jūnijam ir apstiprināts Eiropas Komisijā </w:t>
            </w:r>
            <w:proofErr w:type="spellStart"/>
            <w:r w:rsidRPr="00CC6D14">
              <w:rPr>
                <w:lang w:val="lv-LV"/>
              </w:rPr>
              <w:t>š.g</w:t>
            </w:r>
            <w:proofErr w:type="spellEnd"/>
            <w:r w:rsidRPr="00CC6D14">
              <w:rPr>
                <w:lang w:val="lv-LV"/>
              </w:rPr>
              <w:t>. 30.oktobrī.</w:t>
            </w:r>
          </w:p>
        </w:tc>
      </w:tr>
      <w:tr w:rsidR="00340C6E" w:rsidRPr="006A7C4E" w:rsidTr="004B111A">
        <w:trPr>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t>2.</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Citas starptautiskās saistības</w:t>
            </w:r>
          </w:p>
        </w:tc>
        <w:tc>
          <w:tcPr>
            <w:tcW w:w="3749" w:type="pct"/>
            <w:shd w:val="clear" w:color="auto" w:fill="auto"/>
            <w:hideMark/>
          </w:tcPr>
          <w:p w:rsidR="00340C6E" w:rsidRPr="00C071BE" w:rsidRDefault="00E42EB2" w:rsidP="00B679F6">
            <w:pPr>
              <w:ind w:firstLine="341"/>
              <w:jc w:val="both"/>
              <w:rPr>
                <w:szCs w:val="24"/>
                <w:lang w:val="lv-LV"/>
              </w:rPr>
            </w:pPr>
            <w:r w:rsidRPr="00C071BE">
              <w:rPr>
                <w:iCs/>
                <w:lang w:val="lv-LV"/>
              </w:rPr>
              <w:t>Tiesību akta projekts nodrošina Latvijas Republikas un Norvēģijas Karalistes saprašanās memoranda par Norvēģijas finanšu instrumenta ieviešanu 2009.–2014.gadā (apstiprināts ar Ministru kabineta 2011.gada 29.marta noteikumiem Nr.252) īstenošanu.</w:t>
            </w:r>
          </w:p>
        </w:tc>
      </w:tr>
      <w:tr w:rsidR="00340C6E" w:rsidRPr="006A7C4E" w:rsidTr="000B5824">
        <w:trPr>
          <w:trHeight w:val="959"/>
          <w:tblCellSpacing w:w="15" w:type="dxa"/>
        </w:trPr>
        <w:tc>
          <w:tcPr>
            <w:tcW w:w="251" w:type="pct"/>
            <w:shd w:val="clear" w:color="auto" w:fill="auto"/>
            <w:hideMark/>
          </w:tcPr>
          <w:p w:rsidR="00340C6E" w:rsidRPr="00340C6E" w:rsidRDefault="00340C6E" w:rsidP="0087512B">
            <w:pPr>
              <w:rPr>
                <w:szCs w:val="24"/>
                <w:lang w:val="lv-LV"/>
              </w:rPr>
            </w:pPr>
            <w:r w:rsidRPr="00340C6E">
              <w:rPr>
                <w:szCs w:val="24"/>
                <w:lang w:val="lv-LV"/>
              </w:rPr>
              <w:t>3.</w:t>
            </w:r>
          </w:p>
        </w:tc>
        <w:tc>
          <w:tcPr>
            <w:tcW w:w="936" w:type="pct"/>
            <w:shd w:val="clear" w:color="auto" w:fill="auto"/>
            <w:hideMark/>
          </w:tcPr>
          <w:p w:rsidR="00340C6E" w:rsidRPr="00340C6E" w:rsidRDefault="00340C6E" w:rsidP="0087512B">
            <w:pPr>
              <w:jc w:val="both"/>
              <w:rPr>
                <w:szCs w:val="24"/>
                <w:lang w:val="lv-LV"/>
              </w:rPr>
            </w:pPr>
            <w:r w:rsidRPr="00340C6E">
              <w:rPr>
                <w:szCs w:val="24"/>
                <w:lang w:val="lv-LV"/>
              </w:rPr>
              <w:t>Cita informācija</w:t>
            </w:r>
          </w:p>
        </w:tc>
        <w:tc>
          <w:tcPr>
            <w:tcW w:w="3749" w:type="pct"/>
            <w:shd w:val="clear" w:color="auto" w:fill="auto"/>
            <w:hideMark/>
          </w:tcPr>
          <w:p w:rsidR="00340C6E" w:rsidRPr="009B0C27" w:rsidRDefault="000B5824" w:rsidP="009B0C27">
            <w:pPr>
              <w:ind w:firstLine="341"/>
              <w:jc w:val="both"/>
              <w:rPr>
                <w:iCs/>
                <w:lang w:val="lv-LV"/>
              </w:rPr>
            </w:pPr>
            <w:r w:rsidRPr="00C071BE">
              <w:rPr>
                <w:iCs/>
                <w:lang w:val="lv-LV"/>
              </w:rPr>
              <w:t>Tiesību akta projekts nodrošina</w:t>
            </w:r>
            <w:r w:rsidR="009B0C27">
              <w:rPr>
                <w:iCs/>
                <w:lang w:val="lv-LV"/>
              </w:rPr>
              <w:t xml:space="preserve"> </w:t>
            </w:r>
            <w:r w:rsidR="00824428" w:rsidRPr="009B0C27">
              <w:rPr>
                <w:szCs w:val="24"/>
                <w:lang w:val="lv-LV"/>
              </w:rPr>
              <w:t>Komisijas paziņojuma Kopienas pamatnostādnes par valsts atbalstu grūtībās nonākušu uzņēmumu glābšanai un pārstrukturēšanai (2004/C 244/02) (turpmāk – Kopienas pamatnostādnes) ievērošanu.</w:t>
            </w:r>
          </w:p>
          <w:p w:rsidR="004136A9" w:rsidRPr="00C071BE" w:rsidRDefault="009B0C27" w:rsidP="003D015B">
            <w:pPr>
              <w:tabs>
                <w:tab w:val="left" w:pos="835"/>
              </w:tabs>
              <w:jc w:val="both"/>
              <w:rPr>
                <w:szCs w:val="24"/>
                <w:lang w:val="lv-LV"/>
              </w:rPr>
            </w:pPr>
            <w:r>
              <w:rPr>
                <w:szCs w:val="24"/>
                <w:lang w:val="lv-LV"/>
              </w:rPr>
              <w:t xml:space="preserve">Komisijas Regula </w:t>
            </w:r>
            <w:proofErr w:type="spellStart"/>
            <w:r w:rsidRPr="009B0C27">
              <w:rPr>
                <w:szCs w:val="24"/>
                <w:lang w:val="lv-LV"/>
              </w:rPr>
              <w:t>Nr</w:t>
            </w:r>
            <w:proofErr w:type="spellEnd"/>
            <w:r w:rsidRPr="009B0C27">
              <w:rPr>
                <w:szCs w:val="24"/>
                <w:lang w:val="lv-LV"/>
              </w:rPr>
              <w:t>. 800/2008</w:t>
            </w:r>
            <w:r>
              <w:rPr>
                <w:szCs w:val="24"/>
                <w:lang w:val="lv-LV"/>
              </w:rPr>
              <w:t xml:space="preserve"> </w:t>
            </w:r>
            <w:r w:rsidR="0085498B" w:rsidRPr="00C071BE">
              <w:rPr>
                <w:szCs w:val="24"/>
                <w:lang w:val="lv-LV"/>
              </w:rPr>
              <w:t>tiks pārskatīta un Eiropas Savienības līmeņa normatīvais regulējums</w:t>
            </w:r>
            <w:r w:rsidR="000A53B5" w:rsidRPr="00C071BE">
              <w:rPr>
                <w:szCs w:val="24"/>
                <w:lang w:val="lv-LV"/>
              </w:rPr>
              <w:t xml:space="preserve">, kas saistīts ar </w:t>
            </w:r>
            <w:r w:rsidR="00724CA8">
              <w:rPr>
                <w:szCs w:val="24"/>
                <w:lang w:val="lv-LV"/>
              </w:rPr>
              <w:t xml:space="preserve">noteikumu projektā paredzētā </w:t>
            </w:r>
            <w:r w:rsidR="000A53B5" w:rsidRPr="00C071BE">
              <w:rPr>
                <w:szCs w:val="24"/>
                <w:lang w:val="lv-LV"/>
              </w:rPr>
              <w:t xml:space="preserve">reģionālā atbalsta finansēšanu, </w:t>
            </w:r>
            <w:r w:rsidR="00CB3BFA">
              <w:rPr>
                <w:szCs w:val="24"/>
                <w:lang w:val="lv-LV"/>
              </w:rPr>
              <w:t>tiks pagarināts līdz</w:t>
            </w:r>
            <w:r w:rsidR="0085498B" w:rsidRPr="00C071BE">
              <w:rPr>
                <w:szCs w:val="24"/>
                <w:lang w:val="lv-LV"/>
              </w:rPr>
              <w:t xml:space="preserve"> 2014.gada </w:t>
            </w:r>
            <w:r w:rsidR="00CB3BFA">
              <w:rPr>
                <w:szCs w:val="24"/>
                <w:lang w:val="lv-LV"/>
              </w:rPr>
              <w:t>30</w:t>
            </w:r>
            <w:r w:rsidR="0085498B" w:rsidRPr="00C071BE">
              <w:rPr>
                <w:szCs w:val="24"/>
                <w:lang w:val="lv-LV"/>
              </w:rPr>
              <w:t>.</w:t>
            </w:r>
            <w:r w:rsidR="00CB3BFA">
              <w:rPr>
                <w:szCs w:val="24"/>
                <w:lang w:val="lv-LV"/>
              </w:rPr>
              <w:t>jūnijam</w:t>
            </w:r>
            <w:r w:rsidR="0085498B" w:rsidRPr="00C071BE">
              <w:rPr>
                <w:szCs w:val="24"/>
                <w:lang w:val="lv-LV"/>
              </w:rPr>
              <w:t xml:space="preserve">. </w:t>
            </w:r>
            <w:r>
              <w:rPr>
                <w:szCs w:val="24"/>
                <w:lang w:val="lv-LV"/>
              </w:rPr>
              <w:t>R</w:t>
            </w:r>
            <w:r w:rsidR="00CB752D" w:rsidRPr="00C071BE">
              <w:rPr>
                <w:szCs w:val="24"/>
                <w:lang w:val="lv-LV"/>
              </w:rPr>
              <w:t>eģionālā atbalsta regulējum</w:t>
            </w:r>
            <w:r w:rsidR="00165CDF">
              <w:rPr>
                <w:szCs w:val="24"/>
                <w:lang w:val="lv-LV"/>
              </w:rPr>
              <w:t xml:space="preserve">a izmaiņas skar </w:t>
            </w:r>
            <w:r w:rsidR="00CB752D" w:rsidRPr="00C071BE">
              <w:rPr>
                <w:szCs w:val="24"/>
                <w:lang w:val="lv-LV"/>
              </w:rPr>
              <w:t xml:space="preserve">Ministru </w:t>
            </w:r>
            <w:r w:rsidR="00CB752D" w:rsidRPr="00C071BE">
              <w:rPr>
                <w:szCs w:val="24"/>
                <w:lang w:val="lv-LV"/>
              </w:rPr>
              <w:lastRenderedPageBreak/>
              <w:t>kabineta noteikumu projekt</w:t>
            </w:r>
            <w:r>
              <w:rPr>
                <w:szCs w:val="24"/>
                <w:lang w:val="lv-LV"/>
              </w:rPr>
              <w:t>ā paredzēto</w:t>
            </w:r>
            <w:r w:rsidR="00CB3BFA">
              <w:rPr>
                <w:szCs w:val="24"/>
                <w:lang w:val="lv-LV"/>
              </w:rPr>
              <w:t xml:space="preserve"> atbalsta </w:t>
            </w:r>
            <w:r w:rsidR="00724CA8">
              <w:rPr>
                <w:szCs w:val="24"/>
                <w:lang w:val="lv-LV"/>
              </w:rPr>
              <w:t xml:space="preserve">kumulācijas un maksimālās reģionālā atbalsta intensitātes finansēšanas iespēju (noteikumu projekta </w:t>
            </w:r>
            <w:r w:rsidR="00165CDF">
              <w:rPr>
                <w:szCs w:val="24"/>
                <w:lang w:val="lv-LV"/>
              </w:rPr>
              <w:t>15.punkts)</w:t>
            </w:r>
            <w:r w:rsidR="004136A9" w:rsidRPr="00C071BE">
              <w:rPr>
                <w:szCs w:val="24"/>
                <w:lang w:val="lv-LV"/>
              </w:rPr>
              <w:t xml:space="preserve">. </w:t>
            </w:r>
            <w:r w:rsidR="00832D4E">
              <w:rPr>
                <w:szCs w:val="24"/>
                <w:lang w:val="lv-LV"/>
              </w:rPr>
              <w:t>Ministru kabineta noteikumu projektā paredzētās valsts atbalsta aktivitātes, kuras ir plānots sniegt saskaņā</w:t>
            </w:r>
            <w:r w:rsidR="003D015B">
              <w:rPr>
                <w:szCs w:val="24"/>
                <w:lang w:val="lv-LV"/>
              </w:rPr>
              <w:t xml:space="preserve"> ar</w:t>
            </w:r>
            <w:r w:rsidR="00832D4E">
              <w:rPr>
                <w:szCs w:val="24"/>
                <w:lang w:val="lv-LV"/>
              </w:rPr>
              <w:t xml:space="preserve"> </w:t>
            </w:r>
            <w:r w:rsidR="00832D4E" w:rsidRPr="00832D4E">
              <w:rPr>
                <w:szCs w:val="24"/>
                <w:lang w:val="lv-LV"/>
              </w:rPr>
              <w:t>Komisijas Regul</w:t>
            </w:r>
            <w:r w:rsidR="00832D4E">
              <w:rPr>
                <w:szCs w:val="24"/>
                <w:lang w:val="lv-LV"/>
              </w:rPr>
              <w:t>u</w:t>
            </w:r>
            <w:r w:rsidR="00832D4E" w:rsidRPr="00832D4E">
              <w:rPr>
                <w:szCs w:val="24"/>
                <w:lang w:val="lv-LV"/>
              </w:rPr>
              <w:t xml:space="preserve"> </w:t>
            </w:r>
            <w:proofErr w:type="spellStart"/>
            <w:r w:rsidR="00832D4E" w:rsidRPr="00832D4E">
              <w:rPr>
                <w:szCs w:val="24"/>
                <w:lang w:val="lv-LV"/>
              </w:rPr>
              <w:t>Nr</w:t>
            </w:r>
            <w:proofErr w:type="spellEnd"/>
            <w:r w:rsidR="00832D4E" w:rsidRPr="00832D4E">
              <w:rPr>
                <w:szCs w:val="24"/>
                <w:lang w:val="lv-LV"/>
              </w:rPr>
              <w:t>. 800/2008</w:t>
            </w:r>
            <w:r w:rsidR="00165CDF">
              <w:rPr>
                <w:szCs w:val="24"/>
                <w:lang w:val="lv-LV"/>
              </w:rPr>
              <w:t>,</w:t>
            </w:r>
            <w:r w:rsidR="00832D4E" w:rsidRPr="00832D4E">
              <w:rPr>
                <w:szCs w:val="24"/>
                <w:lang w:val="lv-LV"/>
              </w:rPr>
              <w:t xml:space="preserve"> </w:t>
            </w:r>
            <w:r w:rsidR="00832D4E">
              <w:rPr>
                <w:szCs w:val="24"/>
                <w:lang w:val="lv-LV"/>
              </w:rPr>
              <w:t>ir atbilstošas Latvijas reģionālās stratēģijas dokumentos paredzētajām prioritātēm- atbalsts paredz</w:t>
            </w:r>
            <w:r w:rsidR="00FE3715">
              <w:rPr>
                <w:szCs w:val="24"/>
                <w:lang w:val="lv-LV"/>
              </w:rPr>
              <w:t xml:space="preserve">ēts </w:t>
            </w:r>
            <w:r w:rsidR="00FE3715" w:rsidRPr="00FE3715">
              <w:rPr>
                <w:szCs w:val="24"/>
                <w:lang w:val="lv-LV"/>
              </w:rPr>
              <w:t>Nacionālās industriālās politikas (NIP) pamatnostād</w:t>
            </w:r>
            <w:r w:rsidR="00FE3715">
              <w:rPr>
                <w:szCs w:val="24"/>
                <w:lang w:val="lv-LV"/>
              </w:rPr>
              <w:t>nēs</w:t>
            </w:r>
            <w:r w:rsidR="00FE3715" w:rsidRPr="00FE3715">
              <w:rPr>
                <w:szCs w:val="24"/>
                <w:lang w:val="lv-LV"/>
              </w:rPr>
              <w:t xml:space="preserve"> 2013.-2020.gadam</w:t>
            </w:r>
            <w:r w:rsidR="00FE3715">
              <w:rPr>
                <w:szCs w:val="24"/>
                <w:lang w:val="lv-LV"/>
              </w:rPr>
              <w:t xml:space="preserve"> un </w:t>
            </w:r>
            <w:r w:rsidR="00760981" w:rsidRPr="00760981">
              <w:rPr>
                <w:szCs w:val="24"/>
                <w:lang w:val="lv-LV"/>
              </w:rPr>
              <w:t>Latvijas preču un pakalpojumu eksporta veicināšanas un ārvalstu investīciju piesaistes pamatnostādn</w:t>
            </w:r>
            <w:r w:rsidR="00760981">
              <w:rPr>
                <w:szCs w:val="24"/>
                <w:lang w:val="lv-LV"/>
              </w:rPr>
              <w:t>ē</w:t>
            </w:r>
            <w:r w:rsidR="00760981" w:rsidRPr="00760981">
              <w:rPr>
                <w:szCs w:val="24"/>
                <w:lang w:val="lv-LV"/>
              </w:rPr>
              <w:t>s 2013.-2019.gadam</w:t>
            </w:r>
            <w:r w:rsidR="00165CDF">
              <w:rPr>
                <w:szCs w:val="24"/>
                <w:lang w:val="lv-LV"/>
              </w:rPr>
              <w:t xml:space="preserve">, kā arī Nacionālā attīstības plāna (NAP) 2014.- 2020.gadam </w:t>
            </w:r>
            <w:r w:rsidR="00AB172D">
              <w:rPr>
                <w:szCs w:val="24"/>
                <w:lang w:val="lv-LV"/>
              </w:rPr>
              <w:t>rīcības virziena „</w:t>
            </w:r>
            <w:r w:rsidR="004F44D4">
              <w:rPr>
                <w:szCs w:val="24"/>
                <w:lang w:val="lv-LV"/>
              </w:rPr>
              <w:t>E</w:t>
            </w:r>
            <w:r w:rsidR="00AB172D">
              <w:rPr>
                <w:szCs w:val="24"/>
                <w:lang w:val="lv-LV"/>
              </w:rPr>
              <w:t>nergoefektivitāte un enerģijas ražošana” uzdevum</w:t>
            </w:r>
            <w:r w:rsidR="003D015B">
              <w:rPr>
                <w:szCs w:val="24"/>
                <w:lang w:val="lv-LV"/>
              </w:rPr>
              <w:t>am</w:t>
            </w:r>
            <w:r w:rsidR="00AB172D">
              <w:rPr>
                <w:szCs w:val="24"/>
                <w:lang w:val="lv-LV"/>
              </w:rPr>
              <w:t xml:space="preserve"> „Atbalsts inovatīvu un energoefektivitātes tehnoloģiju projektiem”. </w:t>
            </w:r>
          </w:p>
        </w:tc>
      </w:tr>
    </w:tbl>
    <w:p w:rsidR="00340C6E" w:rsidRDefault="00340C6E">
      <w:pPr>
        <w:spacing w:after="60"/>
        <w:rPr>
          <w:szCs w:val="24"/>
          <w:lang w:val="lv-LV"/>
        </w:rPr>
      </w:pPr>
    </w:p>
    <w:p w:rsidR="00C071BE" w:rsidRDefault="00C071BE">
      <w:pPr>
        <w:rPr>
          <w:szCs w:val="24"/>
          <w:lang w:val="lv-LV"/>
        </w:rPr>
      </w:pPr>
      <w:r>
        <w:rPr>
          <w:szCs w:val="24"/>
          <w:lang w:val="lv-LV"/>
        </w:rPr>
        <w:br w:type="page"/>
      </w:r>
    </w:p>
    <w:p w:rsidR="00632F16" w:rsidRDefault="00632F16">
      <w:pPr>
        <w:spacing w:after="60"/>
        <w:rPr>
          <w:szCs w:val="24"/>
          <w:lang w:val="lv-LV"/>
        </w:rPr>
      </w:pP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33"/>
        <w:gridCol w:w="1380"/>
        <w:gridCol w:w="1714"/>
        <w:gridCol w:w="4585"/>
      </w:tblGrid>
      <w:tr w:rsidR="00340C6E" w:rsidRPr="006A7C4E" w:rsidTr="0087512B">
        <w:trPr>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b/>
                <w:bCs/>
                <w:szCs w:val="24"/>
                <w:lang w:val="lv-LV"/>
              </w:rPr>
            </w:pPr>
            <w:r w:rsidRPr="00340C6E">
              <w:rPr>
                <w:b/>
                <w:bCs/>
                <w:szCs w:val="24"/>
                <w:lang w:val="lv-LV"/>
              </w:rPr>
              <w:t>1.tabula</w:t>
            </w:r>
            <w:r w:rsidRPr="00340C6E">
              <w:rPr>
                <w:b/>
                <w:bCs/>
                <w:szCs w:val="24"/>
                <w:lang w:val="lv-LV"/>
              </w:rPr>
              <w:br/>
              <w:t>Tiesību akta projekta atbilstība ES tiesību aktiem</w:t>
            </w:r>
          </w:p>
        </w:tc>
      </w:tr>
      <w:tr w:rsidR="00CF6DE0" w:rsidRPr="001F10BC" w:rsidTr="00FE241C">
        <w:trPr>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both"/>
              <w:rPr>
                <w:szCs w:val="24"/>
                <w:lang w:val="lv-LV"/>
              </w:rPr>
            </w:pPr>
            <w:r w:rsidRPr="00340C6E">
              <w:rPr>
                <w:szCs w:val="24"/>
                <w:lang w:val="lv-LV"/>
              </w:rPr>
              <w:t>Attiecīgā ES tiesību akta datums, numurs un nosaukums</w:t>
            </w:r>
          </w:p>
        </w:tc>
        <w:tc>
          <w:tcPr>
            <w:tcW w:w="4135"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51293" w:rsidRPr="00B1531D" w:rsidRDefault="00F51293" w:rsidP="00F51293">
            <w:pPr>
              <w:jc w:val="both"/>
              <w:rPr>
                <w:szCs w:val="24"/>
                <w:lang w:val="lv-LV"/>
              </w:rPr>
            </w:pPr>
            <w:r w:rsidRPr="00B1531D">
              <w:rPr>
                <w:szCs w:val="24"/>
                <w:lang w:val="lv-LV"/>
              </w:rPr>
              <w:t>Tiesību akta projekts nodrošina šādu Eiropas Savienības tiesību akta prasību ievērošanu:</w:t>
            </w:r>
          </w:p>
          <w:p w:rsidR="00F51293" w:rsidRPr="00632F16" w:rsidRDefault="00A540FF" w:rsidP="00632F16">
            <w:pPr>
              <w:numPr>
                <w:ilvl w:val="1"/>
                <w:numId w:val="2"/>
              </w:numPr>
              <w:tabs>
                <w:tab w:val="left" w:pos="835"/>
              </w:tabs>
              <w:jc w:val="both"/>
              <w:rPr>
                <w:b/>
                <w:szCs w:val="24"/>
                <w:lang w:val="lv-LV"/>
              </w:rPr>
            </w:pPr>
            <w:r w:rsidRPr="00632F16">
              <w:rPr>
                <w:szCs w:val="24"/>
                <w:lang w:val="lv-LV"/>
              </w:rPr>
              <w:t xml:space="preserve">Komisijas Regula </w:t>
            </w:r>
            <w:proofErr w:type="spellStart"/>
            <w:r w:rsidRPr="00632F16">
              <w:rPr>
                <w:szCs w:val="24"/>
                <w:lang w:val="lv-LV"/>
              </w:rPr>
              <w:t>Nr</w:t>
            </w:r>
            <w:proofErr w:type="spellEnd"/>
            <w:r w:rsidRPr="00632F16">
              <w:rPr>
                <w:szCs w:val="24"/>
                <w:lang w:val="lv-LV"/>
              </w:rPr>
              <w:t>. 800/2008</w:t>
            </w:r>
            <w:r w:rsidR="00F51293" w:rsidRPr="00632F16">
              <w:rPr>
                <w:b/>
                <w:szCs w:val="24"/>
                <w:lang w:val="lv-LV"/>
              </w:rPr>
              <w:t>;</w:t>
            </w:r>
          </w:p>
          <w:p w:rsidR="00A540FF" w:rsidRPr="00D97559" w:rsidRDefault="00A540FF" w:rsidP="00632F16">
            <w:pPr>
              <w:numPr>
                <w:ilvl w:val="1"/>
                <w:numId w:val="2"/>
              </w:numPr>
              <w:tabs>
                <w:tab w:val="left" w:pos="835"/>
              </w:tabs>
              <w:jc w:val="both"/>
              <w:rPr>
                <w:b/>
                <w:szCs w:val="24"/>
                <w:lang w:val="lv-LV"/>
              </w:rPr>
            </w:pPr>
            <w:proofErr w:type="spellStart"/>
            <w:r w:rsidRPr="00632F16">
              <w:rPr>
                <w:bCs/>
                <w:szCs w:val="24"/>
              </w:rPr>
              <w:t>Komisijas</w:t>
            </w:r>
            <w:proofErr w:type="spellEnd"/>
            <w:r w:rsidRPr="00632F16">
              <w:rPr>
                <w:bCs/>
                <w:szCs w:val="24"/>
              </w:rPr>
              <w:t xml:space="preserve"> </w:t>
            </w:r>
            <w:proofErr w:type="spellStart"/>
            <w:r w:rsidRPr="00632F16">
              <w:rPr>
                <w:bCs/>
                <w:szCs w:val="24"/>
              </w:rPr>
              <w:t>Regula</w:t>
            </w:r>
            <w:proofErr w:type="spellEnd"/>
            <w:r w:rsidRPr="00632F16">
              <w:rPr>
                <w:bCs/>
                <w:szCs w:val="24"/>
              </w:rPr>
              <w:t xml:space="preserve"> </w:t>
            </w:r>
            <w:r w:rsidR="00F95943">
              <w:rPr>
                <w:bCs/>
                <w:szCs w:val="24"/>
              </w:rPr>
              <w:t>Nr.1998/2006.</w:t>
            </w:r>
          </w:p>
        </w:tc>
      </w:tr>
      <w:tr w:rsidR="00FB570D" w:rsidRPr="001F10BC" w:rsidTr="00FE241C">
        <w:trPr>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A</w:t>
            </w:r>
          </w:p>
        </w:tc>
        <w:tc>
          <w:tcPr>
            <w:tcW w:w="7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B</w:t>
            </w:r>
          </w:p>
        </w:tc>
        <w:tc>
          <w:tcPr>
            <w:tcW w:w="92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C</w:t>
            </w:r>
          </w:p>
        </w:tc>
        <w:tc>
          <w:tcPr>
            <w:tcW w:w="24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40C6E" w:rsidRPr="00340C6E" w:rsidRDefault="00340C6E" w:rsidP="0087512B">
            <w:pPr>
              <w:jc w:val="center"/>
              <w:rPr>
                <w:szCs w:val="24"/>
                <w:lang w:val="lv-LV"/>
              </w:rPr>
            </w:pPr>
            <w:r w:rsidRPr="00340C6E">
              <w:rPr>
                <w:szCs w:val="24"/>
                <w:lang w:val="lv-LV"/>
              </w:rPr>
              <w:t>D</w:t>
            </w:r>
          </w:p>
        </w:tc>
      </w:tr>
      <w:tr w:rsidR="00FB570D" w:rsidRPr="00C040C4" w:rsidTr="00FE241C">
        <w:trPr>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jc w:val="both"/>
            </w:pPr>
            <w:proofErr w:type="spellStart"/>
            <w:r w:rsidRPr="00340C6E">
              <w:t>Attiecīgā</w:t>
            </w:r>
            <w:proofErr w:type="spellEnd"/>
            <w:r w:rsidRPr="00340C6E">
              <w:t xml:space="preserve"> ES </w:t>
            </w:r>
            <w:proofErr w:type="spellStart"/>
            <w:r w:rsidRPr="00340C6E">
              <w:t>tiesību</w:t>
            </w:r>
            <w:proofErr w:type="spellEnd"/>
            <w:r w:rsidRPr="00340C6E">
              <w:t xml:space="preserve"> </w:t>
            </w:r>
            <w:proofErr w:type="spellStart"/>
            <w:r w:rsidRPr="00340C6E">
              <w:t>akta</w:t>
            </w:r>
            <w:proofErr w:type="spellEnd"/>
            <w:r w:rsidRPr="00340C6E">
              <w:t xml:space="preserve"> </w:t>
            </w:r>
            <w:proofErr w:type="spellStart"/>
            <w:r w:rsidRPr="00340C6E">
              <w:t>panta</w:t>
            </w:r>
            <w:proofErr w:type="spellEnd"/>
            <w:r w:rsidRPr="00340C6E">
              <w:t xml:space="preserve"> </w:t>
            </w:r>
            <w:proofErr w:type="spellStart"/>
            <w:r w:rsidRPr="00340C6E">
              <w:t>numurs</w:t>
            </w:r>
            <w:proofErr w:type="spellEnd"/>
            <w:r w:rsidRPr="00340C6E">
              <w:t xml:space="preserve"> (</w:t>
            </w:r>
            <w:proofErr w:type="spellStart"/>
            <w:r w:rsidRPr="00340C6E">
              <w:t>uzskaitot</w:t>
            </w:r>
            <w:proofErr w:type="spellEnd"/>
            <w:r w:rsidRPr="00340C6E">
              <w:t xml:space="preserve"> </w:t>
            </w:r>
            <w:proofErr w:type="spellStart"/>
            <w:r w:rsidRPr="00340C6E">
              <w:t>katru</w:t>
            </w:r>
            <w:proofErr w:type="spellEnd"/>
            <w:r w:rsidRPr="00340C6E">
              <w:t xml:space="preserve"> </w:t>
            </w:r>
            <w:proofErr w:type="spellStart"/>
            <w:r w:rsidRPr="00340C6E">
              <w:t>tiesību</w:t>
            </w:r>
            <w:proofErr w:type="spellEnd"/>
            <w:r w:rsidRPr="00340C6E">
              <w:t xml:space="preserve"> </w:t>
            </w:r>
            <w:proofErr w:type="spellStart"/>
            <w:r w:rsidRPr="00340C6E">
              <w:t>akta</w:t>
            </w:r>
            <w:proofErr w:type="spellEnd"/>
            <w:r w:rsidRPr="00340C6E">
              <w:t xml:space="preserve"> </w:t>
            </w:r>
            <w:r w:rsidRPr="00340C6E">
              <w:br/>
            </w:r>
            <w:proofErr w:type="spellStart"/>
            <w:r w:rsidRPr="00340C6E">
              <w:t>vienību</w:t>
            </w:r>
            <w:proofErr w:type="spellEnd"/>
            <w:r w:rsidRPr="00340C6E">
              <w:t xml:space="preserve"> – </w:t>
            </w:r>
            <w:proofErr w:type="spellStart"/>
            <w:r w:rsidRPr="00340C6E">
              <w:t>pantu</w:t>
            </w:r>
            <w:proofErr w:type="spellEnd"/>
            <w:r w:rsidRPr="00340C6E">
              <w:t xml:space="preserve">, </w:t>
            </w:r>
            <w:proofErr w:type="spellStart"/>
            <w:r w:rsidRPr="00340C6E">
              <w:t>daļu</w:t>
            </w:r>
            <w:proofErr w:type="spellEnd"/>
            <w:r w:rsidRPr="00340C6E">
              <w:t xml:space="preserve">, </w:t>
            </w:r>
            <w:proofErr w:type="spellStart"/>
            <w:r w:rsidRPr="00340C6E">
              <w:t>punktu</w:t>
            </w:r>
            <w:proofErr w:type="spellEnd"/>
            <w:r w:rsidRPr="00340C6E">
              <w:t xml:space="preserve">, </w:t>
            </w:r>
            <w:proofErr w:type="spellStart"/>
            <w:r w:rsidRPr="00340C6E">
              <w:t>apakšpunktu</w:t>
            </w:r>
            <w:proofErr w:type="spellEnd"/>
            <w:r w:rsidRPr="00340C6E">
              <w:t>)</w:t>
            </w:r>
          </w:p>
        </w:tc>
        <w:tc>
          <w:tcPr>
            <w:tcW w:w="740"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jc w:val="both"/>
            </w:pPr>
            <w:proofErr w:type="spellStart"/>
            <w:r w:rsidRPr="00340C6E">
              <w:t>Projekta</w:t>
            </w:r>
            <w:proofErr w:type="spellEnd"/>
            <w:r w:rsidRPr="00340C6E">
              <w:t xml:space="preserve"> </w:t>
            </w:r>
            <w:proofErr w:type="spellStart"/>
            <w:r w:rsidRPr="00340C6E">
              <w:t>vienība</w:t>
            </w:r>
            <w:proofErr w:type="spellEnd"/>
            <w:r w:rsidRPr="00340C6E">
              <w:t xml:space="preserve">, </w:t>
            </w:r>
            <w:proofErr w:type="spellStart"/>
            <w:r w:rsidRPr="00340C6E">
              <w:t>kas</w:t>
            </w:r>
            <w:proofErr w:type="spellEnd"/>
            <w:r w:rsidRPr="00340C6E">
              <w:t xml:space="preserve"> </w:t>
            </w:r>
            <w:proofErr w:type="spellStart"/>
            <w:r w:rsidRPr="00340C6E">
              <w:t>pārņem</w:t>
            </w:r>
            <w:proofErr w:type="spellEnd"/>
            <w:r w:rsidRPr="00340C6E">
              <w:t xml:space="preserve"> </w:t>
            </w:r>
            <w:proofErr w:type="spellStart"/>
            <w:r w:rsidRPr="00340C6E">
              <w:t>vai</w:t>
            </w:r>
            <w:proofErr w:type="spellEnd"/>
            <w:r w:rsidRPr="00340C6E">
              <w:t xml:space="preserve"> </w:t>
            </w:r>
            <w:proofErr w:type="spellStart"/>
            <w:r w:rsidRPr="00340C6E">
              <w:t>ievieš</w:t>
            </w:r>
            <w:proofErr w:type="spellEnd"/>
            <w:r w:rsidRPr="00340C6E">
              <w:t xml:space="preserve"> </w:t>
            </w:r>
            <w:proofErr w:type="spellStart"/>
            <w:r w:rsidRPr="00340C6E">
              <w:t>katru</w:t>
            </w:r>
            <w:proofErr w:type="spellEnd"/>
            <w:r w:rsidRPr="00340C6E">
              <w:t xml:space="preserve"> </w:t>
            </w:r>
            <w:proofErr w:type="spellStart"/>
            <w:r w:rsidRPr="00340C6E">
              <w:t>šīs</w:t>
            </w:r>
            <w:proofErr w:type="spellEnd"/>
            <w:r w:rsidRPr="00340C6E">
              <w:t xml:space="preserve"> </w:t>
            </w:r>
            <w:proofErr w:type="spellStart"/>
            <w:r w:rsidRPr="00340C6E">
              <w:t>tabulas</w:t>
            </w:r>
            <w:proofErr w:type="spellEnd"/>
            <w:r w:rsidRPr="00340C6E">
              <w:t xml:space="preserve"> A </w:t>
            </w:r>
            <w:proofErr w:type="spellStart"/>
            <w:r w:rsidRPr="00340C6E">
              <w:t>ailē</w:t>
            </w:r>
            <w:proofErr w:type="spellEnd"/>
            <w:r w:rsidRPr="00340C6E">
              <w:t xml:space="preserve"> </w:t>
            </w:r>
            <w:proofErr w:type="spellStart"/>
            <w:r w:rsidRPr="00340C6E">
              <w:t>minēto</w:t>
            </w:r>
            <w:proofErr w:type="spellEnd"/>
            <w:r w:rsidRPr="00340C6E">
              <w:t xml:space="preserve"> ES </w:t>
            </w:r>
            <w:proofErr w:type="spellStart"/>
            <w:r w:rsidRPr="00340C6E">
              <w:t>tiesību</w:t>
            </w:r>
            <w:proofErr w:type="spellEnd"/>
            <w:r w:rsidRPr="00340C6E">
              <w:t xml:space="preserve"> </w:t>
            </w:r>
            <w:proofErr w:type="spellStart"/>
            <w:r w:rsidRPr="00340C6E">
              <w:t>akta</w:t>
            </w:r>
            <w:proofErr w:type="spellEnd"/>
            <w:r w:rsidRPr="00340C6E">
              <w:t xml:space="preserve"> </w:t>
            </w:r>
            <w:proofErr w:type="spellStart"/>
            <w:r w:rsidRPr="00340C6E">
              <w:t>vienību</w:t>
            </w:r>
            <w:proofErr w:type="spellEnd"/>
          </w:p>
        </w:tc>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jc w:val="both"/>
            </w:pPr>
            <w:proofErr w:type="spellStart"/>
            <w:r w:rsidRPr="00340C6E">
              <w:t>Informācija</w:t>
            </w:r>
            <w:proofErr w:type="spellEnd"/>
            <w:r w:rsidRPr="00340C6E">
              <w:t xml:space="preserve"> par to, </w:t>
            </w:r>
            <w:proofErr w:type="spellStart"/>
            <w:r w:rsidRPr="00340C6E">
              <w:t>vai</w:t>
            </w:r>
            <w:proofErr w:type="spellEnd"/>
            <w:r w:rsidRPr="00340C6E">
              <w:t xml:space="preserve"> </w:t>
            </w:r>
            <w:proofErr w:type="spellStart"/>
            <w:r w:rsidRPr="00340C6E">
              <w:t>šīs</w:t>
            </w:r>
            <w:proofErr w:type="spellEnd"/>
            <w:r w:rsidRPr="00340C6E">
              <w:t xml:space="preserve"> </w:t>
            </w:r>
            <w:proofErr w:type="spellStart"/>
            <w:r w:rsidRPr="00340C6E">
              <w:t>tabulas</w:t>
            </w:r>
            <w:proofErr w:type="spellEnd"/>
            <w:r w:rsidRPr="00340C6E">
              <w:t xml:space="preserve"> </w:t>
            </w:r>
            <w:proofErr w:type="gramStart"/>
            <w:r w:rsidRPr="00340C6E">
              <w:t>A</w:t>
            </w:r>
            <w:proofErr w:type="gramEnd"/>
            <w:r w:rsidRPr="00340C6E">
              <w:t> </w:t>
            </w:r>
            <w:proofErr w:type="spellStart"/>
            <w:r w:rsidRPr="00340C6E">
              <w:t>ailē</w:t>
            </w:r>
            <w:proofErr w:type="spellEnd"/>
            <w:r w:rsidRPr="00340C6E">
              <w:t xml:space="preserve"> </w:t>
            </w:r>
            <w:proofErr w:type="spellStart"/>
            <w:r w:rsidRPr="00340C6E">
              <w:t>minētās</w:t>
            </w:r>
            <w:proofErr w:type="spellEnd"/>
            <w:r w:rsidRPr="00340C6E">
              <w:t xml:space="preserve"> ES </w:t>
            </w:r>
            <w:proofErr w:type="spellStart"/>
            <w:r w:rsidRPr="00340C6E">
              <w:t>tiesību</w:t>
            </w:r>
            <w:proofErr w:type="spellEnd"/>
            <w:r w:rsidRPr="00340C6E">
              <w:t xml:space="preserve"> </w:t>
            </w:r>
            <w:proofErr w:type="spellStart"/>
            <w:r w:rsidRPr="00340C6E">
              <w:t>akta</w:t>
            </w:r>
            <w:proofErr w:type="spellEnd"/>
            <w:r w:rsidRPr="00340C6E">
              <w:t xml:space="preserve"> </w:t>
            </w:r>
            <w:proofErr w:type="spellStart"/>
            <w:r w:rsidRPr="00340C6E">
              <w:t>vienības</w:t>
            </w:r>
            <w:proofErr w:type="spellEnd"/>
            <w:r w:rsidRPr="00340C6E">
              <w:t xml:space="preserve"> </w:t>
            </w:r>
            <w:proofErr w:type="spellStart"/>
            <w:r w:rsidRPr="00340C6E">
              <w:t>tiek</w:t>
            </w:r>
            <w:proofErr w:type="spellEnd"/>
            <w:r w:rsidRPr="00340C6E">
              <w:t xml:space="preserve"> </w:t>
            </w:r>
            <w:proofErr w:type="spellStart"/>
            <w:r w:rsidRPr="00340C6E">
              <w:t>pārņemtas</w:t>
            </w:r>
            <w:proofErr w:type="spellEnd"/>
            <w:r w:rsidRPr="00340C6E">
              <w:t xml:space="preserve"> </w:t>
            </w:r>
            <w:proofErr w:type="spellStart"/>
            <w:r w:rsidRPr="00340C6E">
              <w:t>vai</w:t>
            </w:r>
            <w:proofErr w:type="spellEnd"/>
            <w:r w:rsidRPr="00340C6E">
              <w:t xml:space="preserve"> </w:t>
            </w:r>
            <w:proofErr w:type="spellStart"/>
            <w:r w:rsidRPr="00340C6E">
              <w:t>ieviestas</w:t>
            </w:r>
            <w:proofErr w:type="spellEnd"/>
            <w:r w:rsidRPr="00340C6E">
              <w:t xml:space="preserve"> </w:t>
            </w:r>
            <w:proofErr w:type="spellStart"/>
            <w:r w:rsidRPr="00340C6E">
              <w:t>pilnībā</w:t>
            </w:r>
            <w:proofErr w:type="spellEnd"/>
            <w:r w:rsidRPr="00340C6E">
              <w:t xml:space="preserve"> </w:t>
            </w:r>
            <w:proofErr w:type="spellStart"/>
            <w:r w:rsidRPr="00340C6E">
              <w:t>vai</w:t>
            </w:r>
            <w:proofErr w:type="spellEnd"/>
            <w:r w:rsidRPr="00340C6E">
              <w:t xml:space="preserve"> </w:t>
            </w:r>
            <w:proofErr w:type="spellStart"/>
            <w:r w:rsidRPr="00340C6E">
              <w:t>daļēji</w:t>
            </w:r>
            <w:proofErr w:type="spellEnd"/>
            <w:r w:rsidRPr="00340C6E">
              <w:t>.</w:t>
            </w:r>
          </w:p>
          <w:p w:rsidR="00340C6E" w:rsidRPr="00340C6E" w:rsidRDefault="00340C6E" w:rsidP="0087512B">
            <w:pPr>
              <w:jc w:val="both"/>
            </w:pPr>
            <w:proofErr w:type="spellStart"/>
            <w:r w:rsidRPr="00340C6E">
              <w:t>Ja</w:t>
            </w:r>
            <w:proofErr w:type="spellEnd"/>
            <w:r w:rsidRPr="00340C6E">
              <w:t xml:space="preserve"> </w:t>
            </w:r>
            <w:proofErr w:type="spellStart"/>
            <w:r w:rsidRPr="00340C6E">
              <w:t>attiecīgā</w:t>
            </w:r>
            <w:proofErr w:type="spellEnd"/>
            <w:r w:rsidRPr="00340C6E">
              <w:t xml:space="preserve"> ES </w:t>
            </w:r>
            <w:proofErr w:type="spellStart"/>
            <w:r w:rsidRPr="00340C6E">
              <w:t>tiesību</w:t>
            </w:r>
            <w:proofErr w:type="spellEnd"/>
            <w:r w:rsidRPr="00340C6E">
              <w:t xml:space="preserve"> </w:t>
            </w:r>
            <w:proofErr w:type="spellStart"/>
            <w:r w:rsidRPr="00340C6E">
              <w:t>akta</w:t>
            </w:r>
            <w:proofErr w:type="spellEnd"/>
            <w:r w:rsidRPr="00340C6E">
              <w:t xml:space="preserve"> </w:t>
            </w:r>
            <w:proofErr w:type="spellStart"/>
            <w:r w:rsidRPr="00340C6E">
              <w:t>vienība</w:t>
            </w:r>
            <w:proofErr w:type="spellEnd"/>
            <w:r w:rsidRPr="00340C6E">
              <w:t xml:space="preserve"> </w:t>
            </w:r>
            <w:proofErr w:type="spellStart"/>
            <w:r w:rsidRPr="00340C6E">
              <w:t>tiek</w:t>
            </w:r>
            <w:proofErr w:type="spellEnd"/>
            <w:r w:rsidRPr="00340C6E">
              <w:t xml:space="preserve"> </w:t>
            </w:r>
            <w:proofErr w:type="spellStart"/>
            <w:r w:rsidRPr="00340C6E">
              <w:t>pārņemta</w:t>
            </w:r>
            <w:proofErr w:type="spellEnd"/>
            <w:r w:rsidRPr="00340C6E">
              <w:t xml:space="preserve"> </w:t>
            </w:r>
            <w:proofErr w:type="spellStart"/>
            <w:r w:rsidRPr="00340C6E">
              <w:t>vai</w:t>
            </w:r>
            <w:proofErr w:type="spellEnd"/>
            <w:r w:rsidRPr="00340C6E">
              <w:t xml:space="preserve"> </w:t>
            </w:r>
            <w:proofErr w:type="spellStart"/>
            <w:r w:rsidRPr="00340C6E">
              <w:t>ieviesta</w:t>
            </w:r>
            <w:proofErr w:type="spellEnd"/>
            <w:r w:rsidRPr="00340C6E">
              <w:t xml:space="preserve"> </w:t>
            </w:r>
            <w:proofErr w:type="spellStart"/>
            <w:r w:rsidRPr="00340C6E">
              <w:t>daļēji</w:t>
            </w:r>
            <w:proofErr w:type="spellEnd"/>
            <w:r w:rsidRPr="00340C6E">
              <w:t xml:space="preserve">, – </w:t>
            </w:r>
            <w:proofErr w:type="spellStart"/>
            <w:r w:rsidRPr="00340C6E">
              <w:t>sniedz</w:t>
            </w:r>
            <w:proofErr w:type="spellEnd"/>
            <w:r w:rsidRPr="00340C6E">
              <w:t xml:space="preserve"> </w:t>
            </w:r>
            <w:proofErr w:type="spellStart"/>
            <w:r w:rsidRPr="00340C6E">
              <w:t>attiecīgu</w:t>
            </w:r>
            <w:proofErr w:type="spellEnd"/>
            <w:r w:rsidRPr="00340C6E">
              <w:t xml:space="preserve"> </w:t>
            </w:r>
            <w:proofErr w:type="spellStart"/>
            <w:r w:rsidRPr="00340C6E">
              <w:t>skaidrojumu</w:t>
            </w:r>
            <w:proofErr w:type="spellEnd"/>
            <w:r w:rsidRPr="00340C6E">
              <w:t xml:space="preserve">, </w:t>
            </w:r>
            <w:proofErr w:type="spellStart"/>
            <w:r w:rsidRPr="00340C6E">
              <w:t>kā</w:t>
            </w:r>
            <w:proofErr w:type="spellEnd"/>
            <w:r w:rsidRPr="00340C6E">
              <w:t xml:space="preserve"> </w:t>
            </w:r>
            <w:proofErr w:type="spellStart"/>
            <w:r w:rsidRPr="00340C6E">
              <w:t>arī</w:t>
            </w:r>
            <w:proofErr w:type="spellEnd"/>
            <w:r w:rsidRPr="00340C6E">
              <w:t xml:space="preserve"> </w:t>
            </w:r>
            <w:proofErr w:type="spellStart"/>
            <w:r w:rsidRPr="00340C6E">
              <w:t>precīzi</w:t>
            </w:r>
            <w:proofErr w:type="spellEnd"/>
            <w:r w:rsidRPr="00340C6E">
              <w:t xml:space="preserve"> </w:t>
            </w:r>
            <w:proofErr w:type="spellStart"/>
            <w:r w:rsidRPr="00340C6E">
              <w:t>norāda</w:t>
            </w:r>
            <w:proofErr w:type="spellEnd"/>
            <w:r w:rsidRPr="00340C6E">
              <w:t xml:space="preserve">, </w:t>
            </w:r>
            <w:proofErr w:type="spellStart"/>
            <w:r w:rsidRPr="00340C6E">
              <w:t>kad</w:t>
            </w:r>
            <w:proofErr w:type="spellEnd"/>
            <w:r w:rsidRPr="00340C6E">
              <w:t xml:space="preserve"> un </w:t>
            </w:r>
            <w:proofErr w:type="spellStart"/>
            <w:r w:rsidRPr="00340C6E">
              <w:t>kādā</w:t>
            </w:r>
            <w:proofErr w:type="spellEnd"/>
            <w:r w:rsidRPr="00340C6E">
              <w:t xml:space="preserve"> </w:t>
            </w:r>
            <w:proofErr w:type="spellStart"/>
            <w:r w:rsidRPr="00340C6E">
              <w:t>veidā</w:t>
            </w:r>
            <w:proofErr w:type="spellEnd"/>
            <w:r w:rsidRPr="00340C6E">
              <w:t xml:space="preserve"> ES </w:t>
            </w:r>
            <w:proofErr w:type="spellStart"/>
            <w:r w:rsidRPr="00340C6E">
              <w:t>tiesību</w:t>
            </w:r>
            <w:proofErr w:type="spellEnd"/>
            <w:r w:rsidRPr="00340C6E">
              <w:t xml:space="preserve"> </w:t>
            </w:r>
            <w:proofErr w:type="spellStart"/>
            <w:r w:rsidRPr="00340C6E">
              <w:t>akta</w:t>
            </w:r>
            <w:proofErr w:type="spellEnd"/>
            <w:r w:rsidRPr="00340C6E">
              <w:t xml:space="preserve"> </w:t>
            </w:r>
            <w:proofErr w:type="spellStart"/>
            <w:r w:rsidRPr="00340C6E">
              <w:t>vienība</w:t>
            </w:r>
            <w:proofErr w:type="spellEnd"/>
            <w:r w:rsidRPr="00340C6E">
              <w:t xml:space="preserve"> </w:t>
            </w:r>
            <w:proofErr w:type="spellStart"/>
            <w:r w:rsidRPr="00340C6E">
              <w:t>tiks</w:t>
            </w:r>
            <w:proofErr w:type="spellEnd"/>
            <w:r w:rsidRPr="00340C6E">
              <w:t xml:space="preserve"> </w:t>
            </w:r>
            <w:proofErr w:type="spellStart"/>
            <w:r w:rsidRPr="00340C6E">
              <w:t>pārņemta</w:t>
            </w:r>
            <w:proofErr w:type="spellEnd"/>
            <w:r w:rsidRPr="00340C6E">
              <w:t xml:space="preserve"> </w:t>
            </w:r>
            <w:proofErr w:type="spellStart"/>
            <w:r w:rsidRPr="00340C6E">
              <w:t>vai</w:t>
            </w:r>
            <w:proofErr w:type="spellEnd"/>
            <w:r w:rsidRPr="00340C6E">
              <w:t xml:space="preserve"> </w:t>
            </w:r>
            <w:proofErr w:type="spellStart"/>
            <w:r w:rsidRPr="00340C6E">
              <w:t>ieviesta</w:t>
            </w:r>
            <w:proofErr w:type="spellEnd"/>
            <w:r w:rsidRPr="00340C6E">
              <w:t xml:space="preserve"> </w:t>
            </w:r>
            <w:proofErr w:type="spellStart"/>
            <w:r w:rsidRPr="00340C6E">
              <w:t>pilnībā</w:t>
            </w:r>
            <w:proofErr w:type="spellEnd"/>
            <w:r w:rsidRPr="00340C6E">
              <w:t>.</w:t>
            </w:r>
          </w:p>
          <w:p w:rsidR="00340C6E" w:rsidRPr="00340C6E" w:rsidRDefault="00340C6E" w:rsidP="0087512B">
            <w:pPr>
              <w:jc w:val="both"/>
            </w:pPr>
            <w:proofErr w:type="spellStart"/>
            <w:r w:rsidRPr="00340C6E">
              <w:t>Norāda</w:t>
            </w:r>
            <w:proofErr w:type="spellEnd"/>
            <w:r w:rsidRPr="00340C6E">
              <w:t xml:space="preserve"> </w:t>
            </w:r>
            <w:proofErr w:type="spellStart"/>
            <w:r w:rsidRPr="00340C6E">
              <w:t>institūciju</w:t>
            </w:r>
            <w:proofErr w:type="spellEnd"/>
            <w:r w:rsidRPr="00340C6E">
              <w:t xml:space="preserve">, </w:t>
            </w:r>
            <w:proofErr w:type="spellStart"/>
            <w:r w:rsidRPr="00340C6E">
              <w:t>kas</w:t>
            </w:r>
            <w:proofErr w:type="spellEnd"/>
            <w:r w:rsidRPr="00340C6E">
              <w:t xml:space="preserve"> </w:t>
            </w:r>
            <w:proofErr w:type="spellStart"/>
            <w:r w:rsidRPr="00340C6E">
              <w:t>ir</w:t>
            </w:r>
            <w:proofErr w:type="spellEnd"/>
            <w:r w:rsidRPr="00340C6E">
              <w:t xml:space="preserve"> </w:t>
            </w:r>
            <w:proofErr w:type="spellStart"/>
            <w:r w:rsidRPr="00340C6E">
              <w:t>atbildīga</w:t>
            </w:r>
            <w:proofErr w:type="spellEnd"/>
            <w:r w:rsidRPr="00340C6E">
              <w:t xml:space="preserve"> par </w:t>
            </w:r>
            <w:proofErr w:type="spellStart"/>
            <w:r w:rsidRPr="00340C6E">
              <w:t>šo</w:t>
            </w:r>
            <w:proofErr w:type="spellEnd"/>
            <w:r w:rsidRPr="00340C6E">
              <w:t xml:space="preserve"> </w:t>
            </w:r>
            <w:proofErr w:type="spellStart"/>
            <w:r w:rsidRPr="00340C6E">
              <w:t>saistību</w:t>
            </w:r>
            <w:proofErr w:type="spellEnd"/>
            <w:r w:rsidRPr="00340C6E">
              <w:t xml:space="preserve"> </w:t>
            </w:r>
            <w:proofErr w:type="spellStart"/>
            <w:r w:rsidRPr="00340C6E">
              <w:t>izpildi</w:t>
            </w:r>
            <w:proofErr w:type="spellEnd"/>
            <w:r w:rsidRPr="00340C6E">
              <w:t xml:space="preserve"> </w:t>
            </w:r>
            <w:proofErr w:type="spellStart"/>
            <w:r w:rsidRPr="00340C6E">
              <w:t>pilnībā</w:t>
            </w:r>
            <w:proofErr w:type="spellEnd"/>
          </w:p>
        </w:tc>
        <w:tc>
          <w:tcPr>
            <w:tcW w:w="2440"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jc w:val="both"/>
            </w:pPr>
            <w:proofErr w:type="spellStart"/>
            <w:r w:rsidRPr="00340C6E">
              <w:t>Informācija</w:t>
            </w:r>
            <w:proofErr w:type="spellEnd"/>
            <w:r w:rsidRPr="00340C6E">
              <w:t xml:space="preserve"> par to, </w:t>
            </w:r>
            <w:proofErr w:type="spellStart"/>
            <w:r w:rsidRPr="00340C6E">
              <w:t>vai</w:t>
            </w:r>
            <w:proofErr w:type="spellEnd"/>
            <w:r w:rsidRPr="00340C6E">
              <w:t xml:space="preserve"> </w:t>
            </w:r>
            <w:proofErr w:type="spellStart"/>
            <w:r w:rsidRPr="00340C6E">
              <w:t>šīs</w:t>
            </w:r>
            <w:proofErr w:type="spellEnd"/>
            <w:r w:rsidRPr="00340C6E">
              <w:t xml:space="preserve"> </w:t>
            </w:r>
            <w:proofErr w:type="spellStart"/>
            <w:r w:rsidRPr="00340C6E">
              <w:t>tabulas</w:t>
            </w:r>
            <w:proofErr w:type="spellEnd"/>
            <w:r w:rsidRPr="00340C6E">
              <w:t xml:space="preserve"> B </w:t>
            </w:r>
            <w:proofErr w:type="spellStart"/>
            <w:r w:rsidRPr="00340C6E">
              <w:t>ailē</w:t>
            </w:r>
            <w:proofErr w:type="spellEnd"/>
            <w:r w:rsidRPr="00340C6E">
              <w:t xml:space="preserve"> </w:t>
            </w:r>
            <w:proofErr w:type="spellStart"/>
            <w:r w:rsidRPr="00340C6E">
              <w:t>minētās</w:t>
            </w:r>
            <w:proofErr w:type="spellEnd"/>
            <w:r w:rsidRPr="00340C6E">
              <w:t xml:space="preserve"> </w:t>
            </w:r>
            <w:proofErr w:type="spellStart"/>
            <w:r w:rsidRPr="00340C6E">
              <w:t>projekta</w:t>
            </w:r>
            <w:proofErr w:type="spellEnd"/>
            <w:r w:rsidRPr="00340C6E">
              <w:t xml:space="preserve"> </w:t>
            </w:r>
            <w:proofErr w:type="spellStart"/>
            <w:r w:rsidRPr="00340C6E">
              <w:t>vienības</w:t>
            </w:r>
            <w:proofErr w:type="spellEnd"/>
            <w:r w:rsidRPr="00340C6E">
              <w:t xml:space="preserve"> </w:t>
            </w:r>
            <w:proofErr w:type="spellStart"/>
            <w:r w:rsidRPr="00340C6E">
              <w:t>paredz</w:t>
            </w:r>
            <w:proofErr w:type="spellEnd"/>
            <w:r w:rsidRPr="00340C6E">
              <w:t xml:space="preserve"> </w:t>
            </w:r>
            <w:proofErr w:type="spellStart"/>
            <w:r w:rsidRPr="00340C6E">
              <w:t>stingrākas</w:t>
            </w:r>
            <w:proofErr w:type="spellEnd"/>
            <w:r w:rsidRPr="00340C6E">
              <w:t xml:space="preserve"> </w:t>
            </w:r>
            <w:proofErr w:type="spellStart"/>
            <w:r w:rsidRPr="00340C6E">
              <w:t>prasības</w:t>
            </w:r>
            <w:proofErr w:type="spellEnd"/>
            <w:r w:rsidRPr="00340C6E">
              <w:t xml:space="preserve"> </w:t>
            </w:r>
            <w:proofErr w:type="spellStart"/>
            <w:r w:rsidRPr="00340C6E">
              <w:t>nekā</w:t>
            </w:r>
            <w:proofErr w:type="spellEnd"/>
            <w:r w:rsidRPr="00340C6E">
              <w:t xml:space="preserve"> </w:t>
            </w:r>
            <w:proofErr w:type="spellStart"/>
            <w:r w:rsidRPr="00340C6E">
              <w:t>šīs</w:t>
            </w:r>
            <w:proofErr w:type="spellEnd"/>
            <w:r w:rsidRPr="00340C6E">
              <w:t xml:space="preserve"> </w:t>
            </w:r>
            <w:proofErr w:type="spellStart"/>
            <w:r w:rsidRPr="00340C6E">
              <w:t>tabulas</w:t>
            </w:r>
            <w:proofErr w:type="spellEnd"/>
            <w:r w:rsidRPr="00340C6E">
              <w:t xml:space="preserve"> </w:t>
            </w:r>
            <w:proofErr w:type="gramStart"/>
            <w:r w:rsidRPr="00340C6E">
              <w:t>A</w:t>
            </w:r>
            <w:proofErr w:type="gramEnd"/>
            <w:r w:rsidRPr="00340C6E">
              <w:t xml:space="preserve"> </w:t>
            </w:r>
            <w:proofErr w:type="spellStart"/>
            <w:r w:rsidRPr="00340C6E">
              <w:t>ailē</w:t>
            </w:r>
            <w:proofErr w:type="spellEnd"/>
            <w:r w:rsidRPr="00340C6E">
              <w:t xml:space="preserve"> </w:t>
            </w:r>
            <w:proofErr w:type="spellStart"/>
            <w:r w:rsidRPr="00340C6E">
              <w:t>minētās</w:t>
            </w:r>
            <w:proofErr w:type="spellEnd"/>
            <w:r w:rsidRPr="00340C6E">
              <w:t xml:space="preserve"> ES </w:t>
            </w:r>
            <w:proofErr w:type="spellStart"/>
            <w:r w:rsidRPr="00340C6E">
              <w:t>tiesību</w:t>
            </w:r>
            <w:proofErr w:type="spellEnd"/>
            <w:r w:rsidRPr="00340C6E">
              <w:t xml:space="preserve"> </w:t>
            </w:r>
            <w:proofErr w:type="spellStart"/>
            <w:r w:rsidRPr="00340C6E">
              <w:t>akta</w:t>
            </w:r>
            <w:proofErr w:type="spellEnd"/>
            <w:r w:rsidRPr="00340C6E">
              <w:t xml:space="preserve"> </w:t>
            </w:r>
            <w:proofErr w:type="spellStart"/>
            <w:r w:rsidRPr="00340C6E">
              <w:t>vienības</w:t>
            </w:r>
            <w:proofErr w:type="spellEnd"/>
            <w:r w:rsidRPr="00340C6E">
              <w:t>.</w:t>
            </w:r>
          </w:p>
          <w:p w:rsidR="00340C6E" w:rsidRPr="00340C6E" w:rsidRDefault="00340C6E" w:rsidP="0087512B">
            <w:pPr>
              <w:jc w:val="both"/>
            </w:pPr>
            <w:proofErr w:type="spellStart"/>
            <w:r w:rsidRPr="00340C6E">
              <w:t>Ja</w:t>
            </w:r>
            <w:proofErr w:type="spellEnd"/>
            <w:r w:rsidRPr="00340C6E">
              <w:t xml:space="preserve"> </w:t>
            </w:r>
            <w:proofErr w:type="spellStart"/>
            <w:r w:rsidRPr="00340C6E">
              <w:t>projekts</w:t>
            </w:r>
            <w:proofErr w:type="spellEnd"/>
            <w:r w:rsidRPr="00340C6E">
              <w:t xml:space="preserve"> </w:t>
            </w:r>
            <w:proofErr w:type="spellStart"/>
            <w:r w:rsidRPr="00340C6E">
              <w:t>satur</w:t>
            </w:r>
            <w:proofErr w:type="spellEnd"/>
            <w:r w:rsidRPr="00340C6E">
              <w:t xml:space="preserve"> </w:t>
            </w:r>
            <w:proofErr w:type="spellStart"/>
            <w:r w:rsidRPr="00340C6E">
              <w:t>stingrākas</w:t>
            </w:r>
            <w:proofErr w:type="spellEnd"/>
            <w:r w:rsidRPr="00340C6E">
              <w:t xml:space="preserve"> </w:t>
            </w:r>
            <w:proofErr w:type="spellStart"/>
            <w:r w:rsidRPr="00340C6E">
              <w:t>prasības</w:t>
            </w:r>
            <w:proofErr w:type="spellEnd"/>
            <w:r w:rsidRPr="00340C6E">
              <w:t xml:space="preserve"> </w:t>
            </w:r>
            <w:proofErr w:type="spellStart"/>
            <w:r w:rsidRPr="00340C6E">
              <w:t>nekā</w:t>
            </w:r>
            <w:proofErr w:type="spellEnd"/>
            <w:r w:rsidRPr="00340C6E">
              <w:t xml:space="preserve"> </w:t>
            </w:r>
            <w:proofErr w:type="spellStart"/>
            <w:r w:rsidRPr="00340C6E">
              <w:t>attiecīgais</w:t>
            </w:r>
            <w:proofErr w:type="spellEnd"/>
            <w:r w:rsidRPr="00340C6E">
              <w:t xml:space="preserve"> ES </w:t>
            </w:r>
            <w:proofErr w:type="spellStart"/>
            <w:r w:rsidRPr="00340C6E">
              <w:t>tiesību</w:t>
            </w:r>
            <w:proofErr w:type="spellEnd"/>
            <w:r w:rsidRPr="00340C6E">
              <w:t xml:space="preserve"> </w:t>
            </w:r>
            <w:proofErr w:type="spellStart"/>
            <w:r w:rsidRPr="00340C6E">
              <w:t>akts</w:t>
            </w:r>
            <w:proofErr w:type="spellEnd"/>
            <w:r w:rsidRPr="00340C6E">
              <w:t xml:space="preserve">, – </w:t>
            </w:r>
            <w:proofErr w:type="spellStart"/>
            <w:r w:rsidRPr="00340C6E">
              <w:t>norāda</w:t>
            </w:r>
            <w:proofErr w:type="spellEnd"/>
            <w:r w:rsidRPr="00340C6E">
              <w:t xml:space="preserve"> </w:t>
            </w:r>
            <w:proofErr w:type="spellStart"/>
            <w:r w:rsidRPr="00340C6E">
              <w:t>pamatojumu</w:t>
            </w:r>
            <w:proofErr w:type="spellEnd"/>
            <w:r w:rsidRPr="00340C6E">
              <w:t xml:space="preserve"> un </w:t>
            </w:r>
            <w:proofErr w:type="spellStart"/>
            <w:r w:rsidRPr="00340C6E">
              <w:t>samērīgumu</w:t>
            </w:r>
            <w:proofErr w:type="spellEnd"/>
            <w:r w:rsidRPr="00340C6E">
              <w:t>.</w:t>
            </w:r>
          </w:p>
          <w:p w:rsidR="00340C6E" w:rsidRPr="00340C6E" w:rsidRDefault="00340C6E" w:rsidP="0087512B">
            <w:pPr>
              <w:jc w:val="both"/>
            </w:pPr>
            <w:proofErr w:type="spellStart"/>
            <w:r w:rsidRPr="00340C6E">
              <w:t>Norāda</w:t>
            </w:r>
            <w:proofErr w:type="spellEnd"/>
            <w:r w:rsidRPr="00340C6E">
              <w:t xml:space="preserve"> </w:t>
            </w:r>
            <w:proofErr w:type="spellStart"/>
            <w:r w:rsidRPr="00340C6E">
              <w:t>iespējamās</w:t>
            </w:r>
            <w:proofErr w:type="spellEnd"/>
            <w:r w:rsidRPr="00340C6E">
              <w:t xml:space="preserve"> </w:t>
            </w:r>
            <w:proofErr w:type="spellStart"/>
            <w:r w:rsidRPr="00340C6E">
              <w:t>alternatīvas</w:t>
            </w:r>
            <w:proofErr w:type="spellEnd"/>
            <w:r w:rsidRPr="00340C6E">
              <w:t xml:space="preserve"> (t.sk. </w:t>
            </w:r>
            <w:proofErr w:type="spellStart"/>
            <w:r w:rsidRPr="00340C6E">
              <w:t>alternatīvas</w:t>
            </w:r>
            <w:proofErr w:type="spellEnd"/>
            <w:r w:rsidRPr="00340C6E">
              <w:t xml:space="preserve">, </w:t>
            </w:r>
            <w:proofErr w:type="spellStart"/>
            <w:r w:rsidRPr="00340C6E">
              <w:t>kas</w:t>
            </w:r>
            <w:proofErr w:type="spellEnd"/>
            <w:r w:rsidRPr="00340C6E">
              <w:t xml:space="preserve"> </w:t>
            </w:r>
            <w:proofErr w:type="spellStart"/>
            <w:r w:rsidRPr="00340C6E">
              <w:t>neparedz</w:t>
            </w:r>
            <w:proofErr w:type="spellEnd"/>
            <w:r w:rsidRPr="00340C6E">
              <w:t xml:space="preserve"> </w:t>
            </w:r>
            <w:proofErr w:type="spellStart"/>
            <w:r w:rsidRPr="00340C6E">
              <w:t>tiesiskā</w:t>
            </w:r>
            <w:proofErr w:type="spellEnd"/>
            <w:r w:rsidRPr="00340C6E">
              <w:t xml:space="preserve"> </w:t>
            </w:r>
            <w:proofErr w:type="spellStart"/>
            <w:r w:rsidRPr="00340C6E">
              <w:t>regulējuma</w:t>
            </w:r>
            <w:proofErr w:type="spellEnd"/>
            <w:r w:rsidRPr="00340C6E">
              <w:t xml:space="preserve"> </w:t>
            </w:r>
            <w:proofErr w:type="spellStart"/>
            <w:r w:rsidRPr="00340C6E">
              <w:t>izstrādi</w:t>
            </w:r>
            <w:proofErr w:type="spellEnd"/>
            <w:r w:rsidRPr="00340C6E">
              <w:t xml:space="preserve">) – </w:t>
            </w:r>
            <w:proofErr w:type="spellStart"/>
            <w:r w:rsidRPr="00340C6E">
              <w:t>kādos</w:t>
            </w:r>
            <w:proofErr w:type="spellEnd"/>
            <w:r w:rsidRPr="00340C6E">
              <w:t xml:space="preserve"> </w:t>
            </w:r>
            <w:proofErr w:type="spellStart"/>
            <w:r w:rsidRPr="00340C6E">
              <w:t>gadījumos</w:t>
            </w:r>
            <w:proofErr w:type="spellEnd"/>
            <w:r w:rsidRPr="00340C6E">
              <w:t xml:space="preserve"> </w:t>
            </w:r>
            <w:proofErr w:type="spellStart"/>
            <w:r w:rsidRPr="00340C6E">
              <w:t>būtu</w:t>
            </w:r>
            <w:proofErr w:type="spellEnd"/>
            <w:r w:rsidRPr="00340C6E">
              <w:t xml:space="preserve"> </w:t>
            </w:r>
            <w:proofErr w:type="spellStart"/>
            <w:r w:rsidRPr="00340C6E">
              <w:t>iespējams</w:t>
            </w:r>
            <w:proofErr w:type="spellEnd"/>
            <w:r w:rsidRPr="00340C6E">
              <w:t xml:space="preserve"> </w:t>
            </w:r>
            <w:proofErr w:type="spellStart"/>
            <w:r w:rsidRPr="00340C6E">
              <w:t>izvairīties</w:t>
            </w:r>
            <w:proofErr w:type="spellEnd"/>
            <w:r w:rsidRPr="00340C6E">
              <w:t xml:space="preserve"> no </w:t>
            </w:r>
            <w:proofErr w:type="spellStart"/>
            <w:r w:rsidRPr="00340C6E">
              <w:t>stingrāku</w:t>
            </w:r>
            <w:proofErr w:type="spellEnd"/>
            <w:r w:rsidRPr="00340C6E">
              <w:t xml:space="preserve"> </w:t>
            </w:r>
            <w:proofErr w:type="spellStart"/>
            <w:r w:rsidRPr="00340C6E">
              <w:t>prasību</w:t>
            </w:r>
            <w:proofErr w:type="spellEnd"/>
            <w:r w:rsidRPr="00340C6E">
              <w:t xml:space="preserve"> </w:t>
            </w:r>
            <w:proofErr w:type="spellStart"/>
            <w:r w:rsidRPr="00340C6E">
              <w:t>noteikšanas</w:t>
            </w:r>
            <w:proofErr w:type="spellEnd"/>
            <w:r w:rsidRPr="00340C6E">
              <w:t xml:space="preserve">, </w:t>
            </w:r>
            <w:proofErr w:type="spellStart"/>
            <w:r w:rsidRPr="00340C6E">
              <w:t>nekā</w:t>
            </w:r>
            <w:proofErr w:type="spellEnd"/>
            <w:r w:rsidRPr="00340C6E">
              <w:t xml:space="preserve"> </w:t>
            </w:r>
            <w:proofErr w:type="spellStart"/>
            <w:r w:rsidRPr="00340C6E">
              <w:t>paredzēts</w:t>
            </w:r>
            <w:proofErr w:type="spellEnd"/>
            <w:r w:rsidRPr="00340C6E">
              <w:t xml:space="preserve"> </w:t>
            </w:r>
            <w:proofErr w:type="spellStart"/>
            <w:r w:rsidRPr="00340C6E">
              <w:t>attiecīgajos</w:t>
            </w:r>
            <w:proofErr w:type="spellEnd"/>
            <w:r w:rsidRPr="00340C6E">
              <w:t xml:space="preserve"> ES </w:t>
            </w:r>
            <w:proofErr w:type="spellStart"/>
            <w:r w:rsidRPr="00340C6E">
              <w:t>tiesību</w:t>
            </w:r>
            <w:proofErr w:type="spellEnd"/>
            <w:r w:rsidRPr="00340C6E">
              <w:t xml:space="preserve"> </w:t>
            </w:r>
            <w:proofErr w:type="spellStart"/>
            <w:r w:rsidRPr="00340C6E">
              <w:t>aktos</w:t>
            </w:r>
            <w:proofErr w:type="spellEnd"/>
          </w:p>
        </w:tc>
      </w:tr>
      <w:tr w:rsidR="00FB570D" w:rsidRPr="001F10BC" w:rsidTr="00FE241C">
        <w:trPr>
          <w:trHeight w:val="446"/>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CF6DE0" w:rsidRPr="00C071BE" w:rsidRDefault="00260CB5" w:rsidP="00705E54">
            <w:pPr>
              <w:jc w:val="both"/>
              <w:rPr>
                <w:i/>
              </w:rPr>
            </w:pPr>
            <w:proofErr w:type="spellStart"/>
            <w:r w:rsidRPr="00C071BE">
              <w:rPr>
                <w:i/>
              </w:rPr>
              <w:t>Komisijas</w:t>
            </w:r>
            <w:proofErr w:type="spellEnd"/>
            <w:r w:rsidRPr="00C071BE">
              <w:rPr>
                <w:i/>
              </w:rPr>
              <w:t xml:space="preserve"> </w:t>
            </w:r>
            <w:proofErr w:type="spellStart"/>
            <w:r w:rsidRPr="00C071BE">
              <w:rPr>
                <w:i/>
              </w:rPr>
              <w:t>Regula</w:t>
            </w:r>
            <w:proofErr w:type="spellEnd"/>
            <w:r w:rsidRPr="00C071BE">
              <w:rPr>
                <w:i/>
              </w:rPr>
              <w:t xml:space="preserve"> Nr. 800/2008</w:t>
            </w:r>
          </w:p>
          <w:p w:rsidR="00260CB5" w:rsidRPr="00C071BE" w:rsidRDefault="00260CB5" w:rsidP="00705E54">
            <w:pPr>
              <w:jc w:val="both"/>
              <w:rPr>
                <w:i/>
              </w:rPr>
            </w:pPr>
            <w:r w:rsidRPr="00C071BE">
              <w:rPr>
                <w:i/>
              </w:rPr>
              <w:t>1.pielikums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CF6DE0" w:rsidRPr="00834450" w:rsidRDefault="00260CB5" w:rsidP="00930A2F">
            <w:pPr>
              <w:jc w:val="both"/>
              <w:rPr>
                <w:i/>
                <w:lang w:val="de-DE"/>
              </w:rPr>
            </w:pPr>
            <w:r w:rsidRPr="00C071BE">
              <w:rPr>
                <w:i/>
                <w:szCs w:val="24"/>
                <w:lang w:val="lv-LV"/>
              </w:rPr>
              <w:t xml:space="preserve">Ministru kabineta noteikumu projekta  </w:t>
            </w:r>
            <w:r w:rsidR="0018623A">
              <w:rPr>
                <w:i/>
                <w:szCs w:val="24"/>
                <w:lang w:val="lv-LV"/>
              </w:rPr>
              <w:t>9</w:t>
            </w:r>
            <w:r w:rsidR="009F06BA">
              <w:rPr>
                <w:i/>
                <w:szCs w:val="24"/>
                <w:lang w:val="lv-LV"/>
              </w:rPr>
              <w:t>.</w:t>
            </w:r>
            <w:r w:rsidRPr="00C071BE">
              <w:rPr>
                <w:i/>
                <w:szCs w:val="24"/>
                <w:lang w:val="lv-LV"/>
              </w:rPr>
              <w:t>punkts</w:t>
            </w:r>
            <w:r w:rsidR="00C503A3">
              <w:rPr>
                <w:i/>
                <w:szCs w:val="24"/>
                <w:lang w:val="lv-LV"/>
              </w:rPr>
              <w:t xml:space="preserve">,  </w:t>
            </w:r>
            <w:r w:rsidR="0018623A">
              <w:rPr>
                <w:i/>
                <w:szCs w:val="24"/>
                <w:lang w:val="lv-LV"/>
              </w:rPr>
              <w:t>1</w:t>
            </w:r>
            <w:r w:rsidR="00930A2F">
              <w:rPr>
                <w:i/>
                <w:szCs w:val="24"/>
                <w:lang w:val="lv-LV"/>
              </w:rPr>
              <w:t>7</w:t>
            </w:r>
            <w:r w:rsidR="0018623A">
              <w:rPr>
                <w:i/>
                <w:szCs w:val="24"/>
                <w:lang w:val="lv-LV"/>
              </w:rPr>
              <w:t xml:space="preserve">.punkts, </w:t>
            </w:r>
            <w:r w:rsidR="00C503A3">
              <w:rPr>
                <w:i/>
                <w:szCs w:val="24"/>
                <w:lang w:val="lv-LV"/>
              </w:rPr>
              <w:t>2.pielikuma 1.1.9.apakš</w:t>
            </w:r>
            <w:r w:rsidR="00FB570D">
              <w:rPr>
                <w:i/>
                <w:szCs w:val="24"/>
                <w:lang w:val="lv-LV"/>
              </w:rPr>
              <w:t>-</w:t>
            </w:r>
            <w:r w:rsidR="00C503A3">
              <w:rPr>
                <w:i/>
                <w:szCs w:val="24"/>
                <w:lang w:val="lv-LV"/>
              </w:rPr>
              <w:t>punkts</w:t>
            </w:r>
            <w:r w:rsidRPr="00834450">
              <w:rPr>
                <w:i/>
                <w:lang w:val="de-DE"/>
              </w:rPr>
              <w:t xml:space="preserve"> </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CF6DE0" w:rsidRPr="00CF6DE0" w:rsidRDefault="00260CB5" w:rsidP="0087512B">
            <w:pPr>
              <w:jc w:val="both"/>
              <w:rPr>
                <w:i/>
              </w:rPr>
            </w:pPr>
            <w:proofErr w:type="spellStart"/>
            <w:r>
              <w:rPr>
                <w:i/>
              </w:rPr>
              <w:t>Ieviesta</w:t>
            </w:r>
            <w:proofErr w:type="spellEnd"/>
            <w:r>
              <w:rPr>
                <w:i/>
              </w:rPr>
              <w:t xml:space="preserve"> </w:t>
            </w:r>
            <w:proofErr w:type="spellStart"/>
            <w:r>
              <w:rPr>
                <w:i/>
              </w:rPr>
              <w:t>pilnībā</w:t>
            </w:r>
            <w:proofErr w:type="spellEnd"/>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CF6DE0" w:rsidRPr="00340C6E" w:rsidRDefault="00260CB5" w:rsidP="0087512B">
            <w:pPr>
              <w:jc w:val="both"/>
            </w:pPr>
            <w:proofErr w:type="spellStart"/>
            <w:r w:rsidRPr="00260CB5">
              <w:t>neparedz</w:t>
            </w:r>
            <w:proofErr w:type="spellEnd"/>
            <w:r w:rsidRPr="00260CB5">
              <w:t xml:space="preserve"> </w:t>
            </w:r>
            <w:proofErr w:type="spellStart"/>
            <w:r w:rsidRPr="00260CB5">
              <w:t>stingrākas</w:t>
            </w:r>
            <w:proofErr w:type="spellEnd"/>
            <w:r w:rsidRPr="00260CB5">
              <w:t xml:space="preserve"> </w:t>
            </w:r>
            <w:proofErr w:type="spellStart"/>
            <w:r w:rsidRPr="00260CB5">
              <w:t>prasības</w:t>
            </w:r>
            <w:proofErr w:type="spellEnd"/>
          </w:p>
        </w:tc>
      </w:tr>
      <w:tr w:rsidR="00FB570D" w:rsidRPr="001F10BC" w:rsidTr="00FE241C">
        <w:trPr>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340C6E" w:rsidRPr="00C071BE" w:rsidRDefault="00340C6E" w:rsidP="00DB2F24">
            <w:pPr>
              <w:pStyle w:val="naisf"/>
              <w:tabs>
                <w:tab w:val="left" w:pos="0"/>
                <w:tab w:val="num" w:pos="795"/>
              </w:tabs>
              <w:spacing w:before="0" w:after="0"/>
              <w:rPr>
                <w:i/>
                <w:szCs w:val="24"/>
              </w:rPr>
            </w:pPr>
            <w:r w:rsidRPr="00C071BE">
              <w:rPr>
                <w:i/>
                <w:szCs w:val="24"/>
              </w:rPr>
              <w:t xml:space="preserve">Komisijas Regulas </w:t>
            </w:r>
            <w:r w:rsidRPr="00C071BE">
              <w:rPr>
                <w:i/>
                <w:szCs w:val="24"/>
              </w:rPr>
              <w:lastRenderedPageBreak/>
              <w:t>Nr.</w:t>
            </w:r>
            <w:r w:rsidR="004F4F5C" w:rsidRPr="00C071BE">
              <w:rPr>
                <w:i/>
                <w:szCs w:val="24"/>
              </w:rPr>
              <w:t>1998</w:t>
            </w:r>
            <w:r w:rsidRPr="00C071BE">
              <w:rPr>
                <w:i/>
                <w:szCs w:val="24"/>
              </w:rPr>
              <w:t>/200</w:t>
            </w:r>
            <w:r w:rsidR="004F4F5C" w:rsidRPr="00C071BE">
              <w:rPr>
                <w:i/>
                <w:szCs w:val="24"/>
              </w:rPr>
              <w:t xml:space="preserve">6 </w:t>
            </w:r>
            <w:r w:rsidR="00DB2F24" w:rsidRPr="00C071BE">
              <w:rPr>
                <w:i/>
                <w:szCs w:val="24"/>
              </w:rPr>
              <w:t>1</w:t>
            </w:r>
            <w:r w:rsidRPr="00C071BE">
              <w:rPr>
                <w:i/>
                <w:szCs w:val="24"/>
              </w:rPr>
              <w:t xml:space="preserve">.panta </w:t>
            </w:r>
            <w:r w:rsidR="00DB2F24" w:rsidRPr="00C071BE">
              <w:rPr>
                <w:i/>
                <w:szCs w:val="24"/>
              </w:rPr>
              <w:t>1</w:t>
            </w:r>
            <w:r w:rsidRPr="00C071BE">
              <w:rPr>
                <w:i/>
                <w:szCs w:val="24"/>
              </w:rPr>
              <w:t>.punkts;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340C6E" w:rsidRPr="00C071BE" w:rsidRDefault="00C1277A" w:rsidP="00075889">
            <w:pPr>
              <w:jc w:val="both"/>
              <w:rPr>
                <w:i/>
                <w:szCs w:val="24"/>
                <w:lang w:val="lv-LV"/>
              </w:rPr>
            </w:pPr>
            <w:r w:rsidRPr="00C071BE">
              <w:rPr>
                <w:i/>
                <w:szCs w:val="24"/>
                <w:lang w:val="lv-LV"/>
              </w:rPr>
              <w:lastRenderedPageBreak/>
              <w:t xml:space="preserve">Ministru kabineta </w:t>
            </w:r>
            <w:r w:rsidRPr="00C071BE">
              <w:rPr>
                <w:i/>
                <w:szCs w:val="24"/>
                <w:lang w:val="lv-LV"/>
              </w:rPr>
              <w:lastRenderedPageBreak/>
              <w:t>noteikumu projekta</w:t>
            </w:r>
            <w:r w:rsidR="00715B51">
              <w:rPr>
                <w:i/>
                <w:szCs w:val="24"/>
                <w:lang w:val="lv-LV"/>
              </w:rPr>
              <w:t xml:space="preserve"> </w:t>
            </w:r>
            <w:r w:rsidR="0018623A">
              <w:rPr>
                <w:i/>
                <w:szCs w:val="24"/>
                <w:lang w:val="lv-LV"/>
              </w:rPr>
              <w:t>1</w:t>
            </w:r>
            <w:r w:rsidR="00075889">
              <w:rPr>
                <w:i/>
                <w:szCs w:val="24"/>
                <w:lang w:val="lv-LV"/>
              </w:rPr>
              <w:t>1</w:t>
            </w:r>
            <w:r w:rsidR="0018623A">
              <w:rPr>
                <w:i/>
                <w:szCs w:val="24"/>
                <w:lang w:val="lv-LV"/>
              </w:rPr>
              <w:t>.</w:t>
            </w:r>
            <w:r w:rsidRPr="00C071BE">
              <w:rPr>
                <w:i/>
                <w:szCs w:val="24"/>
                <w:lang w:val="lv-LV"/>
              </w:rPr>
              <w:t>punkts</w:t>
            </w:r>
            <w:r w:rsidR="002538E7">
              <w:rPr>
                <w:i/>
                <w:szCs w:val="24"/>
                <w:lang w:val="lv-LV"/>
              </w:rPr>
              <w:t>, 1.pielikums</w:t>
            </w:r>
          </w:p>
        </w:tc>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lastRenderedPageBreak/>
              <w:t>ieviesta pilnībā</w:t>
            </w:r>
          </w:p>
        </w:tc>
        <w:tc>
          <w:tcPr>
            <w:tcW w:w="2440" w:type="pct"/>
            <w:tcBorders>
              <w:top w:val="outset" w:sz="6" w:space="0" w:color="auto"/>
              <w:left w:val="outset" w:sz="6" w:space="0" w:color="auto"/>
              <w:bottom w:val="outset" w:sz="6" w:space="0" w:color="auto"/>
              <w:right w:val="outset" w:sz="6" w:space="0" w:color="auto"/>
            </w:tcBorders>
            <w:shd w:val="clear" w:color="auto" w:fill="auto"/>
            <w:hideMark/>
          </w:tcPr>
          <w:p w:rsidR="00340C6E" w:rsidRPr="00340C6E" w:rsidRDefault="00340C6E" w:rsidP="0087512B">
            <w:pPr>
              <w:pStyle w:val="naisf"/>
              <w:spacing w:before="0" w:after="0"/>
              <w:rPr>
                <w:i/>
                <w:szCs w:val="24"/>
              </w:rPr>
            </w:pPr>
            <w:r w:rsidRPr="00340C6E">
              <w:rPr>
                <w:i/>
                <w:szCs w:val="24"/>
              </w:rPr>
              <w:t>neparedz stingrākas prasības</w:t>
            </w:r>
          </w:p>
        </w:tc>
      </w:tr>
      <w:tr w:rsidR="00FB570D" w:rsidRPr="001F10BC"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DB2F24" w:rsidP="00DB2F24">
            <w:pPr>
              <w:pStyle w:val="naisf"/>
              <w:tabs>
                <w:tab w:val="left" w:pos="0"/>
                <w:tab w:val="num" w:pos="795"/>
              </w:tabs>
              <w:spacing w:before="0" w:after="0"/>
              <w:rPr>
                <w:i/>
                <w:szCs w:val="24"/>
              </w:rPr>
            </w:pPr>
            <w:r w:rsidRPr="00C071BE">
              <w:rPr>
                <w:i/>
                <w:szCs w:val="24"/>
              </w:rPr>
              <w:lastRenderedPageBreak/>
              <w:t>Komisijas Regulas Nr.1998/2006 2.panta 2.punkts;</w:t>
            </w:r>
          </w:p>
        </w:tc>
        <w:tc>
          <w:tcPr>
            <w:tcW w:w="740"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C1277A" w:rsidP="00075889">
            <w:pPr>
              <w:jc w:val="both"/>
              <w:rPr>
                <w:i/>
                <w:lang w:val="lv-LV"/>
              </w:rPr>
            </w:pPr>
            <w:r w:rsidRPr="00C071BE">
              <w:rPr>
                <w:i/>
                <w:lang w:val="lv-LV"/>
              </w:rPr>
              <w:t xml:space="preserve">Ministru kabineta noteikumu projekta </w:t>
            </w:r>
            <w:r w:rsidR="0018623A">
              <w:rPr>
                <w:i/>
                <w:lang w:val="lv-LV"/>
              </w:rPr>
              <w:t>8., 1</w:t>
            </w:r>
            <w:r w:rsidR="00075889">
              <w:rPr>
                <w:i/>
                <w:lang w:val="lv-LV"/>
              </w:rPr>
              <w:t>0</w:t>
            </w:r>
            <w:r w:rsidR="006F4956">
              <w:rPr>
                <w:i/>
                <w:lang w:val="lv-LV"/>
              </w:rPr>
              <w:t>.</w:t>
            </w:r>
            <w:r w:rsidR="00912253" w:rsidRPr="00C071BE">
              <w:rPr>
                <w:i/>
                <w:lang w:val="lv-LV"/>
              </w:rPr>
              <w:t>p</w:t>
            </w:r>
            <w:r w:rsidRPr="00C071BE">
              <w:rPr>
                <w:i/>
                <w:lang w:val="lv-LV"/>
              </w:rPr>
              <w:t>unkts</w:t>
            </w:r>
          </w:p>
        </w:tc>
        <w:tc>
          <w:tcPr>
            <w:tcW w:w="923"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DB2F24" w:rsidP="00002692">
            <w:pPr>
              <w:pStyle w:val="naisf"/>
              <w:spacing w:before="0" w:after="0"/>
              <w:rPr>
                <w:i/>
                <w:szCs w:val="24"/>
              </w:rPr>
            </w:pPr>
            <w:r w:rsidRPr="00C071BE">
              <w:rPr>
                <w:i/>
                <w:szCs w:val="24"/>
              </w:rPr>
              <w:t>ieviesta pilnībā</w:t>
            </w:r>
          </w:p>
        </w:tc>
        <w:tc>
          <w:tcPr>
            <w:tcW w:w="2440" w:type="pct"/>
            <w:tcBorders>
              <w:top w:val="outset" w:sz="6" w:space="0" w:color="auto"/>
              <w:left w:val="outset" w:sz="6" w:space="0" w:color="auto"/>
              <w:bottom w:val="outset" w:sz="6" w:space="0" w:color="auto"/>
              <w:right w:val="outset" w:sz="6" w:space="0" w:color="auto"/>
            </w:tcBorders>
            <w:shd w:val="clear" w:color="auto" w:fill="auto"/>
            <w:hideMark/>
          </w:tcPr>
          <w:p w:rsidR="00DB2F24" w:rsidRPr="00C071BE" w:rsidRDefault="00DB2F24" w:rsidP="00002692">
            <w:pPr>
              <w:pStyle w:val="naisf"/>
              <w:spacing w:before="0" w:after="0"/>
              <w:rPr>
                <w:i/>
                <w:szCs w:val="24"/>
              </w:rPr>
            </w:pPr>
            <w:r w:rsidRPr="00C071BE">
              <w:rPr>
                <w:i/>
                <w:szCs w:val="24"/>
              </w:rPr>
              <w:t>neparedz stingrākas prasības</w:t>
            </w:r>
          </w:p>
        </w:tc>
      </w:tr>
      <w:tr w:rsidR="00FB570D" w:rsidRPr="00C1277A"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260CB5">
            <w:pPr>
              <w:pStyle w:val="naisf"/>
              <w:tabs>
                <w:tab w:val="left" w:pos="0"/>
                <w:tab w:val="num" w:pos="795"/>
              </w:tabs>
              <w:rPr>
                <w:i/>
              </w:rPr>
            </w:pPr>
            <w:r w:rsidRPr="00C071BE">
              <w:rPr>
                <w:i/>
              </w:rPr>
              <w:t xml:space="preserve">Komisijas Regula </w:t>
            </w:r>
            <w:proofErr w:type="spellStart"/>
            <w:r w:rsidRPr="00C071BE">
              <w:rPr>
                <w:i/>
              </w:rPr>
              <w:t>Nr</w:t>
            </w:r>
            <w:proofErr w:type="spellEnd"/>
            <w:r w:rsidRPr="00C071BE">
              <w:rPr>
                <w:i/>
              </w:rPr>
              <w:t>. 800/2008</w:t>
            </w:r>
          </w:p>
          <w:p w:rsidR="00260CB5" w:rsidRPr="00C071BE" w:rsidRDefault="00D854CE" w:rsidP="00260CB5">
            <w:pPr>
              <w:pStyle w:val="naisf"/>
              <w:tabs>
                <w:tab w:val="left" w:pos="0"/>
                <w:tab w:val="num" w:pos="795"/>
              </w:tabs>
              <w:spacing w:before="0" w:after="0"/>
              <w:rPr>
                <w:i/>
              </w:rPr>
            </w:pPr>
            <w:r>
              <w:rPr>
                <w:i/>
              </w:rPr>
              <w:t>II nodaļas 13.panta 6.punkts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D854CE" w:rsidRDefault="00260CB5" w:rsidP="00D854CE">
            <w:pPr>
              <w:jc w:val="both"/>
              <w:rPr>
                <w:i/>
                <w:lang w:val="lv-LV"/>
              </w:rPr>
            </w:pPr>
            <w:r w:rsidRPr="00C071BE">
              <w:rPr>
                <w:i/>
                <w:lang w:val="lv-LV"/>
              </w:rPr>
              <w:t>Ministru kabineta noteikumu projekta</w:t>
            </w:r>
          </w:p>
          <w:p w:rsidR="00260CB5" w:rsidRPr="00C071BE" w:rsidRDefault="00524B73" w:rsidP="006136BE">
            <w:pPr>
              <w:jc w:val="both"/>
              <w:rPr>
                <w:i/>
                <w:lang w:val="lv-LV"/>
              </w:rPr>
            </w:pPr>
            <w:r>
              <w:rPr>
                <w:i/>
                <w:lang w:val="lv-LV"/>
              </w:rPr>
              <w:t>30</w:t>
            </w:r>
            <w:r w:rsidR="00D854CE">
              <w:rPr>
                <w:i/>
                <w:lang w:val="lv-LV"/>
              </w:rPr>
              <w:t>.2</w:t>
            </w:r>
            <w:r w:rsidR="009F06BA">
              <w:rPr>
                <w:i/>
                <w:lang w:val="lv-LV"/>
              </w:rPr>
              <w:t>.</w:t>
            </w:r>
            <w:r w:rsidR="00D854CE">
              <w:rPr>
                <w:i/>
                <w:lang w:val="lv-LV"/>
              </w:rPr>
              <w:t>, 3</w:t>
            </w:r>
            <w:r w:rsidR="006136BE">
              <w:rPr>
                <w:i/>
                <w:lang w:val="lv-LV"/>
              </w:rPr>
              <w:t>5</w:t>
            </w:r>
            <w:r w:rsidR="00D854CE">
              <w:rPr>
                <w:i/>
                <w:lang w:val="lv-LV"/>
              </w:rPr>
              <w:t>.1.,3</w:t>
            </w:r>
            <w:r w:rsidR="006136BE">
              <w:rPr>
                <w:i/>
                <w:lang w:val="lv-LV"/>
              </w:rPr>
              <w:t>5</w:t>
            </w:r>
            <w:r w:rsidR="00D854CE">
              <w:rPr>
                <w:i/>
                <w:lang w:val="lv-LV"/>
              </w:rPr>
              <w:t xml:space="preserve">.3. </w:t>
            </w:r>
            <w:r w:rsidR="00260CB5" w:rsidRPr="00C071BE">
              <w:rPr>
                <w:i/>
                <w:lang w:val="lv-LV"/>
              </w:rPr>
              <w:t>apakšpunkts</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F27DD8">
            <w:pPr>
              <w:rPr>
                <w:i/>
              </w:rPr>
            </w:pPr>
            <w:proofErr w:type="spellStart"/>
            <w:r w:rsidRPr="00C071BE">
              <w:rPr>
                <w:i/>
              </w:rPr>
              <w:t>ieviesta</w:t>
            </w:r>
            <w:proofErr w:type="spellEnd"/>
            <w:r w:rsidRPr="00C071BE">
              <w:rPr>
                <w:i/>
              </w:rPr>
              <w:t xml:space="preserve"> </w:t>
            </w:r>
            <w:proofErr w:type="spellStart"/>
            <w:r w:rsidRPr="00C071BE">
              <w:rPr>
                <w:i/>
              </w:rPr>
              <w:t>pilnībā</w:t>
            </w:r>
            <w:proofErr w:type="spellEnd"/>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260CB5" w:rsidRPr="00C071BE" w:rsidRDefault="00260CB5" w:rsidP="00F27DD8">
            <w:pPr>
              <w:rPr>
                <w:i/>
              </w:rPr>
            </w:pPr>
            <w:proofErr w:type="spellStart"/>
            <w:r w:rsidRPr="00C071BE">
              <w:rPr>
                <w:i/>
              </w:rPr>
              <w:t>neparedz</w:t>
            </w:r>
            <w:proofErr w:type="spellEnd"/>
            <w:r w:rsidRPr="00C071BE">
              <w:rPr>
                <w:i/>
              </w:rPr>
              <w:t xml:space="preserve"> </w:t>
            </w:r>
            <w:proofErr w:type="spellStart"/>
            <w:r w:rsidRPr="00C071BE">
              <w:rPr>
                <w:i/>
              </w:rPr>
              <w:t>stingrākas</w:t>
            </w:r>
            <w:proofErr w:type="spellEnd"/>
            <w:r w:rsidRPr="00C071BE">
              <w:rPr>
                <w:i/>
              </w:rPr>
              <w:t xml:space="preserve"> </w:t>
            </w:r>
            <w:proofErr w:type="spellStart"/>
            <w:r w:rsidRPr="00C071BE">
              <w:rPr>
                <w:i/>
              </w:rPr>
              <w:t>prasības</w:t>
            </w:r>
            <w:proofErr w:type="spellEnd"/>
          </w:p>
        </w:tc>
      </w:tr>
      <w:tr w:rsidR="00D854CE" w:rsidRPr="00892D58"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D854CE" w:rsidRPr="00D854CE" w:rsidRDefault="00D854CE" w:rsidP="00D854CE">
            <w:pPr>
              <w:pStyle w:val="naisf"/>
              <w:tabs>
                <w:tab w:val="left" w:pos="0"/>
                <w:tab w:val="num" w:pos="795"/>
              </w:tabs>
              <w:rPr>
                <w:i/>
              </w:rPr>
            </w:pPr>
            <w:r w:rsidRPr="00D854CE">
              <w:rPr>
                <w:i/>
              </w:rPr>
              <w:t xml:space="preserve">Komisijas Regula </w:t>
            </w:r>
            <w:proofErr w:type="spellStart"/>
            <w:r w:rsidRPr="00D854CE">
              <w:rPr>
                <w:i/>
              </w:rPr>
              <w:t>Nr</w:t>
            </w:r>
            <w:proofErr w:type="spellEnd"/>
            <w:r w:rsidRPr="00D854CE">
              <w:rPr>
                <w:i/>
              </w:rPr>
              <w:t>. 800/2008</w:t>
            </w:r>
          </w:p>
          <w:p w:rsidR="00D854CE" w:rsidRPr="00C071BE" w:rsidRDefault="00D854CE" w:rsidP="00D854CE">
            <w:pPr>
              <w:pStyle w:val="naisf"/>
              <w:tabs>
                <w:tab w:val="left" w:pos="0"/>
                <w:tab w:val="num" w:pos="795"/>
              </w:tabs>
              <w:rPr>
                <w:i/>
              </w:rPr>
            </w:pPr>
            <w:r w:rsidRPr="00D854CE">
              <w:rPr>
                <w:i/>
              </w:rPr>
              <w:t xml:space="preserve">II nodaļas 13.panta </w:t>
            </w:r>
            <w:r>
              <w:rPr>
                <w:i/>
              </w:rPr>
              <w:t>7</w:t>
            </w:r>
            <w:r w:rsidRPr="00D854CE">
              <w:rPr>
                <w:i/>
              </w:rPr>
              <w:t>.punkts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D854CE" w:rsidRDefault="00D854CE" w:rsidP="00E2535A">
            <w:pPr>
              <w:jc w:val="both"/>
              <w:rPr>
                <w:i/>
                <w:lang w:val="lv-LV"/>
              </w:rPr>
            </w:pPr>
            <w:r w:rsidRPr="00D854CE">
              <w:rPr>
                <w:i/>
                <w:lang w:val="lv-LV"/>
              </w:rPr>
              <w:t>Ministru kabineta noteikumu projekta</w:t>
            </w:r>
            <w:r>
              <w:rPr>
                <w:i/>
                <w:lang w:val="lv-LV"/>
              </w:rPr>
              <w:t xml:space="preserve"> 2</w:t>
            </w:r>
            <w:r w:rsidR="000A579C">
              <w:rPr>
                <w:i/>
                <w:lang w:val="lv-LV"/>
              </w:rPr>
              <w:t>4</w:t>
            </w:r>
            <w:r>
              <w:rPr>
                <w:i/>
                <w:lang w:val="lv-LV"/>
              </w:rPr>
              <w:t>.1.,3</w:t>
            </w:r>
            <w:r w:rsidR="000A579C">
              <w:rPr>
                <w:i/>
                <w:lang w:val="lv-LV"/>
              </w:rPr>
              <w:t>4</w:t>
            </w:r>
            <w:r>
              <w:rPr>
                <w:i/>
                <w:lang w:val="lv-LV"/>
              </w:rPr>
              <w:t>.1. apakšpunkts</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D854CE" w:rsidRPr="00C071BE" w:rsidRDefault="00D854CE" w:rsidP="00D854CE">
            <w:pPr>
              <w:rPr>
                <w:i/>
              </w:rPr>
            </w:pPr>
            <w:proofErr w:type="spellStart"/>
            <w:r w:rsidRPr="00D854CE">
              <w:rPr>
                <w:i/>
              </w:rPr>
              <w:t>ieviesta</w:t>
            </w:r>
            <w:proofErr w:type="spellEnd"/>
            <w:r w:rsidRPr="00D854CE">
              <w:rPr>
                <w:i/>
              </w:rPr>
              <w:t xml:space="preserve"> </w:t>
            </w:r>
            <w:proofErr w:type="spellStart"/>
            <w:r w:rsidRPr="00D854CE">
              <w:rPr>
                <w:i/>
              </w:rPr>
              <w:t>pilnībā</w:t>
            </w:r>
            <w:proofErr w:type="spellEnd"/>
            <w:r w:rsidRPr="00D854CE">
              <w:rPr>
                <w:i/>
              </w:rPr>
              <w:tab/>
            </w:r>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D854CE" w:rsidRPr="00C071BE" w:rsidRDefault="00D854CE" w:rsidP="00F13576">
            <w:pPr>
              <w:rPr>
                <w:i/>
              </w:rPr>
            </w:pPr>
            <w:proofErr w:type="spellStart"/>
            <w:r w:rsidRPr="00D854CE">
              <w:rPr>
                <w:i/>
              </w:rPr>
              <w:t>neparedz</w:t>
            </w:r>
            <w:proofErr w:type="spellEnd"/>
            <w:r w:rsidRPr="00D854CE">
              <w:rPr>
                <w:i/>
              </w:rPr>
              <w:t xml:space="preserve"> </w:t>
            </w:r>
            <w:proofErr w:type="spellStart"/>
            <w:r w:rsidRPr="00D854CE">
              <w:rPr>
                <w:i/>
              </w:rPr>
              <w:t>stingrākas</w:t>
            </w:r>
            <w:proofErr w:type="spellEnd"/>
            <w:r w:rsidRPr="00D854CE">
              <w:rPr>
                <w:i/>
              </w:rPr>
              <w:t xml:space="preserve"> </w:t>
            </w:r>
            <w:proofErr w:type="spellStart"/>
            <w:r w:rsidRPr="00D854CE">
              <w:rPr>
                <w:i/>
              </w:rPr>
              <w:t>prasības</w:t>
            </w:r>
            <w:proofErr w:type="spellEnd"/>
          </w:p>
        </w:tc>
      </w:tr>
      <w:tr w:rsidR="009F06BA" w:rsidRPr="00892D58"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9F06BA" w:rsidRPr="00C071BE" w:rsidRDefault="009F06BA" w:rsidP="00F13576">
            <w:pPr>
              <w:pStyle w:val="naisf"/>
              <w:tabs>
                <w:tab w:val="left" w:pos="0"/>
                <w:tab w:val="num" w:pos="795"/>
              </w:tabs>
              <w:rPr>
                <w:i/>
              </w:rPr>
            </w:pPr>
            <w:r w:rsidRPr="00C071BE">
              <w:rPr>
                <w:i/>
              </w:rPr>
              <w:t xml:space="preserve">Komisijas Regula </w:t>
            </w:r>
            <w:proofErr w:type="spellStart"/>
            <w:r w:rsidRPr="00C071BE">
              <w:rPr>
                <w:i/>
              </w:rPr>
              <w:t>Nr</w:t>
            </w:r>
            <w:proofErr w:type="spellEnd"/>
            <w:r w:rsidRPr="00C071BE">
              <w:rPr>
                <w:i/>
              </w:rPr>
              <w:t>. 800/2008</w:t>
            </w:r>
          </w:p>
          <w:p w:rsidR="009F06BA" w:rsidRPr="00C071BE" w:rsidRDefault="009F06BA" w:rsidP="00F13576">
            <w:pPr>
              <w:pStyle w:val="naisf"/>
              <w:tabs>
                <w:tab w:val="left" w:pos="0"/>
                <w:tab w:val="num" w:pos="795"/>
              </w:tabs>
              <w:spacing w:before="0" w:after="0"/>
              <w:rPr>
                <w:i/>
              </w:rPr>
            </w:pPr>
            <w:r w:rsidRPr="00C071BE">
              <w:rPr>
                <w:i/>
              </w:rPr>
              <w:t>2.pants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9F06BA" w:rsidRPr="00C071BE" w:rsidRDefault="00FB570D" w:rsidP="00FB570D">
            <w:pPr>
              <w:jc w:val="both"/>
              <w:rPr>
                <w:i/>
                <w:lang w:val="lv-LV"/>
              </w:rPr>
            </w:pPr>
            <w:r>
              <w:rPr>
                <w:i/>
                <w:lang w:val="lv-LV"/>
              </w:rPr>
              <w:t>2</w:t>
            </w:r>
            <w:r w:rsidR="009F06BA" w:rsidRPr="00C071BE">
              <w:rPr>
                <w:i/>
                <w:lang w:val="lv-LV"/>
              </w:rPr>
              <w:t xml:space="preserve">.pielikuma </w:t>
            </w:r>
            <w:r>
              <w:rPr>
                <w:i/>
                <w:lang w:val="lv-LV"/>
              </w:rPr>
              <w:t>2</w:t>
            </w:r>
            <w:r w:rsidR="009F06BA" w:rsidRPr="00C071BE">
              <w:rPr>
                <w:i/>
                <w:lang w:val="lv-LV"/>
              </w:rPr>
              <w:t>.</w:t>
            </w:r>
            <w:r>
              <w:rPr>
                <w:i/>
                <w:lang w:val="lv-LV"/>
              </w:rPr>
              <w:t>5.apakš-</w:t>
            </w:r>
            <w:r w:rsidR="009F06BA" w:rsidRPr="00C071BE">
              <w:rPr>
                <w:i/>
                <w:lang w:val="lv-LV"/>
              </w:rPr>
              <w:t>punkt</w:t>
            </w:r>
            <w:r>
              <w:rPr>
                <w:i/>
                <w:lang w:val="lv-LV"/>
              </w:rPr>
              <w:t>s</w:t>
            </w:r>
            <w:r w:rsidR="009F06BA" w:rsidRPr="00C071BE">
              <w:rPr>
                <w:i/>
                <w:lang w:val="lv-LV"/>
              </w:rPr>
              <w:t xml:space="preserve"> </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9F06BA" w:rsidRPr="00C071BE" w:rsidRDefault="009F06BA" w:rsidP="00F13576">
            <w:pPr>
              <w:rPr>
                <w:i/>
              </w:rPr>
            </w:pPr>
            <w:proofErr w:type="spellStart"/>
            <w:r w:rsidRPr="00C071BE">
              <w:rPr>
                <w:i/>
              </w:rPr>
              <w:t>ieviesta</w:t>
            </w:r>
            <w:proofErr w:type="spellEnd"/>
            <w:r w:rsidRPr="00C071BE">
              <w:rPr>
                <w:i/>
              </w:rPr>
              <w:t xml:space="preserve"> </w:t>
            </w:r>
            <w:proofErr w:type="spellStart"/>
            <w:r w:rsidRPr="00C071BE">
              <w:rPr>
                <w:i/>
              </w:rPr>
              <w:t>pilnībā</w:t>
            </w:r>
            <w:proofErr w:type="spellEnd"/>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9F06BA" w:rsidRPr="00C071BE" w:rsidRDefault="009F06BA" w:rsidP="00F13576">
            <w:pPr>
              <w:rPr>
                <w:i/>
              </w:rPr>
            </w:pPr>
            <w:proofErr w:type="spellStart"/>
            <w:r w:rsidRPr="00C071BE">
              <w:rPr>
                <w:i/>
              </w:rPr>
              <w:t>neparedz</w:t>
            </w:r>
            <w:proofErr w:type="spellEnd"/>
            <w:r w:rsidRPr="00C071BE">
              <w:rPr>
                <w:i/>
              </w:rPr>
              <w:t xml:space="preserve"> </w:t>
            </w:r>
            <w:proofErr w:type="spellStart"/>
            <w:r w:rsidRPr="00C071BE">
              <w:rPr>
                <w:i/>
              </w:rPr>
              <w:t>stingrākas</w:t>
            </w:r>
            <w:proofErr w:type="spellEnd"/>
            <w:r w:rsidRPr="00C071BE">
              <w:rPr>
                <w:i/>
              </w:rPr>
              <w:t xml:space="preserve"> </w:t>
            </w:r>
            <w:proofErr w:type="spellStart"/>
            <w:r w:rsidRPr="00C071BE">
              <w:rPr>
                <w:i/>
              </w:rPr>
              <w:t>prasības</w:t>
            </w:r>
            <w:proofErr w:type="spellEnd"/>
          </w:p>
        </w:tc>
      </w:tr>
      <w:tr w:rsidR="003C274A" w:rsidRPr="00892D58"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3C274A" w:rsidRPr="003C274A" w:rsidRDefault="003C274A" w:rsidP="003C274A">
            <w:pPr>
              <w:pStyle w:val="naisf"/>
              <w:tabs>
                <w:tab w:val="left" w:pos="0"/>
                <w:tab w:val="num" w:pos="795"/>
              </w:tabs>
              <w:rPr>
                <w:i/>
              </w:rPr>
            </w:pPr>
            <w:r w:rsidRPr="003C274A">
              <w:rPr>
                <w:i/>
              </w:rPr>
              <w:t xml:space="preserve">Komisijas Regula </w:t>
            </w:r>
            <w:proofErr w:type="spellStart"/>
            <w:r w:rsidRPr="003C274A">
              <w:rPr>
                <w:i/>
              </w:rPr>
              <w:t>Nr</w:t>
            </w:r>
            <w:proofErr w:type="spellEnd"/>
            <w:r w:rsidRPr="003C274A">
              <w:rPr>
                <w:i/>
              </w:rPr>
              <w:t>. 800/2008</w:t>
            </w:r>
          </w:p>
          <w:p w:rsidR="003C274A" w:rsidRPr="009F06BA" w:rsidRDefault="003C274A" w:rsidP="003C274A">
            <w:pPr>
              <w:pStyle w:val="naisf"/>
              <w:tabs>
                <w:tab w:val="left" w:pos="0"/>
                <w:tab w:val="num" w:pos="795"/>
              </w:tabs>
              <w:rPr>
                <w:i/>
              </w:rPr>
            </w:pPr>
            <w:r>
              <w:rPr>
                <w:i/>
              </w:rPr>
              <w:t>8</w:t>
            </w:r>
            <w:r w:rsidRPr="003C274A">
              <w:rPr>
                <w:i/>
              </w:rPr>
              <w:t xml:space="preserve">.panta </w:t>
            </w:r>
            <w:r>
              <w:rPr>
                <w:i/>
              </w:rPr>
              <w:t>3</w:t>
            </w:r>
            <w:r w:rsidRPr="003C274A">
              <w:rPr>
                <w:i/>
              </w:rPr>
              <w:t>.punkts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18623A" w:rsidRDefault="0018623A" w:rsidP="0018623A">
            <w:pPr>
              <w:jc w:val="both"/>
              <w:rPr>
                <w:i/>
                <w:lang w:val="lv-LV"/>
              </w:rPr>
            </w:pPr>
            <w:r w:rsidRPr="0018623A">
              <w:rPr>
                <w:i/>
                <w:lang w:val="lv-LV"/>
              </w:rPr>
              <w:t>Ministru kabineta noteikumu projekta</w:t>
            </w:r>
            <w:r w:rsidR="00D854CE">
              <w:rPr>
                <w:i/>
                <w:lang w:val="lv-LV"/>
              </w:rPr>
              <w:t xml:space="preserve"> 3</w:t>
            </w:r>
            <w:r w:rsidR="004D6418">
              <w:rPr>
                <w:i/>
                <w:lang w:val="lv-LV"/>
              </w:rPr>
              <w:t>5</w:t>
            </w:r>
            <w:r w:rsidR="00D854CE">
              <w:rPr>
                <w:i/>
                <w:lang w:val="lv-LV"/>
              </w:rPr>
              <w:t>.6. apakšpunkts,</w:t>
            </w:r>
          </w:p>
          <w:p w:rsidR="003C274A" w:rsidRPr="009F06BA" w:rsidRDefault="0076642A" w:rsidP="0018623A">
            <w:pPr>
              <w:jc w:val="both"/>
              <w:rPr>
                <w:i/>
                <w:lang w:val="lv-LV"/>
              </w:rPr>
            </w:pPr>
            <w:r w:rsidRPr="0018623A">
              <w:rPr>
                <w:i/>
                <w:lang w:val="lv-LV"/>
              </w:rPr>
              <w:t>2.pielikuma 2.</w:t>
            </w:r>
            <w:r w:rsidR="0018623A" w:rsidRPr="0018623A">
              <w:rPr>
                <w:i/>
                <w:lang w:val="lv-LV"/>
              </w:rPr>
              <w:t>9</w:t>
            </w:r>
            <w:r w:rsidRPr="0018623A">
              <w:rPr>
                <w:i/>
                <w:lang w:val="lv-LV"/>
              </w:rPr>
              <w:t>.apakš-punkts</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3C274A" w:rsidRPr="009F06BA" w:rsidRDefault="003C274A" w:rsidP="009F06BA">
            <w:pPr>
              <w:rPr>
                <w:i/>
              </w:rPr>
            </w:pPr>
            <w:proofErr w:type="spellStart"/>
            <w:r w:rsidRPr="003C274A">
              <w:rPr>
                <w:i/>
              </w:rPr>
              <w:t>ieviesta</w:t>
            </w:r>
            <w:proofErr w:type="spellEnd"/>
            <w:r w:rsidRPr="003C274A">
              <w:rPr>
                <w:i/>
              </w:rPr>
              <w:t xml:space="preserve"> </w:t>
            </w:r>
            <w:proofErr w:type="spellStart"/>
            <w:r w:rsidRPr="003C274A">
              <w:rPr>
                <w:i/>
              </w:rPr>
              <w:t>pilnībā</w:t>
            </w:r>
            <w:proofErr w:type="spellEnd"/>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3C274A" w:rsidRPr="009F06BA" w:rsidRDefault="003C274A" w:rsidP="00F27DD8">
            <w:pPr>
              <w:rPr>
                <w:i/>
              </w:rPr>
            </w:pPr>
            <w:proofErr w:type="spellStart"/>
            <w:r w:rsidRPr="003C274A">
              <w:rPr>
                <w:i/>
              </w:rPr>
              <w:t>neparedz</w:t>
            </w:r>
            <w:proofErr w:type="spellEnd"/>
            <w:r w:rsidRPr="003C274A">
              <w:rPr>
                <w:i/>
              </w:rPr>
              <w:t xml:space="preserve"> </w:t>
            </w:r>
            <w:proofErr w:type="spellStart"/>
            <w:r w:rsidRPr="003C274A">
              <w:rPr>
                <w:i/>
              </w:rPr>
              <w:t>stingrākas</w:t>
            </w:r>
            <w:proofErr w:type="spellEnd"/>
            <w:r w:rsidRPr="003C274A">
              <w:rPr>
                <w:i/>
              </w:rPr>
              <w:t xml:space="preserve"> </w:t>
            </w:r>
            <w:proofErr w:type="spellStart"/>
            <w:r w:rsidRPr="003C274A">
              <w:rPr>
                <w:i/>
              </w:rPr>
              <w:t>prasības</w:t>
            </w:r>
            <w:proofErr w:type="spellEnd"/>
          </w:p>
        </w:tc>
      </w:tr>
      <w:tr w:rsidR="00FB570D" w:rsidRPr="00892D58"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9F06BA" w:rsidRPr="009F06BA" w:rsidRDefault="009F06BA" w:rsidP="009F06BA">
            <w:pPr>
              <w:pStyle w:val="naisf"/>
              <w:tabs>
                <w:tab w:val="left" w:pos="0"/>
                <w:tab w:val="num" w:pos="795"/>
              </w:tabs>
              <w:rPr>
                <w:i/>
              </w:rPr>
            </w:pPr>
            <w:r w:rsidRPr="009F06BA">
              <w:rPr>
                <w:i/>
              </w:rPr>
              <w:t xml:space="preserve">Komisijas Regula </w:t>
            </w:r>
            <w:proofErr w:type="spellStart"/>
            <w:r w:rsidRPr="009F06BA">
              <w:rPr>
                <w:i/>
              </w:rPr>
              <w:t>Nr</w:t>
            </w:r>
            <w:proofErr w:type="spellEnd"/>
            <w:r w:rsidRPr="009F06BA">
              <w:rPr>
                <w:i/>
              </w:rPr>
              <w:t>. 800/2008</w:t>
            </w:r>
          </w:p>
          <w:p w:rsidR="009F06BA" w:rsidRPr="00C071BE" w:rsidRDefault="009F06BA" w:rsidP="009F06BA">
            <w:pPr>
              <w:pStyle w:val="naisf"/>
              <w:tabs>
                <w:tab w:val="left" w:pos="0"/>
                <w:tab w:val="num" w:pos="795"/>
              </w:tabs>
              <w:spacing w:before="0" w:after="0"/>
              <w:rPr>
                <w:i/>
              </w:rPr>
            </w:pPr>
            <w:r w:rsidRPr="009F06BA">
              <w:rPr>
                <w:i/>
              </w:rPr>
              <w:t>12.panta 1.punkts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9F06BA" w:rsidRPr="00C071BE" w:rsidRDefault="009F06BA" w:rsidP="00A55B1B">
            <w:pPr>
              <w:jc w:val="both"/>
              <w:rPr>
                <w:i/>
                <w:lang w:val="lv-LV"/>
              </w:rPr>
            </w:pPr>
            <w:r w:rsidRPr="009F06BA">
              <w:rPr>
                <w:i/>
                <w:lang w:val="lv-LV"/>
              </w:rPr>
              <w:t xml:space="preserve">Ministru kabineta noteikumu projekta </w:t>
            </w:r>
            <w:r w:rsidR="003C274A">
              <w:rPr>
                <w:i/>
                <w:lang w:val="lv-LV"/>
              </w:rPr>
              <w:t>2</w:t>
            </w:r>
            <w:r w:rsidR="00A55B1B">
              <w:rPr>
                <w:i/>
                <w:lang w:val="lv-LV"/>
              </w:rPr>
              <w:t>4</w:t>
            </w:r>
            <w:r w:rsidRPr="009F06BA">
              <w:rPr>
                <w:i/>
                <w:lang w:val="lv-LV"/>
              </w:rPr>
              <w:t>.1.apakš-punkts</w:t>
            </w:r>
            <w:r w:rsidR="00A55B1B">
              <w:rPr>
                <w:i/>
                <w:lang w:val="lv-LV"/>
              </w:rPr>
              <w:t xml:space="preserve">; 30.4., </w:t>
            </w:r>
            <w:r w:rsidR="00FE241C">
              <w:rPr>
                <w:i/>
                <w:lang w:val="lv-LV"/>
              </w:rPr>
              <w:t>30.5.</w:t>
            </w:r>
            <w:r w:rsidR="00A55B1B">
              <w:rPr>
                <w:i/>
                <w:lang w:val="lv-LV"/>
              </w:rPr>
              <w:t>apakš-punkts</w:t>
            </w:r>
            <w:r w:rsidR="003C274A">
              <w:rPr>
                <w:i/>
                <w:lang w:val="lv-LV"/>
              </w:rPr>
              <w:t xml:space="preserve"> </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9F06BA" w:rsidRPr="00C071BE" w:rsidRDefault="009F06BA" w:rsidP="009F06BA">
            <w:pPr>
              <w:rPr>
                <w:i/>
              </w:rPr>
            </w:pPr>
            <w:proofErr w:type="spellStart"/>
            <w:r w:rsidRPr="009F06BA">
              <w:rPr>
                <w:i/>
              </w:rPr>
              <w:t>ieviesta</w:t>
            </w:r>
            <w:proofErr w:type="spellEnd"/>
            <w:r w:rsidRPr="009F06BA">
              <w:rPr>
                <w:i/>
              </w:rPr>
              <w:t xml:space="preserve"> </w:t>
            </w:r>
            <w:proofErr w:type="spellStart"/>
            <w:r w:rsidRPr="009F06BA">
              <w:rPr>
                <w:i/>
              </w:rPr>
              <w:t>pilnībā</w:t>
            </w:r>
            <w:proofErr w:type="spellEnd"/>
            <w:r w:rsidRPr="009F06BA">
              <w:rPr>
                <w:i/>
              </w:rPr>
              <w:tab/>
            </w:r>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9F06BA" w:rsidRPr="00C071BE" w:rsidRDefault="009F06BA" w:rsidP="00F27DD8">
            <w:pPr>
              <w:rPr>
                <w:i/>
              </w:rPr>
            </w:pPr>
            <w:proofErr w:type="spellStart"/>
            <w:r w:rsidRPr="009F06BA">
              <w:rPr>
                <w:i/>
              </w:rPr>
              <w:t>neparedz</w:t>
            </w:r>
            <w:proofErr w:type="spellEnd"/>
            <w:r w:rsidRPr="009F06BA">
              <w:rPr>
                <w:i/>
              </w:rPr>
              <w:t xml:space="preserve"> </w:t>
            </w:r>
            <w:proofErr w:type="spellStart"/>
            <w:r w:rsidRPr="009F06BA">
              <w:rPr>
                <w:i/>
              </w:rPr>
              <w:t>stingrākas</w:t>
            </w:r>
            <w:proofErr w:type="spellEnd"/>
            <w:r w:rsidRPr="009F06BA">
              <w:rPr>
                <w:i/>
              </w:rPr>
              <w:t xml:space="preserve"> </w:t>
            </w:r>
            <w:proofErr w:type="spellStart"/>
            <w:r w:rsidRPr="009F06BA">
              <w:rPr>
                <w:i/>
              </w:rPr>
              <w:t>prasības</w:t>
            </w:r>
            <w:proofErr w:type="spellEnd"/>
          </w:p>
        </w:tc>
      </w:tr>
      <w:tr w:rsidR="00FE241C" w:rsidRPr="006A7C4E"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833FF6">
            <w:pPr>
              <w:pStyle w:val="naisf"/>
              <w:tabs>
                <w:tab w:val="left" w:pos="0"/>
                <w:tab w:val="num" w:pos="795"/>
              </w:tabs>
              <w:rPr>
                <w:i/>
              </w:rPr>
            </w:pPr>
            <w:r w:rsidRPr="009F06BA">
              <w:rPr>
                <w:i/>
              </w:rPr>
              <w:t xml:space="preserve">Komisijas Regula </w:t>
            </w:r>
            <w:proofErr w:type="spellStart"/>
            <w:r w:rsidRPr="009F06BA">
              <w:rPr>
                <w:i/>
              </w:rPr>
              <w:t>Nr</w:t>
            </w:r>
            <w:proofErr w:type="spellEnd"/>
            <w:r w:rsidRPr="009F06BA">
              <w:rPr>
                <w:i/>
              </w:rPr>
              <w:t xml:space="preserve">. </w:t>
            </w:r>
            <w:r w:rsidRPr="009F06BA">
              <w:rPr>
                <w:i/>
              </w:rPr>
              <w:lastRenderedPageBreak/>
              <w:t>800/2008</w:t>
            </w:r>
          </w:p>
          <w:p w:rsidR="00FE241C" w:rsidRPr="00C071BE" w:rsidRDefault="00FE241C" w:rsidP="00FE241C">
            <w:pPr>
              <w:pStyle w:val="naisf"/>
              <w:tabs>
                <w:tab w:val="left" w:pos="0"/>
                <w:tab w:val="num" w:pos="795"/>
              </w:tabs>
              <w:spacing w:before="0" w:after="0"/>
              <w:rPr>
                <w:i/>
              </w:rPr>
            </w:pPr>
            <w:r w:rsidRPr="009F06BA">
              <w:rPr>
                <w:i/>
              </w:rPr>
              <w:t xml:space="preserve">12.panta </w:t>
            </w:r>
            <w:r>
              <w:rPr>
                <w:i/>
              </w:rPr>
              <w:t>2</w:t>
            </w:r>
            <w:r w:rsidRPr="009F06BA">
              <w:rPr>
                <w:i/>
              </w:rPr>
              <w:t>.punkts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FE241C" w:rsidRPr="00C071BE" w:rsidRDefault="00FE241C" w:rsidP="00FE241C">
            <w:pPr>
              <w:jc w:val="both"/>
              <w:rPr>
                <w:i/>
                <w:lang w:val="lv-LV"/>
              </w:rPr>
            </w:pPr>
            <w:r w:rsidRPr="009F06BA">
              <w:rPr>
                <w:i/>
                <w:lang w:val="lv-LV"/>
              </w:rPr>
              <w:lastRenderedPageBreak/>
              <w:t xml:space="preserve">Ministru kabineta </w:t>
            </w:r>
            <w:r w:rsidRPr="009F06BA">
              <w:rPr>
                <w:i/>
                <w:lang w:val="lv-LV"/>
              </w:rPr>
              <w:lastRenderedPageBreak/>
              <w:t xml:space="preserve">noteikumu projekta </w:t>
            </w:r>
            <w:r>
              <w:rPr>
                <w:i/>
                <w:lang w:val="lv-LV"/>
              </w:rPr>
              <w:t>30</w:t>
            </w:r>
            <w:r w:rsidRPr="009F06BA">
              <w:rPr>
                <w:i/>
                <w:lang w:val="lv-LV"/>
              </w:rPr>
              <w:t>.</w:t>
            </w:r>
            <w:r>
              <w:rPr>
                <w:i/>
                <w:lang w:val="lv-LV"/>
              </w:rPr>
              <w:t>1, 30.2., 30.</w:t>
            </w:r>
            <w:r w:rsidR="008E2194">
              <w:rPr>
                <w:i/>
                <w:lang w:val="lv-LV"/>
              </w:rPr>
              <w:t>6.,</w:t>
            </w:r>
            <w:r>
              <w:rPr>
                <w:i/>
                <w:lang w:val="lv-LV"/>
              </w:rPr>
              <w:t>30.7.</w:t>
            </w:r>
            <w:r w:rsidRPr="009F06BA">
              <w:rPr>
                <w:i/>
                <w:lang w:val="lv-LV"/>
              </w:rPr>
              <w:t>apakš-punkts</w:t>
            </w:r>
            <w:r>
              <w:rPr>
                <w:i/>
                <w:lang w:val="lv-LV"/>
              </w:rPr>
              <w:t xml:space="preserve"> </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FE241C" w:rsidRPr="00834450" w:rsidRDefault="00FE241C" w:rsidP="009F06BA">
            <w:pPr>
              <w:rPr>
                <w:i/>
                <w:lang w:val="de-DE"/>
              </w:rPr>
            </w:pPr>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FE241C" w:rsidRPr="00834450" w:rsidRDefault="00FE241C" w:rsidP="00F27DD8">
            <w:pPr>
              <w:rPr>
                <w:i/>
                <w:lang w:val="de-DE"/>
              </w:rPr>
            </w:pPr>
          </w:p>
        </w:tc>
      </w:tr>
      <w:tr w:rsidR="00FE241C" w:rsidRPr="00892D58"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FE241C" w:rsidRDefault="00FE241C" w:rsidP="009F06BA">
            <w:pPr>
              <w:pStyle w:val="naisf"/>
              <w:tabs>
                <w:tab w:val="left" w:pos="0"/>
                <w:tab w:val="num" w:pos="795"/>
              </w:tabs>
              <w:rPr>
                <w:i/>
              </w:rPr>
            </w:pPr>
            <w:r w:rsidRPr="001D7A19">
              <w:rPr>
                <w:i/>
              </w:rPr>
              <w:lastRenderedPageBreak/>
              <w:t xml:space="preserve">Komisijas Regula </w:t>
            </w:r>
            <w:proofErr w:type="spellStart"/>
            <w:r w:rsidRPr="001D7A19">
              <w:rPr>
                <w:i/>
              </w:rPr>
              <w:t>Nr</w:t>
            </w:r>
            <w:proofErr w:type="spellEnd"/>
            <w:r w:rsidRPr="001D7A19">
              <w:rPr>
                <w:i/>
              </w:rPr>
              <w:t>. 800/2008</w:t>
            </w:r>
          </w:p>
          <w:p w:rsidR="00FE241C" w:rsidRPr="009F06BA" w:rsidRDefault="00FE241C" w:rsidP="009F06BA">
            <w:pPr>
              <w:pStyle w:val="naisf"/>
              <w:tabs>
                <w:tab w:val="left" w:pos="0"/>
                <w:tab w:val="num" w:pos="795"/>
              </w:tabs>
              <w:rPr>
                <w:i/>
              </w:rPr>
            </w:pPr>
            <w:r>
              <w:rPr>
                <w:i/>
              </w:rPr>
              <w:t>1.panta 3.punkts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1D7A19">
            <w:pPr>
              <w:jc w:val="both"/>
              <w:rPr>
                <w:i/>
                <w:lang w:val="lv-LV"/>
              </w:rPr>
            </w:pPr>
            <w:r w:rsidRPr="001D7A19">
              <w:rPr>
                <w:i/>
                <w:lang w:val="lv-LV"/>
              </w:rPr>
              <w:t xml:space="preserve">Ministru kabineta noteikumu projekta </w:t>
            </w:r>
            <w:r>
              <w:rPr>
                <w:i/>
                <w:lang w:val="lv-LV"/>
              </w:rPr>
              <w:t>1.pielikums</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9F06BA">
            <w:pPr>
              <w:rPr>
                <w:i/>
              </w:rPr>
            </w:pPr>
            <w:proofErr w:type="spellStart"/>
            <w:r w:rsidRPr="002538E7">
              <w:rPr>
                <w:i/>
              </w:rPr>
              <w:t>ieviesta</w:t>
            </w:r>
            <w:proofErr w:type="spellEnd"/>
            <w:r w:rsidRPr="002538E7">
              <w:rPr>
                <w:i/>
              </w:rPr>
              <w:t xml:space="preserve"> </w:t>
            </w:r>
            <w:proofErr w:type="spellStart"/>
            <w:r w:rsidRPr="002538E7">
              <w:rPr>
                <w:i/>
              </w:rPr>
              <w:t>pilnībā</w:t>
            </w:r>
            <w:proofErr w:type="spellEnd"/>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F27DD8">
            <w:pPr>
              <w:rPr>
                <w:i/>
              </w:rPr>
            </w:pPr>
            <w:proofErr w:type="spellStart"/>
            <w:r w:rsidRPr="002538E7">
              <w:rPr>
                <w:i/>
              </w:rPr>
              <w:t>neparedz</w:t>
            </w:r>
            <w:proofErr w:type="spellEnd"/>
            <w:r w:rsidRPr="002538E7">
              <w:rPr>
                <w:i/>
              </w:rPr>
              <w:t xml:space="preserve"> </w:t>
            </w:r>
            <w:proofErr w:type="spellStart"/>
            <w:r w:rsidRPr="002538E7">
              <w:rPr>
                <w:i/>
              </w:rPr>
              <w:t>stingrākas</w:t>
            </w:r>
            <w:proofErr w:type="spellEnd"/>
            <w:r w:rsidRPr="002538E7">
              <w:rPr>
                <w:i/>
              </w:rPr>
              <w:t xml:space="preserve"> </w:t>
            </w:r>
            <w:proofErr w:type="spellStart"/>
            <w:r w:rsidRPr="002538E7">
              <w:rPr>
                <w:i/>
              </w:rPr>
              <w:t>prasības</w:t>
            </w:r>
            <w:proofErr w:type="spellEnd"/>
          </w:p>
        </w:tc>
      </w:tr>
      <w:tr w:rsidR="00FE241C" w:rsidRPr="00892D58"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FE241C" w:rsidRPr="002538E7" w:rsidRDefault="00FE241C" w:rsidP="002538E7">
            <w:pPr>
              <w:pStyle w:val="naisf"/>
              <w:tabs>
                <w:tab w:val="left" w:pos="0"/>
                <w:tab w:val="num" w:pos="795"/>
              </w:tabs>
              <w:rPr>
                <w:i/>
              </w:rPr>
            </w:pP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FE241C" w:rsidRPr="002538E7" w:rsidRDefault="00FE241C" w:rsidP="002538E7">
            <w:pPr>
              <w:jc w:val="both"/>
              <w:rPr>
                <w:i/>
                <w:lang w:val="lv-LV"/>
              </w:rPr>
            </w:pP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9F06BA">
            <w:pPr>
              <w:rPr>
                <w:i/>
              </w:rPr>
            </w:pPr>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F27DD8">
            <w:pPr>
              <w:rPr>
                <w:i/>
              </w:rPr>
            </w:pPr>
          </w:p>
        </w:tc>
      </w:tr>
      <w:tr w:rsidR="00FE241C" w:rsidRPr="00892D58" w:rsidTr="00FE241C">
        <w:trPr>
          <w:trHeight w:val="479"/>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tcPr>
          <w:p w:rsidR="00FE241C" w:rsidRPr="002538E7" w:rsidRDefault="00FE241C" w:rsidP="002538E7">
            <w:pPr>
              <w:pStyle w:val="naisf"/>
              <w:tabs>
                <w:tab w:val="left" w:pos="0"/>
                <w:tab w:val="num" w:pos="795"/>
              </w:tabs>
              <w:rPr>
                <w:i/>
              </w:rPr>
            </w:pPr>
            <w:r w:rsidRPr="002538E7">
              <w:rPr>
                <w:i/>
              </w:rPr>
              <w:t xml:space="preserve">Komisijas Regula </w:t>
            </w:r>
            <w:proofErr w:type="spellStart"/>
            <w:r w:rsidRPr="002538E7">
              <w:rPr>
                <w:i/>
              </w:rPr>
              <w:t>Nr</w:t>
            </w:r>
            <w:proofErr w:type="spellEnd"/>
            <w:r w:rsidRPr="002538E7">
              <w:rPr>
                <w:i/>
              </w:rPr>
              <w:t>. 800/2008</w:t>
            </w:r>
          </w:p>
          <w:p w:rsidR="00FE241C" w:rsidRPr="001D7A19" w:rsidRDefault="00FE241C" w:rsidP="002538E7">
            <w:pPr>
              <w:pStyle w:val="naisf"/>
              <w:tabs>
                <w:tab w:val="left" w:pos="0"/>
                <w:tab w:val="num" w:pos="795"/>
              </w:tabs>
              <w:rPr>
                <w:i/>
              </w:rPr>
            </w:pPr>
            <w:r w:rsidRPr="002538E7">
              <w:rPr>
                <w:i/>
              </w:rPr>
              <w:t xml:space="preserve">1.panta </w:t>
            </w:r>
            <w:r>
              <w:rPr>
                <w:i/>
              </w:rPr>
              <w:t>6</w:t>
            </w:r>
            <w:r w:rsidRPr="002538E7">
              <w:rPr>
                <w:i/>
              </w:rPr>
              <w:t>.punkts</w:t>
            </w:r>
          </w:p>
        </w:tc>
        <w:tc>
          <w:tcPr>
            <w:tcW w:w="740" w:type="pct"/>
            <w:tcBorders>
              <w:top w:val="outset" w:sz="6" w:space="0" w:color="auto"/>
              <w:left w:val="outset" w:sz="6" w:space="0" w:color="auto"/>
              <w:bottom w:val="outset" w:sz="6" w:space="0" w:color="auto"/>
              <w:right w:val="outset" w:sz="6" w:space="0" w:color="auto"/>
            </w:tcBorders>
            <w:shd w:val="clear" w:color="auto" w:fill="auto"/>
          </w:tcPr>
          <w:p w:rsidR="00FE241C" w:rsidRPr="001D7A19" w:rsidRDefault="00FE241C" w:rsidP="008E2194">
            <w:pPr>
              <w:jc w:val="both"/>
              <w:rPr>
                <w:i/>
                <w:lang w:val="lv-LV"/>
              </w:rPr>
            </w:pPr>
            <w:r w:rsidRPr="002538E7">
              <w:rPr>
                <w:i/>
                <w:lang w:val="lv-LV"/>
              </w:rPr>
              <w:t xml:space="preserve">Ministru kabineta noteikumu projekta </w:t>
            </w:r>
            <w:r>
              <w:rPr>
                <w:i/>
                <w:lang w:val="lv-LV"/>
              </w:rPr>
              <w:t>1</w:t>
            </w:r>
            <w:r w:rsidR="008E2194">
              <w:rPr>
                <w:i/>
                <w:lang w:val="lv-LV"/>
              </w:rPr>
              <w:t>9</w:t>
            </w:r>
            <w:r>
              <w:rPr>
                <w:i/>
                <w:lang w:val="lv-LV"/>
              </w:rPr>
              <w:t>.punkts</w:t>
            </w:r>
          </w:p>
        </w:tc>
        <w:tc>
          <w:tcPr>
            <w:tcW w:w="923"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9F06BA">
            <w:pPr>
              <w:rPr>
                <w:i/>
              </w:rPr>
            </w:pPr>
            <w:proofErr w:type="spellStart"/>
            <w:r w:rsidRPr="002538E7">
              <w:rPr>
                <w:i/>
              </w:rPr>
              <w:t>ieviesta</w:t>
            </w:r>
            <w:proofErr w:type="spellEnd"/>
            <w:r w:rsidRPr="002538E7">
              <w:rPr>
                <w:i/>
              </w:rPr>
              <w:t xml:space="preserve"> </w:t>
            </w:r>
            <w:proofErr w:type="spellStart"/>
            <w:r w:rsidRPr="002538E7">
              <w:rPr>
                <w:i/>
              </w:rPr>
              <w:t>pilnībā</w:t>
            </w:r>
            <w:proofErr w:type="spellEnd"/>
          </w:p>
        </w:tc>
        <w:tc>
          <w:tcPr>
            <w:tcW w:w="2440" w:type="pct"/>
            <w:tcBorders>
              <w:top w:val="outset" w:sz="6" w:space="0" w:color="auto"/>
              <w:left w:val="outset" w:sz="6" w:space="0" w:color="auto"/>
              <w:bottom w:val="outset" w:sz="6" w:space="0" w:color="auto"/>
              <w:right w:val="outset" w:sz="6" w:space="0" w:color="auto"/>
            </w:tcBorders>
            <w:shd w:val="clear" w:color="auto" w:fill="auto"/>
          </w:tcPr>
          <w:p w:rsidR="00FE241C" w:rsidRPr="009F06BA" w:rsidRDefault="00FE241C" w:rsidP="00F27DD8">
            <w:pPr>
              <w:rPr>
                <w:i/>
              </w:rPr>
            </w:pPr>
            <w:proofErr w:type="spellStart"/>
            <w:r w:rsidRPr="002538E7">
              <w:rPr>
                <w:i/>
              </w:rPr>
              <w:t>neparedz</w:t>
            </w:r>
            <w:proofErr w:type="spellEnd"/>
            <w:r w:rsidRPr="002538E7">
              <w:rPr>
                <w:i/>
              </w:rPr>
              <w:t xml:space="preserve"> </w:t>
            </w:r>
            <w:proofErr w:type="spellStart"/>
            <w:r w:rsidRPr="002538E7">
              <w:rPr>
                <w:i/>
              </w:rPr>
              <w:t>stingrākas</w:t>
            </w:r>
            <w:proofErr w:type="spellEnd"/>
            <w:r w:rsidRPr="002538E7">
              <w:rPr>
                <w:i/>
              </w:rPr>
              <w:t xml:space="preserve"> </w:t>
            </w:r>
            <w:proofErr w:type="spellStart"/>
            <w:r w:rsidRPr="002538E7">
              <w:rPr>
                <w:i/>
              </w:rPr>
              <w:t>prasības</w:t>
            </w:r>
            <w:proofErr w:type="spellEnd"/>
          </w:p>
        </w:tc>
      </w:tr>
      <w:tr w:rsidR="00FE241C" w:rsidRPr="009B7D31" w:rsidTr="00FE241C">
        <w:trPr>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1C" w:rsidRPr="00C071BE" w:rsidRDefault="00FE241C" w:rsidP="0087512B">
            <w:pPr>
              <w:jc w:val="both"/>
              <w:rPr>
                <w:szCs w:val="24"/>
                <w:lang w:val="lv-LV"/>
              </w:rPr>
            </w:pPr>
            <w:r w:rsidRPr="00C071BE">
              <w:rPr>
                <w:szCs w:val="24"/>
                <w:lang w:val="lv-LV"/>
              </w:rPr>
              <w:t>Kā ir izmantota ES tiesību aktā paredzētā rīcības brīvība dalībvalstij pārņemt vai ieviest noteiktas ES tiesību akta normas.</w:t>
            </w:r>
          </w:p>
        </w:tc>
        <w:tc>
          <w:tcPr>
            <w:tcW w:w="4135" w:type="pct"/>
            <w:gridSpan w:val="3"/>
            <w:tcBorders>
              <w:top w:val="outset" w:sz="6" w:space="0" w:color="auto"/>
              <w:left w:val="outset" w:sz="6" w:space="0" w:color="auto"/>
              <w:bottom w:val="outset" w:sz="6" w:space="0" w:color="auto"/>
              <w:right w:val="outset" w:sz="6" w:space="0" w:color="auto"/>
            </w:tcBorders>
            <w:shd w:val="clear" w:color="auto" w:fill="auto"/>
            <w:hideMark/>
          </w:tcPr>
          <w:p w:rsidR="00FE241C" w:rsidRPr="00C071BE" w:rsidRDefault="00FE241C" w:rsidP="00912253">
            <w:pPr>
              <w:jc w:val="both"/>
              <w:rPr>
                <w:iCs/>
                <w:szCs w:val="24"/>
                <w:lang w:val="lv-LV"/>
              </w:rPr>
            </w:pPr>
            <w:r w:rsidRPr="00C071BE">
              <w:rPr>
                <w:iCs/>
                <w:szCs w:val="24"/>
                <w:lang w:val="lv-LV"/>
              </w:rPr>
              <w:t xml:space="preserve">Lai sniegtu valsts atbalstu, dalībvalstij ir obligāti jāpiemēro: </w:t>
            </w:r>
          </w:p>
          <w:p w:rsidR="00FE241C" w:rsidRPr="00C071BE" w:rsidRDefault="00FE241C" w:rsidP="0087512B">
            <w:pPr>
              <w:rPr>
                <w:iCs/>
              </w:rPr>
            </w:pPr>
            <w:proofErr w:type="spellStart"/>
            <w:r w:rsidRPr="00C071BE">
              <w:t>Komisijas</w:t>
            </w:r>
            <w:proofErr w:type="spellEnd"/>
            <w:r w:rsidRPr="00C071BE">
              <w:t xml:space="preserve"> </w:t>
            </w:r>
            <w:proofErr w:type="spellStart"/>
            <w:r>
              <w:t>R</w:t>
            </w:r>
            <w:r w:rsidRPr="00C071BE">
              <w:t>egula</w:t>
            </w:r>
            <w:proofErr w:type="spellEnd"/>
            <w:r w:rsidRPr="00C071BE">
              <w:t xml:space="preserve"> Nr.1998/2006</w:t>
            </w:r>
            <w:r w:rsidRPr="00C071BE">
              <w:rPr>
                <w:iCs/>
              </w:rPr>
              <w:t>;</w:t>
            </w:r>
          </w:p>
          <w:p w:rsidR="00FE241C" w:rsidRPr="00C071BE" w:rsidRDefault="00FE241C" w:rsidP="0087512B">
            <w:pPr>
              <w:rPr>
                <w:iCs/>
              </w:rPr>
            </w:pPr>
            <w:proofErr w:type="spellStart"/>
            <w:r w:rsidRPr="00C071BE">
              <w:rPr>
                <w:iCs/>
              </w:rPr>
              <w:t>Komisijas</w:t>
            </w:r>
            <w:proofErr w:type="spellEnd"/>
            <w:r w:rsidRPr="00C071BE">
              <w:rPr>
                <w:iCs/>
              </w:rPr>
              <w:t xml:space="preserve"> </w:t>
            </w:r>
            <w:proofErr w:type="spellStart"/>
            <w:r w:rsidRPr="00C071BE">
              <w:rPr>
                <w:iCs/>
              </w:rPr>
              <w:t>Regula</w:t>
            </w:r>
            <w:proofErr w:type="spellEnd"/>
            <w:r w:rsidRPr="00C071BE">
              <w:rPr>
                <w:iCs/>
              </w:rPr>
              <w:t xml:space="preserve"> Nr.800/2008.</w:t>
            </w:r>
          </w:p>
          <w:p w:rsidR="00FE241C" w:rsidRPr="00C071BE" w:rsidRDefault="00FE241C" w:rsidP="00D74A1E"/>
        </w:tc>
      </w:tr>
      <w:tr w:rsidR="00FE241C" w:rsidRPr="006A7C4E" w:rsidTr="00FE241C">
        <w:trPr>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E241C" w:rsidRPr="00C071BE" w:rsidRDefault="00FE241C" w:rsidP="0087512B">
            <w:pPr>
              <w:jc w:val="both"/>
              <w:rPr>
                <w:szCs w:val="24"/>
                <w:lang w:val="lv-LV"/>
              </w:rPr>
            </w:pPr>
            <w:r w:rsidRPr="00C071BE">
              <w:rPr>
                <w:szCs w:val="24"/>
                <w:lang w:val="lv-LV"/>
              </w:rPr>
              <w:t xml:space="preserve">Saistības sniegt paziņojumu ES institūcijām un ES dalībvalstīm atbilstoši normatīvajiem aktiem, kas regulē informācijas sniegšanu par tehnisko noteikumu, valsts atbalsta piešķiršanas un finanšu noteikumu </w:t>
            </w:r>
            <w:r w:rsidRPr="00C071BE">
              <w:rPr>
                <w:szCs w:val="24"/>
                <w:lang w:val="lv-LV"/>
              </w:rPr>
              <w:lastRenderedPageBreak/>
              <w:t>(attiecībā uz monetāro politiku) projektiem</w:t>
            </w:r>
          </w:p>
        </w:tc>
        <w:tc>
          <w:tcPr>
            <w:tcW w:w="4135" w:type="pct"/>
            <w:gridSpan w:val="3"/>
            <w:tcBorders>
              <w:top w:val="outset" w:sz="6" w:space="0" w:color="auto"/>
              <w:left w:val="outset" w:sz="6" w:space="0" w:color="auto"/>
              <w:bottom w:val="outset" w:sz="6" w:space="0" w:color="auto"/>
              <w:right w:val="outset" w:sz="6" w:space="0" w:color="auto"/>
            </w:tcBorders>
            <w:shd w:val="clear" w:color="auto" w:fill="auto"/>
            <w:hideMark/>
          </w:tcPr>
          <w:p w:rsidR="00FE241C" w:rsidRDefault="00FE241C" w:rsidP="00132AFC">
            <w:pPr>
              <w:ind w:firstLine="483"/>
              <w:jc w:val="both"/>
              <w:rPr>
                <w:iCs/>
                <w:szCs w:val="24"/>
                <w:lang w:val="lv-LV"/>
              </w:rPr>
            </w:pPr>
            <w:r w:rsidRPr="00C071BE">
              <w:rPr>
                <w:iCs/>
                <w:szCs w:val="24"/>
                <w:lang w:val="lv-LV"/>
              </w:rPr>
              <w:lastRenderedPageBreak/>
              <w:t xml:space="preserve">Paziņojumu </w:t>
            </w:r>
            <w:r>
              <w:rPr>
                <w:iCs/>
                <w:szCs w:val="24"/>
                <w:lang w:val="lv-LV"/>
              </w:rPr>
              <w:t xml:space="preserve">saistībā ar Ministru kabineta noteikumu projekta 34.2., 34.3., 34.4.apakšpunktā paredzēto atbalstu </w:t>
            </w:r>
            <w:r w:rsidRPr="00C071BE">
              <w:rPr>
                <w:iCs/>
                <w:szCs w:val="24"/>
                <w:lang w:val="lv-LV"/>
              </w:rPr>
              <w:t>E</w:t>
            </w:r>
            <w:r>
              <w:rPr>
                <w:iCs/>
                <w:szCs w:val="24"/>
                <w:lang w:val="lv-LV"/>
              </w:rPr>
              <w:t xml:space="preserve">iropas </w:t>
            </w:r>
            <w:r w:rsidRPr="00C071BE">
              <w:rPr>
                <w:iCs/>
                <w:szCs w:val="24"/>
                <w:lang w:val="lv-LV"/>
              </w:rPr>
              <w:t>K</w:t>
            </w:r>
            <w:r>
              <w:rPr>
                <w:iCs/>
                <w:szCs w:val="24"/>
                <w:lang w:val="lv-LV"/>
              </w:rPr>
              <w:t>omisijai</w:t>
            </w:r>
            <w:r w:rsidRPr="00C071BE">
              <w:rPr>
                <w:iCs/>
                <w:szCs w:val="24"/>
                <w:lang w:val="lv-LV"/>
              </w:rPr>
              <w:t xml:space="preserve"> nav nepieciešams sniegt, jo valsts atbalsts ša</w:t>
            </w:r>
            <w:r>
              <w:rPr>
                <w:iCs/>
                <w:szCs w:val="24"/>
                <w:lang w:val="lv-LV"/>
              </w:rPr>
              <w:t xml:space="preserve">jā </w:t>
            </w:r>
            <w:r w:rsidRPr="00C071BE">
              <w:rPr>
                <w:iCs/>
                <w:szCs w:val="24"/>
                <w:lang w:val="lv-LV"/>
              </w:rPr>
              <w:t xml:space="preserve">gadījumā saskaņā ar </w:t>
            </w:r>
            <w:r>
              <w:rPr>
                <w:iCs/>
                <w:szCs w:val="24"/>
                <w:lang w:val="lv-LV"/>
              </w:rPr>
              <w:t xml:space="preserve">Komisijas </w:t>
            </w:r>
            <w:r w:rsidRPr="00C071BE">
              <w:rPr>
                <w:iCs/>
                <w:szCs w:val="24"/>
                <w:lang w:val="lv-LV"/>
              </w:rPr>
              <w:t>Regulas Nr.1998/2006 2.pantu ir atbrīvots no iepriekšējas paziņošanas E</w:t>
            </w:r>
            <w:r>
              <w:rPr>
                <w:iCs/>
                <w:szCs w:val="24"/>
                <w:lang w:val="lv-LV"/>
              </w:rPr>
              <w:t xml:space="preserve">iropas </w:t>
            </w:r>
            <w:r w:rsidRPr="00C071BE">
              <w:rPr>
                <w:iCs/>
                <w:szCs w:val="24"/>
                <w:lang w:val="lv-LV"/>
              </w:rPr>
              <w:t>K</w:t>
            </w:r>
            <w:r>
              <w:rPr>
                <w:iCs/>
                <w:szCs w:val="24"/>
                <w:lang w:val="lv-LV"/>
              </w:rPr>
              <w:t>omisijai</w:t>
            </w:r>
            <w:r w:rsidRPr="00C071BE">
              <w:rPr>
                <w:iCs/>
                <w:szCs w:val="24"/>
                <w:lang w:val="lv-LV"/>
              </w:rPr>
              <w:t>.</w:t>
            </w:r>
          </w:p>
          <w:p w:rsidR="00FE241C" w:rsidRPr="00C071BE" w:rsidRDefault="00FE241C" w:rsidP="00760981">
            <w:pPr>
              <w:ind w:firstLine="483"/>
              <w:jc w:val="both"/>
              <w:rPr>
                <w:iCs/>
                <w:szCs w:val="24"/>
                <w:lang w:val="lv-LV"/>
              </w:rPr>
            </w:pPr>
            <w:r w:rsidRPr="00760981">
              <w:rPr>
                <w:iCs/>
                <w:szCs w:val="24"/>
                <w:lang w:val="lv-LV"/>
              </w:rPr>
              <w:t xml:space="preserve">Eiropas Komisijai informācijas kopsavilkums par </w:t>
            </w:r>
            <w:r>
              <w:rPr>
                <w:iCs/>
                <w:szCs w:val="24"/>
                <w:lang w:val="lv-LV"/>
              </w:rPr>
              <w:t>Ministru kabineta noteikumu</w:t>
            </w:r>
            <w:r w:rsidRPr="00760981">
              <w:rPr>
                <w:iCs/>
                <w:szCs w:val="24"/>
                <w:lang w:val="lv-LV"/>
              </w:rPr>
              <w:t xml:space="preserve"> projekt</w:t>
            </w:r>
            <w:r>
              <w:rPr>
                <w:iCs/>
                <w:szCs w:val="24"/>
                <w:lang w:val="lv-LV"/>
              </w:rPr>
              <w:t>a 34.1.apakšpunktā</w:t>
            </w:r>
            <w:r w:rsidRPr="00760981">
              <w:rPr>
                <w:iCs/>
                <w:szCs w:val="24"/>
                <w:lang w:val="lv-LV"/>
              </w:rPr>
              <w:t xml:space="preserve"> paredzēto valsts atbalsta pasākumu tiks nosūtīts 20 darba dienu laikā pēc atbalsta shēmas stāšanās spēkā, saskaņā ar Komisijas Regulas 800/2008 I.</w:t>
            </w:r>
            <w:r>
              <w:rPr>
                <w:iCs/>
                <w:szCs w:val="24"/>
                <w:lang w:val="lv-LV"/>
              </w:rPr>
              <w:t xml:space="preserve"> </w:t>
            </w:r>
            <w:r w:rsidRPr="00760981">
              <w:rPr>
                <w:iCs/>
                <w:szCs w:val="24"/>
                <w:lang w:val="lv-LV"/>
              </w:rPr>
              <w:t>nodaļas 9.panta 1.punktu.</w:t>
            </w:r>
          </w:p>
          <w:p w:rsidR="00FE241C" w:rsidRPr="00C071BE" w:rsidRDefault="00FE241C" w:rsidP="00760981">
            <w:pPr>
              <w:ind w:firstLine="483"/>
              <w:jc w:val="both"/>
              <w:rPr>
                <w:iCs/>
                <w:szCs w:val="24"/>
                <w:lang w:val="lv-LV"/>
              </w:rPr>
            </w:pPr>
          </w:p>
          <w:p w:rsidR="00FE241C" w:rsidRPr="00C071BE" w:rsidRDefault="00FE241C" w:rsidP="0087512B">
            <w:pPr>
              <w:jc w:val="both"/>
              <w:rPr>
                <w:szCs w:val="24"/>
                <w:lang w:val="lv-LV"/>
              </w:rPr>
            </w:pPr>
          </w:p>
        </w:tc>
      </w:tr>
      <w:tr w:rsidR="00FE241C" w:rsidRPr="006A7C4E" w:rsidTr="00FE241C">
        <w:trPr>
          <w:tblCellSpacing w:w="15" w:type="dxa"/>
        </w:trPr>
        <w:tc>
          <w:tcPr>
            <w:tcW w:w="816" w:type="pct"/>
            <w:tcBorders>
              <w:top w:val="outset" w:sz="6" w:space="0" w:color="auto"/>
              <w:left w:val="outset" w:sz="6" w:space="0" w:color="auto"/>
              <w:bottom w:val="outset" w:sz="6" w:space="0" w:color="auto"/>
              <w:right w:val="outset" w:sz="6" w:space="0" w:color="auto"/>
            </w:tcBorders>
            <w:shd w:val="clear" w:color="auto" w:fill="auto"/>
            <w:hideMark/>
          </w:tcPr>
          <w:p w:rsidR="00FE241C" w:rsidRPr="00340C6E" w:rsidRDefault="00FE241C" w:rsidP="0087512B">
            <w:pPr>
              <w:jc w:val="both"/>
              <w:rPr>
                <w:szCs w:val="24"/>
                <w:lang w:val="lv-LV"/>
              </w:rPr>
            </w:pPr>
            <w:r w:rsidRPr="00340C6E">
              <w:rPr>
                <w:szCs w:val="24"/>
                <w:lang w:val="lv-LV"/>
              </w:rPr>
              <w:lastRenderedPageBreak/>
              <w:t>Cita informācija</w:t>
            </w:r>
          </w:p>
        </w:tc>
        <w:tc>
          <w:tcPr>
            <w:tcW w:w="4135" w:type="pct"/>
            <w:gridSpan w:val="3"/>
            <w:tcBorders>
              <w:top w:val="outset" w:sz="6" w:space="0" w:color="auto"/>
              <w:left w:val="outset" w:sz="6" w:space="0" w:color="auto"/>
              <w:bottom w:val="outset" w:sz="6" w:space="0" w:color="auto"/>
              <w:right w:val="outset" w:sz="6" w:space="0" w:color="auto"/>
            </w:tcBorders>
            <w:shd w:val="clear" w:color="auto" w:fill="auto"/>
            <w:hideMark/>
          </w:tcPr>
          <w:p w:rsidR="00FE241C" w:rsidRPr="00340C6E" w:rsidRDefault="003A3DE7" w:rsidP="0087512B">
            <w:pPr>
              <w:jc w:val="both"/>
              <w:rPr>
                <w:szCs w:val="24"/>
                <w:lang w:val="lv-LV"/>
              </w:rPr>
            </w:pPr>
            <w:r>
              <w:rPr>
                <w:iCs/>
                <w:lang w:val="lv-LV"/>
              </w:rPr>
              <w:t>Lēmumam par šajos noteikumos paredzētā atbalsta piešķiršanu jābūt pieņemtam līdz 2014.gada 30.jūnijam. Ja tiks organizēta papildus projekta atlases kārta un lēmumus par atbalsta piešķiršanu nebūs iespējams pieņemt līdz 2014.gada 30.jūnijam, tiks veikti noteikumu grozījumi atbilstoši jaunajam valsts atbalsta regulējumam.</w:t>
            </w:r>
          </w:p>
        </w:tc>
      </w:tr>
    </w:tbl>
    <w:p w:rsidR="004E7656" w:rsidRDefault="004E7656">
      <w:pPr>
        <w:spacing w:after="60"/>
        <w:rPr>
          <w:szCs w:val="24"/>
          <w:lang w:val="lv-LV"/>
        </w:rPr>
      </w:pPr>
    </w:p>
    <w:p w:rsidR="004E7656" w:rsidRDefault="004E7656" w:rsidP="004E7656">
      <w:pPr>
        <w:rPr>
          <w:lang w:val="lv-LV"/>
        </w:rPr>
      </w:pPr>
      <w:r>
        <w:rPr>
          <w:lang w:val="lv-LV"/>
        </w:rPr>
        <w:br w:type="page"/>
      </w:r>
    </w:p>
    <w:p w:rsidR="00912253" w:rsidRDefault="00912253">
      <w:pPr>
        <w:spacing w:after="60"/>
        <w:rPr>
          <w:szCs w:val="24"/>
          <w:lang w:val="lv-LV"/>
        </w:rPr>
      </w:pPr>
    </w:p>
    <w:p w:rsidR="0049090D" w:rsidRDefault="0049090D">
      <w:pPr>
        <w:spacing w:after="60"/>
        <w:rPr>
          <w:szCs w:val="24"/>
          <w:lang w:val="lv-LV"/>
        </w:rPr>
      </w:pP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5"/>
        <w:gridCol w:w="3600"/>
        <w:gridCol w:w="3747"/>
      </w:tblGrid>
      <w:tr w:rsidR="00A209C3" w:rsidRPr="009B7D31" w:rsidTr="00F27DD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13795" w:rsidRPr="00E13795" w:rsidRDefault="00E13795" w:rsidP="00E13795">
            <w:pPr>
              <w:jc w:val="center"/>
              <w:rPr>
                <w:b/>
                <w:bCs/>
                <w:szCs w:val="24"/>
                <w:lang w:val="lv-LV"/>
              </w:rPr>
            </w:pPr>
            <w:r>
              <w:rPr>
                <w:b/>
                <w:bCs/>
                <w:szCs w:val="24"/>
                <w:lang w:val="lv-LV"/>
              </w:rPr>
              <w:br/>
            </w:r>
            <w:r w:rsidRPr="00E13795">
              <w:rPr>
                <w:b/>
                <w:bCs/>
                <w:szCs w:val="24"/>
                <w:lang w:val="lv-LV"/>
              </w:rPr>
              <w:t>2.tabula</w:t>
            </w:r>
          </w:p>
          <w:p w:rsidR="00E13795" w:rsidRPr="00E13795" w:rsidRDefault="00E13795" w:rsidP="00E13795">
            <w:pPr>
              <w:jc w:val="center"/>
              <w:rPr>
                <w:b/>
                <w:bCs/>
                <w:szCs w:val="24"/>
                <w:lang w:val="lv-LV"/>
              </w:rPr>
            </w:pPr>
            <w:r w:rsidRPr="00E13795">
              <w:rPr>
                <w:b/>
                <w:bCs/>
                <w:szCs w:val="24"/>
                <w:lang w:val="lv-LV"/>
              </w:rPr>
              <w:t>Ar tiesību akta projektu izpildītās vai uzņemtās saistības, kas izriet no starptautiskajiem tiesību aktiem vai starptautiskas institūcijas vai organizācijas dokumentiem.</w:t>
            </w:r>
          </w:p>
          <w:p w:rsidR="00A209C3" w:rsidRPr="00340C6E" w:rsidRDefault="00E13795" w:rsidP="00E13795">
            <w:pPr>
              <w:jc w:val="center"/>
              <w:rPr>
                <w:b/>
                <w:bCs/>
                <w:szCs w:val="24"/>
                <w:lang w:val="lv-LV"/>
              </w:rPr>
            </w:pPr>
            <w:r w:rsidRPr="00E13795">
              <w:rPr>
                <w:b/>
                <w:bCs/>
                <w:szCs w:val="24"/>
                <w:lang w:val="lv-LV"/>
              </w:rPr>
              <w:t>Pasākumi šo saistību izpildei</w:t>
            </w:r>
          </w:p>
        </w:tc>
      </w:tr>
      <w:tr w:rsidR="00A209C3" w:rsidRPr="006A7C4E"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09C3" w:rsidRPr="00340C6E" w:rsidRDefault="00EC37F7" w:rsidP="00F27DD8">
            <w:pPr>
              <w:jc w:val="both"/>
              <w:rPr>
                <w:szCs w:val="24"/>
                <w:lang w:val="lv-LV"/>
              </w:rPr>
            </w:pPr>
            <w:r w:rsidRPr="00EC37F7">
              <w:rPr>
                <w:szCs w:val="24"/>
                <w:lang w:val="lv-LV"/>
              </w:rPr>
              <w:t>Attiecīgā starptautiskā tiesību akta vai starptautiskas institūcijas vai organizācijas dokumenta (turpmāk – starptautiskais dokuments) datums, numurs un nosaukums</w:t>
            </w:r>
          </w:p>
        </w:tc>
        <w:tc>
          <w:tcPr>
            <w:tcW w:w="3957"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209C3" w:rsidRPr="00834450" w:rsidRDefault="00A209C3" w:rsidP="00F27DD8">
            <w:pPr>
              <w:ind w:right="173"/>
              <w:jc w:val="both"/>
              <w:rPr>
                <w:iCs/>
                <w:lang w:val="lv-LV"/>
              </w:rPr>
            </w:pPr>
            <w:r w:rsidRPr="00834450">
              <w:rPr>
                <w:iCs/>
                <w:lang w:val="lv-LV"/>
              </w:rPr>
              <w:t>Ar Ministru kabineta 2011.gada 29.marta noteikumiem Nr.252 apstiprinātā Latvijas Republikas un Norvēģijas Karalistes saprašanās memoranda par Norvēģijas finanšu instrumenta ieviešanu 2009. – 2014.gadā B pielikums.</w:t>
            </w:r>
          </w:p>
          <w:p w:rsidR="00A209C3" w:rsidRPr="00834450" w:rsidRDefault="00A209C3" w:rsidP="00F27DD8">
            <w:pPr>
              <w:ind w:right="173"/>
              <w:jc w:val="both"/>
              <w:rPr>
                <w:iCs/>
                <w:lang w:val="lv-LV"/>
              </w:rPr>
            </w:pPr>
          </w:p>
          <w:p w:rsidR="00A209C3" w:rsidRPr="00EC37F7" w:rsidRDefault="00A209C3" w:rsidP="00EC37F7">
            <w:pPr>
              <w:jc w:val="both"/>
              <w:rPr>
                <w:szCs w:val="24"/>
                <w:lang w:val="lv-LV"/>
              </w:rPr>
            </w:pPr>
          </w:p>
        </w:tc>
      </w:tr>
      <w:tr w:rsidR="00041B7B" w:rsidRPr="001F10BC"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1B7B" w:rsidRPr="00340C6E" w:rsidRDefault="00041B7B" w:rsidP="00F27DD8">
            <w:pPr>
              <w:jc w:val="center"/>
              <w:rPr>
                <w:szCs w:val="24"/>
                <w:lang w:val="lv-LV"/>
              </w:rPr>
            </w:pPr>
            <w:r w:rsidRPr="00340C6E">
              <w:rPr>
                <w:szCs w:val="24"/>
                <w:lang w:val="lv-LV"/>
              </w:rPr>
              <w:t>A</w:t>
            </w:r>
          </w:p>
        </w:tc>
        <w:tc>
          <w:tcPr>
            <w:tcW w:w="19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1B7B" w:rsidRPr="00340C6E" w:rsidRDefault="00041B7B" w:rsidP="00F27DD8">
            <w:pPr>
              <w:jc w:val="center"/>
              <w:rPr>
                <w:szCs w:val="24"/>
                <w:lang w:val="lv-LV"/>
              </w:rPr>
            </w:pPr>
            <w:r>
              <w:rPr>
                <w:szCs w:val="24"/>
                <w:lang w:val="lv-LV"/>
              </w:rPr>
              <w:t>B</w:t>
            </w:r>
          </w:p>
        </w:tc>
        <w:tc>
          <w:tcPr>
            <w:tcW w:w="19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41B7B" w:rsidRPr="00340C6E" w:rsidRDefault="00041B7B" w:rsidP="00F27DD8">
            <w:pPr>
              <w:jc w:val="center"/>
              <w:rPr>
                <w:szCs w:val="24"/>
                <w:lang w:val="lv-LV"/>
              </w:rPr>
            </w:pPr>
            <w:r>
              <w:rPr>
                <w:szCs w:val="24"/>
                <w:lang w:val="lv-LV"/>
              </w:rPr>
              <w:t>C</w:t>
            </w:r>
          </w:p>
        </w:tc>
      </w:tr>
      <w:tr w:rsidR="00041B7B" w:rsidRPr="00C040C4"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041B7B" w:rsidRPr="00340C6E" w:rsidRDefault="00041B7B" w:rsidP="00F27DD8">
            <w:pPr>
              <w:jc w:val="both"/>
            </w:pPr>
            <w:proofErr w:type="spellStart"/>
            <w:r w:rsidRPr="00340C6E">
              <w:t>Attiecīgā</w:t>
            </w:r>
            <w:proofErr w:type="spellEnd"/>
            <w:r w:rsidRPr="00340C6E">
              <w:t xml:space="preserve"> ES </w:t>
            </w:r>
            <w:proofErr w:type="spellStart"/>
            <w:r w:rsidRPr="00340C6E">
              <w:t>tiesību</w:t>
            </w:r>
            <w:proofErr w:type="spellEnd"/>
            <w:r w:rsidRPr="00340C6E">
              <w:t xml:space="preserve"> </w:t>
            </w:r>
            <w:proofErr w:type="spellStart"/>
            <w:r w:rsidRPr="00340C6E">
              <w:t>akta</w:t>
            </w:r>
            <w:proofErr w:type="spellEnd"/>
            <w:r w:rsidRPr="00340C6E">
              <w:t xml:space="preserve"> </w:t>
            </w:r>
            <w:proofErr w:type="spellStart"/>
            <w:r w:rsidRPr="00340C6E">
              <w:t>panta</w:t>
            </w:r>
            <w:proofErr w:type="spellEnd"/>
            <w:r w:rsidRPr="00340C6E">
              <w:t xml:space="preserve"> </w:t>
            </w:r>
            <w:proofErr w:type="spellStart"/>
            <w:r w:rsidRPr="00340C6E">
              <w:t>numurs</w:t>
            </w:r>
            <w:proofErr w:type="spellEnd"/>
            <w:r w:rsidRPr="00340C6E">
              <w:t xml:space="preserve"> (</w:t>
            </w:r>
            <w:proofErr w:type="spellStart"/>
            <w:r w:rsidRPr="00340C6E">
              <w:t>uzskaitot</w:t>
            </w:r>
            <w:proofErr w:type="spellEnd"/>
            <w:r w:rsidRPr="00340C6E">
              <w:t xml:space="preserve"> </w:t>
            </w:r>
            <w:proofErr w:type="spellStart"/>
            <w:r w:rsidRPr="00340C6E">
              <w:t>katru</w:t>
            </w:r>
            <w:proofErr w:type="spellEnd"/>
            <w:r w:rsidRPr="00340C6E">
              <w:t xml:space="preserve"> </w:t>
            </w:r>
            <w:proofErr w:type="spellStart"/>
            <w:r w:rsidRPr="00340C6E">
              <w:t>tiesību</w:t>
            </w:r>
            <w:proofErr w:type="spellEnd"/>
            <w:r w:rsidRPr="00340C6E">
              <w:t xml:space="preserve"> </w:t>
            </w:r>
            <w:proofErr w:type="spellStart"/>
            <w:r w:rsidRPr="00340C6E">
              <w:t>akta</w:t>
            </w:r>
            <w:proofErr w:type="spellEnd"/>
            <w:r w:rsidRPr="00340C6E">
              <w:t xml:space="preserve"> </w:t>
            </w:r>
            <w:r w:rsidRPr="00340C6E">
              <w:br/>
            </w:r>
            <w:proofErr w:type="spellStart"/>
            <w:r w:rsidRPr="00340C6E">
              <w:t>vienību</w:t>
            </w:r>
            <w:proofErr w:type="spellEnd"/>
            <w:r w:rsidRPr="00340C6E">
              <w:t xml:space="preserve"> – </w:t>
            </w:r>
            <w:proofErr w:type="spellStart"/>
            <w:r w:rsidRPr="00340C6E">
              <w:t>pantu</w:t>
            </w:r>
            <w:proofErr w:type="spellEnd"/>
            <w:r w:rsidRPr="00340C6E">
              <w:t xml:space="preserve">, </w:t>
            </w:r>
            <w:proofErr w:type="spellStart"/>
            <w:r w:rsidRPr="00340C6E">
              <w:t>daļu</w:t>
            </w:r>
            <w:proofErr w:type="spellEnd"/>
            <w:r w:rsidRPr="00340C6E">
              <w:t xml:space="preserve">, </w:t>
            </w:r>
            <w:proofErr w:type="spellStart"/>
            <w:r w:rsidRPr="00340C6E">
              <w:t>punktu</w:t>
            </w:r>
            <w:proofErr w:type="spellEnd"/>
            <w:r w:rsidRPr="00340C6E">
              <w:t xml:space="preserve">, </w:t>
            </w:r>
            <w:proofErr w:type="spellStart"/>
            <w:r w:rsidRPr="00340C6E">
              <w:t>apakšpunktu</w:t>
            </w:r>
            <w:proofErr w:type="spellEnd"/>
            <w:r w:rsidRPr="00340C6E">
              <w:t>)</w:t>
            </w:r>
          </w:p>
        </w:tc>
        <w:tc>
          <w:tcPr>
            <w:tcW w:w="1950" w:type="pct"/>
            <w:tcBorders>
              <w:top w:val="outset" w:sz="6" w:space="0" w:color="auto"/>
              <w:left w:val="outset" w:sz="6" w:space="0" w:color="auto"/>
              <w:bottom w:val="outset" w:sz="6" w:space="0" w:color="auto"/>
              <w:right w:val="outset" w:sz="6" w:space="0" w:color="auto"/>
            </w:tcBorders>
            <w:shd w:val="clear" w:color="auto" w:fill="auto"/>
            <w:hideMark/>
          </w:tcPr>
          <w:p w:rsidR="00041B7B" w:rsidRPr="00340C6E" w:rsidRDefault="00041B7B" w:rsidP="00F27DD8">
            <w:pPr>
              <w:jc w:val="both"/>
            </w:pPr>
            <w:proofErr w:type="spellStart"/>
            <w:r w:rsidRPr="00041B7B">
              <w:t>Ja</w:t>
            </w:r>
            <w:proofErr w:type="spellEnd"/>
            <w:r w:rsidRPr="00041B7B">
              <w:t xml:space="preserve"> </w:t>
            </w:r>
            <w:proofErr w:type="spellStart"/>
            <w:r w:rsidRPr="00041B7B">
              <w:t>pasākumi</w:t>
            </w:r>
            <w:proofErr w:type="spellEnd"/>
            <w:r w:rsidRPr="00041B7B">
              <w:t xml:space="preserve"> </w:t>
            </w:r>
            <w:proofErr w:type="spellStart"/>
            <w:r w:rsidRPr="00041B7B">
              <w:t>vai</w:t>
            </w:r>
            <w:proofErr w:type="spellEnd"/>
            <w:r w:rsidRPr="00041B7B">
              <w:t xml:space="preserve"> </w:t>
            </w:r>
            <w:proofErr w:type="spellStart"/>
            <w:r w:rsidRPr="00041B7B">
              <w:t>uzdevumi</w:t>
            </w:r>
            <w:proofErr w:type="spellEnd"/>
            <w:r w:rsidRPr="00041B7B">
              <w:t xml:space="preserve">, </w:t>
            </w:r>
            <w:proofErr w:type="spellStart"/>
            <w:r w:rsidRPr="00041B7B">
              <w:t>ar</w:t>
            </w:r>
            <w:proofErr w:type="spellEnd"/>
            <w:r w:rsidRPr="00041B7B">
              <w:t xml:space="preserve"> </w:t>
            </w:r>
            <w:proofErr w:type="spellStart"/>
            <w:r w:rsidRPr="00041B7B">
              <w:t>ko</w:t>
            </w:r>
            <w:proofErr w:type="spellEnd"/>
            <w:r w:rsidRPr="00041B7B">
              <w:t xml:space="preserve"> </w:t>
            </w:r>
            <w:proofErr w:type="spellStart"/>
            <w:r w:rsidRPr="00041B7B">
              <w:t>tiks</w:t>
            </w:r>
            <w:proofErr w:type="spellEnd"/>
            <w:r w:rsidRPr="00041B7B">
              <w:t xml:space="preserve"> </w:t>
            </w:r>
            <w:proofErr w:type="spellStart"/>
            <w:r w:rsidRPr="00041B7B">
              <w:t>izpildītas</w:t>
            </w:r>
            <w:proofErr w:type="spellEnd"/>
            <w:r w:rsidRPr="00041B7B">
              <w:t xml:space="preserve"> </w:t>
            </w:r>
            <w:proofErr w:type="spellStart"/>
            <w:r w:rsidRPr="00041B7B">
              <w:t>starptautiskās</w:t>
            </w:r>
            <w:proofErr w:type="spellEnd"/>
            <w:r w:rsidRPr="00041B7B">
              <w:t xml:space="preserve"> </w:t>
            </w:r>
            <w:proofErr w:type="spellStart"/>
            <w:r w:rsidRPr="00041B7B">
              <w:t>saistības</w:t>
            </w:r>
            <w:proofErr w:type="spellEnd"/>
            <w:r w:rsidRPr="00041B7B">
              <w:t xml:space="preserve">, </w:t>
            </w:r>
            <w:proofErr w:type="spellStart"/>
            <w:r w:rsidRPr="00041B7B">
              <w:t>tiek</w:t>
            </w:r>
            <w:proofErr w:type="spellEnd"/>
            <w:r w:rsidRPr="00041B7B">
              <w:t xml:space="preserve"> </w:t>
            </w:r>
            <w:proofErr w:type="spellStart"/>
            <w:r w:rsidRPr="00041B7B">
              <w:t>noteikti</w:t>
            </w:r>
            <w:proofErr w:type="spellEnd"/>
            <w:r w:rsidRPr="00041B7B">
              <w:t xml:space="preserve"> </w:t>
            </w:r>
            <w:proofErr w:type="spellStart"/>
            <w:r w:rsidRPr="00041B7B">
              <w:t>projektā</w:t>
            </w:r>
            <w:proofErr w:type="spellEnd"/>
            <w:r w:rsidRPr="00041B7B">
              <w:t xml:space="preserve">, </w:t>
            </w:r>
            <w:proofErr w:type="spellStart"/>
            <w:r w:rsidRPr="00041B7B">
              <w:t>norāda</w:t>
            </w:r>
            <w:proofErr w:type="spellEnd"/>
            <w:r w:rsidRPr="00041B7B">
              <w:t xml:space="preserve"> </w:t>
            </w:r>
            <w:proofErr w:type="spellStart"/>
            <w:r w:rsidRPr="00041B7B">
              <w:t>attiecīgo</w:t>
            </w:r>
            <w:proofErr w:type="spellEnd"/>
            <w:r w:rsidRPr="00041B7B">
              <w:t xml:space="preserve"> </w:t>
            </w:r>
            <w:proofErr w:type="spellStart"/>
            <w:r w:rsidRPr="00041B7B">
              <w:t>projekta</w:t>
            </w:r>
            <w:proofErr w:type="spellEnd"/>
            <w:r w:rsidRPr="00041B7B">
              <w:t xml:space="preserve"> </w:t>
            </w:r>
            <w:proofErr w:type="spellStart"/>
            <w:r w:rsidRPr="00041B7B">
              <w:t>vienību</w:t>
            </w:r>
            <w:proofErr w:type="spellEnd"/>
            <w:r w:rsidRPr="00041B7B">
              <w:t xml:space="preserve"> </w:t>
            </w:r>
            <w:proofErr w:type="spellStart"/>
            <w:r w:rsidRPr="00041B7B">
              <w:t>vai</w:t>
            </w:r>
            <w:proofErr w:type="spellEnd"/>
            <w:r w:rsidRPr="00041B7B">
              <w:t xml:space="preserve"> </w:t>
            </w:r>
            <w:proofErr w:type="spellStart"/>
            <w:r w:rsidRPr="00041B7B">
              <w:t>norāda</w:t>
            </w:r>
            <w:proofErr w:type="spellEnd"/>
            <w:r w:rsidRPr="00041B7B">
              <w:t xml:space="preserve"> </w:t>
            </w:r>
            <w:proofErr w:type="spellStart"/>
            <w:r w:rsidRPr="00041B7B">
              <w:t>dokumentu</w:t>
            </w:r>
            <w:proofErr w:type="spellEnd"/>
            <w:r w:rsidRPr="00041B7B">
              <w:t xml:space="preserve">, </w:t>
            </w:r>
            <w:proofErr w:type="spellStart"/>
            <w:r w:rsidRPr="00041B7B">
              <w:t>kurā</w:t>
            </w:r>
            <w:proofErr w:type="spellEnd"/>
            <w:r w:rsidRPr="00041B7B">
              <w:t xml:space="preserve"> </w:t>
            </w:r>
            <w:proofErr w:type="spellStart"/>
            <w:r w:rsidRPr="00041B7B">
              <w:t>sniegts</w:t>
            </w:r>
            <w:proofErr w:type="spellEnd"/>
            <w:r w:rsidRPr="00041B7B">
              <w:t xml:space="preserve"> </w:t>
            </w:r>
            <w:proofErr w:type="spellStart"/>
            <w:r w:rsidRPr="00041B7B">
              <w:t>izvērsts</w:t>
            </w:r>
            <w:proofErr w:type="spellEnd"/>
            <w:r w:rsidRPr="00041B7B">
              <w:t xml:space="preserve"> </w:t>
            </w:r>
            <w:proofErr w:type="spellStart"/>
            <w:r w:rsidRPr="00041B7B">
              <w:t>skaidrojums</w:t>
            </w:r>
            <w:proofErr w:type="spellEnd"/>
            <w:r w:rsidRPr="00041B7B">
              <w:t xml:space="preserve">, </w:t>
            </w:r>
            <w:proofErr w:type="spellStart"/>
            <w:r w:rsidRPr="00041B7B">
              <w:t>kādā</w:t>
            </w:r>
            <w:proofErr w:type="spellEnd"/>
            <w:r w:rsidRPr="00041B7B">
              <w:t xml:space="preserve"> </w:t>
            </w:r>
            <w:proofErr w:type="spellStart"/>
            <w:r w:rsidRPr="00041B7B">
              <w:t>veidā</w:t>
            </w:r>
            <w:proofErr w:type="spellEnd"/>
            <w:r w:rsidRPr="00041B7B">
              <w:t xml:space="preserve"> </w:t>
            </w:r>
            <w:proofErr w:type="spellStart"/>
            <w:r w:rsidRPr="00041B7B">
              <w:t>tiks</w:t>
            </w:r>
            <w:proofErr w:type="spellEnd"/>
            <w:r w:rsidRPr="00041B7B">
              <w:t xml:space="preserve"> </w:t>
            </w:r>
            <w:proofErr w:type="spellStart"/>
            <w:r w:rsidRPr="00041B7B">
              <w:t>nodrošināta</w:t>
            </w:r>
            <w:proofErr w:type="spellEnd"/>
            <w:r w:rsidRPr="00041B7B">
              <w:t xml:space="preserve"> </w:t>
            </w:r>
            <w:proofErr w:type="spellStart"/>
            <w:r w:rsidRPr="00041B7B">
              <w:t>starptautisko</w:t>
            </w:r>
            <w:proofErr w:type="spellEnd"/>
            <w:r w:rsidRPr="00041B7B">
              <w:t xml:space="preserve"> </w:t>
            </w:r>
            <w:proofErr w:type="spellStart"/>
            <w:r w:rsidRPr="00041B7B">
              <w:t>saistību</w:t>
            </w:r>
            <w:proofErr w:type="spellEnd"/>
            <w:r w:rsidRPr="00041B7B">
              <w:t xml:space="preserve"> </w:t>
            </w:r>
            <w:proofErr w:type="spellStart"/>
            <w:r w:rsidRPr="00041B7B">
              <w:t>izpilde</w:t>
            </w:r>
            <w:proofErr w:type="spellEnd"/>
          </w:p>
        </w:tc>
        <w:tc>
          <w:tcPr>
            <w:tcW w:w="1991" w:type="pct"/>
            <w:tcBorders>
              <w:top w:val="outset" w:sz="6" w:space="0" w:color="auto"/>
              <w:left w:val="outset" w:sz="6" w:space="0" w:color="auto"/>
              <w:bottom w:val="outset" w:sz="6" w:space="0" w:color="auto"/>
              <w:right w:val="outset" w:sz="6" w:space="0" w:color="auto"/>
            </w:tcBorders>
            <w:shd w:val="clear" w:color="auto" w:fill="auto"/>
            <w:hideMark/>
          </w:tcPr>
          <w:p w:rsidR="008251AB" w:rsidRDefault="008251AB" w:rsidP="008251AB">
            <w:pPr>
              <w:jc w:val="both"/>
            </w:pPr>
            <w:proofErr w:type="spellStart"/>
            <w:r>
              <w:t>Informācija</w:t>
            </w:r>
            <w:proofErr w:type="spellEnd"/>
            <w:r>
              <w:t xml:space="preserve"> par to, </w:t>
            </w:r>
            <w:proofErr w:type="spellStart"/>
            <w:r>
              <w:t>vai</w:t>
            </w:r>
            <w:proofErr w:type="spellEnd"/>
            <w:r>
              <w:t xml:space="preserve"> </w:t>
            </w:r>
            <w:proofErr w:type="spellStart"/>
            <w:r>
              <w:t>starptautiskās</w:t>
            </w:r>
            <w:proofErr w:type="spellEnd"/>
            <w:r>
              <w:t xml:space="preserve"> </w:t>
            </w:r>
            <w:proofErr w:type="spellStart"/>
            <w:r>
              <w:t>saistības</w:t>
            </w:r>
            <w:proofErr w:type="spellEnd"/>
            <w:r>
              <w:t xml:space="preserve">, </w:t>
            </w:r>
            <w:proofErr w:type="spellStart"/>
            <w:r>
              <w:t>kas</w:t>
            </w:r>
            <w:proofErr w:type="spellEnd"/>
            <w:r>
              <w:t xml:space="preserve"> </w:t>
            </w:r>
            <w:proofErr w:type="spellStart"/>
            <w:r>
              <w:t>minētas</w:t>
            </w:r>
            <w:proofErr w:type="spellEnd"/>
            <w:r>
              <w:t xml:space="preserve"> </w:t>
            </w:r>
            <w:proofErr w:type="spellStart"/>
            <w:r>
              <w:t>šīs</w:t>
            </w:r>
            <w:proofErr w:type="spellEnd"/>
            <w:r>
              <w:t xml:space="preserve"> </w:t>
            </w:r>
            <w:proofErr w:type="spellStart"/>
            <w:r>
              <w:t>tabulas</w:t>
            </w:r>
            <w:proofErr w:type="spellEnd"/>
            <w:r>
              <w:t xml:space="preserve"> A </w:t>
            </w:r>
            <w:proofErr w:type="spellStart"/>
            <w:r>
              <w:t>ailē</w:t>
            </w:r>
            <w:proofErr w:type="spellEnd"/>
            <w:r>
              <w:t xml:space="preserve">, </w:t>
            </w:r>
            <w:proofErr w:type="spellStart"/>
            <w:r>
              <w:t>tiek</w:t>
            </w:r>
            <w:proofErr w:type="spellEnd"/>
            <w:r>
              <w:t xml:space="preserve"> </w:t>
            </w:r>
            <w:proofErr w:type="spellStart"/>
            <w:r>
              <w:t>izpildītas</w:t>
            </w:r>
            <w:proofErr w:type="spellEnd"/>
            <w:r>
              <w:t xml:space="preserve"> </w:t>
            </w:r>
            <w:proofErr w:type="spellStart"/>
            <w:r>
              <w:t>pilnībā</w:t>
            </w:r>
            <w:proofErr w:type="spellEnd"/>
            <w:r>
              <w:t xml:space="preserve"> </w:t>
            </w:r>
            <w:proofErr w:type="spellStart"/>
            <w:r>
              <w:t>vai</w:t>
            </w:r>
            <w:proofErr w:type="spellEnd"/>
            <w:r>
              <w:t xml:space="preserve"> </w:t>
            </w:r>
            <w:proofErr w:type="spellStart"/>
            <w:r>
              <w:t>daļēji</w:t>
            </w:r>
            <w:proofErr w:type="spellEnd"/>
            <w:r>
              <w:t>.</w:t>
            </w:r>
          </w:p>
          <w:p w:rsidR="008251AB" w:rsidRDefault="008251AB" w:rsidP="008251AB">
            <w:pPr>
              <w:jc w:val="both"/>
            </w:pPr>
          </w:p>
          <w:p w:rsidR="008251AB" w:rsidRDefault="008251AB" w:rsidP="008251AB">
            <w:pPr>
              <w:jc w:val="both"/>
            </w:pPr>
            <w:proofErr w:type="spellStart"/>
            <w:r>
              <w:t>Ja</w:t>
            </w:r>
            <w:proofErr w:type="spellEnd"/>
            <w:r>
              <w:t xml:space="preserve"> </w:t>
            </w:r>
            <w:proofErr w:type="spellStart"/>
            <w:r>
              <w:t>attiecīgās</w:t>
            </w:r>
            <w:proofErr w:type="spellEnd"/>
            <w:r>
              <w:t xml:space="preserve"> </w:t>
            </w:r>
            <w:proofErr w:type="spellStart"/>
            <w:r>
              <w:t>starptautiskās</w:t>
            </w:r>
            <w:proofErr w:type="spellEnd"/>
            <w:r>
              <w:t xml:space="preserve"> </w:t>
            </w:r>
            <w:proofErr w:type="spellStart"/>
            <w:r>
              <w:t>saistības</w:t>
            </w:r>
            <w:proofErr w:type="spellEnd"/>
            <w:r>
              <w:t xml:space="preserve"> </w:t>
            </w:r>
            <w:proofErr w:type="spellStart"/>
            <w:r>
              <w:t>tiek</w:t>
            </w:r>
            <w:proofErr w:type="spellEnd"/>
            <w:r>
              <w:t xml:space="preserve"> </w:t>
            </w:r>
            <w:proofErr w:type="spellStart"/>
            <w:r>
              <w:t>izpildītas</w:t>
            </w:r>
            <w:proofErr w:type="spellEnd"/>
            <w:r>
              <w:t xml:space="preserve"> </w:t>
            </w:r>
            <w:proofErr w:type="spellStart"/>
            <w:r>
              <w:t>daļēji</w:t>
            </w:r>
            <w:proofErr w:type="spellEnd"/>
            <w:r>
              <w:t xml:space="preserve">, </w:t>
            </w:r>
            <w:proofErr w:type="spellStart"/>
            <w:r>
              <w:t>sniedz</w:t>
            </w:r>
            <w:proofErr w:type="spellEnd"/>
            <w:r>
              <w:t xml:space="preserve"> </w:t>
            </w:r>
            <w:proofErr w:type="spellStart"/>
            <w:r>
              <w:t>attiecīgu</w:t>
            </w:r>
            <w:proofErr w:type="spellEnd"/>
            <w:r>
              <w:t xml:space="preserve"> </w:t>
            </w:r>
            <w:proofErr w:type="spellStart"/>
            <w:r>
              <w:t>skaidrojumu</w:t>
            </w:r>
            <w:proofErr w:type="spellEnd"/>
            <w:r>
              <w:t xml:space="preserve">, </w:t>
            </w:r>
            <w:proofErr w:type="spellStart"/>
            <w:r>
              <w:t>kā</w:t>
            </w:r>
            <w:proofErr w:type="spellEnd"/>
            <w:r>
              <w:t xml:space="preserve"> </w:t>
            </w:r>
            <w:proofErr w:type="spellStart"/>
            <w:r>
              <w:t>arī</w:t>
            </w:r>
            <w:proofErr w:type="spellEnd"/>
            <w:r>
              <w:t xml:space="preserve"> </w:t>
            </w:r>
            <w:proofErr w:type="spellStart"/>
            <w:r>
              <w:t>precīzi</w:t>
            </w:r>
            <w:proofErr w:type="spellEnd"/>
            <w:r>
              <w:t xml:space="preserve"> </w:t>
            </w:r>
            <w:proofErr w:type="spellStart"/>
            <w:r>
              <w:t>norāda</w:t>
            </w:r>
            <w:proofErr w:type="spellEnd"/>
            <w:r>
              <w:t xml:space="preserve">, </w:t>
            </w:r>
            <w:proofErr w:type="spellStart"/>
            <w:r>
              <w:t>kad</w:t>
            </w:r>
            <w:proofErr w:type="spellEnd"/>
            <w:r>
              <w:t xml:space="preserve"> un </w:t>
            </w:r>
            <w:proofErr w:type="spellStart"/>
            <w:r>
              <w:t>kādā</w:t>
            </w:r>
            <w:proofErr w:type="spellEnd"/>
            <w:r>
              <w:t xml:space="preserve"> </w:t>
            </w:r>
            <w:proofErr w:type="spellStart"/>
            <w:r>
              <w:t>veidā</w:t>
            </w:r>
            <w:proofErr w:type="spellEnd"/>
            <w:r>
              <w:t xml:space="preserve"> </w:t>
            </w:r>
            <w:proofErr w:type="spellStart"/>
            <w:r>
              <w:t>starptautiskās</w:t>
            </w:r>
            <w:proofErr w:type="spellEnd"/>
            <w:r>
              <w:t xml:space="preserve"> </w:t>
            </w:r>
            <w:proofErr w:type="spellStart"/>
            <w:r>
              <w:t>saistības</w:t>
            </w:r>
            <w:proofErr w:type="spellEnd"/>
            <w:r>
              <w:t xml:space="preserve"> </w:t>
            </w:r>
            <w:proofErr w:type="spellStart"/>
            <w:r>
              <w:t>tiks</w:t>
            </w:r>
            <w:proofErr w:type="spellEnd"/>
            <w:r>
              <w:t xml:space="preserve"> </w:t>
            </w:r>
            <w:proofErr w:type="spellStart"/>
            <w:r>
              <w:t>izpildītas</w:t>
            </w:r>
            <w:proofErr w:type="spellEnd"/>
            <w:r>
              <w:t xml:space="preserve"> </w:t>
            </w:r>
            <w:proofErr w:type="spellStart"/>
            <w:r>
              <w:t>pilnībā</w:t>
            </w:r>
            <w:proofErr w:type="spellEnd"/>
            <w:r>
              <w:t>.</w:t>
            </w:r>
          </w:p>
          <w:p w:rsidR="008251AB" w:rsidRDefault="008251AB" w:rsidP="008251AB">
            <w:pPr>
              <w:jc w:val="both"/>
            </w:pPr>
          </w:p>
          <w:p w:rsidR="00041B7B" w:rsidRPr="00340C6E" w:rsidRDefault="008251AB" w:rsidP="008251AB">
            <w:pPr>
              <w:jc w:val="both"/>
            </w:pPr>
            <w:proofErr w:type="spellStart"/>
            <w:r>
              <w:t>Norāda</w:t>
            </w:r>
            <w:proofErr w:type="spellEnd"/>
            <w:r>
              <w:t xml:space="preserve"> </w:t>
            </w:r>
            <w:proofErr w:type="spellStart"/>
            <w:r>
              <w:t>institūciju</w:t>
            </w:r>
            <w:proofErr w:type="spellEnd"/>
            <w:r>
              <w:t xml:space="preserve">, </w:t>
            </w:r>
            <w:proofErr w:type="spellStart"/>
            <w:r>
              <w:t>kas</w:t>
            </w:r>
            <w:proofErr w:type="spellEnd"/>
            <w:r>
              <w:t xml:space="preserve"> </w:t>
            </w:r>
            <w:proofErr w:type="spellStart"/>
            <w:r>
              <w:t>ir</w:t>
            </w:r>
            <w:proofErr w:type="spellEnd"/>
            <w:r>
              <w:t xml:space="preserve"> </w:t>
            </w:r>
            <w:proofErr w:type="spellStart"/>
            <w:r>
              <w:t>atbildīga</w:t>
            </w:r>
            <w:proofErr w:type="spellEnd"/>
            <w:r>
              <w:t xml:space="preserve"> par </w:t>
            </w:r>
            <w:proofErr w:type="spellStart"/>
            <w:r>
              <w:t>šo</w:t>
            </w:r>
            <w:proofErr w:type="spellEnd"/>
            <w:r>
              <w:t xml:space="preserve"> </w:t>
            </w:r>
            <w:proofErr w:type="spellStart"/>
            <w:r>
              <w:t>saistību</w:t>
            </w:r>
            <w:proofErr w:type="spellEnd"/>
            <w:r>
              <w:t xml:space="preserve"> </w:t>
            </w:r>
            <w:proofErr w:type="spellStart"/>
            <w:r>
              <w:t>izpildi</w:t>
            </w:r>
            <w:proofErr w:type="spellEnd"/>
            <w:r>
              <w:t xml:space="preserve"> </w:t>
            </w:r>
            <w:proofErr w:type="spellStart"/>
            <w:r>
              <w:t>pilnībā</w:t>
            </w:r>
            <w:proofErr w:type="spellEnd"/>
          </w:p>
        </w:tc>
      </w:tr>
      <w:tr w:rsidR="00041B7B" w:rsidRPr="001F10BC" w:rsidTr="008251AB">
        <w:trPr>
          <w:trHeight w:val="446"/>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041B7B" w:rsidRPr="00CF6DE0" w:rsidRDefault="00041B7B" w:rsidP="00F27DD8">
            <w:pPr>
              <w:jc w:val="both"/>
              <w:rPr>
                <w:i/>
              </w:rPr>
            </w:pPr>
            <w:proofErr w:type="spellStart"/>
            <w:r w:rsidRPr="00CF6DE0">
              <w:rPr>
                <w:i/>
              </w:rPr>
              <w:t>Saskaņā</w:t>
            </w:r>
            <w:proofErr w:type="spellEnd"/>
            <w:r w:rsidRPr="00CF6DE0">
              <w:rPr>
                <w:i/>
              </w:rPr>
              <w:t xml:space="preserve"> </w:t>
            </w:r>
            <w:proofErr w:type="spellStart"/>
            <w:r w:rsidRPr="00CF6DE0">
              <w:rPr>
                <w:i/>
              </w:rPr>
              <w:t>ar</w:t>
            </w:r>
            <w:proofErr w:type="spellEnd"/>
            <w:r w:rsidRPr="00CF6DE0">
              <w:rPr>
                <w:i/>
              </w:rPr>
              <w:t xml:space="preserve"> </w:t>
            </w:r>
            <w:proofErr w:type="spellStart"/>
            <w:r w:rsidRPr="00CF6DE0">
              <w:rPr>
                <w:i/>
                <w:iCs/>
              </w:rPr>
              <w:t>saprašanās</w:t>
            </w:r>
            <w:proofErr w:type="spellEnd"/>
            <w:r w:rsidRPr="00CF6DE0">
              <w:rPr>
                <w:i/>
                <w:iCs/>
              </w:rPr>
              <w:t xml:space="preserve"> memoranda </w:t>
            </w:r>
            <w:proofErr w:type="spellStart"/>
            <w:r w:rsidRPr="00CF6DE0">
              <w:rPr>
                <w:i/>
                <w:iCs/>
              </w:rPr>
              <w:t>Ieviešanas</w:t>
            </w:r>
            <w:proofErr w:type="spellEnd"/>
            <w:r w:rsidRPr="00CF6DE0">
              <w:rPr>
                <w:i/>
                <w:iCs/>
              </w:rPr>
              <w:t xml:space="preserve"> </w:t>
            </w:r>
            <w:proofErr w:type="spellStart"/>
            <w:r w:rsidRPr="00CF6DE0">
              <w:rPr>
                <w:i/>
                <w:iCs/>
              </w:rPr>
              <w:t>ietvara</w:t>
            </w:r>
            <w:proofErr w:type="spellEnd"/>
            <w:r w:rsidRPr="00CF6DE0">
              <w:rPr>
                <w:i/>
                <w:iCs/>
              </w:rPr>
              <w:t xml:space="preserve"> 3.punktu </w:t>
            </w:r>
            <w:proofErr w:type="spellStart"/>
            <w:r w:rsidRPr="00CF6DE0">
              <w:rPr>
                <w:bCs/>
                <w:i/>
              </w:rPr>
              <w:t>E</w:t>
            </w:r>
            <w:r>
              <w:rPr>
                <w:bCs/>
                <w:i/>
              </w:rPr>
              <w:t>konomikas</w:t>
            </w:r>
            <w:proofErr w:type="spellEnd"/>
            <w:r>
              <w:rPr>
                <w:bCs/>
                <w:i/>
              </w:rPr>
              <w:t xml:space="preserve"> </w:t>
            </w:r>
            <w:proofErr w:type="spellStart"/>
            <w:r>
              <w:rPr>
                <w:bCs/>
                <w:i/>
              </w:rPr>
              <w:t>ministrijai</w:t>
            </w:r>
            <w:proofErr w:type="spellEnd"/>
            <w:r>
              <w:rPr>
                <w:bCs/>
                <w:i/>
              </w:rPr>
              <w:t xml:space="preserve"> </w:t>
            </w:r>
            <w:proofErr w:type="spellStart"/>
            <w:r w:rsidRPr="00CF6DE0">
              <w:rPr>
                <w:i/>
              </w:rPr>
              <w:t>atbilstoši</w:t>
            </w:r>
            <w:proofErr w:type="spellEnd"/>
            <w:r w:rsidRPr="00CF6DE0">
              <w:rPr>
                <w:i/>
              </w:rPr>
              <w:t xml:space="preserve"> </w:t>
            </w:r>
            <w:proofErr w:type="spellStart"/>
            <w:r w:rsidRPr="00CF6DE0">
              <w:rPr>
                <w:i/>
              </w:rPr>
              <w:t>Norvēģijas</w:t>
            </w:r>
            <w:proofErr w:type="spellEnd"/>
            <w:r w:rsidRPr="00CF6DE0">
              <w:rPr>
                <w:i/>
              </w:rPr>
              <w:t xml:space="preserve"> </w:t>
            </w:r>
            <w:proofErr w:type="spellStart"/>
            <w:r w:rsidRPr="00CF6DE0">
              <w:rPr>
                <w:i/>
              </w:rPr>
              <w:t>Ārlietu</w:t>
            </w:r>
            <w:proofErr w:type="spellEnd"/>
            <w:r w:rsidRPr="00CF6DE0">
              <w:rPr>
                <w:i/>
              </w:rPr>
              <w:t xml:space="preserve"> </w:t>
            </w:r>
            <w:proofErr w:type="spellStart"/>
            <w:r w:rsidRPr="00CF6DE0">
              <w:rPr>
                <w:i/>
              </w:rPr>
              <w:t>ministrijas</w:t>
            </w:r>
            <w:proofErr w:type="spellEnd"/>
            <w:r w:rsidRPr="00CF6DE0">
              <w:rPr>
                <w:i/>
              </w:rPr>
              <w:t xml:space="preserve"> </w:t>
            </w:r>
            <w:proofErr w:type="spellStart"/>
            <w:r w:rsidRPr="00CF6DE0">
              <w:rPr>
                <w:i/>
              </w:rPr>
              <w:t>apstiprinājumam</w:t>
            </w:r>
            <w:proofErr w:type="spellEnd"/>
            <w:r>
              <w:rPr>
                <w:i/>
              </w:rPr>
              <w:t xml:space="preserve"> </w:t>
            </w:r>
            <w:proofErr w:type="spellStart"/>
            <w:r>
              <w:rPr>
                <w:i/>
              </w:rPr>
              <w:t>jānodrošina</w:t>
            </w:r>
            <w:proofErr w:type="spellEnd"/>
            <w:r>
              <w:rPr>
                <w:i/>
              </w:rPr>
              <w:t xml:space="preserve"> </w:t>
            </w:r>
            <w:proofErr w:type="spellStart"/>
            <w:r>
              <w:rPr>
                <w:i/>
              </w:rPr>
              <w:t>programmas</w:t>
            </w:r>
            <w:proofErr w:type="spellEnd"/>
            <w:r>
              <w:rPr>
                <w:i/>
              </w:rPr>
              <w:t xml:space="preserve"> </w:t>
            </w:r>
            <w:proofErr w:type="spellStart"/>
            <w:r>
              <w:rPr>
                <w:i/>
              </w:rPr>
              <w:t>ieviešana</w:t>
            </w:r>
            <w:proofErr w:type="spellEnd"/>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041B7B" w:rsidRPr="001172AC" w:rsidRDefault="00041B7B" w:rsidP="00041B7B">
            <w:pPr>
              <w:rPr>
                <w:i/>
              </w:rPr>
            </w:pPr>
            <w:proofErr w:type="spellStart"/>
            <w:r w:rsidRPr="001172AC">
              <w:rPr>
                <w:i/>
              </w:rPr>
              <w:t>Ministru</w:t>
            </w:r>
            <w:proofErr w:type="spellEnd"/>
            <w:r w:rsidRPr="001172AC">
              <w:rPr>
                <w:i/>
              </w:rPr>
              <w:t xml:space="preserve"> </w:t>
            </w:r>
            <w:proofErr w:type="spellStart"/>
            <w:r w:rsidRPr="001172AC">
              <w:rPr>
                <w:i/>
              </w:rPr>
              <w:t>kabineta</w:t>
            </w:r>
            <w:proofErr w:type="spellEnd"/>
            <w:r w:rsidRPr="001172AC">
              <w:rPr>
                <w:i/>
              </w:rPr>
              <w:t xml:space="preserve"> </w:t>
            </w:r>
            <w:proofErr w:type="spellStart"/>
            <w:r w:rsidRPr="001172AC">
              <w:rPr>
                <w:i/>
              </w:rPr>
              <w:t>noteikumu</w:t>
            </w:r>
            <w:proofErr w:type="spellEnd"/>
            <w:r w:rsidRPr="001172AC">
              <w:rPr>
                <w:i/>
              </w:rPr>
              <w:t xml:space="preserve"> </w:t>
            </w:r>
            <w:proofErr w:type="spellStart"/>
            <w:r w:rsidRPr="001172AC">
              <w:rPr>
                <w:i/>
              </w:rPr>
              <w:t>projekta</w:t>
            </w:r>
            <w:proofErr w:type="spellEnd"/>
            <w:r w:rsidRPr="001172AC">
              <w:rPr>
                <w:i/>
              </w:rPr>
              <w:t xml:space="preserve"> I. </w:t>
            </w:r>
            <w:proofErr w:type="spellStart"/>
            <w:r w:rsidRPr="001172AC">
              <w:rPr>
                <w:i/>
              </w:rPr>
              <w:t>sadaļa</w:t>
            </w:r>
            <w:proofErr w:type="spellEnd"/>
            <w:r w:rsidRPr="001172AC">
              <w:rPr>
                <w:i/>
              </w:rPr>
              <w:t xml:space="preserve"> „</w:t>
            </w:r>
            <w:proofErr w:type="spellStart"/>
            <w:r w:rsidR="00FF0DB8" w:rsidRPr="001172AC">
              <w:rPr>
                <w:i/>
              </w:rPr>
              <w:t>Vispārīgie</w:t>
            </w:r>
            <w:proofErr w:type="spellEnd"/>
            <w:r w:rsidR="00FF0DB8" w:rsidRPr="001172AC">
              <w:rPr>
                <w:i/>
              </w:rPr>
              <w:t xml:space="preserve"> </w:t>
            </w:r>
            <w:proofErr w:type="spellStart"/>
            <w:r w:rsidR="00FF0DB8" w:rsidRPr="001172AC">
              <w:rPr>
                <w:i/>
              </w:rPr>
              <w:t>jautājumi</w:t>
            </w:r>
            <w:proofErr w:type="spellEnd"/>
            <w:r w:rsidR="00FF0DB8" w:rsidRPr="001172AC">
              <w:rPr>
                <w:i/>
              </w:rPr>
              <w:t>”.</w:t>
            </w:r>
            <w:r w:rsidRPr="001172AC">
              <w:rPr>
                <w:i/>
              </w:rPr>
              <w:t xml:space="preserve"> </w:t>
            </w:r>
          </w:p>
          <w:p w:rsidR="00041B7B" w:rsidRPr="00CF6DE0" w:rsidRDefault="00041B7B" w:rsidP="001172AC">
            <w:pPr>
              <w:rPr>
                <w:i/>
              </w:rPr>
            </w:pPr>
            <w:proofErr w:type="spellStart"/>
            <w:r w:rsidRPr="001172AC">
              <w:rPr>
                <w:bCs/>
                <w:i/>
                <w:iCs/>
              </w:rPr>
              <w:t>Ar</w:t>
            </w:r>
            <w:proofErr w:type="spellEnd"/>
            <w:r w:rsidRPr="001172AC">
              <w:rPr>
                <w:bCs/>
                <w:i/>
                <w:iCs/>
              </w:rPr>
              <w:t xml:space="preserve"> A </w:t>
            </w:r>
            <w:proofErr w:type="spellStart"/>
            <w:r w:rsidRPr="001172AC">
              <w:rPr>
                <w:bCs/>
                <w:i/>
                <w:iCs/>
              </w:rPr>
              <w:t>ailē</w:t>
            </w:r>
            <w:proofErr w:type="spellEnd"/>
            <w:r w:rsidRPr="001172AC">
              <w:rPr>
                <w:bCs/>
                <w:i/>
                <w:iCs/>
              </w:rPr>
              <w:t xml:space="preserve"> </w:t>
            </w:r>
            <w:proofErr w:type="spellStart"/>
            <w:r w:rsidRPr="001172AC">
              <w:rPr>
                <w:bCs/>
                <w:i/>
                <w:iCs/>
              </w:rPr>
              <w:t>minētā</w:t>
            </w:r>
            <w:proofErr w:type="spellEnd"/>
            <w:r w:rsidRPr="001172AC">
              <w:rPr>
                <w:bCs/>
                <w:i/>
                <w:iCs/>
              </w:rPr>
              <w:t xml:space="preserve"> </w:t>
            </w:r>
            <w:proofErr w:type="spellStart"/>
            <w:r w:rsidRPr="001172AC">
              <w:rPr>
                <w:bCs/>
                <w:i/>
                <w:iCs/>
              </w:rPr>
              <w:t>Saprašanās</w:t>
            </w:r>
            <w:proofErr w:type="spellEnd"/>
            <w:r w:rsidRPr="001172AC">
              <w:rPr>
                <w:bCs/>
                <w:i/>
                <w:iCs/>
              </w:rPr>
              <w:t xml:space="preserve"> memoranda </w:t>
            </w:r>
            <w:proofErr w:type="spellStart"/>
            <w:r w:rsidRPr="001172AC">
              <w:rPr>
                <w:bCs/>
                <w:i/>
                <w:iCs/>
              </w:rPr>
              <w:t>saistību</w:t>
            </w:r>
            <w:proofErr w:type="spellEnd"/>
            <w:r w:rsidRPr="001172AC">
              <w:rPr>
                <w:bCs/>
                <w:i/>
                <w:iCs/>
              </w:rPr>
              <w:t xml:space="preserve"> </w:t>
            </w:r>
            <w:proofErr w:type="spellStart"/>
            <w:r w:rsidRPr="001172AC">
              <w:rPr>
                <w:bCs/>
                <w:i/>
                <w:iCs/>
              </w:rPr>
              <w:t>izpildi</w:t>
            </w:r>
            <w:proofErr w:type="spellEnd"/>
            <w:r w:rsidRPr="001172AC">
              <w:rPr>
                <w:bCs/>
                <w:i/>
                <w:iCs/>
              </w:rPr>
              <w:t xml:space="preserve"> </w:t>
            </w:r>
            <w:proofErr w:type="spellStart"/>
            <w:r w:rsidRPr="001172AC">
              <w:rPr>
                <w:bCs/>
                <w:i/>
                <w:iCs/>
              </w:rPr>
              <w:t>nodrošinošā</w:t>
            </w:r>
            <w:proofErr w:type="spellEnd"/>
            <w:r w:rsidRPr="001172AC">
              <w:rPr>
                <w:bCs/>
                <w:i/>
                <w:iCs/>
              </w:rPr>
              <w:t xml:space="preserve"> </w:t>
            </w:r>
            <w:proofErr w:type="spellStart"/>
            <w:r w:rsidRPr="001172AC">
              <w:rPr>
                <w:bCs/>
                <w:i/>
                <w:iCs/>
              </w:rPr>
              <w:t>normatīvā</w:t>
            </w:r>
            <w:proofErr w:type="spellEnd"/>
            <w:r w:rsidRPr="001172AC">
              <w:rPr>
                <w:bCs/>
                <w:i/>
                <w:iCs/>
              </w:rPr>
              <w:t xml:space="preserve"> </w:t>
            </w:r>
            <w:proofErr w:type="spellStart"/>
            <w:r w:rsidRPr="001172AC">
              <w:rPr>
                <w:bCs/>
                <w:i/>
                <w:iCs/>
              </w:rPr>
              <w:t>akta</w:t>
            </w:r>
            <w:proofErr w:type="spellEnd"/>
            <w:r w:rsidRPr="001172AC">
              <w:rPr>
                <w:bCs/>
                <w:i/>
                <w:iCs/>
              </w:rPr>
              <w:t xml:space="preserve"> </w:t>
            </w:r>
            <w:proofErr w:type="spellStart"/>
            <w:r w:rsidRPr="001172AC">
              <w:rPr>
                <w:bCs/>
                <w:i/>
                <w:iCs/>
              </w:rPr>
              <w:t>projekta</w:t>
            </w:r>
            <w:proofErr w:type="spellEnd"/>
            <w:r w:rsidRPr="001172AC">
              <w:rPr>
                <w:bCs/>
                <w:i/>
                <w:iCs/>
              </w:rPr>
              <w:t xml:space="preserve"> </w:t>
            </w:r>
            <w:proofErr w:type="spellStart"/>
            <w:r w:rsidRPr="001172AC">
              <w:rPr>
                <w:bCs/>
                <w:i/>
                <w:iCs/>
              </w:rPr>
              <w:t>izstrādi</w:t>
            </w:r>
            <w:proofErr w:type="spellEnd"/>
            <w:r w:rsidRPr="001172AC">
              <w:rPr>
                <w:bCs/>
                <w:i/>
                <w:iCs/>
              </w:rPr>
              <w:t xml:space="preserve"> </w:t>
            </w:r>
            <w:proofErr w:type="spellStart"/>
            <w:r w:rsidRPr="001172AC">
              <w:rPr>
                <w:bCs/>
                <w:i/>
                <w:iCs/>
              </w:rPr>
              <w:t>saistības</w:t>
            </w:r>
            <w:proofErr w:type="spellEnd"/>
            <w:r w:rsidRPr="001172AC">
              <w:rPr>
                <w:bCs/>
                <w:i/>
                <w:iCs/>
              </w:rPr>
              <w:t xml:space="preserve"> </w:t>
            </w:r>
            <w:proofErr w:type="spellStart"/>
            <w:r w:rsidRPr="001172AC">
              <w:rPr>
                <w:bCs/>
                <w:i/>
                <w:iCs/>
              </w:rPr>
              <w:t>tiek</w:t>
            </w:r>
            <w:proofErr w:type="spellEnd"/>
            <w:r w:rsidRPr="001172AC">
              <w:rPr>
                <w:bCs/>
                <w:i/>
                <w:iCs/>
              </w:rPr>
              <w:t xml:space="preserve"> </w:t>
            </w:r>
            <w:proofErr w:type="spellStart"/>
            <w:r w:rsidRPr="001172AC">
              <w:rPr>
                <w:bCs/>
                <w:i/>
                <w:iCs/>
              </w:rPr>
              <w:t>izpildītas</w:t>
            </w:r>
            <w:proofErr w:type="spellEnd"/>
            <w:r w:rsidRPr="001172AC">
              <w:rPr>
                <w:bCs/>
                <w:i/>
                <w:iCs/>
              </w:rPr>
              <w:t xml:space="preserve"> </w:t>
            </w:r>
            <w:proofErr w:type="spellStart"/>
            <w:r w:rsidRPr="001172AC">
              <w:rPr>
                <w:bCs/>
                <w:i/>
                <w:iCs/>
              </w:rPr>
              <w:t>daļēji</w:t>
            </w:r>
            <w:proofErr w:type="spellEnd"/>
            <w:r w:rsidRPr="001172AC">
              <w:rPr>
                <w:bCs/>
                <w:i/>
                <w:iCs/>
              </w:rPr>
              <w:t xml:space="preserve">. </w:t>
            </w:r>
            <w:proofErr w:type="spellStart"/>
            <w:r w:rsidRPr="001172AC">
              <w:rPr>
                <w:bCs/>
                <w:i/>
                <w:iCs/>
              </w:rPr>
              <w:t>Pilnībā</w:t>
            </w:r>
            <w:proofErr w:type="spellEnd"/>
            <w:r w:rsidRPr="001172AC">
              <w:rPr>
                <w:bCs/>
                <w:i/>
                <w:iCs/>
              </w:rPr>
              <w:t xml:space="preserve"> </w:t>
            </w:r>
            <w:proofErr w:type="spellStart"/>
            <w:r w:rsidRPr="001172AC">
              <w:rPr>
                <w:bCs/>
                <w:i/>
                <w:iCs/>
              </w:rPr>
              <w:t>saistības</w:t>
            </w:r>
            <w:proofErr w:type="spellEnd"/>
            <w:r w:rsidRPr="001172AC">
              <w:rPr>
                <w:bCs/>
                <w:i/>
                <w:iCs/>
              </w:rPr>
              <w:t xml:space="preserve"> </w:t>
            </w:r>
            <w:proofErr w:type="spellStart"/>
            <w:r w:rsidRPr="001172AC">
              <w:rPr>
                <w:bCs/>
                <w:i/>
                <w:iCs/>
              </w:rPr>
              <w:t>būs</w:t>
            </w:r>
            <w:proofErr w:type="spellEnd"/>
            <w:r w:rsidRPr="001172AC">
              <w:rPr>
                <w:bCs/>
                <w:i/>
                <w:iCs/>
              </w:rPr>
              <w:t xml:space="preserve"> </w:t>
            </w:r>
            <w:proofErr w:type="spellStart"/>
            <w:r w:rsidRPr="001172AC">
              <w:rPr>
                <w:bCs/>
                <w:i/>
                <w:iCs/>
              </w:rPr>
              <w:t>izpildītas</w:t>
            </w:r>
            <w:proofErr w:type="spellEnd"/>
            <w:r w:rsidRPr="001172AC">
              <w:rPr>
                <w:bCs/>
                <w:i/>
                <w:iCs/>
              </w:rPr>
              <w:t xml:space="preserve"> </w:t>
            </w:r>
            <w:proofErr w:type="spellStart"/>
            <w:r w:rsidRPr="001172AC">
              <w:rPr>
                <w:bCs/>
                <w:i/>
                <w:iCs/>
              </w:rPr>
              <w:t>pēc</w:t>
            </w:r>
            <w:proofErr w:type="spellEnd"/>
            <w:r w:rsidRPr="001172AC">
              <w:rPr>
                <w:bCs/>
                <w:i/>
                <w:iCs/>
              </w:rPr>
              <w:t xml:space="preserve"> </w:t>
            </w:r>
            <w:proofErr w:type="spellStart"/>
            <w:r w:rsidR="001172AC">
              <w:rPr>
                <w:bCs/>
                <w:i/>
                <w:iCs/>
              </w:rPr>
              <w:t>atklāta</w:t>
            </w:r>
            <w:proofErr w:type="spellEnd"/>
            <w:r w:rsidR="001172AC">
              <w:rPr>
                <w:bCs/>
                <w:i/>
                <w:iCs/>
              </w:rPr>
              <w:t xml:space="preserve"> </w:t>
            </w:r>
            <w:proofErr w:type="spellStart"/>
            <w:r w:rsidR="001172AC">
              <w:rPr>
                <w:bCs/>
                <w:i/>
                <w:iCs/>
              </w:rPr>
              <w:t>konkursa</w:t>
            </w:r>
            <w:proofErr w:type="spellEnd"/>
            <w:r w:rsidR="001172AC">
              <w:rPr>
                <w:bCs/>
                <w:i/>
                <w:iCs/>
              </w:rPr>
              <w:t xml:space="preserve"> </w:t>
            </w:r>
            <w:r w:rsidRPr="001172AC">
              <w:rPr>
                <w:bCs/>
                <w:i/>
                <w:iCs/>
              </w:rPr>
              <w:t xml:space="preserve"> </w:t>
            </w:r>
            <w:proofErr w:type="spellStart"/>
            <w:r w:rsidRPr="001172AC">
              <w:rPr>
                <w:bCs/>
                <w:i/>
                <w:iCs/>
              </w:rPr>
              <w:t>īstenošanas</w:t>
            </w:r>
            <w:proofErr w:type="spellEnd"/>
            <w:r w:rsidRPr="001172AC">
              <w:rPr>
                <w:bCs/>
                <w:i/>
                <w:iCs/>
              </w:rPr>
              <w:t xml:space="preserve"> </w:t>
            </w:r>
            <w:proofErr w:type="spellStart"/>
            <w:r w:rsidRPr="001172AC">
              <w:rPr>
                <w:bCs/>
                <w:i/>
                <w:iCs/>
              </w:rPr>
              <w:t>pabeigšanas</w:t>
            </w:r>
            <w:proofErr w:type="spellEnd"/>
            <w:r w:rsidRPr="001172AC">
              <w:rPr>
                <w:bCs/>
                <w:i/>
                <w:iCs/>
              </w:rPr>
              <w:t xml:space="preserve"> 2017. </w:t>
            </w:r>
            <w:proofErr w:type="spellStart"/>
            <w:r w:rsidRPr="001172AC">
              <w:rPr>
                <w:bCs/>
                <w:i/>
                <w:iCs/>
              </w:rPr>
              <w:t>gadā</w:t>
            </w:r>
            <w:proofErr w:type="spellEnd"/>
            <w:r w:rsidRPr="001172AC">
              <w:rPr>
                <w:bCs/>
                <w:i/>
                <w:iCs/>
              </w:rPr>
              <w:t>.</w:t>
            </w:r>
          </w:p>
        </w:tc>
        <w:tc>
          <w:tcPr>
            <w:tcW w:w="1991" w:type="pct"/>
            <w:tcBorders>
              <w:top w:val="outset" w:sz="6" w:space="0" w:color="auto"/>
              <w:left w:val="outset" w:sz="6" w:space="0" w:color="auto"/>
              <w:bottom w:val="outset" w:sz="6" w:space="0" w:color="auto"/>
              <w:right w:val="outset" w:sz="6" w:space="0" w:color="auto"/>
            </w:tcBorders>
            <w:shd w:val="clear" w:color="auto" w:fill="auto"/>
            <w:hideMark/>
          </w:tcPr>
          <w:p w:rsidR="00041B7B" w:rsidRPr="00340C6E" w:rsidRDefault="00041B7B" w:rsidP="00F27DD8">
            <w:pPr>
              <w:jc w:val="both"/>
            </w:pPr>
          </w:p>
        </w:tc>
      </w:tr>
      <w:tr w:rsidR="00A209C3" w:rsidRPr="00A46CA7"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209C3" w:rsidRPr="00340C6E" w:rsidRDefault="000502E6" w:rsidP="00F27DD8">
            <w:pPr>
              <w:jc w:val="both"/>
              <w:rPr>
                <w:szCs w:val="24"/>
                <w:lang w:val="lv-LV"/>
              </w:rPr>
            </w:pPr>
            <w:r w:rsidRPr="000502E6">
              <w:rPr>
                <w:szCs w:val="24"/>
                <w:lang w:val="lv-LV"/>
              </w:rPr>
              <w:t xml:space="preserve">Vai </w:t>
            </w:r>
            <w:r w:rsidRPr="000502E6">
              <w:rPr>
                <w:szCs w:val="24"/>
                <w:lang w:val="lv-LV"/>
              </w:rPr>
              <w:lastRenderedPageBreak/>
              <w:t>starptautiskajā dokumentā paredzētās saistības nav pretrunā ar jau esošajām Latvijas Republikas starptautiskajām saistībām</w:t>
            </w:r>
          </w:p>
        </w:tc>
        <w:tc>
          <w:tcPr>
            <w:tcW w:w="3957" w:type="pct"/>
            <w:gridSpan w:val="2"/>
            <w:tcBorders>
              <w:top w:val="outset" w:sz="6" w:space="0" w:color="auto"/>
              <w:left w:val="outset" w:sz="6" w:space="0" w:color="auto"/>
              <w:bottom w:val="outset" w:sz="6" w:space="0" w:color="auto"/>
              <w:right w:val="outset" w:sz="6" w:space="0" w:color="auto"/>
            </w:tcBorders>
            <w:shd w:val="clear" w:color="auto" w:fill="auto"/>
            <w:hideMark/>
          </w:tcPr>
          <w:p w:rsidR="00A209C3" w:rsidRPr="00340C6E" w:rsidRDefault="00A46CA7" w:rsidP="00A46CA7">
            <w:pPr>
              <w:jc w:val="both"/>
              <w:rPr>
                <w:szCs w:val="24"/>
                <w:lang w:val="lv-LV"/>
              </w:rPr>
            </w:pPr>
            <w:r>
              <w:rPr>
                <w:szCs w:val="24"/>
                <w:lang w:val="lv-LV"/>
              </w:rPr>
              <w:lastRenderedPageBreak/>
              <w:t>Nav</w:t>
            </w:r>
          </w:p>
        </w:tc>
      </w:tr>
      <w:tr w:rsidR="00A209C3" w:rsidRPr="001F10BC" w:rsidTr="008251AB">
        <w:trPr>
          <w:tblCellSpacing w:w="15" w:type="dxa"/>
        </w:trPr>
        <w:tc>
          <w:tcPr>
            <w:tcW w:w="994" w:type="pct"/>
            <w:tcBorders>
              <w:top w:val="outset" w:sz="6" w:space="0" w:color="auto"/>
              <w:left w:val="outset" w:sz="6" w:space="0" w:color="auto"/>
              <w:bottom w:val="outset" w:sz="6" w:space="0" w:color="auto"/>
              <w:right w:val="outset" w:sz="6" w:space="0" w:color="auto"/>
            </w:tcBorders>
            <w:shd w:val="clear" w:color="auto" w:fill="auto"/>
            <w:hideMark/>
          </w:tcPr>
          <w:p w:rsidR="00A209C3" w:rsidRPr="00340C6E" w:rsidRDefault="00A209C3" w:rsidP="00F27DD8">
            <w:pPr>
              <w:jc w:val="both"/>
              <w:rPr>
                <w:szCs w:val="24"/>
                <w:lang w:val="lv-LV"/>
              </w:rPr>
            </w:pPr>
            <w:r w:rsidRPr="00340C6E">
              <w:rPr>
                <w:szCs w:val="24"/>
                <w:lang w:val="lv-LV"/>
              </w:rPr>
              <w:lastRenderedPageBreak/>
              <w:t>Cita informācija</w:t>
            </w:r>
          </w:p>
        </w:tc>
        <w:tc>
          <w:tcPr>
            <w:tcW w:w="3957" w:type="pct"/>
            <w:gridSpan w:val="2"/>
            <w:tcBorders>
              <w:top w:val="outset" w:sz="6" w:space="0" w:color="auto"/>
              <w:left w:val="outset" w:sz="6" w:space="0" w:color="auto"/>
              <w:bottom w:val="outset" w:sz="6" w:space="0" w:color="auto"/>
              <w:right w:val="outset" w:sz="6" w:space="0" w:color="auto"/>
            </w:tcBorders>
            <w:shd w:val="clear" w:color="auto" w:fill="auto"/>
            <w:hideMark/>
          </w:tcPr>
          <w:p w:rsidR="00A209C3" w:rsidRPr="00340C6E" w:rsidRDefault="00A209C3" w:rsidP="00F27DD8">
            <w:pPr>
              <w:jc w:val="both"/>
              <w:rPr>
                <w:szCs w:val="24"/>
                <w:lang w:val="lv-LV"/>
              </w:rPr>
            </w:pPr>
            <w:r w:rsidRPr="00340C6E">
              <w:rPr>
                <w:szCs w:val="24"/>
                <w:lang w:val="lv-LV"/>
              </w:rPr>
              <w:t>Nav</w:t>
            </w:r>
          </w:p>
        </w:tc>
      </w:tr>
    </w:tbl>
    <w:p w:rsidR="00CE67B0" w:rsidRDefault="00CE67B0">
      <w:pPr>
        <w:spacing w:after="60"/>
        <w:rPr>
          <w:szCs w:val="24"/>
          <w:lang w:val="lv-LV"/>
        </w:rPr>
      </w:pPr>
      <w:r>
        <w:rPr>
          <w:szCs w:val="24"/>
          <w:lang w:val="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3"/>
        <w:gridCol w:w="1543"/>
        <w:gridCol w:w="6905"/>
      </w:tblGrid>
      <w:tr w:rsidR="00196940" w:rsidRPr="006A7C4E" w:rsidTr="0087512B">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center"/>
              <w:rPr>
                <w:b/>
                <w:bCs/>
                <w:szCs w:val="24"/>
                <w:lang w:val="lv-LV"/>
              </w:rPr>
            </w:pPr>
            <w:r w:rsidRPr="00196940">
              <w:rPr>
                <w:b/>
                <w:bCs/>
                <w:szCs w:val="24"/>
                <w:lang w:val="lv-LV"/>
              </w:rPr>
              <w:t>VI. Sabiedrības līdzdalība un šīs līdzdalības rezultāti</w:t>
            </w:r>
          </w:p>
        </w:tc>
      </w:tr>
      <w:tr w:rsidR="00196940" w:rsidRPr="006A7C4E"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1.</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informēšana par projekta izstrādes uzsākšanu</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66276A" w:rsidP="00F25EF6">
            <w:pPr>
              <w:ind w:firstLine="284"/>
              <w:jc w:val="both"/>
              <w:rPr>
                <w:szCs w:val="24"/>
                <w:lang w:val="lv-LV"/>
              </w:rPr>
            </w:pPr>
            <w:r w:rsidRPr="0066276A">
              <w:rPr>
                <w:szCs w:val="24"/>
                <w:lang w:val="lv-LV"/>
              </w:rPr>
              <w:t xml:space="preserve">Ekonomikas ministrijas un Norvēģijas Karalistes  vēstniecības Latvijā kopīgi organizētā programmas uzsākšanas pasākumā 2012. gada 3.oktobrī Norvēģijas dienu Latvijā ietvaros plašāka sabiedrība tika informēta par </w:t>
            </w:r>
            <w:r w:rsidR="001172AC">
              <w:rPr>
                <w:szCs w:val="24"/>
                <w:lang w:val="lv-LV"/>
              </w:rPr>
              <w:t>atklāta konkursa</w:t>
            </w:r>
            <w:r w:rsidRPr="0066276A">
              <w:rPr>
                <w:szCs w:val="24"/>
                <w:lang w:val="lv-LV"/>
              </w:rPr>
              <w:t xml:space="preserve"> plānoto Ministru kabineta noteikumu saturu</w:t>
            </w:r>
            <w:r w:rsidR="00A44141">
              <w:rPr>
                <w:szCs w:val="24"/>
                <w:lang w:val="lv-LV"/>
              </w:rPr>
              <w:t>.</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2.</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līdzdalība projekta izstrādē</w:t>
            </w:r>
          </w:p>
        </w:tc>
        <w:tc>
          <w:tcPr>
            <w:tcW w:w="3769" w:type="pct"/>
            <w:tcBorders>
              <w:top w:val="outset" w:sz="6" w:space="0" w:color="auto"/>
              <w:left w:val="outset" w:sz="6" w:space="0" w:color="auto"/>
              <w:bottom w:val="outset" w:sz="6" w:space="0" w:color="auto"/>
              <w:right w:val="outset" w:sz="6" w:space="0" w:color="auto"/>
            </w:tcBorders>
            <w:hideMark/>
          </w:tcPr>
          <w:p w:rsidR="00196940" w:rsidRPr="001172AC" w:rsidRDefault="001172AC" w:rsidP="001172AC">
            <w:pPr>
              <w:ind w:firstLine="483"/>
              <w:rPr>
                <w:szCs w:val="24"/>
                <w:lang w:val="lv-LV"/>
              </w:rPr>
            </w:pPr>
            <w:r>
              <w:rPr>
                <w:szCs w:val="24"/>
                <w:lang w:val="lv-LV"/>
              </w:rPr>
              <w:t>Nav</w:t>
            </w:r>
            <w:r w:rsidR="00E42EB2">
              <w:rPr>
                <w:szCs w:val="24"/>
                <w:lang w:val="lv-LV"/>
              </w:rPr>
              <w:t>.</w:t>
            </w:r>
          </w:p>
        </w:tc>
      </w:tr>
      <w:tr w:rsidR="00196940" w:rsidRPr="00835AEF"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3.</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Sabiedrības līdzdalības rezultāti</w:t>
            </w:r>
          </w:p>
        </w:tc>
        <w:tc>
          <w:tcPr>
            <w:tcW w:w="3769" w:type="pct"/>
            <w:tcBorders>
              <w:top w:val="outset" w:sz="6" w:space="0" w:color="auto"/>
              <w:left w:val="outset" w:sz="6" w:space="0" w:color="auto"/>
              <w:bottom w:val="outset" w:sz="6" w:space="0" w:color="auto"/>
              <w:right w:val="outset" w:sz="6" w:space="0" w:color="auto"/>
            </w:tcBorders>
            <w:hideMark/>
          </w:tcPr>
          <w:p w:rsidR="00196940" w:rsidRPr="00C071BE" w:rsidRDefault="005A6D21" w:rsidP="005A6D21">
            <w:pPr>
              <w:ind w:firstLine="483"/>
              <w:rPr>
                <w:szCs w:val="24"/>
                <w:lang w:val="lv-LV"/>
              </w:rPr>
            </w:pPr>
            <w:r w:rsidRPr="00C071BE">
              <w:rPr>
                <w:szCs w:val="24"/>
                <w:lang w:val="lv-LV"/>
              </w:rPr>
              <w:t xml:space="preserve"> Nav</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4.</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Saeimas un ekspertu līdzdalība</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ind w:firstLine="483"/>
              <w:jc w:val="both"/>
              <w:rPr>
                <w:szCs w:val="24"/>
                <w:lang w:val="lv-LV"/>
              </w:rPr>
            </w:pPr>
            <w:r w:rsidRPr="00196940">
              <w:rPr>
                <w:iCs/>
                <w:szCs w:val="24"/>
                <w:lang w:val="lv-LV"/>
              </w:rPr>
              <w:t>Projekts šo jomu neskar. </w:t>
            </w:r>
          </w:p>
        </w:tc>
      </w:tr>
      <w:tr w:rsidR="00196940" w:rsidRPr="001F10BC" w:rsidTr="004B111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5.</w:t>
            </w:r>
          </w:p>
        </w:tc>
        <w:tc>
          <w:tcPr>
            <w:tcW w:w="831" w:type="pct"/>
            <w:tcBorders>
              <w:top w:val="outset" w:sz="6" w:space="0" w:color="auto"/>
              <w:left w:val="outset" w:sz="6" w:space="0" w:color="auto"/>
              <w:bottom w:val="outset" w:sz="6" w:space="0" w:color="auto"/>
              <w:right w:val="outset" w:sz="6" w:space="0" w:color="auto"/>
            </w:tcBorders>
            <w:hideMark/>
          </w:tcPr>
          <w:p w:rsidR="00196940" w:rsidRPr="00196940" w:rsidRDefault="00196940" w:rsidP="0087512B">
            <w:pPr>
              <w:jc w:val="both"/>
              <w:rPr>
                <w:szCs w:val="24"/>
                <w:lang w:val="lv-LV"/>
              </w:rPr>
            </w:pPr>
            <w:r w:rsidRPr="00196940">
              <w:rPr>
                <w:szCs w:val="24"/>
                <w:lang w:val="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196940" w:rsidRPr="00196940" w:rsidRDefault="00196940" w:rsidP="005A6D21">
            <w:pPr>
              <w:ind w:firstLine="483"/>
              <w:rPr>
                <w:szCs w:val="24"/>
                <w:lang w:val="lv-LV"/>
              </w:rPr>
            </w:pPr>
            <w:r w:rsidRPr="00196940">
              <w:rPr>
                <w:szCs w:val="24"/>
                <w:lang w:val="lv-LV"/>
              </w:rPr>
              <w:t>Nav</w:t>
            </w:r>
          </w:p>
        </w:tc>
      </w:tr>
    </w:tbl>
    <w:p w:rsidR="00380DA5" w:rsidRPr="00380DA5" w:rsidRDefault="00380DA5">
      <w:pPr>
        <w:spacing w:after="60"/>
        <w:rPr>
          <w:szCs w:val="24"/>
          <w:lang w:val="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07"/>
        <w:gridCol w:w="3052"/>
        <w:gridCol w:w="5542"/>
      </w:tblGrid>
      <w:tr w:rsidR="00457DC2" w:rsidRPr="006A7C4E">
        <w:tc>
          <w:tcPr>
            <w:tcW w:w="910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jc w:val="center"/>
              <w:rPr>
                <w:szCs w:val="24"/>
                <w:lang w:val="lv-LV"/>
              </w:rPr>
            </w:pPr>
            <w:r w:rsidRPr="00380DA5">
              <w:rPr>
                <w:b/>
                <w:szCs w:val="24"/>
                <w:lang w:val="lv-LV"/>
              </w:rPr>
              <w:t>VII. Tiesību akta projekta izpildes nodrošināšana un tās ietekme uz institūcijām</w:t>
            </w:r>
          </w:p>
        </w:tc>
      </w:tr>
      <w:tr w:rsidR="00457DC2" w:rsidRPr="006A7C4E" w:rsidTr="009E4EDD">
        <w:trPr>
          <w:trHeight w:val="427"/>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1.</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izpildē iesaistītās institūcijas</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84434D" w:rsidRDefault="00E32E59" w:rsidP="004A0E68">
            <w:pPr>
              <w:spacing w:after="120"/>
              <w:ind w:left="57" w:right="57"/>
              <w:jc w:val="both"/>
              <w:rPr>
                <w:szCs w:val="24"/>
                <w:lang w:val="lv-LV"/>
              </w:rPr>
            </w:pPr>
            <w:r>
              <w:rPr>
                <w:szCs w:val="24"/>
                <w:lang w:val="lv-LV"/>
              </w:rPr>
              <w:t xml:space="preserve">    </w:t>
            </w:r>
            <w:r w:rsidR="00705E54">
              <w:rPr>
                <w:szCs w:val="24"/>
                <w:lang w:val="lv-LV"/>
              </w:rPr>
              <w:t xml:space="preserve">Ministru kabineta noteikumu projekta </w:t>
            </w:r>
            <w:r w:rsidR="0084434D" w:rsidRPr="0084434D">
              <w:rPr>
                <w:lang w:val="lv-LV"/>
              </w:rPr>
              <w:t>īstenošanā ir iesaistīta</w:t>
            </w:r>
            <w:r w:rsidR="004A0E68">
              <w:rPr>
                <w:lang w:val="lv-LV"/>
              </w:rPr>
              <w:t xml:space="preserve"> </w:t>
            </w:r>
            <w:r w:rsidR="0084434D">
              <w:rPr>
                <w:lang w:val="lv-LV"/>
              </w:rPr>
              <w:t>Ekonomikas</w:t>
            </w:r>
            <w:r w:rsidR="0084434D" w:rsidRPr="0084434D">
              <w:rPr>
                <w:lang w:val="lv-LV"/>
              </w:rPr>
              <w:t xml:space="preserve"> ministrija</w:t>
            </w:r>
            <w:r w:rsidR="00705E54">
              <w:rPr>
                <w:lang w:val="lv-LV"/>
              </w:rPr>
              <w:t xml:space="preserve"> kā</w:t>
            </w:r>
            <w:r w:rsidR="0084434D" w:rsidRPr="0084434D">
              <w:rPr>
                <w:lang w:val="lv-LV"/>
              </w:rPr>
              <w:t xml:space="preserve"> programmas </w:t>
            </w:r>
            <w:r w:rsidR="00705E54">
              <w:rPr>
                <w:lang w:val="lv-LV"/>
              </w:rPr>
              <w:t xml:space="preserve">apsaimniekotājs </w:t>
            </w:r>
            <w:r w:rsidR="0084434D">
              <w:rPr>
                <w:lang w:val="lv-LV"/>
              </w:rPr>
              <w:t>un LIAA</w:t>
            </w:r>
            <w:r w:rsidR="00705E54">
              <w:rPr>
                <w:lang w:val="lv-LV"/>
              </w:rPr>
              <w:t xml:space="preserve"> kā Aģentūra</w:t>
            </w:r>
            <w:r w:rsidR="0084434D">
              <w:rPr>
                <w:lang w:val="lv-LV"/>
              </w:rPr>
              <w:t xml:space="preserve">, kam ir deleģētas Ekonomikas ministrijas funkcijas attiecībā uz </w:t>
            </w:r>
            <w:r w:rsidR="00705E54">
              <w:rPr>
                <w:lang w:val="lv-LV"/>
              </w:rPr>
              <w:t>p</w:t>
            </w:r>
            <w:r w:rsidR="0084434D">
              <w:rPr>
                <w:lang w:val="lv-LV"/>
              </w:rPr>
              <w:t>rogrammas īstenošanu.</w:t>
            </w:r>
          </w:p>
        </w:tc>
      </w:tr>
      <w:tr w:rsidR="00457DC2" w:rsidRPr="006A7C4E" w:rsidTr="009E4EDD">
        <w:trPr>
          <w:trHeight w:val="46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2.</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izpildes ietekme uz pārvaldes funkcijām</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84434D" w:rsidRPr="0084434D" w:rsidRDefault="0084434D" w:rsidP="00E32E59">
            <w:pPr>
              <w:ind w:firstLine="284"/>
              <w:jc w:val="both"/>
              <w:rPr>
                <w:szCs w:val="24"/>
                <w:lang w:val="lv-LV"/>
              </w:rPr>
            </w:pPr>
            <w:r w:rsidRPr="0084434D">
              <w:rPr>
                <w:szCs w:val="24"/>
                <w:lang w:val="lv-LV"/>
              </w:rPr>
              <w:t>Projekts neietekmē valsts pārvaldes funkcijas.</w:t>
            </w:r>
          </w:p>
          <w:p w:rsidR="00457DC2" w:rsidRPr="00380DA5" w:rsidRDefault="00457DC2">
            <w:pPr>
              <w:tabs>
                <w:tab w:val="left" w:pos="850"/>
              </w:tabs>
              <w:spacing w:after="120"/>
              <w:ind w:left="57" w:right="57"/>
              <w:jc w:val="both"/>
              <w:rPr>
                <w:szCs w:val="24"/>
                <w:lang w:val="lv-LV"/>
              </w:rPr>
            </w:pPr>
          </w:p>
        </w:tc>
      </w:tr>
      <w:tr w:rsidR="00457DC2" w:rsidRPr="00380DA5" w:rsidTr="009E4EDD">
        <w:trPr>
          <w:trHeight w:val="725"/>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3.</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rPr>
                <w:szCs w:val="24"/>
                <w:lang w:val="lv-LV"/>
              </w:rPr>
            </w:pPr>
            <w:r w:rsidRPr="00380DA5">
              <w:rPr>
                <w:szCs w:val="24"/>
                <w:lang w:val="lv-LV"/>
              </w:rPr>
              <w:t> Projekta izpildes ietekme uz pārvaldes institucionālo struktūru.</w:t>
            </w:r>
          </w:p>
          <w:p w:rsidR="00457DC2" w:rsidRPr="00380DA5" w:rsidRDefault="00457DC2">
            <w:pPr>
              <w:spacing w:after="75"/>
              <w:rPr>
                <w:szCs w:val="24"/>
                <w:lang w:val="lv-LV"/>
              </w:rPr>
            </w:pPr>
            <w:r w:rsidRPr="00380DA5">
              <w:rPr>
                <w:szCs w:val="24"/>
                <w:lang w:val="lv-LV"/>
              </w:rPr>
              <w:t>Jaunu institūciju izveide</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rsidP="00196940">
            <w:pPr>
              <w:tabs>
                <w:tab w:val="left" w:pos="850"/>
              </w:tabs>
              <w:spacing w:after="120"/>
              <w:jc w:val="both"/>
              <w:rPr>
                <w:szCs w:val="24"/>
                <w:lang w:val="lv-LV"/>
              </w:rPr>
            </w:pPr>
            <w:r w:rsidRPr="00380DA5">
              <w:rPr>
                <w:szCs w:val="24"/>
                <w:lang w:val="lv-LV"/>
              </w:rPr>
              <w:t xml:space="preserve">    </w:t>
            </w:r>
            <w:r w:rsidR="00E32E59">
              <w:rPr>
                <w:szCs w:val="24"/>
                <w:lang w:val="lv-LV"/>
              </w:rPr>
              <w:t xml:space="preserve"> </w:t>
            </w:r>
            <w:r w:rsidRPr="00380DA5">
              <w:rPr>
                <w:szCs w:val="24"/>
                <w:lang w:val="lv-LV"/>
              </w:rPr>
              <w:t>Net</w:t>
            </w:r>
            <w:r w:rsidR="00196940">
              <w:rPr>
                <w:szCs w:val="24"/>
                <w:lang w:val="lv-LV"/>
              </w:rPr>
              <w:t>iks radītas jaunas institūcijas</w:t>
            </w:r>
            <w:r w:rsidRPr="00380DA5">
              <w:rPr>
                <w:szCs w:val="24"/>
                <w:lang w:val="lv-LV"/>
              </w:rPr>
              <w:t>.</w:t>
            </w:r>
          </w:p>
        </w:tc>
      </w:tr>
      <w:tr w:rsidR="00457DC2" w:rsidRPr="006A7C4E" w:rsidTr="009E4EDD">
        <w:trPr>
          <w:trHeight w:val="780"/>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lastRenderedPageBreak/>
              <w:t> 4.</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rPr>
                <w:szCs w:val="24"/>
                <w:lang w:val="lv-LV"/>
              </w:rPr>
            </w:pPr>
            <w:r w:rsidRPr="00380DA5">
              <w:rPr>
                <w:szCs w:val="24"/>
                <w:lang w:val="lv-LV"/>
              </w:rPr>
              <w:t> Projekta izpildes ietekme uz pārvaldes institucionālo struktūru.</w:t>
            </w:r>
          </w:p>
          <w:p w:rsidR="00457DC2" w:rsidRPr="00380DA5" w:rsidRDefault="00457DC2">
            <w:pPr>
              <w:spacing w:after="75"/>
              <w:rPr>
                <w:szCs w:val="24"/>
                <w:lang w:val="lv-LV"/>
              </w:rPr>
            </w:pPr>
            <w:r w:rsidRPr="00380DA5">
              <w:rPr>
                <w:szCs w:val="24"/>
                <w:lang w:val="lv-LV"/>
              </w:rPr>
              <w:t>Esošu institūciju likvidācija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pPr>
              <w:spacing w:after="120"/>
              <w:ind w:left="57" w:right="57"/>
              <w:jc w:val="both"/>
              <w:rPr>
                <w:szCs w:val="24"/>
                <w:lang w:val="lv-LV"/>
              </w:rPr>
            </w:pPr>
            <w:r w:rsidRPr="00380DA5">
              <w:rPr>
                <w:szCs w:val="24"/>
                <w:lang w:val="lv-LV"/>
              </w:rPr>
              <w:t xml:space="preserve">     N</w:t>
            </w:r>
            <w:r w:rsidR="00457DC2" w:rsidRPr="00380DA5">
              <w:rPr>
                <w:szCs w:val="24"/>
                <w:lang w:val="lv-LV"/>
              </w:rPr>
              <w:t>av plānots likvidēt esošās valsts pārvaldes institūcijas.</w:t>
            </w:r>
          </w:p>
          <w:p w:rsidR="00457DC2" w:rsidRPr="00380DA5" w:rsidRDefault="00457DC2">
            <w:pPr>
              <w:spacing w:after="120"/>
              <w:ind w:left="57" w:right="57"/>
              <w:jc w:val="both"/>
              <w:rPr>
                <w:szCs w:val="24"/>
                <w:lang w:val="lv-LV"/>
              </w:rPr>
            </w:pPr>
          </w:p>
        </w:tc>
      </w:tr>
      <w:tr w:rsidR="00457DC2" w:rsidRPr="00380DA5" w:rsidTr="009E4EDD">
        <w:trPr>
          <w:trHeight w:val="703"/>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5.</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Projekta izpildes ietekme uz pārvaldes institucionālo struktūru.</w:t>
            </w:r>
          </w:p>
          <w:p w:rsidR="00457DC2" w:rsidRPr="00380DA5" w:rsidRDefault="00457DC2">
            <w:pPr>
              <w:spacing w:before="75" w:after="75"/>
              <w:rPr>
                <w:szCs w:val="24"/>
                <w:lang w:val="lv-LV"/>
              </w:rPr>
            </w:pPr>
            <w:r w:rsidRPr="00380DA5">
              <w:rPr>
                <w:szCs w:val="24"/>
                <w:lang w:val="lv-LV"/>
              </w:rPr>
              <w:t>Esošu institūciju reorganizācija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210069" w:rsidP="00210069">
            <w:pPr>
              <w:spacing w:after="120"/>
              <w:ind w:firstLine="425"/>
              <w:jc w:val="both"/>
              <w:rPr>
                <w:szCs w:val="24"/>
                <w:lang w:val="lv-LV"/>
              </w:rPr>
            </w:pPr>
            <w:r w:rsidRPr="00380DA5">
              <w:rPr>
                <w:iCs/>
                <w:szCs w:val="24"/>
                <w:lang w:val="lv-LV"/>
              </w:rPr>
              <w:t>Projekts šo jomu neskar. </w:t>
            </w:r>
          </w:p>
        </w:tc>
      </w:tr>
      <w:tr w:rsidR="00457DC2" w:rsidRPr="00380DA5" w:rsidTr="009E4EDD">
        <w:trPr>
          <w:trHeight w:val="476"/>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6.</w:t>
            </w:r>
          </w:p>
        </w:tc>
        <w:tc>
          <w:tcPr>
            <w:tcW w:w="305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pPr>
              <w:spacing w:before="75" w:after="75"/>
              <w:rPr>
                <w:szCs w:val="24"/>
                <w:lang w:val="lv-LV"/>
              </w:rPr>
            </w:pPr>
            <w:r w:rsidRPr="00380DA5">
              <w:rPr>
                <w:szCs w:val="24"/>
                <w:lang w:val="lv-LV"/>
              </w:rPr>
              <w:t> Cita informācija</w:t>
            </w:r>
          </w:p>
        </w:tc>
        <w:tc>
          <w:tcPr>
            <w:tcW w:w="5542" w:type="dxa"/>
            <w:tcBorders>
              <w:top w:val="thickThinLargeGap" w:sz="6" w:space="0" w:color="C0C0C0"/>
              <w:left w:val="thickThinLargeGap" w:sz="6" w:space="0" w:color="C0C0C0"/>
              <w:bottom w:val="thickThinLargeGap" w:sz="6" w:space="0" w:color="C0C0C0"/>
              <w:right w:val="thickThinLargeGap" w:sz="6" w:space="0" w:color="C0C0C0"/>
            </w:tcBorders>
            <w:hideMark/>
          </w:tcPr>
          <w:p w:rsidR="00457DC2" w:rsidRPr="00380DA5" w:rsidRDefault="00457DC2" w:rsidP="00210069">
            <w:pPr>
              <w:ind w:firstLine="425"/>
              <w:jc w:val="both"/>
              <w:rPr>
                <w:szCs w:val="24"/>
                <w:lang w:val="lv-LV"/>
              </w:rPr>
            </w:pPr>
            <w:r w:rsidRPr="00380DA5">
              <w:rPr>
                <w:szCs w:val="24"/>
                <w:lang w:val="lv-LV"/>
              </w:rPr>
              <w:t> Nav.</w:t>
            </w:r>
          </w:p>
        </w:tc>
      </w:tr>
    </w:tbl>
    <w:p w:rsidR="00A209C3" w:rsidRDefault="00A209C3">
      <w:pPr>
        <w:pStyle w:val="naisf"/>
        <w:tabs>
          <w:tab w:val="left" w:pos="6710"/>
        </w:tabs>
        <w:spacing w:before="0" w:after="120"/>
        <w:rPr>
          <w:szCs w:val="24"/>
        </w:rPr>
      </w:pPr>
    </w:p>
    <w:p w:rsidR="00C071BE" w:rsidRDefault="00C071BE">
      <w:pPr>
        <w:pStyle w:val="naisf"/>
        <w:tabs>
          <w:tab w:val="left" w:pos="6710"/>
        </w:tabs>
        <w:spacing w:before="0" w:after="120"/>
        <w:rPr>
          <w:szCs w:val="24"/>
        </w:rPr>
      </w:pPr>
    </w:p>
    <w:p w:rsidR="00C071BE" w:rsidRDefault="00C071BE">
      <w:pPr>
        <w:pStyle w:val="naisf"/>
        <w:tabs>
          <w:tab w:val="left" w:pos="6710"/>
        </w:tabs>
        <w:spacing w:before="0" w:after="120"/>
        <w:rPr>
          <w:szCs w:val="24"/>
        </w:rPr>
      </w:pPr>
    </w:p>
    <w:p w:rsidR="00457DC2" w:rsidRPr="00380DA5" w:rsidRDefault="00A42D03">
      <w:pPr>
        <w:pStyle w:val="naisf"/>
        <w:tabs>
          <w:tab w:val="left" w:pos="6710"/>
        </w:tabs>
        <w:spacing w:before="0" w:after="120"/>
        <w:rPr>
          <w:szCs w:val="24"/>
        </w:rPr>
      </w:pPr>
      <w:r>
        <w:rPr>
          <w:szCs w:val="24"/>
        </w:rPr>
        <w:t>Ekonomikas ministrs</w:t>
      </w:r>
      <w:r>
        <w:rPr>
          <w:szCs w:val="24"/>
        </w:rPr>
        <w:tab/>
      </w:r>
      <w:r>
        <w:rPr>
          <w:szCs w:val="24"/>
        </w:rPr>
        <w:tab/>
        <w:t xml:space="preserve">     </w:t>
      </w:r>
      <w:proofErr w:type="spellStart"/>
      <w:r w:rsidR="00210069" w:rsidRPr="00380DA5">
        <w:rPr>
          <w:szCs w:val="24"/>
        </w:rPr>
        <w:t>D.Pavļuts</w:t>
      </w:r>
      <w:proofErr w:type="spellEnd"/>
    </w:p>
    <w:p w:rsidR="00457DC2" w:rsidRPr="00380DA5" w:rsidRDefault="00457DC2">
      <w:pPr>
        <w:pStyle w:val="EnvelopeReturn"/>
        <w:spacing w:before="0"/>
        <w:rPr>
          <w:sz w:val="24"/>
          <w:szCs w:val="24"/>
          <w:lang w:val="lv-LV"/>
        </w:rPr>
      </w:pPr>
    </w:p>
    <w:p w:rsidR="00C071BE" w:rsidRDefault="00C071BE" w:rsidP="00AF023D">
      <w:pPr>
        <w:pStyle w:val="EnvelopeReturn"/>
        <w:spacing w:before="0"/>
        <w:rPr>
          <w:sz w:val="24"/>
          <w:szCs w:val="24"/>
          <w:lang w:val="lv-LV"/>
        </w:rPr>
      </w:pPr>
    </w:p>
    <w:p w:rsidR="00C071BE" w:rsidRDefault="00C071BE" w:rsidP="00AF023D">
      <w:pPr>
        <w:pStyle w:val="EnvelopeReturn"/>
        <w:spacing w:before="0"/>
        <w:rPr>
          <w:sz w:val="24"/>
          <w:szCs w:val="24"/>
          <w:lang w:val="lv-LV"/>
        </w:rPr>
      </w:pPr>
    </w:p>
    <w:p w:rsidR="00C071BE" w:rsidRDefault="00C071BE" w:rsidP="00AF023D">
      <w:pPr>
        <w:pStyle w:val="EnvelopeReturn"/>
        <w:spacing w:before="0"/>
        <w:rPr>
          <w:sz w:val="24"/>
          <w:szCs w:val="24"/>
          <w:lang w:val="lv-LV"/>
        </w:rPr>
      </w:pPr>
    </w:p>
    <w:p w:rsidR="00A42D03" w:rsidRPr="00A42D03" w:rsidRDefault="00A42D03" w:rsidP="00A42D03">
      <w:pPr>
        <w:tabs>
          <w:tab w:val="left" w:pos="720"/>
          <w:tab w:val="left" w:pos="6804"/>
        </w:tabs>
        <w:jc w:val="both"/>
        <w:rPr>
          <w:rFonts w:eastAsia="Calibri"/>
          <w:szCs w:val="24"/>
          <w:lang w:val="lv-LV" w:eastAsia="en-US"/>
        </w:rPr>
      </w:pPr>
      <w:r w:rsidRPr="00A42D03">
        <w:rPr>
          <w:rFonts w:eastAsia="Calibri"/>
          <w:szCs w:val="24"/>
          <w:lang w:val="lv-LV" w:eastAsia="en-US"/>
        </w:rPr>
        <w:t>Vīza: Valsts sekretāra</w:t>
      </w:r>
    </w:p>
    <w:p w:rsidR="00A42D03" w:rsidRPr="00A42D03" w:rsidRDefault="00A42D03" w:rsidP="00A42D03">
      <w:pPr>
        <w:tabs>
          <w:tab w:val="left" w:pos="720"/>
          <w:tab w:val="left" w:pos="6804"/>
        </w:tabs>
        <w:jc w:val="both"/>
        <w:rPr>
          <w:rFonts w:eastAsia="Calibri"/>
          <w:szCs w:val="24"/>
          <w:lang w:val="lv-LV" w:eastAsia="en-US"/>
        </w:rPr>
      </w:pPr>
      <w:r w:rsidRPr="00A42D03">
        <w:rPr>
          <w:rFonts w:eastAsia="Calibri"/>
          <w:szCs w:val="24"/>
          <w:lang w:val="lv-LV" w:eastAsia="en-US"/>
        </w:rPr>
        <w:t>pienākumu izpildītājs,</w:t>
      </w:r>
    </w:p>
    <w:p w:rsidR="00A42D03" w:rsidRPr="00A42D03" w:rsidRDefault="00A42D03" w:rsidP="00A42D03">
      <w:pPr>
        <w:tabs>
          <w:tab w:val="left" w:pos="720"/>
          <w:tab w:val="left" w:pos="6804"/>
        </w:tabs>
        <w:jc w:val="both"/>
        <w:rPr>
          <w:rFonts w:eastAsia="Calibri"/>
          <w:szCs w:val="24"/>
          <w:lang w:val="lv-LV" w:eastAsia="en-US"/>
        </w:rPr>
      </w:pPr>
      <w:r w:rsidRPr="00A42D03">
        <w:rPr>
          <w:rFonts w:eastAsia="Calibri"/>
          <w:szCs w:val="24"/>
          <w:lang w:val="lv-LV" w:eastAsia="en-US"/>
        </w:rPr>
        <w:t>valsts sekretāra vietnieks</w:t>
      </w:r>
      <w:r w:rsidRPr="00A42D03">
        <w:rPr>
          <w:rFonts w:eastAsia="Calibri"/>
          <w:szCs w:val="24"/>
          <w:lang w:val="lv-LV" w:eastAsia="en-US"/>
        </w:rPr>
        <w:tab/>
      </w:r>
      <w:r>
        <w:rPr>
          <w:rFonts w:eastAsia="Calibri"/>
          <w:szCs w:val="24"/>
          <w:lang w:val="lv-LV" w:eastAsia="en-US"/>
        </w:rPr>
        <w:tab/>
      </w:r>
      <w:r w:rsidRPr="00A42D03">
        <w:rPr>
          <w:rFonts w:eastAsia="Calibri"/>
          <w:szCs w:val="24"/>
          <w:lang w:val="lv-LV" w:eastAsia="en-US"/>
        </w:rPr>
        <w:t>A.Liepiņš</w:t>
      </w:r>
    </w:p>
    <w:p w:rsidR="00A42D03" w:rsidRPr="00A42D03" w:rsidRDefault="00A42D03" w:rsidP="00A42D03">
      <w:pPr>
        <w:jc w:val="both"/>
        <w:rPr>
          <w:color w:val="000000"/>
          <w:szCs w:val="24"/>
          <w:lang w:val="lv-LV"/>
        </w:rPr>
      </w:pPr>
    </w:p>
    <w:p w:rsidR="00AF023D" w:rsidRPr="00A42D03" w:rsidRDefault="00AF023D" w:rsidP="00AF023D">
      <w:pPr>
        <w:jc w:val="both"/>
        <w:rPr>
          <w:color w:val="000000"/>
          <w:szCs w:val="24"/>
          <w:lang w:val="lv-LV"/>
        </w:rPr>
      </w:pPr>
    </w:p>
    <w:p w:rsidR="00C071BE" w:rsidRDefault="00C071BE" w:rsidP="00AF023D">
      <w:pPr>
        <w:jc w:val="both"/>
        <w:rPr>
          <w:color w:val="000000"/>
          <w:sz w:val="20"/>
          <w:lang w:val="lv-LV"/>
        </w:rPr>
      </w:pPr>
    </w:p>
    <w:p w:rsidR="003366A0" w:rsidRDefault="003366A0" w:rsidP="00AF023D">
      <w:pPr>
        <w:jc w:val="both"/>
        <w:rPr>
          <w:color w:val="000000"/>
          <w:sz w:val="20"/>
          <w:lang w:val="lv-LV"/>
        </w:rPr>
      </w:pPr>
    </w:p>
    <w:p w:rsidR="003366A0" w:rsidRDefault="003366A0" w:rsidP="00AF023D">
      <w:pPr>
        <w:jc w:val="both"/>
        <w:rPr>
          <w:color w:val="000000"/>
          <w:sz w:val="20"/>
          <w:lang w:val="lv-LV"/>
        </w:rPr>
      </w:pPr>
    </w:p>
    <w:p w:rsidR="00C071BE" w:rsidRDefault="00C071BE" w:rsidP="00AF023D">
      <w:pPr>
        <w:jc w:val="both"/>
        <w:rPr>
          <w:color w:val="000000"/>
          <w:sz w:val="20"/>
          <w:lang w:val="lv-LV"/>
        </w:rPr>
      </w:pPr>
    </w:p>
    <w:p w:rsidR="00C071BE" w:rsidRDefault="00C071BE" w:rsidP="00AF023D">
      <w:pPr>
        <w:jc w:val="both"/>
        <w:rPr>
          <w:color w:val="000000"/>
          <w:sz w:val="20"/>
          <w:lang w:val="lv-LV"/>
        </w:rPr>
      </w:pPr>
    </w:p>
    <w:p w:rsidR="009624D8" w:rsidRPr="00D97559" w:rsidRDefault="00A42D03" w:rsidP="00AF023D">
      <w:pPr>
        <w:jc w:val="both"/>
        <w:rPr>
          <w:b/>
          <w:color w:val="000000"/>
          <w:sz w:val="20"/>
          <w:lang w:val="lv-LV"/>
        </w:rPr>
      </w:pPr>
      <w:r>
        <w:rPr>
          <w:color w:val="000000"/>
          <w:sz w:val="20"/>
          <w:lang w:val="lv-LV"/>
        </w:rPr>
        <w:t>2</w:t>
      </w:r>
      <w:r w:rsidR="00325F3E">
        <w:rPr>
          <w:color w:val="000000"/>
          <w:sz w:val="20"/>
          <w:lang w:val="lv-LV"/>
        </w:rPr>
        <w:t>9</w:t>
      </w:r>
      <w:r w:rsidR="002640CF">
        <w:rPr>
          <w:color w:val="000000"/>
          <w:sz w:val="20"/>
          <w:lang w:val="lv-LV"/>
        </w:rPr>
        <w:t>.</w:t>
      </w:r>
      <w:r w:rsidR="003B0193">
        <w:rPr>
          <w:color w:val="000000"/>
          <w:sz w:val="20"/>
          <w:lang w:val="lv-LV"/>
        </w:rPr>
        <w:t>1</w:t>
      </w:r>
      <w:r w:rsidR="00132325">
        <w:rPr>
          <w:color w:val="000000"/>
          <w:sz w:val="20"/>
          <w:lang w:val="lv-LV"/>
        </w:rPr>
        <w:t>1</w:t>
      </w:r>
      <w:r w:rsidR="002640CF">
        <w:rPr>
          <w:color w:val="000000"/>
          <w:sz w:val="20"/>
          <w:lang w:val="lv-LV"/>
        </w:rPr>
        <w:t>.201</w:t>
      </w:r>
      <w:r w:rsidR="00D84F9E">
        <w:rPr>
          <w:color w:val="000000"/>
          <w:sz w:val="20"/>
          <w:lang w:val="lv-LV"/>
        </w:rPr>
        <w:t>3</w:t>
      </w:r>
      <w:r w:rsidR="002640CF">
        <w:rPr>
          <w:color w:val="000000"/>
          <w:sz w:val="20"/>
          <w:lang w:val="lv-LV"/>
        </w:rPr>
        <w:t xml:space="preserve"> </w:t>
      </w:r>
      <w:r w:rsidR="00325F3E">
        <w:rPr>
          <w:color w:val="000000"/>
          <w:sz w:val="20"/>
          <w:lang w:val="lv-LV"/>
        </w:rPr>
        <w:t>9:16</w:t>
      </w:r>
    </w:p>
    <w:p w:rsidR="002538E7" w:rsidRDefault="00120C90" w:rsidP="00AF023D">
      <w:pPr>
        <w:jc w:val="both"/>
        <w:rPr>
          <w:color w:val="000000"/>
          <w:sz w:val="20"/>
          <w:lang w:val="lv-LV"/>
        </w:rPr>
      </w:pPr>
      <w:r>
        <w:rPr>
          <w:color w:val="000000"/>
          <w:sz w:val="20"/>
          <w:lang w:val="lv-LV"/>
        </w:rPr>
        <w:t>3</w:t>
      </w:r>
      <w:r w:rsidR="006A7C4E">
        <w:rPr>
          <w:color w:val="000000"/>
          <w:sz w:val="20"/>
          <w:lang w:val="lv-LV"/>
        </w:rPr>
        <w:t>076</w:t>
      </w:r>
      <w:bookmarkStart w:id="4" w:name="_GoBack"/>
      <w:bookmarkEnd w:id="4"/>
    </w:p>
    <w:p w:rsidR="00BD7ADC" w:rsidRPr="00CC6D14" w:rsidRDefault="00BD7ADC" w:rsidP="00BD7ADC">
      <w:pPr>
        <w:rPr>
          <w:sz w:val="20"/>
          <w:lang w:val="lv-LV" w:eastAsia="en-US"/>
        </w:rPr>
      </w:pPr>
      <w:r w:rsidRPr="00CC6D14">
        <w:rPr>
          <w:sz w:val="20"/>
          <w:lang w:val="lv-LV" w:eastAsia="en-US"/>
        </w:rPr>
        <w:t>S.Blumberga</w:t>
      </w:r>
    </w:p>
    <w:p w:rsidR="00210069" w:rsidRPr="004B111A" w:rsidRDefault="00BD7ADC" w:rsidP="00AF023D">
      <w:pPr>
        <w:jc w:val="both"/>
        <w:rPr>
          <w:sz w:val="20"/>
          <w:lang w:val="lv-LV"/>
        </w:rPr>
      </w:pPr>
      <w:proofErr w:type="spellStart"/>
      <w:r w:rsidRPr="00CC6D14">
        <w:rPr>
          <w:sz w:val="20"/>
          <w:lang w:val="lv-LV" w:eastAsia="en-US"/>
        </w:rPr>
        <w:t>Sanda.Blumberga</w:t>
      </w:r>
      <w:proofErr w:type="spellEnd"/>
      <w:r w:rsidDel="00BD7ADC">
        <w:rPr>
          <w:color w:val="000000"/>
          <w:sz w:val="20"/>
          <w:lang w:val="lv-LV"/>
        </w:rPr>
        <w:t xml:space="preserve"> </w:t>
      </w:r>
      <w:r w:rsidR="00210069" w:rsidRPr="004B111A">
        <w:rPr>
          <w:sz w:val="20"/>
          <w:lang w:val="lv-LV"/>
        </w:rPr>
        <w:t>@</w:t>
      </w:r>
      <w:proofErr w:type="spellStart"/>
      <w:r w:rsidR="00210069" w:rsidRPr="004B111A">
        <w:rPr>
          <w:sz w:val="20"/>
          <w:lang w:val="lv-LV"/>
        </w:rPr>
        <w:t>em.gov.lv</w:t>
      </w:r>
      <w:proofErr w:type="spellEnd"/>
    </w:p>
    <w:sectPr w:rsidR="00210069" w:rsidRPr="004B111A" w:rsidSect="009E4EDD">
      <w:headerReference w:type="default" r:id="rId8"/>
      <w:footerReference w:type="default" r:id="rId9"/>
      <w:footerReference w:type="first" r:id="rId10"/>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F3" w:rsidRDefault="00D655F3">
      <w:r>
        <w:separator/>
      </w:r>
    </w:p>
  </w:endnote>
  <w:endnote w:type="continuationSeparator" w:id="0">
    <w:p w:rsidR="00D655F3" w:rsidRDefault="00D6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6" w:rsidRPr="00861F8F" w:rsidRDefault="00F13576" w:rsidP="00861F8F">
    <w:pPr>
      <w:ind w:right="74"/>
      <w:jc w:val="both"/>
      <w:rPr>
        <w:sz w:val="20"/>
      </w:rPr>
    </w:pPr>
    <w:r w:rsidRPr="00861F8F">
      <w:rPr>
        <w:sz w:val="20"/>
      </w:rPr>
      <w:t>EMAnot_</w:t>
    </w:r>
    <w:r w:rsidR="00A42D03">
      <w:rPr>
        <w:sz w:val="20"/>
      </w:rPr>
      <w:t>2</w:t>
    </w:r>
    <w:r w:rsidR="00325F3E">
      <w:rPr>
        <w:sz w:val="20"/>
      </w:rPr>
      <w:t>9</w:t>
    </w:r>
    <w:r w:rsidR="00CC6D14">
      <w:rPr>
        <w:sz w:val="20"/>
      </w:rPr>
      <w:t>11</w:t>
    </w:r>
    <w:r w:rsidRPr="00861F8F">
      <w:rPr>
        <w:sz w:val="20"/>
      </w:rPr>
      <w:t xml:space="preserve">2013_NOR_programma; </w:t>
    </w:r>
    <w:proofErr w:type="spellStart"/>
    <w:r w:rsidRPr="00861F8F">
      <w:rPr>
        <w:sz w:val="20"/>
      </w:rPr>
      <w:t>Ministru</w:t>
    </w:r>
    <w:proofErr w:type="spellEnd"/>
    <w:r w:rsidRPr="00861F8F">
      <w:rPr>
        <w:sz w:val="20"/>
      </w:rPr>
      <w:t xml:space="preserve"> </w:t>
    </w:r>
    <w:proofErr w:type="spellStart"/>
    <w:r w:rsidRPr="00861F8F">
      <w:rPr>
        <w:sz w:val="20"/>
      </w:rPr>
      <w:t>kabineta</w:t>
    </w:r>
    <w:proofErr w:type="spellEnd"/>
    <w:r w:rsidRPr="00861F8F">
      <w:rPr>
        <w:sz w:val="20"/>
      </w:rPr>
      <w:t xml:space="preserve"> </w:t>
    </w:r>
    <w:proofErr w:type="spellStart"/>
    <w:r w:rsidRPr="00861F8F">
      <w:rPr>
        <w:sz w:val="20"/>
      </w:rPr>
      <w:t>noteikumu</w:t>
    </w:r>
    <w:proofErr w:type="spellEnd"/>
    <w:r w:rsidRPr="00861F8F">
      <w:rPr>
        <w:sz w:val="20"/>
      </w:rPr>
      <w:t xml:space="preserve"> </w:t>
    </w:r>
    <w:proofErr w:type="spellStart"/>
    <w:r w:rsidRPr="00861F8F">
      <w:rPr>
        <w:sz w:val="20"/>
      </w:rPr>
      <w:t>projekta</w:t>
    </w:r>
    <w:proofErr w:type="spellEnd"/>
    <w:r w:rsidRPr="00861F8F">
      <w:rPr>
        <w:sz w:val="20"/>
      </w:rPr>
      <w:t xml:space="preserve">  </w:t>
    </w:r>
    <w:r>
      <w:rPr>
        <w:sz w:val="20"/>
      </w:rPr>
      <w:t>“</w:t>
    </w:r>
    <w:proofErr w:type="spellStart"/>
    <w:r w:rsidRPr="00120C90">
      <w:rPr>
        <w:sz w:val="20"/>
      </w:rPr>
      <w:t>Norvēģijas</w:t>
    </w:r>
    <w:proofErr w:type="spellEnd"/>
    <w:r w:rsidRPr="00120C90">
      <w:rPr>
        <w:sz w:val="20"/>
      </w:rPr>
      <w:t xml:space="preserve"> </w:t>
    </w:r>
    <w:proofErr w:type="spellStart"/>
    <w:r w:rsidRPr="00120C90">
      <w:rPr>
        <w:sz w:val="20"/>
      </w:rPr>
      <w:t>finanšu</w:t>
    </w:r>
    <w:proofErr w:type="spellEnd"/>
    <w:r w:rsidRPr="00120C90">
      <w:rPr>
        <w:sz w:val="20"/>
      </w:rPr>
      <w:t xml:space="preserve"> </w:t>
    </w:r>
    <w:proofErr w:type="spellStart"/>
    <w:r w:rsidRPr="00120C90">
      <w:rPr>
        <w:sz w:val="20"/>
      </w:rPr>
      <w:t>instrumenta</w:t>
    </w:r>
    <w:proofErr w:type="spellEnd"/>
    <w:r w:rsidRPr="00120C90">
      <w:rPr>
        <w:sz w:val="20"/>
      </w:rPr>
      <w:t xml:space="preserve"> 2009.–2014.gada </w:t>
    </w:r>
    <w:proofErr w:type="spellStart"/>
    <w:r w:rsidRPr="00120C90">
      <w:rPr>
        <w:sz w:val="20"/>
      </w:rPr>
      <w:t>perioda</w:t>
    </w:r>
    <w:proofErr w:type="spellEnd"/>
    <w:r w:rsidRPr="00120C90">
      <w:rPr>
        <w:sz w:val="20"/>
      </w:rPr>
      <w:t xml:space="preserve"> </w:t>
    </w:r>
    <w:proofErr w:type="spellStart"/>
    <w:r w:rsidRPr="00120C90">
      <w:rPr>
        <w:sz w:val="20"/>
      </w:rPr>
      <w:t>programmas</w:t>
    </w:r>
    <w:proofErr w:type="spellEnd"/>
    <w:r w:rsidRPr="00120C90">
      <w:rPr>
        <w:sz w:val="20"/>
      </w:rPr>
      <w:t xml:space="preserve"> "</w:t>
    </w:r>
    <w:proofErr w:type="spellStart"/>
    <w:r w:rsidRPr="00120C90">
      <w:rPr>
        <w:sz w:val="20"/>
      </w:rPr>
      <w:t>Inovācijas</w:t>
    </w:r>
    <w:proofErr w:type="spellEnd"/>
    <w:r w:rsidRPr="00120C90">
      <w:rPr>
        <w:sz w:val="20"/>
      </w:rPr>
      <w:t xml:space="preserve"> "</w:t>
    </w:r>
    <w:proofErr w:type="spellStart"/>
    <w:r w:rsidRPr="00120C90">
      <w:rPr>
        <w:sz w:val="20"/>
      </w:rPr>
      <w:t>zaļās</w:t>
    </w:r>
    <w:proofErr w:type="spellEnd"/>
    <w:r w:rsidRPr="00120C90">
      <w:rPr>
        <w:sz w:val="20"/>
      </w:rPr>
      <w:t xml:space="preserve">" </w:t>
    </w:r>
    <w:proofErr w:type="spellStart"/>
    <w:r w:rsidRPr="00120C90">
      <w:rPr>
        <w:sz w:val="20"/>
      </w:rPr>
      <w:t>ražošanas</w:t>
    </w:r>
    <w:proofErr w:type="spellEnd"/>
    <w:r w:rsidRPr="00120C90">
      <w:rPr>
        <w:sz w:val="20"/>
      </w:rPr>
      <w:t xml:space="preserve"> </w:t>
    </w:r>
    <w:proofErr w:type="spellStart"/>
    <w:r w:rsidRPr="00120C90">
      <w:rPr>
        <w:sz w:val="20"/>
      </w:rPr>
      <w:t>jomā</w:t>
    </w:r>
    <w:proofErr w:type="spellEnd"/>
    <w:r w:rsidRPr="00120C90">
      <w:rPr>
        <w:sz w:val="20"/>
      </w:rPr>
      <w:t xml:space="preserve">" </w:t>
    </w:r>
    <w:proofErr w:type="spellStart"/>
    <w:r w:rsidRPr="00120C90">
      <w:rPr>
        <w:sz w:val="20"/>
      </w:rPr>
      <w:t>atklāta</w:t>
    </w:r>
    <w:proofErr w:type="spellEnd"/>
    <w:r w:rsidRPr="00120C90">
      <w:rPr>
        <w:sz w:val="20"/>
      </w:rPr>
      <w:t xml:space="preserve"> </w:t>
    </w:r>
    <w:proofErr w:type="spellStart"/>
    <w:r w:rsidRPr="00120C90">
      <w:rPr>
        <w:sz w:val="20"/>
      </w:rPr>
      <w:t>projektu</w:t>
    </w:r>
    <w:proofErr w:type="spellEnd"/>
    <w:r w:rsidRPr="00120C90">
      <w:rPr>
        <w:sz w:val="20"/>
      </w:rPr>
      <w:t xml:space="preserve"> </w:t>
    </w:r>
    <w:proofErr w:type="spellStart"/>
    <w:r w:rsidRPr="00120C90">
      <w:rPr>
        <w:sz w:val="20"/>
      </w:rPr>
      <w:t>konkursa</w:t>
    </w:r>
    <w:proofErr w:type="spellEnd"/>
    <w:r w:rsidRPr="00120C90">
      <w:rPr>
        <w:sz w:val="20"/>
      </w:rPr>
      <w:t xml:space="preserve"> </w:t>
    </w:r>
    <w:proofErr w:type="spellStart"/>
    <w:r w:rsidRPr="00120C90">
      <w:rPr>
        <w:sz w:val="20"/>
      </w:rPr>
      <w:t>īstenošanas</w:t>
    </w:r>
    <w:proofErr w:type="spellEnd"/>
    <w:r w:rsidRPr="00120C90">
      <w:rPr>
        <w:sz w:val="20"/>
      </w:rPr>
      <w:t xml:space="preserve"> </w:t>
    </w:r>
    <w:proofErr w:type="spellStart"/>
    <w:r w:rsidRPr="00120C90">
      <w:rPr>
        <w:sz w:val="20"/>
      </w:rPr>
      <w:t>kārtība</w:t>
    </w:r>
    <w:proofErr w:type="spellEnd"/>
    <w:r w:rsidRPr="00861F8F">
      <w:rPr>
        <w:sz w:val="20"/>
      </w:rPr>
      <w:t xml:space="preserve">” </w:t>
    </w:r>
    <w:proofErr w:type="spellStart"/>
    <w:r w:rsidRPr="00861F8F">
      <w:rPr>
        <w:sz w:val="20"/>
      </w:rPr>
      <w:t>sākotnējās</w:t>
    </w:r>
    <w:proofErr w:type="spellEnd"/>
    <w:r w:rsidRPr="00861F8F">
      <w:rPr>
        <w:sz w:val="20"/>
      </w:rPr>
      <w:t xml:space="preserve"> </w:t>
    </w:r>
    <w:proofErr w:type="spellStart"/>
    <w:r w:rsidRPr="00861F8F">
      <w:rPr>
        <w:sz w:val="20"/>
      </w:rPr>
      <w:t>ietekmes</w:t>
    </w:r>
    <w:proofErr w:type="spellEnd"/>
    <w:r w:rsidRPr="00861F8F">
      <w:rPr>
        <w:sz w:val="20"/>
      </w:rPr>
      <w:t xml:space="preserve"> </w:t>
    </w:r>
    <w:proofErr w:type="spellStart"/>
    <w:r w:rsidRPr="00861F8F">
      <w:rPr>
        <w:sz w:val="20"/>
      </w:rPr>
      <w:t>novērtējuma</w:t>
    </w:r>
    <w:proofErr w:type="spellEnd"/>
    <w:r w:rsidRPr="00861F8F">
      <w:rPr>
        <w:sz w:val="20"/>
      </w:rPr>
      <w:t xml:space="preserve"> </w:t>
    </w:r>
    <w:proofErr w:type="spellStart"/>
    <w:r w:rsidRPr="00861F8F">
      <w:rPr>
        <w:sz w:val="20"/>
      </w:rPr>
      <w:t>ziņojums</w:t>
    </w:r>
    <w:proofErr w:type="spellEnd"/>
    <w:r w:rsidRPr="00861F8F">
      <w:rPr>
        <w:sz w:val="20"/>
      </w:rPr>
      <w:t xml:space="preserve"> (</w:t>
    </w:r>
    <w:proofErr w:type="spellStart"/>
    <w:r w:rsidRPr="00861F8F">
      <w:rPr>
        <w:sz w:val="20"/>
      </w:rPr>
      <w:t>anotācija</w:t>
    </w:r>
    <w:proofErr w:type="spellEnd"/>
    <w:r>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6" w:rsidRPr="00D623B7" w:rsidRDefault="00F13576" w:rsidP="00D623B7">
    <w:pPr>
      <w:ind w:right="74"/>
      <w:jc w:val="both"/>
      <w:rPr>
        <w:sz w:val="20"/>
      </w:rPr>
    </w:pPr>
    <w:r w:rsidRPr="00D623B7">
      <w:rPr>
        <w:sz w:val="20"/>
      </w:rPr>
      <w:t>EMAnot_</w:t>
    </w:r>
    <w:r w:rsidR="00A42D03">
      <w:rPr>
        <w:sz w:val="20"/>
      </w:rPr>
      <w:t>2</w:t>
    </w:r>
    <w:r w:rsidR="00325F3E">
      <w:rPr>
        <w:sz w:val="20"/>
      </w:rPr>
      <w:t>9</w:t>
    </w:r>
    <w:r w:rsidR="003366A0">
      <w:rPr>
        <w:sz w:val="20"/>
      </w:rPr>
      <w:t>11</w:t>
    </w:r>
    <w:r w:rsidRPr="00D623B7">
      <w:rPr>
        <w:sz w:val="20"/>
      </w:rPr>
      <w:t xml:space="preserve">2013_NOR_programma; </w:t>
    </w:r>
    <w:proofErr w:type="spellStart"/>
    <w:r w:rsidRPr="00D623B7">
      <w:rPr>
        <w:sz w:val="20"/>
      </w:rPr>
      <w:t>Ministru</w:t>
    </w:r>
    <w:proofErr w:type="spellEnd"/>
    <w:r w:rsidRPr="00D623B7">
      <w:rPr>
        <w:sz w:val="20"/>
      </w:rPr>
      <w:t xml:space="preserve"> </w:t>
    </w:r>
    <w:proofErr w:type="spellStart"/>
    <w:r w:rsidRPr="00D623B7">
      <w:rPr>
        <w:sz w:val="20"/>
      </w:rPr>
      <w:t>kabineta</w:t>
    </w:r>
    <w:proofErr w:type="spellEnd"/>
    <w:r w:rsidRPr="00D623B7">
      <w:rPr>
        <w:sz w:val="20"/>
      </w:rPr>
      <w:t xml:space="preserve"> </w:t>
    </w:r>
    <w:proofErr w:type="spellStart"/>
    <w:r w:rsidRPr="00D623B7">
      <w:rPr>
        <w:sz w:val="20"/>
      </w:rPr>
      <w:t>noteikumu</w:t>
    </w:r>
    <w:proofErr w:type="spellEnd"/>
    <w:r w:rsidRPr="00D623B7">
      <w:rPr>
        <w:sz w:val="20"/>
      </w:rPr>
      <w:t xml:space="preserve"> </w:t>
    </w:r>
    <w:proofErr w:type="spellStart"/>
    <w:r w:rsidRPr="00D623B7">
      <w:rPr>
        <w:sz w:val="20"/>
      </w:rPr>
      <w:t>projekta</w:t>
    </w:r>
    <w:proofErr w:type="spellEnd"/>
    <w:r w:rsidRPr="00D623B7">
      <w:rPr>
        <w:sz w:val="20"/>
      </w:rPr>
      <w:t xml:space="preserve"> „</w:t>
    </w:r>
    <w:r w:rsidRPr="00120C90">
      <w:t xml:space="preserve"> </w:t>
    </w:r>
    <w:proofErr w:type="spellStart"/>
    <w:r w:rsidRPr="00120C90">
      <w:rPr>
        <w:sz w:val="20"/>
      </w:rPr>
      <w:t>Norvēģijas</w:t>
    </w:r>
    <w:proofErr w:type="spellEnd"/>
    <w:r w:rsidRPr="00120C90">
      <w:rPr>
        <w:sz w:val="20"/>
      </w:rPr>
      <w:t xml:space="preserve"> </w:t>
    </w:r>
    <w:proofErr w:type="spellStart"/>
    <w:r w:rsidRPr="00120C90">
      <w:rPr>
        <w:sz w:val="20"/>
      </w:rPr>
      <w:t>finanšu</w:t>
    </w:r>
    <w:proofErr w:type="spellEnd"/>
    <w:r w:rsidRPr="00120C90">
      <w:rPr>
        <w:sz w:val="20"/>
      </w:rPr>
      <w:t xml:space="preserve"> </w:t>
    </w:r>
    <w:proofErr w:type="spellStart"/>
    <w:r w:rsidRPr="00120C90">
      <w:rPr>
        <w:sz w:val="20"/>
      </w:rPr>
      <w:t>instrumenta</w:t>
    </w:r>
    <w:proofErr w:type="spellEnd"/>
    <w:r w:rsidRPr="00120C90">
      <w:rPr>
        <w:sz w:val="20"/>
      </w:rPr>
      <w:t xml:space="preserve"> 2009.–2014.gada </w:t>
    </w:r>
    <w:proofErr w:type="spellStart"/>
    <w:r w:rsidRPr="00120C90">
      <w:rPr>
        <w:sz w:val="20"/>
      </w:rPr>
      <w:t>perioda</w:t>
    </w:r>
    <w:proofErr w:type="spellEnd"/>
    <w:r w:rsidRPr="00120C90">
      <w:rPr>
        <w:sz w:val="20"/>
      </w:rPr>
      <w:t xml:space="preserve"> </w:t>
    </w:r>
    <w:proofErr w:type="spellStart"/>
    <w:r w:rsidRPr="00120C90">
      <w:rPr>
        <w:sz w:val="20"/>
      </w:rPr>
      <w:t>programmas</w:t>
    </w:r>
    <w:proofErr w:type="spellEnd"/>
    <w:r w:rsidRPr="00120C90">
      <w:rPr>
        <w:sz w:val="20"/>
      </w:rPr>
      <w:t xml:space="preserve"> "</w:t>
    </w:r>
    <w:proofErr w:type="spellStart"/>
    <w:r w:rsidRPr="00120C90">
      <w:rPr>
        <w:sz w:val="20"/>
      </w:rPr>
      <w:t>Inovācijas</w:t>
    </w:r>
    <w:proofErr w:type="spellEnd"/>
    <w:r w:rsidRPr="00120C90">
      <w:rPr>
        <w:sz w:val="20"/>
      </w:rPr>
      <w:t xml:space="preserve"> "</w:t>
    </w:r>
    <w:proofErr w:type="spellStart"/>
    <w:r w:rsidRPr="00120C90">
      <w:rPr>
        <w:sz w:val="20"/>
      </w:rPr>
      <w:t>zaļās</w:t>
    </w:r>
    <w:proofErr w:type="spellEnd"/>
    <w:r w:rsidRPr="00120C90">
      <w:rPr>
        <w:sz w:val="20"/>
      </w:rPr>
      <w:t xml:space="preserve">" </w:t>
    </w:r>
    <w:proofErr w:type="spellStart"/>
    <w:r w:rsidRPr="00120C90">
      <w:rPr>
        <w:sz w:val="20"/>
      </w:rPr>
      <w:t>ražošanas</w:t>
    </w:r>
    <w:proofErr w:type="spellEnd"/>
    <w:r w:rsidRPr="00120C90">
      <w:rPr>
        <w:sz w:val="20"/>
      </w:rPr>
      <w:t xml:space="preserve"> </w:t>
    </w:r>
    <w:proofErr w:type="spellStart"/>
    <w:r w:rsidRPr="00120C90">
      <w:rPr>
        <w:sz w:val="20"/>
      </w:rPr>
      <w:t>jomā</w:t>
    </w:r>
    <w:proofErr w:type="spellEnd"/>
    <w:r w:rsidRPr="00120C90">
      <w:rPr>
        <w:sz w:val="20"/>
      </w:rPr>
      <w:t xml:space="preserve">" </w:t>
    </w:r>
    <w:proofErr w:type="spellStart"/>
    <w:r w:rsidRPr="00120C90">
      <w:rPr>
        <w:sz w:val="20"/>
      </w:rPr>
      <w:t>atklāta</w:t>
    </w:r>
    <w:proofErr w:type="spellEnd"/>
    <w:r w:rsidRPr="00120C90">
      <w:rPr>
        <w:sz w:val="20"/>
      </w:rPr>
      <w:t xml:space="preserve"> </w:t>
    </w:r>
    <w:proofErr w:type="spellStart"/>
    <w:r w:rsidRPr="00120C90">
      <w:rPr>
        <w:sz w:val="20"/>
      </w:rPr>
      <w:t>projektu</w:t>
    </w:r>
    <w:proofErr w:type="spellEnd"/>
    <w:r w:rsidRPr="00120C90">
      <w:rPr>
        <w:sz w:val="20"/>
      </w:rPr>
      <w:t xml:space="preserve"> </w:t>
    </w:r>
    <w:proofErr w:type="spellStart"/>
    <w:r w:rsidRPr="00120C90">
      <w:rPr>
        <w:sz w:val="20"/>
      </w:rPr>
      <w:t>konkursa</w:t>
    </w:r>
    <w:proofErr w:type="spellEnd"/>
    <w:r w:rsidRPr="00120C90">
      <w:rPr>
        <w:sz w:val="20"/>
      </w:rPr>
      <w:t xml:space="preserve"> </w:t>
    </w:r>
    <w:proofErr w:type="spellStart"/>
    <w:r w:rsidRPr="00120C90">
      <w:rPr>
        <w:sz w:val="20"/>
      </w:rPr>
      <w:t>īstenošanas</w:t>
    </w:r>
    <w:proofErr w:type="spellEnd"/>
    <w:r w:rsidRPr="00120C90">
      <w:rPr>
        <w:sz w:val="20"/>
      </w:rPr>
      <w:t xml:space="preserve"> </w:t>
    </w:r>
    <w:proofErr w:type="spellStart"/>
    <w:r w:rsidRPr="00120C90">
      <w:rPr>
        <w:sz w:val="20"/>
      </w:rPr>
      <w:t>kārtība</w:t>
    </w:r>
    <w:proofErr w:type="spellEnd"/>
    <w:r w:rsidRPr="00D623B7">
      <w:rPr>
        <w:sz w:val="20"/>
      </w:rPr>
      <w:t xml:space="preserve">” </w:t>
    </w:r>
    <w:proofErr w:type="spellStart"/>
    <w:r w:rsidRPr="00D623B7">
      <w:rPr>
        <w:sz w:val="20"/>
      </w:rPr>
      <w:t>sākotnējās</w:t>
    </w:r>
    <w:proofErr w:type="spellEnd"/>
    <w:r w:rsidRPr="00D623B7">
      <w:rPr>
        <w:sz w:val="20"/>
      </w:rPr>
      <w:t xml:space="preserve"> </w:t>
    </w:r>
    <w:proofErr w:type="spellStart"/>
    <w:r w:rsidRPr="00D623B7">
      <w:rPr>
        <w:sz w:val="20"/>
      </w:rPr>
      <w:t>ietekmes</w:t>
    </w:r>
    <w:proofErr w:type="spellEnd"/>
    <w:r w:rsidRPr="00D623B7">
      <w:rPr>
        <w:sz w:val="20"/>
      </w:rPr>
      <w:t xml:space="preserve"> </w:t>
    </w:r>
    <w:proofErr w:type="spellStart"/>
    <w:r w:rsidRPr="00D623B7">
      <w:rPr>
        <w:sz w:val="20"/>
      </w:rPr>
      <w:t>novērtējuma</w:t>
    </w:r>
    <w:proofErr w:type="spellEnd"/>
    <w:r w:rsidRPr="00D623B7">
      <w:rPr>
        <w:sz w:val="20"/>
      </w:rPr>
      <w:t xml:space="preserve"> </w:t>
    </w:r>
    <w:proofErr w:type="spellStart"/>
    <w:r w:rsidRPr="00D623B7">
      <w:rPr>
        <w:sz w:val="20"/>
      </w:rPr>
      <w:t>ziņojums</w:t>
    </w:r>
    <w:proofErr w:type="spellEnd"/>
    <w:r w:rsidRPr="00D623B7">
      <w:rPr>
        <w:sz w:val="20"/>
      </w:rPr>
      <w:t xml:space="preserve"> (</w:t>
    </w:r>
    <w:proofErr w:type="spellStart"/>
    <w:r w:rsidRPr="00D623B7">
      <w:rPr>
        <w:sz w:val="20"/>
      </w:rPr>
      <w:t>anotācija</w:t>
    </w:r>
    <w:proofErr w:type="spellEnd"/>
    <w:r w:rsidRPr="00D623B7">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F3" w:rsidRDefault="00D655F3">
      <w:r>
        <w:separator/>
      </w:r>
    </w:p>
  </w:footnote>
  <w:footnote w:type="continuationSeparator" w:id="0">
    <w:p w:rsidR="00D655F3" w:rsidRDefault="00D65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6" w:rsidRDefault="00F13576">
    <w:pPr>
      <w:pStyle w:val="Head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6A7C4E">
      <w:rPr>
        <w:rFonts w:ascii="Times New Roman" w:hAnsi="Times New Roman"/>
        <w:noProof/>
        <w:sz w:val="24"/>
      </w:rPr>
      <w:t>15</w:t>
    </w:r>
    <w:r>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A3198"/>
    <w:multiLevelType w:val="multilevel"/>
    <w:tmpl w:val="87149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7DC2"/>
    <w:rsid w:val="00002692"/>
    <w:rsid w:val="00014ABD"/>
    <w:rsid w:val="00016FD6"/>
    <w:rsid w:val="00024C41"/>
    <w:rsid w:val="0002715E"/>
    <w:rsid w:val="0003151D"/>
    <w:rsid w:val="00031562"/>
    <w:rsid w:val="00033580"/>
    <w:rsid w:val="00041B7B"/>
    <w:rsid w:val="00044983"/>
    <w:rsid w:val="00046C6D"/>
    <w:rsid w:val="000502E6"/>
    <w:rsid w:val="000540D2"/>
    <w:rsid w:val="0005594A"/>
    <w:rsid w:val="00056F82"/>
    <w:rsid w:val="00066186"/>
    <w:rsid w:val="0007371C"/>
    <w:rsid w:val="00073D65"/>
    <w:rsid w:val="00074DD0"/>
    <w:rsid w:val="000751FF"/>
    <w:rsid w:val="00075889"/>
    <w:rsid w:val="000838BC"/>
    <w:rsid w:val="00091867"/>
    <w:rsid w:val="000966DA"/>
    <w:rsid w:val="00096A6E"/>
    <w:rsid w:val="000A51F6"/>
    <w:rsid w:val="000A53B5"/>
    <w:rsid w:val="000A579C"/>
    <w:rsid w:val="000A7BFE"/>
    <w:rsid w:val="000B1D49"/>
    <w:rsid w:val="000B3FA5"/>
    <w:rsid w:val="000B5824"/>
    <w:rsid w:val="000D2AA5"/>
    <w:rsid w:val="000F4002"/>
    <w:rsid w:val="00101B38"/>
    <w:rsid w:val="0010696E"/>
    <w:rsid w:val="00110A09"/>
    <w:rsid w:val="001172AC"/>
    <w:rsid w:val="00120876"/>
    <w:rsid w:val="00120C90"/>
    <w:rsid w:val="00123863"/>
    <w:rsid w:val="00124C56"/>
    <w:rsid w:val="00125AF0"/>
    <w:rsid w:val="00127A7F"/>
    <w:rsid w:val="00132325"/>
    <w:rsid w:val="00132AFC"/>
    <w:rsid w:val="0013528A"/>
    <w:rsid w:val="00141075"/>
    <w:rsid w:val="0014576D"/>
    <w:rsid w:val="00151378"/>
    <w:rsid w:val="001516D2"/>
    <w:rsid w:val="0015728B"/>
    <w:rsid w:val="001619B6"/>
    <w:rsid w:val="00165CDF"/>
    <w:rsid w:val="00166844"/>
    <w:rsid w:val="001765D4"/>
    <w:rsid w:val="001849A1"/>
    <w:rsid w:val="00185D87"/>
    <w:rsid w:val="0018623A"/>
    <w:rsid w:val="00192EF1"/>
    <w:rsid w:val="00196940"/>
    <w:rsid w:val="001A4937"/>
    <w:rsid w:val="001B1B8F"/>
    <w:rsid w:val="001B2FDE"/>
    <w:rsid w:val="001B3EB1"/>
    <w:rsid w:val="001C4887"/>
    <w:rsid w:val="001D1332"/>
    <w:rsid w:val="001D28A8"/>
    <w:rsid w:val="001D5DE7"/>
    <w:rsid w:val="001D5F20"/>
    <w:rsid w:val="001D7A19"/>
    <w:rsid w:val="001E0483"/>
    <w:rsid w:val="001F23A9"/>
    <w:rsid w:val="001F6642"/>
    <w:rsid w:val="001F7874"/>
    <w:rsid w:val="00200CB1"/>
    <w:rsid w:val="00201131"/>
    <w:rsid w:val="0020267C"/>
    <w:rsid w:val="002032D1"/>
    <w:rsid w:val="00210069"/>
    <w:rsid w:val="00210ED7"/>
    <w:rsid w:val="00215C09"/>
    <w:rsid w:val="0022101E"/>
    <w:rsid w:val="00222F69"/>
    <w:rsid w:val="00237146"/>
    <w:rsid w:val="002371EC"/>
    <w:rsid w:val="00250D48"/>
    <w:rsid w:val="0025234B"/>
    <w:rsid w:val="002538E7"/>
    <w:rsid w:val="00260CB5"/>
    <w:rsid w:val="002640CF"/>
    <w:rsid w:val="002661F7"/>
    <w:rsid w:val="0027264D"/>
    <w:rsid w:val="0028282B"/>
    <w:rsid w:val="002855AF"/>
    <w:rsid w:val="00285C72"/>
    <w:rsid w:val="00286A7C"/>
    <w:rsid w:val="00292565"/>
    <w:rsid w:val="00296DF1"/>
    <w:rsid w:val="002A3CCA"/>
    <w:rsid w:val="002A7DFB"/>
    <w:rsid w:val="002B4EF6"/>
    <w:rsid w:val="002C7B46"/>
    <w:rsid w:val="002D68E9"/>
    <w:rsid w:val="002E47C8"/>
    <w:rsid w:val="002F1304"/>
    <w:rsid w:val="002F307B"/>
    <w:rsid w:val="002F59CD"/>
    <w:rsid w:val="002F5A8E"/>
    <w:rsid w:val="00301B98"/>
    <w:rsid w:val="00302A6A"/>
    <w:rsid w:val="003051A4"/>
    <w:rsid w:val="0031022E"/>
    <w:rsid w:val="00310970"/>
    <w:rsid w:val="00312D4E"/>
    <w:rsid w:val="00320389"/>
    <w:rsid w:val="00325F3E"/>
    <w:rsid w:val="00326378"/>
    <w:rsid w:val="00327F90"/>
    <w:rsid w:val="00332E30"/>
    <w:rsid w:val="003352D7"/>
    <w:rsid w:val="003366A0"/>
    <w:rsid w:val="00340C6E"/>
    <w:rsid w:val="003455D4"/>
    <w:rsid w:val="0034673E"/>
    <w:rsid w:val="00352361"/>
    <w:rsid w:val="00357439"/>
    <w:rsid w:val="003608D8"/>
    <w:rsid w:val="00367E35"/>
    <w:rsid w:val="00370114"/>
    <w:rsid w:val="00375704"/>
    <w:rsid w:val="00380DA5"/>
    <w:rsid w:val="00381DF2"/>
    <w:rsid w:val="0039234E"/>
    <w:rsid w:val="00392F9D"/>
    <w:rsid w:val="00393987"/>
    <w:rsid w:val="003A1D10"/>
    <w:rsid w:val="003A3DE7"/>
    <w:rsid w:val="003A7DF6"/>
    <w:rsid w:val="003B0193"/>
    <w:rsid w:val="003B21DE"/>
    <w:rsid w:val="003B47D9"/>
    <w:rsid w:val="003C274A"/>
    <w:rsid w:val="003D015B"/>
    <w:rsid w:val="003D4A69"/>
    <w:rsid w:val="003D596B"/>
    <w:rsid w:val="003D6706"/>
    <w:rsid w:val="003E448B"/>
    <w:rsid w:val="003F427B"/>
    <w:rsid w:val="00412B9E"/>
    <w:rsid w:val="004136A9"/>
    <w:rsid w:val="00414C8B"/>
    <w:rsid w:val="004169F2"/>
    <w:rsid w:val="00421DBB"/>
    <w:rsid w:val="0042287B"/>
    <w:rsid w:val="004347AB"/>
    <w:rsid w:val="00435D4D"/>
    <w:rsid w:val="00450506"/>
    <w:rsid w:val="00450A8A"/>
    <w:rsid w:val="00457DC2"/>
    <w:rsid w:val="004636D5"/>
    <w:rsid w:val="00464FB2"/>
    <w:rsid w:val="0046589E"/>
    <w:rsid w:val="00473B3B"/>
    <w:rsid w:val="0048197B"/>
    <w:rsid w:val="0049090D"/>
    <w:rsid w:val="00490D53"/>
    <w:rsid w:val="00492CFC"/>
    <w:rsid w:val="004936B4"/>
    <w:rsid w:val="00496978"/>
    <w:rsid w:val="004A0AA2"/>
    <w:rsid w:val="004A0E68"/>
    <w:rsid w:val="004A2838"/>
    <w:rsid w:val="004B10CA"/>
    <w:rsid w:val="004B111A"/>
    <w:rsid w:val="004B13AF"/>
    <w:rsid w:val="004B1412"/>
    <w:rsid w:val="004B156A"/>
    <w:rsid w:val="004B1DB4"/>
    <w:rsid w:val="004B20C5"/>
    <w:rsid w:val="004B365F"/>
    <w:rsid w:val="004B602E"/>
    <w:rsid w:val="004B65BF"/>
    <w:rsid w:val="004B6CCD"/>
    <w:rsid w:val="004C4497"/>
    <w:rsid w:val="004D0762"/>
    <w:rsid w:val="004D6418"/>
    <w:rsid w:val="004E2C3B"/>
    <w:rsid w:val="004E391D"/>
    <w:rsid w:val="004E5FFD"/>
    <w:rsid w:val="004E63A7"/>
    <w:rsid w:val="004E7656"/>
    <w:rsid w:val="004F44D4"/>
    <w:rsid w:val="004F4F5C"/>
    <w:rsid w:val="005045C2"/>
    <w:rsid w:val="00504880"/>
    <w:rsid w:val="0050688A"/>
    <w:rsid w:val="005078BD"/>
    <w:rsid w:val="005219B4"/>
    <w:rsid w:val="00523722"/>
    <w:rsid w:val="00524B73"/>
    <w:rsid w:val="00527814"/>
    <w:rsid w:val="00531919"/>
    <w:rsid w:val="005406A5"/>
    <w:rsid w:val="00551BFB"/>
    <w:rsid w:val="00552A77"/>
    <w:rsid w:val="005608DB"/>
    <w:rsid w:val="005631A6"/>
    <w:rsid w:val="00563FAF"/>
    <w:rsid w:val="00565A5E"/>
    <w:rsid w:val="00565E78"/>
    <w:rsid w:val="00572766"/>
    <w:rsid w:val="00581ADC"/>
    <w:rsid w:val="00582354"/>
    <w:rsid w:val="00582C19"/>
    <w:rsid w:val="00587E5F"/>
    <w:rsid w:val="005972B8"/>
    <w:rsid w:val="00597308"/>
    <w:rsid w:val="005A6170"/>
    <w:rsid w:val="005A6D21"/>
    <w:rsid w:val="005A72B4"/>
    <w:rsid w:val="005B3CD4"/>
    <w:rsid w:val="005B6BE5"/>
    <w:rsid w:val="005C1E42"/>
    <w:rsid w:val="005C2206"/>
    <w:rsid w:val="005C4371"/>
    <w:rsid w:val="005D0722"/>
    <w:rsid w:val="005E01DC"/>
    <w:rsid w:val="005E3D5B"/>
    <w:rsid w:val="005E4320"/>
    <w:rsid w:val="005E69B9"/>
    <w:rsid w:val="005F0995"/>
    <w:rsid w:val="00600702"/>
    <w:rsid w:val="00610707"/>
    <w:rsid w:val="00610A7C"/>
    <w:rsid w:val="006136BE"/>
    <w:rsid w:val="0061780A"/>
    <w:rsid w:val="00632F16"/>
    <w:rsid w:val="0064483A"/>
    <w:rsid w:val="00646F3A"/>
    <w:rsid w:val="0065502F"/>
    <w:rsid w:val="006603F4"/>
    <w:rsid w:val="00661660"/>
    <w:rsid w:val="0066276A"/>
    <w:rsid w:val="0066668C"/>
    <w:rsid w:val="00666F23"/>
    <w:rsid w:val="00667875"/>
    <w:rsid w:val="00670A29"/>
    <w:rsid w:val="0067760A"/>
    <w:rsid w:val="006841DE"/>
    <w:rsid w:val="00684B42"/>
    <w:rsid w:val="006850F3"/>
    <w:rsid w:val="0068758A"/>
    <w:rsid w:val="006941FA"/>
    <w:rsid w:val="00694E2C"/>
    <w:rsid w:val="006A4E97"/>
    <w:rsid w:val="006A7C4E"/>
    <w:rsid w:val="006B0D0A"/>
    <w:rsid w:val="006B7FA6"/>
    <w:rsid w:val="006C08FC"/>
    <w:rsid w:val="006C1AB2"/>
    <w:rsid w:val="006C352A"/>
    <w:rsid w:val="006C62A8"/>
    <w:rsid w:val="006D01C3"/>
    <w:rsid w:val="006D221C"/>
    <w:rsid w:val="006D63CB"/>
    <w:rsid w:val="006D64F1"/>
    <w:rsid w:val="006D7018"/>
    <w:rsid w:val="006E3DFE"/>
    <w:rsid w:val="006E4342"/>
    <w:rsid w:val="006E525D"/>
    <w:rsid w:val="006E574E"/>
    <w:rsid w:val="006F1902"/>
    <w:rsid w:val="006F3196"/>
    <w:rsid w:val="006F4956"/>
    <w:rsid w:val="00705E54"/>
    <w:rsid w:val="0071126F"/>
    <w:rsid w:val="007125CF"/>
    <w:rsid w:val="00714CC9"/>
    <w:rsid w:val="00715B51"/>
    <w:rsid w:val="00724CA8"/>
    <w:rsid w:val="00726E9E"/>
    <w:rsid w:val="007276C2"/>
    <w:rsid w:val="00734EBA"/>
    <w:rsid w:val="00736A9D"/>
    <w:rsid w:val="00752C63"/>
    <w:rsid w:val="007532BC"/>
    <w:rsid w:val="00760981"/>
    <w:rsid w:val="0076642A"/>
    <w:rsid w:val="00782AB3"/>
    <w:rsid w:val="007A46B3"/>
    <w:rsid w:val="007B34E2"/>
    <w:rsid w:val="007B41A8"/>
    <w:rsid w:val="007C0379"/>
    <w:rsid w:val="007C17A0"/>
    <w:rsid w:val="007C1E40"/>
    <w:rsid w:val="007D1F9D"/>
    <w:rsid w:val="007D561E"/>
    <w:rsid w:val="007D5E99"/>
    <w:rsid w:val="007D7F03"/>
    <w:rsid w:val="007E13F2"/>
    <w:rsid w:val="007E4710"/>
    <w:rsid w:val="007E4FD3"/>
    <w:rsid w:val="007F14BA"/>
    <w:rsid w:val="007F3E96"/>
    <w:rsid w:val="007F63E2"/>
    <w:rsid w:val="008041BF"/>
    <w:rsid w:val="00812DD3"/>
    <w:rsid w:val="008157A8"/>
    <w:rsid w:val="0081599F"/>
    <w:rsid w:val="00817A17"/>
    <w:rsid w:val="00824428"/>
    <w:rsid w:val="00824875"/>
    <w:rsid w:val="008251AB"/>
    <w:rsid w:val="00832D4E"/>
    <w:rsid w:val="00834450"/>
    <w:rsid w:val="00835AEF"/>
    <w:rsid w:val="00837B23"/>
    <w:rsid w:val="00841F3D"/>
    <w:rsid w:val="0084375F"/>
    <w:rsid w:val="0084434D"/>
    <w:rsid w:val="008521E5"/>
    <w:rsid w:val="0085432B"/>
    <w:rsid w:val="0085498B"/>
    <w:rsid w:val="00861F8F"/>
    <w:rsid w:val="00866E8A"/>
    <w:rsid w:val="00867AC5"/>
    <w:rsid w:val="00874A51"/>
    <w:rsid w:val="0087512B"/>
    <w:rsid w:val="00875299"/>
    <w:rsid w:val="008928B7"/>
    <w:rsid w:val="00892D58"/>
    <w:rsid w:val="008A073C"/>
    <w:rsid w:val="008A184B"/>
    <w:rsid w:val="008A2003"/>
    <w:rsid w:val="008A27A6"/>
    <w:rsid w:val="008A2931"/>
    <w:rsid w:val="008A5714"/>
    <w:rsid w:val="008A6677"/>
    <w:rsid w:val="008A75DF"/>
    <w:rsid w:val="008B03E7"/>
    <w:rsid w:val="008B0E76"/>
    <w:rsid w:val="008B2C6E"/>
    <w:rsid w:val="008B49C5"/>
    <w:rsid w:val="008C1353"/>
    <w:rsid w:val="008C2B77"/>
    <w:rsid w:val="008C31AD"/>
    <w:rsid w:val="008D0802"/>
    <w:rsid w:val="008D2D07"/>
    <w:rsid w:val="008D33B1"/>
    <w:rsid w:val="008E2194"/>
    <w:rsid w:val="008E41BA"/>
    <w:rsid w:val="008F0FD6"/>
    <w:rsid w:val="008F1F95"/>
    <w:rsid w:val="008F291D"/>
    <w:rsid w:val="009000CB"/>
    <w:rsid w:val="00907325"/>
    <w:rsid w:val="0090745B"/>
    <w:rsid w:val="00912253"/>
    <w:rsid w:val="00914DEA"/>
    <w:rsid w:val="00921A57"/>
    <w:rsid w:val="009241CF"/>
    <w:rsid w:val="0092675F"/>
    <w:rsid w:val="00930A2F"/>
    <w:rsid w:val="009500B2"/>
    <w:rsid w:val="009624D8"/>
    <w:rsid w:val="00964DD8"/>
    <w:rsid w:val="00976D1F"/>
    <w:rsid w:val="009846D3"/>
    <w:rsid w:val="00987078"/>
    <w:rsid w:val="00996070"/>
    <w:rsid w:val="009A0FB1"/>
    <w:rsid w:val="009A37F5"/>
    <w:rsid w:val="009A5FCE"/>
    <w:rsid w:val="009B0745"/>
    <w:rsid w:val="009B0C27"/>
    <w:rsid w:val="009B325C"/>
    <w:rsid w:val="009B6C96"/>
    <w:rsid w:val="009B7D31"/>
    <w:rsid w:val="009C7444"/>
    <w:rsid w:val="009D1E94"/>
    <w:rsid w:val="009D4549"/>
    <w:rsid w:val="009D6179"/>
    <w:rsid w:val="009D6B34"/>
    <w:rsid w:val="009D72A4"/>
    <w:rsid w:val="009E1111"/>
    <w:rsid w:val="009E2CD2"/>
    <w:rsid w:val="009E4EDD"/>
    <w:rsid w:val="009F06BA"/>
    <w:rsid w:val="009F3AF5"/>
    <w:rsid w:val="009F408D"/>
    <w:rsid w:val="009F634F"/>
    <w:rsid w:val="00A0754A"/>
    <w:rsid w:val="00A144D7"/>
    <w:rsid w:val="00A209C3"/>
    <w:rsid w:val="00A25335"/>
    <w:rsid w:val="00A32744"/>
    <w:rsid w:val="00A411EC"/>
    <w:rsid w:val="00A42D03"/>
    <w:rsid w:val="00A44141"/>
    <w:rsid w:val="00A46CA7"/>
    <w:rsid w:val="00A472D4"/>
    <w:rsid w:val="00A52467"/>
    <w:rsid w:val="00A540FF"/>
    <w:rsid w:val="00A55B1B"/>
    <w:rsid w:val="00A567CE"/>
    <w:rsid w:val="00A632AF"/>
    <w:rsid w:val="00A64555"/>
    <w:rsid w:val="00A6619F"/>
    <w:rsid w:val="00A66DA1"/>
    <w:rsid w:val="00A70CDC"/>
    <w:rsid w:val="00A7629D"/>
    <w:rsid w:val="00A77ACA"/>
    <w:rsid w:val="00A847F3"/>
    <w:rsid w:val="00A95E3A"/>
    <w:rsid w:val="00AA08C1"/>
    <w:rsid w:val="00AA5E14"/>
    <w:rsid w:val="00AB172D"/>
    <w:rsid w:val="00AC21C7"/>
    <w:rsid w:val="00AC46E7"/>
    <w:rsid w:val="00AC5C6B"/>
    <w:rsid w:val="00AC67CD"/>
    <w:rsid w:val="00AD24A5"/>
    <w:rsid w:val="00AE1B78"/>
    <w:rsid w:val="00AE6A25"/>
    <w:rsid w:val="00AF023D"/>
    <w:rsid w:val="00AF512F"/>
    <w:rsid w:val="00B04D41"/>
    <w:rsid w:val="00B06195"/>
    <w:rsid w:val="00B07E27"/>
    <w:rsid w:val="00B1531D"/>
    <w:rsid w:val="00B163E3"/>
    <w:rsid w:val="00B16AB2"/>
    <w:rsid w:val="00B179A8"/>
    <w:rsid w:val="00B20A61"/>
    <w:rsid w:val="00B24672"/>
    <w:rsid w:val="00B24C00"/>
    <w:rsid w:val="00B342B6"/>
    <w:rsid w:val="00B35254"/>
    <w:rsid w:val="00B375B3"/>
    <w:rsid w:val="00B45598"/>
    <w:rsid w:val="00B477AE"/>
    <w:rsid w:val="00B679F6"/>
    <w:rsid w:val="00B67B44"/>
    <w:rsid w:val="00B7701C"/>
    <w:rsid w:val="00B81DAD"/>
    <w:rsid w:val="00B87741"/>
    <w:rsid w:val="00B87943"/>
    <w:rsid w:val="00B91E7F"/>
    <w:rsid w:val="00BA035F"/>
    <w:rsid w:val="00BA0BC1"/>
    <w:rsid w:val="00BA769B"/>
    <w:rsid w:val="00BB6112"/>
    <w:rsid w:val="00BC1A28"/>
    <w:rsid w:val="00BC3B54"/>
    <w:rsid w:val="00BD0B0A"/>
    <w:rsid w:val="00BD7ADC"/>
    <w:rsid w:val="00C02075"/>
    <w:rsid w:val="00C040C4"/>
    <w:rsid w:val="00C05E91"/>
    <w:rsid w:val="00C071BE"/>
    <w:rsid w:val="00C10107"/>
    <w:rsid w:val="00C1277A"/>
    <w:rsid w:val="00C140EA"/>
    <w:rsid w:val="00C14EBE"/>
    <w:rsid w:val="00C1566A"/>
    <w:rsid w:val="00C1615D"/>
    <w:rsid w:val="00C22A2C"/>
    <w:rsid w:val="00C270AE"/>
    <w:rsid w:val="00C350B6"/>
    <w:rsid w:val="00C426A1"/>
    <w:rsid w:val="00C501FD"/>
    <w:rsid w:val="00C503A3"/>
    <w:rsid w:val="00C562FC"/>
    <w:rsid w:val="00C63C69"/>
    <w:rsid w:val="00C76E40"/>
    <w:rsid w:val="00C90FFB"/>
    <w:rsid w:val="00CA0A7D"/>
    <w:rsid w:val="00CA6D63"/>
    <w:rsid w:val="00CA6DAD"/>
    <w:rsid w:val="00CB0A16"/>
    <w:rsid w:val="00CB3BFA"/>
    <w:rsid w:val="00CB752D"/>
    <w:rsid w:val="00CB7D6B"/>
    <w:rsid w:val="00CC4AD2"/>
    <w:rsid w:val="00CC511A"/>
    <w:rsid w:val="00CC6D14"/>
    <w:rsid w:val="00CE1B49"/>
    <w:rsid w:val="00CE67B0"/>
    <w:rsid w:val="00CE6F55"/>
    <w:rsid w:val="00CF6DE0"/>
    <w:rsid w:val="00D06E29"/>
    <w:rsid w:val="00D1527B"/>
    <w:rsid w:val="00D16E9F"/>
    <w:rsid w:val="00D206BD"/>
    <w:rsid w:val="00D27A5F"/>
    <w:rsid w:val="00D31593"/>
    <w:rsid w:val="00D35A76"/>
    <w:rsid w:val="00D40FB1"/>
    <w:rsid w:val="00D44A70"/>
    <w:rsid w:val="00D44B2F"/>
    <w:rsid w:val="00D50F43"/>
    <w:rsid w:val="00D6005A"/>
    <w:rsid w:val="00D609BD"/>
    <w:rsid w:val="00D60D3A"/>
    <w:rsid w:val="00D61E61"/>
    <w:rsid w:val="00D623B7"/>
    <w:rsid w:val="00D655F3"/>
    <w:rsid w:val="00D66A09"/>
    <w:rsid w:val="00D71655"/>
    <w:rsid w:val="00D729E7"/>
    <w:rsid w:val="00D73C9B"/>
    <w:rsid w:val="00D74A1E"/>
    <w:rsid w:val="00D80630"/>
    <w:rsid w:val="00D8105B"/>
    <w:rsid w:val="00D84C4A"/>
    <w:rsid w:val="00D84F9E"/>
    <w:rsid w:val="00D854CE"/>
    <w:rsid w:val="00D86E11"/>
    <w:rsid w:val="00D927D5"/>
    <w:rsid w:val="00D94991"/>
    <w:rsid w:val="00D96665"/>
    <w:rsid w:val="00D97559"/>
    <w:rsid w:val="00DA5482"/>
    <w:rsid w:val="00DB1425"/>
    <w:rsid w:val="00DB2F24"/>
    <w:rsid w:val="00DB71FD"/>
    <w:rsid w:val="00DB76E2"/>
    <w:rsid w:val="00DC2468"/>
    <w:rsid w:val="00DC25AB"/>
    <w:rsid w:val="00DC414F"/>
    <w:rsid w:val="00DC500F"/>
    <w:rsid w:val="00DD197F"/>
    <w:rsid w:val="00DD43DB"/>
    <w:rsid w:val="00DE0C9E"/>
    <w:rsid w:val="00DE3284"/>
    <w:rsid w:val="00DF134C"/>
    <w:rsid w:val="00DF63DD"/>
    <w:rsid w:val="00E02842"/>
    <w:rsid w:val="00E0405A"/>
    <w:rsid w:val="00E0703A"/>
    <w:rsid w:val="00E12345"/>
    <w:rsid w:val="00E13795"/>
    <w:rsid w:val="00E241CB"/>
    <w:rsid w:val="00E242ED"/>
    <w:rsid w:val="00E245B2"/>
    <w:rsid w:val="00E2535A"/>
    <w:rsid w:val="00E32E59"/>
    <w:rsid w:val="00E37E65"/>
    <w:rsid w:val="00E406CB"/>
    <w:rsid w:val="00E42D6A"/>
    <w:rsid w:val="00E42EB2"/>
    <w:rsid w:val="00E43810"/>
    <w:rsid w:val="00E43A50"/>
    <w:rsid w:val="00E52C31"/>
    <w:rsid w:val="00E5551D"/>
    <w:rsid w:val="00E75B20"/>
    <w:rsid w:val="00E82AD0"/>
    <w:rsid w:val="00E86A3C"/>
    <w:rsid w:val="00E918B0"/>
    <w:rsid w:val="00E927B2"/>
    <w:rsid w:val="00E94CF3"/>
    <w:rsid w:val="00EA5117"/>
    <w:rsid w:val="00EA6CFE"/>
    <w:rsid w:val="00EA7765"/>
    <w:rsid w:val="00EB0747"/>
    <w:rsid w:val="00EB3BE0"/>
    <w:rsid w:val="00EC1FB5"/>
    <w:rsid w:val="00EC37F7"/>
    <w:rsid w:val="00ED5173"/>
    <w:rsid w:val="00EE482E"/>
    <w:rsid w:val="00EE68B0"/>
    <w:rsid w:val="00EF0E28"/>
    <w:rsid w:val="00EF6596"/>
    <w:rsid w:val="00F01DF1"/>
    <w:rsid w:val="00F06097"/>
    <w:rsid w:val="00F0623C"/>
    <w:rsid w:val="00F13576"/>
    <w:rsid w:val="00F214AD"/>
    <w:rsid w:val="00F215CE"/>
    <w:rsid w:val="00F21A65"/>
    <w:rsid w:val="00F22097"/>
    <w:rsid w:val="00F25EF6"/>
    <w:rsid w:val="00F27DD8"/>
    <w:rsid w:val="00F320CC"/>
    <w:rsid w:val="00F36126"/>
    <w:rsid w:val="00F468E0"/>
    <w:rsid w:val="00F51293"/>
    <w:rsid w:val="00F52228"/>
    <w:rsid w:val="00F55D98"/>
    <w:rsid w:val="00F61FDF"/>
    <w:rsid w:val="00F71F90"/>
    <w:rsid w:val="00F726D4"/>
    <w:rsid w:val="00F72E7E"/>
    <w:rsid w:val="00F7482C"/>
    <w:rsid w:val="00F8294D"/>
    <w:rsid w:val="00F84711"/>
    <w:rsid w:val="00F90D16"/>
    <w:rsid w:val="00F9305E"/>
    <w:rsid w:val="00F95943"/>
    <w:rsid w:val="00FA1397"/>
    <w:rsid w:val="00FA7C00"/>
    <w:rsid w:val="00FB570D"/>
    <w:rsid w:val="00FB59FA"/>
    <w:rsid w:val="00FB7ED7"/>
    <w:rsid w:val="00FD716E"/>
    <w:rsid w:val="00FE241C"/>
    <w:rsid w:val="00FE3715"/>
    <w:rsid w:val="00FE5073"/>
    <w:rsid w:val="00FE6C24"/>
    <w:rsid w:val="00FF0DB8"/>
    <w:rsid w:val="00FF1CC3"/>
    <w:rsid w:val="00FF4420"/>
    <w:rsid w:val="00FF7C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C3"/>
    <w:rPr>
      <w:sz w:val="24"/>
      <w:lang w:val="en-AU"/>
    </w:rPr>
  </w:style>
  <w:style w:type="paragraph" w:styleId="Heading2">
    <w:name w:val="heading 2"/>
    <w:basedOn w:val="Normal"/>
    <w:next w:val="Normal"/>
    <w:qFormat/>
    <w:rsid w:val="00D40FB1"/>
    <w:pPr>
      <w:keepNext/>
      <w:spacing w:before="120" w:line="240" w:lineRule="exact"/>
      <w:outlineLvl w:val="1"/>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40FB1"/>
    <w:pPr>
      <w:spacing w:before="100" w:after="100"/>
    </w:pPr>
    <w:rPr>
      <w:lang w:val="lv-LV"/>
    </w:rPr>
  </w:style>
  <w:style w:type="paragraph" w:styleId="Header">
    <w:name w:val="header"/>
    <w:basedOn w:val="Normal"/>
    <w:semiHidden/>
    <w:rsid w:val="00D40FB1"/>
    <w:pPr>
      <w:tabs>
        <w:tab w:val="center" w:pos="4153"/>
        <w:tab w:val="right" w:pos="8306"/>
      </w:tabs>
      <w:spacing w:after="200" w:line="276" w:lineRule="auto"/>
    </w:pPr>
    <w:rPr>
      <w:rFonts w:ascii="Calibri" w:eastAsia="Calibri" w:hAnsi="Calibri"/>
      <w:sz w:val="22"/>
      <w:lang w:val="lv-LV"/>
    </w:rPr>
  </w:style>
  <w:style w:type="paragraph" w:styleId="Footer">
    <w:name w:val="footer"/>
    <w:basedOn w:val="Normal"/>
    <w:semiHidden/>
    <w:rsid w:val="00D40FB1"/>
    <w:pPr>
      <w:tabs>
        <w:tab w:val="center" w:pos="4153"/>
        <w:tab w:val="right" w:pos="8306"/>
      </w:tabs>
      <w:spacing w:after="200" w:line="276" w:lineRule="auto"/>
    </w:pPr>
    <w:rPr>
      <w:rFonts w:ascii="Calibri" w:eastAsia="Calibri" w:hAnsi="Calibri"/>
      <w:sz w:val="22"/>
      <w:lang w:val="lv-LV"/>
    </w:rPr>
  </w:style>
  <w:style w:type="character" w:styleId="Hyperlink">
    <w:name w:val="Hyperlink"/>
    <w:basedOn w:val="DefaultParagraphFont"/>
    <w:semiHidden/>
    <w:rsid w:val="00D40FB1"/>
    <w:rPr>
      <w:color w:val="0000FF"/>
      <w:u w:val="single"/>
    </w:rPr>
  </w:style>
  <w:style w:type="paragraph" w:styleId="NormalWeb">
    <w:name w:val="Normal (Web)"/>
    <w:basedOn w:val="Normal"/>
    <w:uiPriority w:val="99"/>
    <w:unhideWhenUsed/>
    <w:rsid w:val="00D40FB1"/>
    <w:pPr>
      <w:spacing w:before="100" w:after="100"/>
    </w:pPr>
    <w:rPr>
      <w:rFonts w:ascii="Verdana" w:hAnsi="Verdana"/>
      <w:sz w:val="18"/>
      <w:lang w:val="en-US"/>
    </w:rPr>
  </w:style>
  <w:style w:type="paragraph" w:styleId="EnvelopeReturn">
    <w:name w:val="envelope return"/>
    <w:basedOn w:val="Normal"/>
    <w:semiHidden/>
    <w:rsid w:val="00D40FB1"/>
    <w:pPr>
      <w:keepLines/>
      <w:widowControl w:val="0"/>
      <w:spacing w:before="600"/>
    </w:pPr>
    <w:rPr>
      <w:sz w:val="26"/>
    </w:rPr>
  </w:style>
  <w:style w:type="paragraph" w:styleId="BalloonText">
    <w:name w:val="Balloon Text"/>
    <w:basedOn w:val="Normal"/>
    <w:link w:val="BalloonTextChar"/>
    <w:uiPriority w:val="99"/>
    <w:semiHidden/>
    <w:unhideWhenUsed/>
    <w:rsid w:val="00834450"/>
    <w:rPr>
      <w:rFonts w:ascii="Tahoma" w:hAnsi="Tahoma" w:cs="Tahoma"/>
      <w:sz w:val="16"/>
      <w:szCs w:val="16"/>
    </w:rPr>
  </w:style>
  <w:style w:type="character" w:customStyle="1" w:styleId="BalloonTextChar">
    <w:name w:val="Balloon Text Char"/>
    <w:basedOn w:val="DefaultParagraphFont"/>
    <w:link w:val="BalloonText"/>
    <w:uiPriority w:val="99"/>
    <w:semiHidden/>
    <w:rsid w:val="00834450"/>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15985</Words>
  <Characters>9112</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EMAnot_29112013_NOR_programma; Ministru kabineta noteikumu projekta  “Norvēģijas finanšu instrumenta 2009.–2014.gada perioda programmas "Inovācijas "zaļās" ražošanas jomā" atklāta projektu konkursa īstenošanas kārtība” sākotnējās ietekmes novērtējuma ziņojums (anotācija)</dc:title>
  <dc:creator>Sanda Blumberga</dc:creator>
  <cp:lastModifiedBy>Sanda Blumberga</cp:lastModifiedBy>
  <cp:revision>19</cp:revision>
  <dcterms:created xsi:type="dcterms:W3CDTF">2013-10-10T11:58:00Z</dcterms:created>
  <dcterms:modified xsi:type="dcterms:W3CDTF">2013-11-29T07:05:00Z</dcterms:modified>
</cp:coreProperties>
</file>