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39" w:rsidRDefault="00595339" w:rsidP="00595339">
      <w:pPr>
        <w:pStyle w:val="BodyText"/>
        <w:jc w:val="center"/>
        <w:rPr>
          <w:b/>
          <w:szCs w:val="28"/>
        </w:rPr>
      </w:pPr>
      <w:bookmarkStart w:id="0" w:name="OLE_LINK3"/>
      <w:bookmarkStart w:id="1" w:name="OLE_LINK1"/>
      <w:bookmarkStart w:id="2" w:name="OLE_LINK2"/>
      <w:r w:rsidRPr="009D5C1D">
        <w:rPr>
          <w:b/>
          <w:szCs w:val="28"/>
        </w:rPr>
        <w:t xml:space="preserve">Ministru kabineta noteikumu projekta </w:t>
      </w:r>
      <w:r w:rsidRPr="00CD7949">
        <w:rPr>
          <w:b/>
          <w:szCs w:val="28"/>
        </w:rPr>
        <w:t>„Grozījum</w:t>
      </w:r>
      <w:r w:rsidR="00213107">
        <w:rPr>
          <w:b/>
          <w:szCs w:val="28"/>
        </w:rPr>
        <w:t>i</w:t>
      </w:r>
      <w:r w:rsidRPr="00CD7949">
        <w:rPr>
          <w:b/>
          <w:szCs w:val="28"/>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Pr>
          <w:b/>
          <w:szCs w:val="28"/>
        </w:rPr>
        <w:t xml:space="preserve">” </w:t>
      </w:r>
      <w:r w:rsidRPr="009D5C1D">
        <w:rPr>
          <w:b/>
          <w:szCs w:val="28"/>
        </w:rPr>
        <w:t xml:space="preserve">sākotnējās ietekmes novērtējuma </w:t>
      </w:r>
      <w:smartTag w:uri="schemas-tilde-lv/tildestengine" w:element="veidnes">
        <w:smartTagPr>
          <w:attr w:name="text" w:val="ziņojums"/>
          <w:attr w:name="baseform" w:val="ziņojums"/>
          <w:attr w:name="id" w:val="-1"/>
        </w:smartTagPr>
        <w:r w:rsidRPr="009D5C1D">
          <w:rPr>
            <w:b/>
            <w:szCs w:val="28"/>
          </w:rPr>
          <w:t>ziņojums</w:t>
        </w:r>
      </w:smartTag>
      <w:r w:rsidRPr="009D5C1D">
        <w:rPr>
          <w:b/>
          <w:szCs w:val="28"/>
        </w:rPr>
        <w:t xml:space="preserve"> (anotācija)</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C56073">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2B5151"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Default="00F4308E" w:rsidP="00D9203E">
            <w:pPr>
              <w:ind w:firstLine="709"/>
              <w:jc w:val="both"/>
              <w:rPr>
                <w:sz w:val="26"/>
                <w:szCs w:val="26"/>
                <w:lang w:val="lv-LV"/>
              </w:rPr>
            </w:pPr>
            <w:r w:rsidRPr="00F4308E">
              <w:rPr>
                <w:sz w:val="26"/>
                <w:szCs w:val="26"/>
                <w:lang w:val="lv-LV"/>
              </w:rPr>
              <w:t>Noteikumu proj</w:t>
            </w:r>
            <w:r w:rsidR="00747779">
              <w:rPr>
                <w:sz w:val="26"/>
                <w:szCs w:val="26"/>
                <w:lang w:val="lv-LV"/>
              </w:rPr>
              <w:t>ekts sagatavots, pamatojoties</w:t>
            </w:r>
            <w:r w:rsidR="00C56073">
              <w:rPr>
                <w:sz w:val="26"/>
                <w:szCs w:val="26"/>
                <w:lang w:val="lv-LV"/>
              </w:rPr>
              <w:t xml:space="preserve"> uz</w:t>
            </w:r>
            <w:r w:rsidR="00747779">
              <w:rPr>
                <w:sz w:val="26"/>
                <w:szCs w:val="26"/>
                <w:lang w:val="lv-LV"/>
              </w:rPr>
              <w:t xml:space="preserve"> šādiem tiesību aktiem:</w:t>
            </w:r>
          </w:p>
          <w:p w:rsidR="00747779" w:rsidRDefault="00747779" w:rsidP="00D9203E">
            <w:pPr>
              <w:ind w:firstLine="709"/>
              <w:jc w:val="both"/>
              <w:rPr>
                <w:sz w:val="26"/>
                <w:szCs w:val="26"/>
                <w:lang w:val="lv-LV"/>
              </w:rPr>
            </w:pPr>
            <w:r>
              <w:rPr>
                <w:sz w:val="26"/>
                <w:szCs w:val="26"/>
                <w:lang w:val="lv-LV"/>
              </w:rPr>
              <w:t xml:space="preserve">1) </w:t>
            </w:r>
            <w:r w:rsidR="00F4308E" w:rsidRPr="00F4308E">
              <w:rPr>
                <w:sz w:val="26"/>
                <w:szCs w:val="26"/>
                <w:lang w:val="lv-LV"/>
              </w:rPr>
              <w:t xml:space="preserve"> </w:t>
            </w:r>
            <w:r w:rsidR="00F4308E" w:rsidRPr="007861EC">
              <w:rPr>
                <w:i/>
                <w:sz w:val="26"/>
                <w:szCs w:val="26"/>
                <w:lang w:val="lv-LV"/>
              </w:rPr>
              <w:t>Euro</w:t>
            </w:r>
            <w:r w:rsidR="00F4308E" w:rsidRPr="00F4308E">
              <w:rPr>
                <w:sz w:val="26"/>
                <w:szCs w:val="26"/>
                <w:lang w:val="lv-LV"/>
              </w:rPr>
              <w:t xml:space="preserve"> ieviešana</w:t>
            </w:r>
            <w:r>
              <w:rPr>
                <w:sz w:val="26"/>
                <w:szCs w:val="26"/>
                <w:lang w:val="lv-LV"/>
              </w:rPr>
              <w:t>s kārtības likuma 30.panta pirmo daļu;</w:t>
            </w:r>
          </w:p>
          <w:p w:rsidR="00747779" w:rsidRPr="007165D4" w:rsidRDefault="00747779" w:rsidP="007861EC">
            <w:pPr>
              <w:spacing w:after="240"/>
              <w:ind w:firstLine="709"/>
              <w:jc w:val="both"/>
              <w:rPr>
                <w:sz w:val="26"/>
                <w:szCs w:val="26"/>
                <w:lang w:val="lv-LV"/>
              </w:rPr>
            </w:pPr>
            <w:r>
              <w:rPr>
                <w:sz w:val="26"/>
                <w:szCs w:val="26"/>
                <w:lang w:val="lv-LV"/>
              </w:rPr>
              <w:t>2)</w:t>
            </w:r>
            <w:r w:rsidR="00F4308E" w:rsidRPr="00F4308E">
              <w:rPr>
                <w:sz w:val="26"/>
                <w:szCs w:val="26"/>
                <w:lang w:val="lv-LV"/>
              </w:rPr>
              <w:t xml:space="preserve"> Ministru kabineta 2012.gada 27.jūnija rīkojuma Nr.282 „Par „Koncepciju par normatīvo aktu sakārtošanu saistībā ar </w:t>
            </w:r>
            <w:r w:rsidR="00F4308E" w:rsidRPr="007861EC">
              <w:rPr>
                <w:sz w:val="26"/>
                <w:szCs w:val="26"/>
                <w:lang w:val="lv-LV"/>
              </w:rPr>
              <w:t>eiro</w:t>
            </w:r>
            <w:r w:rsidR="00F4308E" w:rsidRPr="00F4308E">
              <w:rPr>
                <w:sz w:val="26"/>
                <w:szCs w:val="26"/>
                <w:lang w:val="lv-LV"/>
              </w:rPr>
              <w:t xml:space="preserve"> ievi</w:t>
            </w:r>
            <w:r w:rsidR="00E47292">
              <w:rPr>
                <w:sz w:val="26"/>
                <w:szCs w:val="26"/>
                <w:lang w:val="lv-LV"/>
              </w:rPr>
              <w:t>ešanu Latvijā”” 7.1.apakšpunktu.</w:t>
            </w:r>
          </w:p>
        </w:tc>
      </w:tr>
      <w:tr w:rsidR="00A31FDC" w:rsidRPr="002B5151"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Default="00F4308E" w:rsidP="008E1656">
            <w:pPr>
              <w:spacing w:after="240"/>
              <w:ind w:firstLine="709"/>
              <w:jc w:val="both"/>
              <w:rPr>
                <w:sz w:val="26"/>
                <w:szCs w:val="26"/>
                <w:lang w:val="lv-LV"/>
              </w:rPr>
            </w:pPr>
            <w:r>
              <w:rPr>
                <w:sz w:val="26"/>
                <w:szCs w:val="26"/>
                <w:lang w:val="lv-LV"/>
              </w:rPr>
              <w:t>M</w:t>
            </w:r>
            <w:r w:rsidR="00595339">
              <w:rPr>
                <w:sz w:val="26"/>
                <w:szCs w:val="26"/>
                <w:lang w:val="lv-LV"/>
              </w:rPr>
              <w:t>inistru kabineta</w:t>
            </w:r>
            <w:r w:rsidRPr="00F4308E">
              <w:rPr>
                <w:sz w:val="26"/>
                <w:szCs w:val="26"/>
                <w:lang w:val="lv-LV"/>
              </w:rPr>
              <w:t xml:space="preserve"> noteikumos Nr.</w:t>
            </w:r>
            <w:r w:rsidR="00595339">
              <w:rPr>
                <w:sz w:val="26"/>
                <w:szCs w:val="26"/>
                <w:lang w:val="lv-LV"/>
              </w:rPr>
              <w:t>818 „Noteikumi par darbības programmas „Uzņēmējdarbība un inovācijas” papildinājuma 2.2.1.1.aktivitāti „Ieguldījumu fonds investīcijām garantijās, paaugstināta riska aizdevumos, riska kapitāla fondos un cita veida finanšu instrumentos”</w:t>
            </w:r>
            <w:r w:rsidR="00C56073">
              <w:rPr>
                <w:sz w:val="26"/>
                <w:szCs w:val="26"/>
                <w:lang w:val="lv-LV"/>
              </w:rPr>
              <w:t xml:space="preserve">” (turpmāk – MK noteikumi Nr.818) </w:t>
            </w:r>
            <w:r w:rsidR="00A76001">
              <w:rPr>
                <w:sz w:val="26"/>
                <w:szCs w:val="26"/>
                <w:lang w:val="lv-LV"/>
              </w:rPr>
              <w:t>pieejam</w:t>
            </w:r>
            <w:r w:rsidR="00C56073">
              <w:rPr>
                <w:sz w:val="26"/>
                <w:szCs w:val="26"/>
                <w:lang w:val="lv-LV"/>
              </w:rPr>
              <w:t xml:space="preserve">ais </w:t>
            </w:r>
            <w:r w:rsidR="00A76001">
              <w:rPr>
                <w:sz w:val="26"/>
                <w:szCs w:val="26"/>
                <w:lang w:val="lv-LV"/>
              </w:rPr>
              <w:t xml:space="preserve"> </w:t>
            </w:r>
            <w:r w:rsidR="00C56073">
              <w:rPr>
                <w:sz w:val="26"/>
                <w:szCs w:val="26"/>
                <w:lang w:val="lv-LV"/>
              </w:rPr>
              <w:t>finansējums noteikts</w:t>
            </w:r>
            <w:r w:rsidR="00416C50">
              <w:rPr>
                <w:sz w:val="26"/>
                <w:szCs w:val="26"/>
                <w:lang w:val="lv-LV"/>
              </w:rPr>
              <w:t xml:space="preserve"> latu </w:t>
            </w:r>
            <w:r w:rsidR="00C56073">
              <w:rPr>
                <w:sz w:val="26"/>
                <w:szCs w:val="26"/>
                <w:lang w:val="lv-LV"/>
              </w:rPr>
              <w:t>valūtā</w:t>
            </w:r>
            <w:r w:rsidR="00416C50">
              <w:rPr>
                <w:sz w:val="26"/>
                <w:szCs w:val="26"/>
                <w:lang w:val="lv-LV"/>
              </w:rPr>
              <w:t>.</w:t>
            </w:r>
            <w:r>
              <w:rPr>
                <w:sz w:val="26"/>
                <w:szCs w:val="26"/>
                <w:lang w:val="lv-LV"/>
              </w:rPr>
              <w:t xml:space="preserve"> L</w:t>
            </w:r>
            <w:r w:rsidR="00A76001">
              <w:rPr>
                <w:sz w:val="26"/>
                <w:szCs w:val="26"/>
                <w:lang w:val="lv-LV"/>
              </w:rPr>
              <w:t xml:space="preserve">ai </w:t>
            </w:r>
            <w:r w:rsidR="00A76001" w:rsidRPr="00416C50">
              <w:rPr>
                <w:sz w:val="26"/>
                <w:szCs w:val="26"/>
                <w:lang w:val="lv-LV"/>
              </w:rPr>
              <w:t>pielāgotu MK noteikumus Nr.</w:t>
            </w:r>
            <w:r w:rsidR="00C56073">
              <w:rPr>
                <w:sz w:val="26"/>
                <w:szCs w:val="26"/>
                <w:lang w:val="lv-LV"/>
              </w:rPr>
              <w:t>818</w:t>
            </w:r>
            <w:r w:rsidR="00A76001" w:rsidRPr="00416C50">
              <w:rPr>
                <w:sz w:val="26"/>
                <w:szCs w:val="26"/>
                <w:lang w:val="lv-LV"/>
              </w:rPr>
              <w:t xml:space="preserve"> pārejai uz </w:t>
            </w:r>
            <w:r w:rsidR="007861EC">
              <w:rPr>
                <w:i/>
                <w:sz w:val="26"/>
                <w:szCs w:val="26"/>
                <w:lang w:val="lv-LV"/>
              </w:rPr>
              <w:t>euro</w:t>
            </w:r>
            <w:r w:rsidR="007861EC" w:rsidRPr="00416C50">
              <w:rPr>
                <w:i/>
                <w:sz w:val="26"/>
                <w:szCs w:val="26"/>
                <w:lang w:val="lv-LV"/>
              </w:rPr>
              <w:t xml:space="preserve"> </w:t>
            </w:r>
            <w:r w:rsidR="00A76001" w:rsidRPr="00416C50">
              <w:rPr>
                <w:sz w:val="26"/>
                <w:szCs w:val="26"/>
                <w:lang w:val="lv-LV"/>
              </w:rPr>
              <w:t xml:space="preserve">valūtu līdz ar </w:t>
            </w:r>
            <w:r w:rsidR="00C56073">
              <w:rPr>
                <w:sz w:val="26"/>
                <w:szCs w:val="26"/>
                <w:lang w:val="lv-LV"/>
              </w:rPr>
              <w:t>2014.gada 1.janvāri,</w:t>
            </w:r>
            <w:r w:rsidR="00A76001" w:rsidRPr="00416C50">
              <w:rPr>
                <w:sz w:val="26"/>
                <w:szCs w:val="26"/>
                <w:lang w:val="lv-LV"/>
              </w:rPr>
              <w:t xml:space="preserve"> ir jāveic atbilstoši grozījumi MK noteikumos Nr.</w:t>
            </w:r>
            <w:r w:rsidR="00C56073">
              <w:rPr>
                <w:sz w:val="26"/>
                <w:szCs w:val="26"/>
                <w:lang w:val="lv-LV"/>
              </w:rPr>
              <w:t>818</w:t>
            </w:r>
            <w:r w:rsidR="00A76001" w:rsidRPr="00416C50">
              <w:rPr>
                <w:sz w:val="26"/>
                <w:szCs w:val="26"/>
                <w:lang w:val="lv-LV"/>
              </w:rPr>
              <w:t xml:space="preserve">, norādot </w:t>
            </w:r>
            <w:r w:rsidR="00C56073">
              <w:rPr>
                <w:sz w:val="26"/>
                <w:szCs w:val="26"/>
                <w:lang w:val="lv-LV"/>
              </w:rPr>
              <w:t>finansējumu</w:t>
            </w:r>
            <w:r w:rsidR="00A76001" w:rsidRPr="00416C50">
              <w:rPr>
                <w:sz w:val="26"/>
                <w:szCs w:val="26"/>
                <w:lang w:val="lv-LV"/>
              </w:rPr>
              <w:t xml:space="preserve"> </w:t>
            </w:r>
            <w:r w:rsidR="007861EC">
              <w:rPr>
                <w:i/>
                <w:sz w:val="26"/>
                <w:szCs w:val="26"/>
                <w:lang w:val="lv-LV"/>
              </w:rPr>
              <w:t>euro</w:t>
            </w:r>
            <w:r w:rsidR="007861EC" w:rsidRPr="00E86AEA">
              <w:rPr>
                <w:i/>
                <w:sz w:val="26"/>
                <w:szCs w:val="26"/>
                <w:lang w:val="lv-LV"/>
              </w:rPr>
              <w:t xml:space="preserve"> </w:t>
            </w:r>
            <w:r w:rsidR="00116B3E" w:rsidRPr="00E86AEA">
              <w:rPr>
                <w:sz w:val="26"/>
                <w:szCs w:val="26"/>
                <w:lang w:val="lv-LV"/>
              </w:rPr>
              <w:t>valūtā</w:t>
            </w:r>
            <w:r w:rsidR="00416C50" w:rsidRPr="008F5EEF">
              <w:rPr>
                <w:sz w:val="26"/>
                <w:szCs w:val="26"/>
                <w:lang w:val="lv-LV"/>
              </w:rPr>
              <w:t xml:space="preserve"> </w:t>
            </w:r>
            <w:r w:rsidR="00416C50" w:rsidRPr="00416C50">
              <w:rPr>
                <w:sz w:val="26"/>
                <w:szCs w:val="26"/>
                <w:lang w:val="lv-LV"/>
              </w:rPr>
              <w:t>atbilstoši</w:t>
            </w:r>
            <w:r w:rsidR="00A76001" w:rsidRPr="00416C50">
              <w:rPr>
                <w:sz w:val="26"/>
                <w:szCs w:val="26"/>
                <w:lang w:val="lv-LV"/>
              </w:rPr>
              <w:t xml:space="preserve"> </w:t>
            </w:r>
            <w:r w:rsidR="00A76001" w:rsidRPr="00617789">
              <w:rPr>
                <w:i/>
                <w:sz w:val="26"/>
                <w:szCs w:val="26"/>
                <w:lang w:val="lv-LV"/>
              </w:rPr>
              <w:t>Euro</w:t>
            </w:r>
            <w:r w:rsidR="00A76001" w:rsidRPr="00416C50">
              <w:rPr>
                <w:sz w:val="26"/>
                <w:szCs w:val="26"/>
                <w:lang w:val="lv-LV"/>
              </w:rPr>
              <w:t xml:space="preserve"> ieviešanas kārtības likuma 32.pant</w:t>
            </w:r>
            <w:r w:rsidR="00D9203E" w:rsidRPr="00416C50">
              <w:rPr>
                <w:sz w:val="26"/>
                <w:szCs w:val="26"/>
                <w:lang w:val="lv-LV"/>
              </w:rPr>
              <w:t>a otrās daļas 2.punktam.</w:t>
            </w:r>
          </w:p>
          <w:p w:rsidR="000D1A31" w:rsidRDefault="007861EC" w:rsidP="00617789">
            <w:pPr>
              <w:ind w:firstLine="708"/>
              <w:jc w:val="both"/>
              <w:rPr>
                <w:sz w:val="26"/>
                <w:szCs w:val="26"/>
                <w:lang w:val="lv-LV"/>
              </w:rPr>
            </w:pPr>
            <w:r w:rsidRPr="00CC0911">
              <w:rPr>
                <w:sz w:val="26"/>
                <w:szCs w:val="26"/>
                <w:lang w:val="lv-LV"/>
              </w:rPr>
              <w:t xml:space="preserve">Noteikumu projekts paredz </w:t>
            </w:r>
            <w:r w:rsidR="00BD4331" w:rsidRPr="00CC0911">
              <w:rPr>
                <w:sz w:val="26"/>
                <w:szCs w:val="26"/>
                <w:lang w:val="lv-LV"/>
              </w:rPr>
              <w:t xml:space="preserve">MK noteikumu Nr.818 7.punktā </w:t>
            </w:r>
            <w:r w:rsidRPr="00CC0911">
              <w:rPr>
                <w:sz w:val="26"/>
                <w:szCs w:val="26"/>
                <w:lang w:val="lv-LV"/>
              </w:rPr>
              <w:t xml:space="preserve">norādīto finansējumu konvertēt </w:t>
            </w:r>
            <w:r w:rsidRPr="00617789">
              <w:rPr>
                <w:i/>
                <w:sz w:val="26"/>
                <w:szCs w:val="26"/>
                <w:lang w:val="lv-LV"/>
              </w:rPr>
              <w:t xml:space="preserve">euro </w:t>
            </w:r>
            <w:r w:rsidRPr="00CC0911">
              <w:rPr>
                <w:sz w:val="26"/>
                <w:szCs w:val="26"/>
                <w:lang w:val="lv-LV"/>
              </w:rPr>
              <w:t xml:space="preserve">valūtā atbilstoši </w:t>
            </w:r>
            <w:r w:rsidRPr="00617789">
              <w:rPr>
                <w:i/>
                <w:sz w:val="26"/>
                <w:szCs w:val="26"/>
                <w:lang w:val="lv-LV"/>
              </w:rPr>
              <w:t>Euro</w:t>
            </w:r>
            <w:r w:rsidRPr="00CC0911">
              <w:rPr>
                <w:sz w:val="26"/>
                <w:szCs w:val="26"/>
                <w:lang w:val="lv-LV"/>
              </w:rPr>
              <w:t xml:space="preserve"> ieviešanas kārtības likuma 32.pantam. </w:t>
            </w:r>
          </w:p>
          <w:p w:rsidR="000D1A31" w:rsidRDefault="000D1A31" w:rsidP="00617789">
            <w:pPr>
              <w:ind w:firstLine="708"/>
              <w:jc w:val="both"/>
              <w:rPr>
                <w:sz w:val="26"/>
                <w:szCs w:val="26"/>
                <w:lang w:val="lv-LV"/>
              </w:rPr>
            </w:pPr>
            <w:r>
              <w:rPr>
                <w:sz w:val="26"/>
                <w:szCs w:val="26"/>
                <w:lang w:val="lv-LV"/>
              </w:rPr>
              <w:t>MK noteikumu Nr.818 7.punkts nosaka, ka a</w:t>
            </w:r>
            <w:r w:rsidRPr="000D1A31">
              <w:rPr>
                <w:sz w:val="26"/>
                <w:szCs w:val="26"/>
                <w:lang w:val="lv-LV"/>
              </w:rPr>
              <w:t>ktivitātes īstenošanu līdzfinansē no Eiropas Reģionālās attīstības fonda, valsts budžeta lī</w:t>
            </w:r>
            <w:r>
              <w:rPr>
                <w:sz w:val="26"/>
                <w:szCs w:val="26"/>
                <w:lang w:val="lv-LV"/>
              </w:rPr>
              <w:t>dzekļiem un privātā finansējuma, attiecīgi k</w:t>
            </w:r>
            <w:r w:rsidRPr="000D1A31">
              <w:rPr>
                <w:sz w:val="26"/>
                <w:szCs w:val="26"/>
                <w:lang w:val="lv-LV"/>
              </w:rPr>
              <w:t xml:space="preserve">opējais ieguldījumu fonda apjoms </w:t>
            </w:r>
            <w:r>
              <w:rPr>
                <w:sz w:val="26"/>
                <w:szCs w:val="26"/>
                <w:lang w:val="lv-LV"/>
              </w:rPr>
              <w:t>noteikts</w:t>
            </w:r>
            <w:r w:rsidRPr="000D1A31">
              <w:rPr>
                <w:sz w:val="26"/>
                <w:szCs w:val="26"/>
                <w:lang w:val="lv-LV"/>
              </w:rPr>
              <w:t xml:space="preserve"> 84 460 213 lat</w:t>
            </w:r>
            <w:r>
              <w:rPr>
                <w:sz w:val="26"/>
                <w:szCs w:val="26"/>
                <w:lang w:val="lv-LV"/>
              </w:rPr>
              <w:t>i</w:t>
            </w:r>
            <w:r w:rsidRPr="000D1A31">
              <w:rPr>
                <w:sz w:val="26"/>
                <w:szCs w:val="26"/>
                <w:lang w:val="lv-LV"/>
              </w:rPr>
              <w:t>, tajā skaitā privātais finansējums – 33 270 971 lats un publiskais finansējums – 51 189 242 lati, ko veido Eiropas Reģionālās attīstības fonda finansējums 47 204 018 lat</w:t>
            </w:r>
            <w:r>
              <w:rPr>
                <w:sz w:val="26"/>
                <w:szCs w:val="26"/>
                <w:lang w:val="lv-LV"/>
              </w:rPr>
              <w:t>i</w:t>
            </w:r>
            <w:r w:rsidRPr="000D1A31">
              <w:rPr>
                <w:sz w:val="26"/>
                <w:szCs w:val="26"/>
                <w:lang w:val="lv-LV"/>
              </w:rPr>
              <w:t xml:space="preserve"> un valsts budžeta finansējums 3 985 224 </w:t>
            </w:r>
            <w:r>
              <w:rPr>
                <w:sz w:val="26"/>
                <w:szCs w:val="26"/>
                <w:lang w:val="lv-LV"/>
              </w:rPr>
              <w:t>lati</w:t>
            </w:r>
            <w:r w:rsidRPr="000D1A31">
              <w:rPr>
                <w:sz w:val="26"/>
                <w:szCs w:val="26"/>
                <w:lang w:val="lv-LV"/>
              </w:rPr>
              <w:t>.</w:t>
            </w:r>
          </w:p>
          <w:p w:rsidR="000D1A31" w:rsidRPr="000D1A31" w:rsidRDefault="000D1A31" w:rsidP="00617789">
            <w:pPr>
              <w:ind w:firstLine="708"/>
              <w:jc w:val="both"/>
              <w:rPr>
                <w:sz w:val="26"/>
                <w:szCs w:val="26"/>
                <w:lang w:val="lv-LV"/>
              </w:rPr>
            </w:pPr>
            <w:r>
              <w:rPr>
                <w:sz w:val="26"/>
                <w:szCs w:val="26"/>
                <w:lang w:val="lv-LV"/>
              </w:rPr>
              <w:t xml:space="preserve">Minētās summas tiek konvertētas </w:t>
            </w:r>
            <w:r w:rsidRPr="00617789">
              <w:rPr>
                <w:i/>
                <w:sz w:val="26"/>
                <w:szCs w:val="26"/>
                <w:lang w:val="lv-LV"/>
              </w:rPr>
              <w:t>euro</w:t>
            </w:r>
            <w:r>
              <w:rPr>
                <w:i/>
                <w:sz w:val="26"/>
                <w:szCs w:val="26"/>
                <w:lang w:val="lv-LV"/>
              </w:rPr>
              <w:t xml:space="preserve"> </w:t>
            </w:r>
            <w:r w:rsidRPr="002302C9">
              <w:rPr>
                <w:sz w:val="26"/>
                <w:szCs w:val="26"/>
                <w:lang w:val="lv-LV"/>
              </w:rPr>
              <w:t>atbilstoši</w:t>
            </w:r>
            <w:r w:rsidRPr="00CC0911">
              <w:rPr>
                <w:sz w:val="26"/>
                <w:szCs w:val="26"/>
                <w:lang w:val="lv-LV"/>
              </w:rPr>
              <w:t xml:space="preserve"> </w:t>
            </w:r>
            <w:r w:rsidRPr="00CC0911">
              <w:rPr>
                <w:i/>
                <w:sz w:val="26"/>
                <w:szCs w:val="26"/>
                <w:lang w:val="lv-LV"/>
              </w:rPr>
              <w:t>Euro</w:t>
            </w:r>
            <w:r w:rsidRPr="00CC0911">
              <w:rPr>
                <w:sz w:val="26"/>
                <w:szCs w:val="26"/>
                <w:lang w:val="lv-LV"/>
              </w:rPr>
              <w:t xml:space="preserve"> ieviešanas kārtības likuma 32.pantam, </w:t>
            </w:r>
            <w:r>
              <w:rPr>
                <w:sz w:val="26"/>
                <w:szCs w:val="26"/>
                <w:lang w:val="lv-LV"/>
              </w:rPr>
              <w:t xml:space="preserve">piemērojot </w:t>
            </w:r>
            <w:r w:rsidR="00610C5B">
              <w:rPr>
                <w:sz w:val="26"/>
                <w:szCs w:val="26"/>
                <w:lang w:val="lv-LV"/>
              </w:rPr>
              <w:t xml:space="preserve">valūtas kursu 1 </w:t>
            </w:r>
            <w:r w:rsidRPr="002302C9">
              <w:rPr>
                <w:i/>
                <w:sz w:val="26"/>
                <w:szCs w:val="26"/>
                <w:lang w:val="lv-LV"/>
              </w:rPr>
              <w:t>euro</w:t>
            </w:r>
            <w:r>
              <w:rPr>
                <w:sz w:val="26"/>
                <w:szCs w:val="26"/>
                <w:lang w:val="lv-LV"/>
              </w:rPr>
              <w:t xml:space="preserve"> = 0,702804 lati,</w:t>
            </w:r>
            <w:r w:rsidR="00610C5B">
              <w:rPr>
                <w:sz w:val="26"/>
                <w:szCs w:val="26"/>
                <w:lang w:val="lv-LV"/>
              </w:rPr>
              <w:t xml:space="preserve"> kā arī atbilstoši līdzšinējiem atbalsta programmas principiem,</w:t>
            </w:r>
            <w:r>
              <w:rPr>
                <w:sz w:val="26"/>
                <w:szCs w:val="26"/>
                <w:lang w:val="lv-LV"/>
              </w:rPr>
              <w:t xml:space="preserve"> norādot finansējumu veselos skaitļos. Tādejādi noteikumu projektu ietvaros kopējais ieguldījumu fonda apmērs tiek noteikts </w:t>
            </w:r>
            <w:r w:rsidR="00610C5B" w:rsidRPr="00610C5B">
              <w:rPr>
                <w:sz w:val="26"/>
                <w:szCs w:val="26"/>
                <w:lang w:val="lv-LV"/>
              </w:rPr>
              <w:t xml:space="preserve">120 176 056 </w:t>
            </w:r>
            <w:r w:rsidR="00610C5B" w:rsidRPr="00617789">
              <w:rPr>
                <w:i/>
                <w:sz w:val="26"/>
                <w:szCs w:val="26"/>
                <w:lang w:val="lv-LV"/>
              </w:rPr>
              <w:t>euro</w:t>
            </w:r>
            <w:r w:rsidR="00610C5B" w:rsidRPr="00610C5B">
              <w:rPr>
                <w:sz w:val="26"/>
                <w:szCs w:val="26"/>
                <w:lang w:val="lv-LV"/>
              </w:rPr>
              <w:t xml:space="preserve">, </w:t>
            </w:r>
            <w:r w:rsidR="00610C5B">
              <w:rPr>
                <w:sz w:val="26"/>
                <w:szCs w:val="26"/>
                <w:lang w:val="lv-LV"/>
              </w:rPr>
              <w:t xml:space="preserve">tajā </w:t>
            </w:r>
            <w:r w:rsidR="00610C5B" w:rsidRPr="00610C5B">
              <w:rPr>
                <w:sz w:val="26"/>
                <w:szCs w:val="26"/>
                <w:lang w:val="lv-LV"/>
              </w:rPr>
              <w:t xml:space="preserve">skaitā privātais finansējums – 47 340 327 </w:t>
            </w:r>
            <w:r w:rsidR="00610C5B" w:rsidRPr="00617789">
              <w:rPr>
                <w:i/>
                <w:sz w:val="26"/>
                <w:szCs w:val="26"/>
                <w:lang w:val="lv-LV"/>
              </w:rPr>
              <w:t>euro</w:t>
            </w:r>
            <w:r w:rsidR="00610C5B" w:rsidRPr="00610C5B">
              <w:rPr>
                <w:sz w:val="26"/>
                <w:szCs w:val="26"/>
                <w:lang w:val="lv-LV"/>
              </w:rPr>
              <w:t xml:space="preserve"> un publiskais finansējums – 72 835 729 </w:t>
            </w:r>
            <w:r w:rsidR="00610C5B" w:rsidRPr="00617789">
              <w:rPr>
                <w:i/>
                <w:sz w:val="26"/>
                <w:szCs w:val="26"/>
                <w:lang w:val="lv-LV"/>
              </w:rPr>
              <w:t>euro</w:t>
            </w:r>
            <w:r w:rsidR="00610C5B">
              <w:rPr>
                <w:sz w:val="26"/>
                <w:szCs w:val="26"/>
                <w:lang w:val="lv-LV"/>
              </w:rPr>
              <w:t xml:space="preserve">. Publiskā finansējuma daļu veido </w:t>
            </w:r>
            <w:r w:rsidR="00610C5B" w:rsidRPr="00610C5B">
              <w:rPr>
                <w:sz w:val="26"/>
                <w:szCs w:val="26"/>
                <w:lang w:val="lv-LV"/>
              </w:rPr>
              <w:t xml:space="preserve">valsts budžeta </w:t>
            </w:r>
            <w:r w:rsidR="00610C5B" w:rsidRPr="00610C5B">
              <w:rPr>
                <w:sz w:val="26"/>
                <w:szCs w:val="26"/>
                <w:lang w:val="lv-LV"/>
              </w:rPr>
              <w:lastRenderedPageBreak/>
              <w:t xml:space="preserve">finansējums 5 670 463 </w:t>
            </w:r>
            <w:r w:rsidR="00610C5B" w:rsidRPr="0010302E">
              <w:rPr>
                <w:i/>
                <w:sz w:val="26"/>
                <w:szCs w:val="26"/>
                <w:lang w:val="lv-LV"/>
              </w:rPr>
              <w:t>euro</w:t>
            </w:r>
            <w:r w:rsidR="00610C5B" w:rsidRPr="00610C5B">
              <w:rPr>
                <w:sz w:val="26"/>
                <w:szCs w:val="26"/>
                <w:lang w:val="lv-LV"/>
              </w:rPr>
              <w:t xml:space="preserve"> </w:t>
            </w:r>
            <w:r w:rsidR="00610C5B">
              <w:rPr>
                <w:sz w:val="26"/>
                <w:szCs w:val="26"/>
                <w:lang w:val="lv-LV"/>
              </w:rPr>
              <w:t xml:space="preserve">apmērā, kā arī </w:t>
            </w:r>
            <w:r w:rsidR="00610C5B" w:rsidRPr="00610C5B">
              <w:rPr>
                <w:sz w:val="26"/>
                <w:szCs w:val="26"/>
                <w:lang w:val="lv-LV"/>
              </w:rPr>
              <w:t>Eiropas Reģionālās attīstības fonda finansējums</w:t>
            </w:r>
            <w:r w:rsidR="00BC506E">
              <w:rPr>
                <w:sz w:val="26"/>
                <w:szCs w:val="26"/>
                <w:lang w:val="lv-LV"/>
              </w:rPr>
              <w:t xml:space="preserve"> (turpmāk – ERAF)</w:t>
            </w:r>
            <w:r w:rsidR="00610C5B">
              <w:rPr>
                <w:sz w:val="26"/>
                <w:szCs w:val="26"/>
                <w:lang w:val="lv-LV"/>
              </w:rPr>
              <w:t>.</w:t>
            </w:r>
          </w:p>
          <w:p w:rsidR="00431D79" w:rsidRPr="005A7B9C" w:rsidRDefault="00F3576D" w:rsidP="00617789">
            <w:pPr>
              <w:ind w:firstLine="708"/>
              <w:jc w:val="both"/>
              <w:rPr>
                <w:sz w:val="26"/>
                <w:szCs w:val="26"/>
                <w:lang w:val="lv-LV"/>
              </w:rPr>
            </w:pPr>
            <w:r>
              <w:rPr>
                <w:sz w:val="26"/>
                <w:szCs w:val="26"/>
                <w:lang w:val="lv-LV"/>
              </w:rPr>
              <w:t xml:space="preserve">MK noteikumos Nr.818 </w:t>
            </w:r>
            <w:r w:rsidR="00BC506E">
              <w:rPr>
                <w:sz w:val="26"/>
                <w:szCs w:val="26"/>
                <w:lang w:val="lv-LV"/>
              </w:rPr>
              <w:t>ERAF</w:t>
            </w:r>
            <w:r w:rsidR="00BD4331" w:rsidRPr="00CC0911">
              <w:rPr>
                <w:sz w:val="26"/>
                <w:szCs w:val="26"/>
                <w:lang w:val="lv-LV"/>
              </w:rPr>
              <w:t xml:space="preserve"> </w:t>
            </w:r>
            <w:r w:rsidR="00BC506E">
              <w:rPr>
                <w:sz w:val="26"/>
                <w:szCs w:val="26"/>
                <w:lang w:val="lv-LV"/>
              </w:rPr>
              <w:t>ir</w:t>
            </w:r>
            <w:r w:rsidR="007861EC" w:rsidRPr="000D1A31">
              <w:rPr>
                <w:sz w:val="26"/>
                <w:szCs w:val="26"/>
                <w:lang w:val="lv-LV"/>
              </w:rPr>
              <w:t xml:space="preserve"> </w:t>
            </w:r>
            <w:r w:rsidR="00BD4331" w:rsidRPr="000D1A31">
              <w:rPr>
                <w:sz w:val="26"/>
                <w:szCs w:val="26"/>
                <w:lang w:val="lv-LV"/>
              </w:rPr>
              <w:t xml:space="preserve">noteikts 47 204 018 </w:t>
            </w:r>
            <w:r w:rsidR="00BC506E">
              <w:rPr>
                <w:sz w:val="26"/>
                <w:szCs w:val="26"/>
                <w:lang w:val="lv-LV"/>
              </w:rPr>
              <w:t>lati</w:t>
            </w:r>
            <w:r w:rsidR="00BD4331" w:rsidRPr="000D1A31">
              <w:rPr>
                <w:sz w:val="26"/>
                <w:szCs w:val="26"/>
                <w:lang w:val="lv-LV"/>
              </w:rPr>
              <w:t xml:space="preserve">. Veicot minētās summas konvertāciju </w:t>
            </w:r>
            <w:r w:rsidR="00213107" w:rsidRPr="000D1A31">
              <w:rPr>
                <w:i/>
                <w:sz w:val="26"/>
                <w:szCs w:val="26"/>
                <w:lang w:val="lv-LV"/>
              </w:rPr>
              <w:t>euro</w:t>
            </w:r>
            <w:r w:rsidR="00CC0911" w:rsidRPr="000D1A31">
              <w:rPr>
                <w:sz w:val="26"/>
                <w:szCs w:val="26"/>
                <w:lang w:val="lv-LV"/>
              </w:rPr>
              <w:t xml:space="preserve"> valūtā</w:t>
            </w:r>
            <w:r w:rsidR="007861EC" w:rsidRPr="000D1A31">
              <w:rPr>
                <w:i/>
                <w:sz w:val="26"/>
                <w:szCs w:val="26"/>
                <w:lang w:val="lv-LV"/>
              </w:rPr>
              <w:t xml:space="preserve"> </w:t>
            </w:r>
            <w:r w:rsidR="007861EC" w:rsidRPr="00617789">
              <w:rPr>
                <w:sz w:val="26"/>
                <w:szCs w:val="26"/>
                <w:lang w:val="lv-LV"/>
              </w:rPr>
              <w:t>atbilstoši</w:t>
            </w:r>
            <w:r w:rsidR="007861EC" w:rsidRPr="00CC0911">
              <w:rPr>
                <w:sz w:val="26"/>
                <w:szCs w:val="26"/>
                <w:lang w:val="lv-LV"/>
              </w:rPr>
              <w:t xml:space="preserve"> </w:t>
            </w:r>
            <w:r w:rsidR="007861EC" w:rsidRPr="00CC0911">
              <w:rPr>
                <w:i/>
                <w:sz w:val="26"/>
                <w:szCs w:val="26"/>
                <w:lang w:val="lv-LV"/>
              </w:rPr>
              <w:t>Euro</w:t>
            </w:r>
            <w:r w:rsidR="007861EC" w:rsidRPr="00CC0911">
              <w:rPr>
                <w:sz w:val="26"/>
                <w:szCs w:val="26"/>
                <w:lang w:val="lv-LV"/>
              </w:rPr>
              <w:t xml:space="preserve"> ieviešanas kārtības likuma 32.pantam</w:t>
            </w:r>
            <w:r w:rsidR="00BD4331" w:rsidRPr="00CC0911">
              <w:rPr>
                <w:sz w:val="26"/>
                <w:szCs w:val="26"/>
                <w:lang w:val="lv-LV"/>
              </w:rPr>
              <w:t>,</w:t>
            </w:r>
            <w:r w:rsidR="00431D79" w:rsidRPr="00CC0911">
              <w:rPr>
                <w:sz w:val="26"/>
                <w:szCs w:val="26"/>
                <w:lang w:val="lv-LV"/>
              </w:rPr>
              <w:t xml:space="preserve"> </w:t>
            </w:r>
            <w:r w:rsidR="00CC0911">
              <w:rPr>
                <w:sz w:val="26"/>
                <w:szCs w:val="26"/>
                <w:lang w:val="lv-LV"/>
              </w:rPr>
              <w:t>piemērojot valūtas kursu 1</w:t>
            </w:r>
            <w:r>
              <w:rPr>
                <w:sz w:val="26"/>
                <w:szCs w:val="26"/>
                <w:lang w:val="lv-LV"/>
              </w:rPr>
              <w:t xml:space="preserve"> </w:t>
            </w:r>
            <w:r w:rsidR="00CC0911" w:rsidRPr="00617789">
              <w:rPr>
                <w:i/>
                <w:sz w:val="26"/>
                <w:szCs w:val="26"/>
                <w:lang w:val="lv-LV"/>
              </w:rPr>
              <w:t>euro</w:t>
            </w:r>
            <w:r w:rsidR="00BC506E">
              <w:rPr>
                <w:sz w:val="26"/>
                <w:szCs w:val="26"/>
                <w:lang w:val="lv-LV"/>
              </w:rPr>
              <w:t xml:space="preserve"> = 0,702804 lati un norādot finansējuma apmēru veselos skaitļos, </w:t>
            </w:r>
            <w:r w:rsidR="00431D79" w:rsidRPr="00CC0911">
              <w:rPr>
                <w:sz w:val="26"/>
                <w:szCs w:val="26"/>
                <w:lang w:val="lv-LV"/>
              </w:rPr>
              <w:t>Eiropas Reģionālā</w:t>
            </w:r>
            <w:r w:rsidR="00617789">
              <w:rPr>
                <w:sz w:val="26"/>
                <w:szCs w:val="26"/>
                <w:lang w:val="lv-LV"/>
              </w:rPr>
              <w:t>s</w:t>
            </w:r>
            <w:r w:rsidR="00431D79" w:rsidRPr="00CC0911">
              <w:rPr>
                <w:sz w:val="26"/>
                <w:szCs w:val="26"/>
                <w:lang w:val="lv-LV"/>
              </w:rPr>
              <w:t xml:space="preserve"> attīstības fonda finansējum</w:t>
            </w:r>
            <w:r w:rsidR="00BC506E">
              <w:rPr>
                <w:sz w:val="26"/>
                <w:szCs w:val="26"/>
                <w:lang w:val="lv-LV"/>
              </w:rPr>
              <w:t xml:space="preserve">s </w:t>
            </w:r>
            <w:r>
              <w:rPr>
                <w:sz w:val="26"/>
                <w:szCs w:val="26"/>
                <w:lang w:val="lv-LV"/>
              </w:rPr>
              <w:t>ir vienāds ar</w:t>
            </w:r>
            <w:r w:rsidR="00431D79" w:rsidRPr="00CC0911">
              <w:rPr>
                <w:sz w:val="26"/>
                <w:szCs w:val="26"/>
                <w:lang w:val="lv-LV"/>
              </w:rPr>
              <w:t xml:space="preserve"> 67 165</w:t>
            </w:r>
            <w:r w:rsidR="00617789">
              <w:rPr>
                <w:sz w:val="26"/>
                <w:szCs w:val="26"/>
                <w:lang w:val="lv-LV"/>
              </w:rPr>
              <w:t> </w:t>
            </w:r>
            <w:r w:rsidR="00BC506E" w:rsidRPr="00CC0911">
              <w:rPr>
                <w:sz w:val="26"/>
                <w:szCs w:val="26"/>
                <w:lang w:val="lv-LV"/>
              </w:rPr>
              <w:t>26</w:t>
            </w:r>
            <w:r w:rsidR="00BC506E">
              <w:rPr>
                <w:sz w:val="26"/>
                <w:szCs w:val="26"/>
                <w:lang w:val="lv-LV"/>
              </w:rPr>
              <w:t>7</w:t>
            </w:r>
            <w:r w:rsidR="00617789">
              <w:rPr>
                <w:sz w:val="26"/>
                <w:szCs w:val="26"/>
                <w:lang w:val="lv-LV"/>
              </w:rPr>
              <w:t xml:space="preserve"> </w:t>
            </w:r>
            <w:r w:rsidR="00213107" w:rsidRPr="00CC0911">
              <w:rPr>
                <w:i/>
                <w:sz w:val="26"/>
                <w:szCs w:val="26"/>
                <w:lang w:val="lv-LV"/>
              </w:rPr>
              <w:t>euro</w:t>
            </w:r>
            <w:r w:rsidR="00617789">
              <w:rPr>
                <w:i/>
                <w:sz w:val="26"/>
                <w:szCs w:val="26"/>
                <w:lang w:val="lv-LV"/>
              </w:rPr>
              <w:t>.</w:t>
            </w:r>
            <w:r w:rsidR="007C0E53" w:rsidRPr="00CC0911">
              <w:rPr>
                <w:sz w:val="26"/>
                <w:szCs w:val="26"/>
                <w:lang w:val="lv-LV"/>
              </w:rPr>
              <w:t xml:space="preserve"> </w:t>
            </w:r>
            <w:r>
              <w:rPr>
                <w:sz w:val="26"/>
                <w:szCs w:val="26"/>
                <w:lang w:val="lv-LV"/>
              </w:rPr>
              <w:t>MK noteikumu Nr.818</w:t>
            </w:r>
            <w:r w:rsidR="00CC0911" w:rsidRPr="00617789">
              <w:rPr>
                <w:sz w:val="26"/>
                <w:szCs w:val="26"/>
                <w:lang w:val="lv-LV"/>
              </w:rPr>
              <w:t xml:space="preserve"> ietvaros pieejam</w:t>
            </w:r>
            <w:r w:rsidR="00BC506E">
              <w:rPr>
                <w:sz w:val="26"/>
                <w:szCs w:val="26"/>
                <w:lang w:val="lv-LV"/>
              </w:rPr>
              <w:t>ajam</w:t>
            </w:r>
            <w:r w:rsidR="007861EC" w:rsidRPr="00CC0911">
              <w:rPr>
                <w:sz w:val="26"/>
                <w:szCs w:val="26"/>
                <w:lang w:val="lv-LV"/>
              </w:rPr>
              <w:t xml:space="preserve"> </w:t>
            </w:r>
            <w:r>
              <w:rPr>
                <w:sz w:val="26"/>
                <w:szCs w:val="26"/>
                <w:lang w:val="lv-LV"/>
              </w:rPr>
              <w:t xml:space="preserve">kopējam </w:t>
            </w:r>
            <w:r w:rsidR="007861EC" w:rsidRPr="00CC0911">
              <w:rPr>
                <w:sz w:val="26"/>
                <w:szCs w:val="26"/>
                <w:lang w:val="lv-LV"/>
              </w:rPr>
              <w:t>finansējum</w:t>
            </w:r>
            <w:r w:rsidR="00BC506E">
              <w:rPr>
                <w:sz w:val="26"/>
                <w:szCs w:val="26"/>
                <w:lang w:val="lv-LV"/>
              </w:rPr>
              <w:t>am</w:t>
            </w:r>
            <w:r>
              <w:rPr>
                <w:sz w:val="26"/>
                <w:szCs w:val="26"/>
                <w:lang w:val="lv-LV"/>
              </w:rPr>
              <w:t xml:space="preserve"> </w:t>
            </w:r>
            <w:r w:rsidR="00CC0911" w:rsidRPr="00617789">
              <w:rPr>
                <w:sz w:val="26"/>
                <w:szCs w:val="26"/>
                <w:lang w:val="lv-LV"/>
              </w:rPr>
              <w:t>un finansējum</w:t>
            </w:r>
            <w:r w:rsidR="00BC506E">
              <w:rPr>
                <w:sz w:val="26"/>
                <w:szCs w:val="26"/>
                <w:lang w:val="lv-LV"/>
              </w:rPr>
              <w:t>a</w:t>
            </w:r>
            <w:r>
              <w:rPr>
                <w:sz w:val="26"/>
                <w:szCs w:val="26"/>
                <w:lang w:val="lv-LV"/>
              </w:rPr>
              <w:t>m</w:t>
            </w:r>
            <w:r w:rsidR="00CC0911" w:rsidRPr="00617789">
              <w:rPr>
                <w:sz w:val="26"/>
                <w:szCs w:val="26"/>
                <w:lang w:val="lv-LV"/>
              </w:rPr>
              <w:t xml:space="preserve"> sadalījum</w:t>
            </w:r>
            <w:r>
              <w:rPr>
                <w:sz w:val="26"/>
                <w:szCs w:val="26"/>
                <w:lang w:val="lv-LV"/>
              </w:rPr>
              <w:t>ā</w:t>
            </w:r>
            <w:r w:rsidR="00CC0911" w:rsidRPr="00617789">
              <w:rPr>
                <w:sz w:val="26"/>
                <w:szCs w:val="26"/>
                <w:lang w:val="lv-LV"/>
              </w:rPr>
              <w:t xml:space="preserve"> pa finansēšanas avotiem</w:t>
            </w:r>
            <w:r>
              <w:rPr>
                <w:sz w:val="26"/>
                <w:szCs w:val="26"/>
                <w:lang w:val="lv-LV"/>
              </w:rPr>
              <w:t>, tajā skaitā ERAF,</w:t>
            </w:r>
            <w:r w:rsidR="007861EC" w:rsidRPr="00CC0911">
              <w:rPr>
                <w:sz w:val="26"/>
                <w:szCs w:val="26"/>
                <w:lang w:val="lv-LV"/>
              </w:rPr>
              <w:t xml:space="preserve"> </w:t>
            </w:r>
            <w:r w:rsidR="00BC506E">
              <w:rPr>
                <w:sz w:val="26"/>
                <w:szCs w:val="26"/>
                <w:lang w:val="lv-LV"/>
              </w:rPr>
              <w:t>jāsakrīt ar finansējumu, </w:t>
            </w:r>
            <w:r w:rsidR="00CC0911" w:rsidRPr="00617789">
              <w:rPr>
                <w:sz w:val="26"/>
                <w:szCs w:val="26"/>
                <w:lang w:val="lv-LV"/>
              </w:rPr>
              <w:t>kas norādīts</w:t>
            </w:r>
            <w:r w:rsidR="007861EC" w:rsidRPr="00CC0911">
              <w:rPr>
                <w:sz w:val="26"/>
                <w:szCs w:val="26"/>
                <w:lang w:val="lv-LV"/>
              </w:rPr>
              <w:t xml:space="preserve"> darbības programmas „Uzņēmējdarbība un inovācij</w:t>
            </w:r>
            <w:r w:rsidR="00CC0911" w:rsidRPr="00617789">
              <w:rPr>
                <w:sz w:val="26"/>
                <w:szCs w:val="26"/>
                <w:lang w:val="lv-LV"/>
              </w:rPr>
              <w:t>as” papildinājumā</w:t>
            </w:r>
            <w:r>
              <w:rPr>
                <w:sz w:val="26"/>
                <w:szCs w:val="26"/>
                <w:lang w:val="lv-LV"/>
              </w:rPr>
              <w:t>. N</w:t>
            </w:r>
            <w:r w:rsidR="00CC0911" w:rsidRPr="00CC0911">
              <w:rPr>
                <w:sz w:val="26"/>
                <w:szCs w:val="26"/>
                <w:lang w:val="lv-LV"/>
              </w:rPr>
              <w:t xml:space="preserve">orādot </w:t>
            </w:r>
            <w:r w:rsidR="007861EC" w:rsidRPr="00CC0911">
              <w:rPr>
                <w:sz w:val="26"/>
                <w:szCs w:val="26"/>
                <w:lang w:val="lv-LV"/>
              </w:rPr>
              <w:t xml:space="preserve"> </w:t>
            </w:r>
            <w:r>
              <w:rPr>
                <w:sz w:val="26"/>
                <w:szCs w:val="26"/>
                <w:lang w:val="lv-LV"/>
              </w:rPr>
              <w:t>ERAF daļu</w:t>
            </w:r>
            <w:r w:rsidR="00CC0911" w:rsidRPr="00CC0911">
              <w:rPr>
                <w:sz w:val="26"/>
                <w:szCs w:val="26"/>
                <w:lang w:val="lv-LV"/>
              </w:rPr>
              <w:t xml:space="preserve"> </w:t>
            </w:r>
            <w:r w:rsidR="00CC0911" w:rsidRPr="00617789">
              <w:rPr>
                <w:i/>
                <w:sz w:val="26"/>
                <w:szCs w:val="26"/>
                <w:lang w:val="lv-LV"/>
              </w:rPr>
              <w:t xml:space="preserve">euro </w:t>
            </w:r>
            <w:r>
              <w:rPr>
                <w:sz w:val="26"/>
                <w:szCs w:val="26"/>
                <w:lang w:val="lv-LV"/>
              </w:rPr>
              <w:t xml:space="preserve">valūtā </w:t>
            </w:r>
            <w:r w:rsidR="00CC0911" w:rsidRPr="00CC0911">
              <w:rPr>
                <w:sz w:val="26"/>
                <w:szCs w:val="26"/>
                <w:lang w:val="lv-LV"/>
              </w:rPr>
              <w:t xml:space="preserve">atbilstoši </w:t>
            </w:r>
            <w:r w:rsidR="00CC0911" w:rsidRPr="00617789">
              <w:rPr>
                <w:i/>
                <w:sz w:val="26"/>
                <w:szCs w:val="26"/>
                <w:lang w:val="lv-LV"/>
              </w:rPr>
              <w:t>Euro</w:t>
            </w:r>
            <w:r w:rsidR="00CC0911" w:rsidRPr="00CC0911">
              <w:rPr>
                <w:sz w:val="26"/>
                <w:szCs w:val="26"/>
                <w:lang w:val="lv-LV"/>
              </w:rPr>
              <w:t xml:space="preserve"> ieviešanas kārtības likuma 32.pantam,</w:t>
            </w:r>
            <w:r>
              <w:rPr>
                <w:sz w:val="26"/>
                <w:szCs w:val="26"/>
                <w:lang w:val="lv-LV"/>
              </w:rPr>
              <w:t xml:space="preserve"> kas ir 67 165 267 </w:t>
            </w:r>
            <w:r w:rsidRPr="00617789">
              <w:rPr>
                <w:i/>
                <w:sz w:val="26"/>
                <w:szCs w:val="26"/>
                <w:lang w:val="lv-LV"/>
              </w:rPr>
              <w:t>euro</w:t>
            </w:r>
            <w:r>
              <w:rPr>
                <w:sz w:val="26"/>
                <w:szCs w:val="26"/>
                <w:lang w:val="lv-LV"/>
              </w:rPr>
              <w:t>,</w:t>
            </w:r>
            <w:r w:rsidR="00CC0911" w:rsidRPr="00CC0911">
              <w:rPr>
                <w:sz w:val="26"/>
                <w:szCs w:val="26"/>
                <w:lang w:val="lv-LV"/>
              </w:rPr>
              <w:t xml:space="preserve"> finansējums pārsniegs </w:t>
            </w:r>
            <w:r>
              <w:rPr>
                <w:sz w:val="26"/>
                <w:szCs w:val="26"/>
                <w:lang w:val="lv-LV"/>
              </w:rPr>
              <w:t>maksimāli pieejamo</w:t>
            </w:r>
            <w:r w:rsidR="00CC0911" w:rsidRPr="00CC0911">
              <w:rPr>
                <w:sz w:val="26"/>
                <w:szCs w:val="26"/>
                <w:lang w:val="lv-LV"/>
              </w:rPr>
              <w:t xml:space="preserve"> </w:t>
            </w:r>
            <w:r>
              <w:rPr>
                <w:sz w:val="26"/>
                <w:szCs w:val="26"/>
                <w:lang w:val="lv-LV"/>
              </w:rPr>
              <w:t xml:space="preserve">ERAF, kas </w:t>
            </w:r>
            <w:r w:rsidRPr="00F3576D">
              <w:rPr>
                <w:sz w:val="26"/>
                <w:szCs w:val="26"/>
                <w:lang w:val="lv-LV"/>
              </w:rPr>
              <w:t>darbības programmas „Uzņēmējdarbība un inovācijas” papildinājumā</w:t>
            </w:r>
            <w:r>
              <w:rPr>
                <w:sz w:val="26"/>
                <w:szCs w:val="26"/>
                <w:lang w:val="lv-LV"/>
              </w:rPr>
              <w:t xml:space="preserve"> noteikts 67 165 266 </w:t>
            </w:r>
            <w:r w:rsidRPr="00617789">
              <w:rPr>
                <w:i/>
                <w:sz w:val="26"/>
                <w:szCs w:val="26"/>
                <w:lang w:val="lv-LV"/>
              </w:rPr>
              <w:t>euro</w:t>
            </w:r>
            <w:r>
              <w:rPr>
                <w:sz w:val="26"/>
                <w:szCs w:val="26"/>
                <w:lang w:val="lv-LV"/>
              </w:rPr>
              <w:t xml:space="preserve">. Lai nepieļautu situāciju, kad MK noteikumos Nr.818 norādītais ERAF pārsniedz faktiski pieejamo finansējuma apmēru, noteikumu projekts paredz noteikt ERAF atbilstoši </w:t>
            </w:r>
            <w:r w:rsidR="00CC0911" w:rsidRPr="00610C5B">
              <w:rPr>
                <w:sz w:val="26"/>
                <w:szCs w:val="26"/>
                <w:lang w:val="lv-LV"/>
              </w:rPr>
              <w:t>darbības programmā „Uzņēmējdarbība un inovācijas”</w:t>
            </w:r>
            <w:r>
              <w:rPr>
                <w:sz w:val="26"/>
                <w:szCs w:val="26"/>
                <w:lang w:val="lv-LV"/>
              </w:rPr>
              <w:t xml:space="preserve"> noteiktajam ERAF, kas ir</w:t>
            </w:r>
            <w:r w:rsidR="00CC0911" w:rsidRPr="00610C5B">
              <w:rPr>
                <w:sz w:val="26"/>
                <w:szCs w:val="26"/>
                <w:lang w:val="lv-LV"/>
              </w:rPr>
              <w:t xml:space="preserve"> 67 165 266 </w:t>
            </w:r>
            <w:r w:rsidR="00CC0911" w:rsidRPr="00617789">
              <w:rPr>
                <w:i/>
                <w:sz w:val="26"/>
                <w:szCs w:val="26"/>
                <w:lang w:val="lv-LV"/>
              </w:rPr>
              <w:t>euro</w:t>
            </w:r>
            <w:r w:rsidR="00CC0911" w:rsidRPr="00CC0911">
              <w:rPr>
                <w:sz w:val="26"/>
                <w:szCs w:val="26"/>
                <w:lang w:val="lv-LV"/>
              </w:rPr>
              <w:t xml:space="preserve"> apmērā. </w:t>
            </w: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61AD" w:rsidRPr="005A7B9C" w:rsidRDefault="00E9274F" w:rsidP="000C491C">
            <w:pPr>
              <w:spacing w:before="60" w:after="60"/>
              <w:ind w:firstLine="709"/>
              <w:jc w:val="both"/>
              <w:rPr>
                <w:sz w:val="26"/>
                <w:szCs w:val="26"/>
                <w:lang w:val="lv-LV"/>
              </w:rPr>
            </w:pPr>
            <w:r w:rsidRPr="007861AD">
              <w:rPr>
                <w:sz w:val="26"/>
                <w:szCs w:val="26"/>
                <w:lang w:val="lv-LV"/>
              </w:rPr>
              <w:t>EM ir izstrādājusi grozī</w:t>
            </w:r>
            <w:r w:rsidR="00184308" w:rsidRPr="007861AD">
              <w:rPr>
                <w:sz w:val="26"/>
                <w:szCs w:val="26"/>
                <w:lang w:val="lv-LV"/>
              </w:rPr>
              <w:t xml:space="preserve">jumus </w:t>
            </w:r>
            <w:r w:rsidR="007861AD" w:rsidRPr="007861AD">
              <w:rPr>
                <w:sz w:val="26"/>
                <w:szCs w:val="26"/>
                <w:lang w:val="lv-LV"/>
              </w:rPr>
              <w:t>MK noteikumos Nr.</w:t>
            </w:r>
            <w:r w:rsidR="008E1656">
              <w:rPr>
                <w:sz w:val="26"/>
                <w:szCs w:val="26"/>
                <w:lang w:val="lv-LV"/>
              </w:rPr>
              <w:t>818,</w:t>
            </w:r>
            <w:r w:rsidR="0011218B" w:rsidRPr="007861AD">
              <w:rPr>
                <w:sz w:val="26"/>
                <w:szCs w:val="26"/>
                <w:lang w:val="lv-LV"/>
              </w:rPr>
              <w:t xml:space="preserve"> </w:t>
            </w:r>
            <w:r w:rsidR="007861AD" w:rsidRPr="007861AD">
              <w:rPr>
                <w:sz w:val="26"/>
                <w:szCs w:val="26"/>
                <w:lang w:val="lv-LV"/>
              </w:rPr>
              <w:t>pielāgojot</w:t>
            </w:r>
            <w:r w:rsidR="0011218B" w:rsidRPr="007861AD">
              <w:rPr>
                <w:sz w:val="26"/>
                <w:szCs w:val="26"/>
                <w:lang w:val="lv-LV"/>
              </w:rPr>
              <w:t xml:space="preserve"> MK noteikumus Nr.</w:t>
            </w:r>
            <w:r w:rsidR="008E1656">
              <w:rPr>
                <w:sz w:val="26"/>
                <w:szCs w:val="26"/>
                <w:lang w:val="lv-LV"/>
              </w:rPr>
              <w:t>818</w:t>
            </w:r>
            <w:r w:rsidR="0011218B" w:rsidRPr="007861AD">
              <w:rPr>
                <w:sz w:val="26"/>
                <w:szCs w:val="26"/>
                <w:lang w:val="lv-LV"/>
              </w:rPr>
              <w:t xml:space="preserve"> </w:t>
            </w:r>
            <w:r w:rsidR="007861AD" w:rsidRPr="007861AD">
              <w:rPr>
                <w:sz w:val="26"/>
                <w:szCs w:val="26"/>
                <w:lang w:val="lv-LV"/>
              </w:rPr>
              <w:t xml:space="preserve">pārejai uz </w:t>
            </w:r>
            <w:r w:rsidR="000C491C">
              <w:rPr>
                <w:i/>
                <w:sz w:val="26"/>
                <w:szCs w:val="26"/>
                <w:lang w:val="lv-LV"/>
              </w:rPr>
              <w:t>euro</w:t>
            </w:r>
            <w:r w:rsidR="000C491C" w:rsidRPr="007861AD">
              <w:rPr>
                <w:sz w:val="26"/>
                <w:szCs w:val="26"/>
                <w:lang w:val="lv-LV"/>
              </w:rPr>
              <w:t xml:space="preserve"> </w:t>
            </w:r>
            <w:r w:rsidR="007861AD" w:rsidRPr="007861AD">
              <w:rPr>
                <w:sz w:val="26"/>
                <w:szCs w:val="26"/>
                <w:lang w:val="lv-LV"/>
              </w:rPr>
              <w:t xml:space="preserve">valūtu – nosakot </w:t>
            </w:r>
            <w:r w:rsidR="008E1656">
              <w:rPr>
                <w:sz w:val="26"/>
                <w:szCs w:val="26"/>
                <w:lang w:val="lv-LV"/>
              </w:rPr>
              <w:t>finansējuma</w:t>
            </w:r>
            <w:r w:rsidR="007861AD" w:rsidRPr="007861AD">
              <w:rPr>
                <w:sz w:val="26"/>
                <w:szCs w:val="26"/>
                <w:lang w:val="lv-LV"/>
              </w:rPr>
              <w:t xml:space="preserve"> apmērus </w:t>
            </w:r>
            <w:r w:rsidR="000C491C">
              <w:rPr>
                <w:i/>
                <w:sz w:val="26"/>
                <w:szCs w:val="26"/>
                <w:lang w:val="lv-LV"/>
              </w:rPr>
              <w:t>euro</w:t>
            </w:r>
            <w:r w:rsidR="000C491C" w:rsidRPr="007861AD">
              <w:rPr>
                <w:sz w:val="26"/>
                <w:szCs w:val="26"/>
                <w:lang w:val="lv-LV"/>
              </w:rPr>
              <w:t xml:space="preserve"> </w:t>
            </w:r>
            <w:r w:rsidR="007861AD" w:rsidRPr="007861AD">
              <w:rPr>
                <w:sz w:val="26"/>
                <w:szCs w:val="26"/>
                <w:lang w:val="lv-LV"/>
              </w:rPr>
              <w:t xml:space="preserve">valūtā, </w:t>
            </w:r>
            <w:r w:rsidR="0011218B" w:rsidRPr="007861AD">
              <w:rPr>
                <w:sz w:val="26"/>
                <w:szCs w:val="26"/>
                <w:lang w:val="lv-LV"/>
              </w:rPr>
              <w:t xml:space="preserve">pamatojoties uz  </w:t>
            </w:r>
            <w:r w:rsidR="0011218B" w:rsidRPr="00617789">
              <w:rPr>
                <w:i/>
                <w:sz w:val="26"/>
                <w:szCs w:val="26"/>
                <w:lang w:val="lv-LV"/>
              </w:rPr>
              <w:t>Euro</w:t>
            </w:r>
            <w:r w:rsidR="0011218B" w:rsidRPr="007861AD">
              <w:rPr>
                <w:sz w:val="26"/>
                <w:szCs w:val="26"/>
                <w:lang w:val="lv-LV"/>
              </w:rPr>
              <w:t xml:space="preserve"> ieviešanas kārtības likuma 30.panta pirmo daļu un Ministru kabineta 2012.gada 27.jūnija rīkojuma Nr.282 „Par „Koncepciju par normatīvo aktu sakārtošanu saistībā ar eiro ieviešanu Latvijā”” 7.1.apakšpunktu</w:t>
            </w:r>
            <w:r w:rsidR="008474D6">
              <w:rPr>
                <w:sz w:val="26"/>
                <w:szCs w:val="26"/>
                <w:lang w:val="lv-LV"/>
              </w:rPr>
              <w:t>.</w:t>
            </w:r>
          </w:p>
        </w:tc>
      </w:tr>
      <w:tr w:rsidR="00A31FDC" w:rsidRPr="005A7B9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p w:rsidR="00A31FDC" w:rsidRPr="005A7B9C" w:rsidRDefault="00A31FDC" w:rsidP="00F22471">
            <w:pPr>
              <w:pStyle w:val="BodyText"/>
              <w:ind w:right="142" w:firstLine="720"/>
              <w:rPr>
                <w:sz w:val="26"/>
                <w:szCs w:val="26"/>
              </w:rPr>
            </w:pPr>
          </w:p>
        </w:tc>
      </w:tr>
      <w:tr w:rsidR="00A31FDC" w:rsidRPr="005A7B9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543052" w:rsidP="00F22471">
            <w:pPr>
              <w:ind w:left="142" w:firstLine="567"/>
              <w:jc w:val="both"/>
              <w:rPr>
                <w:sz w:val="26"/>
                <w:szCs w:val="26"/>
                <w:lang w:val="lv-LV"/>
              </w:rPr>
            </w:pPr>
            <w:r w:rsidRPr="005A7B9C">
              <w:rPr>
                <w:sz w:val="26"/>
                <w:szCs w:val="26"/>
                <w:lang w:val="lv-LV"/>
              </w:rPr>
              <w:t>Nav.</w:t>
            </w:r>
          </w:p>
        </w:tc>
      </w:tr>
    </w:tbl>
    <w:p w:rsidR="00E8006C" w:rsidRPr="005A7B9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2B5151"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b/>
                <w:sz w:val="26"/>
                <w:szCs w:val="26"/>
                <w:lang w:val="lv-LV" w:eastAsia="lv-LV"/>
              </w:rPr>
            </w:pPr>
            <w:r w:rsidRPr="005A7B9C">
              <w:rPr>
                <w:rFonts w:eastAsia="Times New Roman"/>
                <w:b/>
                <w:sz w:val="26"/>
                <w:szCs w:val="26"/>
                <w:lang w:val="lv-LV" w:eastAsia="lv-LV"/>
              </w:rPr>
              <w:lastRenderedPageBreak/>
              <w:t>II. Tiesību akta projekta ietekme uz sabiedrību</w:t>
            </w:r>
          </w:p>
        </w:tc>
      </w:tr>
      <w:tr w:rsidR="00F22471" w:rsidRPr="002B5151"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5A7B9C" w:rsidRDefault="00812294" w:rsidP="00CA1F6A">
            <w:pPr>
              <w:spacing w:after="240"/>
              <w:ind w:firstLine="720"/>
              <w:jc w:val="both"/>
              <w:rPr>
                <w:sz w:val="26"/>
                <w:szCs w:val="26"/>
                <w:lang w:val="lv-LV"/>
              </w:rPr>
            </w:pPr>
            <w:r>
              <w:rPr>
                <w:rFonts w:eastAsia="Times New Roman"/>
                <w:sz w:val="26"/>
                <w:szCs w:val="26"/>
                <w:lang w:val="lv-LV" w:eastAsia="lv-LV"/>
              </w:rPr>
              <w:t>Sabiedrība ar ierobežotu atbildību „</w:t>
            </w:r>
            <w:r w:rsidRPr="005A7B9C">
              <w:rPr>
                <w:rFonts w:eastAsia="Times New Roman"/>
                <w:sz w:val="26"/>
                <w:szCs w:val="26"/>
                <w:lang w:val="lv-LV" w:eastAsia="lv-LV"/>
              </w:rPr>
              <w:t>L</w:t>
            </w:r>
            <w:r>
              <w:rPr>
                <w:rFonts w:eastAsia="Times New Roman"/>
                <w:sz w:val="26"/>
                <w:szCs w:val="26"/>
                <w:lang w:val="lv-LV" w:eastAsia="lv-LV"/>
              </w:rPr>
              <w:t xml:space="preserve">atvijas </w:t>
            </w:r>
            <w:r w:rsidRPr="005A7B9C">
              <w:rPr>
                <w:rFonts w:eastAsia="Times New Roman"/>
                <w:sz w:val="26"/>
                <w:szCs w:val="26"/>
                <w:lang w:val="lv-LV" w:eastAsia="lv-LV"/>
              </w:rPr>
              <w:t>G</w:t>
            </w:r>
            <w:r>
              <w:rPr>
                <w:rFonts w:eastAsia="Times New Roman"/>
                <w:sz w:val="26"/>
                <w:szCs w:val="26"/>
                <w:lang w:val="lv-LV" w:eastAsia="lv-LV"/>
              </w:rPr>
              <w:t>arantiju aģentūra”</w:t>
            </w:r>
            <w:r w:rsidR="00D9405A">
              <w:rPr>
                <w:rFonts w:eastAsia="Times New Roman"/>
                <w:sz w:val="26"/>
                <w:szCs w:val="26"/>
                <w:lang w:val="lv-LV" w:eastAsia="lv-LV"/>
              </w:rPr>
              <w:t xml:space="preserve"> (turpmāk – LGA).</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5A7B9C" w:rsidRDefault="00840961" w:rsidP="0084096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2B5151"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765A89" w:rsidP="00894B14">
            <w:pPr>
              <w:pStyle w:val="BodyText"/>
              <w:spacing w:after="240"/>
              <w:ind w:right="142" w:firstLine="720"/>
              <w:rPr>
                <w:sz w:val="26"/>
                <w:szCs w:val="26"/>
              </w:rPr>
            </w:pPr>
            <w:r>
              <w:rPr>
                <w:sz w:val="26"/>
                <w:szCs w:val="26"/>
              </w:rPr>
              <w:t>MK noteikumu Nr.</w:t>
            </w:r>
            <w:r w:rsidR="008474D6">
              <w:rPr>
                <w:sz w:val="26"/>
                <w:szCs w:val="26"/>
              </w:rPr>
              <w:t>818</w:t>
            </w:r>
            <w:r>
              <w:rPr>
                <w:sz w:val="26"/>
                <w:szCs w:val="26"/>
              </w:rPr>
              <w:t xml:space="preserve"> pielāgošana pārejai uz </w:t>
            </w:r>
            <w:r w:rsidR="00894B14">
              <w:rPr>
                <w:i/>
                <w:sz w:val="26"/>
                <w:szCs w:val="26"/>
              </w:rPr>
              <w:t>euro</w:t>
            </w:r>
            <w:r w:rsidR="00894B14" w:rsidRPr="00765A89">
              <w:rPr>
                <w:i/>
                <w:sz w:val="26"/>
                <w:szCs w:val="26"/>
              </w:rPr>
              <w:t xml:space="preserve"> </w:t>
            </w:r>
            <w:r>
              <w:rPr>
                <w:sz w:val="26"/>
                <w:szCs w:val="26"/>
              </w:rPr>
              <w:t xml:space="preserve">valūtu nerada ietekmi uz pieejamā finansējuma </w:t>
            </w:r>
            <w:r w:rsidR="00894B14">
              <w:rPr>
                <w:sz w:val="26"/>
                <w:szCs w:val="26"/>
              </w:rPr>
              <w:t xml:space="preserve">kopējo </w:t>
            </w:r>
            <w:r>
              <w:rPr>
                <w:sz w:val="26"/>
                <w:szCs w:val="26"/>
              </w:rPr>
              <w:t>apmēru.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A7B9C" w:rsidRDefault="00C1739F" w:rsidP="00C1739F">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2168"/>
        <w:gridCol w:w="1394"/>
        <w:gridCol w:w="1394"/>
        <w:gridCol w:w="1394"/>
        <w:gridCol w:w="1394"/>
        <w:gridCol w:w="1328"/>
      </w:tblGrid>
      <w:tr w:rsidR="00B82739" w:rsidRPr="00B82739" w:rsidTr="00B45B66">
        <w:trPr>
          <w:trHeight w:val="623"/>
        </w:trPr>
        <w:tc>
          <w:tcPr>
            <w:tcW w:w="908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B82739" w:rsidRPr="00B82739" w:rsidRDefault="00B82739" w:rsidP="00B82739">
            <w:pPr>
              <w:ind w:firstLine="720"/>
              <w:jc w:val="both"/>
              <w:rPr>
                <w:rFonts w:eastAsia="Times New Roman"/>
                <w:b/>
                <w:sz w:val="26"/>
                <w:szCs w:val="26"/>
                <w:lang w:val="lv-LV" w:eastAsia="lv-LV"/>
              </w:rPr>
            </w:pPr>
            <w:r w:rsidRPr="00B82739">
              <w:rPr>
                <w:rFonts w:eastAsia="Times New Roman"/>
                <w:b/>
                <w:sz w:val="26"/>
                <w:szCs w:val="26"/>
                <w:lang w:val="lv-LV" w:eastAsia="lv-LV"/>
              </w:rPr>
              <w:br w:type="page"/>
              <w:t>III. Tiesību akta projekta ietekme uz valsts budžetu un pašvaldību budžetiem</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B82739" w:rsidRPr="00B82739" w:rsidRDefault="00B82739" w:rsidP="00B82739">
            <w:pPr>
              <w:ind w:firstLine="375"/>
              <w:jc w:val="center"/>
              <w:rPr>
                <w:rFonts w:eastAsia="Times New Roman"/>
                <w:b/>
                <w:sz w:val="26"/>
                <w:szCs w:val="26"/>
                <w:lang w:val="lv-LV" w:eastAsia="lv-LV"/>
              </w:rPr>
            </w:pPr>
            <w:r w:rsidRPr="00B82739">
              <w:rPr>
                <w:rFonts w:eastAsia="Times New Roman"/>
                <w:b/>
                <w:sz w:val="26"/>
                <w:szCs w:val="26"/>
                <w:lang w:val="lv-LV" w:eastAsia="lv-LV"/>
              </w:rPr>
              <w:t>Rādītāji</w:t>
            </w:r>
          </w:p>
        </w:tc>
        <w:tc>
          <w:tcPr>
            <w:tcW w:w="2788" w:type="dxa"/>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B82739" w:rsidRPr="00B82739" w:rsidRDefault="00B82739" w:rsidP="00B82739">
            <w:pPr>
              <w:ind w:firstLine="375"/>
              <w:jc w:val="center"/>
              <w:rPr>
                <w:rFonts w:eastAsia="Times New Roman"/>
                <w:b/>
                <w:sz w:val="26"/>
                <w:szCs w:val="26"/>
                <w:lang w:val="lv-LV" w:eastAsia="lv-LV"/>
              </w:rPr>
            </w:pPr>
            <w:r w:rsidRPr="00B82739">
              <w:rPr>
                <w:rFonts w:eastAsia="Times New Roman"/>
                <w:b/>
                <w:sz w:val="26"/>
                <w:szCs w:val="26"/>
                <w:lang w:val="lv-LV" w:eastAsia="lv-LV"/>
              </w:rPr>
              <w:t>2013.</w:t>
            </w:r>
          </w:p>
        </w:tc>
        <w:tc>
          <w:tcPr>
            <w:tcW w:w="4116" w:type="dxa"/>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B82739" w:rsidRPr="00B82739" w:rsidRDefault="00B82739" w:rsidP="00B82739">
            <w:pPr>
              <w:ind w:firstLine="375"/>
              <w:jc w:val="center"/>
              <w:rPr>
                <w:rFonts w:eastAsia="Times New Roman"/>
                <w:b/>
                <w:i/>
                <w:sz w:val="26"/>
                <w:szCs w:val="26"/>
                <w:lang w:val="lv-LV" w:eastAsia="lv-LV"/>
              </w:rPr>
            </w:pPr>
            <w:r w:rsidRPr="00B82739">
              <w:rPr>
                <w:rFonts w:eastAsia="Times New Roman"/>
                <w:sz w:val="26"/>
                <w:szCs w:val="26"/>
                <w:lang w:val="lv-LV"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82739">
                <w:rPr>
                  <w:rFonts w:eastAsia="Times New Roman"/>
                  <w:sz w:val="26"/>
                  <w:szCs w:val="26"/>
                  <w:lang w:val="lv-LV" w:eastAsia="lv-LV"/>
                </w:rPr>
                <w:t>. latu</w:t>
              </w:r>
            </w:smartTag>
            <w:r w:rsidRPr="00B82739">
              <w:rPr>
                <w:rFonts w:eastAsia="Times New Roman"/>
                <w:sz w:val="26"/>
                <w:szCs w:val="26"/>
                <w:lang w:val="lv-LV" w:eastAsia="lv-LV"/>
              </w:rPr>
              <w:t>)</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B82739" w:rsidRPr="00B82739" w:rsidRDefault="00B82739" w:rsidP="00B82739">
            <w:pPr>
              <w:rPr>
                <w:rFonts w:eastAsia="Times New Roman"/>
                <w:b/>
                <w:sz w:val="26"/>
                <w:szCs w:val="26"/>
                <w:lang w:val="lv-LV" w:eastAsia="lv-LV"/>
              </w:rPr>
            </w:pPr>
          </w:p>
        </w:tc>
        <w:tc>
          <w:tcPr>
            <w:tcW w:w="2788" w:type="dxa"/>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B82739" w:rsidRPr="00B82739" w:rsidRDefault="00B82739" w:rsidP="00B82739">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
                <w:i/>
                <w:sz w:val="26"/>
                <w:szCs w:val="26"/>
                <w:lang w:val="lv-LV" w:eastAsia="lv-LV"/>
              </w:rPr>
            </w:pPr>
            <w:r w:rsidRPr="00B82739">
              <w:rPr>
                <w:rFonts w:eastAsia="Times New Roman"/>
                <w:b/>
                <w:bCs/>
                <w:sz w:val="26"/>
                <w:szCs w:val="26"/>
                <w:lang w:val="lv-LV" w:eastAsia="lv-LV"/>
              </w:rPr>
              <w:t>2014.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both"/>
              <w:rPr>
                <w:rFonts w:eastAsia="Times New Roman"/>
                <w:b/>
                <w:i/>
                <w:sz w:val="26"/>
                <w:szCs w:val="26"/>
                <w:lang w:val="lv-LV" w:eastAsia="lv-LV"/>
              </w:rPr>
            </w:pPr>
            <w:r w:rsidRPr="00B82739">
              <w:rPr>
                <w:rFonts w:eastAsia="Times New Roman"/>
                <w:b/>
                <w:bCs/>
                <w:sz w:val="26"/>
                <w:szCs w:val="26"/>
                <w:lang w:val="lv-LV" w:eastAsia="lv-LV"/>
              </w:rPr>
              <w:t>2015.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
                <w:i/>
                <w:sz w:val="26"/>
                <w:szCs w:val="26"/>
                <w:lang w:val="lv-LV" w:eastAsia="lv-LV"/>
              </w:rPr>
            </w:pPr>
            <w:r w:rsidRPr="00B82739">
              <w:rPr>
                <w:rFonts w:eastAsia="Times New Roman"/>
                <w:b/>
                <w:bCs/>
                <w:sz w:val="26"/>
                <w:szCs w:val="26"/>
                <w:lang w:val="lv-LV" w:eastAsia="lv-LV"/>
              </w:rPr>
              <w:t>2016.</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B82739" w:rsidRPr="00B82739" w:rsidRDefault="00B82739" w:rsidP="00B82739">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jc w:val="both"/>
              <w:rPr>
                <w:rFonts w:eastAsia="Times New Roman"/>
                <w:b/>
                <w:i/>
                <w:sz w:val="26"/>
                <w:szCs w:val="26"/>
                <w:lang w:val="lv-LV" w:eastAsia="lv-LV"/>
              </w:rPr>
            </w:pPr>
            <w:r w:rsidRPr="00B82739">
              <w:rPr>
                <w:rFonts w:eastAsia="Times New Roman"/>
                <w:sz w:val="26"/>
                <w:szCs w:val="26"/>
                <w:lang w:val="lv-LV" w:eastAsia="lv-LV"/>
              </w:rPr>
              <w:t>Saskaņā ar valsts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jc w:val="both"/>
              <w:rPr>
                <w:rFonts w:eastAsia="Times New Roman"/>
                <w:b/>
                <w:i/>
                <w:sz w:val="26"/>
                <w:szCs w:val="26"/>
                <w:lang w:val="lv-LV" w:eastAsia="lv-LV"/>
              </w:rPr>
            </w:pPr>
            <w:r w:rsidRPr="00B82739">
              <w:rPr>
                <w:rFonts w:eastAsia="Times New Roman"/>
                <w:sz w:val="26"/>
                <w:szCs w:val="26"/>
                <w:lang w:val="lv-LV" w:eastAsia="lv-LV"/>
              </w:rPr>
              <w:t>Izmaiņas kārtējā gadā, salīdzinot ar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jc w:val="both"/>
              <w:rPr>
                <w:rFonts w:eastAsia="Times New Roman"/>
                <w:b/>
                <w:i/>
                <w:sz w:val="26"/>
                <w:szCs w:val="26"/>
                <w:lang w:val="lv-LV" w:eastAsia="lv-LV"/>
              </w:rPr>
            </w:pPr>
            <w:r w:rsidRPr="00B82739">
              <w:rPr>
                <w:rFonts w:eastAsia="Times New Roman"/>
                <w:sz w:val="26"/>
                <w:szCs w:val="26"/>
                <w:lang w:val="lv-LV" w:eastAsia="lv-LV"/>
              </w:rPr>
              <w:t>Izmaiņas, salīdzinot ar kārtējo (n) gadu</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jc w:val="both"/>
              <w:rPr>
                <w:rFonts w:eastAsia="Times New Roman"/>
                <w:b/>
                <w:i/>
                <w:sz w:val="26"/>
                <w:szCs w:val="26"/>
                <w:lang w:val="lv-LV" w:eastAsia="lv-LV"/>
              </w:rPr>
            </w:pPr>
            <w:r w:rsidRPr="00B82739">
              <w:rPr>
                <w:rFonts w:eastAsia="Times New Roman"/>
                <w:sz w:val="26"/>
                <w:szCs w:val="26"/>
                <w:lang w:val="lv-LV" w:eastAsia="lv-LV"/>
              </w:rPr>
              <w:t>Izmaiņas, salīdzinot ar kārtējo (n) gadu</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jc w:val="both"/>
              <w:rPr>
                <w:rFonts w:eastAsia="Times New Roman"/>
                <w:b/>
                <w:i/>
                <w:sz w:val="26"/>
                <w:szCs w:val="26"/>
                <w:lang w:val="lv-LV" w:eastAsia="lv-LV"/>
              </w:rPr>
            </w:pPr>
            <w:r w:rsidRPr="00B82739">
              <w:rPr>
                <w:rFonts w:eastAsia="Times New Roman"/>
                <w:sz w:val="26"/>
                <w:szCs w:val="26"/>
                <w:lang w:val="lv-LV" w:eastAsia="lv-LV"/>
              </w:rPr>
              <w:t>Izmaiņas, salīdzinot ar kārtējo (n) gadu</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1</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2</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3</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ind w:firstLine="375"/>
              <w:jc w:val="center"/>
              <w:rPr>
                <w:rFonts w:eastAsia="Times New Roman"/>
                <w:bCs/>
                <w:sz w:val="26"/>
                <w:szCs w:val="26"/>
                <w:lang w:val="lv-LV" w:eastAsia="lv-LV"/>
              </w:rPr>
            </w:pPr>
            <w:r w:rsidRPr="00B82739">
              <w:rPr>
                <w:rFonts w:eastAsia="Times New Roman"/>
                <w:bCs/>
                <w:sz w:val="26"/>
                <w:szCs w:val="26"/>
                <w:lang w:val="lv-LV" w:eastAsia="lv-LV"/>
              </w:rPr>
              <w:t>6</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hanging="104"/>
              <w:rPr>
                <w:rFonts w:eastAsia="Times New Roman"/>
                <w:i/>
                <w:sz w:val="26"/>
                <w:szCs w:val="26"/>
                <w:lang w:val="lv-LV" w:eastAsia="lv-LV"/>
              </w:rPr>
            </w:pPr>
            <w:r w:rsidRPr="00B82739">
              <w:rPr>
                <w:rFonts w:eastAsia="Times New Roman"/>
                <w:sz w:val="26"/>
                <w:szCs w:val="26"/>
                <w:lang w:val="lv-LV" w:eastAsia="lv-LV"/>
              </w:rPr>
              <w:t>1. Budžeta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hanging="104"/>
              <w:rPr>
                <w:rFonts w:eastAsia="Times New Roman"/>
                <w:i/>
                <w:sz w:val="26"/>
                <w:szCs w:val="26"/>
                <w:lang w:val="lv-LV" w:eastAsia="lv-LV"/>
              </w:rPr>
            </w:pPr>
            <w:r w:rsidRPr="00B82739">
              <w:rPr>
                <w:rFonts w:eastAsia="Times New Roman"/>
                <w:sz w:val="26"/>
                <w:szCs w:val="26"/>
                <w:lang w:val="lv-LV" w:eastAsia="lv-LV"/>
              </w:rPr>
              <w:t xml:space="preserve">1.1. valsts pamatbudžets, tai skaitā ieņēmumi no maksas pakalpojumiem un </w:t>
            </w:r>
            <w:r w:rsidRPr="00B82739">
              <w:rPr>
                <w:rFonts w:eastAsia="Times New Roman"/>
                <w:sz w:val="26"/>
                <w:szCs w:val="26"/>
                <w:lang w:val="lv-LV" w:eastAsia="lv-LV"/>
              </w:rPr>
              <w:lastRenderedPageBreak/>
              <w:t>citi pašu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lastRenderedPageBreak/>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rFonts w:eastAsia="Times New Roman"/>
                <w:i/>
                <w:sz w:val="26"/>
                <w:szCs w:val="26"/>
                <w:lang w:val="lv-LV" w:eastAsia="lv-LV"/>
              </w:rPr>
            </w:pPr>
            <w:r w:rsidRPr="00B82739">
              <w:rPr>
                <w:rFonts w:eastAsia="Times New Roman"/>
                <w:sz w:val="26"/>
                <w:szCs w:val="26"/>
                <w:lang w:val="lv-LV" w:eastAsia="lv-LV"/>
              </w:rPr>
              <w:lastRenderedPageBreak/>
              <w:t>1.2.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rFonts w:eastAsia="Times New Roman"/>
                <w:i/>
                <w:sz w:val="26"/>
                <w:szCs w:val="26"/>
                <w:lang w:val="lv-LV" w:eastAsia="lv-LV"/>
              </w:rPr>
            </w:pPr>
            <w:r w:rsidRPr="00B82739">
              <w:rPr>
                <w:rFonts w:eastAsia="Times New Roman"/>
                <w:sz w:val="26"/>
                <w:szCs w:val="26"/>
                <w:lang w:val="lv-LV" w:eastAsia="lv-LV"/>
              </w:rPr>
              <w:t>1.3. pašvaldību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2. Budžeta izdevumi: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2.1. valsts 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2.2.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 xml:space="preserve">2.3.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3. Finansiālā ietekme:</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B82739" w:rsidRPr="00B82739" w:rsidRDefault="00B82739" w:rsidP="00B82739">
            <w:pPr>
              <w:ind w:firstLine="375"/>
              <w:jc w:val="cente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3.1. valsts 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jc w:val="both"/>
              <w:rPr>
                <w:rFonts w:eastAsia="Times New Roman"/>
                <w:i/>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vertAlign w:val="subscript"/>
              </w:rPr>
            </w:pPr>
            <w:r w:rsidRPr="00B82739">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jc w:val="both"/>
              <w:rPr>
                <w:rFonts w:eastAsia="Times New Roman"/>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3.2.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 xml:space="preserve">3.3.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i/>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4. Finanšu līdzekļi papildu izde</w:t>
            </w:r>
            <w:r w:rsidRPr="00B82739">
              <w:rPr>
                <w:sz w:val="26"/>
                <w:szCs w:val="26"/>
                <w:lang w:val="lv-LV"/>
              </w:rPr>
              <w:softHyphen/>
              <w:t>vumu finansēšanai (kompensējošu izdevumu samazinājumu norāda ar "+" zīmi)</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X</w:t>
            </w:r>
          </w:p>
          <w:p w:rsidR="00B82739" w:rsidRPr="00B82739" w:rsidRDefault="00B82739" w:rsidP="00B82739">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rPr>
                <w:rFonts w:eastAsia="Times New Roman"/>
                <w:b/>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lastRenderedPageBreak/>
              <w:t>5. Precizēta finansiālā ietekme:</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B82739" w:rsidRPr="00B82739" w:rsidRDefault="00B82739" w:rsidP="00B82739">
            <w:pPr>
              <w:ind w:firstLine="375"/>
              <w:rPr>
                <w:rFonts w:eastAsia="Times New Roman"/>
                <w:sz w:val="26"/>
                <w:szCs w:val="26"/>
                <w:lang w:val="lv-LV" w:eastAsia="lv-LV"/>
              </w:rPr>
            </w:pPr>
            <w:r w:rsidRPr="00B82739">
              <w:rPr>
                <w:rFonts w:eastAsia="Times New Roman"/>
                <w:sz w:val="26"/>
                <w:szCs w:val="26"/>
                <w:lang w:val="lv-LV" w:eastAsia="lv-LV"/>
              </w:rPr>
              <w:t>X</w:t>
            </w:r>
          </w:p>
          <w:p w:rsidR="00B82739" w:rsidRPr="00B82739" w:rsidRDefault="00B82739" w:rsidP="00B82739">
            <w:pPr>
              <w:ind w:firstLine="375"/>
              <w:jc w:val="cente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5.1. valsts pamatbudžets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vertAlign w:val="subscript"/>
                <w:lang w:val="lv-LV"/>
              </w:rPr>
            </w:pPr>
            <w:r w:rsidRPr="00B82739">
              <w:rPr>
                <w:sz w:val="26"/>
                <w:szCs w:val="26"/>
                <w:lang w:val="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jc w:val="both"/>
              <w:rPr>
                <w:rFonts w:eastAsia="Times New Roman"/>
                <w:sz w:val="26"/>
                <w:szCs w:val="26"/>
                <w:lang w:val="lv-LV" w:eastAsia="lv-LV"/>
              </w:rPr>
            </w:pPr>
            <w:r w:rsidRPr="00B82739">
              <w:rPr>
                <w:rFonts w:eastAsia="Times New Roman"/>
                <w:sz w:val="26"/>
                <w:szCs w:val="26"/>
                <w:lang w:val="lv-LV" w:eastAsia="lv-LV"/>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ind w:firstLine="375"/>
              <w:jc w:val="both"/>
              <w:rPr>
                <w:rFonts w:eastAsia="Times New Roman"/>
                <w:sz w:val="26"/>
                <w:szCs w:val="26"/>
                <w:lang w:val="lv-LV" w:eastAsia="lv-LV"/>
              </w:rPr>
            </w:pPr>
            <w:r w:rsidRPr="00B82739">
              <w:rPr>
                <w:rFonts w:eastAsia="Times New Roman"/>
                <w:sz w:val="26"/>
                <w:szCs w:val="26"/>
                <w:lang w:val="lv-LV" w:eastAsia="lv-LV"/>
              </w:rPr>
              <w:t>Nav attiecināms</w:t>
            </w: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5.2. speciālais 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B82739" w:rsidRPr="00B82739" w:rsidRDefault="00B82739" w:rsidP="00B82739">
            <w:pPr>
              <w:rPr>
                <w:sz w:val="26"/>
                <w:szCs w:val="26"/>
                <w:lang w:val="lv-LV"/>
              </w:rPr>
            </w:pPr>
            <w:r w:rsidRPr="00B82739">
              <w:rPr>
                <w:sz w:val="26"/>
                <w:szCs w:val="26"/>
                <w:lang w:val="lv-LV"/>
              </w:rPr>
              <w:t xml:space="preserve">5.3. pašvaldību budžets </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B82739" w:rsidRPr="00B82739" w:rsidRDefault="00B82739" w:rsidP="00B82739">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B82739" w:rsidRPr="00B82739" w:rsidRDefault="00B82739" w:rsidP="00B82739">
            <w:pPr>
              <w:ind w:firstLine="375"/>
              <w:jc w:val="both"/>
              <w:rPr>
                <w:rFonts w:eastAsia="Times New Roman"/>
                <w:b/>
                <w:sz w:val="26"/>
                <w:szCs w:val="26"/>
                <w:lang w:val="lv-LV" w:eastAsia="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B82739" w:rsidRPr="00B82739" w:rsidRDefault="00B82739" w:rsidP="00B82739">
            <w:pPr>
              <w:rPr>
                <w:sz w:val="26"/>
                <w:szCs w:val="26"/>
                <w:lang w:val="lv-LV"/>
              </w:rPr>
            </w:pPr>
            <w:r w:rsidRPr="00B82739">
              <w:rPr>
                <w:sz w:val="26"/>
                <w:szCs w:val="26"/>
                <w:lang w:val="lv-LV"/>
              </w:rPr>
              <w:t>6. Detalizēts ieņēmumu un izdevu</w:t>
            </w:r>
            <w:r w:rsidRPr="00B82739">
              <w:rPr>
                <w:sz w:val="26"/>
                <w:szCs w:val="26"/>
                <w:lang w:val="lv-LV"/>
              </w:rPr>
              <w:softHyphen/>
              <w:t>mu aprēķins (ja nepieciešams, detalizētu ieņēmumu un izdevumu aprēķinu var pievienot anotācijas pielikumā):</w:t>
            </w:r>
          </w:p>
        </w:tc>
        <w:tc>
          <w:tcPr>
            <w:tcW w:w="6904" w:type="dxa"/>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B82739" w:rsidRPr="00B82739" w:rsidRDefault="00B82739" w:rsidP="00B82739">
            <w:pPr>
              <w:ind w:firstLine="451"/>
              <w:jc w:val="both"/>
              <w:rPr>
                <w:sz w:val="26"/>
                <w:szCs w:val="26"/>
                <w:lang w:val="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B82739" w:rsidRPr="00B82739" w:rsidRDefault="00B82739" w:rsidP="00B82739">
            <w:pPr>
              <w:rPr>
                <w:sz w:val="26"/>
                <w:szCs w:val="26"/>
                <w:lang w:val="lv-LV"/>
              </w:rPr>
            </w:pPr>
            <w:r w:rsidRPr="00B82739">
              <w:rPr>
                <w:sz w:val="26"/>
                <w:szCs w:val="26"/>
                <w:lang w:val="lv-LV"/>
              </w:rPr>
              <w:t>6.1. detalizēts ieņēmumu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B82739" w:rsidRPr="00B82739" w:rsidRDefault="00B82739" w:rsidP="00B82739">
            <w:pPr>
              <w:rPr>
                <w:sz w:val="26"/>
                <w:szCs w:val="26"/>
                <w:lang w:val="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Height w:val="585"/>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B82739" w:rsidRPr="00B82739" w:rsidRDefault="00B82739" w:rsidP="00B82739">
            <w:pPr>
              <w:rPr>
                <w:sz w:val="26"/>
                <w:szCs w:val="26"/>
                <w:lang w:val="lv-LV"/>
              </w:rPr>
            </w:pPr>
            <w:r w:rsidRPr="00B82739">
              <w:rPr>
                <w:sz w:val="26"/>
                <w:szCs w:val="26"/>
                <w:lang w:val="lv-LV"/>
              </w:rPr>
              <w:t>6.2. detalizēts izdevumu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B82739" w:rsidRPr="00B82739" w:rsidRDefault="00B82739" w:rsidP="00B82739">
            <w:pPr>
              <w:rPr>
                <w:sz w:val="26"/>
                <w:szCs w:val="26"/>
                <w:lang w:val="lv-LV"/>
              </w:rPr>
            </w:pPr>
          </w:p>
        </w:tc>
      </w:tr>
      <w:tr w:rsidR="00B82739" w:rsidRPr="00B82739" w:rsidTr="00B45B66">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B82739" w:rsidRPr="00B82739" w:rsidRDefault="00B82739" w:rsidP="00B82739">
            <w:pPr>
              <w:rPr>
                <w:sz w:val="26"/>
                <w:szCs w:val="26"/>
                <w:lang w:val="lv-LV"/>
              </w:rPr>
            </w:pPr>
            <w:r w:rsidRPr="00B82739">
              <w:rPr>
                <w:sz w:val="26"/>
                <w:szCs w:val="26"/>
                <w:lang w:val="lv-LV"/>
              </w:rPr>
              <w:t>7. Cita informācija</w:t>
            </w:r>
          </w:p>
        </w:tc>
        <w:tc>
          <w:tcPr>
            <w:tcW w:w="6904" w:type="dxa"/>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B82739" w:rsidRPr="00B82739" w:rsidRDefault="00B82739" w:rsidP="00B82739">
            <w:pPr>
              <w:spacing w:after="120"/>
              <w:jc w:val="both"/>
              <w:rPr>
                <w:bCs/>
                <w:color w:val="000000"/>
                <w:sz w:val="26"/>
                <w:szCs w:val="26"/>
                <w:lang w:val="lv-LV"/>
              </w:rPr>
            </w:pPr>
            <w:r w:rsidRPr="00B82739">
              <w:rPr>
                <w:bCs/>
                <w:color w:val="000000"/>
                <w:sz w:val="26"/>
                <w:szCs w:val="26"/>
                <w:lang w:val="lv-LV"/>
              </w:rPr>
              <w:t xml:space="preserve">Grozījumu ietekmi saistībā ar pāreju uz </w:t>
            </w:r>
            <w:r w:rsidRPr="00B82739">
              <w:rPr>
                <w:bCs/>
                <w:i/>
                <w:color w:val="000000"/>
                <w:sz w:val="26"/>
                <w:szCs w:val="26"/>
                <w:lang w:val="lv-LV"/>
              </w:rPr>
              <w:t>euro</w:t>
            </w:r>
            <w:r w:rsidRPr="00B82739">
              <w:rPr>
                <w:bCs/>
                <w:color w:val="000000"/>
                <w:sz w:val="26"/>
                <w:szCs w:val="26"/>
                <w:lang w:val="lv-LV"/>
              </w:rPr>
              <w:t xml:space="preserve"> iespējams segt, nemainot attiecīgajās budžeta programmās vai apakšprogrammās finansējuma sadalījumu pa ieņēmumu, izdevumu vai finansēšanas klasifikācijas kodiem. </w:t>
            </w:r>
          </w:p>
        </w:tc>
      </w:tr>
    </w:tbl>
    <w:p w:rsidR="00B82739" w:rsidRPr="005A7B9C" w:rsidRDefault="00B82739" w:rsidP="00AA5853">
      <w:pPr>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B5151"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2B5151"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671D7" w:rsidRPr="005A7B9C" w:rsidRDefault="00E86AEA" w:rsidP="00AA5853">
            <w:pPr>
              <w:pStyle w:val="BodyText"/>
              <w:spacing w:after="240"/>
              <w:ind w:right="142" w:firstLine="720"/>
              <w:rPr>
                <w:sz w:val="26"/>
                <w:szCs w:val="26"/>
              </w:rPr>
            </w:pPr>
            <w:r>
              <w:rPr>
                <w:sz w:val="26"/>
                <w:szCs w:val="26"/>
              </w:rPr>
              <w:t xml:space="preserve"> </w:t>
            </w:r>
            <w:r w:rsidR="00AA5853">
              <w:rPr>
                <w:sz w:val="26"/>
                <w:szCs w:val="26"/>
              </w:rPr>
              <w:t>Vienlaicīgi</w:t>
            </w:r>
            <w:r>
              <w:rPr>
                <w:sz w:val="26"/>
                <w:szCs w:val="26"/>
              </w:rPr>
              <w:t xml:space="preserve"> ar grozījumiem MK noteikumos Nr.</w:t>
            </w:r>
            <w:r w:rsidR="007165D4">
              <w:rPr>
                <w:sz w:val="26"/>
                <w:szCs w:val="26"/>
              </w:rPr>
              <w:t>818</w:t>
            </w:r>
            <w:r>
              <w:rPr>
                <w:sz w:val="26"/>
                <w:szCs w:val="26"/>
              </w:rPr>
              <w:t xml:space="preserve"> tiek virzīti arī grozījumi </w:t>
            </w:r>
            <w:r w:rsidR="008474D6" w:rsidRPr="00A8481C">
              <w:rPr>
                <w:sz w:val="25"/>
                <w:szCs w:val="25"/>
              </w:rPr>
              <w:t xml:space="preserve">Ministru kabineta 2008.gada 25.novembra noteikumos Nr.983 „Noteikumi par atbalsta </w:t>
            </w:r>
            <w:r w:rsidR="008474D6" w:rsidRPr="00A8481C">
              <w:rPr>
                <w:sz w:val="25"/>
                <w:szCs w:val="25"/>
              </w:rPr>
              <w:lastRenderedPageBreak/>
              <w:t>piešķiršanu tehnoloģiju pārneses un riska kapitāla jomā”</w:t>
            </w:r>
            <w:r w:rsidR="008474D6">
              <w:rPr>
                <w:sz w:val="25"/>
                <w:szCs w:val="25"/>
              </w:rPr>
              <w:t xml:space="preserve">. </w:t>
            </w:r>
          </w:p>
        </w:tc>
      </w:tr>
      <w:tr w:rsidR="003A7D89" w:rsidRPr="002B5151"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lastRenderedPageBreak/>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D9405A">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 par projekta īstenošanu</w:t>
            </w:r>
            <w:r w:rsidR="005A7B9C" w:rsidRPr="005A7B9C">
              <w:rPr>
                <w:rFonts w:eastAsia="Times New Roman"/>
                <w:sz w:val="26"/>
                <w:szCs w:val="26"/>
                <w:lang w:val="lv-LV" w:eastAsia="lv-LV"/>
              </w:rPr>
              <w:t xml:space="preserve"> ar </w:t>
            </w:r>
            <w:r w:rsidR="00D9405A">
              <w:rPr>
                <w:rFonts w:eastAsia="Times New Roman"/>
                <w:sz w:val="26"/>
                <w:szCs w:val="26"/>
                <w:lang w:val="lv-LV" w:eastAsia="lv-LV"/>
              </w:rPr>
              <w:t>LGA.</w:t>
            </w:r>
          </w:p>
        </w:tc>
      </w:tr>
    </w:tbl>
    <w:p w:rsidR="00765A89" w:rsidRPr="005A7B9C" w:rsidRDefault="00765A89"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2B5151"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VII. Tiesību akta projekta izpildes nodrošināšana un tās ietekme uz institūcijām</w:t>
            </w:r>
          </w:p>
        </w:tc>
      </w:tr>
      <w:tr w:rsidR="003A7D89" w:rsidRPr="00243E4C"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776F83">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izpildi nodrošinās </w:t>
            </w:r>
            <w:r w:rsidR="005A7B9C" w:rsidRPr="005A7B9C">
              <w:rPr>
                <w:rFonts w:eastAsia="Times New Roman"/>
                <w:sz w:val="26"/>
                <w:szCs w:val="26"/>
                <w:lang w:val="lv-LV" w:eastAsia="lv-LV"/>
              </w:rPr>
              <w:t xml:space="preserve">EM un </w:t>
            </w:r>
            <w:r w:rsidR="00776F83">
              <w:rPr>
                <w:rFonts w:eastAsia="Times New Roman"/>
                <w:sz w:val="26"/>
                <w:szCs w:val="26"/>
                <w:lang w:val="lv-LV" w:eastAsia="lv-LV"/>
              </w:rPr>
              <w:t>LGA.</w:t>
            </w:r>
          </w:p>
        </w:tc>
      </w:tr>
      <w:tr w:rsidR="003A7D89" w:rsidRPr="002B5151"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izpilde tiks nodrošināta </w:t>
            </w:r>
            <w:r w:rsidR="005A7B9C" w:rsidRPr="005A7B9C">
              <w:rPr>
                <w:rFonts w:eastAsia="Times New Roman"/>
                <w:sz w:val="26"/>
                <w:szCs w:val="26"/>
                <w:lang w:val="lv-LV" w:eastAsia="lv-LV"/>
              </w:rPr>
              <w:t>EM un LGA</w:t>
            </w:r>
            <w:r w:rsidR="006F58E5">
              <w:rPr>
                <w:rFonts w:eastAsia="Times New Roman"/>
                <w:sz w:val="26"/>
                <w:szCs w:val="26"/>
                <w:lang w:val="lv-LV" w:eastAsia="lv-LV"/>
              </w:rPr>
              <w:t xml:space="preserve"> esošo funkciju ietvaros</w:t>
            </w:r>
            <w:r w:rsidR="005A7B9C" w:rsidRPr="005A7B9C">
              <w:rPr>
                <w:rFonts w:eastAsia="Times New Roman"/>
                <w:sz w:val="26"/>
                <w:szCs w:val="26"/>
                <w:lang w:val="lv-LV" w:eastAsia="lv-LV"/>
              </w:rPr>
              <w:t>.</w:t>
            </w:r>
          </w:p>
        </w:tc>
      </w:tr>
      <w:tr w:rsidR="003A7D89" w:rsidRPr="00C64C8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izveidot jaunas institūcijas</w:t>
            </w:r>
            <w:r w:rsidRPr="005A7B9C">
              <w:rPr>
                <w:rFonts w:eastAsia="Times New Roman"/>
                <w:sz w:val="26"/>
                <w:szCs w:val="26"/>
                <w:lang w:val="lv-LV" w:eastAsia="lv-LV"/>
              </w:rPr>
              <w:t>.</w:t>
            </w:r>
          </w:p>
        </w:tc>
      </w:tr>
      <w:tr w:rsidR="003A7D89" w:rsidRPr="00C64C8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likvidēt esošās institūcijas</w:t>
            </w:r>
            <w:r w:rsidRPr="005A7B9C">
              <w:rPr>
                <w:rFonts w:eastAsia="Times New Roman"/>
                <w:sz w:val="26"/>
                <w:szCs w:val="26"/>
                <w:lang w:val="lv-LV" w:eastAsia="lv-LV"/>
              </w:rPr>
              <w:t>.</w:t>
            </w:r>
          </w:p>
        </w:tc>
      </w:tr>
      <w:tr w:rsidR="003A7D89" w:rsidRPr="00C64C83"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sz w:val="26"/>
                <w:szCs w:val="26"/>
                <w:lang w:val="lv-LV"/>
              </w:rPr>
              <w:t xml:space="preserve"> projekta izpildei nav nepieciešams reorganizēt esošās institūcijas</w:t>
            </w:r>
            <w:r w:rsidRPr="005A7B9C">
              <w:rPr>
                <w:rFonts w:eastAsia="Times New Roman"/>
                <w:sz w:val="26"/>
                <w:szCs w:val="26"/>
                <w:lang w:val="lv-LV" w:eastAsia="lv-LV"/>
              </w:rPr>
              <w:t>.</w:t>
            </w:r>
          </w:p>
        </w:tc>
      </w:tr>
      <w:tr w:rsidR="003A7D89" w:rsidRPr="005A7B9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88512F" w:rsidRPr="005A7B9C" w:rsidRDefault="0088512F" w:rsidP="00CA1F6A">
      <w:pPr>
        <w:tabs>
          <w:tab w:val="left" w:pos="7655"/>
        </w:tabs>
        <w:spacing w:before="240"/>
        <w:jc w:val="both"/>
        <w:rPr>
          <w:sz w:val="26"/>
          <w:szCs w:val="26"/>
          <w:lang w:val="lv-LV"/>
        </w:rPr>
      </w:pPr>
      <w:r w:rsidRPr="005A7B9C">
        <w:rPr>
          <w:sz w:val="26"/>
          <w:szCs w:val="26"/>
          <w:lang w:val="lv-LV"/>
        </w:rPr>
        <w:t xml:space="preserve">Anotācijas </w:t>
      </w:r>
      <w:r w:rsidR="008474D6">
        <w:rPr>
          <w:sz w:val="26"/>
          <w:szCs w:val="26"/>
          <w:lang w:val="lv-LV"/>
        </w:rPr>
        <w:t>V</w:t>
      </w:r>
      <w:r w:rsidR="001D4E7C" w:rsidRPr="005A7B9C">
        <w:rPr>
          <w:rFonts w:ascii="Times" w:hAnsi="Times"/>
          <w:sz w:val="26"/>
          <w:szCs w:val="26"/>
          <w:lang w:val="lv-LV"/>
        </w:rPr>
        <w:t xml:space="preserve"> un</w:t>
      </w:r>
      <w:r w:rsidRPr="005A7B9C">
        <w:rPr>
          <w:sz w:val="26"/>
          <w:szCs w:val="26"/>
          <w:lang w:val="lv-LV"/>
        </w:rPr>
        <w:t xml:space="preserve"> VI sadaļa – </w:t>
      </w:r>
      <w:r w:rsidRPr="005A7B9C">
        <w:rPr>
          <w:iCs/>
          <w:sz w:val="26"/>
          <w:szCs w:val="26"/>
          <w:lang w:val="lv-LV"/>
        </w:rPr>
        <w:t>projekts šīs jomas neskar</w:t>
      </w:r>
      <w:r w:rsidRPr="005A7B9C">
        <w:rPr>
          <w:sz w:val="26"/>
          <w:szCs w:val="26"/>
          <w:lang w:val="lv-LV"/>
        </w:rPr>
        <w:t>.</w:t>
      </w:r>
    </w:p>
    <w:p w:rsidR="00F520CA" w:rsidRDefault="00F520CA" w:rsidP="00A43665">
      <w:pPr>
        <w:tabs>
          <w:tab w:val="right" w:pos="9072"/>
        </w:tabs>
        <w:rPr>
          <w:sz w:val="26"/>
          <w:szCs w:val="26"/>
          <w:lang w:val="lv-LV"/>
        </w:rPr>
      </w:pPr>
    </w:p>
    <w:p w:rsidR="009519D4" w:rsidRDefault="009519D4" w:rsidP="00A43665">
      <w:pPr>
        <w:tabs>
          <w:tab w:val="right" w:pos="9072"/>
        </w:tabs>
        <w:rPr>
          <w:sz w:val="26"/>
          <w:szCs w:val="26"/>
          <w:lang w:val="lv-LV"/>
        </w:rPr>
      </w:pPr>
    </w:p>
    <w:p w:rsidR="00AA5853" w:rsidRPr="005A7B9C" w:rsidRDefault="00AA5853" w:rsidP="00A43665">
      <w:pPr>
        <w:tabs>
          <w:tab w:val="right" w:pos="9072"/>
        </w:tabs>
        <w:rPr>
          <w:sz w:val="26"/>
          <w:szCs w:val="26"/>
          <w:lang w:val="lv-LV"/>
        </w:rPr>
      </w:pPr>
    </w:p>
    <w:p w:rsidR="00C47ECB" w:rsidRPr="005A7B9C" w:rsidRDefault="00C47ECB" w:rsidP="00C47ECB">
      <w:pPr>
        <w:tabs>
          <w:tab w:val="right" w:pos="9072"/>
        </w:tabs>
        <w:rPr>
          <w:sz w:val="26"/>
          <w:szCs w:val="26"/>
          <w:lang w:val="lv-LV"/>
        </w:rPr>
      </w:pPr>
      <w:r>
        <w:rPr>
          <w:sz w:val="26"/>
          <w:szCs w:val="26"/>
          <w:lang w:val="lv-LV"/>
        </w:rPr>
        <w:t>Ekonomikas ministrs</w:t>
      </w:r>
      <w:r w:rsidRPr="00C47ECB">
        <w:rPr>
          <w:sz w:val="26"/>
          <w:szCs w:val="26"/>
          <w:lang w:val="lv-LV"/>
        </w:rPr>
        <w:t xml:space="preserve"> </w:t>
      </w:r>
      <w:r>
        <w:rPr>
          <w:sz w:val="26"/>
          <w:szCs w:val="26"/>
          <w:lang w:val="lv-LV"/>
        </w:rPr>
        <w:t xml:space="preserve"> </w:t>
      </w:r>
      <w:r>
        <w:rPr>
          <w:sz w:val="26"/>
          <w:szCs w:val="26"/>
          <w:lang w:val="lv-LV"/>
        </w:rPr>
        <w:tab/>
      </w:r>
      <w:proofErr w:type="spellStart"/>
      <w:r>
        <w:rPr>
          <w:sz w:val="26"/>
          <w:szCs w:val="26"/>
          <w:lang w:val="lv-LV"/>
        </w:rPr>
        <w:t>D.Pavļuts</w:t>
      </w:r>
      <w:proofErr w:type="spellEnd"/>
    </w:p>
    <w:p w:rsidR="00522B62" w:rsidRPr="005A7B9C" w:rsidRDefault="00A43665" w:rsidP="00A43665">
      <w:pPr>
        <w:tabs>
          <w:tab w:val="right" w:pos="9072"/>
        </w:tabs>
        <w:rPr>
          <w:sz w:val="26"/>
          <w:szCs w:val="26"/>
          <w:lang w:val="lv-LV"/>
        </w:rPr>
      </w:pP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p>
    <w:p w:rsidR="009D5C1D" w:rsidRPr="005A7B9C" w:rsidRDefault="009D5C1D" w:rsidP="00F22471">
      <w:pPr>
        <w:tabs>
          <w:tab w:val="left" w:pos="8222"/>
        </w:tabs>
        <w:rPr>
          <w:sz w:val="26"/>
          <w:szCs w:val="26"/>
          <w:lang w:val="lv-LV"/>
        </w:rPr>
      </w:pPr>
    </w:p>
    <w:p w:rsidR="00BE6E9C" w:rsidRPr="005A7B9C" w:rsidRDefault="00BE6E9C" w:rsidP="008E5F7D">
      <w:pPr>
        <w:tabs>
          <w:tab w:val="right" w:pos="9072"/>
        </w:tabs>
        <w:rPr>
          <w:sz w:val="26"/>
          <w:szCs w:val="26"/>
          <w:lang w:val="lv-LV"/>
        </w:rPr>
      </w:pPr>
    </w:p>
    <w:p w:rsidR="00B82739" w:rsidRDefault="00A42E43" w:rsidP="00DA7FAD">
      <w:pPr>
        <w:tabs>
          <w:tab w:val="right" w:pos="9072"/>
        </w:tabs>
        <w:rPr>
          <w:sz w:val="26"/>
          <w:szCs w:val="26"/>
          <w:lang w:val="lv-LV"/>
        </w:rPr>
      </w:pPr>
      <w:r w:rsidRPr="005A7B9C">
        <w:rPr>
          <w:sz w:val="26"/>
          <w:szCs w:val="26"/>
          <w:lang w:val="lv-LV"/>
        </w:rPr>
        <w:t>Vīza: V</w:t>
      </w:r>
      <w:r w:rsidR="009519D4">
        <w:rPr>
          <w:sz w:val="26"/>
          <w:szCs w:val="26"/>
          <w:lang w:val="lv-LV"/>
        </w:rPr>
        <w:t xml:space="preserve">alsts </w:t>
      </w:r>
      <w:r w:rsidR="00DA7FAD">
        <w:rPr>
          <w:sz w:val="26"/>
          <w:szCs w:val="26"/>
          <w:lang w:val="lv-LV"/>
        </w:rPr>
        <w:t>sekretār</w:t>
      </w:r>
      <w:r w:rsidR="00B82739">
        <w:rPr>
          <w:sz w:val="26"/>
          <w:szCs w:val="26"/>
          <w:lang w:val="lv-LV"/>
        </w:rPr>
        <w:t>a</w:t>
      </w:r>
    </w:p>
    <w:p w:rsidR="00B82739" w:rsidRDefault="00B82739" w:rsidP="00DA7FAD">
      <w:pPr>
        <w:tabs>
          <w:tab w:val="right" w:pos="9072"/>
        </w:tabs>
        <w:rPr>
          <w:sz w:val="26"/>
          <w:szCs w:val="26"/>
          <w:lang w:val="lv-LV"/>
        </w:rPr>
      </w:pPr>
      <w:r>
        <w:rPr>
          <w:sz w:val="26"/>
          <w:szCs w:val="26"/>
          <w:lang w:val="lv-LV"/>
        </w:rPr>
        <w:t>pienākumu izpildītājs,</w:t>
      </w:r>
    </w:p>
    <w:p w:rsidR="007715A2" w:rsidRPr="005A7B9C" w:rsidRDefault="00B82739" w:rsidP="00DA7FAD">
      <w:pPr>
        <w:tabs>
          <w:tab w:val="right" w:pos="9072"/>
        </w:tabs>
        <w:rPr>
          <w:sz w:val="26"/>
          <w:szCs w:val="26"/>
          <w:lang w:val="lv-LV"/>
        </w:rPr>
      </w:pPr>
      <w:r>
        <w:rPr>
          <w:sz w:val="26"/>
          <w:szCs w:val="26"/>
          <w:lang w:val="lv-LV"/>
        </w:rPr>
        <w:t>valsts sekretāra vietnieks</w:t>
      </w:r>
      <w:r w:rsidR="00E61D5C" w:rsidRPr="005A7B9C">
        <w:rPr>
          <w:sz w:val="26"/>
          <w:szCs w:val="26"/>
          <w:lang w:val="lv-LV"/>
        </w:rPr>
        <w:tab/>
      </w:r>
      <w:r>
        <w:rPr>
          <w:sz w:val="26"/>
          <w:szCs w:val="26"/>
          <w:lang w:val="lv-LV"/>
        </w:rPr>
        <w:t>A.Liepiņš</w:t>
      </w:r>
    </w:p>
    <w:p w:rsidR="009519D4" w:rsidRPr="005A7B9C" w:rsidRDefault="009519D4" w:rsidP="00F22471">
      <w:pPr>
        <w:jc w:val="both"/>
        <w:rPr>
          <w:color w:val="000000"/>
          <w:sz w:val="26"/>
          <w:szCs w:val="26"/>
          <w:lang w:val="lv-LV"/>
        </w:rPr>
      </w:pPr>
    </w:p>
    <w:p w:rsidR="00BE6E9C" w:rsidRDefault="00BE6E9C" w:rsidP="00F22471">
      <w:pPr>
        <w:jc w:val="both"/>
        <w:rPr>
          <w:color w:val="000000"/>
          <w:sz w:val="22"/>
          <w:szCs w:val="22"/>
          <w:lang w:val="lv-LV"/>
        </w:rPr>
      </w:pPr>
    </w:p>
    <w:p w:rsidR="00AA5853" w:rsidRDefault="00AA5853" w:rsidP="00F22471">
      <w:pPr>
        <w:jc w:val="both"/>
        <w:rPr>
          <w:color w:val="000000"/>
          <w:sz w:val="22"/>
          <w:szCs w:val="22"/>
          <w:lang w:val="lv-LV"/>
        </w:rPr>
      </w:pPr>
    </w:p>
    <w:p w:rsidR="00AA5853" w:rsidRPr="00765A89" w:rsidRDefault="00AA5853" w:rsidP="00F22471">
      <w:pPr>
        <w:jc w:val="both"/>
        <w:rPr>
          <w:color w:val="000000"/>
          <w:sz w:val="22"/>
          <w:szCs w:val="22"/>
          <w:lang w:val="lv-LV"/>
        </w:rPr>
      </w:pPr>
    </w:p>
    <w:p w:rsidR="00845083" w:rsidRPr="00CA1F6A" w:rsidRDefault="00C47ECB" w:rsidP="00F22471">
      <w:pPr>
        <w:jc w:val="both"/>
        <w:rPr>
          <w:lang w:val="lv-LV"/>
        </w:rPr>
      </w:pPr>
      <w:r>
        <w:rPr>
          <w:lang w:val="lv-LV"/>
        </w:rPr>
        <w:t>12</w:t>
      </w:r>
      <w:r w:rsidR="00B82739">
        <w:rPr>
          <w:lang w:val="lv-LV"/>
        </w:rPr>
        <w:t>.12</w:t>
      </w:r>
      <w:r w:rsidR="00C77663" w:rsidRPr="00CA1F6A">
        <w:rPr>
          <w:lang w:val="lv-LV"/>
        </w:rPr>
        <w:t xml:space="preserve">.2013 </w:t>
      </w:r>
      <w:r>
        <w:rPr>
          <w:lang w:val="lv-LV"/>
        </w:rPr>
        <w:t>8:46</w:t>
      </w:r>
      <w:bookmarkStart w:id="6" w:name="_GoBack"/>
      <w:bookmarkEnd w:id="6"/>
    </w:p>
    <w:p w:rsidR="00BF2F17" w:rsidRPr="00CA1F6A" w:rsidRDefault="006C5268" w:rsidP="00F22471">
      <w:pPr>
        <w:jc w:val="both"/>
        <w:rPr>
          <w:lang w:val="lv-LV"/>
        </w:rPr>
      </w:pPr>
      <w:fldSimple w:instr=" NUMWORDS   \* MERGEFORMAT ">
        <w:r w:rsidR="00C47ECB" w:rsidRPr="00C47ECB">
          <w:rPr>
            <w:noProof/>
            <w:lang w:val="lv-LV"/>
          </w:rPr>
          <w:t>1081</w:t>
        </w:r>
      </w:fldSimple>
    </w:p>
    <w:p w:rsidR="00643B54" w:rsidRPr="00CA1F6A" w:rsidRDefault="00842EE7" w:rsidP="00F22471">
      <w:pPr>
        <w:jc w:val="both"/>
        <w:rPr>
          <w:color w:val="000000"/>
          <w:lang w:val="lv-LV"/>
        </w:rPr>
      </w:pPr>
      <w:r w:rsidRPr="00CA1F6A">
        <w:rPr>
          <w:color w:val="000000"/>
          <w:lang w:val="lv-LV"/>
        </w:rPr>
        <w:t>A.Nicmane</w:t>
      </w:r>
    </w:p>
    <w:p w:rsidR="00097583" w:rsidRPr="00CA1F6A" w:rsidRDefault="00B74BCA" w:rsidP="00F22471">
      <w:pPr>
        <w:jc w:val="both"/>
        <w:rPr>
          <w:color w:val="000000"/>
          <w:lang w:val="lv-LV"/>
        </w:rPr>
      </w:pPr>
      <w:r w:rsidRPr="00CA1F6A">
        <w:rPr>
          <w:lang w:val="lv-LV"/>
        </w:rPr>
        <w:t>67013</w:t>
      </w:r>
      <w:r w:rsidR="00842EE7" w:rsidRPr="00CA1F6A">
        <w:rPr>
          <w:lang w:val="lv-LV"/>
        </w:rPr>
        <w:t>203</w:t>
      </w:r>
      <w:r w:rsidR="00386053" w:rsidRPr="00CA1F6A">
        <w:rPr>
          <w:lang w:val="lv-LV"/>
        </w:rPr>
        <w:t>,</w:t>
      </w:r>
      <w:r w:rsidR="00B12DEF" w:rsidRPr="00CA1F6A">
        <w:rPr>
          <w:lang w:val="lv-LV"/>
        </w:rPr>
        <w:t xml:space="preserve"> </w:t>
      </w:r>
      <w:r w:rsidR="00842EE7" w:rsidRPr="00CA1F6A">
        <w:rPr>
          <w:lang w:val="lv-LV"/>
        </w:rPr>
        <w:t>Agita.Nicmane@em.gov.lv</w:t>
      </w:r>
    </w:p>
    <w:sectPr w:rsidR="00097583" w:rsidRPr="00CA1F6A"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6C" w:rsidRDefault="00E62C6C" w:rsidP="00B014C2">
      <w:r>
        <w:separator/>
      </w:r>
    </w:p>
  </w:endnote>
  <w:endnote w:type="continuationSeparator" w:id="0">
    <w:p w:rsidR="00E62C6C" w:rsidRDefault="00E62C6C"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E9" w:rsidRPr="00AA5853" w:rsidRDefault="00595339" w:rsidP="00595339">
    <w:pPr>
      <w:pStyle w:val="BodyText"/>
      <w:rPr>
        <w:sz w:val="20"/>
      </w:rPr>
    </w:pPr>
    <w:r w:rsidRPr="00AA5853">
      <w:rPr>
        <w:sz w:val="20"/>
      </w:rPr>
      <w:fldChar w:fldCharType="begin"/>
    </w:r>
    <w:r w:rsidRPr="00AA5853">
      <w:rPr>
        <w:sz w:val="20"/>
      </w:rPr>
      <w:instrText xml:space="preserve"> FILENAME   \* MERGEFORMAT </w:instrText>
    </w:r>
    <w:r w:rsidRPr="00AA5853">
      <w:rPr>
        <w:sz w:val="20"/>
      </w:rPr>
      <w:fldChar w:fldCharType="separate"/>
    </w:r>
    <w:r w:rsidR="00C47ECB">
      <w:rPr>
        <w:noProof/>
        <w:sz w:val="20"/>
      </w:rPr>
      <w:t>EMANOT_121213_GROZ818</w:t>
    </w:r>
    <w:r w:rsidRPr="00AA5853">
      <w:rPr>
        <w:sz w:val="20"/>
      </w:rPr>
      <w:fldChar w:fldCharType="end"/>
    </w:r>
    <w:r w:rsidRPr="00AA5853">
      <w:rPr>
        <w:sz w:val="20"/>
      </w:rPr>
      <w:t>; Ministru kabine</w:t>
    </w:r>
    <w:r w:rsidR="00AA5853" w:rsidRPr="00AA5853">
      <w:rPr>
        <w:sz w:val="20"/>
      </w:rPr>
      <w:t>ta noteikumu projekta „Grozījumi</w:t>
    </w:r>
    <w:r w:rsidRPr="00AA5853">
      <w:rPr>
        <w:sz w:val="20"/>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sākotnējās ietekmes novērtējuma </w:t>
    </w:r>
    <w:smartTag w:uri="schemas-tilde-lv/tildestengine" w:element="veidnes">
      <w:smartTagPr>
        <w:attr w:name="text" w:val="ziņojums"/>
        <w:attr w:name="baseform" w:val="ziņojums"/>
        <w:attr w:name="id" w:val="-1"/>
      </w:smartTagPr>
      <w:r w:rsidRPr="00AA5853">
        <w:rPr>
          <w:sz w:val="20"/>
        </w:rPr>
        <w:t>ziņojums</w:t>
      </w:r>
    </w:smartTag>
    <w:r w:rsidRPr="00AA5853">
      <w:rPr>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E9" w:rsidRPr="00AA5853" w:rsidRDefault="00595339" w:rsidP="00595339">
    <w:pPr>
      <w:pStyle w:val="BodyText"/>
      <w:rPr>
        <w:sz w:val="20"/>
      </w:rPr>
    </w:pPr>
    <w:r w:rsidRPr="00AA5853">
      <w:rPr>
        <w:sz w:val="20"/>
      </w:rPr>
      <w:fldChar w:fldCharType="begin"/>
    </w:r>
    <w:r w:rsidRPr="00AA5853">
      <w:rPr>
        <w:sz w:val="20"/>
      </w:rPr>
      <w:instrText xml:space="preserve"> FILENAME   \* MERGEFORMAT </w:instrText>
    </w:r>
    <w:r w:rsidRPr="00AA5853">
      <w:rPr>
        <w:sz w:val="20"/>
      </w:rPr>
      <w:fldChar w:fldCharType="separate"/>
    </w:r>
    <w:r w:rsidR="00C47ECB">
      <w:rPr>
        <w:noProof/>
        <w:sz w:val="20"/>
      </w:rPr>
      <w:t>EMANOT_121213_GROZ818</w:t>
    </w:r>
    <w:r w:rsidRPr="00AA5853">
      <w:rPr>
        <w:sz w:val="20"/>
      </w:rPr>
      <w:fldChar w:fldCharType="end"/>
    </w:r>
    <w:r w:rsidRPr="00AA5853">
      <w:rPr>
        <w:sz w:val="20"/>
      </w:rPr>
      <w:t xml:space="preserve">; </w:t>
    </w:r>
    <w:bookmarkStart w:id="3" w:name="OLE_LINK12"/>
    <w:bookmarkStart w:id="4" w:name="OLE_LINK13"/>
    <w:bookmarkStart w:id="5" w:name="_Hlk259447629"/>
    <w:r w:rsidRPr="00AA5853">
      <w:rPr>
        <w:sz w:val="20"/>
      </w:rPr>
      <w:t>Ministru kabineta noteikumu projekta „Grozīj</w:t>
    </w:r>
    <w:r w:rsidR="00AA5853" w:rsidRPr="00AA5853">
      <w:rPr>
        <w:sz w:val="20"/>
      </w:rPr>
      <w:t>umi</w:t>
    </w:r>
    <w:r w:rsidRPr="00AA5853">
      <w:rPr>
        <w:sz w:val="20"/>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sākotnējās ietekmes novērtējuma </w:t>
    </w:r>
    <w:smartTag w:uri="schemas-tilde-lv/tildestengine" w:element="veidnes">
      <w:smartTagPr>
        <w:attr w:name="id" w:val="-1"/>
        <w:attr w:name="baseform" w:val="ziņojums"/>
        <w:attr w:name="text" w:val="ziņojums"/>
      </w:smartTagPr>
      <w:r w:rsidRPr="00AA5853">
        <w:rPr>
          <w:sz w:val="20"/>
        </w:rPr>
        <w:t>ziņojums</w:t>
      </w:r>
    </w:smartTag>
    <w:r w:rsidRPr="00AA5853">
      <w:rPr>
        <w:sz w:val="20"/>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6C" w:rsidRDefault="00E62C6C" w:rsidP="00B014C2">
      <w:r>
        <w:separator/>
      </w:r>
    </w:p>
  </w:footnote>
  <w:footnote w:type="continuationSeparator" w:id="0">
    <w:p w:rsidR="00E62C6C" w:rsidRDefault="00E62C6C"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DD0FE9" w:rsidRPr="00B014C2" w:rsidRDefault="00116B3E">
        <w:pPr>
          <w:pStyle w:val="Header"/>
          <w:jc w:val="center"/>
          <w:rPr>
            <w:sz w:val="24"/>
            <w:szCs w:val="24"/>
          </w:rPr>
        </w:pPr>
        <w:r w:rsidRPr="00B014C2">
          <w:rPr>
            <w:sz w:val="24"/>
            <w:szCs w:val="24"/>
          </w:rPr>
          <w:fldChar w:fldCharType="begin"/>
        </w:r>
        <w:r w:rsidR="00DD0FE9" w:rsidRPr="00B014C2">
          <w:rPr>
            <w:sz w:val="24"/>
            <w:szCs w:val="24"/>
          </w:rPr>
          <w:instrText xml:space="preserve"> PAGE   \* MERGEFORMAT </w:instrText>
        </w:r>
        <w:r w:rsidRPr="00B014C2">
          <w:rPr>
            <w:sz w:val="24"/>
            <w:szCs w:val="24"/>
          </w:rPr>
          <w:fldChar w:fldCharType="separate"/>
        </w:r>
        <w:r w:rsidR="00C47ECB">
          <w:rPr>
            <w:noProof/>
            <w:sz w:val="24"/>
            <w:szCs w:val="24"/>
          </w:rPr>
          <w:t>6</w:t>
        </w:r>
        <w:r w:rsidRPr="00B014C2">
          <w:rPr>
            <w:sz w:val="24"/>
            <w:szCs w:val="24"/>
          </w:rPr>
          <w:fldChar w:fldCharType="end"/>
        </w:r>
      </w:p>
    </w:sdtContent>
  </w:sdt>
  <w:p w:rsidR="00DD0FE9" w:rsidRDefault="00DD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2AA4"/>
    <w:rsid w:val="00014006"/>
    <w:rsid w:val="0001626D"/>
    <w:rsid w:val="0001764D"/>
    <w:rsid w:val="00020A02"/>
    <w:rsid w:val="000214DF"/>
    <w:rsid w:val="00026BA7"/>
    <w:rsid w:val="00026C03"/>
    <w:rsid w:val="0002762A"/>
    <w:rsid w:val="00031099"/>
    <w:rsid w:val="000320DD"/>
    <w:rsid w:val="0003693D"/>
    <w:rsid w:val="00036E03"/>
    <w:rsid w:val="0004167C"/>
    <w:rsid w:val="00043EE5"/>
    <w:rsid w:val="000445F3"/>
    <w:rsid w:val="00047EF5"/>
    <w:rsid w:val="00050184"/>
    <w:rsid w:val="00050EA4"/>
    <w:rsid w:val="00052380"/>
    <w:rsid w:val="000564DA"/>
    <w:rsid w:val="00060D39"/>
    <w:rsid w:val="00062284"/>
    <w:rsid w:val="000643D5"/>
    <w:rsid w:val="00064EDB"/>
    <w:rsid w:val="00071114"/>
    <w:rsid w:val="000729ED"/>
    <w:rsid w:val="00072ECD"/>
    <w:rsid w:val="00080F3F"/>
    <w:rsid w:val="00081C1D"/>
    <w:rsid w:val="00081F44"/>
    <w:rsid w:val="00083704"/>
    <w:rsid w:val="000847AE"/>
    <w:rsid w:val="0008486C"/>
    <w:rsid w:val="00086412"/>
    <w:rsid w:val="00087524"/>
    <w:rsid w:val="00091581"/>
    <w:rsid w:val="00091DBA"/>
    <w:rsid w:val="00097583"/>
    <w:rsid w:val="000A164A"/>
    <w:rsid w:val="000A402E"/>
    <w:rsid w:val="000A4AED"/>
    <w:rsid w:val="000A5FB9"/>
    <w:rsid w:val="000B0719"/>
    <w:rsid w:val="000B2AE3"/>
    <w:rsid w:val="000C491C"/>
    <w:rsid w:val="000D0388"/>
    <w:rsid w:val="000D19C8"/>
    <w:rsid w:val="000D1A31"/>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218B"/>
    <w:rsid w:val="00115E25"/>
    <w:rsid w:val="00116B3E"/>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76FC"/>
    <w:rsid w:val="001E344F"/>
    <w:rsid w:val="001E3BD0"/>
    <w:rsid w:val="001E5031"/>
    <w:rsid w:val="001E7BB7"/>
    <w:rsid w:val="001F02C1"/>
    <w:rsid w:val="001F6151"/>
    <w:rsid w:val="001F7527"/>
    <w:rsid w:val="00200045"/>
    <w:rsid w:val="00200612"/>
    <w:rsid w:val="00205FEE"/>
    <w:rsid w:val="0021241F"/>
    <w:rsid w:val="00213107"/>
    <w:rsid w:val="00213D6A"/>
    <w:rsid w:val="002149CB"/>
    <w:rsid w:val="00216B96"/>
    <w:rsid w:val="00221058"/>
    <w:rsid w:val="00221205"/>
    <w:rsid w:val="00221561"/>
    <w:rsid w:val="00221CAE"/>
    <w:rsid w:val="00224C7C"/>
    <w:rsid w:val="0023085A"/>
    <w:rsid w:val="00230FB6"/>
    <w:rsid w:val="00230FF5"/>
    <w:rsid w:val="00231EB0"/>
    <w:rsid w:val="00233657"/>
    <w:rsid w:val="00233F7A"/>
    <w:rsid w:val="0023462C"/>
    <w:rsid w:val="00234C58"/>
    <w:rsid w:val="00234DDC"/>
    <w:rsid w:val="00243E4C"/>
    <w:rsid w:val="00245D09"/>
    <w:rsid w:val="00247529"/>
    <w:rsid w:val="002507A0"/>
    <w:rsid w:val="002543B5"/>
    <w:rsid w:val="0025484B"/>
    <w:rsid w:val="00255C0A"/>
    <w:rsid w:val="00257EAE"/>
    <w:rsid w:val="002600E1"/>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1742"/>
    <w:rsid w:val="0029306A"/>
    <w:rsid w:val="002954D4"/>
    <w:rsid w:val="00295C0F"/>
    <w:rsid w:val="00297E4A"/>
    <w:rsid w:val="002A0052"/>
    <w:rsid w:val="002A0CEE"/>
    <w:rsid w:val="002B30A6"/>
    <w:rsid w:val="002B34B0"/>
    <w:rsid w:val="002B4D01"/>
    <w:rsid w:val="002B5151"/>
    <w:rsid w:val="002B667D"/>
    <w:rsid w:val="002B768A"/>
    <w:rsid w:val="002C0E0E"/>
    <w:rsid w:val="002C20C8"/>
    <w:rsid w:val="002C4039"/>
    <w:rsid w:val="002C586C"/>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06A87"/>
    <w:rsid w:val="003124BE"/>
    <w:rsid w:val="00314594"/>
    <w:rsid w:val="00317EE5"/>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C6688"/>
    <w:rsid w:val="003D342E"/>
    <w:rsid w:val="003D3A14"/>
    <w:rsid w:val="003D5516"/>
    <w:rsid w:val="003E0167"/>
    <w:rsid w:val="003E0BD3"/>
    <w:rsid w:val="003E284A"/>
    <w:rsid w:val="003E2968"/>
    <w:rsid w:val="003E3604"/>
    <w:rsid w:val="003E463F"/>
    <w:rsid w:val="003E6CB3"/>
    <w:rsid w:val="003F0C4F"/>
    <w:rsid w:val="003F17ED"/>
    <w:rsid w:val="003F3349"/>
    <w:rsid w:val="003F4E09"/>
    <w:rsid w:val="00401C5F"/>
    <w:rsid w:val="00402B2B"/>
    <w:rsid w:val="00404C10"/>
    <w:rsid w:val="00404D4B"/>
    <w:rsid w:val="0040578F"/>
    <w:rsid w:val="00406C83"/>
    <w:rsid w:val="004074FD"/>
    <w:rsid w:val="00407E6B"/>
    <w:rsid w:val="00410FEE"/>
    <w:rsid w:val="00414CC7"/>
    <w:rsid w:val="00415C03"/>
    <w:rsid w:val="00415D84"/>
    <w:rsid w:val="00416C3A"/>
    <w:rsid w:val="00416C50"/>
    <w:rsid w:val="00420FC8"/>
    <w:rsid w:val="0042129F"/>
    <w:rsid w:val="004232D7"/>
    <w:rsid w:val="0042395B"/>
    <w:rsid w:val="0042472B"/>
    <w:rsid w:val="00431CB5"/>
    <w:rsid w:val="00431D79"/>
    <w:rsid w:val="00434ACC"/>
    <w:rsid w:val="00435CDA"/>
    <w:rsid w:val="00436E46"/>
    <w:rsid w:val="00436E6A"/>
    <w:rsid w:val="00436F9E"/>
    <w:rsid w:val="004413C4"/>
    <w:rsid w:val="004426FC"/>
    <w:rsid w:val="00442884"/>
    <w:rsid w:val="00443B04"/>
    <w:rsid w:val="00444A49"/>
    <w:rsid w:val="0044567A"/>
    <w:rsid w:val="004465FC"/>
    <w:rsid w:val="004522D7"/>
    <w:rsid w:val="004527EA"/>
    <w:rsid w:val="0045318E"/>
    <w:rsid w:val="00457B62"/>
    <w:rsid w:val="00460A29"/>
    <w:rsid w:val="004671D7"/>
    <w:rsid w:val="00472EF3"/>
    <w:rsid w:val="00475A76"/>
    <w:rsid w:val="004775F4"/>
    <w:rsid w:val="00484C10"/>
    <w:rsid w:val="00485E0B"/>
    <w:rsid w:val="00486BD6"/>
    <w:rsid w:val="00487753"/>
    <w:rsid w:val="0049013B"/>
    <w:rsid w:val="004916DD"/>
    <w:rsid w:val="00491F0A"/>
    <w:rsid w:val="004960FB"/>
    <w:rsid w:val="00497086"/>
    <w:rsid w:val="004A22E5"/>
    <w:rsid w:val="004A554F"/>
    <w:rsid w:val="004B18A4"/>
    <w:rsid w:val="004B1FE7"/>
    <w:rsid w:val="004B77C0"/>
    <w:rsid w:val="004C1463"/>
    <w:rsid w:val="004D3E72"/>
    <w:rsid w:val="004D4997"/>
    <w:rsid w:val="004D54CD"/>
    <w:rsid w:val="004D6EF0"/>
    <w:rsid w:val="004D790D"/>
    <w:rsid w:val="004E01F5"/>
    <w:rsid w:val="004E3075"/>
    <w:rsid w:val="004E7B96"/>
    <w:rsid w:val="004F0E94"/>
    <w:rsid w:val="004F178A"/>
    <w:rsid w:val="004F2331"/>
    <w:rsid w:val="004F2B79"/>
    <w:rsid w:val="0050058D"/>
    <w:rsid w:val="00501F08"/>
    <w:rsid w:val="00502247"/>
    <w:rsid w:val="00503D5C"/>
    <w:rsid w:val="0050440A"/>
    <w:rsid w:val="00505A0D"/>
    <w:rsid w:val="00505B7D"/>
    <w:rsid w:val="00506DDA"/>
    <w:rsid w:val="00510235"/>
    <w:rsid w:val="00511ADB"/>
    <w:rsid w:val="0051358D"/>
    <w:rsid w:val="00513AF6"/>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1F1"/>
    <w:rsid w:val="005747E7"/>
    <w:rsid w:val="0057501D"/>
    <w:rsid w:val="00576AEE"/>
    <w:rsid w:val="00576D8A"/>
    <w:rsid w:val="00580317"/>
    <w:rsid w:val="0058086F"/>
    <w:rsid w:val="0058249F"/>
    <w:rsid w:val="0058679B"/>
    <w:rsid w:val="005877DA"/>
    <w:rsid w:val="00593CA6"/>
    <w:rsid w:val="00595339"/>
    <w:rsid w:val="0059700D"/>
    <w:rsid w:val="00597137"/>
    <w:rsid w:val="00597231"/>
    <w:rsid w:val="005A1736"/>
    <w:rsid w:val="005A1D6F"/>
    <w:rsid w:val="005A2A2D"/>
    <w:rsid w:val="005A37FF"/>
    <w:rsid w:val="005A6E2E"/>
    <w:rsid w:val="005A7B9C"/>
    <w:rsid w:val="005B115B"/>
    <w:rsid w:val="005B29DE"/>
    <w:rsid w:val="005B4307"/>
    <w:rsid w:val="005C251D"/>
    <w:rsid w:val="005C6DDB"/>
    <w:rsid w:val="005D1220"/>
    <w:rsid w:val="005D3658"/>
    <w:rsid w:val="005D4522"/>
    <w:rsid w:val="005D6171"/>
    <w:rsid w:val="005E4730"/>
    <w:rsid w:val="005E713D"/>
    <w:rsid w:val="005F09EC"/>
    <w:rsid w:val="006049D1"/>
    <w:rsid w:val="00607722"/>
    <w:rsid w:val="00610C5B"/>
    <w:rsid w:val="00610DDF"/>
    <w:rsid w:val="00614602"/>
    <w:rsid w:val="00617789"/>
    <w:rsid w:val="006218A6"/>
    <w:rsid w:val="00624FCB"/>
    <w:rsid w:val="00625D54"/>
    <w:rsid w:val="00626F78"/>
    <w:rsid w:val="00630367"/>
    <w:rsid w:val="006309F5"/>
    <w:rsid w:val="00630BAA"/>
    <w:rsid w:val="00631039"/>
    <w:rsid w:val="00634095"/>
    <w:rsid w:val="00635D2B"/>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3A2B"/>
    <w:rsid w:val="006A668E"/>
    <w:rsid w:val="006A6AD4"/>
    <w:rsid w:val="006A7488"/>
    <w:rsid w:val="006A7638"/>
    <w:rsid w:val="006B0E03"/>
    <w:rsid w:val="006B7B22"/>
    <w:rsid w:val="006C114F"/>
    <w:rsid w:val="006C15FA"/>
    <w:rsid w:val="006C5268"/>
    <w:rsid w:val="006D0B9B"/>
    <w:rsid w:val="006D1F62"/>
    <w:rsid w:val="006D30BF"/>
    <w:rsid w:val="006D43EB"/>
    <w:rsid w:val="006D662F"/>
    <w:rsid w:val="006D69A4"/>
    <w:rsid w:val="006E07AC"/>
    <w:rsid w:val="006E09B6"/>
    <w:rsid w:val="006E0ECB"/>
    <w:rsid w:val="006E1F97"/>
    <w:rsid w:val="006E3949"/>
    <w:rsid w:val="006F02CA"/>
    <w:rsid w:val="006F0C19"/>
    <w:rsid w:val="006F24A8"/>
    <w:rsid w:val="006F56C1"/>
    <w:rsid w:val="006F58E5"/>
    <w:rsid w:val="0070010E"/>
    <w:rsid w:val="007058E9"/>
    <w:rsid w:val="0070678E"/>
    <w:rsid w:val="00706EC2"/>
    <w:rsid w:val="00707470"/>
    <w:rsid w:val="00713EEF"/>
    <w:rsid w:val="007165D4"/>
    <w:rsid w:val="00720EE5"/>
    <w:rsid w:val="007217E4"/>
    <w:rsid w:val="00721D6C"/>
    <w:rsid w:val="00721E50"/>
    <w:rsid w:val="00723889"/>
    <w:rsid w:val="00725107"/>
    <w:rsid w:val="00725B16"/>
    <w:rsid w:val="007278CF"/>
    <w:rsid w:val="00732F77"/>
    <w:rsid w:val="007363F2"/>
    <w:rsid w:val="00737AB8"/>
    <w:rsid w:val="00743E33"/>
    <w:rsid w:val="00744513"/>
    <w:rsid w:val="00747779"/>
    <w:rsid w:val="0075648C"/>
    <w:rsid w:val="00765A89"/>
    <w:rsid w:val="0076705D"/>
    <w:rsid w:val="00767185"/>
    <w:rsid w:val="00767E0F"/>
    <w:rsid w:val="007715A2"/>
    <w:rsid w:val="00771E40"/>
    <w:rsid w:val="0077435A"/>
    <w:rsid w:val="00776F83"/>
    <w:rsid w:val="00781C31"/>
    <w:rsid w:val="007861AD"/>
    <w:rsid w:val="007861EC"/>
    <w:rsid w:val="007878ED"/>
    <w:rsid w:val="00790E90"/>
    <w:rsid w:val="00791433"/>
    <w:rsid w:val="00793496"/>
    <w:rsid w:val="00793A6B"/>
    <w:rsid w:val="00794B98"/>
    <w:rsid w:val="00797D6F"/>
    <w:rsid w:val="007A0D95"/>
    <w:rsid w:val="007A14D0"/>
    <w:rsid w:val="007A2498"/>
    <w:rsid w:val="007B0767"/>
    <w:rsid w:val="007B21D1"/>
    <w:rsid w:val="007B461A"/>
    <w:rsid w:val="007C0E53"/>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242"/>
    <w:rsid w:val="007F0C15"/>
    <w:rsid w:val="0080150E"/>
    <w:rsid w:val="00810BB4"/>
    <w:rsid w:val="0081229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2EE7"/>
    <w:rsid w:val="008444BD"/>
    <w:rsid w:val="00844DC6"/>
    <w:rsid w:val="00845083"/>
    <w:rsid w:val="008474D6"/>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4B48"/>
    <w:rsid w:val="0088512F"/>
    <w:rsid w:val="00885C85"/>
    <w:rsid w:val="00890CFA"/>
    <w:rsid w:val="00891DAA"/>
    <w:rsid w:val="00891EFC"/>
    <w:rsid w:val="0089429A"/>
    <w:rsid w:val="00894B14"/>
    <w:rsid w:val="0089622A"/>
    <w:rsid w:val="00897C16"/>
    <w:rsid w:val="008A4831"/>
    <w:rsid w:val="008A492C"/>
    <w:rsid w:val="008A4C41"/>
    <w:rsid w:val="008A515D"/>
    <w:rsid w:val="008A615D"/>
    <w:rsid w:val="008A6918"/>
    <w:rsid w:val="008A69DC"/>
    <w:rsid w:val="008A6F61"/>
    <w:rsid w:val="008B4856"/>
    <w:rsid w:val="008B7C3D"/>
    <w:rsid w:val="008C2886"/>
    <w:rsid w:val="008D1537"/>
    <w:rsid w:val="008D17E5"/>
    <w:rsid w:val="008D6725"/>
    <w:rsid w:val="008D78FF"/>
    <w:rsid w:val="008E1656"/>
    <w:rsid w:val="008E476F"/>
    <w:rsid w:val="008E5F7D"/>
    <w:rsid w:val="008E6217"/>
    <w:rsid w:val="008E7722"/>
    <w:rsid w:val="008F230C"/>
    <w:rsid w:val="008F48C1"/>
    <w:rsid w:val="008F4C9D"/>
    <w:rsid w:val="008F538E"/>
    <w:rsid w:val="008F5394"/>
    <w:rsid w:val="008F5EEF"/>
    <w:rsid w:val="008F636C"/>
    <w:rsid w:val="008F6397"/>
    <w:rsid w:val="0090048A"/>
    <w:rsid w:val="009041C1"/>
    <w:rsid w:val="0090449A"/>
    <w:rsid w:val="00904A06"/>
    <w:rsid w:val="00904E04"/>
    <w:rsid w:val="0090536A"/>
    <w:rsid w:val="00911D0C"/>
    <w:rsid w:val="00914CB3"/>
    <w:rsid w:val="00916328"/>
    <w:rsid w:val="00917324"/>
    <w:rsid w:val="00920CC5"/>
    <w:rsid w:val="009223CF"/>
    <w:rsid w:val="009223E3"/>
    <w:rsid w:val="00922926"/>
    <w:rsid w:val="0092468A"/>
    <w:rsid w:val="009260C5"/>
    <w:rsid w:val="00930CFF"/>
    <w:rsid w:val="00932B78"/>
    <w:rsid w:val="00933744"/>
    <w:rsid w:val="0094012A"/>
    <w:rsid w:val="00940388"/>
    <w:rsid w:val="009429B7"/>
    <w:rsid w:val="00944903"/>
    <w:rsid w:val="00944C30"/>
    <w:rsid w:val="009450CF"/>
    <w:rsid w:val="00945AEE"/>
    <w:rsid w:val="0094732D"/>
    <w:rsid w:val="00947CF8"/>
    <w:rsid w:val="009519D4"/>
    <w:rsid w:val="009520C3"/>
    <w:rsid w:val="0095680E"/>
    <w:rsid w:val="0095696B"/>
    <w:rsid w:val="00962693"/>
    <w:rsid w:val="00962CEA"/>
    <w:rsid w:val="00970EF3"/>
    <w:rsid w:val="00971B45"/>
    <w:rsid w:val="00972275"/>
    <w:rsid w:val="00977A1D"/>
    <w:rsid w:val="0098472B"/>
    <w:rsid w:val="009871A8"/>
    <w:rsid w:val="00990476"/>
    <w:rsid w:val="0099344A"/>
    <w:rsid w:val="00994A10"/>
    <w:rsid w:val="00995388"/>
    <w:rsid w:val="00996D7F"/>
    <w:rsid w:val="009A0741"/>
    <w:rsid w:val="009A164D"/>
    <w:rsid w:val="009A19C7"/>
    <w:rsid w:val="009A1BFD"/>
    <w:rsid w:val="009A38AD"/>
    <w:rsid w:val="009A3939"/>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633"/>
    <w:rsid w:val="009F37B4"/>
    <w:rsid w:val="009F3B93"/>
    <w:rsid w:val="009F4D79"/>
    <w:rsid w:val="00A00AB4"/>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6001"/>
    <w:rsid w:val="00A805C2"/>
    <w:rsid w:val="00A806F1"/>
    <w:rsid w:val="00A87BE9"/>
    <w:rsid w:val="00A9241A"/>
    <w:rsid w:val="00A95893"/>
    <w:rsid w:val="00A963C3"/>
    <w:rsid w:val="00A96F94"/>
    <w:rsid w:val="00AA127F"/>
    <w:rsid w:val="00AA230A"/>
    <w:rsid w:val="00AA5853"/>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AF78EE"/>
    <w:rsid w:val="00B014C2"/>
    <w:rsid w:val="00B033B8"/>
    <w:rsid w:val="00B0347F"/>
    <w:rsid w:val="00B04FAA"/>
    <w:rsid w:val="00B121E8"/>
    <w:rsid w:val="00B12DEF"/>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66159"/>
    <w:rsid w:val="00B70F42"/>
    <w:rsid w:val="00B74BCA"/>
    <w:rsid w:val="00B756EA"/>
    <w:rsid w:val="00B75B65"/>
    <w:rsid w:val="00B7774A"/>
    <w:rsid w:val="00B81E82"/>
    <w:rsid w:val="00B82499"/>
    <w:rsid w:val="00B82739"/>
    <w:rsid w:val="00B85C22"/>
    <w:rsid w:val="00B866E5"/>
    <w:rsid w:val="00B91EA5"/>
    <w:rsid w:val="00B931D1"/>
    <w:rsid w:val="00B943B1"/>
    <w:rsid w:val="00BA0556"/>
    <w:rsid w:val="00BA0A22"/>
    <w:rsid w:val="00BA14F4"/>
    <w:rsid w:val="00BA2E9B"/>
    <w:rsid w:val="00BA7189"/>
    <w:rsid w:val="00BB09C5"/>
    <w:rsid w:val="00BB1C9B"/>
    <w:rsid w:val="00BB2330"/>
    <w:rsid w:val="00BB4180"/>
    <w:rsid w:val="00BB6E67"/>
    <w:rsid w:val="00BB7960"/>
    <w:rsid w:val="00BC06E8"/>
    <w:rsid w:val="00BC4144"/>
    <w:rsid w:val="00BC4472"/>
    <w:rsid w:val="00BC506E"/>
    <w:rsid w:val="00BC51A3"/>
    <w:rsid w:val="00BC66EB"/>
    <w:rsid w:val="00BD1934"/>
    <w:rsid w:val="00BD1A48"/>
    <w:rsid w:val="00BD4331"/>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F05"/>
    <w:rsid w:val="00C33121"/>
    <w:rsid w:val="00C33F2C"/>
    <w:rsid w:val="00C34377"/>
    <w:rsid w:val="00C34941"/>
    <w:rsid w:val="00C37B14"/>
    <w:rsid w:val="00C40FDA"/>
    <w:rsid w:val="00C44943"/>
    <w:rsid w:val="00C44C95"/>
    <w:rsid w:val="00C4549D"/>
    <w:rsid w:val="00C45AB4"/>
    <w:rsid w:val="00C47ECB"/>
    <w:rsid w:val="00C5082A"/>
    <w:rsid w:val="00C52C5E"/>
    <w:rsid w:val="00C5549D"/>
    <w:rsid w:val="00C56073"/>
    <w:rsid w:val="00C61BDC"/>
    <w:rsid w:val="00C61FF9"/>
    <w:rsid w:val="00C627A2"/>
    <w:rsid w:val="00C64C83"/>
    <w:rsid w:val="00C65525"/>
    <w:rsid w:val="00C6637E"/>
    <w:rsid w:val="00C7152A"/>
    <w:rsid w:val="00C728A7"/>
    <w:rsid w:val="00C7500F"/>
    <w:rsid w:val="00C751EA"/>
    <w:rsid w:val="00C75A4F"/>
    <w:rsid w:val="00C772EA"/>
    <w:rsid w:val="00C77663"/>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1F6A"/>
    <w:rsid w:val="00CA34C6"/>
    <w:rsid w:val="00CA4ADF"/>
    <w:rsid w:val="00CA6526"/>
    <w:rsid w:val="00CA7E59"/>
    <w:rsid w:val="00CB1829"/>
    <w:rsid w:val="00CB189E"/>
    <w:rsid w:val="00CB19CB"/>
    <w:rsid w:val="00CB204F"/>
    <w:rsid w:val="00CB2B16"/>
    <w:rsid w:val="00CB45B6"/>
    <w:rsid w:val="00CB5D7B"/>
    <w:rsid w:val="00CB6882"/>
    <w:rsid w:val="00CB7A76"/>
    <w:rsid w:val="00CC0911"/>
    <w:rsid w:val="00CC2408"/>
    <w:rsid w:val="00CC39E5"/>
    <w:rsid w:val="00CC76C2"/>
    <w:rsid w:val="00CD291B"/>
    <w:rsid w:val="00CD40FD"/>
    <w:rsid w:val="00CD4E1C"/>
    <w:rsid w:val="00CE02B4"/>
    <w:rsid w:val="00CE09F6"/>
    <w:rsid w:val="00CE128B"/>
    <w:rsid w:val="00CE46A5"/>
    <w:rsid w:val="00CF0131"/>
    <w:rsid w:val="00CF05DA"/>
    <w:rsid w:val="00CF370C"/>
    <w:rsid w:val="00CF4D9E"/>
    <w:rsid w:val="00CF50F6"/>
    <w:rsid w:val="00CF5C7C"/>
    <w:rsid w:val="00D0079F"/>
    <w:rsid w:val="00D03BE9"/>
    <w:rsid w:val="00D0470C"/>
    <w:rsid w:val="00D11E93"/>
    <w:rsid w:val="00D12D69"/>
    <w:rsid w:val="00D12F6E"/>
    <w:rsid w:val="00D215C9"/>
    <w:rsid w:val="00D23D51"/>
    <w:rsid w:val="00D23E53"/>
    <w:rsid w:val="00D24EDC"/>
    <w:rsid w:val="00D27671"/>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03E"/>
    <w:rsid w:val="00D9405A"/>
    <w:rsid w:val="00D94F4A"/>
    <w:rsid w:val="00DA0A55"/>
    <w:rsid w:val="00DA33A5"/>
    <w:rsid w:val="00DA3D82"/>
    <w:rsid w:val="00DA4F89"/>
    <w:rsid w:val="00DA61A3"/>
    <w:rsid w:val="00DA6973"/>
    <w:rsid w:val="00DA775F"/>
    <w:rsid w:val="00DA7FAD"/>
    <w:rsid w:val="00DB0477"/>
    <w:rsid w:val="00DB1642"/>
    <w:rsid w:val="00DB28DC"/>
    <w:rsid w:val="00DB2ACC"/>
    <w:rsid w:val="00DB35ED"/>
    <w:rsid w:val="00DB7168"/>
    <w:rsid w:val="00DC00DC"/>
    <w:rsid w:val="00DC0A98"/>
    <w:rsid w:val="00DC1068"/>
    <w:rsid w:val="00DC1FD6"/>
    <w:rsid w:val="00DC2009"/>
    <w:rsid w:val="00DC27BB"/>
    <w:rsid w:val="00DC2AFF"/>
    <w:rsid w:val="00DC614F"/>
    <w:rsid w:val="00DC7ACA"/>
    <w:rsid w:val="00DD0266"/>
    <w:rsid w:val="00DD0FE9"/>
    <w:rsid w:val="00DD21C0"/>
    <w:rsid w:val="00DD42C2"/>
    <w:rsid w:val="00DD5665"/>
    <w:rsid w:val="00DE01CE"/>
    <w:rsid w:val="00DE0762"/>
    <w:rsid w:val="00DE67FC"/>
    <w:rsid w:val="00DF00C1"/>
    <w:rsid w:val="00DF0637"/>
    <w:rsid w:val="00DF0A7E"/>
    <w:rsid w:val="00DF4BCE"/>
    <w:rsid w:val="00E03A78"/>
    <w:rsid w:val="00E042D4"/>
    <w:rsid w:val="00E07DF2"/>
    <w:rsid w:val="00E147E0"/>
    <w:rsid w:val="00E22252"/>
    <w:rsid w:val="00E22906"/>
    <w:rsid w:val="00E22D5A"/>
    <w:rsid w:val="00E22EBE"/>
    <w:rsid w:val="00E25884"/>
    <w:rsid w:val="00E26AAA"/>
    <w:rsid w:val="00E3385D"/>
    <w:rsid w:val="00E360B7"/>
    <w:rsid w:val="00E43842"/>
    <w:rsid w:val="00E44062"/>
    <w:rsid w:val="00E4416C"/>
    <w:rsid w:val="00E47292"/>
    <w:rsid w:val="00E47CB5"/>
    <w:rsid w:val="00E51BA8"/>
    <w:rsid w:val="00E51BE9"/>
    <w:rsid w:val="00E52FCD"/>
    <w:rsid w:val="00E54741"/>
    <w:rsid w:val="00E56A1F"/>
    <w:rsid w:val="00E5743D"/>
    <w:rsid w:val="00E61D5C"/>
    <w:rsid w:val="00E62150"/>
    <w:rsid w:val="00E62C6C"/>
    <w:rsid w:val="00E6447F"/>
    <w:rsid w:val="00E65F36"/>
    <w:rsid w:val="00E65F64"/>
    <w:rsid w:val="00E671E2"/>
    <w:rsid w:val="00E70B81"/>
    <w:rsid w:val="00E73425"/>
    <w:rsid w:val="00E73C02"/>
    <w:rsid w:val="00E7628E"/>
    <w:rsid w:val="00E77577"/>
    <w:rsid w:val="00E8006C"/>
    <w:rsid w:val="00E8125D"/>
    <w:rsid w:val="00E86AEA"/>
    <w:rsid w:val="00E90C7E"/>
    <w:rsid w:val="00E921F7"/>
    <w:rsid w:val="00E9274F"/>
    <w:rsid w:val="00EA2572"/>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5FA2"/>
    <w:rsid w:val="00EF662A"/>
    <w:rsid w:val="00EF6CB9"/>
    <w:rsid w:val="00EF6E5B"/>
    <w:rsid w:val="00EF7435"/>
    <w:rsid w:val="00EF7544"/>
    <w:rsid w:val="00EF7A99"/>
    <w:rsid w:val="00F017F1"/>
    <w:rsid w:val="00F02F53"/>
    <w:rsid w:val="00F0668D"/>
    <w:rsid w:val="00F10EB1"/>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3576D"/>
    <w:rsid w:val="00F3776D"/>
    <w:rsid w:val="00F4308E"/>
    <w:rsid w:val="00F45FC6"/>
    <w:rsid w:val="00F520CA"/>
    <w:rsid w:val="00F543D6"/>
    <w:rsid w:val="00F56864"/>
    <w:rsid w:val="00F573E5"/>
    <w:rsid w:val="00F61450"/>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7A74"/>
    <w:rsid w:val="00FA2DB4"/>
    <w:rsid w:val="00FA371D"/>
    <w:rsid w:val="00FA6053"/>
    <w:rsid w:val="00FA6507"/>
    <w:rsid w:val="00FA6DB0"/>
    <w:rsid w:val="00FB0E25"/>
    <w:rsid w:val="00FB2FE8"/>
    <w:rsid w:val="00FB4555"/>
    <w:rsid w:val="00FB4F40"/>
    <w:rsid w:val="00FC02DA"/>
    <w:rsid w:val="00FC4CC7"/>
    <w:rsid w:val="00FD3BBA"/>
    <w:rsid w:val="00FD4326"/>
    <w:rsid w:val="00FD7D7A"/>
    <w:rsid w:val="00FE2734"/>
    <w:rsid w:val="00FE4A0B"/>
    <w:rsid w:val="00FF1D9A"/>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F4F1-5D0A-4828-821D-C9EDB431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1109</Words>
  <Characters>7587</Characters>
  <Application>Microsoft Office Word</Application>
  <DocSecurity>0</DocSecurity>
  <Lines>505</Lines>
  <Paragraphs>185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19.oktobra noteikumos Nr.818 „Noteikumi par darbības programmas „Uzņēmējdarbība un inovācijas” papildinājuma 2.2.1.1.aktivitāti „Ieguldījumu fonds investīcijām garantijās, paaugst</vt:lpstr>
    </vt:vector>
  </TitlesOfParts>
  <Company>LR Ekonomikas ministrija</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19.oktobra noteikumos Nr.818 „Noteikumi par darbības programmas „Uzņēmējdarbība un inovācijas” papildinājuma 2.2.1.1.aktivitāti „Ieguldījumu fonds investīcijām garantijās, paaugst</dc:title>
  <dc:subject>Ministru kabineta noteikumu projekts „Grozījums Ministru kabineta 2011.gada 19.oktobra noteikumos Nr.818 „Noteikumi par darbības programmas „Uzņēmējdarbība un inovācijas” papildinājuma 2.2.1.1.aktivitāti „Ieguldījumu fonds investīcijām garantijās, paaugst</dc:subject>
  <dc:creator>Agita Nicmane</dc:creator>
  <cp:lastModifiedBy>Agita Nicmane</cp:lastModifiedBy>
  <cp:revision>3</cp:revision>
  <cp:lastPrinted>2013-07-03T09:29:00Z</cp:lastPrinted>
  <dcterms:created xsi:type="dcterms:W3CDTF">2013-12-11T19:06:00Z</dcterms:created>
  <dcterms:modified xsi:type="dcterms:W3CDTF">2013-12-12T06:46:00Z</dcterms:modified>
</cp:coreProperties>
</file>