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42" w:rsidRPr="002C7DE0" w:rsidRDefault="00852042" w:rsidP="00214094">
      <w:pPr>
        <w:pStyle w:val="naislab"/>
        <w:spacing w:before="0" w:after="0"/>
        <w:rPr>
          <w:sz w:val="22"/>
          <w:szCs w:val="22"/>
        </w:rPr>
      </w:pPr>
    </w:p>
    <w:p w:rsidR="008C5649" w:rsidRDefault="00E73C77" w:rsidP="00AD3269">
      <w:pPr>
        <w:pStyle w:val="naislab"/>
        <w:spacing w:before="0" w:after="0"/>
        <w:jc w:val="center"/>
        <w:outlineLvl w:val="0"/>
        <w:rPr>
          <w:b/>
          <w:sz w:val="28"/>
          <w:szCs w:val="28"/>
        </w:rPr>
      </w:pPr>
      <w:r w:rsidRPr="00331B85">
        <w:rPr>
          <w:b/>
          <w:sz w:val="28"/>
          <w:szCs w:val="28"/>
        </w:rPr>
        <w:t>Ministru kabineta noteikumu projekta „</w:t>
      </w:r>
      <w:r w:rsidR="00DA0A88" w:rsidRPr="00331B85">
        <w:rPr>
          <w:b/>
          <w:sz w:val="28"/>
          <w:szCs w:val="28"/>
        </w:rPr>
        <w:t>Noteikumi p</w:t>
      </w:r>
      <w:r w:rsidRPr="00331B85">
        <w:rPr>
          <w:b/>
          <w:sz w:val="28"/>
          <w:szCs w:val="28"/>
        </w:rPr>
        <w:t xml:space="preserve">ar </w:t>
      </w:r>
      <w:r w:rsidR="002B1779" w:rsidRPr="00331B85">
        <w:rPr>
          <w:b/>
          <w:sz w:val="28"/>
          <w:szCs w:val="28"/>
        </w:rPr>
        <w:t>v</w:t>
      </w:r>
      <w:r w:rsidRPr="00331B85">
        <w:rPr>
          <w:b/>
          <w:sz w:val="28"/>
          <w:szCs w:val="28"/>
        </w:rPr>
        <w:t>alsts statistiskās informācijas programmu 201</w:t>
      </w:r>
      <w:r w:rsidR="00A412BE">
        <w:rPr>
          <w:b/>
          <w:sz w:val="28"/>
          <w:szCs w:val="28"/>
        </w:rPr>
        <w:t>4</w:t>
      </w:r>
      <w:r w:rsidRPr="00331B85">
        <w:rPr>
          <w:b/>
          <w:sz w:val="28"/>
          <w:szCs w:val="28"/>
        </w:rPr>
        <w:t>.gadam”</w:t>
      </w:r>
      <w:r w:rsidR="00852042" w:rsidRPr="00331B85">
        <w:rPr>
          <w:b/>
          <w:sz w:val="28"/>
          <w:szCs w:val="28"/>
        </w:rPr>
        <w:t xml:space="preserve"> sākotnējā</w:t>
      </w:r>
      <w:r w:rsidR="002D3306" w:rsidRPr="00331B85">
        <w:rPr>
          <w:b/>
          <w:sz w:val="28"/>
          <w:szCs w:val="28"/>
        </w:rPr>
        <w:t>s</w:t>
      </w:r>
      <w:r w:rsidR="00852042" w:rsidRPr="00331B85">
        <w:rPr>
          <w:b/>
          <w:sz w:val="28"/>
          <w:szCs w:val="28"/>
        </w:rPr>
        <w:t xml:space="preserve"> ietekmes novērtējuma ziņojums </w:t>
      </w:r>
      <w:r w:rsidR="00852042" w:rsidRPr="00B23D4F">
        <w:rPr>
          <w:b/>
          <w:sz w:val="28"/>
          <w:szCs w:val="28"/>
        </w:rPr>
        <w:t>(anotācija)</w:t>
      </w:r>
    </w:p>
    <w:p w:rsidR="00536D31" w:rsidRPr="00B23D4F" w:rsidRDefault="00536D31" w:rsidP="00AD3269">
      <w:pPr>
        <w:pStyle w:val="naislab"/>
        <w:spacing w:before="0" w:after="0"/>
        <w:jc w:val="center"/>
        <w:outlineLvl w:val="0"/>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B30831">
        <w:tc>
          <w:tcPr>
            <w:tcW w:w="9725" w:type="dxa"/>
            <w:gridSpan w:val="3"/>
            <w:vAlign w:val="center"/>
          </w:tcPr>
          <w:p w:rsidR="00852042" w:rsidRPr="00B30831" w:rsidRDefault="00852042" w:rsidP="006C4607">
            <w:pPr>
              <w:pStyle w:val="naisnod"/>
              <w:spacing w:before="0" w:after="0"/>
            </w:pPr>
            <w:r w:rsidRPr="00B30831">
              <w:t>I</w:t>
            </w:r>
            <w:r w:rsidR="000941C5" w:rsidRPr="00B30831">
              <w:t>.</w:t>
            </w:r>
            <w:r w:rsidRPr="00B30831">
              <w:t xml:space="preserve">Tiesību akta </w:t>
            </w:r>
            <w:r w:rsidR="002E3FF4" w:rsidRPr="00B30831">
              <w:t xml:space="preserve">projekta </w:t>
            </w:r>
            <w:r w:rsidRPr="00B30831">
              <w:t>izstrādes nepieciešamība</w:t>
            </w:r>
          </w:p>
        </w:tc>
      </w:tr>
      <w:tr w:rsidR="00262E2B" w:rsidRPr="00B30831">
        <w:trPr>
          <w:trHeight w:val="630"/>
        </w:trPr>
        <w:tc>
          <w:tcPr>
            <w:tcW w:w="550" w:type="dxa"/>
          </w:tcPr>
          <w:p w:rsidR="00262E2B" w:rsidRPr="00B30831" w:rsidRDefault="00262E2B" w:rsidP="006C4607">
            <w:pPr>
              <w:pStyle w:val="naiskr"/>
              <w:spacing w:before="0" w:after="0"/>
            </w:pPr>
            <w:r w:rsidRPr="00B30831">
              <w:t>1.</w:t>
            </w:r>
          </w:p>
        </w:tc>
        <w:tc>
          <w:tcPr>
            <w:tcW w:w="4315" w:type="dxa"/>
          </w:tcPr>
          <w:p w:rsidR="00262E2B" w:rsidRPr="00B30831" w:rsidRDefault="002D7F54" w:rsidP="006C4607">
            <w:pPr>
              <w:pStyle w:val="naiskr"/>
              <w:spacing w:before="0" w:after="0"/>
              <w:ind w:hanging="10"/>
            </w:pPr>
            <w:r w:rsidRPr="00B30831">
              <w:t>Pamatojums</w:t>
            </w:r>
          </w:p>
        </w:tc>
        <w:tc>
          <w:tcPr>
            <w:tcW w:w="4860" w:type="dxa"/>
          </w:tcPr>
          <w:p w:rsidR="00366EDA" w:rsidRPr="00B30831" w:rsidRDefault="00DA0A88" w:rsidP="00B23D4F">
            <w:pPr>
              <w:pStyle w:val="naiskr"/>
              <w:spacing w:before="0" w:after="0"/>
              <w:ind w:hanging="5"/>
            </w:pPr>
            <w:r w:rsidRPr="00B30831">
              <w:t>Ministru kabineta noteikumu p</w:t>
            </w:r>
            <w:r w:rsidR="002B1779" w:rsidRPr="00B30831">
              <w:t xml:space="preserve">rojekts „Noteikumi par </w:t>
            </w:r>
            <w:r w:rsidR="00A412BE" w:rsidRPr="00B30831">
              <w:t>V</w:t>
            </w:r>
            <w:r w:rsidRPr="00B30831">
              <w:t>alsts statistisk</w:t>
            </w:r>
            <w:r w:rsidR="00C102C2" w:rsidRPr="00B30831">
              <w:t>ās informācijas programmu 201</w:t>
            </w:r>
            <w:r w:rsidR="00A412BE" w:rsidRPr="00B30831">
              <w:t>4</w:t>
            </w:r>
            <w:r w:rsidR="00C102C2" w:rsidRPr="00B30831">
              <w:t>.</w:t>
            </w:r>
            <w:r w:rsidRPr="00B30831">
              <w:t xml:space="preserve">gadam” (turpmāk – MK noteikumu projekts) ir izstrādāts saskaņā ar Valsts statistikas likuma </w:t>
            </w:r>
            <w:r w:rsidR="00C102C2" w:rsidRPr="00B30831">
              <w:t>5.panta otrās daļas 3.</w:t>
            </w:r>
            <w:r w:rsidR="00366EDA" w:rsidRPr="00B30831">
              <w:t>punktu.</w:t>
            </w:r>
          </w:p>
        </w:tc>
      </w:tr>
      <w:tr w:rsidR="00262E2B" w:rsidRPr="00B30831">
        <w:trPr>
          <w:trHeight w:val="472"/>
        </w:trPr>
        <w:tc>
          <w:tcPr>
            <w:tcW w:w="550" w:type="dxa"/>
          </w:tcPr>
          <w:p w:rsidR="00262E2B" w:rsidRPr="00B30831" w:rsidRDefault="00262E2B" w:rsidP="006C4607">
            <w:pPr>
              <w:pStyle w:val="naiskr"/>
              <w:spacing w:before="0" w:after="0"/>
            </w:pPr>
            <w:r w:rsidRPr="00B30831">
              <w:t>2.</w:t>
            </w:r>
          </w:p>
        </w:tc>
        <w:tc>
          <w:tcPr>
            <w:tcW w:w="4315" w:type="dxa"/>
          </w:tcPr>
          <w:p w:rsidR="00262E2B" w:rsidRPr="00B30831" w:rsidRDefault="00262E2B" w:rsidP="006C4607">
            <w:pPr>
              <w:pStyle w:val="naiskr"/>
              <w:tabs>
                <w:tab w:val="left" w:pos="170"/>
              </w:tabs>
              <w:spacing w:before="0" w:after="0"/>
            </w:pPr>
            <w:r w:rsidRPr="00B30831">
              <w:t>Pašreizējā situācija</w:t>
            </w:r>
            <w:r w:rsidR="001F5CD6" w:rsidRPr="00B30831">
              <w:t xml:space="preserve"> un problēmas</w:t>
            </w:r>
          </w:p>
        </w:tc>
        <w:tc>
          <w:tcPr>
            <w:tcW w:w="4860" w:type="dxa"/>
          </w:tcPr>
          <w:p w:rsidR="00262E2B" w:rsidRPr="00B30831" w:rsidRDefault="00366EDA" w:rsidP="00B23D4F">
            <w:pPr>
              <w:pStyle w:val="naiskr"/>
              <w:spacing w:before="0" w:after="0"/>
              <w:rPr>
                <w:iCs/>
              </w:rPr>
            </w:pPr>
            <w:r w:rsidRPr="00B30831">
              <w:rPr>
                <w:iCs/>
              </w:rPr>
              <w:t>Saskaņā ar Valsts statistikas likum</w:t>
            </w:r>
            <w:r w:rsidR="004949E5" w:rsidRPr="00B30831">
              <w:rPr>
                <w:iCs/>
              </w:rPr>
              <w:t>a</w:t>
            </w:r>
            <w:r w:rsidR="00C102C2" w:rsidRPr="00B30831">
              <w:rPr>
                <w:iCs/>
              </w:rPr>
              <w:t xml:space="preserve"> 5.panta otrās daļas 3.</w:t>
            </w:r>
            <w:r w:rsidRPr="00B30831">
              <w:rPr>
                <w:iCs/>
              </w:rPr>
              <w:t xml:space="preserve">punktā noteikto, </w:t>
            </w:r>
            <w:r w:rsidR="00901635" w:rsidRPr="00B30831">
              <w:rPr>
                <w:iCs/>
              </w:rPr>
              <w:t>V</w:t>
            </w:r>
            <w:r w:rsidRPr="00B30831">
              <w:rPr>
                <w:iCs/>
              </w:rPr>
              <w:t>alsts statistiskās informācijas programmu izstrādā kārtējā gada finanšu līdzekļu ietvaros.</w:t>
            </w:r>
          </w:p>
          <w:p w:rsidR="00265BA4" w:rsidRPr="00B30831" w:rsidRDefault="00265BA4" w:rsidP="00B23D4F">
            <w:pPr>
              <w:pStyle w:val="naiskr"/>
              <w:spacing w:before="0" w:after="0"/>
              <w:rPr>
                <w:iCs/>
              </w:rPr>
            </w:pPr>
          </w:p>
          <w:p w:rsidR="00901635" w:rsidRPr="00B30831" w:rsidRDefault="00152B2C" w:rsidP="00E075DF">
            <w:pPr>
              <w:pStyle w:val="naiskr"/>
              <w:spacing w:before="0" w:after="0"/>
              <w:rPr>
                <w:iCs/>
              </w:rPr>
            </w:pPr>
            <w:r w:rsidRPr="00B30831">
              <w:rPr>
                <w:iCs/>
              </w:rPr>
              <w:t>Fizisko personu datu aizsardzības likuma 10.panta pirmās daļas 2.punkts nosaka,</w:t>
            </w:r>
            <w:r w:rsidR="00B23D4F" w:rsidRPr="00B30831">
              <w:rPr>
                <w:iCs/>
              </w:rPr>
              <w:t xml:space="preserve"> ka, </w:t>
            </w:r>
            <w:r w:rsidRPr="00B30831">
              <w:rPr>
                <w:iCs/>
              </w:rPr>
              <w:t>lai aizsargātu datu subjekta intereses, pārzinis nodrošina personas datu apstrādi tikai atbilstoši paredzētajam mērķim un tam nepieciešamajā apjomā.</w:t>
            </w:r>
            <w:r w:rsidR="005959F3" w:rsidRPr="00B30831" w:rsidDel="005959F3">
              <w:rPr>
                <w:iCs/>
              </w:rPr>
              <w:t xml:space="preserve"> </w:t>
            </w:r>
            <w:r w:rsidRPr="00B30831">
              <w:rPr>
                <w:iCs/>
              </w:rPr>
              <w:t xml:space="preserve">Sociālās statistikas ietvaros </w:t>
            </w:r>
            <w:r w:rsidR="00E075DF" w:rsidRPr="00B30831">
              <w:rPr>
                <w:iCs/>
              </w:rPr>
              <w:t>institūcijas, kuras ir atbildīgas par statistiskās informācijas apkopošanu,</w:t>
            </w:r>
            <w:r w:rsidRPr="00B30831">
              <w:rPr>
                <w:iCs/>
              </w:rPr>
              <w:t xml:space="preserve"> apstrādā personas datus, saņemot tos no dažādiem administratīvajiem datu avotiem. Savukārt tiesību aktos nav noteikti statistikas nodrošināšanai no administratīvajiem datu avotiem saņemamo personas datu veidi, apjoms un izmantošanas mērķi.</w:t>
            </w:r>
          </w:p>
        </w:tc>
      </w:tr>
      <w:tr w:rsidR="00262E2B" w:rsidRPr="00B30831" w:rsidTr="00E419B2">
        <w:trPr>
          <w:trHeight w:val="516"/>
        </w:trPr>
        <w:tc>
          <w:tcPr>
            <w:tcW w:w="550" w:type="dxa"/>
          </w:tcPr>
          <w:p w:rsidR="00262E2B" w:rsidRPr="00B30831" w:rsidRDefault="00262E2B" w:rsidP="006C4607">
            <w:pPr>
              <w:pStyle w:val="naiskr"/>
              <w:spacing w:before="0" w:after="0"/>
            </w:pPr>
            <w:r w:rsidRPr="00B30831">
              <w:t>3.</w:t>
            </w:r>
          </w:p>
        </w:tc>
        <w:tc>
          <w:tcPr>
            <w:tcW w:w="4315" w:type="dxa"/>
          </w:tcPr>
          <w:p w:rsidR="00262E2B" w:rsidRPr="00B30831" w:rsidRDefault="00420870" w:rsidP="006C4607">
            <w:pPr>
              <w:pStyle w:val="naiskr"/>
              <w:spacing w:before="0" w:after="0"/>
            </w:pPr>
            <w:r w:rsidRPr="00B30831">
              <w:t>S</w:t>
            </w:r>
            <w:r w:rsidR="000B69CF" w:rsidRPr="00B30831">
              <w:t xml:space="preserve">aistītie </w:t>
            </w:r>
            <w:r w:rsidR="001A6AE4" w:rsidRPr="00B30831">
              <w:t>politikas ietekmes novērtējumi</w:t>
            </w:r>
            <w:r w:rsidR="00CB0247" w:rsidRPr="00B30831">
              <w:t xml:space="preserve"> un</w:t>
            </w:r>
            <w:r w:rsidR="001A6AE4" w:rsidRPr="00B30831">
              <w:t xml:space="preserve"> </w:t>
            </w:r>
            <w:r w:rsidR="000B69CF" w:rsidRPr="00B30831">
              <w:t>pētījumi</w:t>
            </w:r>
          </w:p>
        </w:tc>
        <w:tc>
          <w:tcPr>
            <w:tcW w:w="4860" w:type="dxa"/>
          </w:tcPr>
          <w:p w:rsidR="00D20FF4" w:rsidRPr="00B30831" w:rsidRDefault="00E419B2" w:rsidP="00B23D4F">
            <w:pPr>
              <w:pStyle w:val="FootnoteText"/>
              <w:rPr>
                <w:sz w:val="24"/>
                <w:szCs w:val="24"/>
              </w:rPr>
            </w:pPr>
            <w:r w:rsidRPr="00B30831">
              <w:rPr>
                <w:sz w:val="24"/>
                <w:szCs w:val="24"/>
              </w:rPr>
              <w:t>Projekts šo jomu neskar</w:t>
            </w:r>
            <w:r w:rsidR="004949E5" w:rsidRPr="00B30831">
              <w:rPr>
                <w:sz w:val="24"/>
                <w:szCs w:val="24"/>
              </w:rPr>
              <w:t>.</w:t>
            </w:r>
          </w:p>
        </w:tc>
      </w:tr>
      <w:tr w:rsidR="00262E2B" w:rsidRPr="00B30831">
        <w:trPr>
          <w:trHeight w:val="384"/>
        </w:trPr>
        <w:tc>
          <w:tcPr>
            <w:tcW w:w="550" w:type="dxa"/>
          </w:tcPr>
          <w:p w:rsidR="00262E2B" w:rsidRPr="00B30831" w:rsidRDefault="00262E2B" w:rsidP="006C4607">
            <w:pPr>
              <w:pStyle w:val="naiskr"/>
              <w:spacing w:before="0" w:after="0"/>
            </w:pPr>
            <w:r w:rsidRPr="00B30831">
              <w:t>4.</w:t>
            </w:r>
          </w:p>
        </w:tc>
        <w:tc>
          <w:tcPr>
            <w:tcW w:w="4315" w:type="dxa"/>
          </w:tcPr>
          <w:p w:rsidR="00262E2B" w:rsidRPr="00B30831" w:rsidRDefault="000C790C" w:rsidP="006C4607">
            <w:pPr>
              <w:pStyle w:val="naiskr"/>
              <w:spacing w:before="0" w:after="0"/>
            </w:pPr>
            <w:r w:rsidRPr="00B30831">
              <w:t>Tiesiskā r</w:t>
            </w:r>
            <w:r w:rsidR="00400032" w:rsidRPr="00B30831">
              <w:t xml:space="preserve">egulējuma </w:t>
            </w:r>
            <w:r w:rsidR="00262E2B" w:rsidRPr="00B30831">
              <w:t>mērķis un būtība</w:t>
            </w:r>
          </w:p>
        </w:tc>
        <w:tc>
          <w:tcPr>
            <w:tcW w:w="4860" w:type="dxa"/>
          </w:tcPr>
          <w:p w:rsidR="00262E2B" w:rsidRPr="00B30831" w:rsidRDefault="00BE6A32" w:rsidP="00B23D4F">
            <w:pPr>
              <w:pStyle w:val="naiskr"/>
              <w:spacing w:before="0" w:after="0"/>
              <w:rPr>
                <w:iCs/>
              </w:rPr>
            </w:pPr>
            <w:r w:rsidRPr="00B30831">
              <w:rPr>
                <w:iCs/>
              </w:rPr>
              <w:t>MK noteikumu projekt</w:t>
            </w:r>
            <w:r w:rsidR="00901635" w:rsidRPr="00B30831">
              <w:rPr>
                <w:iCs/>
              </w:rPr>
              <w:t xml:space="preserve">a </w:t>
            </w:r>
            <w:r w:rsidR="001E37F8" w:rsidRPr="00B30831">
              <w:rPr>
                <w:iCs/>
              </w:rPr>
              <w:t xml:space="preserve">pielikuma 1. tabulā </w:t>
            </w:r>
            <w:r w:rsidRPr="00B30831">
              <w:rPr>
                <w:iCs/>
              </w:rPr>
              <w:t xml:space="preserve">ir </w:t>
            </w:r>
            <w:r w:rsidR="00D704AC" w:rsidRPr="00B30831">
              <w:rPr>
                <w:iCs/>
              </w:rPr>
              <w:t>noteikta</w:t>
            </w:r>
            <w:r w:rsidRPr="00B30831">
              <w:rPr>
                <w:iCs/>
              </w:rPr>
              <w:t xml:space="preserve"> statistiskā informācija, kuru apkopo un publicē ministrijas un citas valsts institūcijas tām piešķirto budžeta līdzekļu ietvaros</w:t>
            </w:r>
            <w:r w:rsidR="004949E5" w:rsidRPr="00B30831">
              <w:rPr>
                <w:iCs/>
              </w:rPr>
              <w:t xml:space="preserve">, </w:t>
            </w:r>
            <w:r w:rsidR="00E21C3D" w:rsidRPr="00B30831">
              <w:rPr>
                <w:iCs/>
              </w:rPr>
              <w:t>lai izpildītu</w:t>
            </w:r>
            <w:r w:rsidR="004949E5" w:rsidRPr="00B30831">
              <w:rPr>
                <w:iCs/>
              </w:rPr>
              <w:t xml:space="preserve"> starptautisk</w:t>
            </w:r>
            <w:r w:rsidR="00E21C3D" w:rsidRPr="00B30831">
              <w:rPr>
                <w:iCs/>
              </w:rPr>
              <w:t>ajos</w:t>
            </w:r>
            <w:r w:rsidR="004949E5" w:rsidRPr="00B30831">
              <w:rPr>
                <w:iCs/>
              </w:rPr>
              <w:t>, Eiropas Savienības vai Latvijas Republikas tiesību akt</w:t>
            </w:r>
            <w:r w:rsidR="00E21C3D" w:rsidRPr="00B30831">
              <w:rPr>
                <w:iCs/>
              </w:rPr>
              <w:t xml:space="preserve">os noteiktās prasības vai lai izpildītu starptautisko organizāciju, Eiropas Savienības vai iekšzemes </w:t>
            </w:r>
            <w:r w:rsidR="0050156A" w:rsidRPr="00B30831">
              <w:rPr>
                <w:iCs/>
              </w:rPr>
              <w:t xml:space="preserve">statistikas </w:t>
            </w:r>
            <w:r w:rsidR="00E21C3D" w:rsidRPr="00B30831">
              <w:rPr>
                <w:iCs/>
              </w:rPr>
              <w:t>lietotāju pieprasījumus</w:t>
            </w:r>
            <w:r w:rsidR="004949E5" w:rsidRPr="00B30831">
              <w:rPr>
                <w:iCs/>
              </w:rPr>
              <w:t>.</w:t>
            </w:r>
          </w:p>
          <w:p w:rsidR="00D704AC" w:rsidRPr="00B30831" w:rsidRDefault="00D704AC" w:rsidP="00B23D4F">
            <w:pPr>
              <w:pStyle w:val="naiskr"/>
              <w:spacing w:before="0" w:after="0"/>
              <w:rPr>
                <w:iCs/>
              </w:rPr>
            </w:pPr>
          </w:p>
          <w:p w:rsidR="009B7595" w:rsidRPr="00B30831" w:rsidRDefault="009B7595" w:rsidP="00B23D4F">
            <w:pPr>
              <w:pStyle w:val="naiskr"/>
              <w:spacing w:before="0" w:after="0"/>
              <w:rPr>
                <w:iCs/>
              </w:rPr>
            </w:pPr>
            <w:r w:rsidRPr="00B30831">
              <w:rPr>
                <w:iCs/>
              </w:rPr>
              <w:t>Statistikas lietotāju ērtībai a</w:t>
            </w:r>
            <w:r w:rsidR="0050156A" w:rsidRPr="00B30831">
              <w:rPr>
                <w:iCs/>
              </w:rPr>
              <w:t>pkopotā statistiskā informācija ir sadalīta daļās pa galvenajām statistikas tēmām</w:t>
            </w:r>
            <w:r w:rsidRPr="00B30831">
              <w:rPr>
                <w:iCs/>
              </w:rPr>
              <w:t>, norādot apkopotās informācijas saturu, institūciju, kura ir atbildīga par šīs informācijas apkopošanu, datu iegūšanas veidu, statistikas publicēšanas periodiskumu un publicējamo kopsavilkumu detalizāciju.</w:t>
            </w:r>
          </w:p>
          <w:p w:rsidR="00D704AC" w:rsidRPr="00B30831" w:rsidRDefault="00D704AC" w:rsidP="00B23D4F">
            <w:pPr>
              <w:pStyle w:val="naiskr"/>
              <w:spacing w:before="0" w:after="0"/>
              <w:rPr>
                <w:iCs/>
              </w:rPr>
            </w:pPr>
          </w:p>
          <w:p w:rsidR="004A74FF" w:rsidRPr="00B30831" w:rsidRDefault="00152B2C" w:rsidP="00E075DF">
            <w:pPr>
              <w:pStyle w:val="naiskr"/>
              <w:spacing w:before="0" w:after="0"/>
            </w:pPr>
            <w:r w:rsidRPr="00B30831">
              <w:rPr>
                <w:iCs/>
              </w:rPr>
              <w:t xml:space="preserve">Lai aizsargātu datu subjekta tiesības un intereses, un nodrošinātu datu subjekta informētību, MK </w:t>
            </w:r>
            <w:r w:rsidRPr="00B30831">
              <w:rPr>
                <w:iCs/>
              </w:rPr>
              <w:lastRenderedPageBreak/>
              <w:t>noteikumu pielikum</w:t>
            </w:r>
            <w:r w:rsidR="001E37F8" w:rsidRPr="00B30831">
              <w:rPr>
                <w:iCs/>
              </w:rPr>
              <w:t>a 2. tabulā</w:t>
            </w:r>
            <w:r w:rsidRPr="00B30831">
              <w:rPr>
                <w:iCs/>
              </w:rPr>
              <w:t xml:space="preserve"> ir noteikts </w:t>
            </w:r>
            <w:r w:rsidR="00E075DF" w:rsidRPr="00B30831">
              <w:t>personas datu veids, apjoms un izmantošanas mērķis, kurus atbildīgās institūcijas statistikas nodrošināšanai 2014. gadā plāno iegūt no administratīvajiem datu avotiem</w:t>
            </w:r>
            <w:r w:rsidR="005959F3" w:rsidRPr="00B30831">
              <w:t>.</w:t>
            </w:r>
          </w:p>
          <w:p w:rsidR="005959F3" w:rsidRPr="00B30831" w:rsidRDefault="005959F3" w:rsidP="005959F3"/>
          <w:p w:rsidR="005959F3" w:rsidRPr="00B30831" w:rsidRDefault="005959F3" w:rsidP="005959F3">
            <w:r w:rsidRPr="00B30831">
              <w:t>Lai pārbaudītu, vai statistikas iestādes, vācot un apstrādājot ievērojamu apjomu personas datu, neaizskar fizisko personu tiesības, un izvērtētu privātuma ierobežojuma samērīgumu, MK noteikumu projekta izstrādē tika ņemti vērā trīs kritēriji:</w:t>
            </w:r>
          </w:p>
          <w:p w:rsidR="005959F3" w:rsidRPr="00B30831" w:rsidRDefault="005959F3" w:rsidP="005959F3">
            <w:r w:rsidRPr="00B30831">
              <w:t xml:space="preserve">1. </w:t>
            </w:r>
            <w:r w:rsidR="00DF39B7" w:rsidRPr="00B30831">
              <w:t>Likumā noteiktās tiesību normas.</w:t>
            </w:r>
          </w:p>
          <w:p w:rsidR="005959F3" w:rsidRPr="00B30831" w:rsidRDefault="005959F3" w:rsidP="005959F3">
            <w:r w:rsidRPr="00B30831">
              <w:t>Normatīvo aktu izdevējs pieņemot tos, izvērtē normatīvo aktu lietderību un samērīgumu tiesisku un leģitīmu mērķu sasniegšanai.</w:t>
            </w:r>
          </w:p>
          <w:p w:rsidR="00DF39B7" w:rsidRPr="00B30831" w:rsidRDefault="005959F3" w:rsidP="005959F3">
            <w:r w:rsidRPr="00B30831">
              <w:t xml:space="preserve">Pamatdokumenti, kas regulē </w:t>
            </w:r>
            <w:r w:rsidR="00DF39B7" w:rsidRPr="00B30831">
              <w:t xml:space="preserve">Latvijas Republikas </w:t>
            </w:r>
            <w:r w:rsidRPr="00B30831">
              <w:t xml:space="preserve">un Eiropas statistikas organizāciju un Centrālās statistikas pārvaldes (turpmāk – CSP) darbību, ir Valsts statistikas likums un Eiropas Parlamenta un Padomes Regula (EK) </w:t>
            </w:r>
            <w:proofErr w:type="spellStart"/>
            <w:r w:rsidRPr="00B30831">
              <w:t>Nr</w:t>
            </w:r>
            <w:proofErr w:type="spellEnd"/>
            <w:r w:rsidRPr="00B30831">
              <w:t>. 223/2009 par Eiropas statistiku. Tā, piemēram, personas datu vākšanas tiesiskie pamati ir</w:t>
            </w:r>
            <w:r w:rsidR="00DF39B7" w:rsidRPr="00B30831">
              <w:t>:</w:t>
            </w:r>
          </w:p>
          <w:p w:rsidR="004F22AF" w:rsidRPr="00B30831" w:rsidRDefault="005959F3" w:rsidP="004F22AF">
            <w:pPr>
              <w:pStyle w:val="ListParagraph"/>
              <w:numPr>
                <w:ilvl w:val="1"/>
                <w:numId w:val="16"/>
              </w:numPr>
            </w:pPr>
            <w:r w:rsidRPr="00B30831">
              <w:t>Valsts statistikas likuma 17.</w:t>
            </w:r>
            <w:r w:rsidR="00DF39B7" w:rsidRPr="00B30831">
              <w:t> </w:t>
            </w:r>
            <w:r w:rsidRPr="00B30831">
              <w:t>panta 2.</w:t>
            </w:r>
            <w:r w:rsidR="00DF39B7" w:rsidRPr="00B30831">
              <w:t> punkts;</w:t>
            </w:r>
          </w:p>
          <w:p w:rsidR="001E37F8" w:rsidRPr="00B30831" w:rsidRDefault="005959F3" w:rsidP="004F22AF">
            <w:pPr>
              <w:pStyle w:val="ListParagraph"/>
              <w:numPr>
                <w:ilvl w:val="1"/>
                <w:numId w:val="16"/>
              </w:numPr>
            </w:pPr>
            <w:r w:rsidRPr="00B30831">
              <w:t>Eiropas Parlamenta un Padomes Regulas</w:t>
            </w:r>
            <w:r w:rsidR="00DF39B7" w:rsidRPr="00B30831">
              <w:t xml:space="preserve"> (EK) </w:t>
            </w:r>
            <w:proofErr w:type="spellStart"/>
            <w:r w:rsidR="00DF39B7" w:rsidRPr="00B30831">
              <w:t>Nr</w:t>
            </w:r>
            <w:proofErr w:type="spellEnd"/>
            <w:r w:rsidR="00DF39B7" w:rsidRPr="00B30831">
              <w:t>. </w:t>
            </w:r>
            <w:r w:rsidRPr="00B30831">
              <w:t>223/2009 par Eiropas statistiku 24.</w:t>
            </w:r>
            <w:r w:rsidR="00DF39B7" w:rsidRPr="00B30831">
              <w:t> </w:t>
            </w:r>
            <w:r w:rsidRPr="00B30831">
              <w:t xml:space="preserve">pants. </w:t>
            </w:r>
          </w:p>
          <w:p w:rsidR="005959F3" w:rsidRPr="00B30831" w:rsidRDefault="005959F3" w:rsidP="004F22AF">
            <w:r w:rsidRPr="00B30831">
              <w:t xml:space="preserve">Konkrēti normatīvie akti, kas regulē konkrēta personas datu apjoma iegūšanas nepieciešamību, ir norādīti </w:t>
            </w:r>
            <w:r w:rsidR="00DF39B7" w:rsidRPr="00B30831">
              <w:t>šī dokumenta V </w:t>
            </w:r>
            <w:r w:rsidRPr="00B30831">
              <w:t>sadaļas 1.</w:t>
            </w:r>
            <w:r w:rsidR="00DF39B7" w:rsidRPr="00B30831">
              <w:t> </w:t>
            </w:r>
            <w:r w:rsidRPr="00B30831">
              <w:t>tabulā.</w:t>
            </w:r>
          </w:p>
          <w:p w:rsidR="005959F3" w:rsidRPr="00B30831" w:rsidRDefault="005959F3" w:rsidP="005959F3">
            <w:r w:rsidRPr="00B30831">
              <w:t xml:space="preserve">2. </w:t>
            </w:r>
            <w:r w:rsidR="00DF39B7" w:rsidRPr="00B30831">
              <w:t>Leģitīms mērķis.</w:t>
            </w:r>
          </w:p>
          <w:p w:rsidR="005959F3" w:rsidRPr="00B30831" w:rsidRDefault="005959F3" w:rsidP="005959F3">
            <w:r w:rsidRPr="00B30831">
              <w:t>Saskaņā ar vēsturisko 1983.</w:t>
            </w:r>
            <w:r w:rsidR="00DF39B7" w:rsidRPr="00B30831">
              <w:t> </w:t>
            </w:r>
            <w:r w:rsidRPr="00B30831">
              <w:t>gada 15.</w:t>
            </w:r>
            <w:r w:rsidR="00DF39B7" w:rsidRPr="00B30831">
              <w:t> </w:t>
            </w:r>
            <w:r w:rsidRPr="00B30831">
              <w:t>decembra Vācijas konstitucionālās tiesas spriedumu par konstitucionālo sūdzību sakarā ar statistiskajām skaitīšanām (</w:t>
            </w:r>
            <w:proofErr w:type="spellStart"/>
            <w:r w:rsidRPr="00B30831">
              <w:rPr>
                <w:i/>
              </w:rPr>
              <w:t>Urteil</w:t>
            </w:r>
            <w:proofErr w:type="spellEnd"/>
            <w:r w:rsidRPr="00B30831">
              <w:rPr>
                <w:i/>
              </w:rPr>
              <w:t xml:space="preserve"> </w:t>
            </w:r>
            <w:proofErr w:type="spellStart"/>
            <w:r w:rsidRPr="00B30831">
              <w:rPr>
                <w:i/>
              </w:rPr>
              <w:t>des</w:t>
            </w:r>
            <w:proofErr w:type="spellEnd"/>
            <w:r w:rsidRPr="00B30831">
              <w:rPr>
                <w:i/>
              </w:rPr>
              <w:t xml:space="preserve"> </w:t>
            </w:r>
            <w:proofErr w:type="spellStart"/>
            <w:r w:rsidRPr="00B30831">
              <w:rPr>
                <w:i/>
              </w:rPr>
              <w:t>Ersten</w:t>
            </w:r>
            <w:proofErr w:type="spellEnd"/>
            <w:r w:rsidRPr="00B30831">
              <w:rPr>
                <w:i/>
              </w:rPr>
              <w:t xml:space="preserve"> </w:t>
            </w:r>
            <w:proofErr w:type="spellStart"/>
            <w:r w:rsidRPr="00B30831">
              <w:rPr>
                <w:i/>
              </w:rPr>
              <w:t>Senats</w:t>
            </w:r>
            <w:proofErr w:type="spellEnd"/>
            <w:r w:rsidRPr="00B30831">
              <w:rPr>
                <w:i/>
              </w:rPr>
              <w:t xml:space="preserve"> </w:t>
            </w:r>
            <w:proofErr w:type="spellStart"/>
            <w:r w:rsidRPr="00B30831">
              <w:rPr>
                <w:i/>
              </w:rPr>
              <w:t>vom</w:t>
            </w:r>
            <w:proofErr w:type="spellEnd"/>
            <w:r w:rsidRPr="00B30831">
              <w:rPr>
                <w:i/>
              </w:rPr>
              <w:t xml:space="preserve"> 15. </w:t>
            </w:r>
            <w:proofErr w:type="spellStart"/>
            <w:r w:rsidRPr="00B30831">
              <w:rPr>
                <w:i/>
              </w:rPr>
              <w:t>Dezember</w:t>
            </w:r>
            <w:proofErr w:type="spellEnd"/>
            <w:r w:rsidRPr="00B30831">
              <w:rPr>
                <w:i/>
              </w:rPr>
              <w:t xml:space="preserve"> 1983 </w:t>
            </w:r>
            <w:proofErr w:type="spellStart"/>
            <w:r w:rsidRPr="00B30831">
              <w:rPr>
                <w:i/>
              </w:rPr>
              <w:t>auf</w:t>
            </w:r>
            <w:proofErr w:type="spellEnd"/>
            <w:r w:rsidRPr="00B30831">
              <w:rPr>
                <w:i/>
              </w:rPr>
              <w:t xml:space="preserve"> </w:t>
            </w:r>
            <w:proofErr w:type="spellStart"/>
            <w:r w:rsidRPr="00B30831">
              <w:rPr>
                <w:i/>
              </w:rPr>
              <w:t>die</w:t>
            </w:r>
            <w:proofErr w:type="spellEnd"/>
            <w:r w:rsidRPr="00B30831">
              <w:rPr>
                <w:i/>
              </w:rPr>
              <w:t xml:space="preserve"> </w:t>
            </w:r>
            <w:proofErr w:type="spellStart"/>
            <w:r w:rsidRPr="00B30831">
              <w:rPr>
                <w:i/>
              </w:rPr>
              <w:t>mündliche</w:t>
            </w:r>
            <w:proofErr w:type="spellEnd"/>
            <w:r w:rsidRPr="00B30831">
              <w:rPr>
                <w:i/>
              </w:rPr>
              <w:t xml:space="preserve"> </w:t>
            </w:r>
            <w:proofErr w:type="spellStart"/>
            <w:r w:rsidRPr="00B30831">
              <w:rPr>
                <w:i/>
              </w:rPr>
              <w:t>Verhandlung</w:t>
            </w:r>
            <w:proofErr w:type="spellEnd"/>
            <w:r w:rsidRPr="00B30831">
              <w:rPr>
                <w:i/>
              </w:rPr>
              <w:t xml:space="preserve"> </w:t>
            </w:r>
            <w:proofErr w:type="spellStart"/>
            <w:r w:rsidRPr="00B30831">
              <w:rPr>
                <w:i/>
              </w:rPr>
              <w:t>vom</w:t>
            </w:r>
            <w:proofErr w:type="spellEnd"/>
            <w:r w:rsidRPr="00B30831">
              <w:rPr>
                <w:i/>
              </w:rPr>
              <w:t xml:space="preserve"> 18. </w:t>
            </w:r>
            <w:proofErr w:type="spellStart"/>
            <w:r w:rsidRPr="00B30831">
              <w:rPr>
                <w:i/>
              </w:rPr>
              <w:t>und</w:t>
            </w:r>
            <w:proofErr w:type="spellEnd"/>
            <w:r w:rsidRPr="00B30831">
              <w:rPr>
                <w:i/>
              </w:rPr>
              <w:t xml:space="preserve"> 19. </w:t>
            </w:r>
            <w:proofErr w:type="spellStart"/>
            <w:r w:rsidRPr="00B30831">
              <w:rPr>
                <w:i/>
              </w:rPr>
              <w:t>Oktober</w:t>
            </w:r>
            <w:proofErr w:type="spellEnd"/>
            <w:r w:rsidRPr="00B30831">
              <w:rPr>
                <w:i/>
              </w:rPr>
              <w:t xml:space="preserve"> 1983</w:t>
            </w:r>
            <w:r w:rsidRPr="00B30831">
              <w:t>), statistikas nodrošināšana p</w:t>
            </w:r>
            <w:r w:rsidR="00DF39B7" w:rsidRPr="00B30831">
              <w:t>ati par sevi ir leģitīms mērķis</w:t>
            </w:r>
            <w:r w:rsidRPr="00B30831">
              <w:t xml:space="preserve">, jo tā nodrošina demokrātisku valsts iekārtu, sabiedrības drošību, labklājību, jo bez statistikas </w:t>
            </w:r>
            <w:r w:rsidR="00DF39B7" w:rsidRPr="00B30831">
              <w:t xml:space="preserve">politikas izstrādātājiem </w:t>
            </w:r>
            <w:r w:rsidRPr="00B30831">
              <w:t>nebūtu iespējams pieņemt lēmumus, izstrādāt un ieviest cilvēku dzīvi uzlabojošus pasākumus un veikt citas darbības, kas vērstas uz demokrātiskas sabiedrības, drošības un labklājības nodrošināšanu. Konkrēts personas datu apstrādes mērķis izriet no CSP specifisk</w:t>
            </w:r>
            <w:r w:rsidR="0014612C" w:rsidRPr="00B30831">
              <w:t xml:space="preserve">ās kompetences valsts pārvaldē, savukārt </w:t>
            </w:r>
            <w:r w:rsidRPr="00B30831">
              <w:t xml:space="preserve">CSP specifiskā kompetence izriet no </w:t>
            </w:r>
            <w:r w:rsidR="001E37F8" w:rsidRPr="00B30831">
              <w:t xml:space="preserve">Eiropas </w:t>
            </w:r>
            <w:r w:rsidR="0075279F">
              <w:t>S</w:t>
            </w:r>
            <w:r w:rsidR="001E37F8" w:rsidRPr="00B30831">
              <w:t xml:space="preserve">avienības normatīvajiem aktiem  un </w:t>
            </w:r>
            <w:r w:rsidRPr="00B30831">
              <w:t>ikgadēj</w:t>
            </w:r>
            <w:r w:rsidR="0014612C" w:rsidRPr="00B30831">
              <w:t xml:space="preserve">iem MK noteikumiem par </w:t>
            </w:r>
            <w:r w:rsidRPr="00B30831">
              <w:t>Valsts statistiskās informācijas programm</w:t>
            </w:r>
            <w:r w:rsidR="0014612C" w:rsidRPr="00B30831">
              <w:t>u</w:t>
            </w:r>
            <w:r w:rsidRPr="00B30831">
              <w:t>. Līdz ar to</w:t>
            </w:r>
            <w:r w:rsidR="0014612C" w:rsidRPr="00B30831">
              <w:t>,</w:t>
            </w:r>
            <w:r w:rsidRPr="00B30831">
              <w:t xml:space="preserve"> likumdevējs ir noteicis leģitīmu mērķi, </w:t>
            </w:r>
            <w:r w:rsidR="001E37F8" w:rsidRPr="00B30831">
              <w:t xml:space="preserve">kura </w:t>
            </w:r>
            <w:r w:rsidRPr="00B30831">
              <w:t>izpildei CSP iegūst personas datus.</w:t>
            </w:r>
          </w:p>
          <w:p w:rsidR="005959F3" w:rsidRPr="00B30831" w:rsidRDefault="005959F3" w:rsidP="005959F3">
            <w:r w:rsidRPr="00B30831">
              <w:t>Ievērojot iepriekšminēto, "</w:t>
            </w:r>
            <w:proofErr w:type="spellStart"/>
            <w:r w:rsidRPr="00B30831">
              <w:rPr>
                <w:i/>
              </w:rPr>
              <w:t>de</w:t>
            </w:r>
            <w:proofErr w:type="spellEnd"/>
            <w:r w:rsidRPr="00B30831">
              <w:rPr>
                <w:i/>
              </w:rPr>
              <w:t xml:space="preserve"> </w:t>
            </w:r>
            <w:proofErr w:type="spellStart"/>
            <w:r w:rsidRPr="00B30831">
              <w:rPr>
                <w:i/>
              </w:rPr>
              <w:t>iure</w:t>
            </w:r>
            <w:proofErr w:type="spellEnd"/>
            <w:r w:rsidRPr="00B30831">
              <w:t>" pieņemams, ka CSP  noteiktās tiesības ir lietderīgas un samērīgas, tiesisku un leģitīmu mērķu sasniegšanai.</w:t>
            </w:r>
          </w:p>
          <w:p w:rsidR="005959F3" w:rsidRPr="00B30831" w:rsidRDefault="005959F3" w:rsidP="005959F3">
            <w:r w:rsidRPr="00B30831">
              <w:t xml:space="preserve">3. </w:t>
            </w:r>
            <w:r w:rsidR="0014612C" w:rsidRPr="00B30831">
              <w:t>Samērīgums.</w:t>
            </w:r>
          </w:p>
          <w:p w:rsidR="005959F3" w:rsidRPr="00B30831" w:rsidRDefault="001E37F8" w:rsidP="005959F3">
            <w:r w:rsidRPr="00B30831">
              <w:t>3.1.</w:t>
            </w:r>
            <w:r w:rsidR="005959F3" w:rsidRPr="00B30831">
              <w:t xml:space="preserve"> CSP darbības </w:t>
            </w:r>
            <w:proofErr w:type="spellStart"/>
            <w:r w:rsidR="005959F3" w:rsidRPr="00B30831">
              <w:t>virsmērķis</w:t>
            </w:r>
            <w:proofErr w:type="spellEnd"/>
            <w:r w:rsidR="005959F3" w:rsidRPr="00B30831">
              <w:t xml:space="preserve">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rsidR="005959F3" w:rsidRPr="00B30831" w:rsidRDefault="001E37F8" w:rsidP="005959F3">
            <w:r w:rsidRPr="00B30831">
              <w:t>3.2.</w:t>
            </w:r>
            <w:r w:rsidR="005959F3" w:rsidRPr="00B30831">
              <w:t xml:space="preserve"> Lai pilnveidotu statistisko datu iegūšanas procesus ar mērķi paaugstināt saņemtās informācijas kvalitāti un samazinātu respondentu (fizisko personu) noslodzi, </w:t>
            </w:r>
            <w:r w:rsidR="00DF39B7" w:rsidRPr="00B30831">
              <w:t>CSP</w:t>
            </w:r>
            <w:r w:rsidR="005959F3" w:rsidRPr="00B30831">
              <w:t xml:space="preserve"> </w:t>
            </w:r>
            <w:r w:rsidR="00DF39B7" w:rsidRPr="00B30831">
              <w:t xml:space="preserve">plāno </w:t>
            </w:r>
            <w:r w:rsidR="005959F3" w:rsidRPr="00B30831">
              <w:t xml:space="preserve">iegūt </w:t>
            </w:r>
            <w:r w:rsidR="00DF39B7" w:rsidRPr="00B30831">
              <w:t xml:space="preserve">arvien vairāk </w:t>
            </w:r>
            <w:r w:rsidR="005959F3" w:rsidRPr="00B30831">
              <w:t>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rsidR="005959F3" w:rsidRPr="00B30831" w:rsidRDefault="001E37F8" w:rsidP="005959F3">
            <w:r w:rsidRPr="00B30831">
              <w:t>3.3.</w:t>
            </w:r>
            <w:r w:rsidR="005959F3" w:rsidRPr="00B30831">
              <w:t xml:space="preserve"> Kaut arī </w:t>
            </w:r>
            <w:r w:rsidR="00DF39B7" w:rsidRPr="00B30831">
              <w:t>CSP</w:t>
            </w:r>
            <w:r w:rsidR="005959F3" w:rsidRPr="00B30831">
              <w:t xml:space="preserve"> Fizisko personu datu aizsardzības likumā ir ietverts izņēmums attiecībā uz datu subjektu informēšanu, </w:t>
            </w:r>
            <w:r w:rsidR="00DF39B7" w:rsidRPr="00B30831">
              <w:t>MK n</w:t>
            </w:r>
            <w:r w:rsidR="005959F3" w:rsidRPr="00B30831">
              <w:t>oteikumu projekta pielikum</w:t>
            </w:r>
            <w:r w:rsidRPr="00B30831">
              <w:t>a 2. tabulā</w:t>
            </w:r>
            <w:r w:rsidR="005959F3" w:rsidRPr="00B30831">
              <w:t xml:space="preserve"> ietvertā informācija nodrošina Rekomendācij</w:t>
            </w:r>
            <w:r w:rsidRPr="00B30831">
              <w:t>ā</w:t>
            </w:r>
            <w:r w:rsidR="005959F3" w:rsidRPr="00B30831">
              <w:t xml:space="preserve"> </w:t>
            </w:r>
            <w:proofErr w:type="spellStart"/>
            <w:r w:rsidR="005959F3" w:rsidRPr="00B30831">
              <w:t>Nr</w:t>
            </w:r>
            <w:proofErr w:type="spellEnd"/>
            <w:r w:rsidR="005959F3" w:rsidRPr="00B30831">
              <w:t>. R(97) 18 un saprašanās memoranda 5.4</w:t>
            </w:r>
            <w:r w:rsidR="00DF39B7" w:rsidRPr="00B30831">
              <w:t>.</w:t>
            </w:r>
            <w:r w:rsidR="005959F3" w:rsidRPr="00B30831">
              <w:t xml:space="preserve"> apakšpunktā paredzētās datu subjektu tiesības attiecībā uz informētību par viņu datu apstrādi statistiskiem nolūkiem, tādējādi nodrošinot datu apstrādes statistiskiem nolūkiem caurspīdīgumu;</w:t>
            </w:r>
          </w:p>
          <w:p w:rsidR="005959F3" w:rsidRPr="00B30831" w:rsidRDefault="001E37F8" w:rsidP="005959F3">
            <w:r w:rsidRPr="00B30831">
              <w:t>3.4.</w:t>
            </w:r>
            <w:r w:rsidR="005959F3" w:rsidRPr="00B30831">
              <w:t xml:space="preserve"> Personas tiesību ierobežojums ir sociāli nepieciešams – jo indivīdu kopums veido sabiedrību, līdz ar to, ja visiem indivīdiem ļautu </w:t>
            </w:r>
            <w:r w:rsidR="004F22AF" w:rsidRPr="00B30831">
              <w:t xml:space="preserve">nedot </w:t>
            </w:r>
            <w:r w:rsidR="005959F3" w:rsidRPr="00B30831">
              <w:t xml:space="preserve">par sevi nekādas ziņas vai arī </w:t>
            </w:r>
            <w:r w:rsidR="00DF39B7" w:rsidRPr="00B30831">
              <w:t xml:space="preserve">CSP </w:t>
            </w:r>
            <w:r w:rsidR="005959F3" w:rsidRPr="00B30831">
              <w:t xml:space="preserve">iespējas saņemt personas datus tiktu minimizētas vai </w:t>
            </w:r>
            <w:r w:rsidR="00DF39B7" w:rsidRPr="00B30831">
              <w:t xml:space="preserve">pat pārtrauktas, tad </w:t>
            </w:r>
            <w:r w:rsidR="004F22AF" w:rsidRPr="00B30831">
              <w:t xml:space="preserve">statistiku </w:t>
            </w:r>
            <w:r w:rsidR="005959F3" w:rsidRPr="00B30831">
              <w:t xml:space="preserve">par sabiedrību kopumā nebūtu </w:t>
            </w:r>
            <w:r w:rsidR="004F22AF" w:rsidRPr="00B30831">
              <w:t>iespējams nodrošināt</w:t>
            </w:r>
            <w:r w:rsidR="005959F3" w:rsidRPr="00B30831">
              <w:t>. Statistika par sabiedrību kopumā ir sabiedriskais labums, kura dēļ ir pamatoti ierobežot personas tiesības;</w:t>
            </w:r>
          </w:p>
          <w:p w:rsidR="005959F3" w:rsidRPr="00B30831" w:rsidRDefault="001E37F8" w:rsidP="005959F3">
            <w:r w:rsidRPr="00B30831">
              <w:t>3.5.</w:t>
            </w:r>
            <w:r w:rsidR="005959F3" w:rsidRPr="00B30831">
              <w:t xml:space="preserve"> Pamatojums konkrētam personas datu apjoma pieprasījumam izriet no </w:t>
            </w:r>
            <w:r w:rsidR="00DF39B7" w:rsidRPr="00B30831">
              <w:t xml:space="preserve">CSP </w:t>
            </w:r>
            <w:r w:rsidR="005959F3" w:rsidRPr="00B30831">
              <w:t>specifiskās kompetences un profesionālajām zināšanām attiecīgajā jomā. Personas dati tiek pieprasīti ne vairāk un ne mazāk kā tādā apjomā, kas ļauj nodrošināt vis</w:t>
            </w:r>
            <w:r w:rsidRPr="00B30831">
              <w:t>a</w:t>
            </w:r>
            <w:r w:rsidR="005959F3" w:rsidRPr="00B30831">
              <w:t>s metodoloģi</w:t>
            </w:r>
            <w:r w:rsidRPr="00B30831">
              <w:t>jā noteiktās prasības</w:t>
            </w:r>
            <w:r w:rsidR="005959F3" w:rsidRPr="00B30831">
              <w:t xml:space="preserve"> (izlases apjoms, izlases struktūra, kvalitātes novērtēšana), lai </w:t>
            </w:r>
            <w:r w:rsidR="00DF39B7" w:rsidRPr="00B30831">
              <w:t>CSP</w:t>
            </w:r>
            <w:r w:rsidR="005959F3" w:rsidRPr="00B30831">
              <w:t xml:space="preserve"> sagatavotā statistika būtu uzticama un salīdzināma.</w:t>
            </w:r>
          </w:p>
          <w:p w:rsidR="005959F3" w:rsidRPr="00B30831" w:rsidRDefault="005959F3" w:rsidP="001E37F8">
            <w:r w:rsidRPr="00B30831">
              <w:rPr>
                <w:u w:val="single"/>
              </w:rPr>
              <w:t xml:space="preserve">Ievērojot </w:t>
            </w:r>
            <w:r w:rsidR="001E37F8" w:rsidRPr="00B30831">
              <w:rPr>
                <w:u w:val="single"/>
              </w:rPr>
              <w:t xml:space="preserve">visu </w:t>
            </w:r>
            <w:r w:rsidRPr="00B30831">
              <w:rPr>
                <w:u w:val="single"/>
              </w:rPr>
              <w:t>iepriekšminēto</w:t>
            </w:r>
            <w:r w:rsidRPr="00B30831">
              <w:t xml:space="preserve">, no personas datu vākšanas un apstrādes statistikas nodrošināšanai sabiedrības ieguvums </w:t>
            </w:r>
            <w:r w:rsidR="001E37F8" w:rsidRPr="00B30831">
              <w:t>ir</w:t>
            </w:r>
            <w:r w:rsidRPr="00B30831">
              <w:t xml:space="preserve"> lielāks, nekā iespējamais fizisko personu tiesību uz privātumu aizskārums.</w:t>
            </w:r>
          </w:p>
        </w:tc>
      </w:tr>
      <w:tr w:rsidR="00262E2B" w:rsidRPr="00B30831">
        <w:trPr>
          <w:trHeight w:val="476"/>
        </w:trPr>
        <w:tc>
          <w:tcPr>
            <w:tcW w:w="550" w:type="dxa"/>
          </w:tcPr>
          <w:p w:rsidR="00262E2B" w:rsidRPr="00B30831" w:rsidRDefault="00262E2B" w:rsidP="006C4607">
            <w:pPr>
              <w:pStyle w:val="naiskr"/>
              <w:spacing w:before="0" w:after="0"/>
            </w:pPr>
            <w:r w:rsidRPr="00B30831">
              <w:lastRenderedPageBreak/>
              <w:t>5.</w:t>
            </w:r>
          </w:p>
        </w:tc>
        <w:tc>
          <w:tcPr>
            <w:tcW w:w="4315" w:type="dxa"/>
          </w:tcPr>
          <w:p w:rsidR="00262E2B" w:rsidRPr="00B30831" w:rsidRDefault="001A4066" w:rsidP="006C4607">
            <w:pPr>
              <w:pStyle w:val="naiskr"/>
              <w:spacing w:before="0" w:after="0"/>
            </w:pPr>
            <w:r w:rsidRPr="00B30831">
              <w:t>Projekta i</w:t>
            </w:r>
            <w:r w:rsidR="00262E2B" w:rsidRPr="00B30831">
              <w:t>zstrād</w:t>
            </w:r>
            <w:r w:rsidR="00420870" w:rsidRPr="00B30831">
              <w:t xml:space="preserve">ē </w:t>
            </w:r>
            <w:r w:rsidR="00262E2B" w:rsidRPr="00B30831">
              <w:t>iesaistītās institūcijas</w:t>
            </w:r>
          </w:p>
        </w:tc>
        <w:tc>
          <w:tcPr>
            <w:tcW w:w="4860" w:type="dxa"/>
          </w:tcPr>
          <w:p w:rsidR="00084BC9" w:rsidRPr="00B30831" w:rsidRDefault="00084BC9" w:rsidP="004F22AF">
            <w:pPr>
              <w:pStyle w:val="naiskr"/>
              <w:spacing w:before="0" w:after="0"/>
              <w:rPr>
                <w:iCs/>
              </w:rPr>
            </w:pPr>
            <w:r w:rsidRPr="00B30831">
              <w:rPr>
                <w:iCs/>
              </w:rPr>
              <w:t>Konsultācijas notikušas ar visām ministrijām</w:t>
            </w:r>
            <w:r w:rsidR="004F22AF" w:rsidRPr="00B30831">
              <w:rPr>
                <w:iCs/>
              </w:rPr>
              <w:t xml:space="preserve"> (</w:t>
            </w:r>
            <w:r w:rsidR="001F40F7" w:rsidRPr="00B30831">
              <w:rPr>
                <w:iCs/>
              </w:rPr>
              <w:t>izņemot Kultūras ministriju</w:t>
            </w:r>
            <w:r w:rsidR="004F22AF" w:rsidRPr="00B30831">
              <w:rPr>
                <w:iCs/>
              </w:rPr>
              <w:t>)</w:t>
            </w:r>
            <w:r w:rsidR="001F40F7" w:rsidRPr="00B30831">
              <w:rPr>
                <w:iCs/>
              </w:rPr>
              <w:t>,</w:t>
            </w:r>
            <w:r w:rsidRPr="00B30831">
              <w:rPr>
                <w:iCs/>
              </w:rPr>
              <w:t xml:space="preserve"> Latvijas Banku, Finanšu un kapitāla tirgus komisiju, Sabiedrisko p</w:t>
            </w:r>
            <w:r w:rsidR="00AF6F4F" w:rsidRPr="00B30831">
              <w:rPr>
                <w:iCs/>
              </w:rPr>
              <w:t xml:space="preserve">akalpojumu regulēšanas komisiju, Augstāko tiesu un </w:t>
            </w:r>
            <w:r w:rsidRPr="00B30831">
              <w:rPr>
                <w:iCs/>
              </w:rPr>
              <w:t>Ģenerālprokuratūru</w:t>
            </w:r>
            <w:r w:rsidR="00845812" w:rsidRPr="00B30831">
              <w:rPr>
                <w:iCs/>
              </w:rPr>
              <w:t>.</w:t>
            </w:r>
          </w:p>
        </w:tc>
      </w:tr>
      <w:tr w:rsidR="00262E2B" w:rsidRPr="00B30831" w:rsidTr="001D15DF">
        <w:trPr>
          <w:trHeight w:val="847"/>
        </w:trPr>
        <w:tc>
          <w:tcPr>
            <w:tcW w:w="550" w:type="dxa"/>
          </w:tcPr>
          <w:p w:rsidR="00262E2B" w:rsidRPr="00B30831" w:rsidRDefault="00262E2B" w:rsidP="006C4607">
            <w:pPr>
              <w:pStyle w:val="naiskr"/>
              <w:spacing w:before="0" w:after="0"/>
            </w:pPr>
            <w:r w:rsidRPr="00B30831">
              <w:t>6.</w:t>
            </w:r>
          </w:p>
        </w:tc>
        <w:tc>
          <w:tcPr>
            <w:tcW w:w="4315" w:type="dxa"/>
          </w:tcPr>
          <w:p w:rsidR="00262E2B" w:rsidRPr="00B30831" w:rsidRDefault="00BB7C94" w:rsidP="006C4607">
            <w:pPr>
              <w:pStyle w:val="naiskr"/>
              <w:spacing w:before="0" w:after="0"/>
              <w:rPr>
                <w:i/>
              </w:rPr>
            </w:pPr>
            <w:r w:rsidRPr="00B30831">
              <w:t xml:space="preserve">Iemesli, kādēļ netika nodrošināta </w:t>
            </w:r>
            <w:r w:rsidR="00262E2B" w:rsidRPr="00B30831">
              <w:t xml:space="preserve">sabiedrības </w:t>
            </w:r>
            <w:r w:rsidRPr="00B30831">
              <w:t>līdzdalība</w:t>
            </w:r>
          </w:p>
        </w:tc>
        <w:tc>
          <w:tcPr>
            <w:tcW w:w="4860" w:type="dxa"/>
          </w:tcPr>
          <w:p w:rsidR="00D20FF4" w:rsidRPr="00B30831" w:rsidRDefault="001D15DF" w:rsidP="00B23D4F">
            <w:pPr>
              <w:pStyle w:val="FootnoteText"/>
              <w:rPr>
                <w:sz w:val="24"/>
                <w:szCs w:val="24"/>
              </w:rPr>
            </w:pPr>
            <w:r w:rsidRPr="00B30831">
              <w:rPr>
                <w:sz w:val="24"/>
                <w:szCs w:val="24"/>
              </w:rPr>
              <w:t>MK noteikumu projekts neuzliek papildus pienākumus personu apvienībām, atsevišķām fiziskajām un juridiskajām personām.</w:t>
            </w:r>
          </w:p>
        </w:tc>
      </w:tr>
      <w:tr w:rsidR="00262E2B" w:rsidRPr="00331B85">
        <w:tc>
          <w:tcPr>
            <w:tcW w:w="550" w:type="dxa"/>
          </w:tcPr>
          <w:p w:rsidR="00262E2B" w:rsidRPr="00B30831" w:rsidRDefault="00262E2B" w:rsidP="006C4607">
            <w:pPr>
              <w:pStyle w:val="naiskr"/>
              <w:spacing w:before="0" w:after="0"/>
            </w:pPr>
            <w:r w:rsidRPr="00B30831">
              <w:t>7.</w:t>
            </w:r>
          </w:p>
        </w:tc>
        <w:tc>
          <w:tcPr>
            <w:tcW w:w="4315" w:type="dxa"/>
          </w:tcPr>
          <w:p w:rsidR="00262E2B" w:rsidRPr="00B30831" w:rsidRDefault="00262E2B" w:rsidP="006C4607">
            <w:pPr>
              <w:pStyle w:val="naiskr"/>
              <w:spacing w:before="0" w:after="0"/>
            </w:pPr>
            <w:r w:rsidRPr="00B30831">
              <w:t>Cita informācija</w:t>
            </w:r>
          </w:p>
        </w:tc>
        <w:tc>
          <w:tcPr>
            <w:tcW w:w="4860" w:type="dxa"/>
          </w:tcPr>
          <w:p w:rsidR="00262E2B" w:rsidRPr="00331B85" w:rsidRDefault="001D15DF" w:rsidP="00B23D4F">
            <w:pPr>
              <w:pStyle w:val="naiskr"/>
              <w:spacing w:before="0" w:after="0"/>
            </w:pPr>
            <w:r w:rsidRPr="00B30831">
              <w:t>Nav</w:t>
            </w:r>
          </w:p>
        </w:tc>
      </w:tr>
    </w:tbl>
    <w:p w:rsidR="00852042" w:rsidRPr="00536D31" w:rsidRDefault="00852042" w:rsidP="006C4607">
      <w:pPr>
        <w:pStyle w:val="naisf"/>
        <w:spacing w:before="0" w:after="0"/>
        <w:rPr>
          <w:sz w:val="28"/>
          <w:szCs w:val="22"/>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3118"/>
        <w:gridCol w:w="6237"/>
      </w:tblGrid>
      <w:tr w:rsidR="00C31E36" w:rsidRPr="00331B85" w:rsidTr="00C31E36">
        <w:tc>
          <w:tcPr>
            <w:tcW w:w="10206" w:type="dxa"/>
            <w:gridSpan w:val="3"/>
            <w:tcBorders>
              <w:top w:val="outset" w:sz="6" w:space="0" w:color="auto"/>
              <w:left w:val="outset" w:sz="6" w:space="0" w:color="auto"/>
              <w:bottom w:val="outset" w:sz="6" w:space="0" w:color="auto"/>
              <w:right w:val="outset" w:sz="6" w:space="0" w:color="auto"/>
            </w:tcBorders>
            <w:vAlign w:val="center"/>
          </w:tcPr>
          <w:p w:rsidR="00C31E36" w:rsidRPr="00331B85" w:rsidRDefault="00C31E36" w:rsidP="00C31E36">
            <w:pPr>
              <w:jc w:val="center"/>
              <w:rPr>
                <w:b/>
              </w:rPr>
            </w:pPr>
            <w:r w:rsidRPr="00331B85">
              <w:rPr>
                <w:b/>
              </w:rPr>
              <w:t>V. Tiesību akta projekta atbilstība Latvijas Republikas starptautiskajām saistībām</w:t>
            </w:r>
          </w:p>
        </w:tc>
      </w:tr>
      <w:tr w:rsidR="00C31E36" w:rsidRPr="00331B85" w:rsidTr="00C31E36">
        <w:tc>
          <w:tcPr>
            <w:tcW w:w="851" w:type="dxa"/>
            <w:tcBorders>
              <w:top w:val="outset" w:sz="6" w:space="0" w:color="auto"/>
              <w:left w:val="outset" w:sz="6" w:space="0" w:color="auto"/>
              <w:bottom w:val="outset" w:sz="6" w:space="0" w:color="auto"/>
              <w:right w:val="outset" w:sz="6" w:space="0" w:color="auto"/>
            </w:tcBorders>
          </w:tcPr>
          <w:p w:rsidR="00C31E36" w:rsidRPr="00331B85" w:rsidRDefault="00C31E36" w:rsidP="00C31E36">
            <w:pPr>
              <w:ind w:left="57"/>
            </w:pPr>
            <w:r w:rsidRPr="00331B85">
              <w:t>1.</w:t>
            </w:r>
          </w:p>
        </w:tc>
        <w:tc>
          <w:tcPr>
            <w:tcW w:w="3118" w:type="dxa"/>
            <w:tcBorders>
              <w:top w:val="outset" w:sz="6" w:space="0" w:color="auto"/>
              <w:left w:val="outset" w:sz="6" w:space="0" w:color="auto"/>
              <w:bottom w:val="outset" w:sz="6" w:space="0" w:color="auto"/>
              <w:right w:val="outset" w:sz="6" w:space="0" w:color="auto"/>
            </w:tcBorders>
          </w:tcPr>
          <w:p w:rsidR="00C31E36" w:rsidRPr="00331B85" w:rsidRDefault="00C31E36" w:rsidP="00C31E36">
            <w:pPr>
              <w:ind w:left="57"/>
            </w:pPr>
            <w:r w:rsidRPr="00331B85">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C31E36" w:rsidRPr="00331B85" w:rsidRDefault="002C7DE0" w:rsidP="00A412BE">
            <w:pPr>
              <w:ind w:left="57"/>
            </w:pPr>
            <w:r w:rsidRPr="00331B85">
              <w:t>Skatīt V</w:t>
            </w:r>
            <w:r w:rsidR="008824AB">
              <w:t> </w:t>
            </w:r>
            <w:r w:rsidRPr="00331B85">
              <w:t>sadaļas 1.tabulu</w:t>
            </w:r>
          </w:p>
        </w:tc>
      </w:tr>
      <w:tr w:rsidR="00C31E36" w:rsidRPr="00331B85" w:rsidTr="00C31E36">
        <w:tc>
          <w:tcPr>
            <w:tcW w:w="851" w:type="dxa"/>
            <w:tcBorders>
              <w:top w:val="outset" w:sz="6" w:space="0" w:color="auto"/>
              <w:left w:val="outset" w:sz="6" w:space="0" w:color="auto"/>
              <w:bottom w:val="outset" w:sz="6" w:space="0" w:color="auto"/>
              <w:right w:val="outset" w:sz="6" w:space="0" w:color="auto"/>
            </w:tcBorders>
          </w:tcPr>
          <w:p w:rsidR="00C31E36" w:rsidRPr="00331B85" w:rsidRDefault="00C31E36" w:rsidP="00C31E36">
            <w:pPr>
              <w:ind w:left="57"/>
            </w:pPr>
            <w:r w:rsidRPr="00331B85">
              <w:t>2.</w:t>
            </w:r>
          </w:p>
        </w:tc>
        <w:tc>
          <w:tcPr>
            <w:tcW w:w="3118" w:type="dxa"/>
            <w:tcBorders>
              <w:top w:val="outset" w:sz="6" w:space="0" w:color="auto"/>
              <w:left w:val="outset" w:sz="6" w:space="0" w:color="auto"/>
              <w:bottom w:val="outset" w:sz="6" w:space="0" w:color="auto"/>
              <w:right w:val="outset" w:sz="6" w:space="0" w:color="auto"/>
            </w:tcBorders>
          </w:tcPr>
          <w:p w:rsidR="00C31E36" w:rsidRPr="00331B85" w:rsidRDefault="00C31E36" w:rsidP="00C31E36">
            <w:pPr>
              <w:ind w:left="57"/>
            </w:pPr>
            <w:r w:rsidRPr="00331B85">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C31E36" w:rsidRPr="00331B85" w:rsidRDefault="00772E56" w:rsidP="00C31E36">
            <w:pPr>
              <w:ind w:left="57"/>
            </w:pPr>
            <w:r w:rsidRPr="00331B85">
              <w:t>Nav</w:t>
            </w:r>
          </w:p>
        </w:tc>
      </w:tr>
      <w:tr w:rsidR="00C31E36" w:rsidRPr="00331B85" w:rsidTr="00C31E36">
        <w:tc>
          <w:tcPr>
            <w:tcW w:w="851" w:type="dxa"/>
            <w:tcBorders>
              <w:top w:val="outset" w:sz="6" w:space="0" w:color="auto"/>
              <w:left w:val="outset" w:sz="6" w:space="0" w:color="auto"/>
              <w:bottom w:val="outset" w:sz="6" w:space="0" w:color="auto"/>
              <w:right w:val="outset" w:sz="6" w:space="0" w:color="auto"/>
            </w:tcBorders>
          </w:tcPr>
          <w:p w:rsidR="00C31E36" w:rsidRPr="00331B85" w:rsidRDefault="00C31E36" w:rsidP="00C31E36">
            <w:pPr>
              <w:ind w:left="57"/>
            </w:pPr>
            <w:r w:rsidRPr="00331B85">
              <w:t>3.</w:t>
            </w:r>
          </w:p>
        </w:tc>
        <w:tc>
          <w:tcPr>
            <w:tcW w:w="3118" w:type="dxa"/>
            <w:tcBorders>
              <w:top w:val="outset" w:sz="6" w:space="0" w:color="auto"/>
              <w:left w:val="outset" w:sz="6" w:space="0" w:color="auto"/>
              <w:bottom w:val="outset" w:sz="6" w:space="0" w:color="auto"/>
              <w:right w:val="outset" w:sz="6" w:space="0" w:color="auto"/>
            </w:tcBorders>
          </w:tcPr>
          <w:p w:rsidR="00C31E36" w:rsidRPr="00331B85" w:rsidRDefault="00C31E36" w:rsidP="00C31E36">
            <w:pPr>
              <w:ind w:left="57"/>
            </w:pPr>
            <w:r w:rsidRPr="00331B85">
              <w:t>Cita informācija</w:t>
            </w:r>
          </w:p>
        </w:tc>
        <w:tc>
          <w:tcPr>
            <w:tcW w:w="6237" w:type="dxa"/>
            <w:tcBorders>
              <w:top w:val="outset" w:sz="6" w:space="0" w:color="auto"/>
              <w:left w:val="outset" w:sz="6" w:space="0" w:color="auto"/>
              <w:bottom w:val="outset" w:sz="6" w:space="0" w:color="auto"/>
              <w:right w:val="outset" w:sz="6" w:space="0" w:color="auto"/>
            </w:tcBorders>
          </w:tcPr>
          <w:p w:rsidR="00C31E36" w:rsidRPr="00331B85" w:rsidRDefault="00D82C35" w:rsidP="00C31E36">
            <w:pPr>
              <w:ind w:left="57"/>
            </w:pPr>
            <w:r w:rsidRPr="00331B85">
              <w:t>Nav</w:t>
            </w:r>
          </w:p>
        </w:tc>
      </w:tr>
    </w:tbl>
    <w:p w:rsidR="00C31E36" w:rsidRPr="002C7DE0" w:rsidRDefault="00C31E36" w:rsidP="00C31E36">
      <w:pPr>
        <w:rPr>
          <w:sz w:val="22"/>
          <w:szCs w:val="22"/>
        </w:rPr>
      </w:pPr>
    </w:p>
    <w:p w:rsidR="00C31E36" w:rsidRPr="00536D31" w:rsidRDefault="00C31E36" w:rsidP="00C31E36">
      <w:pPr>
        <w:rPr>
          <w:sz w:val="28"/>
          <w:szCs w:val="22"/>
        </w:rPr>
      </w:pPr>
    </w:p>
    <w:tbl>
      <w:tblPr>
        <w:tblW w:w="1021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395"/>
        <w:gridCol w:w="1842"/>
        <w:gridCol w:w="1985"/>
        <w:gridCol w:w="1984"/>
        <w:gridCol w:w="10"/>
      </w:tblGrid>
      <w:tr w:rsidR="00AF6F4F" w:rsidRPr="00331B85" w:rsidTr="00AF6F4F">
        <w:trPr>
          <w:cantSplit/>
          <w:trHeight w:val="523"/>
        </w:trPr>
        <w:tc>
          <w:tcPr>
            <w:tcW w:w="10216" w:type="dxa"/>
            <w:gridSpan w:val="5"/>
            <w:tcBorders>
              <w:top w:val="outset" w:sz="6" w:space="0" w:color="auto"/>
              <w:left w:val="outset" w:sz="6" w:space="0" w:color="auto"/>
              <w:bottom w:val="outset" w:sz="6" w:space="0" w:color="auto"/>
              <w:right w:val="outset" w:sz="6" w:space="0" w:color="auto"/>
            </w:tcBorders>
            <w:vAlign w:val="center"/>
          </w:tcPr>
          <w:p w:rsidR="00AF6F4F" w:rsidRPr="00331B85" w:rsidRDefault="00AF6F4F" w:rsidP="0078006F">
            <w:pPr>
              <w:jc w:val="center"/>
              <w:rPr>
                <w:b/>
              </w:rPr>
            </w:pPr>
            <w:r w:rsidRPr="00331B85">
              <w:rPr>
                <w:b/>
              </w:rPr>
              <w:t>1.tabula</w:t>
            </w:r>
          </w:p>
          <w:p w:rsidR="00AF6F4F" w:rsidRPr="00331B85" w:rsidRDefault="00AF6F4F" w:rsidP="0078006F">
            <w:pPr>
              <w:jc w:val="center"/>
            </w:pPr>
            <w:r w:rsidRPr="00331B85">
              <w:rPr>
                <w:b/>
              </w:rPr>
              <w:t>Tiesību akta projekta atbilstība ES tiesību aktiem</w:t>
            </w:r>
          </w:p>
        </w:tc>
      </w:tr>
      <w:tr w:rsidR="00AF6F4F" w:rsidRPr="00331B85" w:rsidTr="00AF6F4F">
        <w:trPr>
          <w:cantSplit/>
        </w:trPr>
        <w:tc>
          <w:tcPr>
            <w:tcW w:w="4395" w:type="dxa"/>
            <w:tcBorders>
              <w:top w:val="outset" w:sz="6" w:space="0" w:color="auto"/>
              <w:left w:val="outset" w:sz="6" w:space="0" w:color="auto"/>
              <w:bottom w:val="outset" w:sz="6" w:space="0" w:color="auto"/>
              <w:right w:val="outset" w:sz="6" w:space="0" w:color="auto"/>
            </w:tcBorders>
            <w:vAlign w:val="center"/>
          </w:tcPr>
          <w:p w:rsidR="00AF6F4F" w:rsidRPr="00331B85" w:rsidRDefault="00AF6F4F" w:rsidP="0078006F">
            <w:pPr>
              <w:jc w:val="center"/>
            </w:pPr>
            <w:r w:rsidRPr="00331B85">
              <w:t>A</w:t>
            </w:r>
          </w:p>
        </w:tc>
        <w:tc>
          <w:tcPr>
            <w:tcW w:w="1842" w:type="dxa"/>
            <w:tcBorders>
              <w:top w:val="outset" w:sz="6" w:space="0" w:color="auto"/>
              <w:left w:val="outset" w:sz="6" w:space="0" w:color="auto"/>
              <w:bottom w:val="outset" w:sz="6" w:space="0" w:color="auto"/>
              <w:right w:val="outset" w:sz="6" w:space="0" w:color="auto"/>
            </w:tcBorders>
            <w:vAlign w:val="center"/>
          </w:tcPr>
          <w:p w:rsidR="00AF6F4F" w:rsidRPr="00331B85" w:rsidRDefault="00AF6F4F" w:rsidP="0078006F">
            <w:pPr>
              <w:jc w:val="center"/>
            </w:pPr>
            <w:r w:rsidRPr="00331B85">
              <w:t>B</w:t>
            </w:r>
          </w:p>
        </w:tc>
        <w:tc>
          <w:tcPr>
            <w:tcW w:w="1985" w:type="dxa"/>
            <w:tcBorders>
              <w:top w:val="outset" w:sz="6" w:space="0" w:color="auto"/>
              <w:left w:val="outset" w:sz="6" w:space="0" w:color="auto"/>
              <w:bottom w:val="outset" w:sz="6" w:space="0" w:color="auto"/>
              <w:right w:val="outset" w:sz="6" w:space="0" w:color="auto"/>
            </w:tcBorders>
            <w:vAlign w:val="center"/>
          </w:tcPr>
          <w:p w:rsidR="00AF6F4F" w:rsidRPr="00331B85" w:rsidRDefault="00AF6F4F" w:rsidP="0078006F">
            <w:pPr>
              <w:jc w:val="center"/>
            </w:pPr>
            <w:r w:rsidRPr="00331B85">
              <w:t>C</w:t>
            </w:r>
          </w:p>
        </w:tc>
        <w:tc>
          <w:tcPr>
            <w:tcW w:w="1994" w:type="dxa"/>
            <w:gridSpan w:val="2"/>
            <w:tcBorders>
              <w:top w:val="outset" w:sz="6" w:space="0" w:color="auto"/>
              <w:left w:val="outset" w:sz="6" w:space="0" w:color="auto"/>
              <w:bottom w:val="outset" w:sz="6" w:space="0" w:color="auto"/>
              <w:right w:val="outset" w:sz="6" w:space="0" w:color="auto"/>
            </w:tcBorders>
            <w:vAlign w:val="center"/>
          </w:tcPr>
          <w:p w:rsidR="00AF6F4F" w:rsidRPr="00331B85" w:rsidRDefault="00AF6F4F" w:rsidP="0078006F">
            <w:pPr>
              <w:jc w:val="center"/>
            </w:pPr>
            <w:r w:rsidRPr="00331B85">
              <w:t>D</w:t>
            </w:r>
          </w:p>
        </w:tc>
      </w:tr>
      <w:tr w:rsidR="00AF6F4F" w:rsidRPr="00331B85" w:rsidTr="00AF6F4F">
        <w:trPr>
          <w:cantSplit/>
          <w:trHeight w:val="4708"/>
        </w:trPr>
        <w:tc>
          <w:tcPr>
            <w:tcW w:w="4395" w:type="dxa"/>
            <w:tcBorders>
              <w:top w:val="outset" w:sz="6" w:space="0" w:color="auto"/>
              <w:left w:val="outset" w:sz="6" w:space="0" w:color="auto"/>
              <w:bottom w:val="outset" w:sz="6" w:space="0" w:color="auto"/>
              <w:right w:val="outset" w:sz="6" w:space="0" w:color="auto"/>
            </w:tcBorders>
          </w:tcPr>
          <w:p w:rsidR="00AF6F4F" w:rsidRPr="00331B85" w:rsidRDefault="00AF6F4F" w:rsidP="0078006F">
            <w:pPr>
              <w:spacing w:after="120"/>
              <w:rPr>
                <w:spacing w:val="-3"/>
              </w:rPr>
            </w:pPr>
            <w:r w:rsidRPr="00331B85">
              <w:rPr>
                <w:spacing w:val="-3"/>
              </w:rPr>
              <w:t>Attiecīgā ES</w:t>
            </w:r>
            <w:r w:rsidR="00564B0E">
              <w:rPr>
                <w:spacing w:val="-3"/>
              </w:rPr>
              <w:t> </w:t>
            </w:r>
            <w:r w:rsidRPr="00331B85">
              <w:rPr>
                <w:spacing w:val="-3"/>
              </w:rPr>
              <w:t>tiesību akta panta numurs (uzskaitot katru tiesību akta vienību – pantu, daļu, punktu, apakšpunktu)</w:t>
            </w:r>
          </w:p>
        </w:tc>
        <w:tc>
          <w:tcPr>
            <w:tcW w:w="1842" w:type="dxa"/>
            <w:tcBorders>
              <w:top w:val="outset" w:sz="6" w:space="0" w:color="auto"/>
              <w:left w:val="outset" w:sz="6" w:space="0" w:color="auto"/>
              <w:bottom w:val="outset" w:sz="6" w:space="0" w:color="auto"/>
              <w:right w:val="outset" w:sz="6" w:space="0" w:color="auto"/>
            </w:tcBorders>
          </w:tcPr>
          <w:p w:rsidR="00AF6F4F" w:rsidRPr="00331B85" w:rsidRDefault="00AF6F4F" w:rsidP="0078006F">
            <w:pPr>
              <w:spacing w:after="120"/>
              <w:rPr>
                <w:spacing w:val="-3"/>
              </w:rPr>
            </w:pPr>
            <w:r w:rsidRPr="00331B85">
              <w:rPr>
                <w:spacing w:val="-3"/>
              </w:rPr>
              <w:t>Projekta vienība, kas pārņem vai ievieš katru šīs tabulas A ailē minēto ES tiesību akta vienību, vai tiesību akts, kur attiecīgā ES tiesību akta vienība pārņemta vai ieviesta</w:t>
            </w:r>
          </w:p>
        </w:tc>
        <w:tc>
          <w:tcPr>
            <w:tcW w:w="1985" w:type="dxa"/>
            <w:tcBorders>
              <w:top w:val="outset" w:sz="6" w:space="0" w:color="auto"/>
              <w:left w:val="outset" w:sz="6" w:space="0" w:color="auto"/>
              <w:bottom w:val="outset" w:sz="6" w:space="0" w:color="auto"/>
              <w:right w:val="outset" w:sz="6" w:space="0" w:color="auto"/>
            </w:tcBorders>
          </w:tcPr>
          <w:p w:rsidR="00AF6F4F" w:rsidRPr="00331B85" w:rsidRDefault="00AF6F4F" w:rsidP="0078006F">
            <w:pPr>
              <w:spacing w:after="120"/>
              <w:rPr>
                <w:spacing w:val="-3"/>
              </w:rPr>
            </w:pPr>
            <w:r w:rsidRPr="00331B85">
              <w:rPr>
                <w:spacing w:val="-3"/>
              </w:rPr>
              <w:t>Informācija par to, vai šīs tabulas A</w:t>
            </w:r>
            <w:r w:rsidR="00564B0E">
              <w:rPr>
                <w:spacing w:val="-3"/>
              </w:rPr>
              <w:t> </w:t>
            </w:r>
            <w:r w:rsidRPr="00331B85">
              <w:rPr>
                <w:spacing w:val="-3"/>
              </w:rPr>
              <w:t>ailē minētās ES</w:t>
            </w:r>
            <w:r w:rsidR="00564B0E">
              <w:rPr>
                <w:spacing w:val="-3"/>
              </w:rPr>
              <w:t> </w:t>
            </w:r>
            <w:r w:rsidRPr="00331B85">
              <w:rPr>
                <w:spacing w:val="-3"/>
              </w:rPr>
              <w:t>tiesību akta vienības tiek pārņemtas vai ieviestas pilnībā vai daļēji.</w:t>
            </w:r>
          </w:p>
          <w:p w:rsidR="00AF6F4F" w:rsidRPr="00331B85" w:rsidRDefault="00AF6F4F" w:rsidP="0078006F">
            <w:pPr>
              <w:spacing w:after="120"/>
              <w:rPr>
                <w:spacing w:val="-3"/>
              </w:rPr>
            </w:pPr>
            <w:r w:rsidRPr="00331B85">
              <w:rPr>
                <w:spacing w:val="-3"/>
              </w:rPr>
              <w:t>Ja attiecīgā ES tiesību akta vienība tiek pārņemta vai ieviesta daļēji, sniedz attiecīgu skaidrojumu, kā arī precīzi norāda, kad un kādā veidā ES tiesību akta vienība tiks pārņemta vai ieviesta pilnībā.</w:t>
            </w:r>
          </w:p>
          <w:p w:rsidR="00AF6F4F" w:rsidRPr="00331B85" w:rsidRDefault="00AF6F4F" w:rsidP="0078006F">
            <w:pPr>
              <w:spacing w:after="120"/>
              <w:rPr>
                <w:spacing w:val="-3"/>
              </w:rPr>
            </w:pPr>
            <w:r w:rsidRPr="00331B85">
              <w:rPr>
                <w:spacing w:val="-3"/>
              </w:rPr>
              <w:t>Norāda institūciju, kas ir atbildīga par šo saistību izpildi pilnībā</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331B85" w:rsidRDefault="00AF6F4F" w:rsidP="0078006F">
            <w:pPr>
              <w:spacing w:after="120"/>
            </w:pPr>
            <w:r w:rsidRPr="00331B85">
              <w:rPr>
                <w:spacing w:val="-3"/>
              </w:rPr>
              <w:t xml:space="preserve">Informācija par to, vai šīs </w:t>
            </w:r>
            <w:r w:rsidRPr="00331B85">
              <w:t>tabulas B</w:t>
            </w:r>
            <w:r w:rsidR="00564B0E">
              <w:t> </w:t>
            </w:r>
            <w:r w:rsidRPr="00331B85">
              <w:t>ailē minētās projekta vienības paredz stingrākas prasības nekā šīs tabulas A ailē minētās ES</w:t>
            </w:r>
            <w:r w:rsidR="00564B0E">
              <w:t> </w:t>
            </w:r>
            <w:r w:rsidRPr="00331B85">
              <w:t>tiesību akta vienības.</w:t>
            </w:r>
          </w:p>
          <w:p w:rsidR="00AF6F4F" w:rsidRPr="00331B85" w:rsidRDefault="00AF6F4F" w:rsidP="0078006F">
            <w:pPr>
              <w:spacing w:after="120"/>
            </w:pPr>
            <w:r w:rsidRPr="00331B85">
              <w:t>Ja projekts satur stingrākas prasības nekā attiecīgais ES tiesību akts,</w:t>
            </w:r>
            <w:r w:rsidR="00564B0E">
              <w:t xml:space="preserve"> </w:t>
            </w:r>
            <w:r w:rsidRPr="00331B85">
              <w:t>norāda pamatojumu un samērīgumu.</w:t>
            </w:r>
          </w:p>
          <w:p w:rsidR="00AF6F4F" w:rsidRPr="00331B85" w:rsidRDefault="00AF6F4F" w:rsidP="0078006F">
            <w:pPr>
              <w:rPr>
                <w:spacing w:val="-3"/>
              </w:rPr>
            </w:pPr>
            <w:r w:rsidRPr="00331B85">
              <w:t>Norāda iespējamās alternatīvas (</w:t>
            </w:r>
            <w:proofErr w:type="spellStart"/>
            <w:r w:rsidRPr="00331B85">
              <w:t>t.sk</w:t>
            </w:r>
            <w:proofErr w:type="spellEnd"/>
            <w:r w:rsidRPr="00331B85">
              <w:t>. alternatīvas, kas neparedz tiesiskā regulējuma izstrādi) – kādos gadījumos būtu iespējams izvairīties no stingrāku prasību</w:t>
            </w:r>
            <w:r w:rsidRPr="00331B85">
              <w:rPr>
                <w:spacing w:val="-3"/>
              </w:rPr>
              <w:t xml:space="preserve"> noteikšanas, nekā paredzēts attiecīgajos ES tiesību aktos</w:t>
            </w:r>
          </w:p>
        </w:tc>
      </w:tr>
      <w:tr w:rsidR="0062622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62622B" w:rsidRPr="00564B0E" w:rsidRDefault="0062622B" w:rsidP="0078006F">
            <w:r w:rsidRPr="00564B0E">
              <w:t>Komisijas 2013.gada 1.februāra Regula (ES) Nr.93/2013, ar ko nosaka sīki izstrādātus noteikumus par to, kā attiecībā uz īpašnieka apdzīvotā mājokļa cenu indeksu noteikšanu piemērot Padomes Regulu (EK) Nr.2494/95 par saskaņotajiem patēriņa cenu indeksiem (Dokuments attiecas uz EEZ)</w:t>
            </w:r>
          </w:p>
        </w:tc>
        <w:tc>
          <w:tcPr>
            <w:tcW w:w="1842" w:type="dxa"/>
            <w:tcBorders>
              <w:top w:val="outset" w:sz="6" w:space="0" w:color="auto"/>
              <w:left w:val="outset" w:sz="6" w:space="0" w:color="auto"/>
              <w:bottom w:val="outset" w:sz="6" w:space="0" w:color="auto"/>
              <w:right w:val="outset" w:sz="6" w:space="0" w:color="auto"/>
            </w:tcBorders>
          </w:tcPr>
          <w:p w:rsidR="0062622B" w:rsidRPr="00564B0E" w:rsidRDefault="00F35A00" w:rsidP="0089700C">
            <w:r>
              <w:rPr>
                <w:bCs/>
                <w:color w:val="000000"/>
                <w:szCs w:val="22"/>
              </w:rPr>
              <w:t>pielikuma 1. tabulas</w:t>
            </w:r>
            <w:r w:rsidR="004F22AF">
              <w:rPr>
                <w:bCs/>
                <w:color w:val="000000"/>
                <w:szCs w:val="22"/>
              </w:rPr>
              <w:t xml:space="preserve"> </w:t>
            </w:r>
            <w:r w:rsidR="0062622B" w:rsidRPr="00564B0E">
              <w:rPr>
                <w:bCs/>
                <w:color w:val="000000"/>
                <w:szCs w:val="22"/>
              </w:rPr>
              <w:t>5.15.</w:t>
            </w:r>
            <w:r w:rsidR="0089700C" w:rsidRPr="00564B0E">
              <w:rPr>
                <w:bCs/>
                <w:color w:val="000000"/>
                <w:szCs w:val="22"/>
              </w:rPr>
              <w:t xml:space="preserve"> un </w:t>
            </w:r>
            <w:r w:rsidR="0062622B" w:rsidRPr="00564B0E">
              <w:rPr>
                <w:bCs/>
                <w:color w:val="000000"/>
                <w:szCs w:val="22"/>
              </w:rPr>
              <w:t>5.16.</w:t>
            </w:r>
            <w:r w:rsidR="0089700C" w:rsidRPr="00564B0E">
              <w:rPr>
                <w:bCs/>
                <w:color w:val="000000"/>
                <w:szCs w:val="22"/>
              </w:rPr>
              <w:t>punkts</w:t>
            </w:r>
          </w:p>
        </w:tc>
        <w:tc>
          <w:tcPr>
            <w:tcW w:w="1985" w:type="dxa"/>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Neparedz stingrākas prasības</w:t>
            </w:r>
          </w:p>
        </w:tc>
      </w:tr>
      <w:tr w:rsidR="0062622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62622B" w:rsidRPr="00564B0E" w:rsidRDefault="0062622B" w:rsidP="0062622B">
            <w:r w:rsidRPr="00564B0E">
              <w:t xml:space="preserve">Komisijas 2013.gada 11.februāra Regula (ES) Nr.119/2013, ar ko attiecībā uz nemainīgas nodokļu likmes saskaņoto patēriņa cenu indeksu ieviešanu groza Regulu (EK) Nr.2214/96 par saskaņotajiem patēriņa cenu indeksiem (SPCI): SPCI </w:t>
            </w:r>
            <w:proofErr w:type="spellStart"/>
            <w:r w:rsidRPr="00564B0E">
              <w:t>apakšindeksu</w:t>
            </w:r>
            <w:proofErr w:type="spellEnd"/>
            <w:r w:rsidRPr="00564B0E">
              <w:t xml:space="preserve"> pārsūtīšana un izplatīšana (Dokuments attiecas uz EEZ)</w:t>
            </w:r>
          </w:p>
        </w:tc>
        <w:tc>
          <w:tcPr>
            <w:tcW w:w="1842" w:type="dxa"/>
            <w:tcBorders>
              <w:top w:val="outset" w:sz="6" w:space="0" w:color="auto"/>
              <w:left w:val="outset" w:sz="6" w:space="0" w:color="auto"/>
              <w:bottom w:val="outset" w:sz="6" w:space="0" w:color="auto"/>
              <w:right w:val="outset" w:sz="6" w:space="0" w:color="auto"/>
            </w:tcBorders>
          </w:tcPr>
          <w:p w:rsidR="0062622B" w:rsidRPr="00564B0E" w:rsidRDefault="00F35A00" w:rsidP="0089700C">
            <w:r>
              <w:rPr>
                <w:bCs/>
                <w:color w:val="000000"/>
                <w:szCs w:val="22"/>
              </w:rPr>
              <w:t>pielikuma 1. tabulas</w:t>
            </w:r>
            <w:r w:rsidR="004F22AF">
              <w:rPr>
                <w:bCs/>
                <w:color w:val="000000"/>
                <w:szCs w:val="22"/>
              </w:rPr>
              <w:t xml:space="preserve"> </w:t>
            </w:r>
            <w:r w:rsidR="0062622B" w:rsidRPr="00564B0E">
              <w:rPr>
                <w:bCs/>
                <w:color w:val="000000"/>
                <w:szCs w:val="22"/>
              </w:rPr>
              <w:t>5.14.</w:t>
            </w:r>
            <w:r w:rsidR="0089700C" w:rsidRPr="00564B0E">
              <w:rPr>
                <w:bCs/>
                <w:color w:val="000000"/>
                <w:szCs w:val="22"/>
              </w:rPr>
              <w:t>punkts</w:t>
            </w:r>
          </w:p>
        </w:tc>
        <w:tc>
          <w:tcPr>
            <w:tcW w:w="1985" w:type="dxa"/>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Neparedz stingrākas prasības</w:t>
            </w:r>
          </w:p>
        </w:tc>
      </w:tr>
      <w:tr w:rsidR="0062622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62622B" w:rsidRPr="00564B0E" w:rsidRDefault="0062622B" w:rsidP="0078006F">
            <w:r w:rsidRPr="00564B0E">
              <w:t>Komisijas 2013.gada 7.februāra Regula (ES) Nr.112/2013, ar ko attiecībā uz to sekundāro mērķa mainīgo lielumu 2014.gada sarakstu, kuri attiecas uz materiālo nenodrošinātību, īsteno Eiropas Parlamenta un Padomes Regulu (EK) Nr.1177/2003 par Kopienas statistiku attiecībā uz ienākumiem un dzīves apstākļiem (EU-SILC) (Dokuments attiecas uz EEZ)</w:t>
            </w:r>
          </w:p>
        </w:tc>
        <w:tc>
          <w:tcPr>
            <w:tcW w:w="1842" w:type="dxa"/>
            <w:tcBorders>
              <w:top w:val="outset" w:sz="6" w:space="0" w:color="auto"/>
              <w:left w:val="outset" w:sz="6" w:space="0" w:color="auto"/>
              <w:bottom w:val="outset" w:sz="6" w:space="0" w:color="auto"/>
              <w:right w:val="outset" w:sz="6" w:space="0" w:color="auto"/>
            </w:tcBorders>
          </w:tcPr>
          <w:p w:rsidR="0062622B" w:rsidRPr="00564B0E" w:rsidRDefault="00F35A00" w:rsidP="0062622B">
            <w:r>
              <w:t>pielikuma 1. tabulas</w:t>
            </w:r>
            <w:r w:rsidR="0089700C" w:rsidRPr="00564B0E">
              <w:t xml:space="preserve"> </w:t>
            </w:r>
            <w:r w:rsidR="0062622B" w:rsidRPr="00564B0E">
              <w:t>11.1.</w:t>
            </w:r>
            <w:r w:rsidR="0089700C" w:rsidRPr="00564B0E">
              <w:t>punkts</w:t>
            </w:r>
          </w:p>
          <w:p w:rsidR="0062622B" w:rsidRPr="00564B0E" w:rsidRDefault="0062622B" w:rsidP="0078006F"/>
        </w:tc>
        <w:tc>
          <w:tcPr>
            <w:tcW w:w="1985" w:type="dxa"/>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Neparedz stingrākas prasības</w:t>
            </w:r>
          </w:p>
        </w:tc>
      </w:tr>
      <w:tr w:rsidR="0062622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62622B" w:rsidRPr="00564B0E" w:rsidRDefault="0062622B" w:rsidP="0062622B">
            <w:r w:rsidRPr="00564B0E">
              <w:t>Komisijas 2013.gada 19.februāra Regula (ES) Nr.141/2013, ar ko attiecībā uz statistiku, kas balstīta uz Eiropas veselības apsekojuma (EHIS), īsteno Eiropas Parlamenta un Padomes Regulu (EK) Nr.1338/2008 attiecībā uz Kopienas statistiku par sabiedrības veselību un veselības aizsardzību un drošību darbā (Dokuments attiecas uz EEZ)</w:t>
            </w:r>
          </w:p>
        </w:tc>
        <w:tc>
          <w:tcPr>
            <w:tcW w:w="1842" w:type="dxa"/>
            <w:tcBorders>
              <w:top w:val="outset" w:sz="6" w:space="0" w:color="auto"/>
              <w:left w:val="outset" w:sz="6" w:space="0" w:color="auto"/>
              <w:bottom w:val="outset" w:sz="6" w:space="0" w:color="auto"/>
              <w:right w:val="outset" w:sz="6" w:space="0" w:color="auto"/>
            </w:tcBorders>
          </w:tcPr>
          <w:p w:rsidR="0062622B" w:rsidRPr="00564B0E" w:rsidRDefault="00F35A00" w:rsidP="0078006F">
            <w:r>
              <w:t>pielikuma 1. tabulas</w:t>
            </w:r>
            <w:r w:rsidR="0089700C" w:rsidRPr="00564B0E">
              <w:t xml:space="preserve"> </w:t>
            </w:r>
            <w:r w:rsidR="0062622B" w:rsidRPr="00564B0E">
              <w:t>9.9.</w:t>
            </w:r>
            <w:r w:rsidR="0089700C" w:rsidRPr="00564B0E">
              <w:t>punkts</w:t>
            </w:r>
          </w:p>
        </w:tc>
        <w:tc>
          <w:tcPr>
            <w:tcW w:w="1985" w:type="dxa"/>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Neparedz stingrākas prasības</w:t>
            </w:r>
          </w:p>
        </w:tc>
      </w:tr>
      <w:tr w:rsidR="0062622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62622B" w:rsidRPr="00564B0E" w:rsidRDefault="0062622B" w:rsidP="0078006F">
            <w:r w:rsidRPr="00564B0E">
              <w:t>Eiropas Parlamenta un Padomes 2013.gada 21.maija Regula (ES) Nr.525/2013 par mehānismu siltumnīcefekta gāzu emisiju pārraudzībai un ziņošanai un citas informācijas ziņošanai valstu un Savienības līmenī saistībā ar klimata pārmaiņām un par Lēmuma Nr.280/2004/EK atcelšanu (Dokuments attiecas uz EEZ)</w:t>
            </w:r>
          </w:p>
        </w:tc>
        <w:tc>
          <w:tcPr>
            <w:tcW w:w="1842" w:type="dxa"/>
            <w:tcBorders>
              <w:top w:val="outset" w:sz="6" w:space="0" w:color="auto"/>
              <w:left w:val="outset" w:sz="6" w:space="0" w:color="auto"/>
              <w:bottom w:val="outset" w:sz="6" w:space="0" w:color="auto"/>
              <w:right w:val="outset" w:sz="6" w:space="0" w:color="auto"/>
            </w:tcBorders>
          </w:tcPr>
          <w:p w:rsidR="0062622B" w:rsidRPr="00564B0E" w:rsidRDefault="00F35A00" w:rsidP="0078006F">
            <w:r>
              <w:t>pielikuma 1. tabulas</w:t>
            </w:r>
            <w:r w:rsidR="0089700C" w:rsidRPr="00564B0E">
              <w:t xml:space="preserve"> </w:t>
            </w:r>
            <w:r w:rsidR="0062622B" w:rsidRPr="00564B0E">
              <w:t>28.3.</w:t>
            </w:r>
            <w:r w:rsidR="0089700C" w:rsidRPr="00564B0E">
              <w:t>punkts</w:t>
            </w:r>
          </w:p>
        </w:tc>
        <w:tc>
          <w:tcPr>
            <w:tcW w:w="1985" w:type="dxa"/>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Neparedz stingrākas prasības</w:t>
            </w:r>
          </w:p>
        </w:tc>
      </w:tr>
      <w:tr w:rsidR="0062622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62622B" w:rsidRPr="00564B0E" w:rsidRDefault="0062622B" w:rsidP="0078006F">
            <w:r w:rsidRPr="00564B0E">
              <w:t>Komisijas 2012.gada 24.janvāra Regula (ES) Nr.62/2012, ar ko attiecībā uz 2013.gada sekundāro mērķa mainīgo lielumu sarakstu par labsajūtu īsteno Eiropas Parlamenta un Padomes Regulu (EK) Nr.1177/2003 par Kopienas statistiku attiecībā uz ienākumiem un dzīves apstākļiem (EU-SILC) (Dokuments attiecas uz EEZ)</w:t>
            </w:r>
          </w:p>
        </w:tc>
        <w:tc>
          <w:tcPr>
            <w:tcW w:w="1842" w:type="dxa"/>
            <w:tcBorders>
              <w:top w:val="outset" w:sz="6" w:space="0" w:color="auto"/>
              <w:left w:val="outset" w:sz="6" w:space="0" w:color="auto"/>
              <w:bottom w:val="outset" w:sz="6" w:space="0" w:color="auto"/>
              <w:right w:val="outset" w:sz="6" w:space="0" w:color="auto"/>
            </w:tcBorders>
          </w:tcPr>
          <w:p w:rsidR="0062622B" w:rsidRPr="00564B0E" w:rsidRDefault="00F35A00" w:rsidP="0089700C">
            <w:r>
              <w:t>pielikuma 1. tabulas</w:t>
            </w:r>
            <w:r w:rsidR="0089700C" w:rsidRPr="00564B0E">
              <w:t xml:space="preserve"> </w:t>
            </w:r>
            <w:r w:rsidR="0062622B" w:rsidRPr="00564B0E">
              <w:t>11.1.</w:t>
            </w:r>
            <w:r w:rsidR="0089700C" w:rsidRPr="00564B0E">
              <w:t>punkts</w:t>
            </w:r>
          </w:p>
        </w:tc>
        <w:tc>
          <w:tcPr>
            <w:tcW w:w="1985" w:type="dxa"/>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62622B" w:rsidRPr="00564B0E" w:rsidRDefault="0089700C"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2012.gada 18.janvāra Regula (ES) Nr.70/2012 par statistikas pārskatiem attiecībā uz autopārvadājumiem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337B19">
            <w:r>
              <w:t>pielikuma 1. tabulas</w:t>
            </w:r>
            <w:r w:rsidR="00AF6F4F" w:rsidRPr="00564B0E">
              <w:t xml:space="preserve"> 25.5.punkts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D45AE0"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D45AE0" w:rsidRPr="00564B0E" w:rsidRDefault="00D45AE0" w:rsidP="0078006F">
            <w:r w:rsidRPr="00564B0E">
              <w:t>Komisijas 2012.gada 26.oktobra Īstenošanas regula (ES) Nr.995/2012, ar ko pieņem sīki izstrādātus noteikumus par to, kā īstenojams Eiropas Parlamenta un Padomes Lēmums Nr.1608/2003/EK par Kopienas zinātnes un tehnoloģijas statistikas izstrādāšanu un pilnveidošanu (Dokuments attiecas uz EEZ)</w:t>
            </w:r>
          </w:p>
        </w:tc>
        <w:tc>
          <w:tcPr>
            <w:tcW w:w="1842" w:type="dxa"/>
            <w:tcBorders>
              <w:top w:val="outset" w:sz="6" w:space="0" w:color="auto"/>
              <w:left w:val="outset" w:sz="6" w:space="0" w:color="auto"/>
              <w:bottom w:val="outset" w:sz="6" w:space="0" w:color="auto"/>
              <w:right w:val="outset" w:sz="6" w:space="0" w:color="auto"/>
            </w:tcBorders>
          </w:tcPr>
          <w:p w:rsidR="00D45AE0" w:rsidRPr="00564B0E" w:rsidRDefault="00F35A00" w:rsidP="00C9145A">
            <w:r>
              <w:rPr>
                <w:bCs/>
                <w:color w:val="000000"/>
              </w:rPr>
              <w:t>pielikuma 1. tabulas</w:t>
            </w:r>
            <w:r w:rsidR="00C9145A" w:rsidRPr="00564B0E">
              <w:rPr>
                <w:bCs/>
                <w:color w:val="000000"/>
              </w:rPr>
              <w:t xml:space="preserve"> </w:t>
            </w:r>
            <w:r w:rsidR="00D45AE0" w:rsidRPr="00564B0E">
              <w:rPr>
                <w:bCs/>
                <w:color w:val="000000"/>
              </w:rPr>
              <w:t>7.</w:t>
            </w:r>
            <w:r w:rsidR="00D45AE0" w:rsidRPr="00564B0E">
              <w:t>1., 7.14.</w:t>
            </w:r>
            <w:r w:rsidR="00C9145A" w:rsidRPr="00564B0E">
              <w:t xml:space="preserve"> un</w:t>
            </w:r>
            <w:r w:rsidR="00D45AE0" w:rsidRPr="00564B0E">
              <w:t xml:space="preserve"> 7.15.</w:t>
            </w:r>
            <w:r w:rsidR="00C9145A" w:rsidRPr="00564B0E">
              <w:t>punkts</w:t>
            </w:r>
          </w:p>
        </w:tc>
        <w:tc>
          <w:tcPr>
            <w:tcW w:w="1985" w:type="dxa"/>
            <w:tcBorders>
              <w:top w:val="outset" w:sz="6" w:space="0" w:color="auto"/>
              <w:left w:val="outset" w:sz="6" w:space="0" w:color="auto"/>
              <w:bottom w:val="outset" w:sz="6" w:space="0" w:color="auto"/>
              <w:right w:val="outset" w:sz="6" w:space="0" w:color="auto"/>
            </w:tcBorders>
          </w:tcPr>
          <w:p w:rsidR="00D45AE0" w:rsidRPr="00564B0E" w:rsidRDefault="00D45AE0"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D45AE0" w:rsidRPr="00564B0E" w:rsidRDefault="00D45AE0" w:rsidP="00170890">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2011.gada 2.februāra Regula (ES) Nr.88/2011, ar ko attiecībā uz statistiku par izglītības un apmācības sistēmām īsteno Eiropas Parlamenta un Padomes Regulu (EK) Nr.452/2008 par izglītības un mūžizglītības statistikas izveidi un pilnveidi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337B19">
            <w:r>
              <w:t>pielikuma 1. tabulas</w:t>
            </w:r>
            <w:r w:rsidR="00845812" w:rsidRPr="00564B0E">
              <w:t xml:space="preserve"> 7.5. un 7.6.punkts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2011.gada 5.aprīļa Regula (ES) Nr.328/2011, ar ko attiecībā uz statistiku par nāves cēloņiem īsteno Eiropas Parlamenta un Padomes Regulu (EK) Nr.1338/2008 attiecībā uz Kopienas statistiku par sabiedrības veselību un veselības aizsardzību un drošību darbā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2B1779" w:rsidRPr="00564B0E">
              <w:t xml:space="preserve"> 6.14</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2011.gada 27.aprīļa Regula (ES) Nr.408/2011, ar ko īsteno Eiropas Parlamenta un Padomes Regulu (EK) Nr.1185/2009 attiecībā uz statistiku par pesticīdiem saistībā ar datu nosūtīšanas formātu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17.20.punkts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2011.gada 7.jūlija Regula (ES) Nr.656/2011, ar ko īsteno Eiropas Parlamenta un Padomes Regulu (EK) Nr.1185/2009 attiecībā uz statistiku par pesticīdiem saistībā ar definīcijām un darbīgo vielu sarakstu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17.20.punkts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337B19">
            <w:r w:rsidRPr="00564B0E">
              <w:t>Eiropas Parlamenta un Padomes 2011.gada 6.jūlija Regulas (ES) Nr.691/2011 par Eiropas vides ekonomiskajiem kontiem (Dokuments attiecas uz EEZ) 1.pielikums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337B19">
            <w:r>
              <w:t>pielikuma 1. tabulas</w:t>
            </w:r>
            <w:r w:rsidR="00AF6F4F" w:rsidRPr="00564B0E">
              <w:t xml:space="preserve"> 28.1</w:t>
            </w:r>
            <w:r w:rsidR="000C0960" w:rsidRPr="00564B0E">
              <w:t>7</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337B19">
            <w:pPr>
              <w:spacing w:after="120"/>
              <w:rPr>
                <w:spacing w:val="-2"/>
              </w:rPr>
            </w:pPr>
            <w:r w:rsidRPr="00564B0E">
              <w:t>Eiropas Parlamenta un Padomes 2011.gada 6.jūlija Regulas (ES) Nr.691/2011 par Eiropas vides ekonomiskajiem kontiem (Dokuments attiecas uz EEZ) 2.pielikums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0C0960">
            <w:pPr>
              <w:spacing w:after="120"/>
              <w:rPr>
                <w:spacing w:val="-2"/>
              </w:rPr>
            </w:pPr>
            <w:r>
              <w:t>pielikuma 1. tabulas</w:t>
            </w:r>
            <w:r w:rsidR="00AF6F4F" w:rsidRPr="00564B0E">
              <w:t xml:space="preserve"> 28.1</w:t>
            </w:r>
            <w:r w:rsidR="000C0960" w:rsidRPr="00564B0E">
              <w:t>8</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337B19">
            <w:pPr>
              <w:spacing w:after="120"/>
              <w:rPr>
                <w:spacing w:val="-2"/>
              </w:rPr>
            </w:pPr>
            <w:r w:rsidRPr="00564B0E">
              <w:t>Eiropas Parlamenta un Padomes 2011.gada 6.jūlija Regulas (ES) Nr.691/2011 par Eiropas vides ekonomiskajiem kontiem (Dokuments attiecas uz EEZ) 3.pielikums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0C0960">
            <w:pPr>
              <w:spacing w:after="120"/>
              <w:rPr>
                <w:spacing w:val="-2"/>
              </w:rPr>
            </w:pPr>
            <w:r>
              <w:t>pielikuma 1. tabulas</w:t>
            </w:r>
            <w:r w:rsidR="00AF6F4F" w:rsidRPr="00564B0E">
              <w:t xml:space="preserve"> 28.</w:t>
            </w:r>
            <w:r w:rsidR="000C0960" w:rsidRPr="00564B0E">
              <w:t>19</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2011.gada 6.jūlija Regula (ES) Nr.692/2011 attiecībā uz Eiropas statistiku par tūrismu un ar ko atceļ Padomes Direktīvu 95/57/EK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26.1. un 26.2.punkts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EF7A8B">
            <w:r w:rsidRPr="00564B0E">
              <w:t>Komisijas Īstenošanas 2011.gada 20.oktobra Regula (ES) Nr.1051/2011, ar ko attiecībā uz kvalitātes ziņojumu struktūru un datu nosūtīšanu īsteno Eiropas Parlamenta un Padomes Regulu (ES) Nr.692/2011 attiecībā uz Eiropas statistiku par tūrismu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26.1. un 26.2.punkts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2011.gada 13.decembra Regula (ES) Nr.1337/2011 attiecībā uz Eiropas statistiku par ilggadīgām kultūrām un ar ko atceļ Padomes Regulu (EEK) Nr.357/79 un Eiropas Parlamenta un Padomes Direktīvu 2001/109/EK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0C0960">
            <w:r>
              <w:t>pielikuma 1. tabulas</w:t>
            </w:r>
            <w:r w:rsidR="00AF6F4F" w:rsidRPr="00564B0E">
              <w:t xml:space="preserve"> 17.2.punkts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2010.gada 10.marta Regula (ES) Nr.202/2010, ar ko groza Regulu (EK) Nr.6/2003 par statistikas izplatīšanu attiecībā uz kravu autopārvadājumiem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25.5.punkts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BE0C01">
            <w:r w:rsidRPr="00564B0E">
              <w:t>Komisijas 2010.gada 1.jūnija Regula (ES) Nr.479/2010, ar ko nosaka Padomes Regulas (EK) Nr.1234/2007 īstenošanas noteikumus attiecībā uz dalībvalstu paziņojumiem Komisijai piena un piena produktu nozarē</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8B5D94">
            <w:r>
              <w:t>pielikuma 1. tabulas</w:t>
            </w:r>
            <w:r w:rsidR="00AF6F4F" w:rsidRPr="00564B0E">
              <w:t xml:space="preserve"> 5.6.punkts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273682"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273682" w:rsidRPr="00564B0E" w:rsidRDefault="00273682" w:rsidP="0078006F">
            <w:r w:rsidRPr="00564B0E">
              <w:t xml:space="preserve">Komisijas 2010.gada 16.jūnija Regula (ES) Nr.519/2010, ar ko pieņem tādu statistikas datu un </w:t>
            </w:r>
            <w:proofErr w:type="spellStart"/>
            <w:r w:rsidRPr="00564B0E">
              <w:t>metadatu</w:t>
            </w:r>
            <w:proofErr w:type="spellEnd"/>
            <w:r w:rsidRPr="00564B0E">
              <w:t xml:space="preserve"> programmu iedzīvotāju un mājokļu skaitīšanai, kas paredzēta Eiropas Parlamenta un Padomes Regulā (EK) Nr.763/2008 (Dokuments attiecas uz EEZ)</w:t>
            </w:r>
          </w:p>
        </w:tc>
        <w:tc>
          <w:tcPr>
            <w:tcW w:w="1842" w:type="dxa"/>
            <w:tcBorders>
              <w:top w:val="outset" w:sz="6" w:space="0" w:color="auto"/>
              <w:left w:val="outset" w:sz="6" w:space="0" w:color="auto"/>
              <w:bottom w:val="outset" w:sz="6" w:space="0" w:color="auto"/>
              <w:right w:val="outset" w:sz="6" w:space="0" w:color="auto"/>
            </w:tcBorders>
          </w:tcPr>
          <w:p w:rsidR="00273682" w:rsidRPr="00564B0E" w:rsidRDefault="00F35A00" w:rsidP="00273682">
            <w:r>
              <w:rPr>
                <w:bCs/>
                <w:color w:val="000000"/>
              </w:rPr>
              <w:t>pielikuma 1. tabulas</w:t>
            </w:r>
            <w:r w:rsidR="00273682" w:rsidRPr="00564B0E">
              <w:rPr>
                <w:bCs/>
                <w:color w:val="000000"/>
              </w:rPr>
              <w:t xml:space="preserve"> 6.24.punkts</w:t>
            </w:r>
          </w:p>
        </w:tc>
        <w:tc>
          <w:tcPr>
            <w:tcW w:w="1985" w:type="dxa"/>
            <w:tcBorders>
              <w:top w:val="outset" w:sz="6" w:space="0" w:color="auto"/>
              <w:left w:val="outset" w:sz="6" w:space="0" w:color="auto"/>
              <w:bottom w:val="outset" w:sz="6" w:space="0" w:color="auto"/>
              <w:right w:val="outset" w:sz="6" w:space="0" w:color="auto"/>
            </w:tcBorders>
          </w:tcPr>
          <w:p w:rsidR="00273682" w:rsidRPr="00564B0E" w:rsidRDefault="00273682"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273682" w:rsidRPr="00564B0E" w:rsidRDefault="00273682" w:rsidP="00170890">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2010.gada 24.jūnija Regula (ES) Nr.557/2010 , ar ko groza Regulas (EK) Nr.1518/2003, (EK) Nr.596/2004, (EK) Nr.633/2004, (EK) Nr.1345/2005, (EK) Nr.2014/2005, (EK) Nr.239/2007, (EK) Nr.1299/2007, (EK) Nr.543/2008, (EK) Nr.589/2008, (EK) Nr.617/2008 un (EK) Nr.826/2008 attiecībā uz paziņošanas pienākumiem lauksaimniecības tirgu kopīgā organizācijā</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17.9.punkts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2010.gada 10.augusta Regula (ES) Nr.715/2010, ar ko groza Padomes Regulu (EK) Nr.2223/96 attiecībā uz pielāgojumiem nacionālajos kontos pēc tam, kad pārskatīta NACE 2.red. saimniecisko darbību statistiskā klasifikācija un preču statistiskā klasifikācija pēc saimniecības nozarēm (CPA)</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1A1B79">
            <w:r>
              <w:t>pielikuma 1. tabulas</w:t>
            </w:r>
            <w:r w:rsidR="00AF6F4F" w:rsidRPr="00564B0E">
              <w:t xml:space="preserve"> 1.14.</w:t>
            </w:r>
            <w:r w:rsidR="002607BD" w:rsidRPr="00564B0E">
              <w:t>–</w:t>
            </w:r>
            <w:r w:rsidR="00C9573A" w:rsidRPr="00564B0E">
              <w:t xml:space="preserve"> </w:t>
            </w:r>
            <w:r w:rsidR="00AF6F4F" w:rsidRPr="00564B0E">
              <w:t>1.1</w:t>
            </w:r>
            <w:r w:rsidR="001A1B79">
              <w:t>6</w:t>
            </w:r>
            <w:r w:rsidR="00AF6F4F" w:rsidRPr="00564B0E">
              <w:t>., 1.</w:t>
            </w:r>
            <w:r w:rsidR="001A1B79">
              <w:t>19</w:t>
            </w:r>
            <w:r w:rsidR="00AF6F4F" w:rsidRPr="00564B0E">
              <w:t>.1., 1.</w:t>
            </w:r>
            <w:r w:rsidR="001A1B79">
              <w:t>19</w:t>
            </w:r>
            <w:r w:rsidR="00AF6F4F" w:rsidRPr="00564B0E">
              <w:t>.1., 1.2</w:t>
            </w:r>
            <w:r w:rsidR="001A1B79">
              <w:t>3</w:t>
            </w:r>
            <w:r w:rsidR="00AF6F4F" w:rsidRPr="00564B0E">
              <w:t>., 1</w:t>
            </w:r>
            <w:r w:rsidR="0071366E" w:rsidRPr="00564B0E">
              <w:t>.</w:t>
            </w:r>
            <w:r w:rsidR="001A1B79">
              <w:t>29</w:t>
            </w:r>
            <w:r w:rsidR="0071366E" w:rsidRPr="00564B0E">
              <w:t xml:space="preserve">., </w:t>
            </w:r>
            <w:r w:rsidR="00C320A5" w:rsidRPr="00564B0E">
              <w:t>1.3</w:t>
            </w:r>
            <w:r w:rsidR="001A1B79">
              <w:t>0</w:t>
            </w:r>
            <w:r w:rsidR="00C320A5" w:rsidRPr="00564B0E">
              <w:t xml:space="preserve">., </w:t>
            </w:r>
            <w:r w:rsidR="0071366E" w:rsidRPr="00564B0E">
              <w:t>25.2</w:t>
            </w:r>
            <w:r w:rsidR="00C320A5" w:rsidRPr="00564B0E">
              <w:t>4</w:t>
            </w:r>
            <w:r w:rsidR="0071366E" w:rsidRPr="00564B0E">
              <w:t>.</w:t>
            </w:r>
            <w:r w:rsidR="00F1052F" w:rsidRPr="00564B0E">
              <w:t xml:space="preserve">– </w:t>
            </w:r>
            <w:r w:rsidR="00AF6F4F" w:rsidRPr="00564B0E">
              <w:t>25.2</w:t>
            </w:r>
            <w:r w:rsidR="00C320A5" w:rsidRPr="00564B0E">
              <w:t>7</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F1052F">
            <w:r w:rsidRPr="00564B0E">
              <w:t>Komisijas 2010.gada 10.novembra Regulas (ES) Nr.1013/2010, ar ko paredz īstenošanas noteikumus attiecībā uz Savienības flotes politiku, kura noteikta Padomes Regulas (EK) Nr.</w:t>
            </w:r>
            <w:r w:rsidR="00F1052F" w:rsidRPr="00564B0E">
              <w:t>2371/2002</w:t>
            </w:r>
            <w:r w:rsidR="001B38F3">
              <w:t>,</w:t>
            </w:r>
            <w:r w:rsidR="00F1052F" w:rsidRPr="00564B0E">
              <w:t xml:space="preserve"> III</w:t>
            </w:r>
            <w:r w:rsidR="008824AB" w:rsidRPr="00564B0E">
              <w:t> </w:t>
            </w:r>
            <w:r w:rsidRPr="00564B0E">
              <w:t>nodaļ</w:t>
            </w:r>
            <w:r w:rsidR="00F1052F" w:rsidRPr="00564B0E">
              <w:t>as</w:t>
            </w:r>
            <w:r w:rsidRPr="00564B0E">
              <w:t xml:space="preserve"> 13.pants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F1052F">
            <w:r>
              <w:t>pielikuma 1. tabulas</w:t>
            </w:r>
            <w:r w:rsidR="00AF6F4F" w:rsidRPr="00564B0E">
              <w:t xml:space="preserve"> 19.1.punkts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2010.gada 24.novembra Regula (ES) Nr.1090/2010, ar ko groza Direktīvu 2009/42/EK par statistikas pārskatiem attiecībā uz kravu un pasažieru pārvadājumiem pa jūru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25.7. un 25.8.punkts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2010.gada 8.decembra Regula (ES) Nr.1151/2010, ar ko attiecībā uz kvalitātes ziņojumu nosacījumiem un struktūru, kā arī datu nosūtīšanas tehnisko formātu īsteno Eiropas Parlamenta un Padomes Regulu (EK) Nr.763/2008 par iedzīvotāju un mājokļu skaitīšanu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032BB1">
            <w:r>
              <w:rPr>
                <w:bCs/>
                <w:color w:val="000000"/>
              </w:rPr>
              <w:t>pielikuma 1. tabulas</w:t>
            </w:r>
            <w:r w:rsidR="00032BB1" w:rsidRPr="00564B0E">
              <w:rPr>
                <w:bCs/>
                <w:color w:val="000000"/>
              </w:rPr>
              <w:t xml:space="preserve"> 6.24.punkts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 xml:space="preserve">Komisijas 2009.gada 13.janvāra Regula (EK) Nr.19/2009, ar ko attiecībā uz brīvās darbvietas definīciju, datu vākšanas atsauces datumiem, datu nosūtīšanas specifikācijām un </w:t>
            </w:r>
            <w:proofErr w:type="spellStart"/>
            <w:r w:rsidRPr="00564B0E">
              <w:t>priekšizpēti</w:t>
            </w:r>
            <w:proofErr w:type="spellEnd"/>
            <w:r w:rsidRPr="00564B0E">
              <w:t xml:space="preserve"> īsteno Eiropas Parlamenta un Padomes Regulu (EK) Nr.453/2008 attiecībā uz ceturkšņa statistiku par brīvajām darbvietām Kopienā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15.4.punkts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032BB1">
            <w:r w:rsidRPr="00564B0E">
              <w:t>Komisijas 2009.gada 11.marta Regula (EK) Nr.192/2009, ar kuru īsteno Eiropas Parlamenta un Padomes Regulu (EK) Nr.177/2008, ar ko izveido kopēju uzņēmumu reģistru sistēmu statistikas vajadzībām attiecībā uz konfidenciālu datu apmaiņu starp Komisiju (</w:t>
            </w:r>
            <w:proofErr w:type="spellStart"/>
            <w:r w:rsidRPr="00564B0E">
              <w:t>Eurostat</w:t>
            </w:r>
            <w:proofErr w:type="spellEnd"/>
            <w:r w:rsidRPr="00564B0E">
              <w:t>) un dalībvalstīm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032BB1">
            <w:r>
              <w:rPr>
                <w:bCs/>
                <w:color w:val="000000"/>
              </w:rPr>
              <w:t>pielikuma 1. tabulas</w:t>
            </w:r>
            <w:r w:rsidR="00032BB1" w:rsidRPr="00564B0E">
              <w:rPr>
                <w:bCs/>
                <w:color w:val="000000"/>
              </w:rPr>
              <w:t xml:space="preserve"> 13.4.punkts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2009.gada 30.novembra Regula (EK) Nr.1201/2009, ar ko attiecībā uz tematu un to dalījumu tehniskajām specifikācijām īsteno Eiropas Parlamenta un Padomes Regulu (EK) Nr.763/2008 par iedzīvotāju un mājokļu skaitīšanu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032BB1">
            <w:r>
              <w:rPr>
                <w:bCs/>
                <w:color w:val="000000"/>
              </w:rPr>
              <w:t>pielikuma 1. tabulas</w:t>
            </w:r>
            <w:r w:rsidR="00032BB1" w:rsidRPr="00564B0E">
              <w:rPr>
                <w:bCs/>
                <w:color w:val="000000"/>
              </w:rPr>
              <w:t xml:space="preserve"> 6.24.punkts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2009.gada 11.marta Regula (EK) Nr.216/2009 par to, kā dalībvalstis, kas zvejo apgabalos ārpus Ziemeļatlantijas, iesniedz nominālās nozvejas statistiku (pārstrādāta versija)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D83C4B">
            <w:r>
              <w:t>pielikuma 1. tabulas</w:t>
            </w:r>
            <w:r w:rsidR="00AF6F4F" w:rsidRPr="00564B0E">
              <w:t xml:space="preserve"> 19.2., 19.4. un 19.</w:t>
            </w:r>
            <w:r w:rsidR="00D83C4B" w:rsidRPr="00564B0E">
              <w:t>6</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2009.gada 11.marta Regula (EK) Nr.217/2009 par to, kā dalībvalstis, kas zvejo Ziemeļrietumu Atlantijā, iesniedz statistikas datus par nozveju un zvejas intensitāti (pārstrādāta versija)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9E61A8">
            <w:r>
              <w:t>pielikuma 1. tabulas</w:t>
            </w:r>
            <w:r w:rsidR="00AF6F4F" w:rsidRPr="00564B0E">
              <w:t xml:space="preserve"> 19.2., 19.4. un 19.</w:t>
            </w:r>
            <w:r w:rsidR="009E61A8" w:rsidRPr="00564B0E">
              <w:t>6</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2009.gada 11.marta Regula (EK) Nr.218/2009 par to dalībvalstu nominālās nozvejas statistikas iesniegšanu, kuras zvejo Atlantijas okeāna ziemeļaustrumu daļā (pārstrādāta versija)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172A23">
            <w:r>
              <w:t>pielikuma 1. tabulas</w:t>
            </w:r>
            <w:r w:rsidR="00AF6F4F" w:rsidRPr="00564B0E">
              <w:t xml:space="preserve"> 19.2., 19.4. un 19.</w:t>
            </w:r>
            <w:r w:rsidR="00172A23" w:rsidRPr="00564B0E">
              <w:t>6</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 xml:space="preserve">Eiropas Parlamenta un Padomes 2009.gada 11.marta Regula (EK) Nr.223/2009, par Eiropas statistiku un ar ko atceļ Eiropas Parlamenta un Padomes Regulu (EK, </w:t>
            </w:r>
            <w:proofErr w:type="spellStart"/>
            <w:r w:rsidRPr="00564B0E">
              <w:t>Euratom</w:t>
            </w:r>
            <w:proofErr w:type="spellEnd"/>
            <w:r w:rsidRPr="00564B0E">
              <w:t xml:space="preserve">) Nr.1101/2008 par tādas statistikas informācijas nosūtīšanu Eiropas Kopienu Statistikas birojam, uz kuru attiecas konfidencialitāte, Padomes Regulu (EK) Nr.322/97 par Kopienas statistiku un Padomes Lēmumu 89/382/EEK, </w:t>
            </w:r>
            <w:proofErr w:type="spellStart"/>
            <w:r w:rsidRPr="00564B0E">
              <w:t>Euratom</w:t>
            </w:r>
            <w:proofErr w:type="spellEnd"/>
            <w:r w:rsidRPr="00564B0E">
              <w:t>, ar ko nodibina Eiropas Kopienu Statistikas programmu komiteju (Dokuments attiecas uz EEZ un Šveici)</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FD08D5">
            <w:r>
              <w:t>pielikuma 1. tabulas</w:t>
            </w:r>
            <w:r w:rsidR="00484893" w:rsidRPr="00564B0E">
              <w:t xml:space="preserve"> 6.18</w:t>
            </w:r>
            <w:r w:rsidR="00AF6F4F" w:rsidRPr="00564B0E">
              <w:t>., 10.</w:t>
            </w:r>
            <w:r w:rsidR="00FD08D5" w:rsidRPr="00564B0E">
              <w:t>3</w:t>
            </w:r>
            <w:r w:rsidR="00AF6F4F" w:rsidRPr="00564B0E">
              <w:t>., 12.1., 12.4. un 12.5.punkts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 xml:space="preserve">Eiropas Centrālās bankas 2009.gada 31.marta Regula (EK) Nr.290/2009, ar ko groza Regulu (EK) Nr.63/2002 (ECB/2001/18) par statistiku attiecībā uz procentu likmēm, ko monetārās finanšu iestādes piemēro mājsaimniecību un </w:t>
            </w:r>
            <w:proofErr w:type="spellStart"/>
            <w:r w:rsidRPr="00564B0E">
              <w:t>nefinanšu</w:t>
            </w:r>
            <w:proofErr w:type="spellEnd"/>
            <w:r w:rsidRPr="00564B0E">
              <w:t xml:space="preserve"> sabiedrību noguldījumiem un aizdevumiem (ECB/2009/7)</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3.5. un 3.6.punkts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2009.gada 22.aprīļa Regula (EK) Nr.329/2009, ar ko groza Padomes Regulu (EK) Nr.1165/98 par īstermiņa statistiku attiecībā uz mainīgo lielumu saraksta atjaunināšanu, statistikas apkopošanas biežumu un sadalījuma un apkopošanas līmeņiem, kas piemērojami mainīgajiem lielumiem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15.1.punkts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2009.gada 6.maija Regulas (EK) Nr.471/2009 par Kopienas statistiku attiecībā uz ārējo tirdzniecību ar ārpuskopienas valstīm un par Padomes Regulas (EK) Nr.1172/95 atcel</w:t>
            </w:r>
            <w:r w:rsidR="002C0CAF">
              <w:t>šanu (Dokuments attiecas uz EEZ</w:t>
            </w:r>
            <w:r w:rsidRPr="00564B0E">
              <w:t>) 8.pants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4.1.punkts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Padomes 2009.gada 25.maija Regula (EK) Nr.479/2009 par to, kā piemērot Eiropas Kopienas dibināšanas līgumam pievienoto Protokolu par pārmērīga budžeta deficīta novēršanas procedūru (Kodificēta versija)</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1.10. un 1.11.punkts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2009.gada 18.jūnija regula (EK) Nr.543/2009, kas attiecas uz statistiku par augkopības kultūrām un ar ko atceļ Padomes Regulas (EEK) Nr.837/90 un (EEK) Nr.95</w:t>
            </w:r>
            <w:r w:rsidR="002C0CAF">
              <w:t>9/93 (Dokuments attiecas uz EEZ</w:t>
            </w:r>
            <w:r w:rsidRPr="00564B0E">
              <w:t>)</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17.2., 17.3., 17.11., 17.12. un 17.17.punkts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4402F8">
            <w:r w:rsidRPr="00564B0E">
              <w:t>Eiropas Parlamenta un Padomes 2009.gada 16.septembra Regula (EK) Nr.1006/2009, ar ko groza Regulu (EK) Nr.808/2004 attiecībā uz Kopienas statistiku par informācijas sabiedrību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29.1. un 29.2.punkts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 xml:space="preserve">Komisijas 2009.gada 30.novembra Regula (EK) Nr.1166/2009, ar kuru groza un labo Komisijas Regulu (EK) Nr.606/2009, ar ko nosaka konkrētus sīki izstrādātus Padomes Regulas (EK) Nr.479/2008 īstenošanas noteikumus attiecībā uz vīnkopības produktu kategorijām, </w:t>
            </w:r>
            <w:proofErr w:type="spellStart"/>
            <w:r w:rsidRPr="00564B0E">
              <w:t>vīndarības</w:t>
            </w:r>
            <w:proofErr w:type="spellEnd"/>
            <w:r w:rsidRPr="00564B0E">
              <w:t xml:space="preserve"> metodēm un piemērojamiem ierobežojumiem</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FD08D5">
            <w:r>
              <w:t>pielikuma 1. tabulas</w:t>
            </w:r>
            <w:r w:rsidR="00AF6F4F" w:rsidRPr="00564B0E">
              <w:t xml:space="preserve"> 17.</w:t>
            </w:r>
            <w:r w:rsidR="008B5D94" w:rsidRPr="00564B0E">
              <w:t>2</w:t>
            </w:r>
            <w:r w:rsidR="00FD08D5" w:rsidRPr="00564B0E">
              <w:t>2</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2009.gada 25.novembra Regula (EK) Nr.1185/2009 attiecībā uz statistiku par pesticīdiem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17.20.punkts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2009.gada 30.novembra Regula (EK) Nr.1200/2009 , ar ko īsteno Eiropas Parlamenta un Padomes Regulu (EK) Nr.1166/2008 par lauku saimniecību struktūru apsekojumiem un lauksaimnieciskās ražošanas metožu apsekošanu attiecībā uz ganāmpulka vienību koeficientiem un raksturlielumu definīcijām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A65CCE">
            <w:r>
              <w:t>pielikuma 1. tabulas</w:t>
            </w:r>
            <w:r w:rsidR="00AF6F4F" w:rsidRPr="00564B0E">
              <w:t xml:space="preserve"> 17.</w:t>
            </w:r>
            <w:r w:rsidR="008B5D94" w:rsidRPr="00564B0E">
              <w:t>2</w:t>
            </w:r>
            <w:r w:rsidR="00A65CCE" w:rsidRPr="00564B0E">
              <w:t>2</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Padomes 2009.gada 30.novembra Regula (EK) Nr.1217/2009, ar ko izveido tīklu grāmatvedības datu savākšanai par ienākumiem un saimniecisko darbību lauku saimniecībās Eiropas Kopienā</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17.10.punkts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2008.gada 8.janvāra Regulas (EK) Nr.10/2008, ar ko īsteno Eiropas Parlamenta un Padomes Regulu (EK) Nr.458/2007 par Eiropas Integrētās sociālās aizsardzības statistikas sistēmu (ESSPROS) attiecībā uz ESSPROS pamatsistēmas un pensiju saņēmēju moduļa definīcijām, sīki izstrādātām klasifikācijām un izplatīšanas noteikumu atjaunināšanu (Dokuments attiecas uz EEZ) 1.pants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24596E">
            <w:pPr>
              <w:spacing w:after="120"/>
              <w:rPr>
                <w:spacing w:val="-2"/>
              </w:rPr>
            </w:pPr>
            <w:r>
              <w:t>pielikuma 1. tabulas</w:t>
            </w:r>
            <w:r w:rsidR="0024596E" w:rsidRPr="00564B0E">
              <w:t xml:space="preserve"> </w:t>
            </w:r>
            <w:r w:rsidR="007B4049" w:rsidRPr="00564B0E">
              <w:t>10.5., 10.7., 10.8.</w:t>
            </w:r>
            <w:r w:rsidR="0024596E" w:rsidRPr="00564B0E">
              <w:t xml:space="preserve"> –</w:t>
            </w:r>
            <w:r w:rsidR="007B4049" w:rsidRPr="00564B0E">
              <w:t xml:space="preserve"> 10.10.</w:t>
            </w:r>
            <w:r w:rsidR="0024596E"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 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24596E">
            <w:r w:rsidRPr="00564B0E">
              <w:t>Eiropas Parlamenta un Padomes 2008.gada 20.februāra Regula (EK) Nr.177/2008, ar ko izveido kopēju uzņēmumu reģistru sistēmu statistikas vajadzībām un atceļ Padomes Regulu (EEK) Nr.2186/93</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24596E">
            <w:r>
              <w:t>pielikuma 1. tabulas</w:t>
            </w:r>
            <w:r w:rsidR="00AF6F4F" w:rsidRPr="00564B0E">
              <w:t xml:space="preserve"> 13.1.</w:t>
            </w:r>
            <w:r w:rsidR="0024596E" w:rsidRPr="00564B0E">
              <w:t>–</w:t>
            </w:r>
            <w:r w:rsidR="0071366E" w:rsidRPr="00564B0E">
              <w:t xml:space="preserve"> </w:t>
            </w:r>
            <w:r w:rsidR="00AF6F4F" w:rsidRPr="00564B0E">
              <w:t>13.4.punkts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Padomes 2008.gada 25.februāra Regula (EK) Nr.199/2008 par Kopienas sistēmas izveidi datu vākšanai, pārvaldībai un izmantošanai zivsaimniecības nozarē un par atbalstu zinātniskā padoma izstrādei saistībā ar kopējo zivsaimniecības politiku</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19.2.punkts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24596E">
            <w:r w:rsidRPr="00564B0E">
              <w:t>Komisijas 2008.gada 7.marta Regula (EK) Nr.212/2008, ar ko groza I</w:t>
            </w:r>
            <w:r w:rsidR="008824AB" w:rsidRPr="00564B0E">
              <w:t> </w:t>
            </w:r>
            <w:r w:rsidRPr="00564B0E">
              <w:t>pielikumu Eiropas Parlamenta un Padomes Regulai (EK) Nr.138/2004 par ekonomikas pārskatiem Kopienas lauksaimniecībā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D10158">
            <w:r>
              <w:t>pielikuma 1. tabulas</w:t>
            </w:r>
            <w:r w:rsidR="00AF6F4F" w:rsidRPr="00564B0E">
              <w:t xml:space="preserve"> </w:t>
            </w:r>
            <w:r w:rsidR="007B4049" w:rsidRPr="00564B0E">
              <w:t>1.2</w:t>
            </w:r>
            <w:r w:rsidR="00D10158">
              <w:t>2</w:t>
            </w:r>
            <w:r w:rsidR="007B4049" w:rsidRPr="00564B0E">
              <w:t xml:space="preserve">., </w:t>
            </w:r>
            <w:r w:rsidR="00AF6F4F" w:rsidRPr="00564B0E">
              <w:t>5.7.</w:t>
            </w:r>
            <w:r w:rsidR="0024596E" w:rsidRPr="00564B0E">
              <w:t>–</w:t>
            </w:r>
            <w:r w:rsidR="0071366E" w:rsidRPr="00564B0E">
              <w:t xml:space="preserve"> </w:t>
            </w:r>
            <w:r w:rsidR="00AF6F4F" w:rsidRPr="00564B0E">
              <w:t>5.11., 17.4., 17.14.</w:t>
            </w:r>
            <w:r w:rsidR="0024596E" w:rsidRPr="00564B0E">
              <w:t>–</w:t>
            </w:r>
            <w:r w:rsidR="0071366E" w:rsidRPr="00564B0E">
              <w:t xml:space="preserve"> </w:t>
            </w:r>
            <w:r w:rsidR="00AF6F4F" w:rsidRPr="00564B0E">
              <w:t xml:space="preserve">17.16.punkts </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2008.gada 11.marta Regula (EK) Nr.295/2008 par uzņēmējdarbības strukturālo statistiku (pārstrādāta versija)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24596E">
            <w:r>
              <w:t>pielikuma 1. tabulas</w:t>
            </w:r>
            <w:r w:rsidR="00AF6F4F" w:rsidRPr="00564B0E">
              <w:t xml:space="preserve"> 14.1.</w:t>
            </w:r>
            <w:r w:rsidR="0024596E" w:rsidRPr="00564B0E">
              <w:t>–</w:t>
            </w:r>
            <w:r w:rsidR="0071366E" w:rsidRPr="00564B0E">
              <w:t xml:space="preserve"> </w:t>
            </w:r>
            <w:r w:rsidR="00AF6F4F" w:rsidRPr="00564B0E">
              <w:t>14.2</w:t>
            </w:r>
            <w:r w:rsidR="00AE4439" w:rsidRPr="00564B0E">
              <w:t>0</w:t>
            </w:r>
            <w:r w:rsidR="00AF6F4F" w:rsidRPr="00564B0E">
              <w:t>., 14.2</w:t>
            </w:r>
            <w:r w:rsidR="00AE4439" w:rsidRPr="00564B0E">
              <w:t>3</w:t>
            </w:r>
            <w:r w:rsidR="00AF6F4F" w:rsidRPr="00564B0E">
              <w:t>., 28.2.punkts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24596E">
            <w:pPr>
              <w:spacing w:after="120"/>
            </w:pPr>
            <w:r w:rsidRPr="00564B0E">
              <w:t>Eiropas Parlamenta un Padomes 2008.gada 11.marta Regulas (EK) Nr.295/2008 par uzņēmējdarbības strukturālo statistiku (pārstrādāta versija) (Dokuments attiecas uz EEZ) 3.pielikums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24596E">
            <w:pPr>
              <w:spacing w:after="120"/>
              <w:rPr>
                <w:spacing w:val="-2"/>
              </w:rPr>
            </w:pPr>
            <w:r>
              <w:t>pielikuma 1. tabulas</w:t>
            </w:r>
            <w:r w:rsidR="00AF6F4F" w:rsidRPr="00564B0E">
              <w:t xml:space="preserve"> </w:t>
            </w:r>
            <w:r w:rsidR="00AF6F4F" w:rsidRPr="00564B0E">
              <w:rPr>
                <w:spacing w:val="-2"/>
              </w:rPr>
              <w:t>24.5.</w:t>
            </w:r>
            <w:r w:rsidR="0024596E" w:rsidRPr="00564B0E">
              <w:rPr>
                <w:spacing w:val="-2"/>
              </w:rPr>
              <w:t xml:space="preserve"> un</w:t>
            </w:r>
            <w:r w:rsidR="007B4049" w:rsidRPr="00564B0E">
              <w:rPr>
                <w:spacing w:val="-2"/>
              </w:rPr>
              <w:t xml:space="preserve"> 24.6.</w:t>
            </w:r>
            <w:r w:rsidR="00AF6F4F" w:rsidRPr="00564B0E">
              <w:rPr>
                <w:spacing w:val="-2"/>
              </w:rPr>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24596E">
            <w:pPr>
              <w:spacing w:after="120"/>
            </w:pPr>
            <w:r w:rsidRPr="00564B0E">
              <w:t>Eiropas Parlamenta un Padomes 2008.gada 11.marta Regulas (EK) Nr.295/2008 par uzņēmējdarbības strukturālo statistiku (pārstrādāta versija) (Dokuments attiecas uz EEZ) 8.pielikums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pPr>
              <w:spacing w:after="120"/>
              <w:rPr>
                <w:spacing w:val="-2"/>
              </w:rPr>
            </w:pPr>
            <w:r>
              <w:t>pielikuma 1. tabulas</w:t>
            </w:r>
            <w:r w:rsidR="00AF6F4F" w:rsidRPr="00564B0E">
              <w:t xml:space="preserve"> </w:t>
            </w:r>
            <w:r w:rsidR="00AF6F4F" w:rsidRPr="00564B0E">
              <w:rPr>
                <w:spacing w:val="-2"/>
              </w:rPr>
              <w:t>24.4.punkts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t>Eiropas Parlamenta un Padomes 2008.gada 11.marta Regulas (EK) Nr.295/2008 par uzņēmējdarbības strukturālo statistiku (pārstrādāta versija) (Dokuments attiecas uz EEZ) 9.pielikums</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pPr>
              <w:spacing w:after="120"/>
              <w:rPr>
                <w:spacing w:val="-2"/>
              </w:rPr>
            </w:pPr>
            <w:r>
              <w:t>pielikuma 1. tabulas</w:t>
            </w:r>
            <w:r w:rsidR="00AF6F4F" w:rsidRPr="00564B0E">
              <w:t xml:space="preserve"> </w:t>
            </w:r>
            <w:r w:rsidR="00AF6F4F" w:rsidRPr="00564B0E">
              <w:rPr>
                <w:spacing w:val="-2"/>
              </w:rPr>
              <w:t>13.5.punkts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24596E">
            <w:r w:rsidRPr="00564B0E">
              <w:t>Komisijas 2008.gada 25.aprīļa Regula (EK) Nr.377/2008, ar ko īsteno Padomes Regulu (EK) Nr.577/98 par darbaspēka izlases veida apsekojuma organizēšanu Kopienā attiecībā uz datu nosūtīšanai izmantojamo kodēšanu, sākot ar 2009.gadu, izlases grupas izmantošanu statistikas datu vākšanai par strukturālajiem mainīgajiem lielumiem un pārskata ceturkšņu definēšanu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16.1.punkts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2008.gada 23.aprīļa Regula (EK) Nr.453/2008 attiecībā uz ceturkšņa statistiku par brīvajām darbvietām Kopienā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15.4.punkts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331B85"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24596E">
            <w:r w:rsidRPr="00564B0E">
              <w:t>Komisijas 2008.gada 6.jūnija Regula (EK) Nr.507/2008, ar ko nosaka sīki izstrādātus noteikumus Padomes Regulas (EK) Nr.1673/2000 par šķiedras linu un kaņepju tirgu kopīgo organizāciju piemērošanai (Kodificēta versija)</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8B5D94">
            <w:r>
              <w:t>pielikuma 1. tabulas</w:t>
            </w:r>
            <w:r w:rsidR="00AF6F4F" w:rsidRPr="00564B0E">
              <w:t xml:space="preserve"> 5.6.punkts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2008.gada 27.jūnija Regula (EK) Nr.617/2008 , ar ko nosaka sīki izstrādātus noteikumus Padomes Regulas (EK) Nr.1234/2007 piemērošanai attiecībā uz inkubējamo olu un mājputnu cāļu ražošanu un tirdzniecību</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17.9.punkts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2008.gada 14.jūlija Regula (EK) Nr.665/2008, ar ko nosaka sīki izstrādātus piemērošanas noteikumus Padomes Regulai (EK) Nr.199/2008 par Kopienas sistēmas izveidi datu vākšanai, pārvaldībai un izmantošanai zivsaimniecības nozarē un par atbalstu zinātniskā padoma izstrādei saistībā ar kopējo zivsaimniecības politiku</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19.2.punkts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2008.gada 9.jūlija Regula (EK) Nr.762/2008 par to, kā dalībvalstis iesniedz statistiku par akvakultūru, un ar ko atceļ Padomes Regulu (EK) Nr.788/96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B4049">
            <w:r>
              <w:t>pielikuma 1. tabulas</w:t>
            </w:r>
            <w:r w:rsidR="00AF6F4F" w:rsidRPr="00564B0E">
              <w:t xml:space="preserve"> 19.2. un 19.</w:t>
            </w:r>
            <w:r w:rsidR="007B4049" w:rsidRPr="00564B0E">
              <w:t>7</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6D116E">
        <w:trPr>
          <w:cantSplit/>
          <w:trHeight w:val="488"/>
        </w:trPr>
        <w:tc>
          <w:tcPr>
            <w:tcW w:w="4395" w:type="dxa"/>
            <w:tcBorders>
              <w:top w:val="outset" w:sz="6" w:space="0" w:color="auto"/>
              <w:left w:val="outset" w:sz="6" w:space="0" w:color="auto"/>
              <w:bottom w:val="outset" w:sz="6" w:space="0" w:color="auto"/>
              <w:right w:val="outset" w:sz="6" w:space="0" w:color="auto"/>
            </w:tcBorders>
            <w:shd w:val="clear" w:color="auto" w:fill="auto"/>
          </w:tcPr>
          <w:p w:rsidR="00AF6F4F" w:rsidRPr="00564B0E" w:rsidRDefault="00AF6F4F" w:rsidP="0078006F">
            <w:pPr>
              <w:spacing w:after="120"/>
              <w:rPr>
                <w:spacing w:val="-2"/>
              </w:rPr>
            </w:pPr>
            <w:r w:rsidRPr="00564B0E">
              <w:rPr>
                <w:spacing w:val="-2"/>
              </w:rPr>
              <w:t>Eiropas Parlamenta un Padomes 2008.gada 9.jūlija Regulas (EK) Nr.763/2008 par iedzīvotāju un mājokļu skaitīšanu (Dokuments attiecas uz EEZ) 5.pants</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AF6F4F" w:rsidRPr="00564B0E" w:rsidRDefault="00F35A00" w:rsidP="006D116E">
            <w:pPr>
              <w:spacing w:after="120"/>
              <w:rPr>
                <w:spacing w:val="-2"/>
              </w:rPr>
            </w:pPr>
            <w:r>
              <w:t>pielikuma 1. tabulas</w:t>
            </w:r>
            <w:r w:rsidR="00AF6F4F" w:rsidRPr="00564B0E">
              <w:t xml:space="preserve"> </w:t>
            </w:r>
            <w:r w:rsidR="00AF6F4F" w:rsidRPr="00564B0E">
              <w:rPr>
                <w:spacing w:val="-2"/>
              </w:rPr>
              <w:t>6.</w:t>
            </w:r>
            <w:r w:rsidR="006D116E" w:rsidRPr="00564B0E">
              <w:rPr>
                <w:spacing w:val="-2"/>
              </w:rPr>
              <w:t>24</w:t>
            </w:r>
            <w:r w:rsidR="00AF6F4F" w:rsidRPr="00564B0E">
              <w:rPr>
                <w:spacing w:val="-2"/>
              </w:rPr>
              <w:t>.punkts</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shd w:val="clear" w:color="auto" w:fill="auto"/>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8257E1">
            <w:r w:rsidRPr="00564B0E">
              <w:t>Komisijas 2008.gada 5.septembra Regula (EK) Nr.889/2008, ar ko paredz sīki izstrādātus bioloģiskās ražošanas, marķēšanas un kontroles noteikumus, lai īstenotu Padomes Regulu (EK) Nr.834/2007 par bioloģisko ražošanu un bioloģisko produktu marķēšanu</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B4049">
            <w:r>
              <w:t>pielikuma 1. tabulas</w:t>
            </w:r>
            <w:r w:rsidR="00AF6F4F" w:rsidRPr="00564B0E">
              <w:t xml:space="preserve"> 17.2</w:t>
            </w:r>
            <w:r w:rsidR="007B4049" w:rsidRPr="00564B0E">
              <w:t>1</w:t>
            </w:r>
            <w:r w:rsidR="00AF6F4F" w:rsidRPr="00564B0E">
              <w:t>.punkts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2008. gada 22.oktobra Regula (EK) Nr.1099/2008 par enerģētikas statistiku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8257E1">
            <w:r>
              <w:t>pielikuma 1. tabulas</w:t>
            </w:r>
            <w:r w:rsidR="00AF6F4F" w:rsidRPr="00564B0E">
              <w:t xml:space="preserve"> </w:t>
            </w:r>
            <w:r w:rsidR="008257E1" w:rsidRPr="00564B0E">
              <w:t>21.1. –</w:t>
            </w:r>
            <w:r w:rsidR="0071366E" w:rsidRPr="00564B0E">
              <w:t xml:space="preserve"> </w:t>
            </w:r>
            <w:r w:rsidR="00AF6F4F" w:rsidRPr="00564B0E">
              <w:t>21.5., 21.9.</w:t>
            </w:r>
            <w:r w:rsidR="0071366E" w:rsidRPr="00564B0E">
              <w:t xml:space="preserve"> </w:t>
            </w:r>
            <w:r w:rsidR="008257E1" w:rsidRPr="00564B0E">
              <w:t>–</w:t>
            </w:r>
            <w:r w:rsidR="0071366E" w:rsidRPr="00564B0E">
              <w:t xml:space="preserve"> </w:t>
            </w:r>
            <w:r w:rsidR="00AF6F4F" w:rsidRPr="00564B0E">
              <w:t>21.11., 21.19. un 21.20.punkts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2008.gada 19.novembra Regula (EK) Nr.1165/2008 par statistiku lauksaimniecības dzīvnieku un gaļas jomā, ar kuru atceļ Padomes Direktīvu Nr.93/23/EEK, 93/24/EEK un 93/25/EEK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17.4., 17.5.1., 17.5.2., 17.6.1., 17.6.2., 17.7. un 17.13.punkts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2008.gada 19.novembra Regula (EK) Nr.1166/2008, kas attiecas uz lauku saimniecību struktūras apsekojumiem un lauksaimnieciskās ražošanas metožu apsekojumu un ar ko atceļ Padomes Regulu (EEK) Nr.571/88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78006F">
            <w:r>
              <w:t>pielikuma 1. tabulas</w:t>
            </w:r>
            <w:r w:rsidR="00AF6F4F" w:rsidRPr="00564B0E">
              <w:t xml:space="preserve"> 17.18. un 17.19.punkts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2008.gada 8. decembra Regula (EK) Nr.1242/2008 par Kopienas klasifikācijas izveidi lauku saimniecībām</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032BB1">
            <w:r>
              <w:rPr>
                <w:bCs/>
                <w:color w:val="000000"/>
              </w:rPr>
              <w:t>pielikuma 1. tabulas</w:t>
            </w:r>
            <w:r w:rsidR="00032BB1" w:rsidRPr="00564B0E">
              <w:rPr>
                <w:bCs/>
                <w:color w:val="000000"/>
              </w:rPr>
              <w:t xml:space="preserve"> 17.8.punkts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170890">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Komisijas 2008.gada 10. decembra Regula (EK) Nr.1249/2008, ar ko paredz sīki izstrādātus noteikumus par Kopienas skalu ieviešanu liellopu, cūku un aitu liemeņu klasifikācijai un cenu paziņošanas kārtību</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8B5D94">
            <w:r>
              <w:t>pielikuma 1. tabulas</w:t>
            </w:r>
            <w:r w:rsidR="00AF6F4F" w:rsidRPr="00564B0E">
              <w:t xml:space="preserve"> 5.6.punkts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Parlamenta un Padomes 2008.gada 16. decembra Regula (EK) Nr.1338/2008 attiecībā uz Kopienas statistiku par sabiedrības veselību un veselības aizsardzību un drošību darbā (Dokuments attiecas uz EEZ)</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8257E1">
            <w:r>
              <w:t>pielikuma 1. tabulas</w:t>
            </w:r>
            <w:r w:rsidR="00552C65" w:rsidRPr="00564B0E">
              <w:t xml:space="preserve"> 9.1., 9.4., 9.5., 9.10. </w:t>
            </w:r>
            <w:r w:rsidR="008257E1" w:rsidRPr="00564B0E">
              <w:t>–</w:t>
            </w:r>
            <w:r w:rsidR="00552C65" w:rsidRPr="00564B0E">
              <w:t xml:space="preserve"> </w:t>
            </w:r>
            <w:r w:rsidR="00AF6F4F" w:rsidRPr="00564B0E">
              <w:t>9.17., 9.21.</w:t>
            </w:r>
            <w:r w:rsidR="0071366E" w:rsidRPr="00564B0E">
              <w:t xml:space="preserve"> </w:t>
            </w:r>
            <w:r w:rsidR="008257E1" w:rsidRPr="00564B0E">
              <w:t>–</w:t>
            </w:r>
            <w:r w:rsidR="0071366E" w:rsidRPr="00564B0E">
              <w:t xml:space="preserve"> </w:t>
            </w:r>
            <w:r w:rsidR="00AF6F4F" w:rsidRPr="00564B0E">
              <w:t>9.2</w:t>
            </w:r>
            <w:r w:rsidR="00552C65" w:rsidRPr="00564B0E">
              <w:t>3</w:t>
            </w:r>
            <w:r w:rsidR="00AF6F4F" w:rsidRPr="00564B0E">
              <w:t xml:space="preserve">.punkts </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AF6F4F"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t>Eiropas Centrālās bankas 2008.gada 19.decembra Regula (EK) Nr.25/2009 par monetāro finanšu iestāžu nozares bilanci (pārstrādāta redakcija) (ECB/2008/32)</w:t>
            </w:r>
          </w:p>
        </w:tc>
        <w:tc>
          <w:tcPr>
            <w:tcW w:w="1842" w:type="dxa"/>
            <w:tcBorders>
              <w:top w:val="outset" w:sz="6" w:space="0" w:color="auto"/>
              <w:left w:val="outset" w:sz="6" w:space="0" w:color="auto"/>
              <w:bottom w:val="outset" w:sz="6" w:space="0" w:color="auto"/>
              <w:right w:val="outset" w:sz="6" w:space="0" w:color="auto"/>
            </w:tcBorders>
          </w:tcPr>
          <w:p w:rsidR="00AF6F4F" w:rsidRPr="00564B0E" w:rsidRDefault="00F35A00" w:rsidP="008257E1">
            <w:r>
              <w:t>pielikuma 1. tabulas</w:t>
            </w:r>
            <w:r w:rsidR="00AF6F4F" w:rsidRPr="00564B0E">
              <w:t xml:space="preserve"> 3.1.</w:t>
            </w:r>
            <w:r w:rsidR="008257E1" w:rsidRPr="00564B0E">
              <w:t> –</w:t>
            </w:r>
            <w:r w:rsidR="0071366E" w:rsidRPr="00564B0E">
              <w:t xml:space="preserve"> </w:t>
            </w:r>
            <w:r w:rsidR="00552C65" w:rsidRPr="00564B0E">
              <w:t>3.4. un</w:t>
            </w:r>
            <w:r w:rsidR="00AF6F4F" w:rsidRPr="00564B0E">
              <w:t xml:space="preserve"> 3.7.punkts</w:t>
            </w:r>
          </w:p>
        </w:tc>
        <w:tc>
          <w:tcPr>
            <w:tcW w:w="1985" w:type="dxa"/>
            <w:tcBorders>
              <w:top w:val="outset" w:sz="6" w:space="0" w:color="auto"/>
              <w:left w:val="outset" w:sz="6" w:space="0" w:color="auto"/>
              <w:bottom w:val="outset" w:sz="6" w:space="0" w:color="auto"/>
              <w:right w:val="outset" w:sz="6" w:space="0" w:color="auto"/>
            </w:tcBorders>
          </w:tcPr>
          <w:p w:rsidR="00AF6F4F" w:rsidRPr="00564B0E" w:rsidRDefault="00AF6F4F"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AF6F4F" w:rsidRPr="00564B0E" w:rsidRDefault="00AF6F4F"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2007.gada 1.marta Regula (EK) Nr.224/2007, ar ko groza Regulu (EK) Nr.1216/2003 saistībā ar ekonomiskajām darbībām, uz kurām attiecas darbaspēka izmaksu ind</w:t>
            </w:r>
            <w:r w:rsidR="002C0CAF">
              <w:t>ekss (Dokuments attiecas uz EEZ</w:t>
            </w:r>
            <w:r w:rsidRPr="00564B0E">
              <w:t>)</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032BB1">
            <w:r>
              <w:rPr>
                <w:bCs/>
                <w:color w:val="000000"/>
              </w:rPr>
              <w:t>pielikuma 1. tabulas</w:t>
            </w:r>
            <w:r w:rsidR="00032BB1" w:rsidRPr="00564B0E">
              <w:rPr>
                <w:bCs/>
                <w:color w:val="000000"/>
              </w:rPr>
              <w:t xml:space="preserve"> 15.2.punkts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170890">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8257E1">
            <w:r w:rsidRPr="00564B0E">
              <w:t>Eiropas Parlamenta un Padomes 2007.gada 25.aprīļa Regulas (EK) Nr.458/2007 par Eiropas Integrētās sociālās aizsardzības statistikas sistēmu (ESSPROS)( Dokuments attiecas uz EEZ) 1. un 3.pants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257E1">
            <w:pPr>
              <w:rPr>
                <w:bCs/>
                <w:color w:val="000000"/>
              </w:rPr>
            </w:pPr>
            <w:r>
              <w:rPr>
                <w:bCs/>
                <w:color w:val="000000"/>
              </w:rPr>
              <w:t>pielikuma 1. tabulas</w:t>
            </w:r>
            <w:r w:rsidR="00032BB1" w:rsidRPr="00564B0E">
              <w:rPr>
                <w:bCs/>
                <w:color w:val="000000"/>
              </w:rPr>
              <w:t xml:space="preserve"> 10.5., 10.7. – 10.10.punkts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 xml:space="preserve">Komisijas 2007.gada 14.jūnija Regula (EK) Nr.656/2007, ar ko groza Regulu (EK) Nr.586/2001, ar kuru attiecībā uz ražošanas </w:t>
            </w:r>
            <w:proofErr w:type="spellStart"/>
            <w:r w:rsidRPr="00564B0E">
              <w:rPr>
                <w:spacing w:val="-2"/>
              </w:rPr>
              <w:t>pamatgrupējumu</w:t>
            </w:r>
            <w:proofErr w:type="spellEnd"/>
            <w:r w:rsidRPr="00564B0E">
              <w:rPr>
                <w:spacing w:val="-2"/>
              </w:rPr>
              <w:t xml:space="preserve"> (RP) definēšanu īsteno Padomes Regulu (EK) Nr.1165/98 par īstermiņa statistiku</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257E1">
            <w:pPr>
              <w:spacing w:after="120"/>
              <w:rPr>
                <w:spacing w:val="-2"/>
              </w:rPr>
            </w:pPr>
            <w:r>
              <w:t>pielikuma 1. tabulas</w:t>
            </w:r>
            <w:r w:rsidR="00032BB1" w:rsidRPr="00564B0E">
              <w:t xml:space="preserve"> </w:t>
            </w:r>
            <w:r w:rsidR="00032BB1" w:rsidRPr="00564B0E">
              <w:rPr>
                <w:spacing w:val="-2"/>
              </w:rPr>
              <w:t>15.1., 20.2. un 20.3.punkts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2007.gada 20.jūnija Regula (EK) Nr.716/2007 attiecībā uz Kopienas statistiku par ārvalstu saistītu uzņēmumu struktūru un darbību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BD1381">
            <w:r>
              <w:t>pielikuma 1. tabulas</w:t>
            </w:r>
            <w:r w:rsidR="00032BB1" w:rsidRPr="00564B0E">
              <w:t xml:space="preserve"> 14.21. un 14.22.punkts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2007.gada 11.jūlija Regula (EK) Nr.862/2007 par Kopienas statistiku attiecībā uz migrāciju un starptautisko aizsardzību, kā arī lai atceltu Padomes Regulu (EEK) Nr.311/76 attiecībā uz statistikas vākšanu par ārvalstu darba ņēmējiem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257E1">
            <w:r>
              <w:t>pielikuma 1. tabulas</w:t>
            </w:r>
            <w:r w:rsidR="00032BB1" w:rsidRPr="00564B0E">
              <w:t xml:space="preserve"> 6.18. – 6.23. un 10.3.punkts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t>Eiropas Parlamenta un Padomes 2007.gada 11.jūlija Regulas (EK) Nr.862/2007 par Kopienas statistiku attiecībā uz migrāciju un starptautisko aizsardzību, kā arī lai atceltu Padomes Regulu (EEK) Nr.311/76 attiecībā uz statistikas vākšanu par ārvalstu darba ņēmējiem (Dokuments attiecas uz EEZ) 3.pants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01701D">
            <w:pPr>
              <w:spacing w:after="120"/>
              <w:rPr>
                <w:spacing w:val="-2"/>
              </w:rPr>
            </w:pPr>
            <w:r>
              <w:t>pielikuma 1. tabulas</w:t>
            </w:r>
            <w:r w:rsidR="00032BB1" w:rsidRPr="00564B0E">
              <w:t xml:space="preserve"> </w:t>
            </w:r>
            <w:r w:rsidR="00032BB1" w:rsidRPr="00564B0E">
              <w:rPr>
                <w:spacing w:val="-2"/>
              </w:rPr>
              <w:t>6.1., 6.3., 6.5., 6.6. un 6.17.punkts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2007.gada 12.novembra Regulas (EK) Nr.1322/2007, ar ko īsteno Eiropas Parlamenta un Padomes Regulu (EK) Nr.458/2007 par Eiropas Integrētās sociālās aizsardzības statistikas sistēmu (ESSPROS) attiecībā uz piemērotajiem ESSPROS pamatsistēmas un pensiju saņēmēju moduļa datu nosūtīšanas formātiem, nosūtāmajiem rezultātiem un kvalitātes noteikšanas kritērijiem 1. pants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pPr>
              <w:rPr>
                <w:bCs/>
                <w:color w:val="000000"/>
              </w:rPr>
            </w:pPr>
            <w:r>
              <w:rPr>
                <w:bCs/>
                <w:color w:val="000000"/>
              </w:rPr>
              <w:t>pielikuma 1. tabulas</w:t>
            </w:r>
            <w:r w:rsidR="00032BB1" w:rsidRPr="00564B0E">
              <w:rPr>
                <w:bCs/>
                <w:color w:val="000000"/>
              </w:rPr>
              <w:t xml:space="preserve"> 10.5., 10.7. – 10.10.punkts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Eiropas Centrālās bankas 2007.gada 27.jūlija Regula (EK) Nr.958/2007 par ieguldījumu fondu aktīvu un pasīvu statistiku (ECB/2007/8)</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pPr>
              <w:spacing w:after="120"/>
              <w:rPr>
                <w:spacing w:val="-2"/>
              </w:rPr>
            </w:pPr>
            <w:r>
              <w:t>pielikuma 1. tabulas</w:t>
            </w:r>
            <w:r w:rsidR="00032BB1" w:rsidRPr="00564B0E">
              <w:t xml:space="preserve"> </w:t>
            </w:r>
            <w:r w:rsidR="00032BB1" w:rsidRPr="00564B0E">
              <w:rPr>
                <w:spacing w:val="-2"/>
              </w:rPr>
              <w:t>3.8.punkts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2007.gada 23.oktobra Regula (EK) Nr.1372/2007, ar ko groza Padomes Regulu (EK) Nr.577/98 par darbaspēka izlases veida apsekojuma organizēšanu Kop</w:t>
            </w:r>
            <w:r w:rsidR="002C0CAF">
              <w:t>ienā (Dokuments attiecas uz EEZ</w:t>
            </w:r>
            <w:r w:rsidRPr="00564B0E">
              <w:t>)</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16.1.punkts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2007.gada 13.novembra Regula (EK) Nr.1392/2007, ar ko groza Padomes Regulu (EK) Nr.2223/96 attiecībā uz nacionālo kontu datu nosūtīšanu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D10158">
            <w:r>
              <w:t>pielikuma 1. tabulas</w:t>
            </w:r>
            <w:r w:rsidR="00032BB1" w:rsidRPr="00564B0E">
              <w:t xml:space="preserve"> 1.1. – 1.7., 1.13., 1.1</w:t>
            </w:r>
            <w:r w:rsidR="00D10158">
              <w:t>5</w:t>
            </w:r>
            <w:r w:rsidR="00032BB1" w:rsidRPr="00564B0E">
              <w:t>. – 1.1</w:t>
            </w:r>
            <w:r w:rsidR="00D10158">
              <w:t>7</w:t>
            </w:r>
            <w:r w:rsidR="00032BB1" w:rsidRPr="00564B0E">
              <w:t>., 1.</w:t>
            </w:r>
            <w:r w:rsidR="00D10158">
              <w:t>19</w:t>
            </w:r>
            <w:r w:rsidR="00032BB1" w:rsidRPr="00564B0E">
              <w:t>.1., 1.</w:t>
            </w:r>
            <w:r w:rsidR="00D10158">
              <w:t>19</w:t>
            </w:r>
            <w:r w:rsidR="00032BB1" w:rsidRPr="00564B0E">
              <w:t>.2., 1.2</w:t>
            </w:r>
            <w:r w:rsidR="00D10158">
              <w:t>0</w:t>
            </w:r>
            <w:r w:rsidR="00032BB1" w:rsidRPr="00564B0E">
              <w:t>.1. un  1.2</w:t>
            </w:r>
            <w:r w:rsidR="00D10158">
              <w:t>0</w:t>
            </w:r>
            <w:r w:rsidR="00032BB1" w:rsidRPr="00564B0E">
              <w:t>.2.punkts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 xml:space="preserve">Eiropas Parlamenta un Padomes 2007.gada 11.decembra Regula (EK) Nr.1445/2007, ar ko paredz kopējus noteikumus, lai sniegtu pamatinformāciju par pirktspējas </w:t>
            </w:r>
            <w:proofErr w:type="spellStart"/>
            <w:r w:rsidRPr="00564B0E">
              <w:t>paritātēm</w:t>
            </w:r>
            <w:proofErr w:type="spellEnd"/>
            <w:r w:rsidRPr="00564B0E">
              <w:t xml:space="preserve"> un lai tās aprēķinātu un izpla</w:t>
            </w:r>
            <w:r w:rsidR="002C0CAF">
              <w:t>tītu (Dokuments attiecas uz EEZ</w:t>
            </w:r>
            <w:r w:rsidRPr="00564B0E">
              <w:t>)</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B5D94">
            <w:r>
              <w:t>pielikuma 1. tabulas</w:t>
            </w:r>
            <w:r w:rsidR="00032BB1" w:rsidRPr="00564B0E">
              <w:t xml:space="preserve"> 5.5. un 27.1.punkts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331B85"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2006.gada 18.aprīļa Regula (EK) Nr.602/2006, ar ko, atjauninot datu prasības, pielāgo Eiropas Parlamenta un Padomes Regulu (EK) Nr.184/2005</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257E1">
            <w:r>
              <w:t>pielikuma 1. tabulas</w:t>
            </w:r>
            <w:r w:rsidR="00032BB1" w:rsidRPr="00564B0E">
              <w:t xml:space="preserve"> 2.5. – 2.9.punkts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331B85"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032BB1">
            <w:pPr>
              <w:spacing w:after="120"/>
              <w:rPr>
                <w:spacing w:val="-2"/>
              </w:rPr>
            </w:pPr>
            <w:r w:rsidRPr="00564B0E">
              <w:rPr>
                <w:spacing w:val="-2"/>
              </w:rPr>
              <w:t>Komisijas 2006.gada 2.maija Regula (EK) Nr.676/2006, ar ko groza Komisijas Regulu (EK) Nr.1980/2003, ar ko īsteno Eiropas Parlamenta un Padomes Regulu (EK) Nr.1177/2003 attiecībā uz Kopienas statistiku par ienākumiem un dzīves apstākļiem (EU-SILC) attiecībā uz definīcijām un atjauninātām definīcijām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4A3F41">
            <w:pPr>
              <w:rPr>
                <w:bCs/>
                <w:color w:val="000000"/>
              </w:rPr>
            </w:pPr>
            <w:r>
              <w:rPr>
                <w:bCs/>
                <w:color w:val="000000"/>
              </w:rPr>
              <w:t>pielikuma 1. tabulas</w:t>
            </w:r>
            <w:r w:rsidR="00032BB1" w:rsidRPr="00564B0E">
              <w:rPr>
                <w:bCs/>
                <w:color w:val="000000"/>
              </w:rPr>
              <w:t xml:space="preserve"> 11.1.punkts</w:t>
            </w:r>
          </w:p>
          <w:p w:rsidR="00032BB1" w:rsidRPr="00564B0E" w:rsidRDefault="00032BB1" w:rsidP="0078006F">
            <w:pPr>
              <w:spacing w:after="120"/>
            </w:pP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170890">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Komisijas 2006.gada 4.maija Regulas (EK) Nr.865/2006, ar ko paredz sīki izstrādātus noteikumus attiecībā uz Padomes Regulas (EK) Nr.338/97 par savvaļas dzīvnieku un augu sugu aizsardzību, reglamentējot to tirdzniecību, ieviešanu 69. pants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EE10FB">
            <w:pPr>
              <w:spacing w:after="120"/>
              <w:rPr>
                <w:spacing w:val="-2"/>
              </w:rPr>
            </w:pPr>
            <w:r>
              <w:t>pielikuma 1. tabulas</w:t>
            </w:r>
            <w:r w:rsidR="00032BB1" w:rsidRPr="00564B0E">
              <w:t xml:space="preserve"> 28.14. un 28.15</w:t>
            </w:r>
            <w:r w:rsidR="00032BB1" w:rsidRPr="00564B0E">
              <w:rPr>
                <w:spacing w:val="-2"/>
              </w:rPr>
              <w:t>.punkts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2006.gada 20.jūnija Regula (EK) Nr.909/2006, ar ko groza I un II pielikumu Eiropas Parlamenta un Padomes Regulai (EK) Nr.138/2004 par ekonomikas pārskatiem Kopienas lauksaimniecībā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D05ABD">
            <w:r>
              <w:t>pielikuma 1. tabulas</w:t>
            </w:r>
            <w:r w:rsidR="00032BB1" w:rsidRPr="00564B0E">
              <w:t xml:space="preserve"> 1.2</w:t>
            </w:r>
            <w:r w:rsidR="00D05ABD">
              <w:t>2</w:t>
            </w:r>
            <w:r w:rsidR="00032BB1" w:rsidRPr="00564B0E">
              <w:t>., 5.7. – 5.11., 17.4., 17.14. – 17.16. 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2006.gada 28.septembra  Regula (EK) Nr.1503/2006, ar ko īsteno un groza Padomes Regulu (EK) Nr.1165/98 par īstermiņa statistiku attiecībā uz mainīgo lielumu definīcijām, mainīgo lielumu sarakstu un datu apkopošanas biežumu</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EE5A5B">
            <w:r>
              <w:t>pielikuma 1. tabulas</w:t>
            </w:r>
            <w:r w:rsidR="00032BB1" w:rsidRPr="00564B0E">
              <w:t xml:space="preserve"> 15.1.punkts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2006.gada 20.decembris Regula (EK) Nr.1893/2006, ar ko izveido NACE 2.red. saimniecisko darbību statistisko klasifikāciju, kā arī groza Padomes Regulu (EEK) Nr.3037/90 un dažas EK regulas par īpašām statistikas jomām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D05ABD">
            <w:r>
              <w:t>pielikuma 1. tabulas</w:t>
            </w:r>
            <w:r w:rsidR="00032BB1" w:rsidRPr="00564B0E">
              <w:t xml:space="preserve"> 1.13., 1.1</w:t>
            </w:r>
            <w:r w:rsidR="00D05ABD">
              <w:t>5</w:t>
            </w:r>
            <w:r w:rsidR="00032BB1" w:rsidRPr="00564B0E">
              <w:t>., 1.1</w:t>
            </w:r>
            <w:r w:rsidR="00D05ABD">
              <w:t>6</w:t>
            </w:r>
            <w:r w:rsidR="00032BB1" w:rsidRPr="00564B0E">
              <w:t>., 1.</w:t>
            </w:r>
            <w:r w:rsidR="00D05ABD">
              <w:t>19</w:t>
            </w:r>
            <w:r w:rsidR="00032BB1" w:rsidRPr="00564B0E">
              <w:t>.1., 1.</w:t>
            </w:r>
            <w:r w:rsidR="00D05ABD">
              <w:t>19</w:t>
            </w:r>
            <w:r w:rsidR="00032BB1" w:rsidRPr="00564B0E">
              <w:t>.1., 1.2</w:t>
            </w:r>
            <w:r w:rsidR="00D05ABD">
              <w:t>3</w:t>
            </w:r>
            <w:r w:rsidR="00032BB1" w:rsidRPr="00564B0E">
              <w:t>., 1.</w:t>
            </w:r>
            <w:r w:rsidR="00D05ABD">
              <w:t>29</w:t>
            </w:r>
            <w:r w:rsidR="00032BB1" w:rsidRPr="00564B0E">
              <w:t>., 20.2. – 20.4., 24.1. – 24.3.punkts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2006.gada 18.decembra Regula (EK) Nr.1921/2006, kas attiecas uz statistikas datu sniegšanu par dalībvalstīs izkrautajiem zvejniecības produktiem un ar ko atceļ Padomes Regulu (EEK) Nr.1382/91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19.2.punkts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8257E1">
            <w:pPr>
              <w:spacing w:after="120"/>
              <w:rPr>
                <w:spacing w:val="-2"/>
              </w:rPr>
            </w:pPr>
            <w:r w:rsidRPr="00564B0E">
              <w:t>Eiropas Parlamenta un Padomes 2006.gada 18.decembra Regulas (EK) Nr.1921/2006, kas attiecas uz statistikas datu sniegšanu par dalībvalstīs izkrautajiem zvejniecības produktiem un ar ko atceļ Padomes Regulu (EEK) Nr.1382/91 (Dokuments attiecas uz EEZ) 4. un 5.pants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pPr>
              <w:spacing w:after="120"/>
              <w:rPr>
                <w:spacing w:val="-2"/>
              </w:rPr>
            </w:pPr>
            <w:r>
              <w:t>pielikuma 1. tabulas</w:t>
            </w:r>
            <w:r w:rsidR="00032BB1" w:rsidRPr="00564B0E">
              <w:t xml:space="preserve"> 19.3.punkts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8257E1">
            <w:pPr>
              <w:spacing w:after="120"/>
              <w:rPr>
                <w:spacing w:val="-2"/>
              </w:rPr>
            </w:pPr>
            <w:r w:rsidRPr="00564B0E">
              <w:rPr>
                <w:spacing w:val="-2"/>
              </w:rPr>
              <w:t>Eiropas Parlamenta un Padomes 2005.gada 12.janvāra Regula (EK) Nr.184/2005 par Kopienas statistiku attiecībā uz maksājumu bilanci, starptautisko pakalpojumu tirdzniecību un ārvalstu tiešajiem ieguldījumiem</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257E1">
            <w:pPr>
              <w:spacing w:after="120"/>
              <w:rPr>
                <w:spacing w:val="-2"/>
              </w:rPr>
            </w:pPr>
            <w:r>
              <w:t>pielikuma 1. tabulas</w:t>
            </w:r>
            <w:r w:rsidR="00032BB1" w:rsidRPr="00564B0E">
              <w:t xml:space="preserve"> </w:t>
            </w:r>
            <w:r w:rsidR="00032BB1" w:rsidRPr="00564B0E">
              <w:rPr>
                <w:spacing w:val="-2"/>
              </w:rPr>
              <w:t>2.5. – 2.9.punkts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 xml:space="preserve">Komisijas 2005.gada 24.janvāra Regula (EK) Nr.109/2005 par dalībvalstu ekonomiskās teritorijas definīciju, lai piemērotu Padomes Regulu (EK, </w:t>
            </w:r>
            <w:proofErr w:type="spellStart"/>
            <w:r w:rsidRPr="00564B0E">
              <w:t>Euratom</w:t>
            </w:r>
            <w:proofErr w:type="spellEnd"/>
            <w:r w:rsidRPr="00564B0E">
              <w:t>) Nr.1287/2003 par to, kā saskaņot nacionālo kopienākumu tirgus cenās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15484">
            <w:r>
              <w:t>pielikuma 1. tabulas</w:t>
            </w:r>
            <w:r w:rsidR="00032BB1" w:rsidRPr="00564B0E">
              <w:t xml:space="preserve"> 1.1</w:t>
            </w:r>
            <w:r w:rsidR="00715484">
              <w:t>7</w:t>
            </w:r>
            <w:r w:rsidR="00032BB1" w:rsidRPr="00564B0E">
              <w:t>.punkts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 xml:space="preserve">Komisijas 2005.gada 26.janvāra Regula (EK, </w:t>
            </w:r>
            <w:proofErr w:type="spellStart"/>
            <w:r w:rsidRPr="00564B0E">
              <w:t>Euratom</w:t>
            </w:r>
            <w:proofErr w:type="spellEnd"/>
            <w:r w:rsidRPr="00564B0E">
              <w:t xml:space="preserve">) Nr.116/2005 par PVN atmaksu personām, kas nav nodokļu maksātājas, un nodokļa maksātājiem par to darbībām, kas atbrīvotas no nodokļa, lai piemērotu Padomes Regulu (EK, </w:t>
            </w:r>
            <w:proofErr w:type="spellStart"/>
            <w:r w:rsidRPr="00564B0E">
              <w:t>Euratom</w:t>
            </w:r>
            <w:proofErr w:type="spellEnd"/>
            <w:r w:rsidRPr="00564B0E">
              <w:t>) Nr.1287/2003 par to, kā saskaņot nacionālo kopienākumu tirgus cenās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15484">
            <w:r>
              <w:t>pielikuma 1. tabulas</w:t>
            </w:r>
            <w:r w:rsidR="00032BB1" w:rsidRPr="00564B0E">
              <w:t xml:space="preserve"> 1.1</w:t>
            </w:r>
            <w:r w:rsidR="00715484">
              <w:t>7</w:t>
            </w:r>
            <w:r w:rsidR="00032BB1" w:rsidRPr="00564B0E">
              <w:t>. un 1.1</w:t>
            </w:r>
            <w:r w:rsidR="00715484">
              <w:t>8</w:t>
            </w:r>
            <w:r w:rsidR="00032BB1" w:rsidRPr="00564B0E">
              <w:t>.punkts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2005.gada 24.februāra Regula (EK) Nr.306/2005, ar ko groza I pielikumu Eiropas Parlamenta un Padomes Regulai (EK) Nr.138/2004 par ekonomikas pārskatiem Kopienas lauksaimniecībā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063DA2">
            <w:r>
              <w:t>pielikuma 1. tabulas</w:t>
            </w:r>
            <w:r w:rsidR="00032BB1" w:rsidRPr="00564B0E">
              <w:t xml:space="preserve"> 1.2</w:t>
            </w:r>
            <w:r w:rsidR="00063DA2">
              <w:t>2</w:t>
            </w:r>
            <w:r w:rsidR="00032BB1" w:rsidRPr="00564B0E">
              <w:t>., 5.7. – 5.11., 17.4., 17.14. – 17.16.punkts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2005.gada 6.jūlija Regula (EK) Nr.1158/2005, ar ko groza Padomes Regulu (EK) Nr.1165/98 par īstermiņa statistiku</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15.1.punkts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5D6E40">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8257E1">
            <w:pPr>
              <w:spacing w:after="120"/>
              <w:rPr>
                <w:spacing w:val="-2"/>
              </w:rPr>
            </w:pPr>
            <w:r w:rsidRPr="00564B0E">
              <w:t>Eiropas Parlamenta un Padomes 2005.gada 6.jūlija Regulas (EK) Nr.1158/2005, ar ko groza Padomes Regulu (EK) Nr.1165/98 par īstermiņa statistiku A pielikums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5D6E40">
            <w:pPr>
              <w:spacing w:after="120"/>
              <w:rPr>
                <w:spacing w:val="-2"/>
              </w:rPr>
            </w:pPr>
            <w:r>
              <w:rPr>
                <w:spacing w:val="-2"/>
              </w:rPr>
              <w:t>pielikuma 1. tabulas</w:t>
            </w:r>
            <w:r w:rsidR="00032BB1" w:rsidRPr="00564B0E">
              <w:rPr>
                <w:spacing w:val="-2"/>
              </w:rPr>
              <w:t xml:space="preserve"> 5.18.punkts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5D6E4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5D6E40">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8257E1">
            <w:pPr>
              <w:spacing w:after="120"/>
              <w:rPr>
                <w:spacing w:val="-2"/>
              </w:rPr>
            </w:pPr>
            <w:r w:rsidRPr="00564B0E">
              <w:t>Eiropas Parlamenta un Padomes 2005.gada 6.jūlija Regulas (EK) Nr.1158/2005, ar ko groza Padomes Regulu (EK) Nr.1165/98 par īstermiņa statistiku C pielikums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pPr>
              <w:spacing w:after="120"/>
              <w:rPr>
                <w:spacing w:val="-2"/>
              </w:rPr>
            </w:pPr>
            <w:r>
              <w:t>pielikuma 1. tabulas</w:t>
            </w:r>
            <w:r w:rsidR="00032BB1" w:rsidRPr="00564B0E">
              <w:t xml:space="preserve"> </w:t>
            </w:r>
            <w:r w:rsidR="00032BB1" w:rsidRPr="00564B0E">
              <w:rPr>
                <w:spacing w:val="-2"/>
              </w:rPr>
              <w:t>24.1. – 24.3.punkts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8257E1">
            <w:pPr>
              <w:spacing w:after="120"/>
              <w:rPr>
                <w:spacing w:val="-2"/>
              </w:rPr>
            </w:pPr>
            <w:r w:rsidRPr="00564B0E">
              <w:t>Eiropas Parlamenta un Padomes 2005.gada 6.jūlija Regulas (EK) Nr.1158/2005, ar ko groza Padomes Regulu (EK) Nr.1165/98 par īstermiņa statistiku D pielikums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EE5A5B">
            <w:pPr>
              <w:spacing w:after="120"/>
              <w:rPr>
                <w:spacing w:val="-2"/>
              </w:rPr>
            </w:pPr>
            <w:r>
              <w:t>pielikuma 1. tabulas</w:t>
            </w:r>
            <w:r w:rsidR="00032BB1" w:rsidRPr="00564B0E">
              <w:t xml:space="preserve"> </w:t>
            </w:r>
            <w:r w:rsidR="00032BB1" w:rsidRPr="00564B0E">
              <w:rPr>
                <w:spacing w:val="-2"/>
              </w:rPr>
              <w:t>5.4.punkts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 xml:space="preserve">Eiropas Parlamenta un Padomes 2005.gada 6.jūlija Regula (EK) Nr.1161/2005 par ceturkšņa </w:t>
            </w:r>
            <w:proofErr w:type="spellStart"/>
            <w:r w:rsidRPr="00564B0E">
              <w:t>nefinanšu</w:t>
            </w:r>
            <w:proofErr w:type="spellEnd"/>
            <w:r w:rsidRPr="00564B0E">
              <w:t xml:space="preserve"> kontu apkopošanu pa institucionāliem sektoriem</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2F638E">
            <w:r>
              <w:t>pielikuma 1. tabulas</w:t>
            </w:r>
            <w:r w:rsidR="00032BB1" w:rsidRPr="00564B0E">
              <w:t xml:space="preserve"> 1.3., 1.4., 1.1</w:t>
            </w:r>
            <w:r w:rsidR="002F638E">
              <w:t>5</w:t>
            </w:r>
            <w:r w:rsidR="00032BB1" w:rsidRPr="00564B0E">
              <w:t>., 1.1</w:t>
            </w:r>
            <w:r w:rsidR="002F638E">
              <w:t>6</w:t>
            </w:r>
            <w:r w:rsidR="00032BB1" w:rsidRPr="00564B0E">
              <w:t>., 1.</w:t>
            </w:r>
            <w:r w:rsidR="002F638E">
              <w:t>19</w:t>
            </w:r>
            <w:r w:rsidR="00032BB1" w:rsidRPr="00564B0E">
              <w:t>.2.,1.2</w:t>
            </w:r>
            <w:r w:rsidR="002F638E">
              <w:t>0</w:t>
            </w:r>
            <w:r w:rsidR="00032BB1" w:rsidRPr="00564B0E">
              <w:t>.2. un 23.4.1.punkts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 xml:space="preserve">Komisijas 2005.gada 20.oktobra Regula (EK) Nr.1722/2005 par mājokļu pakalpojumu novērtēšanas principiem saistībā ar Padomes Regulu (EK, </w:t>
            </w:r>
            <w:proofErr w:type="spellStart"/>
            <w:r w:rsidRPr="00564B0E">
              <w:t>Euratom</w:t>
            </w:r>
            <w:proofErr w:type="spellEnd"/>
            <w:r w:rsidRPr="00564B0E">
              <w:t>) Nr.1287/2003 par to, kā saskaņot nacionālo kopienākumu tirgus cenās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27.1.punkts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2005.gada 21.oktobra Regula (EK) Nr.1737/2005 par grozījumiem Regulā (EK) Nr.1726/1999 attiecībā uz informācijas par darbaspēka izmaksām noteikšanu un iesūtīšanu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A47849">
            <w:r>
              <w:t>pielikuma 1. tabulas</w:t>
            </w:r>
            <w:r w:rsidR="00032BB1" w:rsidRPr="00564B0E">
              <w:t xml:space="preserve"> 15.5.punkts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331B85"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2005.gada 26.oktobra Regula (EK) Nr.1888/2005, ar ko groza Regulu (EK) Nr.1059/2003 par kopējas statistiski teritoriālo vienību klasifikācijas (NUTS) izveidi saistībā ar Čehijas, Igaunijas, Kipras, Latvijas, Lietuvas, Ungārijas, Maltas, Polijas, Slovēnijas un Slovākijas pievienošanos Eiropas Savienībai</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4F500C">
            <w:r>
              <w:t>pielikuma 1. tabulas</w:t>
            </w:r>
            <w:r w:rsidR="00032BB1" w:rsidRPr="00564B0E">
              <w:t xml:space="preserve"> 1.2</w:t>
            </w:r>
            <w:r w:rsidR="004F500C">
              <w:t>3</w:t>
            </w:r>
            <w:r w:rsidR="00032BB1" w:rsidRPr="00564B0E">
              <w:t>. un 1.</w:t>
            </w:r>
            <w:r w:rsidR="004F500C">
              <w:t>29</w:t>
            </w:r>
            <w:r w:rsidR="00032BB1" w:rsidRPr="00564B0E">
              <w:t>.punkts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331B85" w:rsidRDefault="00032BB1" w:rsidP="0078006F">
            <w:r w:rsidRPr="00564B0E">
              <w:rPr>
                <w:spacing w:val="-2"/>
              </w:rPr>
              <w:t>Neparedz stingrākas prasības</w:t>
            </w:r>
          </w:p>
        </w:tc>
      </w:tr>
      <w:tr w:rsidR="008824A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8824AB" w:rsidRPr="00564B0E" w:rsidRDefault="008824AB" w:rsidP="0078006F">
            <w:r w:rsidRPr="00564B0E">
              <w:t>Komisijas 2004.gada 5.janvāra Regula (EK) Nr.28/2004, ar ko īsteno Eiropas Parlamenta un Padomes Regulu (EK) Nr.1177/2003 par Kopienas statistiku attiecībā uz ienākumiem un dzīves apstākļiem (EU–SILC) saistībā ar starpposma un nobeiguma kvalitātes pārskatu sīku saturu</w:t>
            </w:r>
          </w:p>
        </w:tc>
        <w:tc>
          <w:tcPr>
            <w:tcW w:w="1842" w:type="dxa"/>
            <w:tcBorders>
              <w:top w:val="outset" w:sz="6" w:space="0" w:color="auto"/>
              <w:left w:val="outset" w:sz="6" w:space="0" w:color="auto"/>
              <w:bottom w:val="outset" w:sz="6" w:space="0" w:color="auto"/>
              <w:right w:val="outset" w:sz="6" w:space="0" w:color="auto"/>
            </w:tcBorders>
          </w:tcPr>
          <w:p w:rsidR="008824AB" w:rsidRPr="00564B0E" w:rsidRDefault="00F35A00" w:rsidP="008824AB">
            <w:r>
              <w:rPr>
                <w:bCs/>
                <w:color w:val="000000"/>
              </w:rPr>
              <w:t>pielikuma 1. tabulas</w:t>
            </w:r>
            <w:r w:rsidR="008824AB" w:rsidRPr="00564B0E">
              <w:rPr>
                <w:bCs/>
                <w:color w:val="000000"/>
              </w:rPr>
              <w:t xml:space="preserve"> 11.1.punkts</w:t>
            </w:r>
          </w:p>
        </w:tc>
        <w:tc>
          <w:tcPr>
            <w:tcW w:w="1985" w:type="dxa"/>
            <w:tcBorders>
              <w:top w:val="outset" w:sz="6" w:space="0" w:color="auto"/>
              <w:left w:val="outset" w:sz="6" w:space="0" w:color="auto"/>
              <w:bottom w:val="outset" w:sz="6" w:space="0" w:color="auto"/>
              <w:right w:val="outset" w:sz="6" w:space="0" w:color="auto"/>
            </w:tcBorders>
          </w:tcPr>
          <w:p w:rsidR="008824AB" w:rsidRPr="00564B0E" w:rsidRDefault="008824AB"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8824AB" w:rsidRPr="00564B0E" w:rsidRDefault="008824AB" w:rsidP="00170890">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2003.gada 5.decembra Regula (EK) Nr.138/2004 par ekonomikas pārskatiem Kopienas lauksaimniecībā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951BD">
            <w:r>
              <w:t>pielikuma 1. tabulas</w:t>
            </w:r>
            <w:r w:rsidR="00032BB1" w:rsidRPr="00564B0E">
              <w:t xml:space="preserve"> 1.2</w:t>
            </w:r>
            <w:r w:rsidR="008951BD">
              <w:t>2</w:t>
            </w:r>
            <w:r w:rsidR="00032BB1" w:rsidRPr="00564B0E">
              <w:t>., 5.7. – 5.11., 17.4., 17.14. – 17.16.punkts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2004.gada 10.marta Regula (EK) Nr.501/2004 par valsts pārvaldes ceturkšņa finanšu pārskatiem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1.8.punkts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2004.gada 31.marta Regulas (EK) Nr.638/2004 par Kopienas statistiku dalībvalstu savstarpējās preču tirdzniecības jomā un par Padomes Regulas (EEK) Nr.3330/91 atcelšanu 12.pants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4.2.punkts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2004.gada 6.aprīļa Regula (EK) Nr.642/2004 par to datu precizitātes prasībām, ko vāc saskaņā ar Padomes Regulu (EK) Nr.1172/98 par statistikas pārskatiem, kuri attiecas uz kravu autopārvadājumiem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25.5.punkts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 xml:space="preserve">Padomes 2004.gada 22.marta Regula (EK, </w:t>
            </w:r>
            <w:proofErr w:type="spellStart"/>
            <w:r w:rsidRPr="00564B0E">
              <w:t>Euratom</w:t>
            </w:r>
            <w:proofErr w:type="spellEnd"/>
            <w:r w:rsidRPr="00564B0E">
              <w:t>) Nr.723/2004, ar ko groza Eiropas Kopienu Civildienesta noteikumus un Kopienu pārējo darbinieku nodarbināšanas kārtību</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15.3.punkts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2004. gada 21.aprīļa Regula (EK) Nr.808/2004 attiecībā uz Kopienas statistiku par informācijas sabiedrību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29.1. un 29.2.punkts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2004.gada 29. aprīļa Regula (EK) Nr.912/2004, ar ko īsteno Padomes Regulu (EEK) Nr.3924/91 par rūpnieciskās ražošanas Kopienas apsekojuma izveidi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20.1.punkts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Padomes 2004.gada 28.jūnija Regula (EK) Nr.1222/2004 par to, kā apkopot un sūtīt datus, kas attiecas uz valsts parādu ceturksnī</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D33690">
            <w:r>
              <w:t>pielikuma 1. tabulas</w:t>
            </w:r>
            <w:r w:rsidR="00032BB1" w:rsidRPr="00564B0E">
              <w:t xml:space="preserve"> 1.9.punkts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2002.gada 16.decembra Regula Nr.91/2003 par dzelzceļa transporta statistiku</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F82D1A">
            <w:r>
              <w:t>pielikuma 1. tabulas</w:t>
            </w:r>
            <w:r w:rsidR="00032BB1" w:rsidRPr="00564B0E">
              <w:t xml:space="preserve"> 25.1. – 25.4.punkts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2003. gada 27.februāra Regula (EK) Nr.450/2003 par darbaspēka izmaksu indeksu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391BB4">
            <w:r>
              <w:t>pielikuma 1. tabulas</w:t>
            </w:r>
            <w:r w:rsidR="00032BB1" w:rsidRPr="00564B0E">
              <w:t xml:space="preserve"> 15.2.punkts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2003.gada 27.marta Regula (EK) Nr.546/2003 par dažiem paziņojumiem attiecībā uz Padomes Regulu (EEK) Nr.2771/75, (EEK) Nr.2777/75 un (EEK) Nr.2783/75 piemērošanu olu un mājputnu gaļas nozarēs</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8B5D94">
            <w:r>
              <w:t>pielikuma 1. tabulas</w:t>
            </w:r>
            <w:r w:rsidR="00032BB1" w:rsidRPr="00564B0E">
              <w:t xml:space="preserve"> 5.6.punkts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2003.gada 16.jūnija Regula (EK) Nr.1177/2003 par Kopienas statistiku attiecībā uz ienākumiem un dzīves apstākļiem (EU-SILC)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11.1.punkts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2003.gada 3.jūlija Regula (EK) Nr.1192/2003, ar ko groza Eiropas Parlamenta un Padomes Regulu (EK) Nr.91/2003 par dzelzceļa transporta statistiku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F82D1A">
            <w:r>
              <w:t>pielikuma 1. tabulas</w:t>
            </w:r>
            <w:r w:rsidR="00032BB1" w:rsidRPr="00564B0E">
              <w:t xml:space="preserve"> 25.1. – 25.4.punkts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Komisijas 2003.gada 7.jūlija Regula (EK) Nr.1216/2003, ar ko ievieš Eiropas Parlamenta un Padomes Regulu (EK) Nr.450/2003 par darbaspēka izmaksu indeksu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15.2.punkts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Eiropas Parlamenta un Padomes 2003.gada 16.jūnija Regula (EK) Nr.1267/2003, ar ko Padomes Regulu (EK) Nr.2223/96 groza attiecībā uz nacionālo kontu galveno rādītāju nosūtīšanas termiņu, atkāpēm saistībā ar nacionālo kontu galveno rādītāju nosūtīšanu un nodarbinātības datu nosūtīšanu nostrādāto stundu izteiksmē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5352F0">
            <w:r>
              <w:t>pielikuma 1. tabulas</w:t>
            </w:r>
            <w:r w:rsidR="00032BB1" w:rsidRPr="00564B0E">
              <w:t xml:space="preserve"> 1.1</w:t>
            </w:r>
            <w:r w:rsidR="005352F0">
              <w:t>6</w:t>
            </w:r>
            <w:r w:rsidR="00032BB1" w:rsidRPr="00564B0E">
              <w:t>., 1.</w:t>
            </w:r>
            <w:r w:rsidR="005352F0">
              <w:t>19</w:t>
            </w:r>
            <w:r w:rsidR="00032BB1" w:rsidRPr="00564B0E">
              <w:t>.1. un 1.2</w:t>
            </w:r>
            <w:r w:rsidR="005352F0">
              <w:t>0</w:t>
            </w:r>
            <w:r w:rsidR="00032BB1" w:rsidRPr="00564B0E">
              <w:t>.1.punkts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t xml:space="preserve">Padomes 2003.gada 15.jūlija Regula (EK, </w:t>
            </w:r>
            <w:proofErr w:type="spellStart"/>
            <w:r w:rsidRPr="00564B0E">
              <w:t>Euratom</w:t>
            </w:r>
            <w:proofErr w:type="spellEnd"/>
            <w:r w:rsidRPr="00564B0E">
              <w:t>) Nr.1287/2003 par to, kā saskaņot nacionālo kopienākumu tirgus cenās (NKI regula)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44611C">
            <w:r>
              <w:t>pielikuma 1. tabulas</w:t>
            </w:r>
            <w:r w:rsidR="00032BB1" w:rsidRPr="00564B0E">
              <w:t xml:space="preserve"> 1.1</w:t>
            </w:r>
            <w:r w:rsidR="0044611C">
              <w:t>7</w:t>
            </w:r>
            <w:r w:rsidR="00032BB1" w:rsidRPr="00564B0E">
              <w:t>.punkts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564B0E" w:rsidRDefault="00032BB1" w:rsidP="0078006F">
            <w:r w:rsidRPr="00564B0E">
              <w:rPr>
                <w:spacing w:val="-2"/>
              </w:rPr>
              <w:t>Neparedz stingrākas prasības</w:t>
            </w:r>
          </w:p>
        </w:tc>
      </w:tr>
      <w:tr w:rsidR="00032BB1" w:rsidRPr="00331B85"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032BB1" w:rsidRPr="00564B0E" w:rsidRDefault="00032BB1" w:rsidP="00F82D1A">
            <w:r w:rsidRPr="00564B0E">
              <w:t>Komisijas 2003.gada 31.jūlija Regula (EK) Nr.1358/2003, ar ko īsteno Eiropas Parlamenta un Padomes Regulu (EK) Nr.437/2003 par statistikas pārskatiem attiecībā uz pasažieru, kravu un pasta gaisa pārvadājumiem un ar ko groza tās I un II pielikumu (Dokuments attiecas uz EEZ)</w:t>
            </w:r>
          </w:p>
        </w:tc>
        <w:tc>
          <w:tcPr>
            <w:tcW w:w="1842" w:type="dxa"/>
            <w:tcBorders>
              <w:top w:val="outset" w:sz="6" w:space="0" w:color="auto"/>
              <w:left w:val="outset" w:sz="6" w:space="0" w:color="auto"/>
              <w:bottom w:val="outset" w:sz="6" w:space="0" w:color="auto"/>
              <w:right w:val="outset" w:sz="6" w:space="0" w:color="auto"/>
            </w:tcBorders>
          </w:tcPr>
          <w:p w:rsidR="00032BB1" w:rsidRPr="00564B0E" w:rsidRDefault="00F35A00" w:rsidP="0078006F">
            <w:r>
              <w:t>pielikuma 1. tabulas</w:t>
            </w:r>
            <w:r w:rsidR="00032BB1" w:rsidRPr="00564B0E">
              <w:t xml:space="preserve"> 25.6.punkts</w:t>
            </w:r>
          </w:p>
        </w:tc>
        <w:tc>
          <w:tcPr>
            <w:tcW w:w="1985" w:type="dxa"/>
            <w:tcBorders>
              <w:top w:val="outset" w:sz="6" w:space="0" w:color="auto"/>
              <w:left w:val="outset" w:sz="6" w:space="0" w:color="auto"/>
              <w:bottom w:val="outset" w:sz="6" w:space="0" w:color="auto"/>
              <w:right w:val="outset" w:sz="6" w:space="0" w:color="auto"/>
            </w:tcBorders>
          </w:tcPr>
          <w:p w:rsidR="00032BB1" w:rsidRPr="00564B0E" w:rsidRDefault="00032BB1"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032BB1" w:rsidRPr="00331B85" w:rsidRDefault="00032BB1" w:rsidP="0078006F">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2003.gada 21.oktobra Regula (EK) Nr.1980/2003, ar ko īsteno Eiropas Parlamenta un Padomes Regulu (EK) Nr.1177/2003 attiecībā uz Kopienas statistiku par ienākumiem un dzīves apstākļiem (EU-SILC) attiecībā uz definīcijām un atjauninātām definīcijām (Dokuments attiecas uz EEZ)</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pPr>
              <w:rPr>
                <w:bCs/>
                <w:color w:val="000000"/>
              </w:rPr>
            </w:pPr>
            <w:r>
              <w:rPr>
                <w:bCs/>
                <w:color w:val="000000"/>
              </w:rPr>
              <w:t>pielikuma 1. tabulas</w:t>
            </w:r>
            <w:r w:rsidR="00F61D3B" w:rsidRPr="00564B0E">
              <w:rPr>
                <w:bCs/>
                <w:color w:val="000000"/>
              </w:rPr>
              <w:t xml:space="preserve"> 11.1.punkts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170890">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2003.gada 21.oktobra Regula (EK) Nr.1981/2003, ar ko īsteno Eiropas Parlamenta un Padomes Regulu (EK) Nr.1177/2003 par Kopienas statistiku par ienākumiem un dzīves apstākļiem (EU-SILC) attiecībā uz faktiskā darba aspektiem un aprēķināšanas procedūrām (Dokuments attiecas uz EEZ)</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170890">
            <w:pPr>
              <w:rPr>
                <w:bCs/>
                <w:color w:val="000000"/>
              </w:rPr>
            </w:pPr>
            <w:r>
              <w:rPr>
                <w:bCs/>
                <w:color w:val="000000"/>
              </w:rPr>
              <w:t>pielikuma 1. tabulas</w:t>
            </w:r>
            <w:r w:rsidR="00F61D3B" w:rsidRPr="00564B0E">
              <w:rPr>
                <w:bCs/>
                <w:color w:val="000000"/>
              </w:rPr>
              <w:t xml:space="preserve"> 11.1.punkts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170890">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2003.gada 21.oktobra Regula (EK) Nr.1982/2003, ar ko īsteno Eiropas Parlamenta un Padomes Regulu (EK) Nr.1177/2003 par Kopienas statistiku par ienākumiem un dzīves apstākļiem (EU-SILC) attiecībā uz izlasi un reģistrācijas noteikumiem (Dokuments attiecas uz EEZ)</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170890">
            <w:pPr>
              <w:rPr>
                <w:bCs/>
                <w:color w:val="000000"/>
              </w:rPr>
            </w:pPr>
            <w:r>
              <w:rPr>
                <w:bCs/>
                <w:color w:val="000000"/>
              </w:rPr>
              <w:t>pielikuma 1. tabulas</w:t>
            </w:r>
            <w:r w:rsidR="00F61D3B" w:rsidRPr="00564B0E">
              <w:rPr>
                <w:bCs/>
                <w:color w:val="000000"/>
              </w:rPr>
              <w:t xml:space="preserve"> 11.1.punkts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170890">
            <w:r w:rsidRPr="00564B0E">
              <w:rPr>
                <w:spacing w:val="-2"/>
              </w:rPr>
              <w:t>Neparedz stingrākas prasības</w:t>
            </w:r>
          </w:p>
        </w:tc>
      </w:tr>
      <w:tr w:rsidR="00F61D3B" w:rsidRPr="00F61D3B"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2003.gada 7.novembra Regula (EK) Nr.1983/2003, ar ko īsteno Eiropas Parlamenta un Padomes Regulu (EK) Nr.1177/2003 par Kopienas statistiku par ienākumiem un dzīves apstākļiem (EU-SILC) attiecībā uz primāro mērķa mainīgo lielumu sarakstu (Dokuments attiecas uz EEZ)</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170890">
            <w:pPr>
              <w:rPr>
                <w:bCs/>
                <w:color w:val="000000"/>
              </w:rPr>
            </w:pPr>
            <w:r>
              <w:rPr>
                <w:bCs/>
                <w:color w:val="000000"/>
              </w:rPr>
              <w:t>pielikuma 1. tabulas</w:t>
            </w:r>
            <w:r w:rsidR="00F61D3B" w:rsidRPr="00564B0E">
              <w:rPr>
                <w:bCs/>
                <w:color w:val="000000"/>
              </w:rPr>
              <w:t xml:space="preserve"> 11.1.punkts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17089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331B85" w:rsidRDefault="00F61D3B" w:rsidP="00170890">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Eiropas Parlamenta un Padomes 2002.gada 12.februāra Regula (EK) Nr.359/2002, ar ko Padomes Regulu (EK) Nr.2223/96 groza attiecībā uz EKS 95 lietošanu, lai noteiktu dalībvalstu iemaksas pašu resursos no PVN</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4D59C7">
            <w:r>
              <w:t>pielikuma 1. tabulas</w:t>
            </w:r>
            <w:r w:rsidR="00F61D3B" w:rsidRPr="00564B0E">
              <w:t xml:space="preserve"> 1.1</w:t>
            </w:r>
            <w:r w:rsidR="004D59C7">
              <w:t>7</w:t>
            </w:r>
            <w:r w:rsidR="00F61D3B" w:rsidRPr="00564B0E">
              <w:t>. un 1.1</w:t>
            </w:r>
            <w:r w:rsidR="004D59C7">
              <w:t>8</w:t>
            </w:r>
            <w:r w:rsidR="00F61D3B" w:rsidRPr="00564B0E">
              <w:t>.punkts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2002.gada 23.oktobra Regula (EK) Nr.1889/2002 par to, kā īstenot Padomes Regulu (EK) Nr.448/98, ar ko papildina un groza Regulu (EK) Nr.2223/96 attiecībā uz netieši novērtēto finanšu starpniecības pakalpojumu (FISIM) iedalīšanu Eiropas nacionālo un reģionālo kontu sistēmā (EKS) (Dokuments attiecas uz EEZ)</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8C543C">
            <w:r>
              <w:t>pielikuma 1. tabulas</w:t>
            </w:r>
            <w:r w:rsidR="00F61D3B" w:rsidRPr="00564B0E">
              <w:t xml:space="preserve"> 1.1., 1.3., 1.13., 1.1</w:t>
            </w:r>
            <w:r w:rsidR="008C543C">
              <w:t>5</w:t>
            </w:r>
            <w:r w:rsidR="00F61D3B" w:rsidRPr="00564B0E">
              <w:t>.</w:t>
            </w:r>
            <w:r w:rsidR="008C543C">
              <w:t xml:space="preserve"> – </w:t>
            </w:r>
            <w:r w:rsidR="00F61D3B" w:rsidRPr="00564B0E">
              <w:t>1.1</w:t>
            </w:r>
            <w:r w:rsidR="008C543C">
              <w:t>7</w:t>
            </w:r>
            <w:r w:rsidR="00F61D3B" w:rsidRPr="00564B0E">
              <w:t>., 1.</w:t>
            </w:r>
            <w:r w:rsidR="008C543C">
              <w:t>19</w:t>
            </w:r>
            <w:r w:rsidR="00F61D3B" w:rsidRPr="00564B0E">
              <w:t>.2. un 1.2</w:t>
            </w:r>
            <w:r w:rsidR="008C543C">
              <w:t>0</w:t>
            </w:r>
            <w:r w:rsidR="00F61D3B" w:rsidRPr="00564B0E">
              <w:t>.2.punkts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331B85"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Eiropas Parlamenta un Padomes 2002.gada 8.oktobra Regula (EK) Nr.1991/2002 par grozījumiem Padomes Regulā (EK) Nr.577/98 par darbaspēka izlases veida apsekojuma organizēšanu Kopienā</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16.1.punkts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331B85" w:rsidRDefault="00F61D3B" w:rsidP="0078006F">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2002.gada 28.novembra Regula (EK) Nr.2104/2002, ar kuru tiek pielāgotas Padomes Regula (EK) Nr.577/98 par darbaspēka izlases veida apsekojuma organizēšanu Kopienā un Komisijas Regula (EK) Nr.1575/2000, ar ko ievieš Padomes Regulu (EK) Nr.577/98 attiecībā uz izglītības un apmācības mainīgo lielumu sarakstu un to kodifikāciju, kuri jāizmanto datu pārsūtīšanā, sākot ar 2003.gadu</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16.1.punkts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2002.gada 20. decembra Regula (EK) Nr.2306/2002, ar ko nosaka sīki izstrādātus noteikumus Padomes Regulas (EK) Nr.104/2000 piemērošanai attiecībā uz paziņojumiem par ievesto zvejniecības produktu cenām</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8B5D94">
            <w:r>
              <w:t>pielikuma 1. tabulas</w:t>
            </w:r>
            <w:r w:rsidR="00F61D3B" w:rsidRPr="00564B0E">
              <w:t xml:space="preserve"> 5.6.punkts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2002.gada 20.decembra Regulas (EK) Nr.2371/2002 par zivsaimniecības resursu saglabāšanu un ilgtspējīgu izmantošanu saskaņā ar kopējo zivsaimniecības politiku 14.pants</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19.1.punkts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331B85" w:rsidTr="00AF6F4F">
        <w:trPr>
          <w:cantSplit/>
          <w:trHeight w:val="488"/>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 xml:space="preserve">Komisijas 2001.gada 26.marta Regula (EK) Nr.586/2001, ar ko attiecībā uz ražošanas </w:t>
            </w:r>
            <w:proofErr w:type="spellStart"/>
            <w:r w:rsidRPr="00564B0E">
              <w:t>pamatgrupējumu</w:t>
            </w:r>
            <w:proofErr w:type="spellEnd"/>
            <w:r w:rsidRPr="00564B0E">
              <w:t xml:space="preserve"> definēšanu īsteno Padomes Regulu (EK) Nr.1165/98 par īstermiņa statistiku</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15.1., 20.2. un 20.3.punkts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354"/>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2001.gada 22.maija Regula (EK) Nr.995/2001, ar kuru īsteno Eiropas Parlamenta un Padomes Regulu (EK) Nr.2516/2000, ar ko izdara izmaiņas Eiropas nacionālo un reģionālo kontu sistēmas Kopienā (ESA 95) kopējos principos attiecībā uz nodokļiem un sociālajām iemaksām</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1.6.punkts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 xml:space="preserve">Padomes 2000.gada 22.maija Regula (EK, </w:t>
            </w:r>
            <w:proofErr w:type="spellStart"/>
            <w:r w:rsidRPr="00564B0E">
              <w:t>Euratom</w:t>
            </w:r>
            <w:proofErr w:type="spellEnd"/>
            <w:r w:rsidRPr="00564B0E">
              <w:t xml:space="preserve">) Nr.1150/2000, ar ko īsteno Lēmumu 94/728/EK, </w:t>
            </w:r>
            <w:proofErr w:type="spellStart"/>
            <w:r w:rsidRPr="00564B0E">
              <w:t>Euratom</w:t>
            </w:r>
            <w:proofErr w:type="spellEnd"/>
            <w:r w:rsidRPr="00564B0E">
              <w:t xml:space="preserve"> par Kopienu pašu resursu sistēmu</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8C543C">
            <w:r>
              <w:t>pielikuma 1. tabulas</w:t>
            </w:r>
            <w:r w:rsidR="00F61D3B" w:rsidRPr="00564B0E">
              <w:t xml:space="preserve"> 1.1</w:t>
            </w:r>
            <w:r w:rsidR="008C543C">
              <w:t>7</w:t>
            </w:r>
            <w:r w:rsidR="00F61D3B" w:rsidRPr="00564B0E">
              <w:t>. un 1.1</w:t>
            </w:r>
            <w:r w:rsidR="008C543C">
              <w:t>8</w:t>
            </w:r>
            <w:r w:rsidR="00F61D3B" w:rsidRPr="00564B0E">
              <w:t>.punkts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331B85"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2000.gada 7.septembra Regula (EK) Nr.1897/2000, ar ko īsteno Padomes Regulu (EK) Nr.577/98 par darbaspēka izlases veida apsekojuma organizēšanu Kopienā attiecībā uz darbības definīciju bezdarbam</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16.1.punkts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A22E31">
            <w:r w:rsidRPr="00564B0E">
              <w:t>Eiropas Parlamenta un Padomes 2000.gada 7.novembra Regula (EK) Nr.2516/2000, ar ko izdara izmaiņas Eiropas nacionālo un reģionālo kontu sistēmas Kopienā (ESA 95) kopējos principos attiecībā uz nodokļiem un sociālajām iemaksām un groza Padomes Regulu (EK) Nr.2223/96</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1.6.punkts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465443">
        <w:trPr>
          <w:cantSplit/>
          <w:trHeight w:val="410"/>
        </w:trPr>
        <w:tc>
          <w:tcPr>
            <w:tcW w:w="4395" w:type="dxa"/>
            <w:tcBorders>
              <w:top w:val="outset" w:sz="6" w:space="0" w:color="auto"/>
              <w:left w:val="outset" w:sz="6" w:space="0" w:color="auto"/>
              <w:bottom w:val="outset" w:sz="6" w:space="0" w:color="auto"/>
              <w:right w:val="outset" w:sz="6" w:space="0" w:color="auto"/>
            </w:tcBorders>
            <w:shd w:val="clear" w:color="auto" w:fill="auto"/>
          </w:tcPr>
          <w:p w:rsidR="00F61D3B" w:rsidRPr="00564B0E" w:rsidRDefault="00F61D3B" w:rsidP="0078006F">
            <w:r w:rsidRPr="00564B0E">
              <w:t>Padomes 1999. gada 9.marta Regula (EK) Nr.530/1999 par strukturālo statistiku attiecībā uz izpeļņu un darbaspēka izmaksām</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F61D3B" w:rsidRPr="00564B0E" w:rsidRDefault="00F35A00" w:rsidP="0078006F">
            <w:r>
              <w:t>pielikuma 1. tabulas</w:t>
            </w:r>
            <w:r w:rsidR="00F61D3B" w:rsidRPr="00564B0E">
              <w:t xml:space="preserve"> 15.5.punkts</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shd w:val="clear" w:color="auto" w:fill="auto"/>
          </w:tcPr>
          <w:p w:rsidR="00F61D3B" w:rsidRPr="00564B0E" w:rsidRDefault="00F61D3B" w:rsidP="0078006F">
            <w:r w:rsidRPr="00564B0E">
              <w:rPr>
                <w:spacing w:val="-2"/>
              </w:rPr>
              <w:t>Neparedz stingrākas prasības</w:t>
            </w:r>
          </w:p>
        </w:tc>
      </w:tr>
      <w:tr w:rsidR="00F61D3B" w:rsidRPr="00564B0E"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1998.gada 16.februāra Regula (EK) Nr.448/98, ar ko papildina un groza Regulu (EK) Nr.2223/96 attiecībā uz netieši novērtēto finanšu starpniecības pakalpojumu (FISIM) iedalīšanu Eiropas nacionālo un reģionālo kontu sistēmā (EKS)</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1.22.punkts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1998.gada 9.marta Regula (EK) Nr.577/98 par darbaspēka izlases veida apsekojuma organizēšanu Kopienā</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16.1.punkts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5D6E40">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t>Padomes Regula (EK) Nr.1165/98 (1998.gada 19.maijs) par īstermiņa statistiku</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A22E31">
            <w:r>
              <w:t>pielikuma 1. tabulas</w:t>
            </w:r>
            <w:r w:rsidR="00F61D3B" w:rsidRPr="00564B0E">
              <w:t xml:space="preserve"> 15.1., 20.2. – 20.4., 22.1. – 22.6.punkts </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5D6E4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rPr>
                <w:spacing w:val="-2"/>
              </w:rPr>
              <w:t>Neparedz stingrākas prasības</w:t>
            </w:r>
          </w:p>
        </w:tc>
      </w:tr>
      <w:tr w:rsidR="00F61D3B" w:rsidRPr="00564B0E" w:rsidTr="005D6E40">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t>Padomes Regulas (EK) Nr.1165/98 (1998.gada 19.maijs) par īstermiņa statistiku A pielikums</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5D6E40">
            <w:pPr>
              <w:spacing w:after="120"/>
              <w:rPr>
                <w:spacing w:val="-2"/>
              </w:rPr>
            </w:pPr>
            <w:r>
              <w:t>pielikuma 1. tabulas</w:t>
            </w:r>
            <w:r w:rsidR="00F61D3B" w:rsidRPr="00564B0E">
              <w:t xml:space="preserve"> </w:t>
            </w:r>
            <w:r w:rsidR="00F61D3B" w:rsidRPr="00564B0E">
              <w:rPr>
                <w:spacing w:val="-2"/>
              </w:rPr>
              <w:t xml:space="preserve">5.2.punkts </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5D6E4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rPr>
                <w:spacing w:val="-2"/>
              </w:rPr>
              <w:t>Neparedz stingrākas prasības</w:t>
            </w:r>
          </w:p>
        </w:tc>
      </w:tr>
      <w:tr w:rsidR="00F61D3B" w:rsidRPr="00564B0E" w:rsidTr="005D6E40">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t>Padomes Regulas (EK) Nr.1165/98 (1998.gada 19.maijs) par īstermiņa statistiku B pielikums</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5D6E40">
            <w:pPr>
              <w:spacing w:after="120"/>
              <w:rPr>
                <w:spacing w:val="-2"/>
              </w:rPr>
            </w:pPr>
            <w:r>
              <w:t>pielikuma 1. tabulas</w:t>
            </w:r>
            <w:r w:rsidR="00F61D3B" w:rsidRPr="00564B0E">
              <w:t xml:space="preserve"> </w:t>
            </w:r>
            <w:r w:rsidR="00F61D3B" w:rsidRPr="00564B0E">
              <w:rPr>
                <w:spacing w:val="-2"/>
              </w:rPr>
              <w:t>5.3.punkts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5D6E4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rPr>
                <w:spacing w:val="-2"/>
              </w:rPr>
              <w:t>Neparedz stingrākas prasības</w:t>
            </w:r>
          </w:p>
        </w:tc>
      </w:tr>
      <w:tr w:rsidR="00F61D3B" w:rsidRPr="00564B0E" w:rsidTr="005D6E40">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t>Padomes Regulas (EK) Nr.1165/98 (1998.gada 19.maijs) par īstermiņa statistiku C pielikums</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A22E31">
            <w:pPr>
              <w:spacing w:after="120"/>
              <w:rPr>
                <w:spacing w:val="-2"/>
              </w:rPr>
            </w:pPr>
            <w:r>
              <w:t>pielikuma 1. tabulas</w:t>
            </w:r>
            <w:r w:rsidR="00F61D3B" w:rsidRPr="00564B0E">
              <w:t xml:space="preserve"> </w:t>
            </w:r>
            <w:r w:rsidR="00F61D3B" w:rsidRPr="00564B0E">
              <w:rPr>
                <w:spacing w:val="-2"/>
              </w:rPr>
              <w:t>24.1. – 24.3.punkts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5D6E40">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5D6E40">
            <w:r w:rsidRPr="00564B0E">
              <w:rPr>
                <w:spacing w:val="-2"/>
              </w:rPr>
              <w:t>Neparedz stingrākas prasības</w:t>
            </w:r>
          </w:p>
        </w:tc>
      </w:tr>
      <w:tr w:rsidR="00F61D3B" w:rsidRPr="00331B85"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1996. gada 9. decembra Regula (EK) Nr.338/97 par savvaļas dzīvnieku un augu sugu aizsardzību, reglamentējot to tirdzniecību</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370F84">
            <w:r>
              <w:t>pielikuma 1. tabulas</w:t>
            </w:r>
            <w:r w:rsidR="00F61D3B" w:rsidRPr="00564B0E">
              <w:t xml:space="preserve"> 28.14. un 28.15</w:t>
            </w:r>
            <w:r w:rsidR="00F61D3B" w:rsidRPr="00564B0E">
              <w:rPr>
                <w:spacing w:val="-2"/>
              </w:rPr>
              <w:t>.punkts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1996.gada 25.jūnija Regula (EK) Nr.2223/96 par Eiropas nacionālo un reģionālo kontu sistēmu Kopienā</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8C543C">
            <w:r>
              <w:t>pielikuma 1. tabulas</w:t>
            </w:r>
            <w:r w:rsidR="00F61D3B" w:rsidRPr="00564B0E">
              <w:t xml:space="preserve"> 1.1., 1.2., 1.4. – 1.11., 1.13. – 1.1</w:t>
            </w:r>
            <w:r w:rsidR="008C543C">
              <w:t>7</w:t>
            </w:r>
            <w:r w:rsidR="00F61D3B" w:rsidRPr="00564B0E">
              <w:t>., 1.</w:t>
            </w:r>
            <w:r w:rsidR="008C543C">
              <w:t>19</w:t>
            </w:r>
            <w:r w:rsidR="00F61D3B" w:rsidRPr="00564B0E">
              <w:t>.1., 1.2</w:t>
            </w:r>
            <w:r w:rsidR="008C543C">
              <w:t>0</w:t>
            </w:r>
            <w:r w:rsidR="00F61D3B" w:rsidRPr="00564B0E">
              <w:t>.1., 1.2</w:t>
            </w:r>
            <w:r w:rsidR="008C543C">
              <w:t>3</w:t>
            </w:r>
            <w:r w:rsidR="00F61D3B" w:rsidRPr="00564B0E">
              <w:t>., 1.2</w:t>
            </w:r>
            <w:r w:rsidR="008C543C">
              <w:t>6</w:t>
            </w:r>
            <w:r w:rsidR="00F61D3B" w:rsidRPr="00564B0E">
              <w:t>.,1.2</w:t>
            </w:r>
            <w:r w:rsidR="008C543C">
              <w:t>8</w:t>
            </w:r>
            <w:r w:rsidR="00F61D3B" w:rsidRPr="00564B0E">
              <w:t>. – 1.3</w:t>
            </w:r>
            <w:r w:rsidR="008C543C">
              <w:t>0</w:t>
            </w:r>
            <w:r w:rsidR="00F61D3B" w:rsidRPr="00564B0E">
              <w:t>., 5.13., 23.1 – 23.3. un 23.4.2.punkts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1995.gada 23.oktobra Regula (EK) Nr.2494/95 par saskaņotajiem patēriņa cenu indeksiem</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5.1.punkts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410"/>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1993.gada 15.marta Regula (EEK) Nr.696/93 par statistikas vienībām ražošanas sistēmas novērošanai un analīzei Kopienā</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A22E31">
            <w:r>
              <w:t>pielikuma 1. tabulas</w:t>
            </w:r>
            <w:r w:rsidR="00F61D3B" w:rsidRPr="00564B0E">
              <w:t xml:space="preserve"> 13.1. – 13.4.punkts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331B85"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Padomes 1991.gada 19.decembra Regula (EEK) Nr.3924/91 par rūpnieciskās ražošanas Kopienas apsekojuma izveidi</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20.1.punkts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 xml:space="preserve">Padomes 1989.gada 29.maija Regula (EEK, </w:t>
            </w:r>
            <w:proofErr w:type="spellStart"/>
            <w:r w:rsidRPr="00564B0E">
              <w:t>Euratom</w:t>
            </w:r>
            <w:proofErr w:type="spellEnd"/>
            <w:r w:rsidRPr="00564B0E">
              <w:t>) Nr.1553/89 par galīgajiem vienotajiem pasākumiem, lai iekasētu pašu resursus, ko veido pievienotās vērtības nodokļi</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CC2C18">
            <w:r>
              <w:t>pielikuma 1. tabulas</w:t>
            </w:r>
            <w:r w:rsidR="00F61D3B" w:rsidRPr="00564B0E">
              <w:t xml:space="preserve"> 1.1</w:t>
            </w:r>
            <w:r w:rsidR="00CC2C18">
              <w:t>7</w:t>
            </w:r>
            <w:r w:rsidR="00F61D3B" w:rsidRPr="00564B0E">
              <w:t>.punkts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Komisijas 1987.gada 22.decembra Regula (EEK) Nr.3987/87, ar ko kombinētās nomenklatūras ieviešanas rezultātā groza dažādas regulas, kas nodrošina tirgu kopīgas organizācijas vienotu īstenošanu olu un mājputnu gaļas nozarē</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17.9.punkts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564B0E"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t xml:space="preserve">Padomes 1968.gada 29.februāra Regulas (EEK, </w:t>
            </w:r>
            <w:proofErr w:type="spellStart"/>
            <w:r w:rsidRPr="00564B0E">
              <w:t>Euratom</w:t>
            </w:r>
            <w:proofErr w:type="spellEnd"/>
            <w:r w:rsidRPr="00564B0E">
              <w:t>, EOTK) Nr.259/68, ar ko nosaka Eiropas Kopienu Civildienesta noteikumus 65.paragrāfs</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78006F">
            <w:r>
              <w:t>pielikuma 1. tabulas</w:t>
            </w:r>
            <w:r w:rsidR="00F61D3B" w:rsidRPr="00564B0E">
              <w:t xml:space="preserve"> 15.3.punkts </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r w:rsidRPr="00564B0E">
              <w:rPr>
                <w:spacing w:val="-2"/>
              </w:rPr>
              <w:t>Neparedz stingrākas prasības</w:t>
            </w:r>
          </w:p>
        </w:tc>
      </w:tr>
      <w:tr w:rsidR="00F61D3B" w:rsidRPr="00331B85"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365AB9">
            <w:r w:rsidRPr="00564B0E">
              <w:t>Eiropas Centrālās bankas 2004.gada 16.jūlija Pamatnostādne par Eiropas Centrālās bankas prasībām attiecībā uz statistikas pārskatiem maksājumu bilances un starptautisko investīciju bilances statistikas jomā, kā arī starptautisko rezervju matricu (ECB/2004/15) (2004/808/EK)</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9B7B8B">
            <w:r>
              <w:t>pielikuma 1. tabulas</w:t>
            </w:r>
            <w:r w:rsidR="00F61D3B" w:rsidRPr="00564B0E">
              <w:t xml:space="preserve"> 2.1.</w:t>
            </w:r>
            <w:r w:rsidR="009B7B8B" w:rsidRPr="00564B0E">
              <w:t> –</w:t>
            </w:r>
            <w:r w:rsidR="00F61D3B" w:rsidRPr="00564B0E">
              <w:t xml:space="preserve"> 2.4., 2.6., 2.7., 2.9.</w:t>
            </w:r>
            <w:r w:rsidR="009B7B8B" w:rsidRPr="00564B0E">
              <w:t> –</w:t>
            </w:r>
            <w:r w:rsidR="00F61D3B" w:rsidRPr="00564B0E">
              <w:t xml:space="preserve"> 2.11.punkts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331B85" w:rsidRDefault="00F61D3B" w:rsidP="0078006F">
            <w:pPr>
              <w:rPr>
                <w:spacing w:val="-2"/>
              </w:rPr>
            </w:pPr>
            <w:r w:rsidRPr="00564B0E">
              <w:rPr>
                <w:spacing w:val="-2"/>
              </w:rPr>
              <w:t>Neparedz stingrākas prasības</w:t>
            </w:r>
          </w:p>
        </w:tc>
      </w:tr>
      <w:tr w:rsidR="00F61D3B" w:rsidRPr="00564B0E"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365AB9">
            <w:r w:rsidRPr="00564B0E">
              <w:t>Eiropas Centrālās bankas 2005.gada 17.novembra Pamatnostādne, ar ko groza Pamatnostādni ECB/2002/7 par Eiropas Centrālās bankas statistikas ziņošanas prasībām ceturkšņa finanšu kontu jomā (ECB/2005/13) (2006/43/EK)</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CC2C18">
            <w:r>
              <w:t>pielikuma 1. tabulas</w:t>
            </w:r>
            <w:r w:rsidR="00F61D3B" w:rsidRPr="00564B0E">
              <w:t xml:space="preserve"> 1.2</w:t>
            </w:r>
            <w:r w:rsidR="00CC2C18">
              <w:t>4</w:t>
            </w:r>
            <w:r w:rsidR="00F61D3B" w:rsidRPr="00564B0E">
              <w:t>.punkts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pPr>
              <w:rPr>
                <w:spacing w:val="-2"/>
              </w:rPr>
            </w:pPr>
            <w:r w:rsidRPr="00564B0E">
              <w:rPr>
                <w:spacing w:val="-2"/>
              </w:rPr>
              <w:t>Neparedz stingrākas prasības</w:t>
            </w:r>
          </w:p>
        </w:tc>
      </w:tr>
      <w:tr w:rsidR="00F61D3B" w:rsidRPr="00564B0E"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365AB9">
            <w:r w:rsidRPr="00564B0E">
              <w:t>Eiropas Centrālās bankas 2007.gada 31.maija Pamatnostādne, ar ko groza Pamatnostādni ECB/2004/15 par Eiropas Centrālās bankas prasībām attiecībā uz statistikas pārskatiem maksājumu bilances un starptautisko investīciju bilances statistikas jomā, kā arī starptautisko rezervju matricu (ECB/2007/3) (2007/426/EK)</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9B7B8B">
            <w:r>
              <w:t>pielikuma 1. tabulas</w:t>
            </w:r>
            <w:r w:rsidR="009B7B8B" w:rsidRPr="00564B0E">
              <w:t xml:space="preserve"> 2.1. –</w:t>
            </w:r>
            <w:r w:rsidR="00F61D3B" w:rsidRPr="00564B0E">
              <w:t xml:space="preserve">  2.4., 2.6., 2.7., 2.9.</w:t>
            </w:r>
            <w:r w:rsidR="009B7B8B" w:rsidRPr="00564B0E">
              <w:t> –</w:t>
            </w:r>
            <w:r w:rsidR="00F61D3B" w:rsidRPr="00564B0E">
              <w:t xml:space="preserve"> 2.11.punkts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pPr>
              <w:rPr>
                <w:spacing w:val="-2"/>
              </w:rPr>
            </w:pPr>
            <w:r w:rsidRPr="00564B0E">
              <w:rPr>
                <w:spacing w:val="-2"/>
              </w:rPr>
              <w:t>Neparedz stingrākas prasības</w:t>
            </w:r>
          </w:p>
        </w:tc>
      </w:tr>
      <w:tr w:rsidR="00F61D3B" w:rsidRPr="00564B0E"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365AB9">
            <w:r w:rsidRPr="00564B0E">
              <w:t>Eiropas Centrālās bankas 2007.gada 1.augusta Pamatnostādne par monetāro, finanšu iestāžu un tirgu statistiku (pārstrādāta) (ECB/2007/9) (2007/830/EK)</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9B7B8B">
            <w:r>
              <w:t>pielikuma 1. tabulas</w:t>
            </w:r>
            <w:r w:rsidR="00F61D3B" w:rsidRPr="00564B0E">
              <w:t xml:space="preserve"> 3.8.</w:t>
            </w:r>
            <w:r w:rsidR="009B7B8B" w:rsidRPr="00564B0E">
              <w:t> –</w:t>
            </w:r>
            <w:r w:rsidR="00F61D3B" w:rsidRPr="00564B0E">
              <w:t xml:space="preserve"> 3.10.punkts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564B0E" w:rsidRDefault="00F61D3B" w:rsidP="0078006F">
            <w:pPr>
              <w:rPr>
                <w:spacing w:val="-2"/>
              </w:rPr>
            </w:pPr>
            <w:r w:rsidRPr="00564B0E">
              <w:rPr>
                <w:spacing w:val="-2"/>
              </w:rPr>
              <w:t>Neparedz stingrākas prasības</w:t>
            </w:r>
          </w:p>
        </w:tc>
      </w:tr>
      <w:tr w:rsidR="00F61D3B" w:rsidRPr="00331B85"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365AB9">
            <w:r w:rsidRPr="00564B0E">
              <w:t>Eiropas Centrālās bankas 2008.gada 19.decembra Pamatnostādne, ar ko groza Pamatnostādni ECB/2007/9 par monetāro, finanšu iestāžu un tirgu statistiku (pārstrādāta redakcija) (ECB/2008/31) (2009/160/EK)</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365AB9">
            <w:r>
              <w:t>pielikuma 1. tabulas</w:t>
            </w:r>
            <w:r w:rsidR="00F61D3B" w:rsidRPr="00564B0E">
              <w:t xml:space="preserve"> 3.8.punkts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331B85" w:rsidRDefault="00F61D3B" w:rsidP="0078006F">
            <w:pPr>
              <w:rPr>
                <w:spacing w:val="-2"/>
              </w:rPr>
            </w:pPr>
            <w:r w:rsidRPr="00564B0E">
              <w:rPr>
                <w:spacing w:val="-2"/>
              </w:rPr>
              <w:t>Neparedz stingrākas prasības</w:t>
            </w:r>
          </w:p>
        </w:tc>
      </w:tr>
      <w:tr w:rsidR="00F61D3B" w:rsidRPr="00331B85" w:rsidTr="00AF6F4F">
        <w:trPr>
          <w:cantSplit/>
          <w:trHeight w:val="346"/>
        </w:trPr>
        <w:tc>
          <w:tcPr>
            <w:tcW w:w="4395" w:type="dxa"/>
            <w:tcBorders>
              <w:top w:val="outset" w:sz="6" w:space="0" w:color="auto"/>
              <w:left w:val="outset" w:sz="6" w:space="0" w:color="auto"/>
              <w:bottom w:val="outset" w:sz="6" w:space="0" w:color="auto"/>
              <w:right w:val="outset" w:sz="6" w:space="0" w:color="auto"/>
            </w:tcBorders>
          </w:tcPr>
          <w:p w:rsidR="00F61D3B" w:rsidRPr="00564B0E" w:rsidRDefault="00F61D3B" w:rsidP="00365AB9">
            <w:r w:rsidRPr="00564B0E">
              <w:t>Eiropas Centrālās bankas 2009.gada 31.jūlija Pamatnostādne par valdības finanšu statistiku (pārstrādātā redakcija) (ECB/2009/20) (2009/627/EK)</w:t>
            </w:r>
          </w:p>
        </w:tc>
        <w:tc>
          <w:tcPr>
            <w:tcW w:w="1842" w:type="dxa"/>
            <w:tcBorders>
              <w:top w:val="outset" w:sz="6" w:space="0" w:color="auto"/>
              <w:left w:val="outset" w:sz="6" w:space="0" w:color="auto"/>
              <w:bottom w:val="outset" w:sz="6" w:space="0" w:color="auto"/>
              <w:right w:val="outset" w:sz="6" w:space="0" w:color="auto"/>
            </w:tcBorders>
          </w:tcPr>
          <w:p w:rsidR="00F61D3B" w:rsidRPr="00564B0E" w:rsidRDefault="00F35A00" w:rsidP="00365AB9">
            <w:r>
              <w:t>pielikuma 1. tabulas</w:t>
            </w:r>
            <w:r w:rsidR="00F61D3B" w:rsidRPr="00564B0E">
              <w:t xml:space="preserve"> 1.12.punkts</w:t>
            </w:r>
          </w:p>
        </w:tc>
        <w:tc>
          <w:tcPr>
            <w:tcW w:w="1985" w:type="dxa"/>
            <w:tcBorders>
              <w:top w:val="outset" w:sz="6" w:space="0" w:color="auto"/>
              <w:left w:val="outset" w:sz="6" w:space="0" w:color="auto"/>
              <w:bottom w:val="outset" w:sz="6" w:space="0" w:color="auto"/>
              <w:right w:val="outset" w:sz="6" w:space="0" w:color="auto"/>
            </w:tcBorders>
          </w:tcPr>
          <w:p w:rsidR="00F61D3B" w:rsidRPr="00564B0E" w:rsidRDefault="00F61D3B" w:rsidP="0078006F">
            <w:pPr>
              <w:spacing w:after="120"/>
              <w:rPr>
                <w:spacing w:val="-2"/>
              </w:rPr>
            </w:pPr>
            <w:r w:rsidRPr="00564B0E">
              <w:rPr>
                <w:spacing w:val="-2"/>
              </w:rPr>
              <w:t>Nodrošina A ailē minētā ES tiesību akta prasību piemērošanu</w:t>
            </w:r>
          </w:p>
        </w:tc>
        <w:tc>
          <w:tcPr>
            <w:tcW w:w="1994" w:type="dxa"/>
            <w:gridSpan w:val="2"/>
            <w:tcBorders>
              <w:top w:val="outset" w:sz="6" w:space="0" w:color="auto"/>
              <w:left w:val="outset" w:sz="6" w:space="0" w:color="auto"/>
              <w:bottom w:val="outset" w:sz="6" w:space="0" w:color="auto"/>
              <w:right w:val="outset" w:sz="6" w:space="0" w:color="auto"/>
            </w:tcBorders>
          </w:tcPr>
          <w:p w:rsidR="00F61D3B" w:rsidRPr="00331B85" w:rsidRDefault="00F61D3B" w:rsidP="0078006F">
            <w:pPr>
              <w:rPr>
                <w:spacing w:val="-2"/>
              </w:rPr>
            </w:pPr>
            <w:r w:rsidRPr="00564B0E">
              <w:rPr>
                <w:spacing w:val="-2"/>
              </w:rPr>
              <w:t>Neparedz stingrākas prasības</w:t>
            </w:r>
          </w:p>
        </w:tc>
      </w:tr>
      <w:tr w:rsidR="00F61D3B" w:rsidRPr="00331B85" w:rsidTr="00AF6F4F">
        <w:trPr>
          <w:cantSplit/>
          <w:trHeight w:val="281"/>
        </w:trPr>
        <w:tc>
          <w:tcPr>
            <w:tcW w:w="4395" w:type="dxa"/>
            <w:tcBorders>
              <w:top w:val="outset" w:sz="6" w:space="0" w:color="auto"/>
              <w:left w:val="outset" w:sz="6" w:space="0" w:color="auto"/>
              <w:bottom w:val="outset" w:sz="6" w:space="0" w:color="auto"/>
              <w:right w:val="outset" w:sz="6" w:space="0" w:color="auto"/>
            </w:tcBorders>
          </w:tcPr>
          <w:p w:rsidR="00F61D3B" w:rsidRPr="00331B85" w:rsidRDefault="00F61D3B" w:rsidP="0078006F">
            <w:pPr>
              <w:rPr>
                <w:spacing w:val="-3"/>
              </w:rPr>
            </w:pPr>
            <w:r w:rsidRPr="00331B85">
              <w:rPr>
                <w:spacing w:val="-3"/>
              </w:rPr>
              <w:t>Kā ir izmantota ES tiesību aktā paredzētā rīcības brīvība dalībvalstij pārņemt vai ieviest noteiktas ES tiesību akta normas?</w:t>
            </w:r>
          </w:p>
          <w:p w:rsidR="00F61D3B" w:rsidRPr="00331B85" w:rsidRDefault="00F61D3B" w:rsidP="0078006F">
            <w:pPr>
              <w:rPr>
                <w:spacing w:val="-3"/>
              </w:rPr>
            </w:pPr>
            <w:r w:rsidRPr="00331B85">
              <w:rPr>
                <w:spacing w:val="-3"/>
              </w:rPr>
              <w:t>Kādēļ?</w:t>
            </w:r>
          </w:p>
        </w:tc>
        <w:tc>
          <w:tcPr>
            <w:tcW w:w="5821" w:type="dxa"/>
            <w:gridSpan w:val="4"/>
            <w:tcBorders>
              <w:top w:val="outset" w:sz="6" w:space="0" w:color="auto"/>
              <w:left w:val="outset" w:sz="6" w:space="0" w:color="auto"/>
              <w:bottom w:val="outset" w:sz="6" w:space="0" w:color="auto"/>
              <w:right w:val="outset" w:sz="6" w:space="0" w:color="auto"/>
            </w:tcBorders>
          </w:tcPr>
          <w:p w:rsidR="00F61D3B" w:rsidRPr="00331B85" w:rsidRDefault="00F61D3B" w:rsidP="0078006F">
            <w:r w:rsidRPr="00331B85">
              <w:t>Noteikumu projekts šo jomu neskar.</w:t>
            </w:r>
          </w:p>
        </w:tc>
      </w:tr>
      <w:tr w:rsidR="00F61D3B" w:rsidRPr="00331B85" w:rsidTr="00AF6F4F">
        <w:trPr>
          <w:cantSplit/>
          <w:trHeight w:val="913"/>
        </w:trPr>
        <w:tc>
          <w:tcPr>
            <w:tcW w:w="4395" w:type="dxa"/>
            <w:tcBorders>
              <w:top w:val="outset" w:sz="6" w:space="0" w:color="auto"/>
              <w:left w:val="outset" w:sz="6" w:space="0" w:color="auto"/>
              <w:bottom w:val="outset" w:sz="6" w:space="0" w:color="auto"/>
              <w:right w:val="outset" w:sz="6" w:space="0" w:color="auto"/>
            </w:tcBorders>
          </w:tcPr>
          <w:p w:rsidR="00F61D3B" w:rsidRPr="00331B85" w:rsidRDefault="00F61D3B" w:rsidP="0078006F">
            <w:pPr>
              <w:rPr>
                <w:spacing w:val="-3"/>
              </w:rPr>
            </w:pPr>
            <w:r w:rsidRPr="00331B85">
              <w:rPr>
                <w:spacing w:val="-4"/>
              </w:rPr>
              <w:t>Saistības sniegt paziņojumu ES</w:t>
            </w:r>
            <w:r w:rsidR="00564B0E">
              <w:rPr>
                <w:spacing w:val="-4"/>
              </w:rPr>
              <w:t xml:space="preserve"> </w:t>
            </w:r>
            <w:r w:rsidRPr="00331B85">
              <w:rPr>
                <w:spacing w:val="-4"/>
              </w:rPr>
              <w:t>institūcijām un ES dalībvalstīm atbilstoši normatīvajiem aktiem, kas regulē informācijas sniegšanu par tehnisko noteikumu, valsts atbalsta piešķiršanas un finanšu noteikumu (attiecībā uz monetāro politiku) projektiem</w:t>
            </w:r>
          </w:p>
        </w:tc>
        <w:tc>
          <w:tcPr>
            <w:tcW w:w="5821" w:type="dxa"/>
            <w:gridSpan w:val="4"/>
            <w:tcBorders>
              <w:top w:val="outset" w:sz="6" w:space="0" w:color="auto"/>
              <w:left w:val="outset" w:sz="6" w:space="0" w:color="auto"/>
              <w:bottom w:val="outset" w:sz="6" w:space="0" w:color="auto"/>
              <w:right w:val="outset" w:sz="6" w:space="0" w:color="auto"/>
            </w:tcBorders>
          </w:tcPr>
          <w:p w:rsidR="00F61D3B" w:rsidRPr="00331B85" w:rsidRDefault="00F61D3B" w:rsidP="0078006F">
            <w:r w:rsidRPr="00331B85">
              <w:t>Skatīt V sadaļas 1.</w:t>
            </w:r>
            <w:r w:rsidR="00F35A00">
              <w:t> </w:t>
            </w:r>
            <w:r w:rsidRPr="00331B85">
              <w:t>tabulu</w:t>
            </w:r>
          </w:p>
        </w:tc>
      </w:tr>
      <w:tr w:rsidR="00F61D3B" w:rsidRPr="00331B85" w:rsidTr="00AF6F4F">
        <w:trPr>
          <w:cantSplit/>
          <w:trHeight w:val="579"/>
        </w:trPr>
        <w:tc>
          <w:tcPr>
            <w:tcW w:w="4395" w:type="dxa"/>
            <w:tcBorders>
              <w:top w:val="outset" w:sz="6" w:space="0" w:color="auto"/>
              <w:left w:val="outset" w:sz="6" w:space="0" w:color="auto"/>
              <w:bottom w:val="outset" w:sz="6" w:space="0" w:color="auto"/>
              <w:right w:val="outset" w:sz="6" w:space="0" w:color="auto"/>
            </w:tcBorders>
          </w:tcPr>
          <w:p w:rsidR="00F61D3B" w:rsidRPr="00331B85" w:rsidRDefault="00F61D3B" w:rsidP="0078006F">
            <w:r w:rsidRPr="00331B85">
              <w:t>Cita informācija</w:t>
            </w:r>
          </w:p>
        </w:tc>
        <w:tc>
          <w:tcPr>
            <w:tcW w:w="5821" w:type="dxa"/>
            <w:gridSpan w:val="4"/>
            <w:tcBorders>
              <w:top w:val="outset" w:sz="6" w:space="0" w:color="auto"/>
              <w:left w:val="outset" w:sz="6" w:space="0" w:color="auto"/>
              <w:bottom w:val="outset" w:sz="6" w:space="0" w:color="auto"/>
              <w:right w:val="outset" w:sz="6" w:space="0" w:color="auto"/>
            </w:tcBorders>
          </w:tcPr>
          <w:p w:rsidR="00F61D3B" w:rsidRPr="00331B85" w:rsidRDefault="00F61D3B" w:rsidP="0078006F">
            <w:r w:rsidRPr="00331B85">
              <w:t>Nav</w:t>
            </w:r>
          </w:p>
        </w:tc>
      </w:tr>
      <w:tr w:rsidR="00F61D3B" w:rsidRPr="00331B85" w:rsidTr="00AF6F4F">
        <w:trPr>
          <w:gridAfter w:val="1"/>
          <w:wAfter w:w="10" w:type="dxa"/>
          <w:trHeight w:val="20"/>
        </w:trPr>
        <w:tc>
          <w:tcPr>
            <w:tcW w:w="10206" w:type="dxa"/>
            <w:gridSpan w:val="4"/>
            <w:tcBorders>
              <w:top w:val="outset" w:sz="6" w:space="0" w:color="auto"/>
              <w:left w:val="outset" w:sz="6" w:space="0" w:color="auto"/>
              <w:bottom w:val="outset" w:sz="6" w:space="0" w:color="auto"/>
              <w:right w:val="outset" w:sz="6" w:space="0" w:color="auto"/>
            </w:tcBorders>
            <w:vAlign w:val="center"/>
          </w:tcPr>
          <w:p w:rsidR="00F61D3B" w:rsidRPr="00331B85" w:rsidRDefault="00F61D3B" w:rsidP="00C31E36">
            <w:pPr>
              <w:ind w:left="57"/>
              <w:jc w:val="center"/>
              <w:rPr>
                <w:b/>
              </w:rPr>
            </w:pPr>
            <w:r w:rsidRPr="00331B85">
              <w:rPr>
                <w:b/>
              </w:rPr>
              <w:t>2.tabula</w:t>
            </w:r>
          </w:p>
          <w:p w:rsidR="00F61D3B" w:rsidRPr="00331B85" w:rsidRDefault="00F61D3B" w:rsidP="00C31E36">
            <w:pPr>
              <w:ind w:left="57"/>
              <w:jc w:val="center"/>
              <w:rPr>
                <w:b/>
              </w:rPr>
            </w:pPr>
            <w:r w:rsidRPr="00331B85">
              <w:rPr>
                <w:b/>
              </w:rPr>
              <w:t>Ar tiesību akta projektu izpildītās vai uzņemtās saistības, kas izriet no starptautiskajiem tiesību aktiem vai starptautiskas institūcijas vai organizācijas dokumentiem.</w:t>
            </w:r>
          </w:p>
          <w:p w:rsidR="00F61D3B" w:rsidRPr="00331B85" w:rsidRDefault="00F61D3B" w:rsidP="00C31E36">
            <w:pPr>
              <w:ind w:left="57"/>
              <w:jc w:val="center"/>
              <w:rPr>
                <w:b/>
              </w:rPr>
            </w:pPr>
            <w:r w:rsidRPr="00331B85">
              <w:rPr>
                <w:b/>
              </w:rPr>
              <w:t>Pasākumi šo saistību izpildei</w:t>
            </w:r>
          </w:p>
        </w:tc>
      </w:tr>
      <w:tr w:rsidR="00F61D3B" w:rsidRPr="00331B85" w:rsidTr="00AF6F4F">
        <w:trPr>
          <w:gridAfter w:val="1"/>
          <w:wAfter w:w="10" w:type="dxa"/>
          <w:trHeight w:val="20"/>
        </w:trPr>
        <w:tc>
          <w:tcPr>
            <w:tcW w:w="10206" w:type="dxa"/>
            <w:gridSpan w:val="4"/>
            <w:tcBorders>
              <w:top w:val="outset" w:sz="6" w:space="0" w:color="auto"/>
              <w:left w:val="outset" w:sz="6" w:space="0" w:color="auto"/>
              <w:bottom w:val="outset" w:sz="6" w:space="0" w:color="auto"/>
              <w:right w:val="outset" w:sz="6" w:space="0" w:color="auto"/>
            </w:tcBorders>
            <w:vAlign w:val="center"/>
          </w:tcPr>
          <w:p w:rsidR="00F61D3B" w:rsidRPr="00331B85" w:rsidRDefault="00F61D3B" w:rsidP="008934EC">
            <w:pPr>
              <w:ind w:left="57"/>
            </w:pPr>
            <w:r w:rsidRPr="00331B85">
              <w:t>Nav</w:t>
            </w:r>
          </w:p>
        </w:tc>
      </w:tr>
    </w:tbl>
    <w:p w:rsidR="0015060C" w:rsidRPr="002C7DE0" w:rsidRDefault="0015060C" w:rsidP="006C4607">
      <w:pPr>
        <w:pStyle w:val="naisf"/>
        <w:spacing w:before="0" w:after="0"/>
        <w:rPr>
          <w:sz w:val="22"/>
          <w:szCs w:val="22"/>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1B38F3" w:rsidTr="00FD2A8A">
        <w:tc>
          <w:tcPr>
            <w:tcW w:w="10264" w:type="dxa"/>
            <w:gridSpan w:val="3"/>
            <w:tcBorders>
              <w:top w:val="single" w:sz="4" w:space="0" w:color="auto"/>
            </w:tcBorders>
          </w:tcPr>
          <w:p w:rsidR="0023436E" w:rsidRPr="001B38F3" w:rsidRDefault="0023436E" w:rsidP="007D099D">
            <w:pPr>
              <w:pStyle w:val="naisnod"/>
              <w:spacing w:before="0" w:after="0"/>
              <w:ind w:left="57" w:right="57"/>
              <w:rPr>
                <w:szCs w:val="22"/>
              </w:rPr>
            </w:pPr>
            <w:r w:rsidRPr="001B38F3">
              <w:rPr>
                <w:szCs w:val="22"/>
              </w:rPr>
              <w:t>VII</w:t>
            </w:r>
            <w:r w:rsidR="000941C5" w:rsidRPr="001B38F3">
              <w:rPr>
                <w:szCs w:val="22"/>
              </w:rPr>
              <w:t>.</w:t>
            </w:r>
            <w:r w:rsidRPr="001B38F3">
              <w:rPr>
                <w:szCs w:val="22"/>
              </w:rPr>
              <w:t xml:space="preserve"> Tiesību akta projekta izpildes nodrošināšana un tās ietekme uz institūcijām</w:t>
            </w:r>
          </w:p>
        </w:tc>
      </w:tr>
      <w:tr w:rsidR="0023436E" w:rsidRPr="001B38F3" w:rsidTr="00FD2A8A">
        <w:trPr>
          <w:trHeight w:val="427"/>
        </w:trPr>
        <w:tc>
          <w:tcPr>
            <w:tcW w:w="374" w:type="dxa"/>
          </w:tcPr>
          <w:p w:rsidR="0023436E" w:rsidRPr="001B38F3" w:rsidRDefault="0023436E" w:rsidP="007D099D">
            <w:pPr>
              <w:pStyle w:val="naisnod"/>
              <w:spacing w:before="0" w:after="0"/>
              <w:ind w:left="57" w:right="57"/>
              <w:jc w:val="left"/>
              <w:rPr>
                <w:b w:val="0"/>
                <w:szCs w:val="22"/>
              </w:rPr>
            </w:pPr>
            <w:r w:rsidRPr="001B38F3">
              <w:rPr>
                <w:b w:val="0"/>
                <w:szCs w:val="22"/>
              </w:rPr>
              <w:t>1.</w:t>
            </w:r>
          </w:p>
        </w:tc>
        <w:tc>
          <w:tcPr>
            <w:tcW w:w="4588" w:type="dxa"/>
          </w:tcPr>
          <w:p w:rsidR="0023436E" w:rsidRPr="001B38F3" w:rsidRDefault="001A4066" w:rsidP="007D099D">
            <w:pPr>
              <w:pStyle w:val="naisf"/>
              <w:spacing w:before="0" w:after="0"/>
              <w:ind w:left="57" w:right="57" w:firstLine="0"/>
              <w:jc w:val="left"/>
              <w:rPr>
                <w:szCs w:val="22"/>
              </w:rPr>
            </w:pPr>
            <w:r w:rsidRPr="001B38F3">
              <w:rPr>
                <w:szCs w:val="22"/>
              </w:rPr>
              <w:t>P</w:t>
            </w:r>
            <w:r w:rsidR="0023436E" w:rsidRPr="001B38F3">
              <w:rPr>
                <w:szCs w:val="22"/>
              </w:rPr>
              <w:t xml:space="preserve">rojekta izpildē iesaistītās institūcijas </w:t>
            </w:r>
          </w:p>
        </w:tc>
        <w:tc>
          <w:tcPr>
            <w:tcW w:w="5302" w:type="dxa"/>
          </w:tcPr>
          <w:p w:rsidR="0023436E" w:rsidRPr="001B38F3" w:rsidRDefault="00625E23" w:rsidP="005A1AB9">
            <w:pPr>
              <w:pStyle w:val="naisnod"/>
              <w:spacing w:before="0" w:after="0"/>
              <w:ind w:left="57" w:right="57"/>
              <w:jc w:val="left"/>
              <w:rPr>
                <w:b w:val="0"/>
                <w:szCs w:val="22"/>
              </w:rPr>
            </w:pPr>
            <w:r w:rsidRPr="001B38F3">
              <w:rPr>
                <w:b w:val="0"/>
                <w:iCs/>
                <w:szCs w:val="22"/>
              </w:rPr>
              <w:t>Centrālā statistikas pārvalde, visas ministrijas</w:t>
            </w:r>
            <w:r w:rsidR="005A1AB9" w:rsidRPr="001B38F3">
              <w:rPr>
                <w:b w:val="0"/>
                <w:iCs/>
                <w:szCs w:val="22"/>
              </w:rPr>
              <w:t xml:space="preserve"> un citas valsts institūcijas</w:t>
            </w:r>
          </w:p>
        </w:tc>
      </w:tr>
      <w:tr w:rsidR="0023436E" w:rsidRPr="001B38F3" w:rsidTr="00FD2A8A">
        <w:trPr>
          <w:trHeight w:val="463"/>
        </w:trPr>
        <w:tc>
          <w:tcPr>
            <w:tcW w:w="374" w:type="dxa"/>
          </w:tcPr>
          <w:p w:rsidR="0023436E" w:rsidRPr="001B38F3" w:rsidRDefault="0023436E" w:rsidP="007D099D">
            <w:pPr>
              <w:pStyle w:val="naisnod"/>
              <w:spacing w:before="0" w:after="0"/>
              <w:ind w:left="57" w:right="57"/>
              <w:jc w:val="left"/>
              <w:rPr>
                <w:b w:val="0"/>
                <w:szCs w:val="22"/>
              </w:rPr>
            </w:pPr>
            <w:r w:rsidRPr="001B38F3">
              <w:rPr>
                <w:b w:val="0"/>
                <w:szCs w:val="22"/>
              </w:rPr>
              <w:t>2.</w:t>
            </w:r>
          </w:p>
        </w:tc>
        <w:tc>
          <w:tcPr>
            <w:tcW w:w="4588" w:type="dxa"/>
          </w:tcPr>
          <w:p w:rsidR="0023436E" w:rsidRPr="001B38F3" w:rsidRDefault="001A4066" w:rsidP="007D099D">
            <w:pPr>
              <w:pStyle w:val="naisf"/>
              <w:spacing w:before="0" w:after="0"/>
              <w:ind w:left="57" w:right="57" w:firstLine="0"/>
              <w:jc w:val="left"/>
              <w:rPr>
                <w:szCs w:val="22"/>
              </w:rPr>
            </w:pPr>
            <w:r w:rsidRPr="001B38F3">
              <w:rPr>
                <w:szCs w:val="22"/>
              </w:rPr>
              <w:t>Projekta i</w:t>
            </w:r>
            <w:r w:rsidR="0023436E" w:rsidRPr="001B38F3">
              <w:rPr>
                <w:szCs w:val="22"/>
              </w:rPr>
              <w:t xml:space="preserve">zpildes ietekme uz pārvaldes funkcijām </w:t>
            </w:r>
          </w:p>
        </w:tc>
        <w:tc>
          <w:tcPr>
            <w:tcW w:w="5302" w:type="dxa"/>
          </w:tcPr>
          <w:p w:rsidR="0023436E" w:rsidRPr="001B38F3" w:rsidRDefault="00C54C6E" w:rsidP="00C54C6E">
            <w:pPr>
              <w:pStyle w:val="naisnod"/>
              <w:spacing w:before="0" w:after="0"/>
              <w:ind w:left="57" w:right="57"/>
              <w:jc w:val="left"/>
              <w:rPr>
                <w:b w:val="0"/>
                <w:szCs w:val="22"/>
              </w:rPr>
            </w:pPr>
            <w:r w:rsidRPr="001B38F3">
              <w:rPr>
                <w:b w:val="0"/>
                <w:iCs/>
                <w:szCs w:val="22"/>
              </w:rPr>
              <w:t>MK noteikumu projekts nemaina Centrālās statistikas pārvaldes, ministriju un citu valsts institūciju kompetenci un funkcijas</w:t>
            </w:r>
          </w:p>
        </w:tc>
      </w:tr>
      <w:tr w:rsidR="0023436E" w:rsidRPr="001B38F3" w:rsidTr="00FD2A8A">
        <w:trPr>
          <w:trHeight w:val="725"/>
        </w:trPr>
        <w:tc>
          <w:tcPr>
            <w:tcW w:w="374" w:type="dxa"/>
          </w:tcPr>
          <w:p w:rsidR="0023436E" w:rsidRPr="001B38F3" w:rsidRDefault="0023436E" w:rsidP="007D099D">
            <w:pPr>
              <w:pStyle w:val="naisnod"/>
              <w:spacing w:before="0" w:after="0"/>
              <w:ind w:left="57" w:right="57"/>
              <w:jc w:val="left"/>
              <w:rPr>
                <w:b w:val="0"/>
                <w:szCs w:val="22"/>
              </w:rPr>
            </w:pPr>
            <w:r w:rsidRPr="001B38F3">
              <w:rPr>
                <w:b w:val="0"/>
                <w:szCs w:val="22"/>
              </w:rPr>
              <w:t>3.</w:t>
            </w:r>
          </w:p>
        </w:tc>
        <w:tc>
          <w:tcPr>
            <w:tcW w:w="4588" w:type="dxa"/>
          </w:tcPr>
          <w:p w:rsidR="0023436E" w:rsidRPr="001B38F3" w:rsidRDefault="001A4066" w:rsidP="007D099D">
            <w:pPr>
              <w:pStyle w:val="naisf"/>
              <w:spacing w:before="0" w:after="0"/>
              <w:ind w:left="57" w:right="57" w:firstLine="0"/>
              <w:jc w:val="left"/>
              <w:rPr>
                <w:szCs w:val="22"/>
              </w:rPr>
            </w:pPr>
            <w:r w:rsidRPr="001B38F3">
              <w:rPr>
                <w:szCs w:val="22"/>
              </w:rPr>
              <w:t>Projekta iz</w:t>
            </w:r>
            <w:r w:rsidR="0023436E" w:rsidRPr="001B38F3">
              <w:rPr>
                <w:szCs w:val="22"/>
              </w:rPr>
              <w:t>pildes ietekme uz pārvaldes institucionālo struktūru.</w:t>
            </w:r>
          </w:p>
          <w:p w:rsidR="0023436E" w:rsidRPr="001B38F3" w:rsidRDefault="006C4607" w:rsidP="007D099D">
            <w:pPr>
              <w:pStyle w:val="naisf"/>
              <w:spacing w:before="0" w:after="0"/>
              <w:ind w:left="57" w:right="57" w:firstLine="0"/>
              <w:jc w:val="left"/>
              <w:rPr>
                <w:szCs w:val="22"/>
              </w:rPr>
            </w:pPr>
            <w:r w:rsidRPr="001B38F3">
              <w:rPr>
                <w:szCs w:val="22"/>
              </w:rPr>
              <w:t>Jaunu institūciju izveide</w:t>
            </w:r>
          </w:p>
        </w:tc>
        <w:tc>
          <w:tcPr>
            <w:tcW w:w="5302" w:type="dxa"/>
          </w:tcPr>
          <w:p w:rsidR="0023436E" w:rsidRPr="001B38F3" w:rsidRDefault="00453ECA" w:rsidP="007D099D">
            <w:pPr>
              <w:pStyle w:val="naisnod"/>
              <w:spacing w:before="0" w:after="0"/>
              <w:ind w:left="57" w:right="57"/>
              <w:jc w:val="left"/>
              <w:rPr>
                <w:b w:val="0"/>
                <w:szCs w:val="22"/>
              </w:rPr>
            </w:pPr>
            <w:r w:rsidRPr="001B38F3">
              <w:rPr>
                <w:b w:val="0"/>
                <w:color w:val="000000"/>
                <w:szCs w:val="22"/>
              </w:rPr>
              <w:t>Jaunu institūciju izveide netiek paredzēta.</w:t>
            </w:r>
          </w:p>
        </w:tc>
      </w:tr>
      <w:tr w:rsidR="0023436E" w:rsidRPr="001B38F3" w:rsidTr="00FD2A8A">
        <w:trPr>
          <w:trHeight w:val="780"/>
        </w:trPr>
        <w:tc>
          <w:tcPr>
            <w:tcW w:w="374" w:type="dxa"/>
          </w:tcPr>
          <w:p w:rsidR="0023436E" w:rsidRPr="001B38F3" w:rsidRDefault="0023436E" w:rsidP="007D099D">
            <w:pPr>
              <w:pStyle w:val="naisnod"/>
              <w:spacing w:before="0" w:after="0"/>
              <w:ind w:left="57" w:right="57"/>
              <w:jc w:val="left"/>
              <w:rPr>
                <w:b w:val="0"/>
                <w:szCs w:val="22"/>
              </w:rPr>
            </w:pPr>
            <w:r w:rsidRPr="001B38F3">
              <w:rPr>
                <w:b w:val="0"/>
                <w:szCs w:val="22"/>
              </w:rPr>
              <w:t>4.</w:t>
            </w:r>
          </w:p>
        </w:tc>
        <w:tc>
          <w:tcPr>
            <w:tcW w:w="4588" w:type="dxa"/>
          </w:tcPr>
          <w:p w:rsidR="0023436E" w:rsidRPr="001B38F3" w:rsidRDefault="001A4066" w:rsidP="007D099D">
            <w:pPr>
              <w:pStyle w:val="naisf"/>
              <w:spacing w:before="0" w:after="0"/>
              <w:ind w:left="57" w:right="57" w:firstLine="0"/>
              <w:jc w:val="left"/>
              <w:rPr>
                <w:szCs w:val="22"/>
              </w:rPr>
            </w:pPr>
            <w:r w:rsidRPr="001B38F3">
              <w:rPr>
                <w:szCs w:val="22"/>
              </w:rPr>
              <w:t>Projekta i</w:t>
            </w:r>
            <w:r w:rsidR="0023436E" w:rsidRPr="001B38F3">
              <w:rPr>
                <w:szCs w:val="22"/>
              </w:rPr>
              <w:t>zpildes ietekme uz pārvaldes institucionālo struktūru.</w:t>
            </w:r>
          </w:p>
          <w:p w:rsidR="0023436E" w:rsidRPr="001B38F3" w:rsidRDefault="006C4607" w:rsidP="007D099D">
            <w:pPr>
              <w:pStyle w:val="naisf"/>
              <w:spacing w:before="0" w:after="0"/>
              <w:ind w:left="57" w:right="57" w:firstLine="0"/>
              <w:jc w:val="left"/>
              <w:rPr>
                <w:szCs w:val="22"/>
              </w:rPr>
            </w:pPr>
            <w:r w:rsidRPr="001B38F3">
              <w:rPr>
                <w:szCs w:val="22"/>
              </w:rPr>
              <w:t>Esošu institūciju likvidācija</w:t>
            </w:r>
          </w:p>
        </w:tc>
        <w:tc>
          <w:tcPr>
            <w:tcW w:w="5302" w:type="dxa"/>
          </w:tcPr>
          <w:p w:rsidR="0023436E" w:rsidRPr="001B38F3" w:rsidRDefault="00453ECA" w:rsidP="007D099D">
            <w:pPr>
              <w:pStyle w:val="naisnod"/>
              <w:spacing w:before="0" w:after="0"/>
              <w:ind w:left="57" w:right="57"/>
              <w:jc w:val="left"/>
              <w:rPr>
                <w:b w:val="0"/>
                <w:szCs w:val="22"/>
              </w:rPr>
            </w:pPr>
            <w:r w:rsidRPr="001B38F3">
              <w:rPr>
                <w:b w:val="0"/>
                <w:color w:val="000000"/>
                <w:szCs w:val="22"/>
              </w:rPr>
              <w:t>Institūcijas netiek likvidētas.</w:t>
            </w:r>
          </w:p>
        </w:tc>
      </w:tr>
      <w:tr w:rsidR="0023436E" w:rsidRPr="001B38F3" w:rsidTr="00FD2A8A">
        <w:trPr>
          <w:trHeight w:val="703"/>
        </w:trPr>
        <w:tc>
          <w:tcPr>
            <w:tcW w:w="374" w:type="dxa"/>
          </w:tcPr>
          <w:p w:rsidR="0023436E" w:rsidRPr="001B38F3" w:rsidRDefault="0023436E" w:rsidP="007D099D">
            <w:pPr>
              <w:pStyle w:val="naisnod"/>
              <w:spacing w:before="0" w:after="0"/>
              <w:ind w:left="57" w:right="57"/>
              <w:jc w:val="left"/>
              <w:rPr>
                <w:b w:val="0"/>
                <w:szCs w:val="22"/>
              </w:rPr>
            </w:pPr>
            <w:r w:rsidRPr="001B38F3">
              <w:rPr>
                <w:b w:val="0"/>
                <w:szCs w:val="22"/>
              </w:rPr>
              <w:t>5.</w:t>
            </w:r>
          </w:p>
        </w:tc>
        <w:tc>
          <w:tcPr>
            <w:tcW w:w="4588" w:type="dxa"/>
          </w:tcPr>
          <w:p w:rsidR="0023436E" w:rsidRPr="001B38F3" w:rsidRDefault="001A4066" w:rsidP="007D099D">
            <w:pPr>
              <w:pStyle w:val="naisf"/>
              <w:spacing w:before="0" w:after="0"/>
              <w:ind w:left="57" w:right="57" w:firstLine="0"/>
              <w:jc w:val="left"/>
              <w:rPr>
                <w:szCs w:val="22"/>
              </w:rPr>
            </w:pPr>
            <w:r w:rsidRPr="001B38F3">
              <w:rPr>
                <w:szCs w:val="22"/>
              </w:rPr>
              <w:t>Projekta i</w:t>
            </w:r>
            <w:r w:rsidR="0023436E" w:rsidRPr="001B38F3">
              <w:rPr>
                <w:szCs w:val="22"/>
              </w:rPr>
              <w:t>zpildes ietekme uz pārvaldes institucionālo struktūru.</w:t>
            </w:r>
          </w:p>
          <w:p w:rsidR="0023436E" w:rsidRPr="001B38F3" w:rsidRDefault="0023436E" w:rsidP="007D099D">
            <w:pPr>
              <w:pStyle w:val="naisf"/>
              <w:spacing w:before="0" w:after="0"/>
              <w:ind w:left="57" w:right="57" w:firstLine="0"/>
              <w:jc w:val="left"/>
              <w:rPr>
                <w:szCs w:val="22"/>
              </w:rPr>
            </w:pPr>
            <w:r w:rsidRPr="001B38F3">
              <w:rPr>
                <w:szCs w:val="22"/>
              </w:rPr>
              <w:t>Esošu institūciju reorganizācija</w:t>
            </w:r>
          </w:p>
        </w:tc>
        <w:tc>
          <w:tcPr>
            <w:tcW w:w="5302" w:type="dxa"/>
          </w:tcPr>
          <w:p w:rsidR="0023436E" w:rsidRPr="001B38F3" w:rsidRDefault="00453ECA" w:rsidP="007D099D">
            <w:pPr>
              <w:pStyle w:val="naisnod"/>
              <w:spacing w:before="0" w:after="0"/>
              <w:ind w:left="57" w:right="57"/>
              <w:jc w:val="left"/>
              <w:rPr>
                <w:b w:val="0"/>
                <w:szCs w:val="22"/>
              </w:rPr>
            </w:pPr>
            <w:r w:rsidRPr="001B38F3">
              <w:rPr>
                <w:b w:val="0"/>
                <w:color w:val="000000"/>
                <w:szCs w:val="22"/>
              </w:rPr>
              <w:t>Institūcijas netiek reorganizētas.</w:t>
            </w:r>
          </w:p>
        </w:tc>
      </w:tr>
      <w:tr w:rsidR="0023436E" w:rsidRPr="001B38F3" w:rsidTr="00FD2A8A">
        <w:trPr>
          <w:trHeight w:val="476"/>
        </w:trPr>
        <w:tc>
          <w:tcPr>
            <w:tcW w:w="374" w:type="dxa"/>
          </w:tcPr>
          <w:p w:rsidR="0023436E" w:rsidRPr="001B38F3" w:rsidRDefault="00F63DAC" w:rsidP="007D099D">
            <w:pPr>
              <w:pStyle w:val="naiskr"/>
              <w:spacing w:before="0" w:after="0"/>
              <w:ind w:left="57" w:right="57"/>
              <w:rPr>
                <w:szCs w:val="22"/>
              </w:rPr>
            </w:pPr>
            <w:r w:rsidRPr="001B38F3">
              <w:rPr>
                <w:szCs w:val="22"/>
              </w:rPr>
              <w:t>6</w:t>
            </w:r>
            <w:r w:rsidR="0023436E" w:rsidRPr="001B38F3">
              <w:rPr>
                <w:szCs w:val="22"/>
              </w:rPr>
              <w:t>.</w:t>
            </w:r>
          </w:p>
        </w:tc>
        <w:tc>
          <w:tcPr>
            <w:tcW w:w="4588" w:type="dxa"/>
          </w:tcPr>
          <w:p w:rsidR="0023436E" w:rsidRPr="001B38F3" w:rsidRDefault="006C4607" w:rsidP="007D099D">
            <w:pPr>
              <w:pStyle w:val="naiskr"/>
              <w:spacing w:before="0" w:after="0"/>
              <w:ind w:left="57" w:right="57"/>
              <w:rPr>
                <w:szCs w:val="22"/>
              </w:rPr>
            </w:pPr>
            <w:r w:rsidRPr="001B38F3">
              <w:rPr>
                <w:szCs w:val="22"/>
              </w:rPr>
              <w:t>Cita informācija</w:t>
            </w:r>
          </w:p>
        </w:tc>
        <w:tc>
          <w:tcPr>
            <w:tcW w:w="5302" w:type="dxa"/>
          </w:tcPr>
          <w:p w:rsidR="0023436E" w:rsidRPr="001B38F3" w:rsidRDefault="00453ECA" w:rsidP="007D099D">
            <w:pPr>
              <w:pStyle w:val="naiskr"/>
              <w:spacing w:before="0" w:after="0"/>
              <w:ind w:left="57" w:right="57"/>
              <w:rPr>
                <w:szCs w:val="22"/>
              </w:rPr>
            </w:pPr>
            <w:r w:rsidRPr="001B38F3">
              <w:rPr>
                <w:szCs w:val="22"/>
              </w:rPr>
              <w:t>Nav.</w:t>
            </w:r>
          </w:p>
        </w:tc>
      </w:tr>
    </w:tbl>
    <w:p w:rsidR="00214094" w:rsidRPr="002C7DE0" w:rsidRDefault="00214094" w:rsidP="006C4607">
      <w:pPr>
        <w:pStyle w:val="naisf"/>
        <w:tabs>
          <w:tab w:val="left" w:pos="5760"/>
        </w:tabs>
        <w:spacing w:before="0" w:after="0"/>
        <w:ind w:firstLine="720"/>
        <w:rPr>
          <w:sz w:val="22"/>
          <w:szCs w:val="22"/>
        </w:rPr>
      </w:pPr>
    </w:p>
    <w:p w:rsidR="00214094" w:rsidRPr="00331B85" w:rsidRDefault="00C32F7F" w:rsidP="006C4607">
      <w:pPr>
        <w:pStyle w:val="naisf"/>
        <w:tabs>
          <w:tab w:val="left" w:pos="5760"/>
        </w:tabs>
        <w:spacing w:before="0" w:after="0"/>
        <w:ind w:firstLine="720"/>
        <w:rPr>
          <w:sz w:val="28"/>
          <w:szCs w:val="28"/>
        </w:rPr>
      </w:pPr>
      <w:r w:rsidRPr="00331B85">
        <w:rPr>
          <w:sz w:val="28"/>
          <w:szCs w:val="28"/>
        </w:rPr>
        <w:t>Anotācijas II</w:t>
      </w:r>
      <w:r w:rsidR="00625E23" w:rsidRPr="00331B85">
        <w:rPr>
          <w:sz w:val="28"/>
          <w:szCs w:val="28"/>
        </w:rPr>
        <w:t>, III</w:t>
      </w:r>
      <w:r w:rsidR="00072B68" w:rsidRPr="00331B85">
        <w:rPr>
          <w:sz w:val="28"/>
          <w:szCs w:val="28"/>
        </w:rPr>
        <w:t>,</w:t>
      </w:r>
      <w:r w:rsidR="00625E23" w:rsidRPr="00331B85">
        <w:rPr>
          <w:sz w:val="28"/>
          <w:szCs w:val="28"/>
        </w:rPr>
        <w:t xml:space="preserve"> IV un VI </w:t>
      </w:r>
      <w:r w:rsidRPr="00331B85">
        <w:rPr>
          <w:sz w:val="28"/>
          <w:szCs w:val="28"/>
        </w:rPr>
        <w:t>sadaļa – projekts šīs jomas neskar.</w:t>
      </w:r>
    </w:p>
    <w:p w:rsidR="00BF40ED" w:rsidRPr="00331B85" w:rsidRDefault="00BF40ED" w:rsidP="006C4607">
      <w:pPr>
        <w:pStyle w:val="naisf"/>
        <w:tabs>
          <w:tab w:val="left" w:pos="6804"/>
        </w:tabs>
        <w:spacing w:before="0" w:after="0"/>
        <w:ind w:firstLine="720"/>
        <w:rPr>
          <w:sz w:val="28"/>
          <w:szCs w:val="28"/>
        </w:rPr>
      </w:pPr>
    </w:p>
    <w:p w:rsidR="0015060C" w:rsidRPr="00331B85" w:rsidRDefault="004A2850" w:rsidP="00845811">
      <w:pPr>
        <w:pStyle w:val="naisf"/>
        <w:tabs>
          <w:tab w:val="left" w:pos="6804"/>
        </w:tabs>
        <w:spacing w:before="0" w:after="0"/>
        <w:ind w:firstLine="720"/>
        <w:rPr>
          <w:sz w:val="28"/>
          <w:szCs w:val="28"/>
        </w:rPr>
      </w:pPr>
      <w:r w:rsidRPr="00331B85">
        <w:rPr>
          <w:sz w:val="28"/>
          <w:szCs w:val="28"/>
        </w:rPr>
        <w:t>Ekonomikas</w:t>
      </w:r>
      <w:r w:rsidR="0015060C" w:rsidRPr="00331B85">
        <w:rPr>
          <w:sz w:val="28"/>
          <w:szCs w:val="28"/>
        </w:rPr>
        <w:t xml:space="preserve"> ministrs</w:t>
      </w:r>
      <w:r w:rsidR="00214094" w:rsidRPr="00331B85">
        <w:rPr>
          <w:sz w:val="28"/>
          <w:szCs w:val="28"/>
        </w:rPr>
        <w:tab/>
      </w:r>
      <w:proofErr w:type="spellStart"/>
      <w:r w:rsidRPr="00331B85">
        <w:rPr>
          <w:sz w:val="28"/>
          <w:szCs w:val="28"/>
        </w:rPr>
        <w:t>D.Pavļuts</w:t>
      </w:r>
      <w:proofErr w:type="spellEnd"/>
    </w:p>
    <w:p w:rsidR="004A2850" w:rsidRPr="00331B85" w:rsidRDefault="004A2850" w:rsidP="00845811">
      <w:pPr>
        <w:pStyle w:val="naisf"/>
        <w:tabs>
          <w:tab w:val="left" w:pos="6804"/>
        </w:tabs>
        <w:spacing w:before="0" w:after="0"/>
        <w:ind w:firstLine="720"/>
        <w:rPr>
          <w:sz w:val="28"/>
          <w:szCs w:val="28"/>
        </w:rPr>
      </w:pPr>
    </w:p>
    <w:p w:rsidR="005D7DDE" w:rsidRDefault="004A2850" w:rsidP="004A2850">
      <w:pPr>
        <w:pStyle w:val="naisf"/>
        <w:tabs>
          <w:tab w:val="left" w:pos="6804"/>
        </w:tabs>
        <w:spacing w:before="0" w:after="0"/>
        <w:ind w:firstLine="720"/>
        <w:jc w:val="left"/>
        <w:rPr>
          <w:sz w:val="28"/>
          <w:szCs w:val="28"/>
        </w:rPr>
      </w:pPr>
      <w:r w:rsidRPr="00331B85">
        <w:rPr>
          <w:sz w:val="28"/>
          <w:szCs w:val="28"/>
        </w:rPr>
        <w:t>Vīz</w:t>
      </w:r>
      <w:r w:rsidR="00A362D4">
        <w:rPr>
          <w:sz w:val="28"/>
          <w:szCs w:val="28"/>
        </w:rPr>
        <w:t>a</w:t>
      </w:r>
      <w:r w:rsidR="005D7DDE">
        <w:rPr>
          <w:sz w:val="28"/>
          <w:szCs w:val="28"/>
        </w:rPr>
        <w:t xml:space="preserve">: </w:t>
      </w:r>
      <w:r w:rsidR="0004224F">
        <w:rPr>
          <w:sz w:val="28"/>
          <w:szCs w:val="28"/>
        </w:rPr>
        <w:t>v</w:t>
      </w:r>
      <w:r w:rsidR="005D7DDE">
        <w:rPr>
          <w:sz w:val="28"/>
          <w:szCs w:val="28"/>
        </w:rPr>
        <w:t>alsts sekretāra pienākumu izpildītājs</w:t>
      </w:r>
    </w:p>
    <w:p w:rsidR="004A2850" w:rsidRPr="00331B85" w:rsidRDefault="005D7DDE" w:rsidP="004A2850">
      <w:pPr>
        <w:pStyle w:val="naisf"/>
        <w:tabs>
          <w:tab w:val="left" w:pos="6804"/>
        </w:tabs>
        <w:spacing w:before="0" w:after="0"/>
        <w:ind w:firstLine="720"/>
        <w:jc w:val="left"/>
        <w:rPr>
          <w:sz w:val="28"/>
          <w:szCs w:val="28"/>
        </w:rPr>
      </w:pPr>
      <w:r>
        <w:rPr>
          <w:sz w:val="28"/>
          <w:szCs w:val="28"/>
        </w:rPr>
        <w:t xml:space="preserve">          </w:t>
      </w:r>
      <w:r w:rsidR="0004224F">
        <w:rPr>
          <w:sz w:val="28"/>
          <w:szCs w:val="28"/>
        </w:rPr>
        <w:t>v</w:t>
      </w:r>
      <w:r>
        <w:rPr>
          <w:sz w:val="28"/>
          <w:szCs w:val="28"/>
        </w:rPr>
        <w:t>alsts sekretāra vietnieks</w:t>
      </w:r>
      <w:r w:rsidR="004A2850" w:rsidRPr="00331B85">
        <w:rPr>
          <w:sz w:val="28"/>
          <w:szCs w:val="28"/>
        </w:rPr>
        <w:tab/>
      </w:r>
      <w:r w:rsidR="004A2850" w:rsidRPr="00331B85">
        <w:rPr>
          <w:sz w:val="28"/>
          <w:szCs w:val="28"/>
        </w:rPr>
        <w:tab/>
      </w:r>
      <w:r>
        <w:rPr>
          <w:sz w:val="28"/>
          <w:szCs w:val="28"/>
        </w:rPr>
        <w:t>A.Liepiņš</w:t>
      </w:r>
    </w:p>
    <w:p w:rsidR="004A2850" w:rsidRPr="00331B85" w:rsidRDefault="004A2850" w:rsidP="004A2850">
      <w:pPr>
        <w:pStyle w:val="NormalLatvian"/>
        <w:spacing w:after="0"/>
      </w:pPr>
    </w:p>
    <w:p w:rsidR="00FE7AA8" w:rsidRDefault="00FE7AA8" w:rsidP="004A2850">
      <w:pPr>
        <w:pStyle w:val="NormalLatvian"/>
        <w:spacing w:after="0"/>
        <w:rPr>
          <w:sz w:val="22"/>
          <w:szCs w:val="22"/>
        </w:rPr>
      </w:pPr>
    </w:p>
    <w:p w:rsidR="00FE7AA8" w:rsidRDefault="00FE7AA8" w:rsidP="004A2850">
      <w:pPr>
        <w:pStyle w:val="NormalLatvian"/>
        <w:spacing w:after="0"/>
        <w:rPr>
          <w:sz w:val="22"/>
          <w:szCs w:val="22"/>
        </w:rPr>
      </w:pPr>
    </w:p>
    <w:p w:rsidR="00FE7AA8" w:rsidRDefault="00FE7AA8" w:rsidP="004A2850">
      <w:pPr>
        <w:pStyle w:val="NormalLatvian"/>
        <w:spacing w:after="0"/>
        <w:rPr>
          <w:sz w:val="22"/>
          <w:szCs w:val="22"/>
        </w:rPr>
      </w:pPr>
    </w:p>
    <w:p w:rsidR="00FE7AA8" w:rsidRDefault="00FE7AA8" w:rsidP="004A2850">
      <w:pPr>
        <w:pStyle w:val="NormalLatvian"/>
        <w:spacing w:after="0"/>
        <w:rPr>
          <w:sz w:val="22"/>
          <w:szCs w:val="22"/>
        </w:rPr>
      </w:pPr>
    </w:p>
    <w:p w:rsidR="00FE7AA8" w:rsidRPr="002C7DE0" w:rsidRDefault="00FE7AA8" w:rsidP="004A2850">
      <w:pPr>
        <w:pStyle w:val="NormalLatvian"/>
        <w:spacing w:after="0"/>
        <w:rPr>
          <w:sz w:val="22"/>
          <w:szCs w:val="22"/>
        </w:rPr>
      </w:pPr>
    </w:p>
    <w:p w:rsidR="00ED3F44" w:rsidRDefault="00F35A00" w:rsidP="004A2850">
      <w:pPr>
        <w:ind w:right="40"/>
        <w:jc w:val="both"/>
        <w:rPr>
          <w:noProof/>
          <w:sz w:val="20"/>
          <w:szCs w:val="20"/>
          <w:lang w:eastAsia="en-US"/>
        </w:rPr>
      </w:pPr>
      <w:r>
        <w:rPr>
          <w:noProof/>
          <w:sz w:val="20"/>
          <w:szCs w:val="20"/>
          <w:lang w:eastAsia="en-US"/>
        </w:rPr>
        <w:t>2</w:t>
      </w:r>
      <w:r w:rsidR="00AB128C">
        <w:rPr>
          <w:noProof/>
          <w:sz w:val="20"/>
          <w:szCs w:val="20"/>
          <w:lang w:eastAsia="en-US"/>
        </w:rPr>
        <w:t>6</w:t>
      </w:r>
      <w:r w:rsidR="0039033A">
        <w:rPr>
          <w:noProof/>
          <w:sz w:val="20"/>
          <w:szCs w:val="20"/>
          <w:lang w:eastAsia="en-US"/>
        </w:rPr>
        <w:t>.11.2013.</w:t>
      </w:r>
    </w:p>
    <w:p w:rsidR="004A2850" w:rsidRPr="00FE7AA8" w:rsidRDefault="004A2850" w:rsidP="004A2850">
      <w:pPr>
        <w:ind w:right="40"/>
        <w:jc w:val="both"/>
        <w:rPr>
          <w:sz w:val="20"/>
          <w:szCs w:val="20"/>
        </w:rPr>
      </w:pPr>
      <w:r w:rsidRPr="00FE7AA8">
        <w:rPr>
          <w:sz w:val="20"/>
          <w:szCs w:val="20"/>
        </w:rPr>
        <w:fldChar w:fldCharType="begin"/>
      </w:r>
      <w:r w:rsidRPr="00FE7AA8">
        <w:rPr>
          <w:sz w:val="20"/>
          <w:szCs w:val="20"/>
        </w:rPr>
        <w:instrText xml:space="preserve"> NUMWORDS   \* MERGEFORMAT </w:instrText>
      </w:r>
      <w:r w:rsidRPr="00FE7AA8">
        <w:rPr>
          <w:sz w:val="20"/>
          <w:szCs w:val="20"/>
        </w:rPr>
        <w:fldChar w:fldCharType="separate"/>
      </w:r>
      <w:r w:rsidR="0004224F">
        <w:rPr>
          <w:noProof/>
          <w:sz w:val="20"/>
          <w:szCs w:val="20"/>
        </w:rPr>
        <w:t>8180</w:t>
      </w:r>
      <w:r w:rsidRPr="00FE7AA8">
        <w:rPr>
          <w:sz w:val="20"/>
          <w:szCs w:val="20"/>
        </w:rPr>
        <w:fldChar w:fldCharType="end"/>
      </w:r>
      <w:bookmarkStart w:id="0" w:name="_GoBack"/>
      <w:bookmarkEnd w:id="0"/>
    </w:p>
    <w:p w:rsidR="00BA6497" w:rsidRPr="00FE7AA8" w:rsidRDefault="004A2850" w:rsidP="004A2850">
      <w:pPr>
        <w:pStyle w:val="naisf"/>
        <w:tabs>
          <w:tab w:val="left" w:pos="6804"/>
        </w:tabs>
        <w:spacing w:before="0" w:after="0"/>
        <w:ind w:firstLine="0"/>
        <w:rPr>
          <w:sz w:val="20"/>
          <w:szCs w:val="20"/>
        </w:rPr>
      </w:pPr>
      <w:proofErr w:type="spellStart"/>
      <w:r w:rsidRPr="00FE7AA8">
        <w:rPr>
          <w:sz w:val="20"/>
          <w:szCs w:val="20"/>
        </w:rPr>
        <w:t>I.Kurme</w:t>
      </w:r>
      <w:proofErr w:type="spellEnd"/>
    </w:p>
    <w:p w:rsidR="00BA6497" w:rsidRPr="00FE7AA8" w:rsidRDefault="00BA6497" w:rsidP="004A2850">
      <w:pPr>
        <w:pStyle w:val="naisf"/>
        <w:tabs>
          <w:tab w:val="left" w:pos="6804"/>
        </w:tabs>
        <w:spacing w:before="0" w:after="0"/>
        <w:ind w:firstLine="0"/>
        <w:rPr>
          <w:sz w:val="20"/>
          <w:szCs w:val="20"/>
        </w:rPr>
      </w:pPr>
      <w:r w:rsidRPr="00FE7AA8">
        <w:rPr>
          <w:sz w:val="20"/>
          <w:szCs w:val="20"/>
        </w:rPr>
        <w:t>67366619</w:t>
      </w:r>
    </w:p>
    <w:p w:rsidR="004A2850" w:rsidRPr="00FE7AA8" w:rsidRDefault="00BA6497" w:rsidP="004A2850">
      <w:pPr>
        <w:pStyle w:val="naisf"/>
        <w:tabs>
          <w:tab w:val="left" w:pos="6804"/>
        </w:tabs>
        <w:spacing w:before="0" w:after="0"/>
        <w:ind w:firstLine="0"/>
        <w:rPr>
          <w:sz w:val="20"/>
          <w:szCs w:val="20"/>
        </w:rPr>
      </w:pPr>
      <w:r w:rsidRPr="00FE7AA8">
        <w:rPr>
          <w:sz w:val="20"/>
          <w:szCs w:val="20"/>
        </w:rPr>
        <w:t>I</w:t>
      </w:r>
      <w:r w:rsidR="004A2850" w:rsidRPr="00FE7AA8">
        <w:rPr>
          <w:sz w:val="20"/>
          <w:szCs w:val="20"/>
        </w:rPr>
        <w:t>eva.</w:t>
      </w:r>
      <w:r w:rsidRPr="00FE7AA8">
        <w:rPr>
          <w:sz w:val="20"/>
          <w:szCs w:val="20"/>
        </w:rPr>
        <w:t>K</w:t>
      </w:r>
      <w:r w:rsidR="004A2850" w:rsidRPr="00FE7AA8">
        <w:rPr>
          <w:sz w:val="20"/>
          <w:szCs w:val="20"/>
        </w:rPr>
        <w:t>urme@csb.gov.lv</w:t>
      </w:r>
    </w:p>
    <w:sectPr w:rsidR="004A2850" w:rsidRPr="00FE7AA8" w:rsidSect="00400B8B">
      <w:headerReference w:type="even" r:id="rId9"/>
      <w:headerReference w:type="default" r:id="rId10"/>
      <w:footerReference w:type="default" r:id="rId11"/>
      <w:footerReference w:type="firs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F3" w:rsidRDefault="005959F3">
      <w:r>
        <w:separator/>
      </w:r>
    </w:p>
  </w:endnote>
  <w:endnote w:type="continuationSeparator" w:id="0">
    <w:p w:rsidR="005959F3" w:rsidRDefault="005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F3" w:rsidRPr="00635619" w:rsidRDefault="005959F3" w:rsidP="0063561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52B10">
      <w:rPr>
        <w:noProof/>
        <w:sz w:val="20"/>
        <w:szCs w:val="20"/>
      </w:rPr>
      <w:t>EMAnot_29112013_statistika.docx</w:t>
    </w:r>
    <w:r>
      <w:rPr>
        <w:sz w:val="20"/>
        <w:szCs w:val="20"/>
      </w:rPr>
      <w:fldChar w:fldCharType="end"/>
    </w:r>
    <w:r w:rsidRPr="00635619">
      <w:rPr>
        <w:sz w:val="20"/>
        <w:szCs w:val="20"/>
      </w:rPr>
      <w:t xml:space="preserve">; </w:t>
    </w:r>
    <w:r w:rsidRPr="00635619">
      <w:rPr>
        <w:sz w:val="20"/>
        <w:szCs w:val="20"/>
      </w:rPr>
      <w:fldChar w:fldCharType="begin"/>
    </w:r>
    <w:r w:rsidRPr="00635619">
      <w:rPr>
        <w:sz w:val="20"/>
        <w:szCs w:val="20"/>
      </w:rPr>
      <w:instrText xml:space="preserve"> DOCPROPERTY  Subject  \* MERGEFORMAT </w:instrText>
    </w:r>
    <w:r w:rsidRPr="00635619">
      <w:rPr>
        <w:sz w:val="20"/>
        <w:szCs w:val="20"/>
      </w:rPr>
      <w:fldChar w:fldCharType="separate"/>
    </w:r>
    <w:r w:rsidR="00952B10">
      <w:rPr>
        <w:sz w:val="20"/>
        <w:szCs w:val="20"/>
      </w:rPr>
      <w:t>Noteikumi par valsts statistiskās informācijas programmu 2013. gadam</w:t>
    </w:r>
    <w:r w:rsidRPr="00635619">
      <w:rPr>
        <w:sz w:val="20"/>
        <w:szCs w:val="20"/>
      </w:rPr>
      <w:fldChar w:fldCharType="end"/>
    </w:r>
    <w:r w:rsidRPr="00635619">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F3" w:rsidRPr="00400B8B" w:rsidRDefault="0075279F" w:rsidP="00400B8B">
    <w:pPr>
      <w:pStyle w:val="Footer"/>
    </w:pPr>
    <w:r>
      <w:fldChar w:fldCharType="begin"/>
    </w:r>
    <w:r>
      <w:instrText xml:space="preserve"> DOCPROPERTY  Subject  \* MERGEFORMAT </w:instrText>
    </w:r>
    <w:r>
      <w:fldChar w:fldCharType="separate"/>
    </w:r>
    <w:r w:rsidR="00952B10">
      <w:t>Noteikumi par valsts statistiskās informācijas programmu 2013. gadam</w:t>
    </w:r>
    <w:r>
      <w:fldChar w:fldCharType="end"/>
    </w:r>
    <w:r w:rsidR="005959F3">
      <w:t xml:space="preserve"> </w:t>
    </w:r>
    <w:r w:rsidR="00952B10">
      <w:fldChar w:fldCharType="begin"/>
    </w:r>
    <w:r w:rsidR="00952B10">
      <w:instrText xml:space="preserve"> DOCPROPERTY  Title  \* MERGEFORMAT </w:instrText>
    </w:r>
    <w:r w:rsidR="00952B1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F3" w:rsidRDefault="005959F3">
      <w:r>
        <w:separator/>
      </w:r>
    </w:p>
  </w:footnote>
  <w:footnote w:type="continuationSeparator" w:id="0">
    <w:p w:rsidR="005959F3" w:rsidRDefault="0059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F3" w:rsidRDefault="005959F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9F3" w:rsidRDefault="00595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F3" w:rsidRDefault="005959F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24F">
      <w:rPr>
        <w:rStyle w:val="PageNumber"/>
        <w:noProof/>
      </w:rPr>
      <w:t>1</w:t>
    </w:r>
    <w:r>
      <w:rPr>
        <w:rStyle w:val="PageNumber"/>
      </w:rPr>
      <w:fldChar w:fldCharType="end"/>
    </w:r>
  </w:p>
  <w:p w:rsidR="005959F3" w:rsidRDefault="00595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F02"/>
    <w:multiLevelType w:val="multilevel"/>
    <w:tmpl w:val="C0F86F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A123082"/>
    <w:multiLevelType w:val="hybridMultilevel"/>
    <w:tmpl w:val="3C2A9F14"/>
    <w:lvl w:ilvl="0" w:tplc="524EFB8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AF618F"/>
    <w:multiLevelType w:val="multilevel"/>
    <w:tmpl w:val="0CBA9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4"/>
  </w:num>
  <w:num w:numId="4">
    <w:abstractNumId w:val="2"/>
  </w:num>
  <w:num w:numId="5">
    <w:abstractNumId w:val="1"/>
  </w:num>
  <w:num w:numId="6">
    <w:abstractNumId w:val="9"/>
  </w:num>
  <w:num w:numId="7">
    <w:abstractNumId w:val="14"/>
  </w:num>
  <w:num w:numId="8">
    <w:abstractNumId w:val="6"/>
  </w:num>
  <w:num w:numId="9">
    <w:abstractNumId w:val="3"/>
  </w:num>
  <w:num w:numId="10">
    <w:abstractNumId w:val="7"/>
  </w:num>
  <w:num w:numId="11">
    <w:abstractNumId w:val="8"/>
  </w:num>
  <w:num w:numId="12">
    <w:abstractNumId w:val="10"/>
  </w:num>
  <w:num w:numId="13">
    <w:abstractNumId w:val="12"/>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16DEB"/>
    <w:rsid w:val="0001701D"/>
    <w:rsid w:val="00020FE1"/>
    <w:rsid w:val="00022E13"/>
    <w:rsid w:val="00032388"/>
    <w:rsid w:val="00032BB1"/>
    <w:rsid w:val="00035CE2"/>
    <w:rsid w:val="0004224F"/>
    <w:rsid w:val="000436F1"/>
    <w:rsid w:val="0005553B"/>
    <w:rsid w:val="00055605"/>
    <w:rsid w:val="000604D2"/>
    <w:rsid w:val="00063DA2"/>
    <w:rsid w:val="00072B68"/>
    <w:rsid w:val="0007747A"/>
    <w:rsid w:val="00084BC9"/>
    <w:rsid w:val="0009005E"/>
    <w:rsid w:val="000941C5"/>
    <w:rsid w:val="00096CF2"/>
    <w:rsid w:val="000A6451"/>
    <w:rsid w:val="000B064E"/>
    <w:rsid w:val="000B69CF"/>
    <w:rsid w:val="000C0960"/>
    <w:rsid w:val="000C790C"/>
    <w:rsid w:val="000D1048"/>
    <w:rsid w:val="000D320C"/>
    <w:rsid w:val="000F061D"/>
    <w:rsid w:val="000F4794"/>
    <w:rsid w:val="00103C97"/>
    <w:rsid w:val="00104FAE"/>
    <w:rsid w:val="00110458"/>
    <w:rsid w:val="00124F12"/>
    <w:rsid w:val="00144E3A"/>
    <w:rsid w:val="0014612C"/>
    <w:rsid w:val="00146EC5"/>
    <w:rsid w:val="0015060C"/>
    <w:rsid w:val="00152B2C"/>
    <w:rsid w:val="0016018A"/>
    <w:rsid w:val="00161F0E"/>
    <w:rsid w:val="00170890"/>
    <w:rsid w:val="00170E2A"/>
    <w:rsid w:val="00172A23"/>
    <w:rsid w:val="00172E46"/>
    <w:rsid w:val="00175AD7"/>
    <w:rsid w:val="00177394"/>
    <w:rsid w:val="00182C18"/>
    <w:rsid w:val="00183CC2"/>
    <w:rsid w:val="001900E4"/>
    <w:rsid w:val="00190F88"/>
    <w:rsid w:val="001A1B79"/>
    <w:rsid w:val="001A4066"/>
    <w:rsid w:val="001A6AE4"/>
    <w:rsid w:val="001B01FD"/>
    <w:rsid w:val="001B38F3"/>
    <w:rsid w:val="001B4A71"/>
    <w:rsid w:val="001D0CAE"/>
    <w:rsid w:val="001D15DF"/>
    <w:rsid w:val="001D55B1"/>
    <w:rsid w:val="001D5B54"/>
    <w:rsid w:val="001E1DBF"/>
    <w:rsid w:val="001E37F8"/>
    <w:rsid w:val="001E4639"/>
    <w:rsid w:val="001E4A7D"/>
    <w:rsid w:val="001F40F7"/>
    <w:rsid w:val="001F4209"/>
    <w:rsid w:val="001F43A8"/>
    <w:rsid w:val="001F5CD6"/>
    <w:rsid w:val="00212015"/>
    <w:rsid w:val="0021263D"/>
    <w:rsid w:val="00213F0C"/>
    <w:rsid w:val="00214094"/>
    <w:rsid w:val="0021592D"/>
    <w:rsid w:val="00222D76"/>
    <w:rsid w:val="00223EB1"/>
    <w:rsid w:val="00231344"/>
    <w:rsid w:val="00233BD0"/>
    <w:rsid w:val="0023436E"/>
    <w:rsid w:val="002347C0"/>
    <w:rsid w:val="00241A6C"/>
    <w:rsid w:val="00242D2B"/>
    <w:rsid w:val="0024596E"/>
    <w:rsid w:val="002607BD"/>
    <w:rsid w:val="00262E2B"/>
    <w:rsid w:val="00265BA4"/>
    <w:rsid w:val="00270429"/>
    <w:rsid w:val="002723E9"/>
    <w:rsid w:val="00273499"/>
    <w:rsid w:val="00273682"/>
    <w:rsid w:val="00277929"/>
    <w:rsid w:val="00283B82"/>
    <w:rsid w:val="002846E9"/>
    <w:rsid w:val="00284C34"/>
    <w:rsid w:val="0029066C"/>
    <w:rsid w:val="002943A6"/>
    <w:rsid w:val="002A682B"/>
    <w:rsid w:val="002B1779"/>
    <w:rsid w:val="002B50DB"/>
    <w:rsid w:val="002B7BB5"/>
    <w:rsid w:val="002C0CAF"/>
    <w:rsid w:val="002C12AB"/>
    <w:rsid w:val="002C7CAC"/>
    <w:rsid w:val="002C7DE0"/>
    <w:rsid w:val="002D3306"/>
    <w:rsid w:val="002D48AA"/>
    <w:rsid w:val="002D7BAA"/>
    <w:rsid w:val="002D7F54"/>
    <w:rsid w:val="002E3FF4"/>
    <w:rsid w:val="002F0AC7"/>
    <w:rsid w:val="002F638E"/>
    <w:rsid w:val="002F78C8"/>
    <w:rsid w:val="00301CF3"/>
    <w:rsid w:val="0032278D"/>
    <w:rsid w:val="00324009"/>
    <w:rsid w:val="0032715C"/>
    <w:rsid w:val="00331B85"/>
    <w:rsid w:val="00337B19"/>
    <w:rsid w:val="00337CA5"/>
    <w:rsid w:val="00355E66"/>
    <w:rsid w:val="00362478"/>
    <w:rsid w:val="00365AB9"/>
    <w:rsid w:val="00366EDA"/>
    <w:rsid w:val="00370F84"/>
    <w:rsid w:val="00375B25"/>
    <w:rsid w:val="0038132C"/>
    <w:rsid w:val="0039033A"/>
    <w:rsid w:val="00391BB4"/>
    <w:rsid w:val="00392D6E"/>
    <w:rsid w:val="00396542"/>
    <w:rsid w:val="0039685B"/>
    <w:rsid w:val="003A31A6"/>
    <w:rsid w:val="003A7F0C"/>
    <w:rsid w:val="003A7F79"/>
    <w:rsid w:val="003B6404"/>
    <w:rsid w:val="003C449B"/>
    <w:rsid w:val="003D0064"/>
    <w:rsid w:val="003D21FF"/>
    <w:rsid w:val="003E6317"/>
    <w:rsid w:val="003F0112"/>
    <w:rsid w:val="003F071A"/>
    <w:rsid w:val="003F160B"/>
    <w:rsid w:val="003F22C7"/>
    <w:rsid w:val="00400032"/>
    <w:rsid w:val="00400B5B"/>
    <w:rsid w:val="00400B8B"/>
    <w:rsid w:val="00401C12"/>
    <w:rsid w:val="00405A00"/>
    <w:rsid w:val="00420870"/>
    <w:rsid w:val="00423BB5"/>
    <w:rsid w:val="00431798"/>
    <w:rsid w:val="00432D0C"/>
    <w:rsid w:val="0043791B"/>
    <w:rsid w:val="004402F8"/>
    <w:rsid w:val="00441483"/>
    <w:rsid w:val="00441BCB"/>
    <w:rsid w:val="0044611C"/>
    <w:rsid w:val="0045176A"/>
    <w:rsid w:val="00453ECA"/>
    <w:rsid w:val="00456332"/>
    <w:rsid w:val="00461826"/>
    <w:rsid w:val="00465443"/>
    <w:rsid w:val="00472C01"/>
    <w:rsid w:val="004800F9"/>
    <w:rsid w:val="00484893"/>
    <w:rsid w:val="0049134A"/>
    <w:rsid w:val="004949E5"/>
    <w:rsid w:val="00496FE3"/>
    <w:rsid w:val="004A2850"/>
    <w:rsid w:val="004A3F41"/>
    <w:rsid w:val="004A58CB"/>
    <w:rsid w:val="004A74FF"/>
    <w:rsid w:val="004B1795"/>
    <w:rsid w:val="004B3CA6"/>
    <w:rsid w:val="004B56DD"/>
    <w:rsid w:val="004C020F"/>
    <w:rsid w:val="004C1AFD"/>
    <w:rsid w:val="004C558B"/>
    <w:rsid w:val="004C7A29"/>
    <w:rsid w:val="004D59C7"/>
    <w:rsid w:val="004F1F88"/>
    <w:rsid w:val="004F22AF"/>
    <w:rsid w:val="004F500C"/>
    <w:rsid w:val="004F5F1B"/>
    <w:rsid w:val="0050156A"/>
    <w:rsid w:val="00502374"/>
    <w:rsid w:val="005060A1"/>
    <w:rsid w:val="00510C0A"/>
    <w:rsid w:val="00516072"/>
    <w:rsid w:val="00517D48"/>
    <w:rsid w:val="00522B31"/>
    <w:rsid w:val="00527445"/>
    <w:rsid w:val="005332EC"/>
    <w:rsid w:val="00534418"/>
    <w:rsid w:val="005352F0"/>
    <w:rsid w:val="005353AB"/>
    <w:rsid w:val="00536D31"/>
    <w:rsid w:val="00542479"/>
    <w:rsid w:val="005432E7"/>
    <w:rsid w:val="00552C65"/>
    <w:rsid w:val="005560BC"/>
    <w:rsid w:val="005573BE"/>
    <w:rsid w:val="00564B0E"/>
    <w:rsid w:val="00572700"/>
    <w:rsid w:val="00580468"/>
    <w:rsid w:val="00582231"/>
    <w:rsid w:val="0058603B"/>
    <w:rsid w:val="0059431B"/>
    <w:rsid w:val="005959F3"/>
    <w:rsid w:val="005A1AB9"/>
    <w:rsid w:val="005A39CC"/>
    <w:rsid w:val="005B4730"/>
    <w:rsid w:val="005B5F3E"/>
    <w:rsid w:val="005C1DB5"/>
    <w:rsid w:val="005C412C"/>
    <w:rsid w:val="005D6E40"/>
    <w:rsid w:val="005D7DDE"/>
    <w:rsid w:val="005E05D7"/>
    <w:rsid w:val="005E41E7"/>
    <w:rsid w:val="005E450F"/>
    <w:rsid w:val="00616AE0"/>
    <w:rsid w:val="0062298A"/>
    <w:rsid w:val="00625E23"/>
    <w:rsid w:val="0062622B"/>
    <w:rsid w:val="00626514"/>
    <w:rsid w:val="00626589"/>
    <w:rsid w:val="0062752C"/>
    <w:rsid w:val="006339A0"/>
    <w:rsid w:val="00635619"/>
    <w:rsid w:val="006413A8"/>
    <w:rsid w:val="0064262F"/>
    <w:rsid w:val="00642E56"/>
    <w:rsid w:val="00651E00"/>
    <w:rsid w:val="00674572"/>
    <w:rsid w:val="006840C8"/>
    <w:rsid w:val="00687763"/>
    <w:rsid w:val="00692B0D"/>
    <w:rsid w:val="00693E0E"/>
    <w:rsid w:val="006A1AE3"/>
    <w:rsid w:val="006B2379"/>
    <w:rsid w:val="006C30E1"/>
    <w:rsid w:val="006C4607"/>
    <w:rsid w:val="006D116E"/>
    <w:rsid w:val="006D48F1"/>
    <w:rsid w:val="006E1AB7"/>
    <w:rsid w:val="006F45BE"/>
    <w:rsid w:val="007004FC"/>
    <w:rsid w:val="00706670"/>
    <w:rsid w:val="00711F59"/>
    <w:rsid w:val="0071366E"/>
    <w:rsid w:val="00714073"/>
    <w:rsid w:val="00715484"/>
    <w:rsid w:val="007227F4"/>
    <w:rsid w:val="0072417C"/>
    <w:rsid w:val="00734450"/>
    <w:rsid w:val="00745F67"/>
    <w:rsid w:val="0075039E"/>
    <w:rsid w:val="0075279F"/>
    <w:rsid w:val="00752D9D"/>
    <w:rsid w:val="00754784"/>
    <w:rsid w:val="00757C6E"/>
    <w:rsid w:val="00762BDA"/>
    <w:rsid w:val="00772E56"/>
    <w:rsid w:val="0078006F"/>
    <w:rsid w:val="007805FD"/>
    <w:rsid w:val="00784422"/>
    <w:rsid w:val="007853A6"/>
    <w:rsid w:val="007B3B54"/>
    <w:rsid w:val="007B3FA0"/>
    <w:rsid w:val="007B4049"/>
    <w:rsid w:val="007B7516"/>
    <w:rsid w:val="007C0F2C"/>
    <w:rsid w:val="007C2BCC"/>
    <w:rsid w:val="007C4EF0"/>
    <w:rsid w:val="007D099D"/>
    <w:rsid w:val="007E2664"/>
    <w:rsid w:val="007E3ABF"/>
    <w:rsid w:val="007E5BFA"/>
    <w:rsid w:val="007E6689"/>
    <w:rsid w:val="007E731C"/>
    <w:rsid w:val="007F0A03"/>
    <w:rsid w:val="00810040"/>
    <w:rsid w:val="0082023A"/>
    <w:rsid w:val="00821A7A"/>
    <w:rsid w:val="008253F8"/>
    <w:rsid w:val="008257E1"/>
    <w:rsid w:val="008325E4"/>
    <w:rsid w:val="00832A2B"/>
    <w:rsid w:val="00845811"/>
    <w:rsid w:val="00845812"/>
    <w:rsid w:val="00846994"/>
    <w:rsid w:val="00850451"/>
    <w:rsid w:val="00851155"/>
    <w:rsid w:val="00852042"/>
    <w:rsid w:val="008534C9"/>
    <w:rsid w:val="0085599D"/>
    <w:rsid w:val="0087510C"/>
    <w:rsid w:val="008824AB"/>
    <w:rsid w:val="008934EC"/>
    <w:rsid w:val="008951BD"/>
    <w:rsid w:val="008968D2"/>
    <w:rsid w:val="0089700C"/>
    <w:rsid w:val="0089738E"/>
    <w:rsid w:val="008B5D94"/>
    <w:rsid w:val="008B5FDB"/>
    <w:rsid w:val="008C50F4"/>
    <w:rsid w:val="008C543C"/>
    <w:rsid w:val="008C5649"/>
    <w:rsid w:val="008E44A2"/>
    <w:rsid w:val="008E697D"/>
    <w:rsid w:val="008F789C"/>
    <w:rsid w:val="00901635"/>
    <w:rsid w:val="00903263"/>
    <w:rsid w:val="00906A21"/>
    <w:rsid w:val="009079C3"/>
    <w:rsid w:val="00910462"/>
    <w:rsid w:val="00915518"/>
    <w:rsid w:val="00915AB1"/>
    <w:rsid w:val="00917532"/>
    <w:rsid w:val="009235BA"/>
    <w:rsid w:val="00924023"/>
    <w:rsid w:val="00924CE2"/>
    <w:rsid w:val="00925B9F"/>
    <w:rsid w:val="00931AED"/>
    <w:rsid w:val="00936F97"/>
    <w:rsid w:val="009476A3"/>
    <w:rsid w:val="00952B10"/>
    <w:rsid w:val="0095334F"/>
    <w:rsid w:val="00965897"/>
    <w:rsid w:val="0096765C"/>
    <w:rsid w:val="009727E4"/>
    <w:rsid w:val="009809E4"/>
    <w:rsid w:val="009934C5"/>
    <w:rsid w:val="00994C0F"/>
    <w:rsid w:val="00996672"/>
    <w:rsid w:val="009A2240"/>
    <w:rsid w:val="009B22D7"/>
    <w:rsid w:val="009B72ED"/>
    <w:rsid w:val="009B7571"/>
    <w:rsid w:val="009B7595"/>
    <w:rsid w:val="009B7B8B"/>
    <w:rsid w:val="009C16EB"/>
    <w:rsid w:val="009C345B"/>
    <w:rsid w:val="009C66B3"/>
    <w:rsid w:val="009C6DEB"/>
    <w:rsid w:val="009D6504"/>
    <w:rsid w:val="009E12D7"/>
    <w:rsid w:val="009E61A8"/>
    <w:rsid w:val="009E661A"/>
    <w:rsid w:val="00A06781"/>
    <w:rsid w:val="00A074C3"/>
    <w:rsid w:val="00A1509C"/>
    <w:rsid w:val="00A22E31"/>
    <w:rsid w:val="00A249B9"/>
    <w:rsid w:val="00A2646A"/>
    <w:rsid w:val="00A34260"/>
    <w:rsid w:val="00A362D4"/>
    <w:rsid w:val="00A412BE"/>
    <w:rsid w:val="00A47849"/>
    <w:rsid w:val="00A62478"/>
    <w:rsid w:val="00A65CCE"/>
    <w:rsid w:val="00A70CFD"/>
    <w:rsid w:val="00A72A0B"/>
    <w:rsid w:val="00A81E42"/>
    <w:rsid w:val="00A864FE"/>
    <w:rsid w:val="00A86F41"/>
    <w:rsid w:val="00A87D04"/>
    <w:rsid w:val="00A950C5"/>
    <w:rsid w:val="00A95FC5"/>
    <w:rsid w:val="00AA0EBF"/>
    <w:rsid w:val="00AA1D25"/>
    <w:rsid w:val="00AB128C"/>
    <w:rsid w:val="00AB2B1A"/>
    <w:rsid w:val="00AB397F"/>
    <w:rsid w:val="00AB5832"/>
    <w:rsid w:val="00AC108D"/>
    <w:rsid w:val="00AC51F2"/>
    <w:rsid w:val="00AD3269"/>
    <w:rsid w:val="00AE4439"/>
    <w:rsid w:val="00AE5066"/>
    <w:rsid w:val="00AE5E24"/>
    <w:rsid w:val="00AE61B7"/>
    <w:rsid w:val="00AE6CBA"/>
    <w:rsid w:val="00AE79AD"/>
    <w:rsid w:val="00AF35E4"/>
    <w:rsid w:val="00AF5CDE"/>
    <w:rsid w:val="00AF6F4F"/>
    <w:rsid w:val="00B03E35"/>
    <w:rsid w:val="00B11A57"/>
    <w:rsid w:val="00B12983"/>
    <w:rsid w:val="00B211C3"/>
    <w:rsid w:val="00B2292F"/>
    <w:rsid w:val="00B23D4F"/>
    <w:rsid w:val="00B2440E"/>
    <w:rsid w:val="00B25597"/>
    <w:rsid w:val="00B267B9"/>
    <w:rsid w:val="00B30831"/>
    <w:rsid w:val="00B33E09"/>
    <w:rsid w:val="00B50708"/>
    <w:rsid w:val="00B50C68"/>
    <w:rsid w:val="00B51293"/>
    <w:rsid w:val="00B52B1E"/>
    <w:rsid w:val="00B55481"/>
    <w:rsid w:val="00B56C32"/>
    <w:rsid w:val="00B57ACF"/>
    <w:rsid w:val="00B64BB1"/>
    <w:rsid w:val="00B73166"/>
    <w:rsid w:val="00B7449D"/>
    <w:rsid w:val="00B8426C"/>
    <w:rsid w:val="00B91B8D"/>
    <w:rsid w:val="00B94E90"/>
    <w:rsid w:val="00BA5AC4"/>
    <w:rsid w:val="00BA6497"/>
    <w:rsid w:val="00BB0A82"/>
    <w:rsid w:val="00BB7C94"/>
    <w:rsid w:val="00BC0A9D"/>
    <w:rsid w:val="00BD1381"/>
    <w:rsid w:val="00BE0C01"/>
    <w:rsid w:val="00BE6A32"/>
    <w:rsid w:val="00BF40ED"/>
    <w:rsid w:val="00BF5520"/>
    <w:rsid w:val="00BF5BC2"/>
    <w:rsid w:val="00C102C2"/>
    <w:rsid w:val="00C1133D"/>
    <w:rsid w:val="00C151A7"/>
    <w:rsid w:val="00C27A08"/>
    <w:rsid w:val="00C31312"/>
    <w:rsid w:val="00C3178A"/>
    <w:rsid w:val="00C31E36"/>
    <w:rsid w:val="00C320A5"/>
    <w:rsid w:val="00C326C6"/>
    <w:rsid w:val="00C32F7F"/>
    <w:rsid w:val="00C34DF7"/>
    <w:rsid w:val="00C34F85"/>
    <w:rsid w:val="00C35295"/>
    <w:rsid w:val="00C36ADD"/>
    <w:rsid w:val="00C36E74"/>
    <w:rsid w:val="00C40595"/>
    <w:rsid w:val="00C41621"/>
    <w:rsid w:val="00C449FA"/>
    <w:rsid w:val="00C50BD2"/>
    <w:rsid w:val="00C5384F"/>
    <w:rsid w:val="00C54C6E"/>
    <w:rsid w:val="00C56964"/>
    <w:rsid w:val="00C656D5"/>
    <w:rsid w:val="00C67103"/>
    <w:rsid w:val="00C71BB9"/>
    <w:rsid w:val="00C73ED0"/>
    <w:rsid w:val="00C81DF1"/>
    <w:rsid w:val="00C9145A"/>
    <w:rsid w:val="00C94C28"/>
    <w:rsid w:val="00C9573A"/>
    <w:rsid w:val="00CA44C9"/>
    <w:rsid w:val="00CB0247"/>
    <w:rsid w:val="00CB3440"/>
    <w:rsid w:val="00CB7488"/>
    <w:rsid w:val="00CC1692"/>
    <w:rsid w:val="00CC2C18"/>
    <w:rsid w:val="00CD138B"/>
    <w:rsid w:val="00CD3E31"/>
    <w:rsid w:val="00CD74A3"/>
    <w:rsid w:val="00CE0527"/>
    <w:rsid w:val="00CE1228"/>
    <w:rsid w:val="00CE5B23"/>
    <w:rsid w:val="00CF70AD"/>
    <w:rsid w:val="00CF7729"/>
    <w:rsid w:val="00D00059"/>
    <w:rsid w:val="00D05ABD"/>
    <w:rsid w:val="00D10158"/>
    <w:rsid w:val="00D107FA"/>
    <w:rsid w:val="00D12275"/>
    <w:rsid w:val="00D12766"/>
    <w:rsid w:val="00D20FF4"/>
    <w:rsid w:val="00D24D2C"/>
    <w:rsid w:val="00D33690"/>
    <w:rsid w:val="00D35881"/>
    <w:rsid w:val="00D45AE0"/>
    <w:rsid w:val="00D51A47"/>
    <w:rsid w:val="00D704AC"/>
    <w:rsid w:val="00D81312"/>
    <w:rsid w:val="00D82C35"/>
    <w:rsid w:val="00D83C4B"/>
    <w:rsid w:val="00DA067E"/>
    <w:rsid w:val="00DA0A88"/>
    <w:rsid w:val="00DA7DA5"/>
    <w:rsid w:val="00DB073B"/>
    <w:rsid w:val="00DB78F0"/>
    <w:rsid w:val="00DC0CEA"/>
    <w:rsid w:val="00DC2E43"/>
    <w:rsid w:val="00DD095C"/>
    <w:rsid w:val="00DD1020"/>
    <w:rsid w:val="00DD1330"/>
    <w:rsid w:val="00DD5E5C"/>
    <w:rsid w:val="00DE0B83"/>
    <w:rsid w:val="00DE1A81"/>
    <w:rsid w:val="00DE1C13"/>
    <w:rsid w:val="00DE4E10"/>
    <w:rsid w:val="00DF39B7"/>
    <w:rsid w:val="00DF68ED"/>
    <w:rsid w:val="00E02ABF"/>
    <w:rsid w:val="00E031CE"/>
    <w:rsid w:val="00E075DF"/>
    <w:rsid w:val="00E14995"/>
    <w:rsid w:val="00E179CD"/>
    <w:rsid w:val="00E21C3D"/>
    <w:rsid w:val="00E23E8D"/>
    <w:rsid w:val="00E37F98"/>
    <w:rsid w:val="00E419B2"/>
    <w:rsid w:val="00E46559"/>
    <w:rsid w:val="00E50565"/>
    <w:rsid w:val="00E51B2C"/>
    <w:rsid w:val="00E52D53"/>
    <w:rsid w:val="00E611DC"/>
    <w:rsid w:val="00E6670C"/>
    <w:rsid w:val="00E66FC9"/>
    <w:rsid w:val="00E73C77"/>
    <w:rsid w:val="00E776E8"/>
    <w:rsid w:val="00E86E84"/>
    <w:rsid w:val="00E92C1F"/>
    <w:rsid w:val="00E95D4B"/>
    <w:rsid w:val="00EA372A"/>
    <w:rsid w:val="00EA7AD5"/>
    <w:rsid w:val="00EB199F"/>
    <w:rsid w:val="00EC23F7"/>
    <w:rsid w:val="00EC4BD8"/>
    <w:rsid w:val="00EC63EB"/>
    <w:rsid w:val="00ED3F44"/>
    <w:rsid w:val="00ED412F"/>
    <w:rsid w:val="00EE10FB"/>
    <w:rsid w:val="00EE4E45"/>
    <w:rsid w:val="00EE57B4"/>
    <w:rsid w:val="00EE5A5B"/>
    <w:rsid w:val="00EF23AB"/>
    <w:rsid w:val="00EF36B2"/>
    <w:rsid w:val="00EF7A8B"/>
    <w:rsid w:val="00F1052F"/>
    <w:rsid w:val="00F1246B"/>
    <w:rsid w:val="00F12727"/>
    <w:rsid w:val="00F201EC"/>
    <w:rsid w:val="00F208A9"/>
    <w:rsid w:val="00F35A00"/>
    <w:rsid w:val="00F35E40"/>
    <w:rsid w:val="00F41D75"/>
    <w:rsid w:val="00F5139D"/>
    <w:rsid w:val="00F61D3B"/>
    <w:rsid w:val="00F63DAC"/>
    <w:rsid w:val="00F7454F"/>
    <w:rsid w:val="00F77988"/>
    <w:rsid w:val="00F77F48"/>
    <w:rsid w:val="00F82D1A"/>
    <w:rsid w:val="00FB30F1"/>
    <w:rsid w:val="00FB53E7"/>
    <w:rsid w:val="00FD08D5"/>
    <w:rsid w:val="00FD2539"/>
    <w:rsid w:val="00FD2A8A"/>
    <w:rsid w:val="00FE7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
    <w:name w:val="Body Text Indent"/>
    <w:basedOn w:val="Normal"/>
    <w:link w:val="BodyTextIndentChar"/>
    <w:rsid w:val="004A2850"/>
    <w:pPr>
      <w:autoSpaceDE w:val="0"/>
      <w:autoSpaceDN w:val="0"/>
      <w:adjustRightInd w:val="0"/>
      <w:ind w:firstLine="720"/>
    </w:pPr>
    <w:rPr>
      <w:szCs w:val="20"/>
      <w:lang w:eastAsia="en-US"/>
    </w:rPr>
  </w:style>
  <w:style w:type="character" w:customStyle="1" w:styleId="BodyTextIndentChar">
    <w:name w:val="Body Text Indent Char"/>
    <w:link w:val="BodyTextIndent"/>
    <w:rsid w:val="004A2850"/>
    <w:rPr>
      <w:sz w:val="24"/>
      <w:lang w:eastAsia="en-US"/>
    </w:rPr>
  </w:style>
  <w:style w:type="paragraph" w:customStyle="1" w:styleId="NormalLatvian">
    <w:name w:val="Normal – Latvian"/>
    <w:basedOn w:val="Normal"/>
    <w:rsid w:val="004A2850"/>
    <w:pPr>
      <w:tabs>
        <w:tab w:val="left" w:pos="1829"/>
      </w:tabs>
      <w:spacing w:after="120"/>
      <w:jc w:val="both"/>
    </w:pPr>
    <w:rPr>
      <w:sz w:val="28"/>
      <w:szCs w:val="28"/>
      <w:lang w:eastAsia="en-US"/>
    </w:rPr>
  </w:style>
  <w:style w:type="numbering" w:customStyle="1" w:styleId="NoList1">
    <w:name w:val="No List1"/>
    <w:next w:val="NoList"/>
    <w:uiPriority w:val="99"/>
    <w:semiHidden/>
    <w:unhideWhenUsed/>
    <w:rsid w:val="00AF6F4F"/>
  </w:style>
  <w:style w:type="paragraph" w:customStyle="1" w:styleId="N1">
    <w:name w:val="N1"/>
    <w:basedOn w:val="Normal"/>
    <w:qFormat/>
    <w:rsid w:val="00AF6F4F"/>
  </w:style>
  <w:style w:type="character" w:styleId="PlaceholderText">
    <w:name w:val="Placeholder Text"/>
    <w:basedOn w:val="DefaultParagraphFont"/>
    <w:uiPriority w:val="99"/>
    <w:semiHidden/>
    <w:rsid w:val="005C1DB5"/>
    <w:rPr>
      <w:color w:val="808080"/>
    </w:rPr>
  </w:style>
  <w:style w:type="paragraph" w:styleId="ListParagraph">
    <w:name w:val="List Paragraph"/>
    <w:basedOn w:val="Normal"/>
    <w:uiPriority w:val="34"/>
    <w:qFormat/>
    <w:rsid w:val="001E3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
    <w:name w:val="Body Text Indent"/>
    <w:basedOn w:val="Normal"/>
    <w:link w:val="BodyTextIndentChar"/>
    <w:rsid w:val="004A2850"/>
    <w:pPr>
      <w:autoSpaceDE w:val="0"/>
      <w:autoSpaceDN w:val="0"/>
      <w:adjustRightInd w:val="0"/>
      <w:ind w:firstLine="720"/>
    </w:pPr>
    <w:rPr>
      <w:szCs w:val="20"/>
      <w:lang w:eastAsia="en-US"/>
    </w:rPr>
  </w:style>
  <w:style w:type="character" w:customStyle="1" w:styleId="BodyTextIndentChar">
    <w:name w:val="Body Text Indent Char"/>
    <w:link w:val="BodyTextIndent"/>
    <w:rsid w:val="004A2850"/>
    <w:rPr>
      <w:sz w:val="24"/>
      <w:lang w:eastAsia="en-US"/>
    </w:rPr>
  </w:style>
  <w:style w:type="paragraph" w:customStyle="1" w:styleId="NormalLatvian">
    <w:name w:val="Normal – Latvian"/>
    <w:basedOn w:val="Normal"/>
    <w:rsid w:val="004A2850"/>
    <w:pPr>
      <w:tabs>
        <w:tab w:val="left" w:pos="1829"/>
      </w:tabs>
      <w:spacing w:after="120"/>
      <w:jc w:val="both"/>
    </w:pPr>
    <w:rPr>
      <w:sz w:val="28"/>
      <w:szCs w:val="28"/>
      <w:lang w:eastAsia="en-US"/>
    </w:rPr>
  </w:style>
  <w:style w:type="numbering" w:customStyle="1" w:styleId="NoList1">
    <w:name w:val="No List1"/>
    <w:next w:val="NoList"/>
    <w:uiPriority w:val="99"/>
    <w:semiHidden/>
    <w:unhideWhenUsed/>
    <w:rsid w:val="00AF6F4F"/>
  </w:style>
  <w:style w:type="paragraph" w:customStyle="1" w:styleId="N1">
    <w:name w:val="N1"/>
    <w:basedOn w:val="Normal"/>
    <w:qFormat/>
    <w:rsid w:val="00AF6F4F"/>
  </w:style>
  <w:style w:type="character" w:styleId="PlaceholderText">
    <w:name w:val="Placeholder Text"/>
    <w:basedOn w:val="DefaultParagraphFont"/>
    <w:uiPriority w:val="99"/>
    <w:semiHidden/>
    <w:rsid w:val="005C1DB5"/>
    <w:rPr>
      <w:color w:val="808080"/>
    </w:rPr>
  </w:style>
  <w:style w:type="paragraph" w:styleId="ListParagraph">
    <w:name w:val="List Paragraph"/>
    <w:basedOn w:val="Normal"/>
    <w:uiPriority w:val="34"/>
    <w:qFormat/>
    <w:rsid w:val="001E3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9782">
      <w:bodyDiv w:val="1"/>
      <w:marLeft w:val="0"/>
      <w:marRight w:val="0"/>
      <w:marTop w:val="0"/>
      <w:marBottom w:val="0"/>
      <w:divBdr>
        <w:top w:val="none" w:sz="0" w:space="0" w:color="auto"/>
        <w:left w:val="none" w:sz="0" w:space="0" w:color="auto"/>
        <w:bottom w:val="none" w:sz="0" w:space="0" w:color="auto"/>
        <w:right w:val="none" w:sz="0" w:space="0" w:color="auto"/>
      </w:divBdr>
    </w:div>
    <w:div w:id="495846148">
      <w:bodyDiv w:val="1"/>
      <w:marLeft w:val="0"/>
      <w:marRight w:val="0"/>
      <w:marTop w:val="0"/>
      <w:marBottom w:val="0"/>
      <w:divBdr>
        <w:top w:val="none" w:sz="0" w:space="0" w:color="auto"/>
        <w:left w:val="none" w:sz="0" w:space="0" w:color="auto"/>
        <w:bottom w:val="none" w:sz="0" w:space="0" w:color="auto"/>
        <w:right w:val="none" w:sz="0" w:space="0" w:color="auto"/>
      </w:divBdr>
    </w:div>
    <w:div w:id="508178478">
      <w:bodyDiv w:val="1"/>
      <w:marLeft w:val="0"/>
      <w:marRight w:val="0"/>
      <w:marTop w:val="0"/>
      <w:marBottom w:val="0"/>
      <w:divBdr>
        <w:top w:val="none" w:sz="0" w:space="0" w:color="auto"/>
        <w:left w:val="none" w:sz="0" w:space="0" w:color="auto"/>
        <w:bottom w:val="none" w:sz="0" w:space="0" w:color="auto"/>
        <w:right w:val="none" w:sz="0" w:space="0" w:color="auto"/>
      </w:divBdr>
    </w:div>
    <w:div w:id="527719410">
      <w:bodyDiv w:val="1"/>
      <w:marLeft w:val="0"/>
      <w:marRight w:val="0"/>
      <w:marTop w:val="0"/>
      <w:marBottom w:val="0"/>
      <w:divBdr>
        <w:top w:val="none" w:sz="0" w:space="0" w:color="auto"/>
        <w:left w:val="none" w:sz="0" w:space="0" w:color="auto"/>
        <w:bottom w:val="none" w:sz="0" w:space="0" w:color="auto"/>
        <w:right w:val="none" w:sz="0" w:space="0" w:color="auto"/>
      </w:divBdr>
    </w:div>
    <w:div w:id="543099393">
      <w:bodyDiv w:val="1"/>
      <w:marLeft w:val="0"/>
      <w:marRight w:val="0"/>
      <w:marTop w:val="0"/>
      <w:marBottom w:val="0"/>
      <w:divBdr>
        <w:top w:val="none" w:sz="0" w:space="0" w:color="auto"/>
        <w:left w:val="none" w:sz="0" w:space="0" w:color="auto"/>
        <w:bottom w:val="none" w:sz="0" w:space="0" w:color="auto"/>
        <w:right w:val="none" w:sz="0" w:space="0" w:color="auto"/>
      </w:divBdr>
    </w:div>
    <w:div w:id="805123804">
      <w:bodyDiv w:val="1"/>
      <w:marLeft w:val="0"/>
      <w:marRight w:val="0"/>
      <w:marTop w:val="0"/>
      <w:marBottom w:val="0"/>
      <w:divBdr>
        <w:top w:val="none" w:sz="0" w:space="0" w:color="auto"/>
        <w:left w:val="none" w:sz="0" w:space="0" w:color="auto"/>
        <w:bottom w:val="none" w:sz="0" w:space="0" w:color="auto"/>
        <w:right w:val="none" w:sz="0" w:space="0" w:color="auto"/>
      </w:divBdr>
    </w:div>
    <w:div w:id="836916853">
      <w:bodyDiv w:val="1"/>
      <w:marLeft w:val="0"/>
      <w:marRight w:val="0"/>
      <w:marTop w:val="0"/>
      <w:marBottom w:val="0"/>
      <w:divBdr>
        <w:top w:val="none" w:sz="0" w:space="0" w:color="auto"/>
        <w:left w:val="none" w:sz="0" w:space="0" w:color="auto"/>
        <w:bottom w:val="none" w:sz="0" w:space="0" w:color="auto"/>
        <w:right w:val="none" w:sz="0" w:space="0" w:color="auto"/>
      </w:divBdr>
    </w:div>
    <w:div w:id="964234945">
      <w:bodyDiv w:val="1"/>
      <w:marLeft w:val="0"/>
      <w:marRight w:val="0"/>
      <w:marTop w:val="0"/>
      <w:marBottom w:val="0"/>
      <w:divBdr>
        <w:top w:val="none" w:sz="0" w:space="0" w:color="auto"/>
        <w:left w:val="none" w:sz="0" w:space="0" w:color="auto"/>
        <w:bottom w:val="none" w:sz="0" w:space="0" w:color="auto"/>
        <w:right w:val="none" w:sz="0" w:space="0" w:color="auto"/>
      </w:divBdr>
    </w:div>
    <w:div w:id="1050609747">
      <w:bodyDiv w:val="1"/>
      <w:marLeft w:val="0"/>
      <w:marRight w:val="0"/>
      <w:marTop w:val="0"/>
      <w:marBottom w:val="0"/>
      <w:divBdr>
        <w:top w:val="none" w:sz="0" w:space="0" w:color="auto"/>
        <w:left w:val="none" w:sz="0" w:space="0" w:color="auto"/>
        <w:bottom w:val="none" w:sz="0" w:space="0" w:color="auto"/>
        <w:right w:val="none" w:sz="0" w:space="0" w:color="auto"/>
      </w:divBdr>
    </w:div>
    <w:div w:id="1126703458">
      <w:bodyDiv w:val="1"/>
      <w:marLeft w:val="0"/>
      <w:marRight w:val="0"/>
      <w:marTop w:val="0"/>
      <w:marBottom w:val="0"/>
      <w:divBdr>
        <w:top w:val="none" w:sz="0" w:space="0" w:color="auto"/>
        <w:left w:val="none" w:sz="0" w:space="0" w:color="auto"/>
        <w:bottom w:val="none" w:sz="0" w:space="0" w:color="auto"/>
        <w:right w:val="none" w:sz="0" w:space="0" w:color="auto"/>
      </w:divBdr>
    </w:div>
    <w:div w:id="1230768944">
      <w:bodyDiv w:val="1"/>
      <w:marLeft w:val="0"/>
      <w:marRight w:val="0"/>
      <w:marTop w:val="0"/>
      <w:marBottom w:val="0"/>
      <w:divBdr>
        <w:top w:val="none" w:sz="0" w:space="0" w:color="auto"/>
        <w:left w:val="none" w:sz="0" w:space="0" w:color="auto"/>
        <w:bottom w:val="none" w:sz="0" w:space="0" w:color="auto"/>
        <w:right w:val="none" w:sz="0" w:space="0" w:color="auto"/>
      </w:divBdr>
    </w:div>
    <w:div w:id="1291473353">
      <w:bodyDiv w:val="1"/>
      <w:marLeft w:val="0"/>
      <w:marRight w:val="0"/>
      <w:marTop w:val="0"/>
      <w:marBottom w:val="0"/>
      <w:divBdr>
        <w:top w:val="none" w:sz="0" w:space="0" w:color="auto"/>
        <w:left w:val="none" w:sz="0" w:space="0" w:color="auto"/>
        <w:bottom w:val="none" w:sz="0" w:space="0" w:color="auto"/>
        <w:right w:val="none" w:sz="0" w:space="0" w:color="auto"/>
      </w:divBdr>
    </w:div>
    <w:div w:id="1299339839">
      <w:bodyDiv w:val="1"/>
      <w:marLeft w:val="0"/>
      <w:marRight w:val="0"/>
      <w:marTop w:val="0"/>
      <w:marBottom w:val="0"/>
      <w:divBdr>
        <w:top w:val="none" w:sz="0" w:space="0" w:color="auto"/>
        <w:left w:val="none" w:sz="0" w:space="0" w:color="auto"/>
        <w:bottom w:val="none" w:sz="0" w:space="0" w:color="auto"/>
        <w:right w:val="none" w:sz="0" w:space="0" w:color="auto"/>
      </w:divBdr>
    </w:div>
    <w:div w:id="1318919193">
      <w:bodyDiv w:val="1"/>
      <w:marLeft w:val="0"/>
      <w:marRight w:val="0"/>
      <w:marTop w:val="0"/>
      <w:marBottom w:val="0"/>
      <w:divBdr>
        <w:top w:val="none" w:sz="0" w:space="0" w:color="auto"/>
        <w:left w:val="none" w:sz="0" w:space="0" w:color="auto"/>
        <w:bottom w:val="none" w:sz="0" w:space="0" w:color="auto"/>
        <w:right w:val="none" w:sz="0" w:space="0" w:color="auto"/>
      </w:divBdr>
    </w:div>
    <w:div w:id="1377697978">
      <w:bodyDiv w:val="1"/>
      <w:marLeft w:val="0"/>
      <w:marRight w:val="0"/>
      <w:marTop w:val="0"/>
      <w:marBottom w:val="0"/>
      <w:divBdr>
        <w:top w:val="none" w:sz="0" w:space="0" w:color="auto"/>
        <w:left w:val="none" w:sz="0" w:space="0" w:color="auto"/>
        <w:bottom w:val="none" w:sz="0" w:space="0" w:color="auto"/>
        <w:right w:val="none" w:sz="0" w:space="0" w:color="auto"/>
      </w:divBdr>
    </w:div>
    <w:div w:id="1489398230">
      <w:bodyDiv w:val="1"/>
      <w:marLeft w:val="0"/>
      <w:marRight w:val="0"/>
      <w:marTop w:val="0"/>
      <w:marBottom w:val="0"/>
      <w:divBdr>
        <w:top w:val="none" w:sz="0" w:space="0" w:color="auto"/>
        <w:left w:val="none" w:sz="0" w:space="0" w:color="auto"/>
        <w:bottom w:val="none" w:sz="0" w:space="0" w:color="auto"/>
        <w:right w:val="none" w:sz="0" w:space="0" w:color="auto"/>
      </w:divBdr>
    </w:div>
    <w:div w:id="1535389773">
      <w:bodyDiv w:val="1"/>
      <w:marLeft w:val="0"/>
      <w:marRight w:val="0"/>
      <w:marTop w:val="0"/>
      <w:marBottom w:val="0"/>
      <w:divBdr>
        <w:top w:val="none" w:sz="0" w:space="0" w:color="auto"/>
        <w:left w:val="none" w:sz="0" w:space="0" w:color="auto"/>
        <w:bottom w:val="none" w:sz="0" w:space="0" w:color="auto"/>
        <w:right w:val="none" w:sz="0" w:space="0" w:color="auto"/>
      </w:divBdr>
    </w:div>
    <w:div w:id="1545293091">
      <w:bodyDiv w:val="1"/>
      <w:marLeft w:val="0"/>
      <w:marRight w:val="0"/>
      <w:marTop w:val="0"/>
      <w:marBottom w:val="0"/>
      <w:divBdr>
        <w:top w:val="none" w:sz="0" w:space="0" w:color="auto"/>
        <w:left w:val="none" w:sz="0" w:space="0" w:color="auto"/>
        <w:bottom w:val="none" w:sz="0" w:space="0" w:color="auto"/>
        <w:right w:val="none" w:sz="0" w:space="0" w:color="auto"/>
      </w:divBdr>
    </w:div>
    <w:div w:id="1574850331">
      <w:bodyDiv w:val="1"/>
      <w:marLeft w:val="0"/>
      <w:marRight w:val="0"/>
      <w:marTop w:val="0"/>
      <w:marBottom w:val="0"/>
      <w:divBdr>
        <w:top w:val="none" w:sz="0" w:space="0" w:color="auto"/>
        <w:left w:val="none" w:sz="0" w:space="0" w:color="auto"/>
        <w:bottom w:val="none" w:sz="0" w:space="0" w:color="auto"/>
        <w:right w:val="none" w:sz="0" w:space="0" w:color="auto"/>
      </w:divBdr>
    </w:div>
    <w:div w:id="1709332966">
      <w:bodyDiv w:val="1"/>
      <w:marLeft w:val="0"/>
      <w:marRight w:val="0"/>
      <w:marTop w:val="0"/>
      <w:marBottom w:val="0"/>
      <w:divBdr>
        <w:top w:val="none" w:sz="0" w:space="0" w:color="auto"/>
        <w:left w:val="none" w:sz="0" w:space="0" w:color="auto"/>
        <w:bottom w:val="none" w:sz="0" w:space="0" w:color="auto"/>
        <w:right w:val="none" w:sz="0" w:space="0" w:color="auto"/>
      </w:divBdr>
    </w:div>
    <w:div w:id="1816144540">
      <w:bodyDiv w:val="1"/>
      <w:marLeft w:val="0"/>
      <w:marRight w:val="0"/>
      <w:marTop w:val="0"/>
      <w:marBottom w:val="0"/>
      <w:divBdr>
        <w:top w:val="none" w:sz="0" w:space="0" w:color="auto"/>
        <w:left w:val="none" w:sz="0" w:space="0" w:color="auto"/>
        <w:bottom w:val="none" w:sz="0" w:space="0" w:color="auto"/>
        <w:right w:val="none" w:sz="0" w:space="0" w:color="auto"/>
      </w:divBdr>
    </w:div>
    <w:div w:id="1859737273">
      <w:bodyDiv w:val="1"/>
      <w:marLeft w:val="0"/>
      <w:marRight w:val="0"/>
      <w:marTop w:val="0"/>
      <w:marBottom w:val="0"/>
      <w:divBdr>
        <w:top w:val="none" w:sz="0" w:space="0" w:color="auto"/>
        <w:left w:val="none" w:sz="0" w:space="0" w:color="auto"/>
        <w:bottom w:val="none" w:sz="0" w:space="0" w:color="auto"/>
        <w:right w:val="none" w:sz="0" w:space="0" w:color="auto"/>
      </w:divBdr>
    </w:div>
    <w:div w:id="1861429270">
      <w:bodyDiv w:val="1"/>
      <w:marLeft w:val="0"/>
      <w:marRight w:val="0"/>
      <w:marTop w:val="0"/>
      <w:marBottom w:val="0"/>
      <w:divBdr>
        <w:top w:val="none" w:sz="0" w:space="0" w:color="auto"/>
        <w:left w:val="none" w:sz="0" w:space="0" w:color="auto"/>
        <w:bottom w:val="none" w:sz="0" w:space="0" w:color="auto"/>
        <w:right w:val="none" w:sz="0" w:space="0" w:color="auto"/>
      </w:divBdr>
    </w:div>
    <w:div w:id="1889997135">
      <w:bodyDiv w:val="1"/>
      <w:marLeft w:val="0"/>
      <w:marRight w:val="0"/>
      <w:marTop w:val="0"/>
      <w:marBottom w:val="0"/>
      <w:divBdr>
        <w:top w:val="none" w:sz="0" w:space="0" w:color="auto"/>
        <w:left w:val="none" w:sz="0" w:space="0" w:color="auto"/>
        <w:bottom w:val="none" w:sz="0" w:space="0" w:color="auto"/>
        <w:right w:val="none" w:sz="0" w:space="0" w:color="auto"/>
      </w:divBdr>
    </w:div>
    <w:div w:id="1901674060">
      <w:bodyDiv w:val="1"/>
      <w:marLeft w:val="0"/>
      <w:marRight w:val="0"/>
      <w:marTop w:val="0"/>
      <w:marBottom w:val="0"/>
      <w:divBdr>
        <w:top w:val="none" w:sz="0" w:space="0" w:color="auto"/>
        <w:left w:val="none" w:sz="0" w:space="0" w:color="auto"/>
        <w:bottom w:val="none" w:sz="0" w:space="0" w:color="auto"/>
        <w:right w:val="none" w:sz="0" w:space="0" w:color="auto"/>
      </w:divBdr>
    </w:div>
    <w:div w:id="1947616056">
      <w:bodyDiv w:val="1"/>
      <w:marLeft w:val="0"/>
      <w:marRight w:val="0"/>
      <w:marTop w:val="0"/>
      <w:marBottom w:val="0"/>
      <w:divBdr>
        <w:top w:val="none" w:sz="0" w:space="0" w:color="auto"/>
        <w:left w:val="none" w:sz="0" w:space="0" w:color="auto"/>
        <w:bottom w:val="none" w:sz="0" w:space="0" w:color="auto"/>
        <w:right w:val="none" w:sz="0" w:space="0" w:color="auto"/>
      </w:divBdr>
    </w:div>
    <w:div w:id="1987972571">
      <w:bodyDiv w:val="1"/>
      <w:marLeft w:val="0"/>
      <w:marRight w:val="0"/>
      <w:marTop w:val="0"/>
      <w:marBottom w:val="0"/>
      <w:divBdr>
        <w:top w:val="none" w:sz="0" w:space="0" w:color="auto"/>
        <w:left w:val="none" w:sz="0" w:space="0" w:color="auto"/>
        <w:bottom w:val="none" w:sz="0" w:space="0" w:color="auto"/>
        <w:right w:val="none" w:sz="0" w:space="0" w:color="auto"/>
      </w:divBdr>
    </w:div>
    <w:div w:id="2069527342">
      <w:bodyDiv w:val="1"/>
      <w:marLeft w:val="0"/>
      <w:marRight w:val="0"/>
      <w:marTop w:val="0"/>
      <w:marBottom w:val="0"/>
      <w:divBdr>
        <w:top w:val="none" w:sz="0" w:space="0" w:color="auto"/>
        <w:left w:val="none" w:sz="0" w:space="0" w:color="auto"/>
        <w:bottom w:val="none" w:sz="0" w:space="0" w:color="auto"/>
        <w:right w:val="none" w:sz="0" w:space="0" w:color="auto"/>
      </w:divBdr>
    </w:div>
    <w:div w:id="2070834886">
      <w:bodyDiv w:val="1"/>
      <w:marLeft w:val="0"/>
      <w:marRight w:val="0"/>
      <w:marTop w:val="0"/>
      <w:marBottom w:val="0"/>
      <w:divBdr>
        <w:top w:val="none" w:sz="0" w:space="0" w:color="auto"/>
        <w:left w:val="none" w:sz="0" w:space="0" w:color="auto"/>
        <w:bottom w:val="none" w:sz="0" w:space="0" w:color="auto"/>
        <w:right w:val="none" w:sz="0" w:space="0" w:color="auto"/>
      </w:divBdr>
    </w:div>
    <w:div w:id="21197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FCA5-3CC9-459F-A379-DFDCE3CE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8180</Words>
  <Characters>55884</Characters>
  <Application>Microsoft Office Word</Application>
  <DocSecurity>0</DocSecurity>
  <Lines>2794</Lines>
  <Paragraphs>821</Paragraphs>
  <ScaleCrop>false</ScaleCrop>
  <HeadingPairs>
    <vt:vector size="2" baseType="variant">
      <vt:variant>
        <vt:lpstr>Title</vt:lpstr>
      </vt:variant>
      <vt:variant>
        <vt:i4>1</vt:i4>
      </vt:variant>
    </vt:vector>
  </HeadingPairs>
  <TitlesOfParts>
    <vt:vector size="1" baseType="lpstr">
      <vt:lpstr/>
    </vt:vector>
  </TitlesOfParts>
  <Manager>Ieva Kurme</Manager>
  <Company>CSP</Company>
  <LinksUpToDate>false</LinksUpToDate>
  <CharactersWithSpaces>63243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Noteikumi par valsts statistiskās informācijas programmu 2013. gadam</dc:subject>
  <dc:creator>Ieva Kurme</dc:creator>
  <cp:keywords>Noteikumi par valsts statistiskās informācijas programmu 2013. gadam</cp:keywords>
  <cp:lastModifiedBy>Ieva Kurme</cp:lastModifiedBy>
  <cp:revision>4</cp:revision>
  <cp:lastPrinted>2010-01-04T11:31:00Z</cp:lastPrinted>
  <dcterms:created xsi:type="dcterms:W3CDTF">2013-12-05T14:28:00Z</dcterms:created>
  <dcterms:modified xsi:type="dcterms:W3CDTF">2013-12-05T14:36:00Z</dcterms:modified>
</cp:coreProperties>
</file>