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36" w:rsidRDefault="00E12836" w:rsidP="00E12836">
      <w:pPr>
        <w:pStyle w:val="naisf"/>
        <w:spacing w:before="0" w:after="0"/>
        <w:jc w:val="center"/>
        <w:rPr>
          <w:b/>
          <w:bCs/>
        </w:rPr>
      </w:pPr>
      <w:bookmarkStart w:id="0" w:name="OLE_LINK4"/>
      <w:bookmarkStart w:id="1" w:name="OLE_LINK5"/>
      <w:r>
        <w:rPr>
          <w:b/>
        </w:rPr>
        <w:t>Likumprojekta</w:t>
      </w:r>
      <w:r w:rsidRPr="00FF5FD0">
        <w:rPr>
          <w:b/>
        </w:rPr>
        <w:t xml:space="preserve"> „</w:t>
      </w:r>
      <w:r>
        <w:rPr>
          <w:b/>
        </w:rPr>
        <w:t>Grozījums likumā „Par nodokļiem un nodevām”</w:t>
      </w:r>
      <w:r w:rsidRPr="00BA0369">
        <w:rPr>
          <w:b/>
          <w:bCs/>
        </w:rPr>
        <w:t>”</w:t>
      </w:r>
      <w:r w:rsidRPr="00BA0369">
        <w:rPr>
          <w:b/>
        </w:rPr>
        <w:t xml:space="preserve"> </w:t>
      </w:r>
      <w:r w:rsidRPr="00BA0369">
        <w:rPr>
          <w:b/>
          <w:bCs/>
        </w:rPr>
        <w:t>sākotnējās ietekmes novērtējuma ziņojums (anotācija)</w:t>
      </w:r>
    </w:p>
    <w:bookmarkEnd w:id="0"/>
    <w:bookmarkEnd w:id="1"/>
    <w:p w:rsidR="00B843C2" w:rsidRPr="00BA0369" w:rsidRDefault="00B843C2" w:rsidP="00AA41AB">
      <w:pPr>
        <w:pStyle w:val="naisf"/>
        <w:spacing w:before="0" w:after="0"/>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
        <w:gridCol w:w="2143"/>
        <w:gridCol w:w="6736"/>
      </w:tblGrid>
      <w:tr w:rsidR="002E43E8" w:rsidRPr="00BA0369"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BA0369"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I. Tiesību akta projekta izstrādes nepieciešamība</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Pamatojums</w:t>
            </w:r>
          </w:p>
        </w:tc>
        <w:tc>
          <w:tcPr>
            <w:tcW w:w="3628" w:type="pct"/>
            <w:tcBorders>
              <w:top w:val="outset" w:sz="6" w:space="0" w:color="auto"/>
              <w:left w:val="outset" w:sz="6" w:space="0" w:color="auto"/>
              <w:bottom w:val="outset" w:sz="6" w:space="0" w:color="auto"/>
              <w:right w:val="outset" w:sz="6" w:space="0" w:color="auto"/>
            </w:tcBorders>
            <w:hideMark/>
          </w:tcPr>
          <w:p w:rsidR="00110AA1" w:rsidRPr="00B8575B" w:rsidRDefault="00AA41AB" w:rsidP="00B65440">
            <w:pPr>
              <w:pStyle w:val="naislab"/>
              <w:spacing w:before="0" w:after="0"/>
              <w:ind w:left="104" w:right="57"/>
              <w:jc w:val="both"/>
              <w:rPr>
                <w:color w:val="000000" w:themeColor="text1"/>
              </w:rPr>
            </w:pPr>
            <w:r w:rsidRPr="00B8575B">
              <w:rPr>
                <w:color w:val="000000" w:themeColor="text1"/>
              </w:rPr>
              <w:t xml:space="preserve">Jūras vides aizsardzības un pārvaldības likuma 19.panta </w:t>
            </w:r>
            <w:r w:rsidR="00E12836" w:rsidRPr="00B8575B">
              <w:rPr>
                <w:color w:val="000000" w:themeColor="text1"/>
              </w:rPr>
              <w:t>piektā</w:t>
            </w:r>
            <w:r w:rsidR="00B65440">
              <w:rPr>
                <w:color w:val="000000" w:themeColor="text1"/>
              </w:rPr>
              <w:t xml:space="preserve"> daļa</w:t>
            </w:r>
            <w:r w:rsidRPr="00B8575B">
              <w:rPr>
                <w:color w:val="000000" w:themeColor="text1"/>
              </w:rPr>
              <w:t xml:space="preserve"> nosaka Ministru kabinetam deleģējumu </w:t>
            </w:r>
            <w:r w:rsidR="00E12836" w:rsidRPr="00B8575B">
              <w:rPr>
                <w:color w:val="000000" w:themeColor="text1"/>
              </w:rPr>
              <w:t xml:space="preserve">noteikt nodevas par atļaujas laukuma jūrā izmantošanu </w:t>
            </w:r>
            <w:r w:rsidR="00E12836" w:rsidRPr="00B8575B">
              <w:rPr>
                <w:bCs/>
              </w:rPr>
              <w:t>mākslīgo salu, būvju un iekārtu, tajā skaitā platformu un enerģijas ražošanai nepieciešamo iekārtu, būvniecībai, ierīkošanai, ar to saistītai izpētei un ekspluatācijai</w:t>
            </w:r>
            <w:r w:rsidR="00B8575B">
              <w:rPr>
                <w:bCs/>
              </w:rPr>
              <w:t xml:space="preserve"> maksāšanas kārtību un apmēru, kā arī atbrīvojumus no nodevas maksāšanas</w:t>
            </w:r>
            <w:r w:rsidR="00B8575B">
              <w:rPr>
                <w:color w:val="000000" w:themeColor="text1"/>
              </w:rPr>
              <w:t xml:space="preserve">.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Pašreizējā situācija un problēmas</w:t>
            </w:r>
          </w:p>
        </w:tc>
        <w:tc>
          <w:tcPr>
            <w:tcW w:w="3628" w:type="pct"/>
            <w:tcBorders>
              <w:top w:val="outset" w:sz="6" w:space="0" w:color="auto"/>
              <w:left w:val="outset" w:sz="6" w:space="0" w:color="auto"/>
              <w:bottom w:val="outset" w:sz="6" w:space="0" w:color="auto"/>
              <w:right w:val="outset" w:sz="6" w:space="0" w:color="auto"/>
            </w:tcBorders>
            <w:hideMark/>
          </w:tcPr>
          <w:p w:rsidR="00AA41AB" w:rsidRPr="00B65440" w:rsidRDefault="00AA41AB" w:rsidP="00A47A62">
            <w:pPr>
              <w:spacing w:after="0" w:line="240" w:lineRule="auto"/>
              <w:jc w:val="both"/>
              <w:rPr>
                <w:rFonts w:ascii="Times New Roman" w:eastAsia="Times New Roman" w:hAnsi="Times New Roman"/>
                <w:bCs/>
                <w:sz w:val="24"/>
                <w:szCs w:val="24"/>
                <w:lang w:eastAsia="lv-LV"/>
              </w:rPr>
            </w:pPr>
            <w:r w:rsidRPr="00B65440">
              <w:rPr>
                <w:rFonts w:ascii="Times New Roman" w:eastAsia="Times New Roman" w:hAnsi="Times New Roman"/>
                <w:bCs/>
                <w:sz w:val="24"/>
                <w:szCs w:val="24"/>
                <w:lang w:eastAsia="lv-LV"/>
              </w:rPr>
              <w:t>Jūras vides aizsardzības un pārvaldības likum</w:t>
            </w:r>
            <w:r w:rsidR="00B8575B" w:rsidRPr="00B65440">
              <w:rPr>
                <w:rFonts w:ascii="Times New Roman" w:eastAsia="Times New Roman" w:hAnsi="Times New Roman"/>
                <w:bCs/>
                <w:sz w:val="24"/>
                <w:szCs w:val="24"/>
                <w:lang w:eastAsia="lv-LV"/>
              </w:rPr>
              <w:t>a piektā daļa</w:t>
            </w:r>
            <w:r w:rsidRPr="00B65440">
              <w:rPr>
                <w:rFonts w:ascii="Times New Roman" w:eastAsia="Times New Roman" w:hAnsi="Times New Roman"/>
                <w:bCs/>
                <w:sz w:val="24"/>
                <w:szCs w:val="24"/>
                <w:lang w:eastAsia="lv-LV"/>
              </w:rPr>
              <w:t xml:space="preserve"> nosaka, ka Ministru kabinets</w:t>
            </w:r>
            <w:r w:rsidR="00B8575B" w:rsidRPr="00B65440">
              <w:rPr>
                <w:rFonts w:ascii="Times New Roman" w:eastAsia="Times New Roman" w:hAnsi="Times New Roman"/>
                <w:bCs/>
                <w:sz w:val="24"/>
                <w:szCs w:val="24"/>
                <w:lang w:eastAsia="lv-LV"/>
              </w:rPr>
              <w:t xml:space="preserve"> reglamentē nodevas par atļaujas laukuma jūrā izmantošanu mākslīgo salu, būvju un iekārtu, tajā skaitā platformu un enerģijas ražošanai nepieciešamo iekārtu, būvniecībai, ierīkošanai, ar to saistītai izpētei un ekspluatācijai maksāšanas kārtību un apmēru, kā arī atbrīvojumus no nodevas maksāšanas.</w:t>
            </w:r>
          </w:p>
          <w:p w:rsidR="000A1B39" w:rsidRPr="00BA0369" w:rsidRDefault="00B8575B" w:rsidP="00014E96">
            <w:pPr>
              <w:spacing w:after="0" w:line="240" w:lineRule="auto"/>
              <w:jc w:val="both"/>
              <w:rPr>
                <w:rFonts w:ascii="Times New Roman" w:hAnsi="Times New Roman"/>
                <w:color w:val="000000" w:themeColor="text1"/>
                <w:sz w:val="24"/>
                <w:szCs w:val="24"/>
              </w:rPr>
            </w:pPr>
            <w:r w:rsidRPr="00B65440">
              <w:rPr>
                <w:rFonts w:ascii="Times New Roman" w:eastAsia="Times New Roman" w:hAnsi="Times New Roman"/>
                <w:bCs/>
                <w:sz w:val="24"/>
                <w:szCs w:val="24"/>
                <w:lang w:eastAsia="lv-LV"/>
              </w:rPr>
              <w:t>Likuma „Par nodokļiem un nodevām” 11.pants nesatur Jūras vides aizsardzības un pārvaldības likumā noteikto nodevas objektu.</w:t>
            </w:r>
            <w:r w:rsidR="00F7548D">
              <w:rPr>
                <w:rFonts w:ascii="Times New Roman" w:hAnsi="Times New Roman"/>
                <w:sz w:val="24"/>
                <w:szCs w:val="24"/>
              </w:rPr>
              <w:t xml:space="preserve">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Saistītie politikas ietekmes novērtējumi un pētījumi</w:t>
            </w:r>
          </w:p>
        </w:tc>
        <w:tc>
          <w:tcPr>
            <w:tcW w:w="3628" w:type="pct"/>
            <w:tcBorders>
              <w:top w:val="outset" w:sz="6" w:space="0" w:color="auto"/>
              <w:left w:val="outset" w:sz="6" w:space="0" w:color="auto"/>
              <w:bottom w:val="outset" w:sz="6" w:space="0" w:color="auto"/>
              <w:right w:val="outset" w:sz="6" w:space="0" w:color="auto"/>
            </w:tcBorders>
            <w:hideMark/>
          </w:tcPr>
          <w:p w:rsidR="006D1CF8" w:rsidRPr="00BA0369" w:rsidRDefault="00014E96" w:rsidP="003E4698">
            <w:pPr>
              <w:spacing w:after="0" w:line="240" w:lineRule="auto"/>
              <w:jc w:val="both"/>
              <w:rPr>
                <w:rFonts w:ascii="Times New Roman" w:eastAsia="Times New Roman" w:hAnsi="Times New Roman"/>
                <w:color w:val="000000" w:themeColor="text1"/>
                <w:sz w:val="24"/>
                <w:szCs w:val="24"/>
                <w:lang w:eastAsia="lv-LV"/>
              </w:rPr>
            </w:pPr>
            <w:r>
              <w:rPr>
                <w:rFonts w:ascii="Times New Roman" w:hAnsi="Times New Roman"/>
                <w:iCs/>
                <w:color w:val="000000" w:themeColor="text1"/>
                <w:sz w:val="24"/>
                <w:szCs w:val="24"/>
              </w:rPr>
              <w:t>Projekts šo jomu neskar.</w:t>
            </w:r>
            <w:r w:rsidR="00D44DDB" w:rsidRPr="00BA0369">
              <w:rPr>
                <w:rFonts w:ascii="Times New Roman" w:hAnsi="Times New Roman"/>
                <w:iCs/>
                <w:color w:val="000000" w:themeColor="text1"/>
                <w:sz w:val="24"/>
                <w:szCs w:val="24"/>
              </w:rPr>
              <w:t xml:space="preserve">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0A1B39">
              <w:rPr>
                <w:rFonts w:ascii="Times New Roman" w:eastAsia="Times New Roman" w:hAnsi="Times New Roman"/>
                <w:sz w:val="24"/>
                <w:szCs w:val="24"/>
                <w:lang w:eastAsia="lv-LV"/>
              </w:rPr>
              <w:t>Tiesiskā regulējuma mērķis un būtība</w:t>
            </w:r>
          </w:p>
        </w:tc>
        <w:tc>
          <w:tcPr>
            <w:tcW w:w="3628" w:type="pct"/>
            <w:tcBorders>
              <w:top w:val="outset" w:sz="6" w:space="0" w:color="auto"/>
              <w:left w:val="outset" w:sz="6" w:space="0" w:color="auto"/>
              <w:bottom w:val="outset" w:sz="6" w:space="0" w:color="auto"/>
              <w:right w:val="outset" w:sz="6" w:space="0" w:color="auto"/>
            </w:tcBorders>
            <w:hideMark/>
          </w:tcPr>
          <w:p w:rsidR="00224710" w:rsidRPr="002C7CB3" w:rsidRDefault="00014E96" w:rsidP="00014E9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Likumprojekts paredz papildināt likuma „Par nodokļiem un nodevām” 11.pantu ar 120.punktu, nosakot nodevas objektu </w:t>
            </w:r>
            <w:bookmarkStart w:id="2" w:name="bkm0"/>
            <w:r w:rsidRPr="00014E96">
              <w:rPr>
                <w:rFonts w:ascii="Times New Roman" w:hAnsi="Times New Roman"/>
                <w:color w:val="000000" w:themeColor="text1"/>
                <w:sz w:val="24"/>
                <w:szCs w:val="24"/>
              </w:rPr>
              <w:t>par atļaujas laukuma izmantošanu mākslīgo salu, būvju un iekārtu, tajā skaitā platformu un enerģijas ražošanai nepieciešamo iekārtu, būvniecībai, ierīkošanai, ar to saistītai izpētei un ekspluatācijai</w:t>
            </w:r>
            <w:bookmarkEnd w:id="2"/>
            <w:r>
              <w:rPr>
                <w:rFonts w:ascii="Times New Roman" w:hAnsi="Times New Roman"/>
                <w:color w:val="000000" w:themeColor="text1"/>
                <w:sz w:val="24"/>
                <w:szCs w:val="24"/>
              </w:rPr>
              <w:t>.</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5.</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izstrādē iesaistītās institūcijas</w:t>
            </w:r>
          </w:p>
        </w:tc>
        <w:tc>
          <w:tcPr>
            <w:tcW w:w="3628" w:type="pct"/>
            <w:tcBorders>
              <w:top w:val="outset" w:sz="6" w:space="0" w:color="auto"/>
              <w:left w:val="outset" w:sz="6" w:space="0" w:color="auto"/>
              <w:bottom w:val="outset" w:sz="6" w:space="0" w:color="auto"/>
              <w:right w:val="outset" w:sz="6" w:space="0" w:color="auto"/>
            </w:tcBorders>
            <w:hideMark/>
          </w:tcPr>
          <w:p w:rsidR="002E43E8" w:rsidRPr="00BA0369" w:rsidRDefault="00014E96" w:rsidP="00D64BF8">
            <w:pPr>
              <w:spacing w:after="0" w:line="240" w:lineRule="auto"/>
              <w:rPr>
                <w:rFonts w:ascii="Times New Roman" w:eastAsia="Times New Roman" w:hAnsi="Times New Roman"/>
                <w:sz w:val="24"/>
                <w:szCs w:val="24"/>
                <w:lang w:eastAsia="lv-LV"/>
              </w:rPr>
            </w:pPr>
            <w:r>
              <w:rPr>
                <w:rFonts w:ascii="Times New Roman" w:hAnsi="Times New Roman"/>
                <w:iCs/>
                <w:sz w:val="24"/>
                <w:szCs w:val="24"/>
              </w:rPr>
              <w:t>Projekts šo jomu neskar.</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6.</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Iemesli, kādēļ netika nodrošināta sabiedrības līdzdalība</w:t>
            </w:r>
          </w:p>
        </w:tc>
        <w:tc>
          <w:tcPr>
            <w:tcW w:w="3628" w:type="pct"/>
            <w:tcBorders>
              <w:top w:val="outset" w:sz="6" w:space="0" w:color="auto"/>
              <w:left w:val="outset" w:sz="6" w:space="0" w:color="auto"/>
              <w:bottom w:val="outset" w:sz="6" w:space="0" w:color="auto"/>
              <w:right w:val="outset" w:sz="6" w:space="0" w:color="auto"/>
            </w:tcBorders>
            <w:hideMark/>
          </w:tcPr>
          <w:p w:rsidR="006D1CF8" w:rsidRPr="00BA0369" w:rsidRDefault="00C53ED9" w:rsidP="00282506">
            <w:pPr>
              <w:spacing w:after="0" w:line="240" w:lineRule="auto"/>
              <w:jc w:val="both"/>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Projekts šo jomu neskar. </w:t>
            </w:r>
          </w:p>
        </w:tc>
      </w:tr>
      <w:tr w:rsidR="002E43E8" w:rsidRPr="00BA0369"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7.</w:t>
            </w:r>
          </w:p>
        </w:tc>
        <w:tc>
          <w:tcPr>
            <w:tcW w:w="1146"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rsidR="002E43E8" w:rsidRPr="00BA0369" w:rsidRDefault="006D1CF8" w:rsidP="00D64BF8">
            <w:pPr>
              <w:spacing w:after="0" w:line="240" w:lineRule="auto"/>
              <w:rPr>
                <w:rFonts w:ascii="Times New Roman" w:eastAsia="Times New Roman" w:hAnsi="Times New Roman"/>
                <w:sz w:val="24"/>
                <w:szCs w:val="24"/>
                <w:lang w:eastAsia="lv-LV"/>
              </w:rPr>
            </w:pPr>
            <w:r w:rsidRPr="00BA0369">
              <w:rPr>
                <w:rFonts w:ascii="Times New Roman" w:hAnsi="Times New Roman"/>
                <w:sz w:val="24"/>
                <w:szCs w:val="24"/>
              </w:rPr>
              <w:t>Nav</w:t>
            </w:r>
          </w:p>
        </w:tc>
      </w:tr>
    </w:tbl>
    <w:p w:rsidR="002E43E8" w:rsidRPr="00BA0369" w:rsidRDefault="002E43E8"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8"/>
        <w:gridCol w:w="3261"/>
        <w:gridCol w:w="5602"/>
      </w:tblGrid>
      <w:tr w:rsidR="00683D14" w:rsidRPr="00BA0369" w:rsidTr="00215FD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II. Tiesību akta projekta ietekme uz sabiedrību</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1752"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Sabiedrības mērķgrupa</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C53ED9" w:rsidP="00B65440">
            <w:pPr>
              <w:spacing w:after="0" w:line="240" w:lineRule="auto"/>
              <w:jc w:val="both"/>
              <w:rPr>
                <w:rFonts w:ascii="Times New Roman" w:hAnsi="Times New Roman"/>
                <w:sz w:val="24"/>
                <w:szCs w:val="24"/>
              </w:rPr>
            </w:pPr>
            <w:r w:rsidRPr="00BA0369">
              <w:rPr>
                <w:rFonts w:ascii="Times New Roman" w:hAnsi="Times New Roman"/>
                <w:sz w:val="24"/>
                <w:szCs w:val="24"/>
              </w:rPr>
              <w:t xml:space="preserve">Komersanti </w:t>
            </w:r>
            <w:r w:rsidR="00014E96">
              <w:rPr>
                <w:rFonts w:ascii="Times New Roman" w:hAnsi="Times New Roman"/>
                <w:sz w:val="24"/>
                <w:szCs w:val="24"/>
              </w:rPr>
              <w:t>–jūras teritoriju izmantotāji</w:t>
            </w:r>
            <w:r w:rsidR="00B65440">
              <w:rPr>
                <w:rFonts w:ascii="Times New Roman" w:hAnsi="Times New Roman"/>
                <w:sz w:val="24"/>
                <w:szCs w:val="24"/>
              </w:rPr>
              <w:t>, izbūvējot jūrā būves</w:t>
            </w:r>
            <w:r w:rsidR="00014E96">
              <w:rPr>
                <w:rFonts w:ascii="Times New Roman" w:hAnsi="Times New Roman"/>
                <w:sz w:val="24"/>
                <w:szCs w:val="24"/>
              </w:rPr>
              <w:t>.</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1752"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Citas sabiedrības grupas (bez </w:t>
            </w:r>
            <w:proofErr w:type="spellStart"/>
            <w:r w:rsidRPr="00BA0369">
              <w:rPr>
                <w:rFonts w:ascii="Times New Roman" w:eastAsia="Times New Roman" w:hAnsi="Times New Roman"/>
                <w:sz w:val="24"/>
                <w:szCs w:val="24"/>
                <w:lang w:eastAsia="lv-LV"/>
              </w:rPr>
              <w:t>mērķgrupas</w:t>
            </w:r>
            <w:proofErr w:type="spellEnd"/>
            <w:r w:rsidRPr="00BA0369">
              <w:rPr>
                <w:rFonts w:ascii="Times New Roman" w:eastAsia="Times New Roman" w:hAnsi="Times New Roman"/>
                <w:sz w:val="24"/>
                <w:szCs w:val="24"/>
                <w:lang w:eastAsia="lv-LV"/>
              </w:rPr>
              <w:t>), kuras tiesiskais regulējums arī ietekmē vai varētu ietekmēt</w:t>
            </w:r>
          </w:p>
        </w:tc>
        <w:tc>
          <w:tcPr>
            <w:tcW w:w="3013" w:type="pct"/>
            <w:tcBorders>
              <w:top w:val="outset" w:sz="6" w:space="0" w:color="auto"/>
              <w:left w:val="outset" w:sz="6" w:space="0" w:color="auto"/>
              <w:bottom w:val="outset" w:sz="6" w:space="0" w:color="auto"/>
              <w:right w:val="outset" w:sz="6" w:space="0" w:color="auto"/>
            </w:tcBorders>
            <w:hideMark/>
          </w:tcPr>
          <w:p w:rsidR="00683D14" w:rsidRPr="00BA0369" w:rsidRDefault="00014E96" w:rsidP="00AA41AB">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Projekts šo jomu neskar.</w:t>
            </w:r>
            <w:r w:rsidR="00AA41AB" w:rsidRPr="00BA0369">
              <w:rPr>
                <w:rFonts w:ascii="Times New Roman" w:hAnsi="Times New Roman"/>
                <w:iCs/>
                <w:sz w:val="24"/>
                <w:szCs w:val="24"/>
              </w:rPr>
              <w:t xml:space="preserve"> </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lastRenderedPageBreak/>
              <w:t>3.</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highlight w:val="yellow"/>
                <w:lang w:eastAsia="lv-LV"/>
              </w:rPr>
            </w:pPr>
            <w:r w:rsidRPr="001D1C89">
              <w:rPr>
                <w:rFonts w:ascii="Times New Roman" w:eastAsia="Times New Roman" w:hAnsi="Times New Roman"/>
                <w:sz w:val="24"/>
                <w:szCs w:val="24"/>
                <w:lang w:eastAsia="lv-LV"/>
              </w:rPr>
              <w:t>Tiesiskā regulējuma finansiālā ietekme</w:t>
            </w:r>
          </w:p>
        </w:tc>
        <w:tc>
          <w:tcPr>
            <w:tcW w:w="3013" w:type="pct"/>
            <w:tcBorders>
              <w:top w:val="outset" w:sz="6" w:space="0" w:color="auto"/>
              <w:left w:val="outset" w:sz="6" w:space="0" w:color="auto"/>
              <w:bottom w:val="outset" w:sz="6" w:space="0" w:color="auto"/>
              <w:right w:val="outset" w:sz="6" w:space="0" w:color="auto"/>
            </w:tcBorders>
            <w:hideMark/>
          </w:tcPr>
          <w:p w:rsidR="00FF06C1" w:rsidRPr="00BA0369" w:rsidRDefault="00014E96" w:rsidP="00282506">
            <w:pPr>
              <w:spacing w:after="0" w:line="240" w:lineRule="auto"/>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Projekts šo jomu neskar.</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4.</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Tiesiskā regulējuma nefinansiālā ietekme</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014E96" w:rsidP="00C53ED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Tiek noteikts jauns normatīvajiem aktiem atbilstošs nodevas objekts. </w:t>
            </w:r>
            <w:r w:rsidR="00C53ED9" w:rsidRPr="00BA0369">
              <w:rPr>
                <w:rFonts w:ascii="Times New Roman" w:eastAsia="Times New Roman" w:hAnsi="Times New Roman"/>
                <w:sz w:val="24"/>
                <w:szCs w:val="24"/>
                <w:lang w:eastAsia="lv-LV"/>
              </w:rPr>
              <w:t xml:space="preserve"> </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5.</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Administratīvās procedūras raksturojums</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014E96" w:rsidP="00C53ED9">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 xml:space="preserve">Projekts šo jomu neskar. </w:t>
            </w:r>
            <w:r w:rsidR="00C53ED9" w:rsidRPr="00BA0369">
              <w:rPr>
                <w:rFonts w:ascii="Times New Roman" w:hAnsi="Times New Roman"/>
                <w:iCs/>
                <w:sz w:val="24"/>
                <w:szCs w:val="24"/>
              </w:rPr>
              <w:t xml:space="preserve"> </w:t>
            </w:r>
          </w:p>
        </w:tc>
      </w:tr>
      <w:tr w:rsidR="00F22C71" w:rsidRPr="00BA0369" w:rsidTr="004603D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6.</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Administratīvo izmaksu monetārs novērtējums</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26471F"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Projekts šo jomu neskar.</w:t>
            </w:r>
          </w:p>
        </w:tc>
      </w:tr>
      <w:tr w:rsidR="00F22C71" w:rsidRPr="00BA0369" w:rsidTr="004603D8">
        <w:trPr>
          <w:trHeight w:val="369"/>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5E2A92"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7.</w:t>
            </w:r>
          </w:p>
        </w:tc>
        <w:tc>
          <w:tcPr>
            <w:tcW w:w="175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Nav</w:t>
            </w:r>
          </w:p>
        </w:tc>
      </w:tr>
    </w:tbl>
    <w:p w:rsidR="00683D14" w:rsidRDefault="00683D14" w:rsidP="00D64BF8">
      <w:pPr>
        <w:spacing w:after="0" w:line="240" w:lineRule="auto"/>
        <w:rPr>
          <w:rFonts w:ascii="Times New Roman" w:eastAsia="Times New Roman" w:hAnsi="Times New Roman"/>
          <w:sz w:val="24"/>
          <w:szCs w:val="24"/>
          <w:lang w:eastAsia="lv-LV"/>
        </w:rPr>
      </w:pPr>
    </w:p>
    <w:p w:rsidR="001307FC" w:rsidRDefault="001307FC" w:rsidP="00D64BF8">
      <w:pPr>
        <w:spacing w:after="0" w:line="240" w:lineRule="auto"/>
        <w:rPr>
          <w:rFonts w:ascii="Times New Roman" w:eastAsia="Times New Roman" w:hAnsi="Times New Roman"/>
          <w:b/>
          <w:sz w:val="24"/>
          <w:szCs w:val="24"/>
          <w:lang w:eastAsia="lv-LV"/>
        </w:rPr>
      </w:pPr>
      <w:r w:rsidRPr="001307FC">
        <w:rPr>
          <w:rFonts w:ascii="Times New Roman" w:eastAsia="Times New Roman" w:hAnsi="Times New Roman"/>
          <w:b/>
          <w:sz w:val="24"/>
          <w:szCs w:val="24"/>
          <w:lang w:eastAsia="lv-LV"/>
        </w:rPr>
        <w:t xml:space="preserve">III. </w:t>
      </w:r>
      <w:r w:rsidR="000358EB">
        <w:rPr>
          <w:rFonts w:ascii="Times New Roman" w:eastAsia="Times New Roman" w:hAnsi="Times New Roman"/>
          <w:b/>
          <w:sz w:val="24"/>
          <w:szCs w:val="24"/>
          <w:lang w:eastAsia="lv-LV"/>
        </w:rPr>
        <w:t xml:space="preserve">Projekts šo jomu neskar. </w:t>
      </w:r>
    </w:p>
    <w:p w:rsidR="001307FC" w:rsidRPr="001307FC" w:rsidRDefault="001307FC" w:rsidP="00D64BF8">
      <w:pPr>
        <w:spacing w:after="0" w:line="240" w:lineRule="auto"/>
        <w:rPr>
          <w:rFonts w:ascii="Times New Roman" w:eastAsia="Times New Roman" w:hAnsi="Times New Roman"/>
          <w:b/>
          <w:sz w:val="24"/>
          <w:szCs w:val="24"/>
          <w:lang w:eastAsia="lv-LV"/>
        </w:rPr>
      </w:pPr>
    </w:p>
    <w:tbl>
      <w:tblPr>
        <w:tblW w:w="9453" w:type="dxa"/>
        <w:jc w:val="center"/>
        <w:tblCellSpacing w:w="20" w:type="dxa"/>
        <w:tblInd w:w="4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86"/>
        <w:gridCol w:w="3097"/>
        <w:gridCol w:w="5870"/>
      </w:tblGrid>
      <w:tr w:rsidR="00730046" w:rsidRPr="00BA0369" w:rsidTr="001307FC">
        <w:trPr>
          <w:tblCellSpacing w:w="20" w:type="dxa"/>
          <w:jc w:val="center"/>
        </w:trPr>
        <w:tc>
          <w:tcPr>
            <w:tcW w:w="9373" w:type="dxa"/>
            <w:gridSpan w:val="3"/>
          </w:tcPr>
          <w:p w:rsidR="00730046" w:rsidRPr="00BA0369" w:rsidRDefault="00730046" w:rsidP="001307FC">
            <w:pPr>
              <w:pStyle w:val="naisnod"/>
              <w:spacing w:before="0" w:after="0"/>
              <w:ind w:left="209"/>
            </w:pPr>
            <w:r w:rsidRPr="00BA0369">
              <w:t>IV. Tiesību akta projekta ietekme uz spēkā esošo tiesību normu sistēmu</w:t>
            </w:r>
          </w:p>
        </w:tc>
      </w:tr>
      <w:tr w:rsidR="00730046" w:rsidRPr="00BA0369" w:rsidTr="001307FC">
        <w:trPr>
          <w:tblCellSpacing w:w="20" w:type="dxa"/>
          <w:jc w:val="center"/>
        </w:trPr>
        <w:tc>
          <w:tcPr>
            <w:tcW w:w="339" w:type="dxa"/>
          </w:tcPr>
          <w:p w:rsidR="00730046" w:rsidRPr="00BA0369" w:rsidRDefault="00730046" w:rsidP="000358EB">
            <w:pPr>
              <w:pStyle w:val="naiskr"/>
              <w:tabs>
                <w:tab w:val="left" w:pos="2628"/>
              </w:tabs>
              <w:spacing w:before="0" w:after="0"/>
              <w:jc w:val="both"/>
              <w:rPr>
                <w:iCs/>
              </w:rPr>
            </w:pPr>
            <w:r w:rsidRPr="00BA0369">
              <w:rPr>
                <w:iCs/>
              </w:rPr>
              <w:t>1.</w:t>
            </w:r>
          </w:p>
        </w:tc>
        <w:tc>
          <w:tcPr>
            <w:tcW w:w="3080" w:type="dxa"/>
          </w:tcPr>
          <w:p w:rsidR="00730046" w:rsidRPr="00BA0369" w:rsidRDefault="00730046" w:rsidP="000358EB">
            <w:pPr>
              <w:pStyle w:val="naiskr"/>
              <w:tabs>
                <w:tab w:val="left" w:pos="2628"/>
              </w:tabs>
              <w:spacing w:before="0" w:after="0"/>
              <w:jc w:val="both"/>
              <w:rPr>
                <w:iCs/>
              </w:rPr>
            </w:pPr>
            <w:r w:rsidRPr="00BA0369">
              <w:rPr>
                <w:sz w:val="22"/>
                <w:szCs w:val="22"/>
              </w:rPr>
              <w:t>Nepieciešamie saistītie tiesību aktu projekti</w:t>
            </w:r>
          </w:p>
        </w:tc>
        <w:tc>
          <w:tcPr>
            <w:tcW w:w="5874" w:type="dxa"/>
          </w:tcPr>
          <w:p w:rsidR="00730046" w:rsidRPr="00BA0369" w:rsidRDefault="00D7589A" w:rsidP="00014E96">
            <w:pPr>
              <w:pStyle w:val="naiskr"/>
              <w:tabs>
                <w:tab w:val="left" w:pos="2628"/>
              </w:tabs>
              <w:spacing w:before="0" w:after="0"/>
              <w:jc w:val="both"/>
              <w:rPr>
                <w:iCs/>
              </w:rPr>
            </w:pPr>
            <w:r>
              <w:rPr>
                <w:iCs/>
                <w:sz w:val="22"/>
                <w:szCs w:val="22"/>
              </w:rPr>
              <w:t xml:space="preserve">Ekonomikas ministrijai ir nepieciešams </w:t>
            </w:r>
            <w:r w:rsidR="00014E96">
              <w:rPr>
                <w:iCs/>
                <w:sz w:val="22"/>
                <w:szCs w:val="22"/>
              </w:rPr>
              <w:t xml:space="preserve">izstrādāt Ministru kabineta noteikumu projektu, kas nosaka </w:t>
            </w:r>
            <w:r w:rsidR="00014E96" w:rsidRPr="00B8575B">
              <w:rPr>
                <w:color w:val="000000" w:themeColor="text1"/>
              </w:rPr>
              <w:t xml:space="preserve">nodevas par atļaujas laukuma jūrā izmantošanu </w:t>
            </w:r>
            <w:r w:rsidR="00014E96" w:rsidRPr="00B8575B">
              <w:rPr>
                <w:bCs/>
              </w:rPr>
              <w:t>mākslīgo salu, būvju un iekārtu, tajā skaitā platformu un enerģijas ražošanai nepieciešamo iekārtu, būvniecībai, ierīkošanai, ar to saistītai izpētei un ekspluatācijai maksāšanas kārtību un apmēru, kā arī atbrīvojumus no nodevas maksāšanas</w:t>
            </w:r>
            <w:r w:rsidR="00014E96">
              <w:rPr>
                <w:bCs/>
              </w:rPr>
              <w:t>.</w:t>
            </w:r>
          </w:p>
        </w:tc>
      </w:tr>
      <w:tr w:rsidR="00730046" w:rsidRPr="00BA0369" w:rsidTr="001307FC">
        <w:trPr>
          <w:tblCellSpacing w:w="20" w:type="dxa"/>
          <w:jc w:val="center"/>
        </w:trPr>
        <w:tc>
          <w:tcPr>
            <w:tcW w:w="339" w:type="dxa"/>
          </w:tcPr>
          <w:p w:rsidR="00730046" w:rsidRPr="00BA0369" w:rsidRDefault="00730046" w:rsidP="000358EB">
            <w:pPr>
              <w:pStyle w:val="naiskr"/>
              <w:tabs>
                <w:tab w:val="left" w:pos="2628"/>
              </w:tabs>
              <w:spacing w:before="0" w:after="0"/>
              <w:jc w:val="both"/>
              <w:rPr>
                <w:iCs/>
              </w:rPr>
            </w:pPr>
            <w:r w:rsidRPr="00BA0369">
              <w:rPr>
                <w:iCs/>
              </w:rPr>
              <w:t>2.</w:t>
            </w:r>
          </w:p>
        </w:tc>
        <w:tc>
          <w:tcPr>
            <w:tcW w:w="3080" w:type="dxa"/>
          </w:tcPr>
          <w:p w:rsidR="00730046" w:rsidRPr="00BA0369" w:rsidRDefault="00730046" w:rsidP="000358EB">
            <w:pPr>
              <w:pStyle w:val="naiskr"/>
              <w:tabs>
                <w:tab w:val="left" w:pos="2628"/>
              </w:tabs>
              <w:spacing w:before="0" w:after="0"/>
              <w:jc w:val="both"/>
              <w:rPr>
                <w:iCs/>
              </w:rPr>
            </w:pPr>
            <w:r w:rsidRPr="00BA0369">
              <w:rPr>
                <w:sz w:val="22"/>
                <w:szCs w:val="22"/>
              </w:rPr>
              <w:t>Cita informācija</w:t>
            </w:r>
          </w:p>
        </w:tc>
        <w:tc>
          <w:tcPr>
            <w:tcW w:w="5874" w:type="dxa"/>
          </w:tcPr>
          <w:p w:rsidR="00730046" w:rsidRPr="00BA0369" w:rsidRDefault="00014E96" w:rsidP="000358EB">
            <w:pPr>
              <w:pStyle w:val="naiskr"/>
              <w:tabs>
                <w:tab w:val="left" w:pos="2628"/>
              </w:tabs>
              <w:spacing w:before="0" w:after="0"/>
              <w:jc w:val="both"/>
              <w:rPr>
                <w:iCs/>
              </w:rPr>
            </w:pPr>
            <w:r>
              <w:rPr>
                <w:sz w:val="22"/>
                <w:szCs w:val="22"/>
              </w:rPr>
              <w:t xml:space="preserve">Nav. </w:t>
            </w:r>
            <w:r w:rsidR="00D7589A">
              <w:rPr>
                <w:sz w:val="22"/>
                <w:szCs w:val="22"/>
              </w:rPr>
              <w:t xml:space="preserve"> </w:t>
            </w:r>
          </w:p>
        </w:tc>
      </w:tr>
    </w:tbl>
    <w:p w:rsidR="000358EB" w:rsidRDefault="000358EB" w:rsidP="000358EB">
      <w:pPr>
        <w:spacing w:after="0" w:line="240" w:lineRule="auto"/>
        <w:ind w:firstLine="720"/>
        <w:jc w:val="both"/>
        <w:rPr>
          <w:rFonts w:ascii="Times New Roman" w:hAnsi="Times New Roman"/>
          <w:b/>
          <w:sz w:val="24"/>
          <w:szCs w:val="24"/>
        </w:rPr>
      </w:pPr>
    </w:p>
    <w:p w:rsidR="000358EB" w:rsidRDefault="000358EB" w:rsidP="000358EB">
      <w:pPr>
        <w:spacing w:after="0" w:line="240" w:lineRule="auto"/>
        <w:jc w:val="both"/>
        <w:rPr>
          <w:rFonts w:ascii="Times New Roman" w:hAnsi="Times New Roman"/>
          <w:b/>
          <w:sz w:val="24"/>
          <w:szCs w:val="24"/>
        </w:rPr>
      </w:pPr>
      <w:r w:rsidRPr="000358EB">
        <w:rPr>
          <w:rFonts w:ascii="Times New Roman" w:hAnsi="Times New Roman"/>
          <w:b/>
          <w:sz w:val="24"/>
          <w:szCs w:val="24"/>
        </w:rPr>
        <w:t>V.</w:t>
      </w:r>
      <w:r w:rsidR="00014E96">
        <w:rPr>
          <w:rFonts w:ascii="Times New Roman" w:hAnsi="Times New Roman"/>
          <w:b/>
          <w:sz w:val="24"/>
          <w:szCs w:val="24"/>
        </w:rPr>
        <w:t>- VII.</w:t>
      </w:r>
      <w:r w:rsidRPr="000358EB">
        <w:rPr>
          <w:rFonts w:ascii="Times New Roman" w:hAnsi="Times New Roman"/>
          <w:b/>
          <w:sz w:val="24"/>
          <w:szCs w:val="24"/>
        </w:rPr>
        <w:t xml:space="preserve"> Projekts šo jomu neskar. </w:t>
      </w:r>
    </w:p>
    <w:p w:rsidR="000358EB" w:rsidRPr="000358EB" w:rsidRDefault="000358EB" w:rsidP="000358EB">
      <w:pPr>
        <w:spacing w:after="0" w:line="240" w:lineRule="auto"/>
        <w:jc w:val="both"/>
        <w:rPr>
          <w:rFonts w:ascii="Times New Roman" w:hAnsi="Times New Roman"/>
          <w:b/>
          <w:sz w:val="24"/>
          <w:szCs w:val="24"/>
        </w:rPr>
      </w:pPr>
    </w:p>
    <w:p w:rsidR="00AA41AB" w:rsidRPr="00BA0369" w:rsidRDefault="00AA41AB" w:rsidP="00D64BF8">
      <w:pPr>
        <w:spacing w:after="0" w:line="240" w:lineRule="auto"/>
        <w:rPr>
          <w:rFonts w:ascii="Times New Roman" w:eastAsia="Times New Roman" w:hAnsi="Times New Roman"/>
          <w:sz w:val="24"/>
          <w:szCs w:val="24"/>
          <w:lang w:eastAsia="lv-LV"/>
        </w:rPr>
      </w:pPr>
    </w:p>
    <w:p w:rsidR="004603D8" w:rsidRDefault="004603D8" w:rsidP="004603D8">
      <w:pPr>
        <w:pStyle w:val="NormalWeb"/>
        <w:spacing w:before="0" w:beforeAutospacing="0" w:after="0" w:afterAutospacing="0"/>
        <w:ind w:left="539"/>
        <w:rPr>
          <w:sz w:val="28"/>
          <w:szCs w:val="28"/>
        </w:rPr>
      </w:pPr>
    </w:p>
    <w:p w:rsidR="00F3027A" w:rsidRPr="00BA0369" w:rsidRDefault="004603D8" w:rsidP="00014E96">
      <w:pPr>
        <w:pStyle w:val="NormalWeb"/>
        <w:spacing w:before="0" w:beforeAutospacing="0" w:after="0" w:afterAutospacing="0"/>
        <w:rPr>
          <w:sz w:val="28"/>
          <w:szCs w:val="28"/>
        </w:rPr>
      </w:pPr>
      <w:r>
        <w:rPr>
          <w:sz w:val="28"/>
          <w:szCs w:val="28"/>
        </w:rPr>
        <w:t>E</w:t>
      </w:r>
      <w:r w:rsidR="00F3027A" w:rsidRPr="00BA0369">
        <w:rPr>
          <w:sz w:val="28"/>
          <w:szCs w:val="28"/>
        </w:rPr>
        <w:t>konomikas ministr</w:t>
      </w:r>
      <w:r w:rsidR="00F330F2" w:rsidRPr="00BA0369">
        <w:rPr>
          <w:sz w:val="28"/>
          <w:szCs w:val="28"/>
        </w:rPr>
        <w:t>s</w:t>
      </w:r>
      <w:r w:rsidR="00F3027A" w:rsidRPr="00BA0369">
        <w:rPr>
          <w:sz w:val="28"/>
          <w:szCs w:val="28"/>
        </w:rPr>
        <w:tab/>
      </w:r>
      <w:r w:rsidR="00F3027A" w:rsidRPr="00BA0369">
        <w:rPr>
          <w:sz w:val="28"/>
          <w:szCs w:val="28"/>
        </w:rPr>
        <w:tab/>
      </w:r>
      <w:r w:rsidR="00F3027A" w:rsidRPr="00BA0369">
        <w:rPr>
          <w:sz w:val="28"/>
          <w:szCs w:val="28"/>
        </w:rPr>
        <w:tab/>
      </w:r>
      <w:r w:rsidR="00014E96">
        <w:rPr>
          <w:sz w:val="28"/>
          <w:szCs w:val="28"/>
        </w:rPr>
        <w:tab/>
      </w:r>
      <w:r w:rsidR="00014E96">
        <w:rPr>
          <w:sz w:val="28"/>
          <w:szCs w:val="28"/>
        </w:rPr>
        <w:tab/>
      </w:r>
      <w:r w:rsidR="00F3027A" w:rsidRPr="00BA0369">
        <w:rPr>
          <w:sz w:val="28"/>
          <w:szCs w:val="28"/>
        </w:rPr>
        <w:tab/>
      </w:r>
      <w:r w:rsidR="00F3027A" w:rsidRPr="00BA0369">
        <w:rPr>
          <w:sz w:val="28"/>
          <w:szCs w:val="28"/>
        </w:rPr>
        <w:tab/>
      </w:r>
      <w:r w:rsidR="00C93ABC" w:rsidRPr="00BA0369">
        <w:rPr>
          <w:sz w:val="28"/>
          <w:szCs w:val="28"/>
        </w:rPr>
        <w:t>A</w:t>
      </w:r>
      <w:r w:rsidR="00F3027A" w:rsidRPr="00BA0369">
        <w:rPr>
          <w:sz w:val="28"/>
          <w:szCs w:val="28"/>
        </w:rPr>
        <w:t>.</w:t>
      </w:r>
      <w:r w:rsidR="00C93ABC" w:rsidRPr="00BA0369">
        <w:rPr>
          <w:sz w:val="28"/>
          <w:szCs w:val="28"/>
        </w:rPr>
        <w:t>Kampars</w:t>
      </w:r>
    </w:p>
    <w:p w:rsidR="004603D8" w:rsidRDefault="004603D8" w:rsidP="004603D8">
      <w:pPr>
        <w:pStyle w:val="EnvelopeReturn"/>
        <w:tabs>
          <w:tab w:val="left" w:pos="6480"/>
          <w:tab w:val="right" w:pos="7560"/>
        </w:tabs>
        <w:spacing w:before="0"/>
        <w:ind w:left="539"/>
        <w:rPr>
          <w:sz w:val="28"/>
          <w:szCs w:val="28"/>
          <w:lang w:val="lv-LV"/>
        </w:rPr>
      </w:pPr>
    </w:p>
    <w:p w:rsidR="00F3027A" w:rsidRPr="00BA0369" w:rsidRDefault="00F3027A" w:rsidP="00014E96">
      <w:pPr>
        <w:pStyle w:val="EnvelopeReturn"/>
        <w:tabs>
          <w:tab w:val="left" w:pos="6480"/>
          <w:tab w:val="right" w:pos="7560"/>
        </w:tabs>
        <w:spacing w:before="0"/>
        <w:rPr>
          <w:sz w:val="28"/>
          <w:szCs w:val="28"/>
          <w:lang w:val="lv-LV"/>
        </w:rPr>
      </w:pPr>
      <w:r w:rsidRPr="00BA0369">
        <w:rPr>
          <w:sz w:val="28"/>
          <w:szCs w:val="28"/>
          <w:lang w:val="lv-LV"/>
        </w:rPr>
        <w:t>Vīz</w:t>
      </w:r>
      <w:r w:rsidR="00FB5C58">
        <w:rPr>
          <w:sz w:val="28"/>
          <w:szCs w:val="28"/>
          <w:lang w:val="lv-LV"/>
        </w:rPr>
        <w:t>a</w:t>
      </w:r>
      <w:r w:rsidR="00014E96">
        <w:rPr>
          <w:sz w:val="28"/>
          <w:szCs w:val="28"/>
          <w:lang w:val="lv-LV"/>
        </w:rPr>
        <w:t>: valsts sekretārs</w:t>
      </w:r>
      <w:r w:rsidR="00014E96">
        <w:rPr>
          <w:sz w:val="28"/>
          <w:szCs w:val="28"/>
          <w:lang w:val="lv-LV"/>
        </w:rPr>
        <w:tab/>
      </w:r>
      <w:r w:rsidR="00014E96">
        <w:rPr>
          <w:sz w:val="28"/>
          <w:szCs w:val="28"/>
          <w:lang w:val="lv-LV"/>
        </w:rPr>
        <w:tab/>
      </w:r>
      <w:r w:rsidR="00014E96">
        <w:rPr>
          <w:sz w:val="28"/>
          <w:szCs w:val="28"/>
          <w:lang w:val="lv-LV"/>
        </w:rPr>
        <w:tab/>
      </w:r>
      <w:r w:rsidRPr="00BA0369">
        <w:rPr>
          <w:sz w:val="28"/>
          <w:szCs w:val="28"/>
          <w:lang w:val="lv-LV"/>
        </w:rPr>
        <w:t>J.Pūce</w:t>
      </w:r>
    </w:p>
    <w:p w:rsidR="00092065" w:rsidRPr="00BA0369" w:rsidRDefault="00092065" w:rsidP="00972F36">
      <w:pPr>
        <w:spacing w:after="0" w:line="240" w:lineRule="auto"/>
        <w:rPr>
          <w:rFonts w:ascii="Times New Roman" w:hAnsi="Times New Roman"/>
          <w:sz w:val="20"/>
          <w:szCs w:val="20"/>
        </w:rPr>
      </w:pPr>
    </w:p>
    <w:p w:rsidR="00D058AB" w:rsidRDefault="00D058AB" w:rsidP="00EE269B">
      <w:pPr>
        <w:spacing w:after="0" w:line="240" w:lineRule="auto"/>
        <w:rPr>
          <w:rFonts w:ascii="Times New Roman" w:hAnsi="Times New Roman"/>
          <w:sz w:val="20"/>
          <w:szCs w:val="20"/>
        </w:rPr>
      </w:pPr>
    </w:p>
    <w:p w:rsidR="00972F36" w:rsidRPr="00BA0369" w:rsidRDefault="00014E96" w:rsidP="00EE269B">
      <w:pPr>
        <w:spacing w:after="0" w:line="240" w:lineRule="auto"/>
        <w:rPr>
          <w:rFonts w:ascii="Times New Roman" w:hAnsi="Times New Roman"/>
          <w:sz w:val="20"/>
          <w:szCs w:val="20"/>
        </w:rPr>
      </w:pPr>
      <w:r>
        <w:rPr>
          <w:rFonts w:ascii="Times New Roman" w:hAnsi="Times New Roman"/>
          <w:sz w:val="20"/>
          <w:szCs w:val="20"/>
        </w:rPr>
        <w:t>02.06</w:t>
      </w:r>
      <w:r w:rsidR="00972F36" w:rsidRPr="00BA0369">
        <w:rPr>
          <w:rFonts w:ascii="Times New Roman" w:hAnsi="Times New Roman"/>
          <w:sz w:val="20"/>
          <w:szCs w:val="20"/>
        </w:rPr>
        <w:t>.201</w:t>
      </w:r>
      <w:r w:rsidR="00F940DF" w:rsidRPr="00BA0369">
        <w:rPr>
          <w:rFonts w:ascii="Times New Roman" w:hAnsi="Times New Roman"/>
          <w:sz w:val="20"/>
          <w:szCs w:val="20"/>
        </w:rPr>
        <w:t>1</w:t>
      </w:r>
      <w:r w:rsidR="00972F36" w:rsidRPr="00BA0369">
        <w:rPr>
          <w:rFonts w:ascii="Times New Roman" w:hAnsi="Times New Roman"/>
          <w:sz w:val="20"/>
          <w:szCs w:val="20"/>
        </w:rPr>
        <w:t>.</w:t>
      </w:r>
      <w:r w:rsidR="0036509B" w:rsidRPr="00BA0369">
        <w:rPr>
          <w:rFonts w:ascii="Times New Roman" w:hAnsi="Times New Roman"/>
          <w:sz w:val="20"/>
          <w:szCs w:val="20"/>
        </w:rPr>
        <w:t xml:space="preserve"> </w:t>
      </w:r>
      <w:r w:rsidR="00A4764D">
        <w:rPr>
          <w:rFonts w:ascii="Times New Roman" w:hAnsi="Times New Roman"/>
          <w:sz w:val="20"/>
          <w:szCs w:val="20"/>
        </w:rPr>
        <w:t>12:04</w:t>
      </w:r>
    </w:p>
    <w:p w:rsidR="00986D21" w:rsidRPr="00BA0369" w:rsidRDefault="00014E96" w:rsidP="003F04CE">
      <w:pPr>
        <w:spacing w:after="0" w:line="240" w:lineRule="auto"/>
        <w:jc w:val="both"/>
        <w:rPr>
          <w:rFonts w:ascii="Times New Roman" w:hAnsi="Times New Roman"/>
          <w:sz w:val="20"/>
          <w:szCs w:val="20"/>
        </w:rPr>
      </w:pPr>
      <w:bookmarkStart w:id="3" w:name="OLE_LINK1"/>
      <w:bookmarkStart w:id="4" w:name="OLE_LINK2"/>
      <w:bookmarkStart w:id="5" w:name="_GoBack"/>
      <w:bookmarkStart w:id="6" w:name="OLE_LINK3"/>
      <w:bookmarkEnd w:id="3"/>
      <w:bookmarkEnd w:id="4"/>
      <w:bookmarkEnd w:id="5"/>
      <w:r>
        <w:rPr>
          <w:rFonts w:ascii="Times New Roman" w:hAnsi="Times New Roman"/>
          <w:sz w:val="20"/>
          <w:szCs w:val="20"/>
        </w:rPr>
        <w:t>39</w:t>
      </w:r>
      <w:r w:rsidR="00A4764D">
        <w:rPr>
          <w:rFonts w:ascii="Times New Roman" w:hAnsi="Times New Roman"/>
          <w:sz w:val="20"/>
          <w:szCs w:val="20"/>
        </w:rPr>
        <w:t>3</w:t>
      </w:r>
    </w:p>
    <w:p w:rsidR="00972F36" w:rsidRPr="00BA0369" w:rsidRDefault="006D4D74" w:rsidP="003F04CE">
      <w:pPr>
        <w:spacing w:after="0" w:line="240" w:lineRule="auto"/>
        <w:jc w:val="both"/>
        <w:rPr>
          <w:rFonts w:ascii="Times New Roman" w:hAnsi="Times New Roman"/>
          <w:sz w:val="20"/>
          <w:szCs w:val="20"/>
        </w:rPr>
      </w:pPr>
      <w:proofErr w:type="spellStart"/>
      <w:r>
        <w:rPr>
          <w:rFonts w:ascii="Times New Roman" w:hAnsi="Times New Roman"/>
          <w:sz w:val="20"/>
          <w:szCs w:val="20"/>
        </w:rPr>
        <w:t>I.Ruško</w:t>
      </w:r>
      <w:proofErr w:type="spellEnd"/>
      <w:r w:rsidR="00972F36" w:rsidRPr="00BA0369">
        <w:rPr>
          <w:rFonts w:ascii="Times New Roman" w:hAnsi="Times New Roman"/>
          <w:sz w:val="20"/>
          <w:szCs w:val="20"/>
        </w:rPr>
        <w:t>, 67013</w:t>
      </w:r>
      <w:bookmarkEnd w:id="6"/>
      <w:r w:rsidR="00A22FDC" w:rsidRPr="00BA0369">
        <w:rPr>
          <w:rFonts w:ascii="Times New Roman" w:hAnsi="Times New Roman"/>
          <w:sz w:val="20"/>
          <w:szCs w:val="20"/>
        </w:rPr>
        <w:t>1</w:t>
      </w:r>
      <w:r>
        <w:rPr>
          <w:rFonts w:ascii="Times New Roman" w:hAnsi="Times New Roman"/>
          <w:sz w:val="20"/>
          <w:szCs w:val="20"/>
        </w:rPr>
        <w:t>73</w:t>
      </w:r>
    </w:p>
    <w:p w:rsidR="003F04CE" w:rsidRPr="00BA0369" w:rsidRDefault="006D4D74" w:rsidP="003F04CE">
      <w:pPr>
        <w:spacing w:after="0" w:line="240" w:lineRule="auto"/>
        <w:jc w:val="both"/>
        <w:rPr>
          <w:rFonts w:ascii="Times New Roman" w:hAnsi="Times New Roman"/>
          <w:sz w:val="20"/>
          <w:szCs w:val="20"/>
        </w:rPr>
      </w:pPr>
      <w:r>
        <w:rPr>
          <w:rFonts w:ascii="Times New Roman" w:hAnsi="Times New Roman"/>
          <w:sz w:val="20"/>
          <w:szCs w:val="20"/>
        </w:rPr>
        <w:t>Ilze.rusko</w:t>
      </w:r>
      <w:r w:rsidR="00014E96">
        <w:rPr>
          <w:rFonts w:ascii="Times New Roman" w:hAnsi="Times New Roman"/>
          <w:sz w:val="20"/>
          <w:szCs w:val="20"/>
        </w:rPr>
        <w:t>@em.gov.lv</w:t>
      </w:r>
    </w:p>
    <w:sectPr w:rsidR="003F04CE" w:rsidRPr="00BA0369" w:rsidSect="00DE55FF">
      <w:headerReference w:type="default" r:id="rId8"/>
      <w:footerReference w:type="default" r:id="rId9"/>
      <w:footerReference w:type="first" r:id="rId10"/>
      <w:pgSz w:w="11906" w:h="16838"/>
      <w:pgMar w:top="1418" w:right="1134" w:bottom="184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4B" w:rsidRDefault="0044724B" w:rsidP="009640EB">
      <w:pPr>
        <w:spacing w:after="0" w:line="240" w:lineRule="auto"/>
      </w:pPr>
      <w:r>
        <w:separator/>
      </w:r>
    </w:p>
  </w:endnote>
  <w:endnote w:type="continuationSeparator" w:id="0">
    <w:p w:rsidR="0044724B" w:rsidRDefault="0044724B"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B2" w:rsidRPr="00FF5FD0" w:rsidRDefault="00D854B2" w:rsidP="00D854B2">
    <w:pPr>
      <w:pStyle w:val="naisf"/>
      <w:spacing w:before="0" w:after="0"/>
      <w:ind w:firstLine="0"/>
      <w:jc w:val="left"/>
      <w:rPr>
        <w:bCs/>
        <w:sz w:val="20"/>
        <w:szCs w:val="20"/>
      </w:rPr>
    </w:pPr>
    <w:r w:rsidRPr="00FF5FD0">
      <w:rPr>
        <w:sz w:val="20"/>
        <w:szCs w:val="20"/>
      </w:rPr>
      <w:t>EMAnot_</w:t>
    </w:r>
    <w:r>
      <w:rPr>
        <w:sz w:val="20"/>
        <w:szCs w:val="20"/>
      </w:rPr>
      <w:t>0206</w:t>
    </w:r>
    <w:r w:rsidRPr="00FF5FD0">
      <w:rPr>
        <w:sz w:val="20"/>
        <w:szCs w:val="20"/>
      </w:rPr>
      <w:t>11_</w:t>
    </w:r>
    <w:r>
      <w:rPr>
        <w:sz w:val="20"/>
        <w:szCs w:val="20"/>
      </w:rPr>
      <w:t>nodnod</w:t>
    </w:r>
    <w:r w:rsidRPr="00FF5FD0">
      <w:rPr>
        <w:sz w:val="20"/>
        <w:szCs w:val="20"/>
      </w:rPr>
      <w:t xml:space="preserve">; </w:t>
    </w:r>
    <w:r>
      <w:rPr>
        <w:sz w:val="20"/>
        <w:szCs w:val="20"/>
      </w:rPr>
      <w:t>Likum</w:t>
    </w:r>
    <w:r w:rsidRPr="00FF5FD0">
      <w:rPr>
        <w:sz w:val="20"/>
        <w:szCs w:val="20"/>
      </w:rPr>
      <w:t>projekta „</w:t>
    </w:r>
    <w:r>
      <w:rPr>
        <w:sz w:val="20"/>
        <w:szCs w:val="20"/>
      </w:rPr>
      <w:t>Grozījums likumā „Par nodokļiem un nodevām</w:t>
    </w:r>
    <w:r w:rsidRPr="00FF5FD0">
      <w:rPr>
        <w:bCs/>
        <w:sz w:val="20"/>
        <w:szCs w:val="20"/>
      </w:rPr>
      <w:t>”</w:t>
    </w:r>
    <w:r w:rsidRPr="00FF5FD0">
      <w:rPr>
        <w:sz w:val="20"/>
        <w:szCs w:val="20"/>
      </w:rPr>
      <w:t xml:space="preserve"> </w:t>
    </w:r>
    <w:r w:rsidRPr="00FF5FD0">
      <w:rPr>
        <w:bCs/>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D0" w:rsidRPr="00FF5FD0" w:rsidRDefault="00B94028" w:rsidP="00FF5FD0">
    <w:pPr>
      <w:pStyle w:val="naisf"/>
      <w:spacing w:before="0" w:after="0"/>
      <w:ind w:firstLine="0"/>
      <w:jc w:val="left"/>
      <w:rPr>
        <w:bCs/>
        <w:sz w:val="20"/>
        <w:szCs w:val="20"/>
      </w:rPr>
    </w:pPr>
    <w:r w:rsidRPr="00FF5FD0">
      <w:rPr>
        <w:sz w:val="20"/>
        <w:szCs w:val="20"/>
      </w:rPr>
      <w:t>EMAnot_</w:t>
    </w:r>
    <w:r w:rsidR="00D854B2">
      <w:rPr>
        <w:sz w:val="20"/>
        <w:szCs w:val="20"/>
      </w:rPr>
      <w:t>0206</w:t>
    </w:r>
    <w:r w:rsidRPr="00FF5FD0">
      <w:rPr>
        <w:sz w:val="20"/>
        <w:szCs w:val="20"/>
      </w:rPr>
      <w:t>11_</w:t>
    </w:r>
    <w:r w:rsidR="00D854B2">
      <w:rPr>
        <w:sz w:val="20"/>
        <w:szCs w:val="20"/>
      </w:rPr>
      <w:t>nodnod</w:t>
    </w:r>
    <w:r w:rsidRPr="00FF5FD0">
      <w:rPr>
        <w:sz w:val="20"/>
        <w:szCs w:val="20"/>
      </w:rPr>
      <w:t xml:space="preserve">; </w:t>
    </w:r>
    <w:r w:rsidR="00D854B2">
      <w:rPr>
        <w:sz w:val="20"/>
        <w:szCs w:val="20"/>
      </w:rPr>
      <w:t>Likum</w:t>
    </w:r>
    <w:r w:rsidR="00FF5FD0" w:rsidRPr="00FF5FD0">
      <w:rPr>
        <w:sz w:val="20"/>
        <w:szCs w:val="20"/>
      </w:rPr>
      <w:t>projekta „</w:t>
    </w:r>
    <w:r w:rsidR="00D854B2">
      <w:rPr>
        <w:sz w:val="20"/>
        <w:szCs w:val="20"/>
      </w:rPr>
      <w:t>Grozījums likumā „Par nodokļiem un nodevām</w:t>
    </w:r>
    <w:r w:rsidR="00FF5FD0" w:rsidRPr="00FF5FD0">
      <w:rPr>
        <w:bCs/>
        <w:sz w:val="20"/>
        <w:szCs w:val="20"/>
      </w:rPr>
      <w:t>”</w:t>
    </w:r>
    <w:r w:rsidR="00FF5FD0" w:rsidRPr="00FF5FD0">
      <w:rPr>
        <w:sz w:val="20"/>
        <w:szCs w:val="20"/>
      </w:rPr>
      <w:t xml:space="preserve"> </w:t>
    </w:r>
    <w:r w:rsidR="00FF5FD0" w:rsidRPr="00FF5FD0">
      <w:rPr>
        <w:bCs/>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4B" w:rsidRDefault="0044724B" w:rsidP="009640EB">
      <w:pPr>
        <w:spacing w:after="0" w:line="240" w:lineRule="auto"/>
      </w:pPr>
      <w:r>
        <w:separator/>
      </w:r>
    </w:p>
  </w:footnote>
  <w:footnote w:type="continuationSeparator" w:id="0">
    <w:p w:rsidR="0044724B" w:rsidRDefault="0044724B"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B94028" w:rsidRDefault="00B5361F">
        <w:pPr>
          <w:pStyle w:val="Header"/>
          <w:jc w:val="center"/>
        </w:pPr>
        <w:fldSimple w:instr=" PAGE   \* MERGEFORMAT ">
          <w:r w:rsidR="00A4764D">
            <w:rPr>
              <w:noProof/>
            </w:rPr>
            <w:t>2</w:t>
          </w:r>
        </w:fldSimple>
      </w:p>
    </w:sdtContent>
  </w:sdt>
  <w:p w:rsidR="00B94028" w:rsidRDefault="00B94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1">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9">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1"/>
  </w:num>
  <w:num w:numId="10">
    <w:abstractNumId w:val="7"/>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2E43E8"/>
    <w:rsid w:val="00003FD8"/>
    <w:rsid w:val="00007BCE"/>
    <w:rsid w:val="00014144"/>
    <w:rsid w:val="00014E96"/>
    <w:rsid w:val="00015EC6"/>
    <w:rsid w:val="00030D50"/>
    <w:rsid w:val="000358EB"/>
    <w:rsid w:val="0003604C"/>
    <w:rsid w:val="00041E7C"/>
    <w:rsid w:val="00043735"/>
    <w:rsid w:val="0005069D"/>
    <w:rsid w:val="00053E9B"/>
    <w:rsid w:val="0008206C"/>
    <w:rsid w:val="000820A2"/>
    <w:rsid w:val="000833E2"/>
    <w:rsid w:val="00084090"/>
    <w:rsid w:val="00085140"/>
    <w:rsid w:val="00092065"/>
    <w:rsid w:val="0009535E"/>
    <w:rsid w:val="000A1B39"/>
    <w:rsid w:val="000A67F8"/>
    <w:rsid w:val="000A747F"/>
    <w:rsid w:val="000B2A4E"/>
    <w:rsid w:val="000D29B1"/>
    <w:rsid w:val="000D51D2"/>
    <w:rsid w:val="000E2B3C"/>
    <w:rsid w:val="000F1726"/>
    <w:rsid w:val="000F2E2F"/>
    <w:rsid w:val="000F417A"/>
    <w:rsid w:val="000F5EDE"/>
    <w:rsid w:val="00105E88"/>
    <w:rsid w:val="00110AA1"/>
    <w:rsid w:val="001128BE"/>
    <w:rsid w:val="0011734D"/>
    <w:rsid w:val="00117526"/>
    <w:rsid w:val="001307FC"/>
    <w:rsid w:val="00132DCA"/>
    <w:rsid w:val="001347E4"/>
    <w:rsid w:val="00135A4F"/>
    <w:rsid w:val="00136A18"/>
    <w:rsid w:val="001418F5"/>
    <w:rsid w:val="00144B9B"/>
    <w:rsid w:val="0015356E"/>
    <w:rsid w:val="00154B5E"/>
    <w:rsid w:val="001565D2"/>
    <w:rsid w:val="00171E1C"/>
    <w:rsid w:val="001759C5"/>
    <w:rsid w:val="001767E4"/>
    <w:rsid w:val="00183532"/>
    <w:rsid w:val="001915B6"/>
    <w:rsid w:val="00192763"/>
    <w:rsid w:val="00192844"/>
    <w:rsid w:val="001A2478"/>
    <w:rsid w:val="001A65B8"/>
    <w:rsid w:val="001B2AEC"/>
    <w:rsid w:val="001D0CB5"/>
    <w:rsid w:val="001D1C89"/>
    <w:rsid w:val="001D4937"/>
    <w:rsid w:val="001E7B5F"/>
    <w:rsid w:val="00201F48"/>
    <w:rsid w:val="0020265D"/>
    <w:rsid w:val="00215B3E"/>
    <w:rsid w:val="00215FD3"/>
    <w:rsid w:val="0021779E"/>
    <w:rsid w:val="002229F9"/>
    <w:rsid w:val="00224710"/>
    <w:rsid w:val="00224736"/>
    <w:rsid w:val="0023040B"/>
    <w:rsid w:val="00234FBB"/>
    <w:rsid w:val="0023533F"/>
    <w:rsid w:val="00240A58"/>
    <w:rsid w:val="002474C7"/>
    <w:rsid w:val="0024758B"/>
    <w:rsid w:val="00253443"/>
    <w:rsid w:val="00255ED8"/>
    <w:rsid w:val="0025630E"/>
    <w:rsid w:val="002628E5"/>
    <w:rsid w:val="0026471F"/>
    <w:rsid w:val="002746B3"/>
    <w:rsid w:val="00275C23"/>
    <w:rsid w:val="002811AB"/>
    <w:rsid w:val="00282506"/>
    <w:rsid w:val="00283D0E"/>
    <w:rsid w:val="00291DFC"/>
    <w:rsid w:val="00292375"/>
    <w:rsid w:val="00292822"/>
    <w:rsid w:val="0029471D"/>
    <w:rsid w:val="00294E26"/>
    <w:rsid w:val="002A277A"/>
    <w:rsid w:val="002A2844"/>
    <w:rsid w:val="002B488A"/>
    <w:rsid w:val="002B5ADD"/>
    <w:rsid w:val="002B7FD6"/>
    <w:rsid w:val="002C3BCC"/>
    <w:rsid w:val="002C7399"/>
    <w:rsid w:val="002C7CB3"/>
    <w:rsid w:val="002D1D69"/>
    <w:rsid w:val="002D6CAC"/>
    <w:rsid w:val="002E26E0"/>
    <w:rsid w:val="002E43E8"/>
    <w:rsid w:val="002F67CF"/>
    <w:rsid w:val="002F6EAE"/>
    <w:rsid w:val="00310066"/>
    <w:rsid w:val="00313B1A"/>
    <w:rsid w:val="00314B96"/>
    <w:rsid w:val="00323244"/>
    <w:rsid w:val="00324A66"/>
    <w:rsid w:val="00337A55"/>
    <w:rsid w:val="00341F3F"/>
    <w:rsid w:val="00342129"/>
    <w:rsid w:val="00345A48"/>
    <w:rsid w:val="0035285F"/>
    <w:rsid w:val="00355629"/>
    <w:rsid w:val="00357966"/>
    <w:rsid w:val="00360314"/>
    <w:rsid w:val="00360629"/>
    <w:rsid w:val="00361FBA"/>
    <w:rsid w:val="0036509B"/>
    <w:rsid w:val="00367CEC"/>
    <w:rsid w:val="0037632F"/>
    <w:rsid w:val="0038289F"/>
    <w:rsid w:val="003A2269"/>
    <w:rsid w:val="003A3AFB"/>
    <w:rsid w:val="003A3DDD"/>
    <w:rsid w:val="003A5446"/>
    <w:rsid w:val="003A705C"/>
    <w:rsid w:val="003A716C"/>
    <w:rsid w:val="003B3870"/>
    <w:rsid w:val="003C47DD"/>
    <w:rsid w:val="003E45BF"/>
    <w:rsid w:val="003E4698"/>
    <w:rsid w:val="003F04CE"/>
    <w:rsid w:val="003F245C"/>
    <w:rsid w:val="003F50D9"/>
    <w:rsid w:val="003F7C5C"/>
    <w:rsid w:val="00404742"/>
    <w:rsid w:val="00410AC4"/>
    <w:rsid w:val="00410BC7"/>
    <w:rsid w:val="00420FCF"/>
    <w:rsid w:val="00426B13"/>
    <w:rsid w:val="004361C9"/>
    <w:rsid w:val="00441E49"/>
    <w:rsid w:val="004425C2"/>
    <w:rsid w:val="0044724B"/>
    <w:rsid w:val="00453E91"/>
    <w:rsid w:val="00455D64"/>
    <w:rsid w:val="004603D8"/>
    <w:rsid w:val="00474834"/>
    <w:rsid w:val="00480B0B"/>
    <w:rsid w:val="004814AD"/>
    <w:rsid w:val="00485669"/>
    <w:rsid w:val="00495D96"/>
    <w:rsid w:val="004C0015"/>
    <w:rsid w:val="004C5D6A"/>
    <w:rsid w:val="004C7262"/>
    <w:rsid w:val="004D3161"/>
    <w:rsid w:val="004D377B"/>
    <w:rsid w:val="004F454F"/>
    <w:rsid w:val="00503C19"/>
    <w:rsid w:val="00504636"/>
    <w:rsid w:val="005047B6"/>
    <w:rsid w:val="00506A62"/>
    <w:rsid w:val="005108A2"/>
    <w:rsid w:val="00513575"/>
    <w:rsid w:val="00520C10"/>
    <w:rsid w:val="00544474"/>
    <w:rsid w:val="0054750B"/>
    <w:rsid w:val="00565900"/>
    <w:rsid w:val="00583925"/>
    <w:rsid w:val="00593CCC"/>
    <w:rsid w:val="00596956"/>
    <w:rsid w:val="005A056C"/>
    <w:rsid w:val="005B1D8A"/>
    <w:rsid w:val="005B2BE8"/>
    <w:rsid w:val="005C04E9"/>
    <w:rsid w:val="005D5ECF"/>
    <w:rsid w:val="005E01E3"/>
    <w:rsid w:val="005E2A92"/>
    <w:rsid w:val="005E76E0"/>
    <w:rsid w:val="005F2596"/>
    <w:rsid w:val="005F28AA"/>
    <w:rsid w:val="005F2A46"/>
    <w:rsid w:val="005F3302"/>
    <w:rsid w:val="006018E5"/>
    <w:rsid w:val="00602904"/>
    <w:rsid w:val="00607ACA"/>
    <w:rsid w:val="00637BB9"/>
    <w:rsid w:val="00637F84"/>
    <w:rsid w:val="006402D8"/>
    <w:rsid w:val="00644BBD"/>
    <w:rsid w:val="00645E9A"/>
    <w:rsid w:val="006527AB"/>
    <w:rsid w:val="00654D86"/>
    <w:rsid w:val="00655DD7"/>
    <w:rsid w:val="006564DA"/>
    <w:rsid w:val="006641FF"/>
    <w:rsid w:val="00666184"/>
    <w:rsid w:val="00671021"/>
    <w:rsid w:val="006761DB"/>
    <w:rsid w:val="0067623F"/>
    <w:rsid w:val="006775F1"/>
    <w:rsid w:val="00680FF6"/>
    <w:rsid w:val="00683D14"/>
    <w:rsid w:val="006960C4"/>
    <w:rsid w:val="006A2DB6"/>
    <w:rsid w:val="006A4AFA"/>
    <w:rsid w:val="006B1C7C"/>
    <w:rsid w:val="006B4AFF"/>
    <w:rsid w:val="006C73EF"/>
    <w:rsid w:val="006D0AC1"/>
    <w:rsid w:val="006D1CF8"/>
    <w:rsid w:val="006D39AF"/>
    <w:rsid w:val="006D4D74"/>
    <w:rsid w:val="006E369F"/>
    <w:rsid w:val="006E660F"/>
    <w:rsid w:val="006E729D"/>
    <w:rsid w:val="006F2200"/>
    <w:rsid w:val="006F589E"/>
    <w:rsid w:val="006F6E8F"/>
    <w:rsid w:val="006F6FC1"/>
    <w:rsid w:val="007005F7"/>
    <w:rsid w:val="00706910"/>
    <w:rsid w:val="00707C95"/>
    <w:rsid w:val="00721E9E"/>
    <w:rsid w:val="00730046"/>
    <w:rsid w:val="0073112C"/>
    <w:rsid w:val="007315EA"/>
    <w:rsid w:val="0073204C"/>
    <w:rsid w:val="00740DEF"/>
    <w:rsid w:val="00742AAF"/>
    <w:rsid w:val="00742F8A"/>
    <w:rsid w:val="007441FC"/>
    <w:rsid w:val="007470A1"/>
    <w:rsid w:val="00766058"/>
    <w:rsid w:val="00781C1C"/>
    <w:rsid w:val="0078370B"/>
    <w:rsid w:val="00784696"/>
    <w:rsid w:val="0079426A"/>
    <w:rsid w:val="00794E73"/>
    <w:rsid w:val="00795777"/>
    <w:rsid w:val="007A27F5"/>
    <w:rsid w:val="007B37A4"/>
    <w:rsid w:val="007B5A08"/>
    <w:rsid w:val="007C330B"/>
    <w:rsid w:val="007C6779"/>
    <w:rsid w:val="007C6DA2"/>
    <w:rsid w:val="007D0A73"/>
    <w:rsid w:val="007D1E76"/>
    <w:rsid w:val="007D7A48"/>
    <w:rsid w:val="007E7135"/>
    <w:rsid w:val="007E7EAE"/>
    <w:rsid w:val="007F1C80"/>
    <w:rsid w:val="007F507F"/>
    <w:rsid w:val="0080302C"/>
    <w:rsid w:val="00806D96"/>
    <w:rsid w:val="00815DA0"/>
    <w:rsid w:val="0081799D"/>
    <w:rsid w:val="0082289E"/>
    <w:rsid w:val="00827C03"/>
    <w:rsid w:val="00827D44"/>
    <w:rsid w:val="00841A74"/>
    <w:rsid w:val="00844F21"/>
    <w:rsid w:val="00861C82"/>
    <w:rsid w:val="008652AA"/>
    <w:rsid w:val="008659F9"/>
    <w:rsid w:val="008718F3"/>
    <w:rsid w:val="00880859"/>
    <w:rsid w:val="0088539B"/>
    <w:rsid w:val="008A2149"/>
    <w:rsid w:val="008A2348"/>
    <w:rsid w:val="008A2BC9"/>
    <w:rsid w:val="008A5B25"/>
    <w:rsid w:val="008A7E29"/>
    <w:rsid w:val="008B0F57"/>
    <w:rsid w:val="008B683B"/>
    <w:rsid w:val="008C3BD5"/>
    <w:rsid w:val="008D43C3"/>
    <w:rsid w:val="008D59C2"/>
    <w:rsid w:val="008E1E57"/>
    <w:rsid w:val="008E78F4"/>
    <w:rsid w:val="008F10C3"/>
    <w:rsid w:val="009053E2"/>
    <w:rsid w:val="0091006D"/>
    <w:rsid w:val="00913554"/>
    <w:rsid w:val="009216EE"/>
    <w:rsid w:val="00934B9B"/>
    <w:rsid w:val="009375EB"/>
    <w:rsid w:val="009405FF"/>
    <w:rsid w:val="00941DED"/>
    <w:rsid w:val="00951411"/>
    <w:rsid w:val="009545D9"/>
    <w:rsid w:val="009640EB"/>
    <w:rsid w:val="00967FA7"/>
    <w:rsid w:val="00971E44"/>
    <w:rsid w:val="00972F36"/>
    <w:rsid w:val="00973569"/>
    <w:rsid w:val="00973706"/>
    <w:rsid w:val="009827A4"/>
    <w:rsid w:val="00982D75"/>
    <w:rsid w:val="00984F36"/>
    <w:rsid w:val="00986D21"/>
    <w:rsid w:val="0099382C"/>
    <w:rsid w:val="009C0C73"/>
    <w:rsid w:val="009C342E"/>
    <w:rsid w:val="009C4059"/>
    <w:rsid w:val="009C6353"/>
    <w:rsid w:val="009D5727"/>
    <w:rsid w:val="009D669E"/>
    <w:rsid w:val="009D67C0"/>
    <w:rsid w:val="009E2F83"/>
    <w:rsid w:val="009F26F2"/>
    <w:rsid w:val="009F2D07"/>
    <w:rsid w:val="009F6ECA"/>
    <w:rsid w:val="00A05540"/>
    <w:rsid w:val="00A14F6C"/>
    <w:rsid w:val="00A161D6"/>
    <w:rsid w:val="00A1679C"/>
    <w:rsid w:val="00A22FDC"/>
    <w:rsid w:val="00A363C9"/>
    <w:rsid w:val="00A37062"/>
    <w:rsid w:val="00A40345"/>
    <w:rsid w:val="00A41A03"/>
    <w:rsid w:val="00A469CB"/>
    <w:rsid w:val="00A4764D"/>
    <w:rsid w:val="00A47A62"/>
    <w:rsid w:val="00A52271"/>
    <w:rsid w:val="00A67D40"/>
    <w:rsid w:val="00A7286D"/>
    <w:rsid w:val="00A72D98"/>
    <w:rsid w:val="00A82C52"/>
    <w:rsid w:val="00A87D38"/>
    <w:rsid w:val="00A91151"/>
    <w:rsid w:val="00A9126C"/>
    <w:rsid w:val="00AA41AB"/>
    <w:rsid w:val="00AB34E4"/>
    <w:rsid w:val="00AB5795"/>
    <w:rsid w:val="00AB7878"/>
    <w:rsid w:val="00AC2C7F"/>
    <w:rsid w:val="00AC6E4C"/>
    <w:rsid w:val="00AC7E98"/>
    <w:rsid w:val="00AD1660"/>
    <w:rsid w:val="00AD3151"/>
    <w:rsid w:val="00AD4122"/>
    <w:rsid w:val="00AE1427"/>
    <w:rsid w:val="00AE47C1"/>
    <w:rsid w:val="00AF0D4E"/>
    <w:rsid w:val="00B06F37"/>
    <w:rsid w:val="00B113D2"/>
    <w:rsid w:val="00B151BF"/>
    <w:rsid w:val="00B160F2"/>
    <w:rsid w:val="00B21706"/>
    <w:rsid w:val="00B328EA"/>
    <w:rsid w:val="00B32B34"/>
    <w:rsid w:val="00B467C4"/>
    <w:rsid w:val="00B51226"/>
    <w:rsid w:val="00B53559"/>
    <w:rsid w:val="00B5361F"/>
    <w:rsid w:val="00B53767"/>
    <w:rsid w:val="00B54F7A"/>
    <w:rsid w:val="00B56412"/>
    <w:rsid w:val="00B5796F"/>
    <w:rsid w:val="00B65440"/>
    <w:rsid w:val="00B66CA8"/>
    <w:rsid w:val="00B762B5"/>
    <w:rsid w:val="00B76846"/>
    <w:rsid w:val="00B81589"/>
    <w:rsid w:val="00B843C2"/>
    <w:rsid w:val="00B8575B"/>
    <w:rsid w:val="00B875D7"/>
    <w:rsid w:val="00B94028"/>
    <w:rsid w:val="00BA0369"/>
    <w:rsid w:val="00BA7EF8"/>
    <w:rsid w:val="00BA7F1A"/>
    <w:rsid w:val="00BB66C5"/>
    <w:rsid w:val="00BC2390"/>
    <w:rsid w:val="00BD033A"/>
    <w:rsid w:val="00BE2E3F"/>
    <w:rsid w:val="00BE2E68"/>
    <w:rsid w:val="00BF10B9"/>
    <w:rsid w:val="00C02828"/>
    <w:rsid w:val="00C035CA"/>
    <w:rsid w:val="00C03A43"/>
    <w:rsid w:val="00C16C38"/>
    <w:rsid w:val="00C208B9"/>
    <w:rsid w:val="00C237AC"/>
    <w:rsid w:val="00C332B7"/>
    <w:rsid w:val="00C37D83"/>
    <w:rsid w:val="00C50EBC"/>
    <w:rsid w:val="00C534CD"/>
    <w:rsid w:val="00C53ED9"/>
    <w:rsid w:val="00C56FD6"/>
    <w:rsid w:val="00C65CBF"/>
    <w:rsid w:val="00C6679A"/>
    <w:rsid w:val="00C771B1"/>
    <w:rsid w:val="00C93ABC"/>
    <w:rsid w:val="00CB3031"/>
    <w:rsid w:val="00CB4E68"/>
    <w:rsid w:val="00CC230E"/>
    <w:rsid w:val="00CD13EC"/>
    <w:rsid w:val="00CD1F13"/>
    <w:rsid w:val="00CD59A2"/>
    <w:rsid w:val="00CE1AA5"/>
    <w:rsid w:val="00CE2B4C"/>
    <w:rsid w:val="00CE3EDE"/>
    <w:rsid w:val="00D007AF"/>
    <w:rsid w:val="00D03CCB"/>
    <w:rsid w:val="00D058AB"/>
    <w:rsid w:val="00D10E20"/>
    <w:rsid w:val="00D12396"/>
    <w:rsid w:val="00D15BBE"/>
    <w:rsid w:val="00D30E31"/>
    <w:rsid w:val="00D33344"/>
    <w:rsid w:val="00D354E2"/>
    <w:rsid w:val="00D363EE"/>
    <w:rsid w:val="00D372C2"/>
    <w:rsid w:val="00D44DDB"/>
    <w:rsid w:val="00D52420"/>
    <w:rsid w:val="00D53548"/>
    <w:rsid w:val="00D53D99"/>
    <w:rsid w:val="00D5541B"/>
    <w:rsid w:val="00D64BF8"/>
    <w:rsid w:val="00D650E9"/>
    <w:rsid w:val="00D7033A"/>
    <w:rsid w:val="00D73A3B"/>
    <w:rsid w:val="00D73FA4"/>
    <w:rsid w:val="00D7589A"/>
    <w:rsid w:val="00D77FBB"/>
    <w:rsid w:val="00D836CF"/>
    <w:rsid w:val="00D854B2"/>
    <w:rsid w:val="00D85B5F"/>
    <w:rsid w:val="00D91D4E"/>
    <w:rsid w:val="00D94400"/>
    <w:rsid w:val="00D97740"/>
    <w:rsid w:val="00DA0815"/>
    <w:rsid w:val="00DA38B4"/>
    <w:rsid w:val="00DA5B2A"/>
    <w:rsid w:val="00DA7644"/>
    <w:rsid w:val="00DB0678"/>
    <w:rsid w:val="00DB1888"/>
    <w:rsid w:val="00DC6B05"/>
    <w:rsid w:val="00DD1181"/>
    <w:rsid w:val="00DD2C61"/>
    <w:rsid w:val="00DE04DD"/>
    <w:rsid w:val="00DE0D0B"/>
    <w:rsid w:val="00DE24FC"/>
    <w:rsid w:val="00DE43AE"/>
    <w:rsid w:val="00DE55FF"/>
    <w:rsid w:val="00E01401"/>
    <w:rsid w:val="00E1000A"/>
    <w:rsid w:val="00E12836"/>
    <w:rsid w:val="00E15714"/>
    <w:rsid w:val="00E17422"/>
    <w:rsid w:val="00E23F2F"/>
    <w:rsid w:val="00E30AAF"/>
    <w:rsid w:val="00E30EF2"/>
    <w:rsid w:val="00E325EF"/>
    <w:rsid w:val="00E36F00"/>
    <w:rsid w:val="00E4440D"/>
    <w:rsid w:val="00E46001"/>
    <w:rsid w:val="00E5051A"/>
    <w:rsid w:val="00E6245E"/>
    <w:rsid w:val="00E6283A"/>
    <w:rsid w:val="00E715BA"/>
    <w:rsid w:val="00E73AC8"/>
    <w:rsid w:val="00E801A1"/>
    <w:rsid w:val="00E841D3"/>
    <w:rsid w:val="00E85073"/>
    <w:rsid w:val="00E86277"/>
    <w:rsid w:val="00E8679B"/>
    <w:rsid w:val="00E94EDB"/>
    <w:rsid w:val="00E9519C"/>
    <w:rsid w:val="00E953B3"/>
    <w:rsid w:val="00E958BA"/>
    <w:rsid w:val="00E97749"/>
    <w:rsid w:val="00EA0E49"/>
    <w:rsid w:val="00EA3224"/>
    <w:rsid w:val="00EA417A"/>
    <w:rsid w:val="00EA44AC"/>
    <w:rsid w:val="00EA648D"/>
    <w:rsid w:val="00EB09C7"/>
    <w:rsid w:val="00EC59A5"/>
    <w:rsid w:val="00EC5A6E"/>
    <w:rsid w:val="00ED57B8"/>
    <w:rsid w:val="00EE269B"/>
    <w:rsid w:val="00EF4FFB"/>
    <w:rsid w:val="00EF5602"/>
    <w:rsid w:val="00F00140"/>
    <w:rsid w:val="00F00BCA"/>
    <w:rsid w:val="00F122F6"/>
    <w:rsid w:val="00F1477E"/>
    <w:rsid w:val="00F156CB"/>
    <w:rsid w:val="00F22C71"/>
    <w:rsid w:val="00F23D20"/>
    <w:rsid w:val="00F24EC1"/>
    <w:rsid w:val="00F3027A"/>
    <w:rsid w:val="00F33023"/>
    <w:rsid w:val="00F330F2"/>
    <w:rsid w:val="00F36140"/>
    <w:rsid w:val="00F5198C"/>
    <w:rsid w:val="00F51C36"/>
    <w:rsid w:val="00F636DD"/>
    <w:rsid w:val="00F650C9"/>
    <w:rsid w:val="00F73413"/>
    <w:rsid w:val="00F7548D"/>
    <w:rsid w:val="00F77788"/>
    <w:rsid w:val="00F84192"/>
    <w:rsid w:val="00F9061E"/>
    <w:rsid w:val="00F91E36"/>
    <w:rsid w:val="00F940DF"/>
    <w:rsid w:val="00F97423"/>
    <w:rsid w:val="00F97601"/>
    <w:rsid w:val="00FA5696"/>
    <w:rsid w:val="00FB1989"/>
    <w:rsid w:val="00FB394E"/>
    <w:rsid w:val="00FB5C58"/>
    <w:rsid w:val="00FC3A6B"/>
    <w:rsid w:val="00FC4DE6"/>
    <w:rsid w:val="00FD0A86"/>
    <w:rsid w:val="00FD5011"/>
    <w:rsid w:val="00FE1040"/>
    <w:rsid w:val="00FE2353"/>
    <w:rsid w:val="00FF0411"/>
    <w:rsid w:val="00FF06C1"/>
    <w:rsid w:val="00FF5FD0"/>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639727987">
          <w:marLeft w:val="734"/>
          <w:marRight w:val="0"/>
          <w:marTop w:val="96"/>
          <w:marBottom w:val="0"/>
          <w:divBdr>
            <w:top w:val="none" w:sz="0" w:space="0" w:color="auto"/>
            <w:left w:val="none" w:sz="0" w:space="0" w:color="auto"/>
            <w:bottom w:val="none" w:sz="0" w:space="0" w:color="auto"/>
            <w:right w:val="none" w:sz="0" w:space="0" w:color="auto"/>
          </w:divBdr>
        </w:div>
        <w:div w:id="1076972816">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72CD-06C1-4718-BB71-489EABDF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1986</Words>
  <Characters>1133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projekta „Ministru kabineta noteikumu projekta „Noteikumi par atļaujas laukuma jūrā noteikšanu būvju un iekārtu, tai skaitā platformu un enerģijas ražošanai nepieciešamo iekārtu, būvniecībai, ierīkošanai, arī ar to saistītā izp</vt:lpstr>
    </vt:vector>
  </TitlesOfParts>
  <Company>LR Ekonomikas ministrija</Company>
  <LinksUpToDate>false</LinksUpToDate>
  <CharactersWithSpaces>3113</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nodokļiem un nodevām""</dc:title>
  <dc:subject>sākotnējās ietekmes novērtējuma ziņojums (anotācija)</dc:subject>
  <dc:creator>Ilze Ruško</dc:creator>
  <dc:description>ilze.rusko@em.gov.lv
Tālr.: 67013173</dc:description>
  <cp:lastModifiedBy>Ilze Ruško</cp:lastModifiedBy>
  <cp:revision>4</cp:revision>
  <cp:lastPrinted>2011-06-02T07:48:00Z</cp:lastPrinted>
  <dcterms:created xsi:type="dcterms:W3CDTF">2011-06-02T07:47:00Z</dcterms:created>
  <dcterms:modified xsi:type="dcterms:W3CDTF">2011-06-02T09:04:00Z</dcterms:modified>
</cp:coreProperties>
</file>