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8C" w:rsidRPr="00A420C4" w:rsidRDefault="00D07CDB" w:rsidP="00CE5A53">
      <w:pPr>
        <w:jc w:val="center"/>
        <w:outlineLvl w:val="0"/>
        <w:rPr>
          <w:rFonts w:eastAsia="Times New Roman"/>
          <w:b/>
          <w:sz w:val="26"/>
          <w:szCs w:val="26"/>
          <w:lang w:val="lv-LV" w:eastAsia="lv-LV"/>
        </w:rPr>
      </w:pPr>
      <w:bookmarkStart w:id="0" w:name="OLE_LINK6"/>
      <w:bookmarkStart w:id="1" w:name="OLE_LINK7"/>
      <w:bookmarkStart w:id="2" w:name="OLE_LINK5"/>
      <w:bookmarkStart w:id="3" w:name="OLE_LINK8"/>
      <w:bookmarkStart w:id="4" w:name="OLE_LINK10"/>
      <w:bookmarkStart w:id="5" w:name="OLE_LINK3"/>
      <w:bookmarkStart w:id="6" w:name="OLE_LINK1"/>
      <w:bookmarkStart w:id="7" w:name="OLE_LINK2"/>
      <w:r w:rsidRPr="00A420C4">
        <w:rPr>
          <w:rFonts w:eastAsia="Times New Roman"/>
          <w:b/>
          <w:sz w:val="26"/>
          <w:szCs w:val="26"/>
          <w:lang w:val="lv-LV" w:eastAsia="lv-LV"/>
        </w:rPr>
        <w:t>Ministru kabineta noteikumu projekta</w:t>
      </w:r>
      <w:bookmarkStart w:id="8" w:name="OLE_LINK4"/>
      <w:r w:rsidR="00DB3BCB" w:rsidRPr="00A420C4">
        <w:rPr>
          <w:rFonts w:eastAsia="Times New Roman"/>
          <w:b/>
          <w:sz w:val="26"/>
          <w:szCs w:val="26"/>
          <w:lang w:val="lv-LV" w:eastAsia="lv-LV"/>
        </w:rPr>
        <w:t xml:space="preserve"> </w:t>
      </w:r>
      <w:r w:rsidRPr="00A420C4">
        <w:rPr>
          <w:rFonts w:eastAsia="Times New Roman"/>
          <w:b/>
          <w:sz w:val="26"/>
          <w:szCs w:val="26"/>
          <w:lang w:val="lv-LV" w:eastAsia="lv-LV"/>
        </w:rPr>
        <w:t>„</w:t>
      </w:r>
      <w:r w:rsidR="002B0ECA" w:rsidRPr="00A420C4">
        <w:rPr>
          <w:b/>
          <w:sz w:val="26"/>
          <w:szCs w:val="26"/>
          <w:lang w:val="lv-LV"/>
        </w:rPr>
        <w:t>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r w:rsidR="007E5D4D" w:rsidRPr="00A420C4">
        <w:rPr>
          <w:rFonts w:eastAsia="Times New Roman"/>
          <w:b/>
          <w:sz w:val="26"/>
          <w:szCs w:val="26"/>
          <w:lang w:val="lv-LV" w:eastAsia="lv-LV"/>
        </w:rPr>
        <w:t>” sākotnējās ietekmes novērtējuma ziņojums (anotācija)</w:t>
      </w:r>
      <w:bookmarkEnd w:id="0"/>
      <w:bookmarkEnd w:id="1"/>
      <w:bookmarkEnd w:id="8"/>
    </w:p>
    <w:bookmarkEnd w:id="2"/>
    <w:bookmarkEnd w:id="3"/>
    <w:bookmarkEnd w:id="4"/>
    <w:p w:rsidR="004B638C" w:rsidRPr="00A420C4" w:rsidRDefault="004B638C" w:rsidP="00CE5A53">
      <w:pPr>
        <w:jc w:val="center"/>
        <w:rPr>
          <w:rFonts w:eastAsia="Times New Roman"/>
          <w:b/>
          <w:sz w:val="26"/>
          <w:szCs w:val="26"/>
          <w:lang w:val="lv-LV" w:eastAsia="lv-LV"/>
        </w:rPr>
      </w:pPr>
    </w:p>
    <w:p w:rsidR="00585D8F" w:rsidRPr="00A420C4" w:rsidRDefault="00585D8F" w:rsidP="00CE5A53">
      <w:pPr>
        <w:jc w:val="center"/>
        <w:rPr>
          <w:rFonts w:eastAsia="Times New Roman"/>
          <w:b/>
          <w:sz w:val="26"/>
          <w:szCs w:val="26"/>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3134"/>
        <w:gridCol w:w="5953"/>
      </w:tblGrid>
      <w:tr w:rsidR="00BB09C5" w:rsidRPr="00771505" w:rsidTr="001F53EB">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5"/>
          <w:bookmarkEnd w:id="6"/>
          <w:bookmarkEnd w:id="7"/>
          <w:p w:rsidR="00BB09C5" w:rsidRPr="00A420C4" w:rsidRDefault="00E73425" w:rsidP="00CE5A53">
            <w:pPr>
              <w:jc w:val="center"/>
              <w:rPr>
                <w:rFonts w:eastAsia="Times New Roman"/>
                <w:b/>
                <w:sz w:val="26"/>
                <w:szCs w:val="26"/>
                <w:lang w:val="lv-LV" w:eastAsia="lv-LV"/>
              </w:rPr>
            </w:pPr>
            <w:r w:rsidRPr="00A420C4">
              <w:rPr>
                <w:rFonts w:eastAsia="Times New Roman"/>
                <w:b/>
                <w:sz w:val="26"/>
                <w:szCs w:val="26"/>
                <w:lang w:val="lv-LV" w:eastAsia="lv-LV"/>
              </w:rPr>
              <w:t xml:space="preserve">I.Tiesību akta projekta izstrādes </w:t>
            </w:r>
            <w:r w:rsidR="007E5D4D" w:rsidRPr="00A420C4">
              <w:rPr>
                <w:rFonts w:eastAsia="Times New Roman"/>
                <w:b/>
                <w:sz w:val="26"/>
                <w:szCs w:val="26"/>
                <w:lang w:val="lv-LV" w:eastAsia="lv-LV"/>
              </w:rPr>
              <w:t>nepieciešamība</w:t>
            </w:r>
          </w:p>
        </w:tc>
      </w:tr>
      <w:tr w:rsidR="00BB09C5" w:rsidRPr="00771505"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420C4" w:rsidRDefault="00BB09C5" w:rsidP="00CE5A53">
            <w:pPr>
              <w:rPr>
                <w:rFonts w:eastAsia="Times New Roman"/>
                <w:sz w:val="26"/>
                <w:szCs w:val="26"/>
                <w:lang w:val="lv-LV" w:eastAsia="lv-LV"/>
              </w:rPr>
            </w:pPr>
            <w:r w:rsidRPr="00A420C4">
              <w:rPr>
                <w:rFonts w:eastAsia="Times New Roman"/>
                <w:sz w:val="26"/>
                <w:szCs w:val="26"/>
                <w:lang w:val="lv-LV" w:eastAsia="lv-LV"/>
              </w:rPr>
              <w:t>1</w:t>
            </w:r>
            <w:r w:rsidR="00F15932" w:rsidRPr="00A420C4">
              <w:rPr>
                <w:rFonts w:eastAsia="Times New Roman"/>
                <w:sz w:val="26"/>
                <w:szCs w:val="26"/>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A420C4" w:rsidRDefault="00554313" w:rsidP="00B32A63">
            <w:pPr>
              <w:ind w:firstLine="567"/>
              <w:jc w:val="both"/>
              <w:rPr>
                <w:sz w:val="26"/>
                <w:szCs w:val="26"/>
                <w:lang w:val="lv-LV"/>
              </w:rPr>
            </w:pPr>
            <w:r w:rsidRPr="00A420C4">
              <w:rPr>
                <w:sz w:val="26"/>
                <w:szCs w:val="26"/>
                <w:lang w:val="lv-LV"/>
              </w:rPr>
              <w:t xml:space="preserve">Noteikumu projekts sagatavots, pamatojoties uz Eiropas Savienības struktūrfondu un </w:t>
            </w:r>
            <w:r w:rsidRPr="00A420C4">
              <w:rPr>
                <w:sz w:val="26"/>
                <w:szCs w:val="26"/>
                <w:lang w:val="lv-LV"/>
              </w:rPr>
              <w:br/>
              <w:t xml:space="preserve">Kohēzijas fonda vadības likuma </w:t>
            </w:r>
            <w:r w:rsidRPr="00A420C4">
              <w:rPr>
                <w:sz w:val="26"/>
                <w:szCs w:val="26"/>
                <w:lang w:val="lv-LV"/>
              </w:rPr>
              <w:br/>
              <w:t>18.panta 10.punktu.</w:t>
            </w:r>
          </w:p>
        </w:tc>
      </w:tr>
      <w:tr w:rsidR="00BB09C5" w:rsidRPr="00771505" w:rsidTr="001F53EB">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420C4" w:rsidRDefault="00BB09C5" w:rsidP="00CE5A53">
            <w:pPr>
              <w:rPr>
                <w:rFonts w:eastAsia="Times New Roman"/>
                <w:sz w:val="26"/>
                <w:szCs w:val="26"/>
                <w:highlight w:val="lightGray"/>
                <w:lang w:val="lv-LV" w:eastAsia="lv-LV"/>
              </w:rPr>
            </w:pPr>
            <w:r w:rsidRPr="00A420C4">
              <w:rPr>
                <w:rFonts w:eastAsia="Times New Roman"/>
                <w:sz w:val="26"/>
                <w:szCs w:val="26"/>
                <w:lang w:val="lv-LV" w:eastAsia="lv-LV"/>
              </w:rPr>
              <w:t>2</w:t>
            </w:r>
            <w:r w:rsidR="00F15932" w:rsidRPr="00A420C4">
              <w:rPr>
                <w:rFonts w:eastAsia="Times New Roman"/>
                <w:sz w:val="26"/>
                <w:szCs w:val="26"/>
                <w:lang w:val="lv-LV" w:eastAsia="lv-LV"/>
              </w:rPr>
              <w:t>. Pašreizējā situācija un problēma</w:t>
            </w:r>
            <w:r w:rsidR="007E5D4D" w:rsidRPr="00A420C4">
              <w:rPr>
                <w:rFonts w:eastAsia="Times New Roman"/>
                <w:sz w:val="26"/>
                <w:szCs w:val="26"/>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194CFD" w:rsidRPr="007224A2" w:rsidRDefault="00194CFD" w:rsidP="00194CFD">
            <w:pPr>
              <w:ind w:firstLine="567"/>
              <w:jc w:val="both"/>
              <w:rPr>
                <w:sz w:val="26"/>
                <w:szCs w:val="26"/>
                <w:lang w:val="lv-LV"/>
              </w:rPr>
            </w:pPr>
            <w:r w:rsidRPr="00A420C4">
              <w:rPr>
                <w:sz w:val="26"/>
                <w:szCs w:val="26"/>
                <w:lang w:val="lv-LV"/>
              </w:rPr>
              <w:t xml:space="preserve">Grozījumi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(turpmāk – MK noteikumi Nr.328) ir nepieciešami, lai nodrošinātu efektīvu un pilnīgu finansējuma apguvi 1.3.1.1.1.apakšaktivitātes „Atbalsts nodarbināto apmācībām komersantu konkurētspējas veicināšanai – atbalsts partnerībās organizētām apmācībām” projektu iesniegumu atlases otrās kārtas (turpmāk – </w:t>
            </w:r>
            <w:r w:rsidRPr="007224A2">
              <w:rPr>
                <w:sz w:val="26"/>
                <w:szCs w:val="26"/>
                <w:lang w:val="lv-LV"/>
              </w:rPr>
              <w:t xml:space="preserve">1.3.1.1.1.aktivitātes) ietvaros. </w:t>
            </w:r>
          </w:p>
          <w:p w:rsidR="00194CFD" w:rsidRPr="007224A2" w:rsidRDefault="00194CFD" w:rsidP="00194CFD">
            <w:pPr>
              <w:ind w:firstLine="567"/>
              <w:jc w:val="both"/>
              <w:rPr>
                <w:sz w:val="26"/>
                <w:szCs w:val="26"/>
                <w:lang w:val="lv-LV"/>
              </w:rPr>
            </w:pPr>
            <w:r w:rsidRPr="007224A2">
              <w:rPr>
                <w:sz w:val="26"/>
                <w:szCs w:val="26"/>
                <w:lang w:val="lv-LV"/>
              </w:rPr>
              <w:t>Ekonomikas ministrijas izstrādātie grozījumi ir vērsti uz pašreizējo projektu īstenošanas kārtību, un ar grozījumiem noteiktais regulējums tiks piemērots uz finansējuma saņēmējiem, kas uz grozījumu projektā ietvertā regulējuma spēkā stāšanās brīdi jau būs iesnieguši projektu iesniegumus un ar kuriem sadarbības iestāde, proti, valsts aģentūra „Latvijas Investīciju un attīstības aģentūra” (turpmāk – sadarbības iestāde) būs noslēgusi civiltiesiskus līgumus par projekta īstenošanu. Savukārt noteikumu projektā iekļautais tiesiskais regulējums būs attiecināms uz apstākļiem, kas radīsies pēc MK noteikumu Nr.328 grozījumu spēkā stāšanās.</w:t>
            </w:r>
          </w:p>
          <w:p w:rsidR="00194CFD" w:rsidRPr="00A420C4" w:rsidRDefault="00194CFD" w:rsidP="00397428">
            <w:pPr>
              <w:ind w:firstLine="567"/>
              <w:jc w:val="both"/>
              <w:rPr>
                <w:sz w:val="26"/>
                <w:szCs w:val="26"/>
                <w:lang w:val="lv-LV"/>
              </w:rPr>
            </w:pPr>
            <w:r w:rsidRPr="007224A2">
              <w:rPr>
                <w:sz w:val="26"/>
                <w:szCs w:val="26"/>
                <w:lang w:val="lv-LV"/>
              </w:rPr>
              <w:t>MK noteikumu Nr.328 83.punkts paredz, ka, ja 12 mēnešu laikā no dienas, kad noslēgts līgums par projekta īstenošanu, sadarbības iestādē nav iesniegts maksājuma pieprasījums par vismaz 25 % no projekta attiecināmo izmaksu</w:t>
            </w:r>
            <w:r w:rsidRPr="00A420C4">
              <w:rPr>
                <w:sz w:val="26"/>
                <w:szCs w:val="26"/>
                <w:lang w:val="lv-LV"/>
              </w:rPr>
              <w:t xml:space="preserve"> summas, bet ne mazāk kā par saņemtajam avansam atbilstošo attiecināmo izmaksu </w:t>
            </w:r>
            <w:r w:rsidRPr="00A420C4">
              <w:rPr>
                <w:sz w:val="26"/>
                <w:szCs w:val="26"/>
                <w:lang w:val="lv-LV"/>
              </w:rPr>
              <w:lastRenderedPageBreak/>
              <w:t xml:space="preserve">summu, vai 24 mēnešu laikā no dienas, kad noslēgts līgums par projekta īstenošanu, sadarbības iestādē nav iesniegts maksājuma pieprasījums par vismaz 60 % no projekta attiecināmo izmaksu summas, neskaitot papildus piešķirto finansējumu, sadarbības iestāde samazina līgumā paredzēto finansējumu par neizpildes apjomu. </w:t>
            </w:r>
          </w:p>
          <w:p w:rsidR="00194CFD" w:rsidRPr="00A420C4" w:rsidRDefault="00194CFD" w:rsidP="00397428">
            <w:pPr>
              <w:ind w:firstLine="567"/>
              <w:jc w:val="both"/>
              <w:rPr>
                <w:sz w:val="26"/>
                <w:szCs w:val="26"/>
                <w:lang w:val="lv-LV"/>
              </w:rPr>
            </w:pPr>
            <w:r w:rsidRPr="00A420C4">
              <w:rPr>
                <w:sz w:val="26"/>
                <w:szCs w:val="26"/>
                <w:lang w:val="lv-LV"/>
              </w:rPr>
              <w:t xml:space="preserve">1.3.1.1.1.aktivitātes 2.kārtas ietvaros tiek īstenoti 16 projekti. Astoņi no šiem projektiem līdz 2012.gada beigām bija sasnieguši finansējuma apguvi vismaz 70% apmērā no projektu attiecināmajām izmaksām un šiem projektiem tika piešķirts papildu finansējums no citu projektu īstenošanas rezultātā iegūtā finansējuma ietaupījuma, kā arī no valsts budžeta </w:t>
            </w:r>
            <w:proofErr w:type="spellStart"/>
            <w:r w:rsidRPr="00A420C4">
              <w:rPr>
                <w:sz w:val="26"/>
                <w:szCs w:val="26"/>
                <w:lang w:val="lv-LV"/>
              </w:rPr>
              <w:t>virssai</w:t>
            </w:r>
            <w:r w:rsidR="001B7E5F" w:rsidRPr="00A420C4">
              <w:rPr>
                <w:sz w:val="26"/>
                <w:szCs w:val="26"/>
                <w:lang w:val="lv-LV"/>
              </w:rPr>
              <w:t>s</w:t>
            </w:r>
            <w:r w:rsidRPr="00A420C4">
              <w:rPr>
                <w:sz w:val="26"/>
                <w:szCs w:val="26"/>
                <w:lang w:val="lv-LV"/>
              </w:rPr>
              <w:t>tību</w:t>
            </w:r>
            <w:proofErr w:type="spellEnd"/>
            <w:r w:rsidRPr="00A420C4">
              <w:rPr>
                <w:sz w:val="26"/>
                <w:szCs w:val="26"/>
                <w:lang w:val="lv-LV"/>
              </w:rPr>
              <w:t xml:space="preserve"> finansējuma. Šiem astoņiem projektiem īstenošanas termiņš ir pagarināts uz laiku, kas nepārsniedz 2015.gada 1.jūniju. </w:t>
            </w:r>
          </w:p>
          <w:p w:rsidR="001B6286" w:rsidRDefault="00194CFD" w:rsidP="00397428">
            <w:pPr>
              <w:ind w:firstLine="567"/>
              <w:jc w:val="both"/>
              <w:rPr>
                <w:b/>
                <w:bCs/>
                <w:sz w:val="26"/>
                <w:szCs w:val="26"/>
                <w:lang w:val="lv-LV"/>
              </w:rPr>
            </w:pPr>
            <w:r w:rsidRPr="00A420C4">
              <w:rPr>
                <w:sz w:val="26"/>
                <w:szCs w:val="26"/>
                <w:lang w:val="lv-LV"/>
              </w:rPr>
              <w:t xml:space="preserve">Vienlaikus ir konstatēts, ka atlikušajiem astoņiem 1.3.1.1.1.aktivitātes 2.kārtas </w:t>
            </w:r>
            <w:r w:rsidR="00CD628C" w:rsidRPr="00A420C4">
              <w:rPr>
                <w:sz w:val="26"/>
                <w:szCs w:val="26"/>
                <w:lang w:val="lv-LV"/>
              </w:rPr>
              <w:t>projektiem īstenošanas progress ir bijis lēnāks un līdz 2012.gada beigām tajos nav sasniegta finansējuma apguve vismaz 60% apmērā no projektu attiecināmajām izmaksām</w:t>
            </w:r>
            <w:r w:rsidR="007659DC" w:rsidRPr="00A420C4">
              <w:rPr>
                <w:sz w:val="26"/>
                <w:szCs w:val="26"/>
                <w:lang w:val="lv-LV"/>
              </w:rPr>
              <w:t>, un šo projektu īstenošanas laiks ir paredzēts</w:t>
            </w:r>
            <w:r w:rsidR="001B7E5F" w:rsidRPr="00A420C4">
              <w:rPr>
                <w:sz w:val="26"/>
                <w:szCs w:val="26"/>
                <w:lang w:val="lv-LV"/>
              </w:rPr>
              <w:t xml:space="preserve"> ne ilgāk kā</w:t>
            </w:r>
            <w:r w:rsidR="007659DC" w:rsidRPr="00A420C4">
              <w:rPr>
                <w:sz w:val="26"/>
                <w:szCs w:val="26"/>
                <w:lang w:val="lv-LV"/>
              </w:rPr>
              <w:t xml:space="preserve"> līdz 2013.gada beigām</w:t>
            </w:r>
            <w:r w:rsidR="00CD628C" w:rsidRPr="00A420C4">
              <w:rPr>
                <w:sz w:val="26"/>
                <w:szCs w:val="26"/>
                <w:lang w:val="lv-LV"/>
              </w:rPr>
              <w:t xml:space="preserve">. </w:t>
            </w:r>
            <w:r w:rsidR="00584F56" w:rsidRPr="00A420C4">
              <w:rPr>
                <w:sz w:val="26"/>
                <w:szCs w:val="26"/>
                <w:lang w:val="lv-LV"/>
              </w:rPr>
              <w:t xml:space="preserve">Ņemot vērā, ka </w:t>
            </w:r>
            <w:r w:rsidR="007659DC" w:rsidRPr="00A420C4">
              <w:rPr>
                <w:sz w:val="26"/>
                <w:szCs w:val="26"/>
                <w:lang w:val="lv-LV"/>
              </w:rPr>
              <w:t xml:space="preserve">nepieciešamība nodrošināt </w:t>
            </w:r>
            <w:r w:rsidR="00584F56" w:rsidRPr="00A420C4">
              <w:rPr>
                <w:sz w:val="26"/>
                <w:szCs w:val="26"/>
                <w:lang w:val="lv-LV"/>
              </w:rPr>
              <w:t>apmāc</w:t>
            </w:r>
            <w:r w:rsidR="007659DC" w:rsidRPr="00A420C4">
              <w:rPr>
                <w:sz w:val="26"/>
                <w:szCs w:val="26"/>
                <w:lang w:val="lv-LV"/>
              </w:rPr>
              <w:t>ības</w:t>
            </w:r>
            <w:r w:rsidR="00584F56" w:rsidRPr="00A420C4">
              <w:rPr>
                <w:sz w:val="26"/>
                <w:szCs w:val="26"/>
                <w:lang w:val="lv-LV"/>
              </w:rPr>
              <w:t xml:space="preserve"> komersantos nodarbināto personu kvalifikācijas celšanai ir </w:t>
            </w:r>
            <w:r w:rsidR="007659DC" w:rsidRPr="00A420C4">
              <w:rPr>
                <w:sz w:val="26"/>
                <w:szCs w:val="26"/>
                <w:lang w:val="lv-LV"/>
              </w:rPr>
              <w:t xml:space="preserve">pastāvīga, proti, apmācību vajadzības ir nepārtrauktas, Ekonomikas ministrija kā 1.3.1.1.1.aktivitātes atbildīgā iestāde ir konstatējusi, ka nepieciešams nodrošināt, ka arī </w:t>
            </w:r>
            <w:r w:rsidR="001B7E5F" w:rsidRPr="00A420C4">
              <w:rPr>
                <w:sz w:val="26"/>
                <w:szCs w:val="26"/>
                <w:lang w:val="lv-LV"/>
              </w:rPr>
              <w:t>t</w:t>
            </w:r>
            <w:r w:rsidR="007659DC" w:rsidRPr="00A420C4">
              <w:rPr>
                <w:sz w:val="26"/>
                <w:szCs w:val="26"/>
                <w:lang w:val="lv-LV"/>
              </w:rPr>
              <w:t xml:space="preserve">ajās tautsaimniecības nozarēs, kurās tiek īstenoti minētie apmācību projekti, apmācības nodarbinātājiem ir pieejamas līdz 2015.gadam, izmantojot šiem projektiem jau piešķirto finansējumu. Ņemot vērā, ka </w:t>
            </w:r>
            <w:r w:rsidR="009A3A02" w:rsidRPr="00A420C4">
              <w:rPr>
                <w:sz w:val="26"/>
                <w:szCs w:val="26"/>
                <w:lang w:val="lv-LV"/>
              </w:rPr>
              <w:t>nodarbināto apmācību projektu īstenošana</w:t>
            </w:r>
            <w:r w:rsidR="007659DC" w:rsidRPr="00A420C4">
              <w:rPr>
                <w:sz w:val="26"/>
                <w:szCs w:val="26"/>
                <w:lang w:val="lv-LV"/>
              </w:rPr>
              <w:t xml:space="preserve"> 2014.-2020.gada ES fondu plānošanas period</w:t>
            </w:r>
            <w:r w:rsidR="009A3A02" w:rsidRPr="00A420C4">
              <w:rPr>
                <w:sz w:val="26"/>
                <w:szCs w:val="26"/>
                <w:lang w:val="lv-LV"/>
              </w:rPr>
              <w:t>ā tiks uzsākta ne ātrāk kā 2015.gadā, projektu īstenošanas termiņa pagarināšana sniegs iespēju nodrošināt finansējuma pieejamības nepārtrauktību</w:t>
            </w:r>
            <w:r w:rsidR="002A33D0" w:rsidRPr="00A420C4">
              <w:rPr>
                <w:sz w:val="26"/>
                <w:szCs w:val="26"/>
                <w:lang w:val="lv-LV"/>
              </w:rPr>
              <w:t xml:space="preserve"> un pilnvērtīgi un efektīvi izmantot 1.3.1.1.1.aktivitātes finansējumu</w:t>
            </w:r>
            <w:r w:rsidR="009A3A02" w:rsidRPr="00A420C4">
              <w:rPr>
                <w:sz w:val="26"/>
                <w:szCs w:val="26"/>
                <w:lang w:val="lv-LV"/>
              </w:rPr>
              <w:t xml:space="preserve">. </w:t>
            </w:r>
            <w:r w:rsidR="00762083" w:rsidRPr="00387FF6">
              <w:rPr>
                <w:b/>
                <w:sz w:val="26"/>
                <w:szCs w:val="26"/>
                <w:lang w:val="lv-LV"/>
              </w:rPr>
              <w:t>Vienlaikus jāņem vērā, ka ne visu projektu īstenošanas laikā attiecīgā nozare ir pierādījusi savu kapacitāti pilnvērtīgi izmantot  apmācību īstenošanai piešķirto finansējumu, tādēļ</w:t>
            </w:r>
            <w:r w:rsidR="006D03EB">
              <w:rPr>
                <w:b/>
                <w:sz w:val="26"/>
                <w:szCs w:val="26"/>
                <w:lang w:val="lv-LV"/>
              </w:rPr>
              <w:t xml:space="preserve"> Ekonomikas ministrija ir izstrādājusi nosacījumus, kuri jāizpilda, lai projekta </w:t>
            </w:r>
            <w:r w:rsidR="006D03EB">
              <w:rPr>
                <w:b/>
                <w:sz w:val="26"/>
                <w:szCs w:val="26"/>
                <w:lang w:val="lv-LV"/>
              </w:rPr>
              <w:lastRenderedPageBreak/>
              <w:t>īstenošanas termiņš varētu tikt pagarināts</w:t>
            </w:r>
            <w:r w:rsidR="00762083" w:rsidRPr="00387FF6">
              <w:rPr>
                <w:b/>
                <w:bCs/>
                <w:sz w:val="26"/>
                <w:szCs w:val="26"/>
                <w:lang w:val="lv-LV"/>
              </w:rPr>
              <w:t>.</w:t>
            </w:r>
          </w:p>
          <w:p w:rsidR="006D03EB" w:rsidRPr="00266744" w:rsidRDefault="006D03EB" w:rsidP="00397428">
            <w:pPr>
              <w:ind w:firstLine="567"/>
              <w:jc w:val="both"/>
              <w:rPr>
                <w:sz w:val="26"/>
                <w:szCs w:val="26"/>
                <w:lang w:val="lv-LV"/>
              </w:rPr>
            </w:pPr>
            <w:r w:rsidRPr="00266744">
              <w:rPr>
                <w:bCs/>
                <w:sz w:val="26"/>
                <w:szCs w:val="26"/>
                <w:lang w:val="lv-LV"/>
              </w:rPr>
              <w:t xml:space="preserve">Ekonomikas ministrijas ierosinātie grozījumi paredz, ka īstenošanas termiņu var pagarināt tādiem projektiem, kuri pirmo </w:t>
            </w:r>
            <w:r w:rsidR="00B629EC">
              <w:rPr>
                <w:bCs/>
                <w:sz w:val="26"/>
                <w:szCs w:val="26"/>
                <w:lang w:val="lv-LV"/>
              </w:rPr>
              <w:t>divu</w:t>
            </w:r>
            <w:r w:rsidRPr="00266744">
              <w:rPr>
                <w:bCs/>
                <w:sz w:val="26"/>
                <w:szCs w:val="26"/>
                <w:lang w:val="lv-LV"/>
              </w:rPr>
              <w:t xml:space="preserve"> gadu laikā nav sasnieguši 60% finansējuma apguvi, taču kuros ir izveidojies finansējuma ietaupījums, jo ar izmantoto finansējumu ir nodrošinātas apmācības lielākam skaitam nodarbināto personu, un ir sasniegti vismaz 70% no projekta plānotajiem rādītājiem. Šādiem projektiem, pagarinot projekta īstenošanas termiņu, </w:t>
            </w:r>
            <w:r w:rsidRPr="00266744">
              <w:rPr>
                <w:sz w:val="26"/>
                <w:szCs w:val="26"/>
                <w:lang w:val="lv-LV"/>
              </w:rPr>
              <w:t>projekta kopējo attiecināmo izmaksu summa nevar pārsniegt divkāršu projekta attiecināmo izmaksu summu, par kādu iesniegti maksājuma pieprasījumi</w:t>
            </w:r>
            <w:r w:rsidR="001B6286">
              <w:rPr>
                <w:sz w:val="26"/>
                <w:szCs w:val="26"/>
                <w:lang w:val="lv-LV"/>
              </w:rPr>
              <w:t xml:space="preserve"> </w:t>
            </w:r>
            <w:r w:rsidRPr="00266744">
              <w:rPr>
                <w:sz w:val="26"/>
                <w:szCs w:val="26"/>
                <w:lang w:val="lv-LV"/>
              </w:rPr>
              <w:t xml:space="preserve">projekta īstenošanas pirmo </w:t>
            </w:r>
            <w:r w:rsidR="00B629EC">
              <w:rPr>
                <w:sz w:val="26"/>
                <w:szCs w:val="26"/>
                <w:lang w:val="lv-LV"/>
              </w:rPr>
              <w:t>divu</w:t>
            </w:r>
            <w:r w:rsidRPr="00266744">
              <w:rPr>
                <w:sz w:val="26"/>
                <w:szCs w:val="26"/>
                <w:lang w:val="lv-LV"/>
              </w:rPr>
              <w:t xml:space="preserve"> gadu laikā</w:t>
            </w:r>
            <w:r w:rsidR="00905541" w:rsidRPr="00266744">
              <w:rPr>
                <w:sz w:val="26"/>
                <w:szCs w:val="26"/>
                <w:lang w:val="lv-LV"/>
              </w:rPr>
              <w:t>, tādējādi nodrošinot, ka projekta turpmākajai īstenošanai pieejamais finansējums ir adekvāts finansējuma saņēmējam līdz šim pierādītajai kapacitātei projekta īstenošanā</w:t>
            </w:r>
            <w:r w:rsidRPr="00266744">
              <w:rPr>
                <w:sz w:val="26"/>
                <w:szCs w:val="26"/>
                <w:lang w:val="lv-LV"/>
              </w:rPr>
              <w:t xml:space="preserve">. </w:t>
            </w:r>
            <w:r w:rsidR="00905541" w:rsidRPr="00266744">
              <w:rPr>
                <w:sz w:val="26"/>
                <w:szCs w:val="26"/>
                <w:lang w:val="lv-LV"/>
              </w:rPr>
              <w:t xml:space="preserve">Tāpat grozījumi paredz noteikt konkrētus starpposma mērķus finansējuma apguvē, kas finansējuma saņēmējiem jāsasniedz turpmākajā projekta īstenošanas laikā. </w:t>
            </w:r>
            <w:r w:rsidR="00A84938" w:rsidRPr="0003480A">
              <w:rPr>
                <w:b/>
                <w:sz w:val="26"/>
                <w:szCs w:val="26"/>
                <w:lang w:val="lv-LV"/>
              </w:rPr>
              <w:t xml:space="preserve">Šādu grozījumu veikšana nodrošinās, ka tiek efektīvi izmantots finansējums tajos projektos, kuros finansējuma apguve bijusi lēnāka, bet rezultatīvie rādītāji sasniegti sekmīgi, turklāt finansējums turpmākai projektu īstenošanas būs atbilstošs līdz šim pierādītājai projektu finansējuma apguves kapacitātei. Tādējādi tiks nodrošināta sekmīgāka projektu īstenošana un pilnvērtīga plānoto rezultatīvo rādītāju sasniegšana. </w:t>
            </w:r>
            <w:r w:rsidRPr="0003480A">
              <w:rPr>
                <w:b/>
                <w:sz w:val="26"/>
                <w:szCs w:val="26"/>
                <w:lang w:val="lv-LV"/>
              </w:rPr>
              <w:t xml:space="preserve"> </w:t>
            </w:r>
          </w:p>
          <w:p w:rsidR="00905541" w:rsidRPr="00266744" w:rsidRDefault="00905541" w:rsidP="00397428">
            <w:pPr>
              <w:ind w:firstLine="567"/>
              <w:jc w:val="both"/>
              <w:rPr>
                <w:bCs/>
                <w:sz w:val="26"/>
                <w:szCs w:val="26"/>
                <w:lang w:val="lv-LV"/>
              </w:rPr>
            </w:pPr>
            <w:r w:rsidRPr="00266744">
              <w:rPr>
                <w:bCs/>
                <w:sz w:val="26"/>
                <w:szCs w:val="26"/>
                <w:lang w:val="lv-LV"/>
              </w:rPr>
              <w:t xml:space="preserve">Savukārt tiem </w:t>
            </w:r>
            <w:r>
              <w:rPr>
                <w:bCs/>
                <w:sz w:val="26"/>
                <w:szCs w:val="26"/>
                <w:lang w:val="lv-LV"/>
              </w:rPr>
              <w:t xml:space="preserve">projektiem, kuri pirmo 2 gadu laikā nav sasnieguši finansējuma apguvi vismaz 60% apmērā, nav sasnieguši </w:t>
            </w:r>
            <w:r w:rsidRPr="00220926">
              <w:rPr>
                <w:bCs/>
                <w:sz w:val="26"/>
                <w:szCs w:val="26"/>
                <w:lang w:val="lv-LV"/>
              </w:rPr>
              <w:t>vismaz 70% no projekta plānotajiem rādītājiem</w:t>
            </w:r>
            <w:r>
              <w:rPr>
                <w:bCs/>
                <w:sz w:val="26"/>
                <w:szCs w:val="26"/>
                <w:lang w:val="lv-LV"/>
              </w:rPr>
              <w:t xml:space="preserve"> un nav sasnieguši finansējuma ietaupījumu</w:t>
            </w:r>
            <w:r w:rsidR="001B6286">
              <w:rPr>
                <w:bCs/>
                <w:sz w:val="26"/>
                <w:szCs w:val="26"/>
                <w:lang w:val="lv-LV"/>
              </w:rPr>
              <w:t xml:space="preserve">, projektu īstenošanas nosacījumi netiek mainīti, proti, šo projektu maksimālais īstenošanas termiņš ir 3 gadi un projekta finansējuma apjoms tiek samazināts par </w:t>
            </w:r>
            <w:r w:rsidR="00B629EC">
              <w:rPr>
                <w:bCs/>
                <w:sz w:val="26"/>
                <w:szCs w:val="26"/>
                <w:lang w:val="lv-LV"/>
              </w:rPr>
              <w:t xml:space="preserve">noteikumu 83.punktā noteikto </w:t>
            </w:r>
            <w:r w:rsidR="001B6286">
              <w:rPr>
                <w:bCs/>
                <w:sz w:val="26"/>
                <w:szCs w:val="26"/>
                <w:lang w:val="lv-LV"/>
              </w:rPr>
              <w:t xml:space="preserve">neizpildes apjomu. </w:t>
            </w:r>
            <w:r w:rsidR="00A84938" w:rsidRPr="0003480A">
              <w:rPr>
                <w:b/>
                <w:bCs/>
                <w:sz w:val="26"/>
                <w:szCs w:val="26"/>
                <w:lang w:val="lv-LV"/>
              </w:rPr>
              <w:t xml:space="preserve">Finansējums, kas </w:t>
            </w:r>
            <w:r w:rsidR="00F166D9" w:rsidRPr="0003480A">
              <w:rPr>
                <w:b/>
                <w:bCs/>
                <w:sz w:val="26"/>
                <w:szCs w:val="26"/>
                <w:lang w:val="lv-LV"/>
              </w:rPr>
              <w:t xml:space="preserve">tiks iegūts, samazinot projektu finansējumu par 83.punktā noteikto neizpildes apjomu, saskaņā ar MK noteikumu Nr.328 93.5punktā noteikto var tikt izmantots, lai palielinātu finansējumu citiem projektiem. Ņemot vērā, ka šis finansējums nav uzskatāms par neatbilstību finansējumu, tas var tikt izmantots citu </w:t>
            </w:r>
            <w:r w:rsidR="00F166D9" w:rsidRPr="0003480A">
              <w:rPr>
                <w:b/>
                <w:bCs/>
                <w:sz w:val="26"/>
                <w:szCs w:val="26"/>
                <w:lang w:val="lv-LV"/>
              </w:rPr>
              <w:lastRenderedPageBreak/>
              <w:t>projektu finansēšanai un tādējādi ir uzskatāms par aktivitātē pieejamo finansējumu.</w:t>
            </w:r>
            <w:r w:rsidR="00F166D9">
              <w:rPr>
                <w:bCs/>
                <w:sz w:val="26"/>
                <w:szCs w:val="26"/>
                <w:lang w:val="lv-LV"/>
              </w:rPr>
              <w:t xml:space="preserve"> </w:t>
            </w:r>
            <w:r>
              <w:rPr>
                <w:bCs/>
                <w:sz w:val="26"/>
                <w:szCs w:val="26"/>
                <w:lang w:val="lv-LV"/>
              </w:rPr>
              <w:t xml:space="preserve"> </w:t>
            </w:r>
          </w:p>
          <w:p w:rsidR="00B130BF" w:rsidRDefault="00194CFD" w:rsidP="009A3A02">
            <w:pPr>
              <w:ind w:firstLine="567"/>
              <w:jc w:val="both"/>
              <w:rPr>
                <w:color w:val="000000"/>
                <w:sz w:val="26"/>
                <w:szCs w:val="26"/>
                <w:u w:val="single"/>
                <w:lang w:val="lv-LV"/>
              </w:rPr>
            </w:pPr>
            <w:r w:rsidRPr="007224A2">
              <w:rPr>
                <w:sz w:val="26"/>
                <w:szCs w:val="26"/>
                <w:lang w:val="lv-LV"/>
              </w:rPr>
              <w:t xml:space="preserve">Ekonomikas ministrija norāda, ka </w:t>
            </w:r>
            <w:r w:rsidR="009A3A02" w:rsidRPr="007224A2">
              <w:rPr>
                <w:sz w:val="26"/>
                <w:szCs w:val="26"/>
                <w:lang w:val="lv-LV"/>
              </w:rPr>
              <w:t>paredzētie grozījumi</w:t>
            </w:r>
            <w:r w:rsidRPr="007224A2">
              <w:rPr>
                <w:sz w:val="26"/>
                <w:szCs w:val="26"/>
                <w:lang w:val="lv-LV"/>
              </w:rPr>
              <w:t xml:space="preserve"> nekādā veidā nerada tiesiskās paļāvības principa (kontekstā ar tiesiskās vienlīdzības principu) apdraudējumu, jo augstāk </w:t>
            </w:r>
            <w:r w:rsidR="009A3A02" w:rsidRPr="007224A2">
              <w:rPr>
                <w:sz w:val="26"/>
                <w:szCs w:val="26"/>
                <w:lang w:val="lv-LV"/>
              </w:rPr>
              <w:t>aktivitātes</w:t>
            </w:r>
            <w:r w:rsidRPr="007224A2">
              <w:rPr>
                <w:sz w:val="26"/>
                <w:szCs w:val="26"/>
                <w:lang w:val="lv-LV"/>
              </w:rPr>
              <w:t xml:space="preserve"> ietvaros projektu iesniegšanas brīdī attiecībā uz visiem potenciālajiem projektu iesniedzējiem pastāvēja vienādi tiesiskie apstākļi, līdz ar to arī faktiskās prasības. Tādēļ piedāvātā pieeja attiecas tikai uz tiem finansējuma saņēmējiem, kuri iesniedza projektu iesniegumus. Proti, tie atrodas citādākos faktiskajos apstākļos un nav salīdzināmi ar tiem potenciālajiem projektu iesniedzējiem, kuri tikai apsvēra iespēju iesniegt projektu iesniegumu, bet to neizdarīja. Turklāt 1.3.1.1.1.aktivitātes ietvaros gala labuma guvēji ir saimnieciskās darbības veicēji un biedrības - apmācību saņēmēji, kas jebkurā brīdī var kļūt par finansējuma saņēmēja sadarbības partneriem vai biedriem, ja atbilst MK noteikumos Nr.328 noteiktajām prasībām.</w:t>
            </w:r>
            <w:r w:rsidR="00686E89" w:rsidRPr="007224A2">
              <w:rPr>
                <w:color w:val="000000"/>
                <w:sz w:val="26"/>
                <w:szCs w:val="26"/>
                <w:u w:val="single"/>
                <w:lang w:val="lv-LV"/>
              </w:rPr>
              <w:t xml:space="preserve"> </w:t>
            </w:r>
          </w:p>
          <w:p w:rsidR="00EC7AE4" w:rsidRPr="00266744" w:rsidRDefault="00EC7AE4" w:rsidP="00EC7AE4">
            <w:pPr>
              <w:ind w:firstLine="720"/>
              <w:jc w:val="both"/>
              <w:rPr>
                <w:rFonts w:eastAsia="Times New Roman"/>
                <w:bCs/>
                <w:sz w:val="26"/>
                <w:szCs w:val="26"/>
                <w:lang w:val="lv-LV"/>
              </w:rPr>
            </w:pPr>
            <w:r w:rsidRPr="00266744">
              <w:rPr>
                <w:rFonts w:eastAsia="Times New Roman"/>
                <w:bCs/>
                <w:sz w:val="26"/>
                <w:szCs w:val="26"/>
                <w:lang w:val="lv-LV"/>
              </w:rPr>
              <w:t xml:space="preserve">Eiropas Komisijas Nodarbinātības, sociālo lietu un </w:t>
            </w:r>
            <w:proofErr w:type="spellStart"/>
            <w:r w:rsidRPr="00266744">
              <w:rPr>
                <w:rFonts w:eastAsia="Times New Roman"/>
                <w:bCs/>
                <w:sz w:val="26"/>
                <w:szCs w:val="26"/>
                <w:lang w:val="lv-LV"/>
              </w:rPr>
              <w:t>iekļautības</w:t>
            </w:r>
            <w:proofErr w:type="spellEnd"/>
            <w:r w:rsidRPr="00266744">
              <w:rPr>
                <w:rFonts w:eastAsia="Times New Roman"/>
                <w:bCs/>
                <w:sz w:val="26"/>
                <w:szCs w:val="26"/>
                <w:lang w:val="lv-LV"/>
              </w:rPr>
              <w:t xml:space="preserve"> ģenerāldirektorāts (turpmāk – DG EMPL) ir veicis auditu par Eiropas Sociālā fonda līdzfinansētās finanšu vadības instrumentu aktivitātes īstenošanu Latvijā un audita rezultātā ir aprēķināta finanšu korekcija 1.3.1.2.aktivitātes „Atbalsts </w:t>
            </w:r>
            <w:proofErr w:type="spellStart"/>
            <w:r w:rsidRPr="00266744">
              <w:rPr>
                <w:rFonts w:eastAsia="Times New Roman"/>
                <w:bCs/>
                <w:sz w:val="26"/>
                <w:szCs w:val="26"/>
                <w:lang w:val="lv-LV"/>
              </w:rPr>
              <w:t>pašnodarbinātības</w:t>
            </w:r>
            <w:proofErr w:type="spellEnd"/>
            <w:r w:rsidRPr="00266744">
              <w:rPr>
                <w:rFonts w:eastAsia="Times New Roman"/>
                <w:bCs/>
                <w:sz w:val="26"/>
                <w:szCs w:val="26"/>
                <w:lang w:val="lv-LV"/>
              </w:rPr>
              <w:t xml:space="preserve"> un uzņēmējdarbības uzsākšanai” ietvaros.</w:t>
            </w:r>
            <w:r>
              <w:rPr>
                <w:rFonts w:eastAsia="Times New Roman"/>
                <w:bCs/>
                <w:sz w:val="26"/>
                <w:szCs w:val="26"/>
                <w:lang w:val="lv-LV"/>
              </w:rPr>
              <w:t xml:space="preserve"> </w:t>
            </w:r>
            <w:r w:rsidRPr="00266744">
              <w:rPr>
                <w:rFonts w:eastAsia="Times New Roman"/>
                <w:bCs/>
                <w:sz w:val="26"/>
                <w:szCs w:val="26"/>
                <w:lang w:val="lv-LV"/>
              </w:rPr>
              <w:t>Ministru kabineta 2013.gada 5.marta sēdē (protokols Nr.13, 38§)  tika pieņemts lēmums piekrist DG REGIO EMPL noteiktajam finanšu korekcijas apmēram (http://www.mk.gov.lv/lv/mk/tap/?pid=40278062&amp;mode=mk&amp;date=2013-03-05).</w:t>
            </w:r>
          </w:p>
          <w:p w:rsidR="00EC7AE4" w:rsidRDefault="00EC7AE4" w:rsidP="00266744">
            <w:pPr>
              <w:ind w:firstLine="720"/>
              <w:jc w:val="both"/>
              <w:rPr>
                <w:sz w:val="26"/>
                <w:szCs w:val="26"/>
                <w:lang w:val="lv-LV"/>
              </w:rPr>
            </w:pPr>
            <w:r w:rsidRPr="00266744">
              <w:rPr>
                <w:rFonts w:eastAsia="Times New Roman"/>
                <w:bCs/>
                <w:sz w:val="26"/>
                <w:szCs w:val="26"/>
                <w:lang w:val="lv-LV"/>
              </w:rPr>
              <w:t xml:space="preserve">Saskaņā ar Ministru kabineta 2013.gada 5.marta </w:t>
            </w:r>
            <w:proofErr w:type="spellStart"/>
            <w:r w:rsidRPr="00266744">
              <w:rPr>
                <w:rFonts w:eastAsia="Times New Roman"/>
                <w:bCs/>
                <w:sz w:val="26"/>
                <w:szCs w:val="26"/>
                <w:lang w:val="lv-LV"/>
              </w:rPr>
              <w:t>protokollēmuma</w:t>
            </w:r>
            <w:proofErr w:type="spellEnd"/>
            <w:r w:rsidRPr="00266744">
              <w:rPr>
                <w:rFonts w:eastAsia="Times New Roman"/>
                <w:bCs/>
                <w:sz w:val="26"/>
                <w:szCs w:val="26"/>
                <w:lang w:val="lv-LV"/>
              </w:rPr>
              <w:t xml:space="preserve"> 38.§ 9.punktu un Ministru kabineta 2013.gada 28.maija </w:t>
            </w:r>
            <w:proofErr w:type="spellStart"/>
            <w:r w:rsidRPr="00266744">
              <w:rPr>
                <w:rFonts w:eastAsia="Times New Roman"/>
                <w:bCs/>
                <w:sz w:val="26"/>
                <w:szCs w:val="26"/>
                <w:lang w:val="lv-LV"/>
              </w:rPr>
              <w:t>protokollēmuma</w:t>
            </w:r>
            <w:proofErr w:type="spellEnd"/>
            <w:r w:rsidRPr="00266744">
              <w:rPr>
                <w:rFonts w:eastAsia="Times New Roman"/>
                <w:bCs/>
                <w:sz w:val="26"/>
                <w:szCs w:val="26"/>
                <w:lang w:val="lv-LV"/>
              </w:rPr>
              <w:t xml:space="preserve"> 47.§ 9.punktu, Ekonomikas ministrija (turpmāk – EM) 2013.gada 27.jūnijā iesniedza Valsts Kancelejā Ministru kabineta noteikumu Nr.293 „Noteikumi par darbības programmas „Cilvēkresursi un nodarbinātība” papildinājuma 1.3.1.2.aktivitāti „Atbalsts </w:t>
            </w:r>
            <w:proofErr w:type="spellStart"/>
            <w:r w:rsidRPr="00266744">
              <w:rPr>
                <w:rFonts w:eastAsia="Times New Roman"/>
                <w:bCs/>
                <w:sz w:val="26"/>
                <w:szCs w:val="26"/>
                <w:lang w:val="lv-LV"/>
              </w:rPr>
              <w:t>pašnodarbinātības</w:t>
            </w:r>
            <w:proofErr w:type="spellEnd"/>
            <w:r w:rsidRPr="00266744">
              <w:rPr>
                <w:rFonts w:eastAsia="Times New Roman"/>
                <w:bCs/>
                <w:sz w:val="26"/>
                <w:szCs w:val="26"/>
                <w:lang w:val="lv-LV"/>
              </w:rPr>
              <w:t xml:space="preserve"> un uzņēmējdarbības uzsākšanai”” (turpmāk – MK noteikumi Nr.293) grozījumu projektu un 2013.gada 2.jūlija Ministru kabineta sēdē šie grozījumi tika apstiprināti.</w:t>
            </w:r>
            <w:r>
              <w:rPr>
                <w:rFonts w:eastAsia="Times New Roman"/>
                <w:bCs/>
                <w:sz w:val="26"/>
                <w:szCs w:val="26"/>
                <w:lang w:val="lv-LV"/>
              </w:rPr>
              <w:t xml:space="preserve"> </w:t>
            </w:r>
            <w:r w:rsidRPr="00266744">
              <w:rPr>
                <w:rFonts w:eastAsia="Times New Roman"/>
                <w:bCs/>
                <w:sz w:val="26"/>
                <w:szCs w:val="26"/>
                <w:lang w:val="lv-LV"/>
              </w:rPr>
              <w:t xml:space="preserve">Atbilstoši veiktajiem </w:t>
            </w:r>
            <w:r w:rsidRPr="00266744">
              <w:rPr>
                <w:rFonts w:eastAsia="Times New Roman"/>
                <w:bCs/>
                <w:sz w:val="26"/>
                <w:szCs w:val="26"/>
                <w:lang w:val="lv-LV"/>
              </w:rPr>
              <w:lastRenderedPageBreak/>
              <w:t>aprēķiniem tika paredzēta finanšu korekcija aktivitātei, par 5 273 182 EUR</w:t>
            </w:r>
            <w:r w:rsidR="00074BDD">
              <w:rPr>
                <w:rFonts w:eastAsia="Times New Roman"/>
                <w:bCs/>
                <w:sz w:val="26"/>
                <w:szCs w:val="26"/>
                <w:lang w:val="lv-LV"/>
              </w:rPr>
              <w:t xml:space="preserve"> (3 706 013 LVL)</w:t>
            </w:r>
            <w:r w:rsidRPr="00266744">
              <w:rPr>
                <w:rFonts w:eastAsia="Times New Roman"/>
                <w:bCs/>
                <w:sz w:val="26"/>
                <w:szCs w:val="26"/>
                <w:lang w:val="lv-LV"/>
              </w:rPr>
              <w:t xml:space="preserve"> samazinot ESF finansējuma daļu, par 930 562 EUR</w:t>
            </w:r>
            <w:r w:rsidR="00074BDD">
              <w:rPr>
                <w:rFonts w:eastAsia="Times New Roman"/>
                <w:bCs/>
                <w:sz w:val="26"/>
                <w:szCs w:val="26"/>
                <w:lang w:val="lv-LV"/>
              </w:rPr>
              <w:t xml:space="preserve"> (654 002 LVL)</w:t>
            </w:r>
            <w:r w:rsidRPr="00266744">
              <w:rPr>
                <w:rFonts w:eastAsia="Times New Roman"/>
                <w:bCs/>
                <w:sz w:val="26"/>
                <w:szCs w:val="26"/>
                <w:lang w:val="lv-LV"/>
              </w:rPr>
              <w:t xml:space="preserve"> samazinot nacionālā publiskā f</w:t>
            </w:r>
            <w:r w:rsidR="00074BDD" w:rsidRPr="00074BDD">
              <w:rPr>
                <w:rFonts w:eastAsia="Times New Roman"/>
                <w:bCs/>
                <w:sz w:val="26"/>
                <w:szCs w:val="26"/>
                <w:lang w:val="lv-LV"/>
              </w:rPr>
              <w:t>inansējuma daļu un par 1</w:t>
            </w:r>
            <w:r w:rsidR="00074BDD">
              <w:rPr>
                <w:rFonts w:eastAsia="Times New Roman"/>
                <w:bCs/>
                <w:sz w:val="26"/>
                <w:szCs w:val="26"/>
                <w:lang w:val="lv-LV"/>
              </w:rPr>
              <w:t> </w:t>
            </w:r>
            <w:r w:rsidRPr="00266744">
              <w:rPr>
                <w:rFonts w:eastAsia="Times New Roman"/>
                <w:bCs/>
                <w:sz w:val="26"/>
                <w:szCs w:val="26"/>
                <w:lang w:val="lv-LV"/>
              </w:rPr>
              <w:t xml:space="preserve">708 689 EUR </w:t>
            </w:r>
            <w:r w:rsidR="00074BDD">
              <w:rPr>
                <w:rFonts w:eastAsia="Times New Roman"/>
                <w:bCs/>
                <w:sz w:val="26"/>
                <w:szCs w:val="26"/>
                <w:lang w:val="lv-LV"/>
              </w:rPr>
              <w:t xml:space="preserve">(1 200 873 LVL) </w:t>
            </w:r>
            <w:r w:rsidRPr="00266744">
              <w:rPr>
                <w:rFonts w:eastAsia="Times New Roman"/>
                <w:bCs/>
                <w:sz w:val="26"/>
                <w:szCs w:val="26"/>
                <w:lang w:val="lv-LV"/>
              </w:rPr>
              <w:t xml:space="preserve">samazinot privātā finansējuma daļu </w:t>
            </w:r>
            <w:r>
              <w:rPr>
                <w:rFonts w:eastAsia="Times New Roman"/>
                <w:bCs/>
                <w:sz w:val="26"/>
                <w:szCs w:val="26"/>
                <w:lang w:val="lv-LV"/>
              </w:rPr>
              <w:t xml:space="preserve">un </w:t>
            </w:r>
            <w:r w:rsidRPr="00266744">
              <w:rPr>
                <w:rFonts w:eastAsia="Times New Roman"/>
                <w:bCs/>
                <w:sz w:val="26"/>
                <w:szCs w:val="26"/>
                <w:lang w:val="lv-LV"/>
              </w:rPr>
              <w:t xml:space="preserve">novirzot to 1.3.1.1.1.apakšaktivitātes </w:t>
            </w:r>
            <w:r w:rsidRPr="00266744">
              <w:rPr>
                <w:rFonts w:eastAsia="Times New Roman"/>
                <w:sz w:val="26"/>
                <w:szCs w:val="26"/>
                <w:lang w:val="lv-LV"/>
              </w:rPr>
              <w:t>„Atbalsts nodarbināto apmācībām komersantu konkurētspējas veicināšanai - atbalsts partnerībās organizētām apmācībām” projektu iesniegumu atlases otrās kārtas īstenošanai.</w:t>
            </w:r>
            <w:r>
              <w:rPr>
                <w:rFonts w:eastAsia="Times New Roman"/>
                <w:sz w:val="26"/>
                <w:szCs w:val="26"/>
                <w:lang w:val="lv-LV"/>
              </w:rPr>
              <w:t xml:space="preserve"> Tādēļ noteikumu projekts paredz palielināt </w:t>
            </w:r>
            <w:r w:rsidRPr="007224A2">
              <w:rPr>
                <w:sz w:val="26"/>
                <w:szCs w:val="26"/>
                <w:lang w:val="lv-LV"/>
              </w:rPr>
              <w:t>1.3.1.1.1.aktivitātes</w:t>
            </w:r>
            <w:r>
              <w:rPr>
                <w:sz w:val="26"/>
                <w:szCs w:val="26"/>
                <w:lang w:val="lv-LV"/>
              </w:rPr>
              <w:t xml:space="preserve"> finansējuma summu par atbilstošo apjomu. </w:t>
            </w:r>
          </w:p>
          <w:p w:rsidR="00217ED9" w:rsidRPr="00266744" w:rsidRDefault="00217ED9" w:rsidP="00231642">
            <w:pPr>
              <w:ind w:firstLine="720"/>
              <w:jc w:val="both"/>
              <w:rPr>
                <w:rFonts w:eastAsia="Times New Roman"/>
                <w:sz w:val="26"/>
                <w:szCs w:val="26"/>
                <w:lang w:val="lv-LV"/>
              </w:rPr>
            </w:pPr>
            <w:r>
              <w:rPr>
                <w:sz w:val="26"/>
                <w:szCs w:val="26"/>
                <w:lang w:val="lv-LV"/>
              </w:rPr>
              <w:t>Ņemot vērā papildu ESF un valsts budžeta finansējuma piešķiršanu 1.3.1.1.1.aktivitātes īstenošanai, būs iespējams piešķirt papildu finansējumu projektu īstenošanai, un, lai nodrošinātu vienlīdzīgu attieksmi pret tiem projektiem, kas papildu finansējumu saņēma 2012.gada beigās, un kuri papildu finansējumam pieteiksies pēc grozījumu spēkā stāšanās, nepieciešams precizēt nosacījumus</w:t>
            </w:r>
            <w:r w:rsidR="00C74479">
              <w:rPr>
                <w:sz w:val="26"/>
                <w:szCs w:val="26"/>
                <w:lang w:val="lv-LV"/>
              </w:rPr>
              <w:t xml:space="preserve"> šī finansējuma piešķiršanai un izlietošanai. Piešķirot </w:t>
            </w:r>
            <w:proofErr w:type="spellStart"/>
            <w:r w:rsidR="00C74479">
              <w:rPr>
                <w:sz w:val="26"/>
                <w:szCs w:val="26"/>
                <w:lang w:val="lv-LV"/>
              </w:rPr>
              <w:t>virssaistību</w:t>
            </w:r>
            <w:proofErr w:type="spellEnd"/>
            <w:r w:rsidR="00C74479">
              <w:rPr>
                <w:sz w:val="26"/>
                <w:szCs w:val="26"/>
                <w:lang w:val="lv-LV"/>
              </w:rPr>
              <w:t xml:space="preserve"> finansējumu, tika noteikti arī nosacījumi, ka daļa no </w:t>
            </w:r>
            <w:proofErr w:type="spellStart"/>
            <w:r w:rsidR="00C74479">
              <w:rPr>
                <w:sz w:val="26"/>
                <w:szCs w:val="26"/>
                <w:lang w:val="lv-LV"/>
              </w:rPr>
              <w:t>virssaistību</w:t>
            </w:r>
            <w:proofErr w:type="spellEnd"/>
            <w:r w:rsidR="00C74479">
              <w:rPr>
                <w:sz w:val="26"/>
                <w:szCs w:val="26"/>
                <w:lang w:val="lv-LV"/>
              </w:rPr>
              <w:t xml:space="preserve"> finansējuma jāizmanto jauniešu un reģionos nodarbināto apmācībai. Projektiem, kuriem papildu finansējums tika piešķirts 2012.gada beigās, tika noteikts, ka papildu finansējums veidojas no </w:t>
            </w:r>
            <w:proofErr w:type="spellStart"/>
            <w:r w:rsidR="00C74479">
              <w:rPr>
                <w:sz w:val="26"/>
                <w:szCs w:val="26"/>
                <w:lang w:val="lv-LV"/>
              </w:rPr>
              <w:t>virssaistību</w:t>
            </w:r>
            <w:proofErr w:type="spellEnd"/>
            <w:r w:rsidR="00C74479">
              <w:rPr>
                <w:sz w:val="26"/>
                <w:szCs w:val="26"/>
                <w:lang w:val="lv-LV"/>
              </w:rPr>
              <w:t xml:space="preserve"> finansējuma</w:t>
            </w:r>
            <w:r w:rsidR="00C74479" w:rsidRPr="00C74479">
              <w:rPr>
                <w:sz w:val="26"/>
                <w:szCs w:val="26"/>
                <w:lang w:val="lv-LV"/>
              </w:rPr>
              <w:t xml:space="preserve"> un finansējum</w:t>
            </w:r>
            <w:r w:rsidR="00C74479">
              <w:rPr>
                <w:sz w:val="26"/>
                <w:szCs w:val="26"/>
                <w:lang w:val="lv-LV"/>
              </w:rPr>
              <w:t>a</w:t>
            </w:r>
            <w:r w:rsidR="00C74479" w:rsidRPr="00C74479">
              <w:rPr>
                <w:sz w:val="26"/>
                <w:szCs w:val="26"/>
                <w:lang w:val="lv-LV"/>
              </w:rPr>
              <w:t>, kas iegūts, piemērojot noteikumu 83.punktā minēto finansējuma samazinājumu, atbilstoši šo finansējuma avotu savstarpējai proporcijai līguma par projekta īstenošanu grozījumu iesniegšanas dienā.</w:t>
            </w:r>
            <w:r w:rsidR="00C74479">
              <w:rPr>
                <w:sz w:val="26"/>
                <w:szCs w:val="26"/>
                <w:lang w:val="lv-LV"/>
              </w:rPr>
              <w:t xml:space="preserve"> 8 projektiem, kam papildu finansējums tika piešķirts 2012.gada beigās</w:t>
            </w:r>
            <w:r w:rsidR="00074BDD">
              <w:rPr>
                <w:sz w:val="26"/>
                <w:szCs w:val="26"/>
                <w:lang w:val="lv-LV"/>
              </w:rPr>
              <w:t xml:space="preserve"> un 2013.gada sākumā</w:t>
            </w:r>
            <w:r w:rsidR="00C74479">
              <w:rPr>
                <w:sz w:val="26"/>
                <w:szCs w:val="26"/>
                <w:lang w:val="lv-LV"/>
              </w:rPr>
              <w:t xml:space="preserve"> šī attiecība bija </w:t>
            </w:r>
            <w:r w:rsidR="00231642" w:rsidRPr="0003480A">
              <w:rPr>
                <w:b/>
                <w:sz w:val="26"/>
                <w:szCs w:val="26"/>
                <w:lang w:val="lv-LV"/>
              </w:rPr>
              <w:t>69.4</w:t>
            </w:r>
            <w:r w:rsidR="00C74479" w:rsidRPr="0003480A">
              <w:rPr>
                <w:b/>
                <w:sz w:val="26"/>
                <w:szCs w:val="26"/>
                <w:lang w:val="lv-LV"/>
              </w:rPr>
              <w:t>:</w:t>
            </w:r>
            <w:r w:rsidR="00231642" w:rsidRPr="0003480A">
              <w:rPr>
                <w:b/>
                <w:sz w:val="26"/>
                <w:szCs w:val="26"/>
                <w:lang w:val="lv-LV"/>
              </w:rPr>
              <w:t>30.6</w:t>
            </w:r>
            <w:r w:rsidR="00C74479">
              <w:rPr>
                <w:sz w:val="26"/>
                <w:szCs w:val="26"/>
                <w:lang w:val="lv-LV"/>
              </w:rPr>
              <w:t xml:space="preserve">, proti, </w:t>
            </w:r>
            <w:r w:rsidR="00231642" w:rsidRPr="0003480A">
              <w:rPr>
                <w:b/>
                <w:sz w:val="26"/>
                <w:szCs w:val="26"/>
                <w:lang w:val="lv-LV"/>
              </w:rPr>
              <w:t>69.4</w:t>
            </w:r>
            <w:r w:rsidR="00C74479">
              <w:rPr>
                <w:sz w:val="26"/>
                <w:szCs w:val="26"/>
                <w:lang w:val="lv-LV"/>
              </w:rPr>
              <w:t xml:space="preserve">% no projekta papildu finansējuma bija jāpiemēro noteikumos noteiktie nosacījumi par </w:t>
            </w:r>
            <w:proofErr w:type="spellStart"/>
            <w:r w:rsidR="00C74479">
              <w:rPr>
                <w:sz w:val="26"/>
                <w:szCs w:val="26"/>
                <w:lang w:val="lv-LV"/>
              </w:rPr>
              <w:t>virssa</w:t>
            </w:r>
            <w:r w:rsidR="002326CC">
              <w:rPr>
                <w:sz w:val="26"/>
                <w:szCs w:val="26"/>
                <w:lang w:val="lv-LV"/>
              </w:rPr>
              <w:t>i</w:t>
            </w:r>
            <w:r w:rsidR="00C74479">
              <w:rPr>
                <w:sz w:val="26"/>
                <w:szCs w:val="26"/>
                <w:lang w:val="lv-LV"/>
              </w:rPr>
              <w:t>stību</w:t>
            </w:r>
            <w:proofErr w:type="spellEnd"/>
            <w:r w:rsidR="00C74479">
              <w:rPr>
                <w:sz w:val="26"/>
                <w:szCs w:val="26"/>
                <w:lang w:val="lv-LV"/>
              </w:rPr>
              <w:t xml:space="preserve"> finansējumu. Lai nodrošinātu vienlīdzīgu attieksmi pret tiem finansējuma saņēmējiem, kas jau ir saņēmuši papildu finansējumu</w:t>
            </w:r>
            <w:r w:rsidR="00455BA8">
              <w:rPr>
                <w:sz w:val="26"/>
                <w:szCs w:val="26"/>
                <w:lang w:val="lv-LV"/>
              </w:rPr>
              <w:t>,</w:t>
            </w:r>
            <w:r w:rsidR="00C74479">
              <w:rPr>
                <w:sz w:val="26"/>
                <w:szCs w:val="26"/>
                <w:lang w:val="lv-LV"/>
              </w:rPr>
              <w:t xml:space="preserve"> un tiem, kas uz to pieteiksies nākotnē, noteikumu projekts paredz veikt grozījumus, nosakot, ka šī proporcija ir attiecināma arī uz </w:t>
            </w:r>
            <w:r w:rsidR="00074BDD">
              <w:rPr>
                <w:sz w:val="26"/>
                <w:szCs w:val="26"/>
                <w:lang w:val="lv-LV"/>
              </w:rPr>
              <w:t xml:space="preserve">turpmākiem projektu finansējuma palielinājumiem </w:t>
            </w:r>
            <w:r w:rsidR="00C74479">
              <w:rPr>
                <w:sz w:val="26"/>
                <w:szCs w:val="26"/>
                <w:lang w:val="lv-LV"/>
              </w:rPr>
              <w:t>1.3.1.1.1.aktivitāt</w:t>
            </w:r>
            <w:r w:rsidR="00074BDD">
              <w:rPr>
                <w:sz w:val="26"/>
                <w:szCs w:val="26"/>
                <w:lang w:val="lv-LV"/>
              </w:rPr>
              <w:t>ē</w:t>
            </w:r>
            <w:r w:rsidR="00C74479">
              <w:rPr>
                <w:sz w:val="26"/>
                <w:szCs w:val="26"/>
                <w:lang w:val="lv-LV"/>
              </w:rPr>
              <w:t xml:space="preserve">.  </w:t>
            </w:r>
          </w:p>
        </w:tc>
      </w:tr>
      <w:tr w:rsidR="00537A29" w:rsidRPr="00A420C4" w:rsidTr="001F53EB">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A420C4" w:rsidRDefault="00537A29" w:rsidP="00CE5A53">
            <w:pPr>
              <w:rPr>
                <w:rFonts w:eastAsia="Times New Roman"/>
                <w:sz w:val="26"/>
                <w:szCs w:val="26"/>
                <w:lang w:val="lv-LV" w:eastAsia="lv-LV"/>
              </w:rPr>
            </w:pPr>
            <w:r w:rsidRPr="00A420C4">
              <w:rPr>
                <w:rFonts w:eastAsia="Times New Roman"/>
                <w:sz w:val="26"/>
                <w:szCs w:val="26"/>
                <w:lang w:val="lv-LV" w:eastAsia="lv-LV"/>
              </w:rPr>
              <w:lastRenderedPageBreak/>
              <w:t xml:space="preserve">3. Saistītie politikas ietekmes </w:t>
            </w:r>
            <w:r w:rsidRPr="00A420C4">
              <w:rPr>
                <w:rFonts w:eastAsia="Times New Roman"/>
                <w:sz w:val="26"/>
                <w:szCs w:val="26"/>
                <w:lang w:val="lv-LV" w:eastAsia="lv-LV"/>
              </w:rPr>
              <w:lastRenderedPageBreak/>
              <w:t>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A420C4" w:rsidRDefault="007D3113" w:rsidP="007D3113">
            <w:pPr>
              <w:ind w:firstLine="567"/>
              <w:jc w:val="both"/>
              <w:rPr>
                <w:color w:val="000000"/>
                <w:sz w:val="26"/>
                <w:szCs w:val="26"/>
                <w:lang w:val="lv-LV"/>
              </w:rPr>
            </w:pPr>
            <w:r w:rsidRPr="00A420C4">
              <w:rPr>
                <w:color w:val="000000"/>
                <w:sz w:val="26"/>
                <w:szCs w:val="26"/>
                <w:lang w:val="lv-LV"/>
              </w:rPr>
              <w:lastRenderedPageBreak/>
              <w:t>Projekts šo jomu neskar.</w:t>
            </w:r>
          </w:p>
        </w:tc>
      </w:tr>
      <w:tr w:rsidR="00BB09C5" w:rsidRPr="00771505" w:rsidTr="00620AD6">
        <w:trPr>
          <w:trHeight w:val="366"/>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420C4" w:rsidRDefault="00537A29" w:rsidP="00CE5A53">
            <w:pPr>
              <w:rPr>
                <w:rFonts w:eastAsia="Times New Roman"/>
                <w:sz w:val="26"/>
                <w:szCs w:val="26"/>
                <w:lang w:val="lv-LV" w:eastAsia="lv-LV"/>
              </w:rPr>
            </w:pPr>
            <w:r w:rsidRPr="00A420C4">
              <w:rPr>
                <w:rFonts w:eastAsia="Times New Roman"/>
                <w:sz w:val="26"/>
                <w:szCs w:val="26"/>
                <w:lang w:val="lv-LV" w:eastAsia="lv-LV"/>
              </w:rPr>
              <w:lastRenderedPageBreak/>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D3113" w:rsidRPr="00455BA8" w:rsidRDefault="007D3113" w:rsidP="007D3113">
            <w:pPr>
              <w:ind w:firstLine="709"/>
              <w:jc w:val="both"/>
              <w:rPr>
                <w:bCs/>
                <w:sz w:val="26"/>
                <w:szCs w:val="26"/>
                <w:lang w:val="lv-LV"/>
              </w:rPr>
            </w:pPr>
            <w:r w:rsidRPr="00A420C4">
              <w:rPr>
                <w:bCs/>
                <w:sz w:val="26"/>
                <w:szCs w:val="26"/>
                <w:lang w:val="lv-LV"/>
              </w:rPr>
              <w:t>Noteikumu projekts paredz veikt grozījumus MK noteikumos Nr.</w:t>
            </w:r>
            <w:r w:rsidR="00194CFD" w:rsidRPr="00A420C4">
              <w:rPr>
                <w:bCs/>
                <w:sz w:val="26"/>
                <w:szCs w:val="26"/>
                <w:lang w:val="lv-LV"/>
              </w:rPr>
              <w:t>328</w:t>
            </w:r>
            <w:r w:rsidRPr="00455BA8">
              <w:rPr>
                <w:bCs/>
                <w:sz w:val="26"/>
                <w:szCs w:val="26"/>
                <w:lang w:val="lv-LV"/>
              </w:rPr>
              <w:t>, izdarot šādas izmaiņas:</w:t>
            </w:r>
          </w:p>
          <w:p w:rsidR="00455BA8" w:rsidRPr="00BC3919" w:rsidRDefault="00455BA8" w:rsidP="00266744">
            <w:pPr>
              <w:jc w:val="both"/>
              <w:rPr>
                <w:bCs/>
                <w:sz w:val="26"/>
                <w:szCs w:val="26"/>
                <w:lang w:val="lv-LV"/>
              </w:rPr>
            </w:pPr>
            <w:r w:rsidRPr="00455BA8">
              <w:rPr>
                <w:bCs/>
                <w:sz w:val="26"/>
                <w:szCs w:val="26"/>
                <w:lang w:val="lv-LV"/>
              </w:rPr>
              <w:t>1. palielināt aktivitātei pieejamo Eiropas Sociālā fonda un valsts bud</w:t>
            </w:r>
            <w:r w:rsidRPr="00BC3919">
              <w:rPr>
                <w:bCs/>
                <w:sz w:val="26"/>
                <w:szCs w:val="26"/>
                <w:lang w:val="lv-LV"/>
              </w:rPr>
              <w:t xml:space="preserve">žeta finansējumu; </w:t>
            </w:r>
          </w:p>
          <w:p w:rsidR="00455BA8" w:rsidRDefault="00455BA8" w:rsidP="00194CFD">
            <w:pPr>
              <w:jc w:val="both"/>
              <w:rPr>
                <w:bCs/>
                <w:sz w:val="26"/>
                <w:szCs w:val="26"/>
                <w:lang w:val="lv-LV"/>
              </w:rPr>
            </w:pPr>
            <w:r w:rsidRPr="00BC3919">
              <w:rPr>
                <w:bCs/>
                <w:sz w:val="26"/>
                <w:szCs w:val="26"/>
                <w:lang w:val="lv-LV"/>
              </w:rPr>
              <w:t xml:space="preserve">2. </w:t>
            </w:r>
            <w:r w:rsidR="00194CFD" w:rsidRPr="00BC3919">
              <w:rPr>
                <w:bCs/>
                <w:sz w:val="26"/>
                <w:szCs w:val="26"/>
                <w:lang w:val="lv-LV"/>
              </w:rPr>
              <w:t xml:space="preserve">noteikt, ka projektu </w:t>
            </w:r>
            <w:r w:rsidR="00194CFD" w:rsidRPr="00266744">
              <w:rPr>
                <w:bCs/>
                <w:sz w:val="26"/>
                <w:szCs w:val="26"/>
                <w:lang w:val="lv-LV"/>
              </w:rPr>
              <w:t>maksimāl</w:t>
            </w:r>
            <w:r w:rsidR="007224A2" w:rsidRPr="00266744">
              <w:rPr>
                <w:bCs/>
                <w:sz w:val="26"/>
                <w:szCs w:val="26"/>
                <w:lang w:val="lv-LV"/>
              </w:rPr>
              <w:t>o</w:t>
            </w:r>
            <w:r w:rsidR="00194CFD" w:rsidRPr="00266744">
              <w:rPr>
                <w:bCs/>
                <w:sz w:val="26"/>
                <w:szCs w:val="26"/>
                <w:lang w:val="lv-LV"/>
              </w:rPr>
              <w:t xml:space="preserve"> īstenošanas termiņ</w:t>
            </w:r>
            <w:r w:rsidR="007224A2" w:rsidRPr="00266744">
              <w:rPr>
                <w:bCs/>
                <w:sz w:val="26"/>
                <w:szCs w:val="26"/>
                <w:lang w:val="lv-LV"/>
              </w:rPr>
              <w:t>u</w:t>
            </w:r>
            <w:r w:rsidR="00194CFD" w:rsidRPr="00266744">
              <w:rPr>
                <w:bCs/>
                <w:sz w:val="26"/>
                <w:szCs w:val="26"/>
                <w:lang w:val="lv-LV"/>
              </w:rPr>
              <w:t xml:space="preserve"> </w:t>
            </w:r>
            <w:r w:rsidR="007224A2" w:rsidRPr="00266744">
              <w:rPr>
                <w:bCs/>
                <w:sz w:val="26"/>
                <w:szCs w:val="26"/>
                <w:lang w:val="lv-LV"/>
              </w:rPr>
              <w:t>var pagarināt</w:t>
            </w:r>
            <w:r w:rsidR="00194CFD" w:rsidRPr="00266744">
              <w:rPr>
                <w:bCs/>
                <w:sz w:val="26"/>
                <w:szCs w:val="26"/>
                <w:lang w:val="lv-LV"/>
              </w:rPr>
              <w:t xml:space="preserve"> ne ilgāk kā līdz 2015.gada 1.jūnijam</w:t>
            </w:r>
            <w:r w:rsidR="007224A2" w:rsidRPr="00266744">
              <w:rPr>
                <w:bCs/>
                <w:sz w:val="26"/>
                <w:szCs w:val="26"/>
                <w:lang w:val="lv-LV"/>
              </w:rPr>
              <w:t>, ja</w:t>
            </w:r>
            <w:r w:rsidRPr="00266744">
              <w:rPr>
                <w:bCs/>
                <w:sz w:val="26"/>
                <w:szCs w:val="26"/>
                <w:lang w:val="lv-LV"/>
              </w:rPr>
              <w:t xml:space="preserve"> projektiem, kuri pirmajos 2 projekta īstenošanas gados nav sasnieguši 60% finansējuma apguvi, ir izveidojies finansējuma ietaupījums</w:t>
            </w:r>
            <w:r w:rsidR="00E36B28">
              <w:rPr>
                <w:bCs/>
                <w:sz w:val="26"/>
                <w:szCs w:val="26"/>
                <w:lang w:val="lv-LV"/>
              </w:rPr>
              <w:t xml:space="preserve">, </w:t>
            </w:r>
            <w:r w:rsidR="00E36B28" w:rsidRPr="00E36B28">
              <w:rPr>
                <w:bCs/>
                <w:sz w:val="26"/>
                <w:szCs w:val="26"/>
                <w:lang w:val="lv-LV"/>
              </w:rPr>
              <w:t>ir pārsniegti finansējuma saņēmēja projektā plānotie rezultatīvie rādītāji pret izmantoto finansējuma apmēru</w:t>
            </w:r>
            <w:r w:rsidRPr="00266744">
              <w:rPr>
                <w:bCs/>
                <w:sz w:val="26"/>
                <w:szCs w:val="26"/>
                <w:lang w:val="lv-LV"/>
              </w:rPr>
              <w:t xml:space="preserve"> un ir sasniegti vismaz 70% no projekta rezultatīvajiem rādītājiem</w:t>
            </w:r>
            <w:r>
              <w:rPr>
                <w:bCs/>
                <w:sz w:val="26"/>
                <w:szCs w:val="26"/>
                <w:lang w:val="lv-LV"/>
              </w:rPr>
              <w:t xml:space="preserve">. </w:t>
            </w:r>
          </w:p>
          <w:p w:rsidR="00455BA8" w:rsidRDefault="00455BA8" w:rsidP="00194CFD">
            <w:pPr>
              <w:jc w:val="both"/>
              <w:rPr>
                <w:sz w:val="26"/>
                <w:szCs w:val="26"/>
                <w:lang w:val="lv-LV"/>
              </w:rPr>
            </w:pPr>
            <w:r>
              <w:rPr>
                <w:bCs/>
                <w:sz w:val="26"/>
                <w:szCs w:val="26"/>
                <w:lang w:val="lv-LV"/>
              </w:rPr>
              <w:t>3. noteikt, ka š</w:t>
            </w:r>
            <w:r w:rsidRPr="00220926">
              <w:rPr>
                <w:bCs/>
                <w:sz w:val="26"/>
                <w:szCs w:val="26"/>
                <w:lang w:val="lv-LV"/>
              </w:rPr>
              <w:t xml:space="preserve">ādiem projektiem, pagarinot projekta īstenošanas termiņu, </w:t>
            </w:r>
            <w:r w:rsidRPr="00220926">
              <w:rPr>
                <w:sz w:val="26"/>
                <w:szCs w:val="26"/>
                <w:lang w:val="lv-LV"/>
              </w:rPr>
              <w:t>projekta kopējo attiecināmo izmaksu summa nevar pārsniegt divkāršu projekta attiecināmo izmaksu summu, par kādu iesniegti maksājuma pieprasījumi</w:t>
            </w:r>
            <w:r>
              <w:rPr>
                <w:sz w:val="26"/>
                <w:szCs w:val="26"/>
                <w:lang w:val="lv-LV"/>
              </w:rPr>
              <w:t xml:space="preserve"> </w:t>
            </w:r>
            <w:r w:rsidRPr="00220926">
              <w:rPr>
                <w:sz w:val="26"/>
                <w:szCs w:val="26"/>
                <w:lang w:val="lv-LV"/>
              </w:rPr>
              <w:t>projekta īstenošanas pirmo 2 gadu laikā</w:t>
            </w:r>
            <w:r>
              <w:rPr>
                <w:sz w:val="26"/>
                <w:szCs w:val="26"/>
                <w:lang w:val="lv-LV"/>
              </w:rPr>
              <w:t xml:space="preserve">. </w:t>
            </w:r>
          </w:p>
          <w:p w:rsidR="00455BA8" w:rsidRDefault="00455BA8" w:rsidP="00194CFD">
            <w:pPr>
              <w:jc w:val="both"/>
              <w:rPr>
                <w:sz w:val="26"/>
                <w:szCs w:val="26"/>
                <w:lang w:val="lv-LV"/>
              </w:rPr>
            </w:pPr>
            <w:r>
              <w:rPr>
                <w:sz w:val="26"/>
                <w:szCs w:val="26"/>
                <w:lang w:val="lv-LV"/>
              </w:rPr>
              <w:t xml:space="preserve">4. noteikt, ka, ja šādiem projektiem </w:t>
            </w:r>
            <w:r w:rsidRPr="00455BA8">
              <w:rPr>
                <w:sz w:val="26"/>
                <w:szCs w:val="26"/>
                <w:lang w:val="lv-LV"/>
              </w:rPr>
              <w:t>līdz 2013.gada 31.decembrim sadarbības iestādē nav iesniegts maksājuma pieprasījums par vismaz 70 % no projekta attiecināmo izmaksu summas, vai līdz 2014.gada 30.jūnijam – par vismaz 80% no projekta attiecināmo izmaksu summas, vai līdz 2014.gada 31.decembrim – par vismaz 90% no projekta attiecināmo izmaksu summas, sadarbības iestāde samazina līgumā paredzēto finansējumu par neizpildes apjomu</w:t>
            </w:r>
            <w:r>
              <w:rPr>
                <w:sz w:val="26"/>
                <w:szCs w:val="26"/>
                <w:lang w:val="lv-LV"/>
              </w:rPr>
              <w:t xml:space="preserve">; </w:t>
            </w:r>
          </w:p>
          <w:p w:rsidR="00455BA8" w:rsidRDefault="00455BA8" w:rsidP="00194CFD">
            <w:pPr>
              <w:jc w:val="both"/>
              <w:rPr>
                <w:sz w:val="26"/>
                <w:szCs w:val="26"/>
                <w:lang w:val="lv-LV"/>
              </w:rPr>
            </w:pPr>
            <w:r>
              <w:rPr>
                <w:sz w:val="26"/>
                <w:szCs w:val="26"/>
                <w:lang w:val="lv-LV"/>
              </w:rPr>
              <w:t xml:space="preserve">5. precizēt, ka projektu īstenošanai papildu finansējumu </w:t>
            </w:r>
            <w:r w:rsidR="00E36B28">
              <w:rPr>
                <w:sz w:val="26"/>
                <w:szCs w:val="26"/>
                <w:lang w:val="lv-LV"/>
              </w:rPr>
              <w:t xml:space="preserve">līdztekus </w:t>
            </w:r>
            <w:proofErr w:type="spellStart"/>
            <w:r w:rsidR="00E36B28">
              <w:rPr>
                <w:sz w:val="26"/>
                <w:szCs w:val="26"/>
                <w:lang w:val="lv-LV"/>
              </w:rPr>
              <w:t>virssaistībām</w:t>
            </w:r>
            <w:proofErr w:type="spellEnd"/>
            <w:r w:rsidR="00E36B28">
              <w:rPr>
                <w:sz w:val="26"/>
                <w:szCs w:val="26"/>
                <w:lang w:val="lv-LV"/>
              </w:rPr>
              <w:t xml:space="preserve"> </w:t>
            </w:r>
            <w:r>
              <w:rPr>
                <w:sz w:val="26"/>
                <w:szCs w:val="26"/>
                <w:lang w:val="lv-LV"/>
              </w:rPr>
              <w:t xml:space="preserve">var piešķirt arī no </w:t>
            </w:r>
            <w:r w:rsidR="00E36B28">
              <w:rPr>
                <w:sz w:val="26"/>
                <w:szCs w:val="26"/>
                <w:lang w:val="lv-LV"/>
              </w:rPr>
              <w:t>cita aktivitātē pieejamā</w:t>
            </w:r>
            <w:r w:rsidR="00E36B28" w:rsidRPr="00E36B28">
              <w:rPr>
                <w:sz w:val="26"/>
                <w:szCs w:val="26"/>
                <w:lang w:val="lv-LV"/>
              </w:rPr>
              <w:t xml:space="preserve"> Eiropas Sociālā fon</w:t>
            </w:r>
            <w:r w:rsidR="00E36B28">
              <w:rPr>
                <w:sz w:val="26"/>
                <w:szCs w:val="26"/>
                <w:lang w:val="lv-LV"/>
              </w:rPr>
              <w:t>da un valsts budžeta finansējuma</w:t>
            </w:r>
            <w:r>
              <w:rPr>
                <w:sz w:val="26"/>
                <w:szCs w:val="26"/>
                <w:lang w:val="lv-LV"/>
              </w:rPr>
              <w:t xml:space="preserve">; </w:t>
            </w:r>
          </w:p>
          <w:p w:rsidR="00B63137" w:rsidRPr="00A420C4" w:rsidRDefault="00455BA8" w:rsidP="00231642">
            <w:pPr>
              <w:jc w:val="both"/>
              <w:rPr>
                <w:bCs/>
                <w:sz w:val="26"/>
                <w:szCs w:val="26"/>
                <w:lang w:val="lv-LV"/>
              </w:rPr>
            </w:pPr>
            <w:r>
              <w:rPr>
                <w:sz w:val="26"/>
                <w:szCs w:val="26"/>
                <w:lang w:val="lv-LV"/>
              </w:rPr>
              <w:t xml:space="preserve">6. precizēt, ka nosacījumus, ka vismaz 20% no papildu piešķirtā finansējuma jāizmanto jauniešu apmācībai, vismaz 15% personu no Kurzemes, Zemgales un Vidzemes apmācībai un vismaz 5% – personu no Latgales apmācībai, </w:t>
            </w:r>
            <w:r w:rsidR="00BC3919">
              <w:rPr>
                <w:sz w:val="26"/>
                <w:szCs w:val="26"/>
                <w:lang w:val="lv-LV"/>
              </w:rPr>
              <w:t xml:space="preserve">piemēro finansējumam </w:t>
            </w:r>
            <w:r w:rsidR="00231642" w:rsidRPr="0003480A">
              <w:rPr>
                <w:b/>
                <w:sz w:val="26"/>
                <w:szCs w:val="26"/>
                <w:lang w:val="lv-LV"/>
              </w:rPr>
              <w:t>69.4</w:t>
            </w:r>
            <w:r w:rsidR="00BC3919" w:rsidRPr="00BC3919">
              <w:rPr>
                <w:sz w:val="26"/>
                <w:szCs w:val="26"/>
                <w:lang w:val="lv-LV"/>
              </w:rPr>
              <w:t xml:space="preserve">% </w:t>
            </w:r>
            <w:r w:rsidR="00BC3919">
              <w:rPr>
                <w:sz w:val="26"/>
                <w:szCs w:val="26"/>
                <w:lang w:val="lv-LV"/>
              </w:rPr>
              <w:t xml:space="preserve">apmērā </w:t>
            </w:r>
            <w:r w:rsidR="00BC3919" w:rsidRPr="00BC3919">
              <w:rPr>
                <w:sz w:val="26"/>
                <w:szCs w:val="26"/>
                <w:lang w:val="lv-LV"/>
              </w:rPr>
              <w:t>no projekta finansējuma palielinājuma.</w:t>
            </w:r>
            <w:r>
              <w:rPr>
                <w:sz w:val="26"/>
                <w:szCs w:val="26"/>
                <w:lang w:val="lv-LV"/>
              </w:rPr>
              <w:t xml:space="preserve">  </w:t>
            </w:r>
            <w:r w:rsidR="006A33F8" w:rsidRPr="00A420C4">
              <w:rPr>
                <w:sz w:val="26"/>
                <w:szCs w:val="26"/>
                <w:lang w:val="lv-LV"/>
              </w:rPr>
              <w:t xml:space="preserve"> </w:t>
            </w:r>
          </w:p>
        </w:tc>
      </w:tr>
      <w:tr w:rsidR="00537A29" w:rsidRPr="00A420C4"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A420C4" w:rsidRDefault="00537A29" w:rsidP="00CE5A53">
            <w:pPr>
              <w:rPr>
                <w:rFonts w:eastAsia="Times New Roman"/>
                <w:sz w:val="26"/>
                <w:szCs w:val="26"/>
                <w:lang w:val="lv-LV" w:eastAsia="lv-LV"/>
              </w:rPr>
            </w:pPr>
            <w:r w:rsidRPr="00A420C4">
              <w:rPr>
                <w:rFonts w:eastAsia="Times New Roman"/>
                <w:sz w:val="26"/>
                <w:szCs w:val="26"/>
                <w:lang w:val="lv-LV" w:eastAsia="lv-LV"/>
              </w:rPr>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A420C4" w:rsidRDefault="00554313" w:rsidP="002538B5">
            <w:pPr>
              <w:pStyle w:val="BodyText"/>
              <w:ind w:right="142" w:firstLine="567"/>
              <w:rPr>
                <w:sz w:val="26"/>
                <w:szCs w:val="26"/>
              </w:rPr>
            </w:pPr>
            <w:r w:rsidRPr="00A420C4">
              <w:rPr>
                <w:sz w:val="26"/>
                <w:szCs w:val="26"/>
              </w:rPr>
              <w:t>LIAA</w:t>
            </w:r>
          </w:p>
        </w:tc>
      </w:tr>
      <w:tr w:rsidR="00AB248D" w:rsidRPr="00A420C4"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A420C4" w:rsidRDefault="00AB248D" w:rsidP="00CE5A53">
            <w:pPr>
              <w:rPr>
                <w:rFonts w:eastAsia="Times New Roman"/>
                <w:sz w:val="26"/>
                <w:szCs w:val="26"/>
                <w:lang w:val="lv-LV" w:eastAsia="lv-LV"/>
              </w:rPr>
            </w:pPr>
            <w:r w:rsidRPr="00A420C4">
              <w:rPr>
                <w:rFonts w:eastAsia="Times New Roman"/>
                <w:sz w:val="26"/>
                <w:szCs w:val="26"/>
                <w:lang w:val="lv-LV"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C0F58" w:rsidRPr="00A420C4" w:rsidRDefault="001E0F0B" w:rsidP="004133BC">
            <w:pPr>
              <w:pStyle w:val="BodyText"/>
              <w:ind w:right="142" w:firstLine="567"/>
              <w:rPr>
                <w:sz w:val="26"/>
                <w:szCs w:val="26"/>
              </w:rPr>
            </w:pPr>
            <w:r w:rsidRPr="00A420C4">
              <w:rPr>
                <w:color w:val="000000"/>
                <w:sz w:val="26"/>
                <w:szCs w:val="26"/>
              </w:rPr>
              <w:t xml:space="preserve">Nav. </w:t>
            </w:r>
          </w:p>
        </w:tc>
      </w:tr>
      <w:tr w:rsidR="00BB09C5" w:rsidRPr="00A420C4" w:rsidTr="001F53EB">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420C4" w:rsidRDefault="00D07CDB" w:rsidP="00CE5A53">
            <w:pPr>
              <w:rPr>
                <w:rFonts w:eastAsia="Times New Roman"/>
                <w:sz w:val="26"/>
                <w:szCs w:val="26"/>
                <w:lang w:val="lv-LV" w:eastAsia="lv-LV"/>
              </w:rPr>
            </w:pPr>
            <w:r w:rsidRPr="00A420C4">
              <w:rPr>
                <w:rFonts w:eastAsia="Times New Roman"/>
                <w:sz w:val="26"/>
                <w:szCs w:val="26"/>
                <w:lang w:val="lv-LV" w:eastAsia="lv-LV"/>
              </w:rPr>
              <w:lastRenderedPageBreak/>
              <w:t> 7</w:t>
            </w:r>
            <w:r w:rsidR="00BB09C5" w:rsidRPr="00A420C4">
              <w:rPr>
                <w:rFonts w:eastAsia="Times New Roman"/>
                <w:sz w:val="26"/>
                <w:szCs w:val="26"/>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A420C4" w:rsidRDefault="007D3113" w:rsidP="007D3113">
            <w:pPr>
              <w:ind w:firstLine="567"/>
              <w:jc w:val="both"/>
              <w:rPr>
                <w:sz w:val="26"/>
                <w:szCs w:val="26"/>
                <w:lang w:val="lv-LV"/>
              </w:rPr>
            </w:pPr>
            <w:r w:rsidRPr="00A420C4">
              <w:rPr>
                <w:sz w:val="26"/>
                <w:szCs w:val="26"/>
                <w:lang w:val="lv-LV"/>
              </w:rPr>
              <w:t>Nav.</w:t>
            </w:r>
          </w:p>
        </w:tc>
      </w:tr>
    </w:tbl>
    <w:p w:rsidR="004B638C" w:rsidRPr="00A420C4" w:rsidRDefault="004B638C" w:rsidP="00CE5A53">
      <w:pPr>
        <w:pStyle w:val="NormalWeb"/>
        <w:spacing w:before="0" w:beforeAutospacing="0" w:after="0" w:afterAutospacing="0"/>
        <w:jc w:val="center"/>
        <w:rPr>
          <w:b/>
          <w:sz w:val="26"/>
          <w:szCs w:val="26"/>
          <w:highlight w:val="yellow"/>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851"/>
        <w:gridCol w:w="3265"/>
        <w:gridCol w:w="5240"/>
      </w:tblGrid>
      <w:tr w:rsidR="00F621F0" w:rsidRPr="00771505" w:rsidTr="00762978">
        <w:tc>
          <w:tcPr>
            <w:tcW w:w="9356" w:type="dxa"/>
            <w:gridSpan w:val="3"/>
            <w:vAlign w:val="center"/>
          </w:tcPr>
          <w:p w:rsidR="00F621F0" w:rsidRPr="00A420C4" w:rsidRDefault="00C82B27" w:rsidP="00471B85">
            <w:pPr>
              <w:pStyle w:val="naisnod"/>
              <w:spacing w:before="0" w:after="0"/>
              <w:rPr>
                <w:sz w:val="26"/>
                <w:szCs w:val="26"/>
              </w:rPr>
            </w:pPr>
            <w:r w:rsidRPr="00A420C4">
              <w:rPr>
                <w:sz w:val="26"/>
                <w:szCs w:val="26"/>
              </w:rPr>
              <w:t>II. Tiesību akta projekta ietekme uz sabiedrību</w:t>
            </w:r>
          </w:p>
        </w:tc>
      </w:tr>
      <w:tr w:rsidR="00F621F0" w:rsidRPr="00771505" w:rsidTr="00762978">
        <w:trPr>
          <w:trHeight w:val="467"/>
        </w:trPr>
        <w:tc>
          <w:tcPr>
            <w:tcW w:w="851" w:type="dxa"/>
          </w:tcPr>
          <w:p w:rsidR="00F621F0" w:rsidRPr="00A420C4" w:rsidRDefault="00C82B27" w:rsidP="00471B85">
            <w:pPr>
              <w:pStyle w:val="naiskr"/>
              <w:spacing w:before="0" w:after="0"/>
              <w:rPr>
                <w:sz w:val="26"/>
                <w:szCs w:val="26"/>
              </w:rPr>
            </w:pPr>
            <w:r w:rsidRPr="00A420C4">
              <w:rPr>
                <w:sz w:val="26"/>
                <w:szCs w:val="26"/>
              </w:rPr>
              <w:t>1.</w:t>
            </w:r>
          </w:p>
        </w:tc>
        <w:tc>
          <w:tcPr>
            <w:tcW w:w="3265" w:type="dxa"/>
          </w:tcPr>
          <w:p w:rsidR="007E5D4D" w:rsidRPr="00A420C4" w:rsidRDefault="00C82B27">
            <w:pPr>
              <w:pStyle w:val="naiskr"/>
              <w:spacing w:before="0" w:after="0"/>
              <w:rPr>
                <w:sz w:val="26"/>
                <w:szCs w:val="26"/>
              </w:rPr>
            </w:pPr>
            <w:r w:rsidRPr="00A420C4">
              <w:rPr>
                <w:sz w:val="26"/>
                <w:szCs w:val="26"/>
              </w:rPr>
              <w:t xml:space="preserve">Sabiedrības </w:t>
            </w:r>
            <w:proofErr w:type="spellStart"/>
            <w:r w:rsidRPr="00A420C4">
              <w:rPr>
                <w:sz w:val="26"/>
                <w:szCs w:val="26"/>
              </w:rPr>
              <w:t>mērķgrupa</w:t>
            </w:r>
            <w:proofErr w:type="spellEnd"/>
          </w:p>
        </w:tc>
        <w:tc>
          <w:tcPr>
            <w:tcW w:w="5240" w:type="dxa"/>
          </w:tcPr>
          <w:p w:rsidR="00404E4B" w:rsidRPr="00A420C4" w:rsidRDefault="00554313" w:rsidP="0019488A">
            <w:pPr>
              <w:pStyle w:val="naiskr"/>
              <w:ind w:firstLine="720"/>
              <w:jc w:val="both"/>
              <w:rPr>
                <w:iCs/>
                <w:sz w:val="26"/>
                <w:szCs w:val="26"/>
              </w:rPr>
            </w:pPr>
            <w:r w:rsidRPr="00A420C4">
              <w:rPr>
                <w:iCs/>
                <w:sz w:val="26"/>
                <w:szCs w:val="26"/>
              </w:rPr>
              <w:t>1.3.1.1.1.aktivitātes otrās kārtas mērķa grupa ir saimnieciskās darbības veicēji, saimnieciskās darbības veicējos nodarbinātās personas.</w:t>
            </w:r>
          </w:p>
        </w:tc>
      </w:tr>
      <w:tr w:rsidR="00F621F0" w:rsidRPr="00A420C4" w:rsidTr="00762978">
        <w:trPr>
          <w:trHeight w:val="523"/>
        </w:trPr>
        <w:tc>
          <w:tcPr>
            <w:tcW w:w="851" w:type="dxa"/>
          </w:tcPr>
          <w:p w:rsidR="00F621F0" w:rsidRPr="00A420C4" w:rsidRDefault="00C82B27" w:rsidP="00471B85">
            <w:pPr>
              <w:pStyle w:val="naiskr"/>
              <w:spacing w:before="0" w:after="0"/>
              <w:rPr>
                <w:sz w:val="26"/>
                <w:szCs w:val="26"/>
              </w:rPr>
            </w:pPr>
            <w:r w:rsidRPr="00A420C4">
              <w:rPr>
                <w:sz w:val="26"/>
                <w:szCs w:val="26"/>
              </w:rPr>
              <w:t>2.</w:t>
            </w:r>
          </w:p>
        </w:tc>
        <w:tc>
          <w:tcPr>
            <w:tcW w:w="3265" w:type="dxa"/>
          </w:tcPr>
          <w:p w:rsidR="007E5D4D" w:rsidRPr="00A420C4" w:rsidRDefault="00C82B27">
            <w:pPr>
              <w:pStyle w:val="naiskr"/>
              <w:spacing w:before="0" w:after="0"/>
              <w:rPr>
                <w:sz w:val="26"/>
                <w:szCs w:val="26"/>
              </w:rPr>
            </w:pPr>
            <w:r w:rsidRPr="00A420C4">
              <w:rPr>
                <w:sz w:val="26"/>
                <w:szCs w:val="26"/>
              </w:rPr>
              <w:t xml:space="preserve">Citas sabiedrības grupas (bez </w:t>
            </w:r>
            <w:proofErr w:type="spellStart"/>
            <w:r w:rsidRPr="00A420C4">
              <w:rPr>
                <w:sz w:val="26"/>
                <w:szCs w:val="26"/>
              </w:rPr>
              <w:t>mērķgrupas</w:t>
            </w:r>
            <w:proofErr w:type="spellEnd"/>
            <w:r w:rsidRPr="00A420C4">
              <w:rPr>
                <w:sz w:val="26"/>
                <w:szCs w:val="26"/>
              </w:rPr>
              <w:t>), kuras tiesiskais regulējums arī ietekmē vai varētu ietekmēt</w:t>
            </w:r>
          </w:p>
        </w:tc>
        <w:tc>
          <w:tcPr>
            <w:tcW w:w="5240" w:type="dxa"/>
          </w:tcPr>
          <w:p w:rsidR="007E5D4D" w:rsidRPr="00A420C4" w:rsidRDefault="0019488A" w:rsidP="0019488A">
            <w:pPr>
              <w:pStyle w:val="naiskr"/>
              <w:spacing w:before="0" w:after="0"/>
              <w:ind w:firstLine="720"/>
              <w:jc w:val="both"/>
              <w:rPr>
                <w:sz w:val="26"/>
                <w:szCs w:val="26"/>
              </w:rPr>
            </w:pPr>
            <w:r w:rsidRPr="00A420C4">
              <w:rPr>
                <w:color w:val="000000"/>
                <w:sz w:val="26"/>
                <w:szCs w:val="26"/>
              </w:rPr>
              <w:t>Nav</w:t>
            </w:r>
          </w:p>
        </w:tc>
      </w:tr>
      <w:tr w:rsidR="00F621F0" w:rsidRPr="00771505" w:rsidTr="00762978">
        <w:trPr>
          <w:trHeight w:val="517"/>
        </w:trPr>
        <w:tc>
          <w:tcPr>
            <w:tcW w:w="851" w:type="dxa"/>
          </w:tcPr>
          <w:p w:rsidR="00F621F0" w:rsidRPr="00A420C4" w:rsidRDefault="00C82B27" w:rsidP="00471B85">
            <w:pPr>
              <w:pStyle w:val="naiskr"/>
              <w:spacing w:before="0" w:after="0"/>
              <w:rPr>
                <w:sz w:val="26"/>
                <w:szCs w:val="26"/>
              </w:rPr>
            </w:pPr>
            <w:r w:rsidRPr="00A420C4">
              <w:rPr>
                <w:sz w:val="26"/>
                <w:szCs w:val="26"/>
              </w:rPr>
              <w:t>3.</w:t>
            </w:r>
          </w:p>
        </w:tc>
        <w:tc>
          <w:tcPr>
            <w:tcW w:w="3265" w:type="dxa"/>
          </w:tcPr>
          <w:p w:rsidR="007E5D4D" w:rsidRPr="00A420C4" w:rsidRDefault="00C82B27">
            <w:pPr>
              <w:pStyle w:val="naiskr"/>
              <w:spacing w:before="0" w:after="0"/>
              <w:rPr>
                <w:sz w:val="26"/>
                <w:szCs w:val="26"/>
              </w:rPr>
            </w:pPr>
            <w:r w:rsidRPr="00A420C4">
              <w:rPr>
                <w:sz w:val="26"/>
                <w:szCs w:val="26"/>
              </w:rPr>
              <w:t>Tiesiskā regulējuma finansiālā ietekme</w:t>
            </w:r>
          </w:p>
        </w:tc>
        <w:tc>
          <w:tcPr>
            <w:tcW w:w="5240" w:type="dxa"/>
          </w:tcPr>
          <w:p w:rsidR="007E5D4D" w:rsidRPr="00A420C4" w:rsidRDefault="008F244A" w:rsidP="00E36B28">
            <w:pPr>
              <w:pStyle w:val="naiskr"/>
              <w:spacing w:before="0" w:after="0"/>
              <w:ind w:firstLine="450"/>
              <w:jc w:val="both"/>
              <w:rPr>
                <w:color w:val="000000"/>
                <w:sz w:val="26"/>
                <w:szCs w:val="26"/>
              </w:rPr>
            </w:pPr>
            <w:r w:rsidRPr="00A420C4">
              <w:rPr>
                <w:color w:val="000000"/>
                <w:sz w:val="26"/>
                <w:szCs w:val="26"/>
              </w:rPr>
              <w:t xml:space="preserve">Noteikumu projekts </w:t>
            </w:r>
            <w:r w:rsidR="00C67302">
              <w:rPr>
                <w:color w:val="000000"/>
                <w:sz w:val="26"/>
                <w:szCs w:val="26"/>
              </w:rPr>
              <w:t xml:space="preserve">paredz palielināt aktivitātes īstenošanai pieejamā Eiropas Sociālā fonda finansējuma apjomu par </w:t>
            </w:r>
            <w:r w:rsidR="00C67302">
              <w:t xml:space="preserve"> </w:t>
            </w:r>
            <w:r w:rsidR="00E36B28">
              <w:rPr>
                <w:color w:val="000000"/>
                <w:sz w:val="26"/>
                <w:szCs w:val="26"/>
              </w:rPr>
              <w:t>3 706 013</w:t>
            </w:r>
            <w:r w:rsidR="00C67302">
              <w:rPr>
                <w:color w:val="000000"/>
                <w:sz w:val="26"/>
                <w:szCs w:val="26"/>
              </w:rPr>
              <w:t xml:space="preserve"> latiem un piešķirt valsts budžeta finansējumu </w:t>
            </w:r>
            <w:r w:rsidR="00C67302">
              <w:t xml:space="preserve"> </w:t>
            </w:r>
            <w:r w:rsidR="00E36B28">
              <w:rPr>
                <w:color w:val="000000"/>
                <w:sz w:val="26"/>
                <w:szCs w:val="26"/>
              </w:rPr>
              <w:t>654 002</w:t>
            </w:r>
            <w:r w:rsidR="00C67302">
              <w:rPr>
                <w:color w:val="000000"/>
                <w:sz w:val="26"/>
                <w:szCs w:val="26"/>
              </w:rPr>
              <w:t xml:space="preserve"> latu apmērā, par šo summu samazinot finansējumu darbības programmas „Cilvēkresursi un nodarbinātība” papildinājuma 1.3.1.2.aktivitātei</w:t>
            </w:r>
            <w:r w:rsidR="00C67302" w:rsidRPr="00C67302">
              <w:rPr>
                <w:color w:val="000000"/>
                <w:sz w:val="26"/>
                <w:szCs w:val="26"/>
              </w:rPr>
              <w:t xml:space="preserve"> „Atbalsts </w:t>
            </w:r>
            <w:proofErr w:type="spellStart"/>
            <w:r w:rsidR="00C67302" w:rsidRPr="00C67302">
              <w:rPr>
                <w:color w:val="000000"/>
                <w:sz w:val="26"/>
                <w:szCs w:val="26"/>
              </w:rPr>
              <w:t>pašnodarbinātības</w:t>
            </w:r>
            <w:proofErr w:type="spellEnd"/>
            <w:r w:rsidR="00C67302" w:rsidRPr="00C67302">
              <w:rPr>
                <w:color w:val="000000"/>
                <w:sz w:val="26"/>
                <w:szCs w:val="26"/>
              </w:rPr>
              <w:t xml:space="preserve"> un uzņēmējdarbības uzsākšanai”</w:t>
            </w:r>
            <w:r w:rsidR="00C67302">
              <w:rPr>
                <w:color w:val="000000"/>
                <w:sz w:val="26"/>
                <w:szCs w:val="26"/>
              </w:rPr>
              <w:t xml:space="preserve">. </w:t>
            </w:r>
            <w:r w:rsidR="00C67302" w:rsidRPr="00C67302">
              <w:rPr>
                <w:color w:val="000000"/>
                <w:sz w:val="26"/>
                <w:szCs w:val="26"/>
              </w:rPr>
              <w:t xml:space="preserve"> </w:t>
            </w:r>
            <w:r w:rsidR="00C67302">
              <w:rPr>
                <w:color w:val="000000"/>
                <w:sz w:val="26"/>
                <w:szCs w:val="26"/>
              </w:rPr>
              <w:t xml:space="preserve"> </w:t>
            </w:r>
          </w:p>
        </w:tc>
      </w:tr>
      <w:tr w:rsidR="00F621F0" w:rsidRPr="00771505" w:rsidTr="00762978">
        <w:trPr>
          <w:trHeight w:val="517"/>
        </w:trPr>
        <w:tc>
          <w:tcPr>
            <w:tcW w:w="851" w:type="dxa"/>
          </w:tcPr>
          <w:p w:rsidR="00F621F0" w:rsidRPr="00A420C4" w:rsidRDefault="00C82B27" w:rsidP="00471B85">
            <w:pPr>
              <w:pStyle w:val="naiskr"/>
              <w:spacing w:before="0" w:after="0"/>
              <w:rPr>
                <w:sz w:val="26"/>
                <w:szCs w:val="26"/>
              </w:rPr>
            </w:pPr>
            <w:r w:rsidRPr="00A420C4">
              <w:rPr>
                <w:sz w:val="26"/>
                <w:szCs w:val="26"/>
              </w:rPr>
              <w:t>4.</w:t>
            </w:r>
          </w:p>
        </w:tc>
        <w:tc>
          <w:tcPr>
            <w:tcW w:w="3265" w:type="dxa"/>
          </w:tcPr>
          <w:p w:rsidR="007E5D4D" w:rsidRPr="00A420C4" w:rsidRDefault="00C82B27">
            <w:pPr>
              <w:pStyle w:val="naiskr"/>
              <w:spacing w:before="0" w:after="0"/>
              <w:rPr>
                <w:sz w:val="26"/>
                <w:szCs w:val="26"/>
              </w:rPr>
            </w:pPr>
            <w:r w:rsidRPr="00A420C4">
              <w:rPr>
                <w:sz w:val="26"/>
                <w:szCs w:val="26"/>
              </w:rPr>
              <w:t>Tiesiskā regulējuma nefinansiālā ietekme</w:t>
            </w:r>
          </w:p>
        </w:tc>
        <w:tc>
          <w:tcPr>
            <w:tcW w:w="5240" w:type="dxa"/>
          </w:tcPr>
          <w:p w:rsidR="00615667" w:rsidRPr="00A420C4" w:rsidRDefault="008F244A" w:rsidP="00FD02B8">
            <w:pPr>
              <w:pStyle w:val="naiskr"/>
              <w:spacing w:before="0" w:after="0"/>
              <w:ind w:firstLine="450"/>
              <w:jc w:val="both"/>
              <w:rPr>
                <w:sz w:val="26"/>
                <w:szCs w:val="26"/>
              </w:rPr>
            </w:pPr>
            <w:r w:rsidRPr="00A420C4">
              <w:rPr>
                <w:color w:val="000000"/>
                <w:sz w:val="26"/>
                <w:szCs w:val="26"/>
              </w:rPr>
              <w:t xml:space="preserve">Projekts paredz </w:t>
            </w:r>
            <w:r w:rsidR="0037006F" w:rsidRPr="00A420C4">
              <w:rPr>
                <w:color w:val="000000"/>
                <w:sz w:val="26"/>
                <w:szCs w:val="26"/>
              </w:rPr>
              <w:t>sniegt iespēju pagarināt nodarbināto apmācību projektu īstenošanas termiņu līdz 2015.gada 1.jūnijam</w:t>
            </w:r>
            <w:r w:rsidR="00FD02B8">
              <w:rPr>
                <w:color w:val="000000"/>
                <w:sz w:val="26"/>
                <w:szCs w:val="26"/>
              </w:rPr>
              <w:t>,</w:t>
            </w:r>
            <w:r w:rsidR="0037006F" w:rsidRPr="00A420C4">
              <w:rPr>
                <w:color w:val="000000"/>
                <w:sz w:val="26"/>
                <w:szCs w:val="26"/>
              </w:rPr>
              <w:t xml:space="preserve"> tādējādi nodrošinot finansējuma pieejamības nepārtrauktību komersantos nodarbināto personu kvalifikācijas celšanai, izmantojot 2007.-2013. un 2014.-2020.gada ES fondu plānošanas periodu atbalstu. </w:t>
            </w:r>
            <w:r w:rsidRPr="00A420C4">
              <w:rPr>
                <w:color w:val="000000"/>
                <w:sz w:val="26"/>
                <w:szCs w:val="26"/>
              </w:rPr>
              <w:t>T</w:t>
            </w:r>
            <w:r w:rsidR="001E0F0B" w:rsidRPr="00A420C4">
              <w:rPr>
                <w:sz w:val="26"/>
                <w:szCs w:val="26"/>
              </w:rPr>
              <w:t>ādējādi tiks veicināta</w:t>
            </w:r>
            <w:r w:rsidR="0037006F" w:rsidRPr="00A420C4">
              <w:rPr>
                <w:sz w:val="26"/>
                <w:szCs w:val="26"/>
              </w:rPr>
              <w:t xml:space="preserve"> komersantos nodarbināto personu kvalifikācijas celšana</w:t>
            </w:r>
            <w:r w:rsidR="001E0F0B" w:rsidRPr="00A420C4">
              <w:rPr>
                <w:sz w:val="26"/>
                <w:szCs w:val="26"/>
              </w:rPr>
              <w:t xml:space="preserve"> </w:t>
            </w:r>
            <w:r w:rsidR="0037006F" w:rsidRPr="00A420C4">
              <w:rPr>
                <w:sz w:val="26"/>
                <w:szCs w:val="26"/>
              </w:rPr>
              <w:t xml:space="preserve">un pielāgošanās mainīgajiem darba tirgus apstākļiem, kā arī sekmēts darbaspēka produktivitātes pieaugums.  </w:t>
            </w:r>
            <w:r w:rsidR="00615667" w:rsidRPr="00A420C4">
              <w:rPr>
                <w:sz w:val="26"/>
                <w:szCs w:val="26"/>
              </w:rPr>
              <w:t xml:space="preserve"> </w:t>
            </w:r>
          </w:p>
        </w:tc>
      </w:tr>
      <w:tr w:rsidR="00F621F0" w:rsidRPr="00A420C4" w:rsidTr="00762978">
        <w:trPr>
          <w:trHeight w:val="531"/>
        </w:trPr>
        <w:tc>
          <w:tcPr>
            <w:tcW w:w="851" w:type="dxa"/>
          </w:tcPr>
          <w:p w:rsidR="00F621F0" w:rsidRPr="00A420C4" w:rsidRDefault="00C82B27" w:rsidP="00471B85">
            <w:pPr>
              <w:pStyle w:val="naiskr"/>
              <w:spacing w:before="0" w:after="0"/>
              <w:rPr>
                <w:sz w:val="26"/>
                <w:szCs w:val="26"/>
              </w:rPr>
            </w:pPr>
            <w:r w:rsidRPr="00A420C4">
              <w:rPr>
                <w:sz w:val="26"/>
                <w:szCs w:val="26"/>
              </w:rPr>
              <w:t>5.</w:t>
            </w:r>
          </w:p>
        </w:tc>
        <w:tc>
          <w:tcPr>
            <w:tcW w:w="3265" w:type="dxa"/>
          </w:tcPr>
          <w:p w:rsidR="007E5D4D" w:rsidRPr="00A420C4" w:rsidRDefault="00C82B27">
            <w:pPr>
              <w:pStyle w:val="naiskr"/>
              <w:spacing w:before="0" w:after="0"/>
              <w:rPr>
                <w:sz w:val="26"/>
                <w:szCs w:val="26"/>
              </w:rPr>
            </w:pPr>
            <w:r w:rsidRPr="00A420C4">
              <w:rPr>
                <w:sz w:val="26"/>
                <w:szCs w:val="26"/>
              </w:rPr>
              <w:t>Administratīvās procedūras raksturojums</w:t>
            </w:r>
          </w:p>
        </w:tc>
        <w:tc>
          <w:tcPr>
            <w:tcW w:w="5240" w:type="dxa"/>
          </w:tcPr>
          <w:p w:rsidR="007E5D4D" w:rsidRPr="00A420C4" w:rsidRDefault="007D3113" w:rsidP="007D3113">
            <w:pPr>
              <w:pStyle w:val="naiskr"/>
              <w:spacing w:before="0" w:after="0"/>
              <w:ind w:firstLine="450"/>
              <w:rPr>
                <w:sz w:val="26"/>
                <w:szCs w:val="26"/>
              </w:rPr>
            </w:pPr>
            <w:r w:rsidRPr="00A420C4">
              <w:rPr>
                <w:color w:val="000000"/>
                <w:sz w:val="26"/>
                <w:szCs w:val="26"/>
              </w:rPr>
              <w:t>Projekts šo jomu neskar.</w:t>
            </w:r>
          </w:p>
        </w:tc>
      </w:tr>
      <w:tr w:rsidR="00F621F0" w:rsidRPr="00A420C4" w:rsidTr="00762978">
        <w:trPr>
          <w:trHeight w:val="357"/>
        </w:trPr>
        <w:tc>
          <w:tcPr>
            <w:tcW w:w="851" w:type="dxa"/>
          </w:tcPr>
          <w:p w:rsidR="00F621F0" w:rsidRPr="00A420C4" w:rsidRDefault="00C82B27" w:rsidP="00471B85">
            <w:pPr>
              <w:pStyle w:val="naiskr"/>
              <w:spacing w:before="0" w:after="0"/>
              <w:rPr>
                <w:sz w:val="26"/>
                <w:szCs w:val="26"/>
              </w:rPr>
            </w:pPr>
            <w:r w:rsidRPr="00A420C4">
              <w:rPr>
                <w:sz w:val="26"/>
                <w:szCs w:val="26"/>
              </w:rPr>
              <w:t>6.</w:t>
            </w:r>
          </w:p>
        </w:tc>
        <w:tc>
          <w:tcPr>
            <w:tcW w:w="3265" w:type="dxa"/>
          </w:tcPr>
          <w:p w:rsidR="007E5D4D" w:rsidRPr="00A420C4" w:rsidRDefault="00C82B27">
            <w:pPr>
              <w:pStyle w:val="naiskr"/>
              <w:spacing w:before="0" w:after="0"/>
              <w:rPr>
                <w:sz w:val="26"/>
                <w:szCs w:val="26"/>
              </w:rPr>
            </w:pPr>
            <w:r w:rsidRPr="00A420C4">
              <w:rPr>
                <w:sz w:val="26"/>
                <w:szCs w:val="26"/>
              </w:rPr>
              <w:t>Administratīvo izmaksu monetārs novērtējums</w:t>
            </w:r>
          </w:p>
        </w:tc>
        <w:tc>
          <w:tcPr>
            <w:tcW w:w="5240" w:type="dxa"/>
          </w:tcPr>
          <w:p w:rsidR="007E5D4D" w:rsidRPr="00A420C4" w:rsidRDefault="007D3113" w:rsidP="007D3113">
            <w:pPr>
              <w:pStyle w:val="naiskr"/>
              <w:spacing w:before="0" w:after="0"/>
              <w:ind w:firstLine="450"/>
              <w:rPr>
                <w:sz w:val="26"/>
                <w:szCs w:val="26"/>
              </w:rPr>
            </w:pPr>
            <w:r w:rsidRPr="00A420C4">
              <w:rPr>
                <w:color w:val="000000"/>
                <w:sz w:val="26"/>
                <w:szCs w:val="26"/>
              </w:rPr>
              <w:t>Projekts šo jomu neskar.</w:t>
            </w:r>
          </w:p>
        </w:tc>
      </w:tr>
      <w:tr w:rsidR="00F621F0" w:rsidRPr="00A420C4" w:rsidTr="00762978">
        <w:trPr>
          <w:trHeight w:val="489"/>
        </w:trPr>
        <w:tc>
          <w:tcPr>
            <w:tcW w:w="851" w:type="dxa"/>
          </w:tcPr>
          <w:p w:rsidR="00F621F0" w:rsidRPr="00A420C4" w:rsidRDefault="00C82B27" w:rsidP="00471B85">
            <w:pPr>
              <w:pStyle w:val="naiskr"/>
              <w:spacing w:before="0" w:after="0"/>
              <w:rPr>
                <w:sz w:val="26"/>
                <w:szCs w:val="26"/>
              </w:rPr>
            </w:pPr>
            <w:r w:rsidRPr="00A420C4">
              <w:rPr>
                <w:sz w:val="26"/>
                <w:szCs w:val="26"/>
              </w:rPr>
              <w:t>7.</w:t>
            </w:r>
          </w:p>
        </w:tc>
        <w:tc>
          <w:tcPr>
            <w:tcW w:w="3265" w:type="dxa"/>
          </w:tcPr>
          <w:p w:rsidR="007E5D4D" w:rsidRPr="00A420C4" w:rsidRDefault="00C82B27">
            <w:pPr>
              <w:pStyle w:val="naiskr"/>
              <w:spacing w:before="0" w:after="0"/>
              <w:rPr>
                <w:sz w:val="26"/>
                <w:szCs w:val="26"/>
              </w:rPr>
            </w:pPr>
            <w:r w:rsidRPr="00A420C4">
              <w:rPr>
                <w:sz w:val="26"/>
                <w:szCs w:val="26"/>
              </w:rPr>
              <w:t>Cita informācija</w:t>
            </w:r>
          </w:p>
        </w:tc>
        <w:tc>
          <w:tcPr>
            <w:tcW w:w="5240" w:type="dxa"/>
          </w:tcPr>
          <w:p w:rsidR="007E5D4D" w:rsidRPr="00A420C4" w:rsidRDefault="00C82B27" w:rsidP="007D3113">
            <w:pPr>
              <w:pStyle w:val="naiskr"/>
              <w:spacing w:before="0" w:after="0"/>
              <w:ind w:firstLine="450"/>
              <w:rPr>
                <w:sz w:val="26"/>
                <w:szCs w:val="26"/>
              </w:rPr>
            </w:pPr>
            <w:r w:rsidRPr="00A420C4">
              <w:rPr>
                <w:sz w:val="26"/>
                <w:szCs w:val="26"/>
              </w:rPr>
              <w:t>Nav.</w:t>
            </w:r>
          </w:p>
        </w:tc>
      </w:tr>
    </w:tbl>
    <w:p w:rsidR="004E7663" w:rsidRPr="00A420C4" w:rsidRDefault="004E7663" w:rsidP="00CE5A53">
      <w:pPr>
        <w:pStyle w:val="NormalWeb"/>
        <w:spacing w:before="0" w:beforeAutospacing="0" w:after="0" w:afterAutospacing="0"/>
        <w:jc w:val="center"/>
        <w:rPr>
          <w:b/>
          <w:sz w:val="26"/>
          <w:szCs w:val="26"/>
          <w:highlight w:val="yellow"/>
          <w:lang w:val="lv-LV"/>
        </w:rPr>
      </w:pPr>
    </w:p>
    <w:p w:rsidR="0076555E" w:rsidRDefault="001E0F0B" w:rsidP="001E0F0B">
      <w:pPr>
        <w:pStyle w:val="NormalWeb"/>
        <w:spacing w:before="0" w:beforeAutospacing="0" w:after="0" w:afterAutospacing="0" w:line="276" w:lineRule="auto"/>
        <w:jc w:val="center"/>
        <w:rPr>
          <w:b/>
          <w:sz w:val="26"/>
          <w:szCs w:val="26"/>
          <w:lang w:val="lv-LV"/>
        </w:rPr>
      </w:pPr>
      <w:r w:rsidRPr="00A420C4">
        <w:rPr>
          <w:b/>
          <w:sz w:val="26"/>
          <w:szCs w:val="26"/>
          <w:lang w:val="lv-LV"/>
        </w:rPr>
        <w:t xml:space="preserve">Anotācijas </w:t>
      </w:r>
      <w:r w:rsidRPr="00E77FDA">
        <w:rPr>
          <w:b/>
          <w:sz w:val="26"/>
          <w:szCs w:val="26"/>
          <w:lang w:val="lv-LV"/>
        </w:rPr>
        <w:t>III</w:t>
      </w:r>
      <w:r w:rsidR="00E77FDA">
        <w:rPr>
          <w:b/>
          <w:sz w:val="26"/>
          <w:szCs w:val="26"/>
          <w:lang w:val="lv-LV"/>
        </w:rPr>
        <w:t xml:space="preserve"> </w:t>
      </w:r>
      <w:r w:rsidR="0076555E" w:rsidRPr="00A420C4">
        <w:rPr>
          <w:b/>
          <w:sz w:val="26"/>
          <w:szCs w:val="26"/>
          <w:lang w:val="lv-LV"/>
        </w:rPr>
        <w:t>sadaļa – nav attiecināms</w:t>
      </w:r>
    </w:p>
    <w:p w:rsidR="00AC10FE" w:rsidRDefault="00AC10FE" w:rsidP="001E0F0B">
      <w:pPr>
        <w:pStyle w:val="NormalWeb"/>
        <w:spacing w:before="0" w:beforeAutospacing="0" w:after="0" w:afterAutospacing="0" w:line="276" w:lineRule="auto"/>
        <w:jc w:val="center"/>
        <w:rPr>
          <w:b/>
          <w:sz w:val="26"/>
          <w:szCs w:val="26"/>
          <w:lang w:val="lv-LV"/>
        </w:rPr>
      </w:pPr>
    </w:p>
    <w:tbl>
      <w:tblPr>
        <w:tblW w:w="9073"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3402"/>
        <w:gridCol w:w="5245"/>
      </w:tblGrid>
      <w:tr w:rsidR="00AC10FE" w:rsidRPr="00771505" w:rsidTr="00220926">
        <w:tc>
          <w:tcPr>
            <w:tcW w:w="426" w:type="dxa"/>
            <w:tcBorders>
              <w:top w:val="thickThinLargeGap" w:sz="6" w:space="0" w:color="C0C0C0"/>
              <w:bottom w:val="thickThinLargeGap" w:sz="6" w:space="0" w:color="C0C0C0"/>
            </w:tcBorders>
          </w:tcPr>
          <w:p w:rsidR="00AC10FE" w:rsidRPr="00266744" w:rsidRDefault="00AC10FE" w:rsidP="00220926">
            <w:pPr>
              <w:ind w:firstLine="720"/>
              <w:jc w:val="center"/>
              <w:rPr>
                <w:b/>
                <w:sz w:val="26"/>
                <w:szCs w:val="26"/>
                <w:lang w:val="lv-LV"/>
              </w:rPr>
            </w:pPr>
          </w:p>
        </w:tc>
        <w:tc>
          <w:tcPr>
            <w:tcW w:w="8647" w:type="dxa"/>
            <w:gridSpan w:val="2"/>
            <w:tcBorders>
              <w:top w:val="thickThinLargeGap" w:sz="6" w:space="0" w:color="C0C0C0"/>
              <w:bottom w:val="thickThinLargeGap" w:sz="6" w:space="0" w:color="C0C0C0"/>
            </w:tcBorders>
          </w:tcPr>
          <w:p w:rsidR="00AC10FE" w:rsidRPr="00266744" w:rsidRDefault="00AC10FE" w:rsidP="00220926">
            <w:pPr>
              <w:rPr>
                <w:b/>
                <w:sz w:val="26"/>
                <w:szCs w:val="26"/>
                <w:lang w:val="lv-LV"/>
              </w:rPr>
            </w:pPr>
            <w:r w:rsidRPr="00266744">
              <w:rPr>
                <w:b/>
                <w:sz w:val="26"/>
                <w:szCs w:val="26"/>
                <w:lang w:val="lv-LV"/>
              </w:rPr>
              <w:t>IV. Tiesību akta projekta ietekme uz spēkā esošo tiesību normu sistēmu</w:t>
            </w:r>
          </w:p>
        </w:tc>
      </w:tr>
      <w:tr w:rsidR="00AC10FE" w:rsidRPr="00771505" w:rsidTr="00220926">
        <w:tc>
          <w:tcPr>
            <w:tcW w:w="426" w:type="dxa"/>
            <w:tcBorders>
              <w:top w:val="thickThinLargeGap" w:sz="6" w:space="0" w:color="C0C0C0"/>
              <w:bottom w:val="thickThinLargeGap" w:sz="6" w:space="0" w:color="C0C0C0"/>
              <w:right w:val="thickThinLargeGap" w:sz="6" w:space="0" w:color="C0C0C0"/>
            </w:tcBorders>
          </w:tcPr>
          <w:p w:rsidR="00AC10FE" w:rsidRPr="00266744" w:rsidRDefault="00AC10FE" w:rsidP="00220926">
            <w:pPr>
              <w:jc w:val="both"/>
              <w:rPr>
                <w:sz w:val="26"/>
                <w:szCs w:val="26"/>
                <w:lang w:val="lv-LV"/>
              </w:rPr>
            </w:pPr>
            <w:r w:rsidRPr="00266744">
              <w:rPr>
                <w:sz w:val="26"/>
                <w:szCs w:val="26"/>
                <w:lang w:val="lv-LV"/>
              </w:rPr>
              <w:t>1.</w:t>
            </w:r>
          </w:p>
        </w:tc>
        <w:tc>
          <w:tcPr>
            <w:tcW w:w="3402" w:type="dxa"/>
            <w:tcBorders>
              <w:top w:val="thickThinLargeGap" w:sz="6" w:space="0" w:color="C0C0C0"/>
              <w:bottom w:val="thickThinLargeGap" w:sz="6" w:space="0" w:color="C0C0C0"/>
              <w:right w:val="thickThinLargeGap" w:sz="6" w:space="0" w:color="C0C0C0"/>
            </w:tcBorders>
          </w:tcPr>
          <w:p w:rsidR="00AC10FE" w:rsidRPr="00266744" w:rsidRDefault="00AC10FE" w:rsidP="00220926">
            <w:pPr>
              <w:jc w:val="both"/>
              <w:rPr>
                <w:sz w:val="26"/>
                <w:szCs w:val="26"/>
                <w:lang w:val="lv-LV"/>
              </w:rPr>
            </w:pPr>
            <w:r w:rsidRPr="00266744">
              <w:rPr>
                <w:sz w:val="26"/>
                <w:szCs w:val="26"/>
                <w:lang w:val="lv-LV"/>
              </w:rPr>
              <w:t>Nepieciešamie saistītie tiesību aktu projekti</w:t>
            </w:r>
          </w:p>
        </w:tc>
        <w:tc>
          <w:tcPr>
            <w:tcW w:w="5245" w:type="dxa"/>
            <w:tcBorders>
              <w:top w:val="thickThinLargeGap" w:sz="6" w:space="0" w:color="C0C0C0"/>
              <w:left w:val="thickThinLargeGap" w:sz="6" w:space="0" w:color="C0C0C0"/>
              <w:bottom w:val="thickThinLargeGap" w:sz="6" w:space="0" w:color="C0C0C0"/>
            </w:tcBorders>
          </w:tcPr>
          <w:p w:rsidR="00AC10FE" w:rsidRPr="00266744" w:rsidRDefault="00E77FDA" w:rsidP="00AC10FE">
            <w:pPr>
              <w:ind w:firstLine="426"/>
              <w:jc w:val="both"/>
              <w:rPr>
                <w:bCs/>
                <w:sz w:val="26"/>
                <w:szCs w:val="26"/>
                <w:lang w:val="lv-LV"/>
              </w:rPr>
            </w:pPr>
            <w:r w:rsidRPr="00266744">
              <w:rPr>
                <w:bCs/>
                <w:sz w:val="26"/>
                <w:szCs w:val="26"/>
                <w:lang w:val="lv-LV"/>
              </w:rPr>
              <w:t xml:space="preserve">Noteikumu projekts ir saistīts </w:t>
            </w:r>
            <w:r w:rsidR="00E36B28">
              <w:rPr>
                <w:bCs/>
                <w:sz w:val="26"/>
                <w:szCs w:val="26"/>
                <w:lang w:val="lv-LV"/>
              </w:rPr>
              <w:t xml:space="preserve">ar </w:t>
            </w:r>
            <w:r w:rsidRPr="00266744">
              <w:rPr>
                <w:bCs/>
                <w:sz w:val="26"/>
                <w:szCs w:val="26"/>
                <w:lang w:val="lv-LV"/>
              </w:rPr>
              <w:t xml:space="preserve">Ekonomikas ministrijas sagatavoto </w:t>
            </w:r>
            <w:r w:rsidRPr="00266744">
              <w:rPr>
                <w:sz w:val="26"/>
                <w:szCs w:val="26"/>
                <w:lang w:val="lv-LV"/>
              </w:rPr>
              <w:t>Ministru kabineta rīkojuma projektu „Grozījums darbības programmas „Cilvēkresursi un nodarbinātība” papildinājumā”</w:t>
            </w:r>
            <w:r w:rsidR="00E36B28">
              <w:rPr>
                <w:sz w:val="26"/>
                <w:szCs w:val="26"/>
                <w:lang w:val="lv-LV"/>
              </w:rPr>
              <w:t>.</w:t>
            </w:r>
          </w:p>
        </w:tc>
      </w:tr>
      <w:tr w:rsidR="00AC10FE" w:rsidRPr="00AC10FE" w:rsidTr="00220926">
        <w:tc>
          <w:tcPr>
            <w:tcW w:w="426" w:type="dxa"/>
            <w:tcBorders>
              <w:top w:val="thickThinLargeGap" w:sz="6" w:space="0" w:color="C0C0C0"/>
              <w:bottom w:val="thickThinLargeGap" w:sz="6" w:space="0" w:color="C0C0C0"/>
              <w:right w:val="thickThinLargeGap" w:sz="6" w:space="0" w:color="C0C0C0"/>
            </w:tcBorders>
          </w:tcPr>
          <w:p w:rsidR="00AC10FE" w:rsidRPr="00266744" w:rsidRDefault="00AC10FE" w:rsidP="00220926">
            <w:pPr>
              <w:jc w:val="both"/>
              <w:rPr>
                <w:sz w:val="26"/>
                <w:szCs w:val="26"/>
                <w:lang w:val="lv-LV"/>
              </w:rPr>
            </w:pPr>
            <w:r w:rsidRPr="00266744">
              <w:rPr>
                <w:sz w:val="26"/>
                <w:szCs w:val="26"/>
                <w:lang w:val="lv-LV"/>
              </w:rPr>
              <w:t>2.</w:t>
            </w:r>
          </w:p>
        </w:tc>
        <w:tc>
          <w:tcPr>
            <w:tcW w:w="3402" w:type="dxa"/>
            <w:tcBorders>
              <w:top w:val="thickThinLargeGap" w:sz="6" w:space="0" w:color="C0C0C0"/>
              <w:bottom w:val="thickThinLargeGap" w:sz="6" w:space="0" w:color="C0C0C0"/>
              <w:right w:val="thickThinLargeGap" w:sz="6" w:space="0" w:color="C0C0C0"/>
            </w:tcBorders>
          </w:tcPr>
          <w:p w:rsidR="00AC10FE" w:rsidRPr="00266744" w:rsidRDefault="00AC10FE" w:rsidP="00220926">
            <w:pPr>
              <w:jc w:val="both"/>
              <w:rPr>
                <w:sz w:val="26"/>
                <w:szCs w:val="26"/>
                <w:lang w:val="lv-LV"/>
              </w:rPr>
            </w:pPr>
            <w:r w:rsidRPr="00266744">
              <w:rPr>
                <w:sz w:val="26"/>
                <w:szCs w:val="26"/>
                <w:lang w:val="lv-LV"/>
              </w:rPr>
              <w:t>Cita informācija</w:t>
            </w:r>
          </w:p>
        </w:tc>
        <w:tc>
          <w:tcPr>
            <w:tcW w:w="5245" w:type="dxa"/>
            <w:tcBorders>
              <w:top w:val="thickThinLargeGap" w:sz="6" w:space="0" w:color="C0C0C0"/>
              <w:left w:val="thickThinLargeGap" w:sz="6" w:space="0" w:color="C0C0C0"/>
              <w:bottom w:val="thickThinLargeGap" w:sz="6" w:space="0" w:color="C0C0C0"/>
            </w:tcBorders>
          </w:tcPr>
          <w:p w:rsidR="00AC10FE" w:rsidRPr="00266744" w:rsidRDefault="00AC10FE" w:rsidP="00220926">
            <w:pPr>
              <w:ind w:firstLine="426"/>
              <w:jc w:val="both"/>
              <w:rPr>
                <w:sz w:val="26"/>
                <w:szCs w:val="26"/>
                <w:lang w:val="lv-LV"/>
              </w:rPr>
            </w:pPr>
            <w:r w:rsidRPr="00266744">
              <w:rPr>
                <w:sz w:val="26"/>
                <w:szCs w:val="26"/>
                <w:lang w:val="lv-LV"/>
              </w:rPr>
              <w:t>Nav.</w:t>
            </w:r>
          </w:p>
        </w:tc>
      </w:tr>
    </w:tbl>
    <w:p w:rsidR="00E77FDA" w:rsidRDefault="00E77FDA" w:rsidP="001E0F0B">
      <w:pPr>
        <w:pStyle w:val="NormalWeb"/>
        <w:spacing w:before="0" w:beforeAutospacing="0" w:after="0" w:afterAutospacing="0" w:line="276" w:lineRule="auto"/>
        <w:jc w:val="center"/>
        <w:rPr>
          <w:b/>
          <w:sz w:val="26"/>
          <w:szCs w:val="26"/>
          <w:lang w:val="lv-LV"/>
        </w:rPr>
      </w:pPr>
    </w:p>
    <w:tbl>
      <w:tblPr>
        <w:tblW w:w="5127"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2887"/>
        <w:gridCol w:w="30"/>
        <w:gridCol w:w="1820"/>
        <w:gridCol w:w="30"/>
        <w:gridCol w:w="2310"/>
        <w:gridCol w:w="2378"/>
      </w:tblGrid>
      <w:tr w:rsidR="009C2326" w:rsidRPr="00771505" w:rsidTr="00095A13">
        <w:trPr>
          <w:tblCellSpacing w:w="15" w:type="dxa"/>
        </w:trPr>
        <w:tc>
          <w:tcPr>
            <w:tcW w:w="4968" w:type="pct"/>
            <w:gridSpan w:val="6"/>
            <w:shd w:val="clear" w:color="auto" w:fill="auto"/>
            <w:hideMark/>
          </w:tcPr>
          <w:p w:rsidR="009C2326" w:rsidRPr="00095A13" w:rsidRDefault="009C2326" w:rsidP="00895CD2">
            <w:pPr>
              <w:jc w:val="center"/>
              <w:rPr>
                <w:rFonts w:eastAsia="Times New Roman"/>
                <w:b/>
                <w:bCs/>
                <w:sz w:val="26"/>
                <w:szCs w:val="26"/>
                <w:lang w:val="lv-LV" w:eastAsia="lv-LV"/>
              </w:rPr>
            </w:pPr>
            <w:r w:rsidRPr="00095A13">
              <w:rPr>
                <w:rFonts w:eastAsia="Times New Roman"/>
                <w:b/>
                <w:bCs/>
                <w:sz w:val="26"/>
                <w:szCs w:val="26"/>
                <w:lang w:val="lv-LV" w:eastAsia="lv-LV"/>
              </w:rPr>
              <w:t>V. Tiesību akta projekta atbilstība Latvijas Republikas starptautiskajām saistībām</w:t>
            </w:r>
          </w:p>
        </w:tc>
      </w:tr>
      <w:tr w:rsidR="009C2326" w:rsidRPr="00771505" w:rsidTr="00095A13">
        <w:trPr>
          <w:tblCellSpacing w:w="15" w:type="dxa"/>
        </w:trPr>
        <w:tc>
          <w:tcPr>
            <w:tcW w:w="0" w:type="auto"/>
            <w:shd w:val="clear" w:color="auto" w:fill="auto"/>
            <w:hideMark/>
          </w:tcPr>
          <w:p w:rsidR="009C2326" w:rsidRPr="00095A13" w:rsidRDefault="009C2326" w:rsidP="00895CD2">
            <w:pPr>
              <w:rPr>
                <w:rFonts w:eastAsia="Times New Roman"/>
                <w:sz w:val="26"/>
                <w:szCs w:val="26"/>
                <w:lang w:val="lv-LV" w:eastAsia="lv-LV"/>
              </w:rPr>
            </w:pPr>
            <w:r w:rsidRPr="00095A13">
              <w:rPr>
                <w:rFonts w:eastAsia="Times New Roman"/>
                <w:sz w:val="26"/>
                <w:szCs w:val="26"/>
                <w:lang w:val="lv-LV" w:eastAsia="lv-LV"/>
              </w:rPr>
              <w:t>1.</w:t>
            </w:r>
          </w:p>
        </w:tc>
        <w:tc>
          <w:tcPr>
            <w:tcW w:w="962" w:type="pct"/>
            <w:gridSpan w:val="2"/>
            <w:shd w:val="clear" w:color="auto" w:fill="auto"/>
            <w:hideMark/>
          </w:tcPr>
          <w:p w:rsidR="009C2326" w:rsidRPr="00095A13" w:rsidRDefault="009C2326" w:rsidP="00895CD2">
            <w:pPr>
              <w:jc w:val="both"/>
              <w:rPr>
                <w:rFonts w:eastAsia="Times New Roman"/>
                <w:sz w:val="26"/>
                <w:szCs w:val="26"/>
                <w:lang w:val="lv-LV" w:eastAsia="lv-LV"/>
              </w:rPr>
            </w:pPr>
            <w:r w:rsidRPr="00095A13">
              <w:rPr>
                <w:rFonts w:eastAsia="Times New Roman"/>
                <w:sz w:val="26"/>
                <w:szCs w:val="26"/>
                <w:lang w:val="lv-LV" w:eastAsia="lv-LV"/>
              </w:rPr>
              <w:t>Saistības pret Eiropas Savienību</w:t>
            </w:r>
          </w:p>
        </w:tc>
        <w:tc>
          <w:tcPr>
            <w:tcW w:w="2479" w:type="pct"/>
            <w:gridSpan w:val="3"/>
            <w:shd w:val="clear" w:color="auto" w:fill="auto"/>
            <w:hideMark/>
          </w:tcPr>
          <w:p w:rsidR="009C2326" w:rsidRPr="00095A13" w:rsidRDefault="009C2326" w:rsidP="00095A13">
            <w:pPr>
              <w:jc w:val="both"/>
              <w:rPr>
                <w:rFonts w:eastAsia="Times New Roman"/>
                <w:sz w:val="26"/>
                <w:szCs w:val="26"/>
                <w:lang w:val="lv-LV" w:eastAsia="lv-LV"/>
              </w:rPr>
            </w:pPr>
            <w:r w:rsidRPr="00095A13">
              <w:rPr>
                <w:rFonts w:eastAsia="Times New Roman"/>
                <w:sz w:val="26"/>
                <w:szCs w:val="26"/>
                <w:lang w:val="lv-LV" w:eastAsia="lv-LV"/>
              </w:rPr>
              <w:t>Ar noteikumu projektu netiks ieviestas jaunas Eiropas Savienības tiesību akta prasības</w:t>
            </w:r>
          </w:p>
        </w:tc>
      </w:tr>
      <w:tr w:rsidR="009C2326" w:rsidRPr="009C2326" w:rsidTr="00095A13">
        <w:trPr>
          <w:tblCellSpacing w:w="15" w:type="dxa"/>
        </w:trPr>
        <w:tc>
          <w:tcPr>
            <w:tcW w:w="0" w:type="auto"/>
            <w:shd w:val="clear" w:color="auto" w:fill="auto"/>
            <w:hideMark/>
          </w:tcPr>
          <w:p w:rsidR="009C2326" w:rsidRPr="00095A13" w:rsidRDefault="009C2326" w:rsidP="00895CD2">
            <w:pPr>
              <w:rPr>
                <w:rFonts w:eastAsia="Times New Roman"/>
                <w:sz w:val="26"/>
                <w:szCs w:val="26"/>
                <w:lang w:val="lv-LV" w:eastAsia="lv-LV"/>
              </w:rPr>
            </w:pPr>
            <w:r w:rsidRPr="00095A13">
              <w:rPr>
                <w:rFonts w:eastAsia="Times New Roman"/>
                <w:sz w:val="26"/>
                <w:szCs w:val="26"/>
                <w:lang w:val="lv-LV" w:eastAsia="lv-LV"/>
              </w:rPr>
              <w:t>2.</w:t>
            </w:r>
          </w:p>
        </w:tc>
        <w:tc>
          <w:tcPr>
            <w:tcW w:w="962" w:type="pct"/>
            <w:gridSpan w:val="2"/>
            <w:shd w:val="clear" w:color="auto" w:fill="auto"/>
            <w:hideMark/>
          </w:tcPr>
          <w:p w:rsidR="009C2326" w:rsidRPr="00095A13" w:rsidRDefault="009C2326" w:rsidP="00895CD2">
            <w:pPr>
              <w:jc w:val="both"/>
              <w:rPr>
                <w:rFonts w:eastAsia="Times New Roman"/>
                <w:sz w:val="26"/>
                <w:szCs w:val="26"/>
                <w:lang w:val="lv-LV" w:eastAsia="lv-LV"/>
              </w:rPr>
            </w:pPr>
            <w:r w:rsidRPr="00095A13">
              <w:rPr>
                <w:rFonts w:eastAsia="Times New Roman"/>
                <w:sz w:val="26"/>
                <w:szCs w:val="26"/>
                <w:lang w:val="lv-LV" w:eastAsia="lv-LV"/>
              </w:rPr>
              <w:t>Citas starptautiskās saistības</w:t>
            </w:r>
          </w:p>
        </w:tc>
        <w:tc>
          <w:tcPr>
            <w:tcW w:w="2479" w:type="pct"/>
            <w:gridSpan w:val="3"/>
            <w:shd w:val="clear" w:color="auto" w:fill="auto"/>
            <w:hideMark/>
          </w:tcPr>
          <w:p w:rsidR="009C2326" w:rsidRPr="00095A13" w:rsidRDefault="009C2326" w:rsidP="00095A13">
            <w:pPr>
              <w:jc w:val="both"/>
              <w:rPr>
                <w:rFonts w:eastAsia="Times New Roman"/>
                <w:sz w:val="26"/>
                <w:szCs w:val="26"/>
                <w:lang w:val="lv-LV" w:eastAsia="lv-LV"/>
              </w:rPr>
            </w:pPr>
            <w:r w:rsidRPr="00095A13">
              <w:rPr>
                <w:rFonts w:eastAsia="Times New Roman"/>
                <w:sz w:val="26"/>
                <w:szCs w:val="26"/>
                <w:lang w:val="lv-LV" w:eastAsia="lv-LV"/>
              </w:rPr>
              <w:t>Projekts šo jomu neskar.</w:t>
            </w:r>
          </w:p>
        </w:tc>
      </w:tr>
      <w:tr w:rsidR="009C2326" w:rsidRPr="009C2326" w:rsidTr="00095A13">
        <w:trPr>
          <w:tblCellSpacing w:w="15" w:type="dxa"/>
        </w:trPr>
        <w:tc>
          <w:tcPr>
            <w:tcW w:w="0" w:type="auto"/>
            <w:shd w:val="clear" w:color="auto" w:fill="auto"/>
            <w:hideMark/>
          </w:tcPr>
          <w:p w:rsidR="009C2326" w:rsidRPr="00095A13" w:rsidRDefault="009C2326" w:rsidP="00895CD2">
            <w:pPr>
              <w:rPr>
                <w:rFonts w:eastAsia="Times New Roman"/>
                <w:sz w:val="26"/>
                <w:szCs w:val="26"/>
                <w:lang w:val="lv-LV" w:eastAsia="lv-LV"/>
              </w:rPr>
            </w:pPr>
            <w:r w:rsidRPr="00095A13">
              <w:rPr>
                <w:rFonts w:eastAsia="Times New Roman"/>
                <w:sz w:val="26"/>
                <w:szCs w:val="26"/>
                <w:lang w:val="lv-LV" w:eastAsia="lv-LV"/>
              </w:rPr>
              <w:t>3.</w:t>
            </w:r>
          </w:p>
        </w:tc>
        <w:tc>
          <w:tcPr>
            <w:tcW w:w="962" w:type="pct"/>
            <w:gridSpan w:val="2"/>
            <w:shd w:val="clear" w:color="auto" w:fill="auto"/>
            <w:hideMark/>
          </w:tcPr>
          <w:p w:rsidR="009C2326" w:rsidRPr="00095A13" w:rsidRDefault="009C2326" w:rsidP="00895CD2">
            <w:pPr>
              <w:jc w:val="both"/>
              <w:rPr>
                <w:rFonts w:eastAsia="Times New Roman"/>
                <w:sz w:val="26"/>
                <w:szCs w:val="26"/>
                <w:lang w:val="lv-LV" w:eastAsia="lv-LV"/>
              </w:rPr>
            </w:pPr>
            <w:r w:rsidRPr="00095A13">
              <w:rPr>
                <w:rFonts w:eastAsia="Times New Roman"/>
                <w:sz w:val="26"/>
                <w:szCs w:val="26"/>
                <w:lang w:val="lv-LV" w:eastAsia="lv-LV"/>
              </w:rPr>
              <w:t>Cita informācija</w:t>
            </w:r>
          </w:p>
        </w:tc>
        <w:tc>
          <w:tcPr>
            <w:tcW w:w="2479" w:type="pct"/>
            <w:gridSpan w:val="3"/>
            <w:shd w:val="clear" w:color="auto" w:fill="auto"/>
            <w:hideMark/>
          </w:tcPr>
          <w:p w:rsidR="009C2326" w:rsidRPr="00095A13" w:rsidRDefault="009C2326" w:rsidP="00095A13">
            <w:pPr>
              <w:jc w:val="both"/>
              <w:rPr>
                <w:rFonts w:eastAsia="Times New Roman"/>
                <w:sz w:val="26"/>
                <w:szCs w:val="26"/>
                <w:lang w:val="lv-LV" w:eastAsia="lv-LV"/>
              </w:rPr>
            </w:pPr>
            <w:r w:rsidRPr="00095A13">
              <w:rPr>
                <w:rFonts w:eastAsia="Times New Roman"/>
                <w:sz w:val="26"/>
                <w:szCs w:val="26"/>
                <w:lang w:val="lv-LV" w:eastAsia="lv-LV"/>
              </w:rPr>
              <w:t>Nav.</w:t>
            </w:r>
          </w:p>
        </w:tc>
      </w:tr>
      <w:tr w:rsidR="009C2326" w:rsidRPr="00771505" w:rsidTr="00095A13">
        <w:tblPrEx>
          <w:tblBorders>
            <w:insideH w:val="none" w:sz="0" w:space="0" w:color="auto"/>
            <w:insideV w:val="none" w:sz="0" w:space="0" w:color="auto"/>
          </w:tblBorders>
        </w:tblPrEx>
        <w:trPr>
          <w:tblCellSpacing w:w="15" w:type="dxa"/>
        </w:trPr>
        <w:tc>
          <w:tcPr>
            <w:tcW w:w="4968"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C2326" w:rsidRPr="00095A13" w:rsidRDefault="009C2326" w:rsidP="00895CD2">
            <w:pPr>
              <w:jc w:val="center"/>
              <w:rPr>
                <w:rFonts w:eastAsia="Times New Roman"/>
                <w:b/>
                <w:bCs/>
                <w:sz w:val="26"/>
                <w:szCs w:val="26"/>
                <w:lang w:val="de-DE" w:eastAsia="lv-LV"/>
              </w:rPr>
            </w:pPr>
            <w:r w:rsidRPr="00095A13">
              <w:rPr>
                <w:rFonts w:eastAsia="Times New Roman"/>
                <w:b/>
                <w:bCs/>
                <w:sz w:val="26"/>
                <w:szCs w:val="26"/>
                <w:lang w:val="de-DE" w:eastAsia="lv-LV"/>
              </w:rPr>
              <w:t>1.tabula</w:t>
            </w:r>
            <w:r w:rsidRPr="00095A13">
              <w:rPr>
                <w:rFonts w:eastAsia="Times New Roman"/>
                <w:b/>
                <w:bCs/>
                <w:sz w:val="26"/>
                <w:szCs w:val="26"/>
                <w:lang w:val="de-DE" w:eastAsia="lv-LV"/>
              </w:rPr>
              <w:br/>
            </w:r>
            <w:proofErr w:type="spellStart"/>
            <w:r w:rsidRPr="00095A13">
              <w:rPr>
                <w:rFonts w:eastAsia="Times New Roman"/>
                <w:b/>
                <w:bCs/>
                <w:sz w:val="26"/>
                <w:szCs w:val="26"/>
                <w:lang w:val="de-DE" w:eastAsia="lv-LV"/>
              </w:rPr>
              <w:t>Tiesību</w:t>
            </w:r>
            <w:proofErr w:type="spellEnd"/>
            <w:r w:rsidRPr="00095A13">
              <w:rPr>
                <w:rFonts w:eastAsia="Times New Roman"/>
                <w:b/>
                <w:bCs/>
                <w:sz w:val="26"/>
                <w:szCs w:val="26"/>
                <w:lang w:val="de-DE" w:eastAsia="lv-LV"/>
              </w:rPr>
              <w:t xml:space="preserve"> </w:t>
            </w:r>
            <w:proofErr w:type="spellStart"/>
            <w:r w:rsidRPr="00095A13">
              <w:rPr>
                <w:rFonts w:eastAsia="Times New Roman"/>
                <w:b/>
                <w:bCs/>
                <w:sz w:val="26"/>
                <w:szCs w:val="26"/>
                <w:lang w:val="de-DE" w:eastAsia="lv-LV"/>
              </w:rPr>
              <w:t>akta</w:t>
            </w:r>
            <w:proofErr w:type="spellEnd"/>
            <w:r w:rsidRPr="00095A13">
              <w:rPr>
                <w:rFonts w:eastAsia="Times New Roman"/>
                <w:b/>
                <w:bCs/>
                <w:sz w:val="26"/>
                <w:szCs w:val="26"/>
                <w:lang w:val="de-DE" w:eastAsia="lv-LV"/>
              </w:rPr>
              <w:t xml:space="preserve"> </w:t>
            </w:r>
            <w:proofErr w:type="spellStart"/>
            <w:r w:rsidRPr="00095A13">
              <w:rPr>
                <w:rFonts w:eastAsia="Times New Roman"/>
                <w:b/>
                <w:bCs/>
                <w:sz w:val="26"/>
                <w:szCs w:val="26"/>
                <w:lang w:val="de-DE" w:eastAsia="lv-LV"/>
              </w:rPr>
              <w:t>projekta</w:t>
            </w:r>
            <w:proofErr w:type="spellEnd"/>
            <w:r w:rsidRPr="00095A13">
              <w:rPr>
                <w:rFonts w:eastAsia="Times New Roman"/>
                <w:b/>
                <w:bCs/>
                <w:sz w:val="26"/>
                <w:szCs w:val="26"/>
                <w:lang w:val="de-DE" w:eastAsia="lv-LV"/>
              </w:rPr>
              <w:t xml:space="preserve"> </w:t>
            </w:r>
            <w:proofErr w:type="spellStart"/>
            <w:r w:rsidRPr="00095A13">
              <w:rPr>
                <w:rFonts w:eastAsia="Times New Roman"/>
                <w:b/>
                <w:bCs/>
                <w:sz w:val="26"/>
                <w:szCs w:val="26"/>
                <w:lang w:val="de-DE" w:eastAsia="lv-LV"/>
              </w:rPr>
              <w:t>atbilstība</w:t>
            </w:r>
            <w:proofErr w:type="spellEnd"/>
            <w:r w:rsidRPr="00095A13">
              <w:rPr>
                <w:rFonts w:eastAsia="Times New Roman"/>
                <w:b/>
                <w:bCs/>
                <w:sz w:val="26"/>
                <w:szCs w:val="26"/>
                <w:lang w:val="de-DE" w:eastAsia="lv-LV"/>
              </w:rPr>
              <w:t xml:space="preserve"> ES </w:t>
            </w:r>
            <w:proofErr w:type="spellStart"/>
            <w:r w:rsidRPr="00095A13">
              <w:rPr>
                <w:rFonts w:eastAsia="Times New Roman"/>
                <w:b/>
                <w:bCs/>
                <w:sz w:val="26"/>
                <w:szCs w:val="26"/>
                <w:lang w:val="de-DE" w:eastAsia="lv-LV"/>
              </w:rPr>
              <w:t>tiesību</w:t>
            </w:r>
            <w:proofErr w:type="spellEnd"/>
            <w:r w:rsidRPr="00095A13">
              <w:rPr>
                <w:rFonts w:eastAsia="Times New Roman"/>
                <w:b/>
                <w:bCs/>
                <w:sz w:val="26"/>
                <w:szCs w:val="26"/>
                <w:lang w:val="de-DE" w:eastAsia="lv-LV"/>
              </w:rPr>
              <w:t xml:space="preserve"> </w:t>
            </w:r>
            <w:proofErr w:type="spellStart"/>
            <w:r w:rsidRPr="00095A13">
              <w:rPr>
                <w:rFonts w:eastAsia="Times New Roman"/>
                <w:b/>
                <w:bCs/>
                <w:sz w:val="26"/>
                <w:szCs w:val="26"/>
                <w:lang w:val="de-DE" w:eastAsia="lv-LV"/>
              </w:rPr>
              <w:t>aktiem</w:t>
            </w:r>
            <w:proofErr w:type="spellEnd"/>
          </w:p>
        </w:tc>
      </w:tr>
      <w:tr w:rsidR="009C2326" w:rsidRPr="009C2326" w:rsidTr="00095A13">
        <w:tblPrEx>
          <w:tblBorders>
            <w:insideH w:val="none" w:sz="0" w:space="0" w:color="auto"/>
            <w:insideV w:val="none" w:sz="0" w:space="0" w:color="auto"/>
          </w:tblBorders>
        </w:tblPrEx>
        <w:trPr>
          <w:tblCellSpacing w:w="15" w:type="dxa"/>
        </w:trPr>
        <w:tc>
          <w:tcPr>
            <w:tcW w:w="151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2326" w:rsidRPr="00095A13" w:rsidRDefault="009C2326" w:rsidP="00895CD2">
            <w:pPr>
              <w:jc w:val="both"/>
              <w:rPr>
                <w:rFonts w:eastAsia="Times New Roman"/>
                <w:sz w:val="26"/>
                <w:szCs w:val="26"/>
                <w:lang w:val="lv-LV" w:eastAsia="lv-LV"/>
              </w:rPr>
            </w:pPr>
            <w:r w:rsidRPr="00095A13">
              <w:rPr>
                <w:rFonts w:eastAsia="Times New Roman"/>
                <w:sz w:val="26"/>
                <w:szCs w:val="26"/>
                <w:lang w:val="lv-LV" w:eastAsia="lv-LV"/>
              </w:rPr>
              <w:t>Attiecīgā ES tiesību akta datums, numurs un nosaukums</w:t>
            </w:r>
          </w:p>
        </w:tc>
        <w:tc>
          <w:tcPr>
            <w:tcW w:w="3441"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C2326" w:rsidRPr="00095A13" w:rsidRDefault="009C2326" w:rsidP="00895CD2">
            <w:pPr>
              <w:spacing w:after="120"/>
              <w:jc w:val="both"/>
              <w:rPr>
                <w:rFonts w:eastAsia="Times New Roman"/>
                <w:b/>
                <w:sz w:val="26"/>
                <w:szCs w:val="26"/>
                <w:lang w:val="lv-LV" w:eastAsia="lv-LV"/>
              </w:rPr>
            </w:pPr>
            <w:r w:rsidRPr="00095A13">
              <w:rPr>
                <w:sz w:val="26"/>
                <w:szCs w:val="26"/>
                <w:lang w:val="lv-LV"/>
              </w:rPr>
              <w:t xml:space="preserve">n/a </w:t>
            </w:r>
          </w:p>
        </w:tc>
      </w:tr>
      <w:tr w:rsidR="009C2326" w:rsidRPr="009C2326" w:rsidTr="00095A13">
        <w:tblPrEx>
          <w:tblBorders>
            <w:insideH w:val="none" w:sz="0" w:space="0" w:color="auto"/>
            <w:insideV w:val="none" w:sz="0" w:space="0" w:color="auto"/>
          </w:tblBorders>
        </w:tblPrEx>
        <w:trPr>
          <w:tblCellSpacing w:w="15" w:type="dxa"/>
        </w:trPr>
        <w:tc>
          <w:tcPr>
            <w:tcW w:w="151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2326" w:rsidRPr="00095A13" w:rsidRDefault="009C2326" w:rsidP="00895CD2">
            <w:pPr>
              <w:jc w:val="center"/>
              <w:rPr>
                <w:rFonts w:eastAsia="Times New Roman"/>
                <w:sz w:val="26"/>
                <w:szCs w:val="26"/>
                <w:lang w:eastAsia="lv-LV"/>
              </w:rPr>
            </w:pPr>
            <w:r w:rsidRPr="00095A13">
              <w:rPr>
                <w:rFonts w:eastAsia="Times New Roman"/>
                <w:sz w:val="26"/>
                <w:szCs w:val="26"/>
                <w:lang w:eastAsia="lv-LV"/>
              </w:rPr>
              <w:t>A</w:t>
            </w:r>
          </w:p>
        </w:tc>
        <w:tc>
          <w:tcPr>
            <w:tcW w:w="96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2326" w:rsidRPr="00095A13" w:rsidRDefault="009C2326" w:rsidP="00895CD2">
            <w:pPr>
              <w:jc w:val="center"/>
              <w:rPr>
                <w:rFonts w:eastAsia="Times New Roman"/>
                <w:sz w:val="26"/>
                <w:szCs w:val="26"/>
                <w:lang w:eastAsia="lv-LV"/>
              </w:rPr>
            </w:pPr>
            <w:r w:rsidRPr="00095A13">
              <w:rPr>
                <w:rFonts w:eastAsia="Times New Roman"/>
                <w:sz w:val="26"/>
                <w:szCs w:val="26"/>
                <w:lang w:eastAsia="lv-LV"/>
              </w:rPr>
              <w:t>B</w:t>
            </w:r>
          </w:p>
        </w:tc>
        <w:tc>
          <w:tcPr>
            <w:tcW w:w="122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2326" w:rsidRPr="00095A13" w:rsidRDefault="009C2326" w:rsidP="00895CD2">
            <w:pPr>
              <w:jc w:val="center"/>
              <w:rPr>
                <w:rFonts w:eastAsia="Times New Roman"/>
                <w:sz w:val="26"/>
                <w:szCs w:val="26"/>
                <w:lang w:eastAsia="lv-LV"/>
              </w:rPr>
            </w:pPr>
            <w:r w:rsidRPr="00095A13">
              <w:rPr>
                <w:rFonts w:eastAsia="Times New Roman"/>
                <w:sz w:val="26"/>
                <w:szCs w:val="26"/>
                <w:lang w:eastAsia="lv-LV"/>
              </w:rPr>
              <w:t>C</w:t>
            </w:r>
          </w:p>
        </w:tc>
        <w:tc>
          <w:tcPr>
            <w:tcW w:w="122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C2326" w:rsidRPr="00095A13" w:rsidRDefault="009C2326" w:rsidP="00895CD2">
            <w:pPr>
              <w:jc w:val="center"/>
              <w:rPr>
                <w:rFonts w:eastAsia="Times New Roman"/>
                <w:sz w:val="26"/>
                <w:szCs w:val="26"/>
                <w:lang w:eastAsia="lv-LV"/>
              </w:rPr>
            </w:pPr>
            <w:r w:rsidRPr="00095A13">
              <w:rPr>
                <w:rFonts w:eastAsia="Times New Roman"/>
                <w:sz w:val="26"/>
                <w:szCs w:val="26"/>
                <w:lang w:eastAsia="lv-LV"/>
              </w:rPr>
              <w:t>D</w:t>
            </w:r>
          </w:p>
        </w:tc>
      </w:tr>
      <w:tr w:rsidR="009C2326" w:rsidRPr="00771505" w:rsidTr="00095A13">
        <w:tblPrEx>
          <w:tblBorders>
            <w:insideH w:val="none" w:sz="0" w:space="0" w:color="auto"/>
            <w:insideV w:val="none" w:sz="0" w:space="0" w:color="auto"/>
          </w:tblBorders>
        </w:tblPrEx>
        <w:trPr>
          <w:tblCellSpacing w:w="15" w:type="dxa"/>
        </w:trPr>
        <w:tc>
          <w:tcPr>
            <w:tcW w:w="1511" w:type="pct"/>
            <w:gridSpan w:val="2"/>
            <w:tcBorders>
              <w:top w:val="outset" w:sz="6" w:space="0" w:color="auto"/>
              <w:left w:val="outset" w:sz="6" w:space="0" w:color="auto"/>
              <w:bottom w:val="outset" w:sz="6" w:space="0" w:color="auto"/>
              <w:right w:val="outset" w:sz="6" w:space="0" w:color="auto"/>
            </w:tcBorders>
            <w:shd w:val="clear" w:color="auto" w:fill="auto"/>
            <w:hideMark/>
          </w:tcPr>
          <w:p w:rsidR="009C2326" w:rsidRPr="00095A13" w:rsidRDefault="009C2326" w:rsidP="00895CD2">
            <w:pPr>
              <w:pStyle w:val="naiskr"/>
              <w:spacing w:before="0" w:after="0"/>
              <w:jc w:val="both"/>
              <w:rPr>
                <w:sz w:val="26"/>
                <w:szCs w:val="26"/>
              </w:rPr>
            </w:pPr>
            <w:r w:rsidRPr="00095A13">
              <w:rPr>
                <w:sz w:val="26"/>
                <w:szCs w:val="26"/>
              </w:rPr>
              <w:t xml:space="preserve">Attiecīgā ES tiesību akta panta numurs (uzskaitot katru tiesību akta </w:t>
            </w:r>
            <w:r w:rsidRPr="00095A13">
              <w:rPr>
                <w:sz w:val="26"/>
                <w:szCs w:val="26"/>
              </w:rPr>
              <w:br/>
              <w:t>vienību – pantu, daļu, punktu, apakšpunktu)</w:t>
            </w:r>
          </w:p>
        </w:tc>
        <w:tc>
          <w:tcPr>
            <w:tcW w:w="962" w:type="pct"/>
            <w:gridSpan w:val="2"/>
            <w:tcBorders>
              <w:top w:val="outset" w:sz="6" w:space="0" w:color="auto"/>
              <w:left w:val="outset" w:sz="6" w:space="0" w:color="auto"/>
              <w:bottom w:val="outset" w:sz="6" w:space="0" w:color="auto"/>
              <w:right w:val="outset" w:sz="6" w:space="0" w:color="auto"/>
            </w:tcBorders>
            <w:shd w:val="clear" w:color="auto" w:fill="auto"/>
            <w:hideMark/>
          </w:tcPr>
          <w:p w:rsidR="009C2326" w:rsidRPr="00095A13" w:rsidRDefault="009C2326" w:rsidP="00895CD2">
            <w:pPr>
              <w:pStyle w:val="naiskr"/>
              <w:spacing w:before="0" w:after="0"/>
              <w:jc w:val="both"/>
              <w:rPr>
                <w:sz w:val="26"/>
                <w:szCs w:val="26"/>
              </w:rPr>
            </w:pPr>
            <w:r w:rsidRPr="00095A13">
              <w:rPr>
                <w:sz w:val="26"/>
                <w:szCs w:val="26"/>
              </w:rPr>
              <w:t>Projekta vienība, kas pārņem vai ievieš katru šīs tabulas A ailē minēto ES tiesību akta vienību</w:t>
            </w:r>
          </w:p>
        </w:tc>
        <w:tc>
          <w:tcPr>
            <w:tcW w:w="1225" w:type="pct"/>
            <w:tcBorders>
              <w:top w:val="outset" w:sz="6" w:space="0" w:color="auto"/>
              <w:left w:val="outset" w:sz="6" w:space="0" w:color="auto"/>
              <w:bottom w:val="outset" w:sz="6" w:space="0" w:color="auto"/>
              <w:right w:val="outset" w:sz="6" w:space="0" w:color="auto"/>
            </w:tcBorders>
            <w:shd w:val="clear" w:color="auto" w:fill="auto"/>
            <w:hideMark/>
          </w:tcPr>
          <w:p w:rsidR="009C2326" w:rsidRPr="00095A13" w:rsidRDefault="009C2326" w:rsidP="00895CD2">
            <w:pPr>
              <w:pStyle w:val="naiskr"/>
              <w:spacing w:before="0" w:after="0"/>
              <w:jc w:val="both"/>
              <w:rPr>
                <w:sz w:val="26"/>
                <w:szCs w:val="26"/>
              </w:rPr>
            </w:pPr>
            <w:r w:rsidRPr="00095A13">
              <w:rPr>
                <w:sz w:val="26"/>
                <w:szCs w:val="26"/>
              </w:rPr>
              <w:t>Informācija par to, vai šīs tabulas A ailē minētās ES tiesību akta vienības tiek pārņemtas vai ieviestas pilnībā vai daļēji.</w:t>
            </w:r>
          </w:p>
          <w:p w:rsidR="009C2326" w:rsidRPr="00095A13" w:rsidRDefault="009C2326" w:rsidP="00895CD2">
            <w:pPr>
              <w:pStyle w:val="naiskr"/>
              <w:spacing w:before="0" w:after="0"/>
              <w:jc w:val="both"/>
              <w:rPr>
                <w:sz w:val="26"/>
                <w:szCs w:val="26"/>
              </w:rPr>
            </w:pPr>
            <w:r w:rsidRPr="00095A13">
              <w:rPr>
                <w:sz w:val="26"/>
                <w:szCs w:val="26"/>
              </w:rPr>
              <w:t>Ja attiecīgā ES tiesību akta vienība tiek pārņemta vai ieviesta daļēji, – sniedz attiecīgu skaidrojumu, kā arī precīzi norāda, kad un kādā veidā ES tiesību akta vienība tiks pārņemta vai ieviesta pilnībā.</w:t>
            </w:r>
          </w:p>
          <w:p w:rsidR="009C2326" w:rsidRPr="00095A13" w:rsidRDefault="009C2326" w:rsidP="00895CD2">
            <w:pPr>
              <w:pStyle w:val="naiskr"/>
              <w:spacing w:before="0" w:after="0"/>
              <w:jc w:val="both"/>
              <w:rPr>
                <w:sz w:val="26"/>
                <w:szCs w:val="26"/>
              </w:rPr>
            </w:pPr>
            <w:r w:rsidRPr="00095A13">
              <w:rPr>
                <w:sz w:val="26"/>
                <w:szCs w:val="26"/>
              </w:rPr>
              <w:t xml:space="preserve">Norāda institūciju, kas ir atbildīga par </w:t>
            </w:r>
            <w:r w:rsidRPr="00095A13">
              <w:rPr>
                <w:sz w:val="26"/>
                <w:szCs w:val="26"/>
              </w:rPr>
              <w:lastRenderedPageBreak/>
              <w:t>šo saistību izpildi pilnībā</w:t>
            </w:r>
          </w:p>
        </w:tc>
        <w:tc>
          <w:tcPr>
            <w:tcW w:w="1222" w:type="pct"/>
            <w:tcBorders>
              <w:top w:val="outset" w:sz="6" w:space="0" w:color="auto"/>
              <w:left w:val="outset" w:sz="6" w:space="0" w:color="auto"/>
              <w:bottom w:val="outset" w:sz="6" w:space="0" w:color="auto"/>
              <w:right w:val="outset" w:sz="6" w:space="0" w:color="auto"/>
            </w:tcBorders>
            <w:shd w:val="clear" w:color="auto" w:fill="auto"/>
            <w:hideMark/>
          </w:tcPr>
          <w:p w:rsidR="009C2326" w:rsidRPr="00095A13" w:rsidRDefault="009C2326" w:rsidP="00895CD2">
            <w:pPr>
              <w:pStyle w:val="naiskr"/>
              <w:spacing w:before="0" w:after="0"/>
              <w:jc w:val="both"/>
              <w:rPr>
                <w:sz w:val="26"/>
                <w:szCs w:val="26"/>
              </w:rPr>
            </w:pPr>
            <w:r w:rsidRPr="00095A13">
              <w:rPr>
                <w:sz w:val="26"/>
                <w:szCs w:val="26"/>
              </w:rPr>
              <w:lastRenderedPageBreak/>
              <w:t>Informācija par to, vai šīs tabulas B ailē minētās projekta vienības paredz stingrākas prasības nekā šīs tabulas A ailē minētās ES tiesību akta vienības.</w:t>
            </w:r>
          </w:p>
          <w:p w:rsidR="009C2326" w:rsidRPr="00095A13" w:rsidRDefault="009C2326" w:rsidP="00895CD2">
            <w:pPr>
              <w:pStyle w:val="naiskr"/>
              <w:spacing w:before="0" w:after="0"/>
              <w:jc w:val="both"/>
              <w:rPr>
                <w:sz w:val="26"/>
                <w:szCs w:val="26"/>
              </w:rPr>
            </w:pPr>
            <w:r w:rsidRPr="00095A13">
              <w:rPr>
                <w:sz w:val="26"/>
                <w:szCs w:val="26"/>
              </w:rPr>
              <w:t xml:space="preserve">Ja projekts satur stingrākas prasības nekā attiecīgais ES tiesību </w:t>
            </w:r>
            <w:smartTag w:uri="schemas-tilde-lv/tildestengine" w:element="veidnes">
              <w:smartTagPr>
                <w:attr w:name="text" w:val="akts"/>
                <w:attr w:name="baseform" w:val="akts"/>
                <w:attr w:name="id" w:val="-1"/>
              </w:smartTagPr>
              <w:r w:rsidRPr="00095A13">
                <w:rPr>
                  <w:sz w:val="26"/>
                  <w:szCs w:val="26"/>
                </w:rPr>
                <w:t>akts</w:t>
              </w:r>
            </w:smartTag>
            <w:r w:rsidRPr="00095A13">
              <w:rPr>
                <w:sz w:val="26"/>
                <w:szCs w:val="26"/>
              </w:rPr>
              <w:t>, – norāda pamatojumu un samērīgumu.</w:t>
            </w:r>
          </w:p>
          <w:p w:rsidR="009C2326" w:rsidRPr="00095A13" w:rsidRDefault="009C2326" w:rsidP="00895CD2">
            <w:pPr>
              <w:pStyle w:val="naiskr"/>
              <w:spacing w:before="0" w:after="0"/>
              <w:jc w:val="both"/>
              <w:rPr>
                <w:sz w:val="26"/>
                <w:szCs w:val="26"/>
              </w:rPr>
            </w:pPr>
            <w:r w:rsidRPr="00095A13">
              <w:rPr>
                <w:sz w:val="26"/>
                <w:szCs w:val="26"/>
              </w:rPr>
              <w:t>Norāda iespējamās alternatīvas (</w:t>
            </w:r>
            <w:proofErr w:type="spellStart"/>
            <w:r w:rsidRPr="00095A13">
              <w:rPr>
                <w:sz w:val="26"/>
                <w:szCs w:val="26"/>
              </w:rPr>
              <w:t>t.sk</w:t>
            </w:r>
            <w:proofErr w:type="spellEnd"/>
            <w:r w:rsidRPr="00095A13">
              <w:rPr>
                <w:sz w:val="26"/>
                <w:szCs w:val="26"/>
              </w:rPr>
              <w:t xml:space="preserve">. alternatīvas, kas neparedz tiesiskā regulējuma izstrādi) – kādos gadījumos </w:t>
            </w:r>
            <w:r w:rsidRPr="00095A13">
              <w:rPr>
                <w:sz w:val="26"/>
                <w:szCs w:val="26"/>
              </w:rPr>
              <w:lastRenderedPageBreak/>
              <w:t>būtu iespējams izvairīties no stingrāku prasību noteikšanas, nekā paredzēts attiecīgajos ES tiesību aktos</w:t>
            </w:r>
          </w:p>
        </w:tc>
      </w:tr>
      <w:tr w:rsidR="009C2326" w:rsidRPr="009C2326" w:rsidTr="00095A13">
        <w:tblPrEx>
          <w:tblBorders>
            <w:insideH w:val="none" w:sz="0" w:space="0" w:color="auto"/>
            <w:insideV w:val="none" w:sz="0" w:space="0" w:color="auto"/>
          </w:tblBorders>
        </w:tblPrEx>
        <w:trPr>
          <w:tblCellSpacing w:w="15" w:type="dxa"/>
        </w:trPr>
        <w:tc>
          <w:tcPr>
            <w:tcW w:w="1511" w:type="pct"/>
            <w:gridSpan w:val="2"/>
            <w:tcBorders>
              <w:top w:val="outset" w:sz="6" w:space="0" w:color="auto"/>
              <w:left w:val="outset" w:sz="6" w:space="0" w:color="auto"/>
              <w:bottom w:val="outset" w:sz="6" w:space="0" w:color="auto"/>
              <w:right w:val="outset" w:sz="6" w:space="0" w:color="auto"/>
            </w:tcBorders>
            <w:shd w:val="clear" w:color="auto" w:fill="auto"/>
          </w:tcPr>
          <w:p w:rsidR="009C2326" w:rsidRPr="00095A13" w:rsidRDefault="009C2326" w:rsidP="00895CD2">
            <w:pPr>
              <w:pStyle w:val="naiskr"/>
              <w:spacing w:before="0" w:after="0"/>
              <w:jc w:val="both"/>
              <w:rPr>
                <w:sz w:val="26"/>
                <w:szCs w:val="26"/>
              </w:rPr>
            </w:pPr>
            <w:r w:rsidRPr="00095A13">
              <w:rPr>
                <w:sz w:val="26"/>
                <w:szCs w:val="26"/>
              </w:rPr>
              <w:lastRenderedPageBreak/>
              <w:t>n/a</w:t>
            </w:r>
          </w:p>
        </w:tc>
        <w:tc>
          <w:tcPr>
            <w:tcW w:w="962" w:type="pct"/>
            <w:gridSpan w:val="2"/>
            <w:tcBorders>
              <w:top w:val="outset" w:sz="6" w:space="0" w:color="auto"/>
              <w:left w:val="outset" w:sz="6" w:space="0" w:color="auto"/>
              <w:bottom w:val="outset" w:sz="6" w:space="0" w:color="auto"/>
              <w:right w:val="outset" w:sz="6" w:space="0" w:color="auto"/>
            </w:tcBorders>
            <w:shd w:val="clear" w:color="auto" w:fill="auto"/>
          </w:tcPr>
          <w:p w:rsidR="009C2326" w:rsidRPr="00095A13" w:rsidRDefault="009C2326" w:rsidP="00895CD2">
            <w:pPr>
              <w:pStyle w:val="naiskr"/>
              <w:spacing w:before="0" w:after="0"/>
              <w:jc w:val="both"/>
              <w:rPr>
                <w:sz w:val="26"/>
                <w:szCs w:val="26"/>
              </w:rPr>
            </w:pPr>
            <w:r w:rsidRPr="00095A13">
              <w:rPr>
                <w:sz w:val="26"/>
                <w:szCs w:val="26"/>
              </w:rPr>
              <w:t>n/a</w:t>
            </w:r>
          </w:p>
        </w:tc>
        <w:tc>
          <w:tcPr>
            <w:tcW w:w="1225" w:type="pct"/>
            <w:tcBorders>
              <w:top w:val="outset" w:sz="6" w:space="0" w:color="auto"/>
              <w:left w:val="outset" w:sz="6" w:space="0" w:color="auto"/>
              <w:bottom w:val="outset" w:sz="6" w:space="0" w:color="auto"/>
              <w:right w:val="outset" w:sz="6" w:space="0" w:color="auto"/>
            </w:tcBorders>
            <w:shd w:val="clear" w:color="auto" w:fill="auto"/>
          </w:tcPr>
          <w:p w:rsidR="009C2326" w:rsidRPr="00095A13" w:rsidRDefault="009C2326" w:rsidP="00895CD2">
            <w:pPr>
              <w:pStyle w:val="naiskr"/>
              <w:spacing w:before="0" w:after="0"/>
              <w:jc w:val="both"/>
              <w:rPr>
                <w:sz w:val="26"/>
                <w:szCs w:val="26"/>
              </w:rPr>
            </w:pPr>
            <w:r w:rsidRPr="00095A13">
              <w:rPr>
                <w:sz w:val="26"/>
                <w:szCs w:val="26"/>
              </w:rPr>
              <w:t>n/a</w:t>
            </w:r>
          </w:p>
        </w:tc>
        <w:tc>
          <w:tcPr>
            <w:tcW w:w="1222" w:type="pct"/>
            <w:tcBorders>
              <w:top w:val="outset" w:sz="6" w:space="0" w:color="auto"/>
              <w:left w:val="outset" w:sz="6" w:space="0" w:color="auto"/>
              <w:bottom w:val="outset" w:sz="6" w:space="0" w:color="auto"/>
              <w:right w:val="outset" w:sz="6" w:space="0" w:color="auto"/>
            </w:tcBorders>
            <w:shd w:val="clear" w:color="auto" w:fill="auto"/>
          </w:tcPr>
          <w:p w:rsidR="009C2326" w:rsidRPr="00095A13" w:rsidRDefault="009C2326" w:rsidP="00895CD2">
            <w:pPr>
              <w:pStyle w:val="tvhtml"/>
              <w:spacing w:before="0" w:beforeAutospacing="0" w:after="0" w:afterAutospacing="0"/>
              <w:rPr>
                <w:rFonts w:ascii="Times New Roman" w:hAnsi="Times New Roman"/>
                <w:sz w:val="26"/>
                <w:szCs w:val="26"/>
              </w:rPr>
            </w:pPr>
            <w:r w:rsidRPr="00095A13">
              <w:rPr>
                <w:rFonts w:ascii="Times New Roman" w:hAnsi="Times New Roman"/>
                <w:sz w:val="26"/>
                <w:szCs w:val="26"/>
              </w:rPr>
              <w:t>n/a</w:t>
            </w:r>
          </w:p>
        </w:tc>
      </w:tr>
      <w:tr w:rsidR="009C2326" w:rsidRPr="009C2326" w:rsidTr="00095A13">
        <w:tblPrEx>
          <w:tblBorders>
            <w:insideH w:val="none" w:sz="0" w:space="0" w:color="auto"/>
            <w:insideV w:val="none" w:sz="0" w:space="0" w:color="auto"/>
          </w:tblBorders>
        </w:tblPrEx>
        <w:trPr>
          <w:tblCellSpacing w:w="15" w:type="dxa"/>
        </w:trPr>
        <w:tc>
          <w:tcPr>
            <w:tcW w:w="151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2326" w:rsidRPr="00095A13" w:rsidRDefault="009C2326" w:rsidP="00895CD2">
            <w:pPr>
              <w:jc w:val="both"/>
              <w:rPr>
                <w:rFonts w:eastAsia="Times New Roman"/>
                <w:sz w:val="26"/>
                <w:szCs w:val="26"/>
                <w:lang w:val="lv-LV" w:eastAsia="lv-LV"/>
              </w:rPr>
            </w:pPr>
            <w:r w:rsidRPr="00095A13">
              <w:rPr>
                <w:rFonts w:eastAsia="Times New Roman"/>
                <w:sz w:val="26"/>
                <w:szCs w:val="26"/>
                <w:lang w:val="lv-LV" w:eastAsia="lv-LV"/>
              </w:rPr>
              <w:t>Kā ir izmantota ES tiesību aktā paredzētā rīcības brīvība dalībvalstij pārņemt vai ieviest noteiktas ES tiesību akta normas.</w:t>
            </w:r>
          </w:p>
        </w:tc>
        <w:tc>
          <w:tcPr>
            <w:tcW w:w="3441" w:type="pct"/>
            <w:gridSpan w:val="4"/>
            <w:tcBorders>
              <w:top w:val="outset" w:sz="6" w:space="0" w:color="auto"/>
              <w:left w:val="outset" w:sz="6" w:space="0" w:color="auto"/>
              <w:bottom w:val="outset" w:sz="6" w:space="0" w:color="auto"/>
              <w:right w:val="outset" w:sz="6" w:space="0" w:color="auto"/>
            </w:tcBorders>
            <w:shd w:val="clear" w:color="auto" w:fill="auto"/>
            <w:hideMark/>
          </w:tcPr>
          <w:p w:rsidR="009C2326" w:rsidRPr="00095A13" w:rsidRDefault="009C2326" w:rsidP="00895CD2">
            <w:pPr>
              <w:pStyle w:val="naiskr"/>
              <w:rPr>
                <w:iCs/>
                <w:sz w:val="26"/>
                <w:szCs w:val="26"/>
              </w:rPr>
            </w:pPr>
            <w:r w:rsidRPr="00095A13">
              <w:rPr>
                <w:iCs/>
                <w:sz w:val="26"/>
                <w:szCs w:val="26"/>
              </w:rPr>
              <w:t>n/a</w:t>
            </w:r>
          </w:p>
          <w:p w:rsidR="009C2326" w:rsidRPr="00095A13" w:rsidRDefault="009C2326" w:rsidP="00895CD2">
            <w:pPr>
              <w:jc w:val="both"/>
              <w:rPr>
                <w:rFonts w:eastAsia="Times New Roman"/>
                <w:sz w:val="26"/>
                <w:szCs w:val="26"/>
                <w:lang w:val="lv-LV" w:eastAsia="lv-LV"/>
              </w:rPr>
            </w:pPr>
          </w:p>
        </w:tc>
      </w:tr>
      <w:tr w:rsidR="009C2326" w:rsidRPr="00771505" w:rsidTr="00095A13">
        <w:tblPrEx>
          <w:tblBorders>
            <w:insideH w:val="none" w:sz="0" w:space="0" w:color="auto"/>
            <w:insideV w:val="none" w:sz="0" w:space="0" w:color="auto"/>
          </w:tblBorders>
        </w:tblPrEx>
        <w:trPr>
          <w:tblCellSpacing w:w="15" w:type="dxa"/>
        </w:trPr>
        <w:tc>
          <w:tcPr>
            <w:tcW w:w="151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C2326" w:rsidRPr="00095A13" w:rsidRDefault="009C2326" w:rsidP="00895CD2">
            <w:pPr>
              <w:jc w:val="both"/>
              <w:rPr>
                <w:rFonts w:eastAsia="Times New Roman"/>
                <w:sz w:val="26"/>
                <w:szCs w:val="26"/>
                <w:lang w:val="lv-LV" w:eastAsia="lv-LV"/>
              </w:rPr>
            </w:pPr>
            <w:r w:rsidRPr="00095A13">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41" w:type="pct"/>
            <w:gridSpan w:val="4"/>
            <w:tcBorders>
              <w:top w:val="outset" w:sz="6" w:space="0" w:color="auto"/>
              <w:left w:val="outset" w:sz="6" w:space="0" w:color="auto"/>
              <w:bottom w:val="outset" w:sz="6" w:space="0" w:color="auto"/>
              <w:right w:val="outset" w:sz="6" w:space="0" w:color="auto"/>
            </w:tcBorders>
            <w:shd w:val="clear" w:color="auto" w:fill="auto"/>
            <w:hideMark/>
          </w:tcPr>
          <w:p w:rsidR="009C2326" w:rsidRPr="00095A13" w:rsidRDefault="009C2326" w:rsidP="002B4191">
            <w:pPr>
              <w:jc w:val="both"/>
              <w:rPr>
                <w:rFonts w:eastAsia="Times New Roman"/>
                <w:sz w:val="26"/>
                <w:szCs w:val="26"/>
                <w:lang w:val="lv-LV" w:eastAsia="lv-LV"/>
              </w:rPr>
            </w:pPr>
            <w:r w:rsidRPr="00095A13">
              <w:rPr>
                <w:sz w:val="26"/>
                <w:szCs w:val="26"/>
                <w:lang w:val="lv-LV"/>
              </w:rPr>
              <w:t>Eiropas Komisijai informācijas kopsavilkums par šo atbalsta pasākumu tiks nosūtīts 20 darba dienu laikā pēc</w:t>
            </w:r>
            <w:r w:rsidR="002B4191" w:rsidRPr="002B4191">
              <w:rPr>
                <w:sz w:val="26"/>
                <w:szCs w:val="26"/>
                <w:lang w:val="lv-LV"/>
              </w:rPr>
              <w:t xml:space="preserve"> atbalsta shēmas stāšanās spēkā</w:t>
            </w:r>
            <w:r w:rsidR="002B4191">
              <w:rPr>
                <w:sz w:val="26"/>
                <w:szCs w:val="26"/>
                <w:lang w:val="lv-LV"/>
              </w:rPr>
              <w:t xml:space="preserve"> atbilstoši</w:t>
            </w:r>
            <w:r w:rsidRPr="00095A13">
              <w:rPr>
                <w:sz w:val="26"/>
                <w:szCs w:val="26"/>
                <w:lang w:val="lv-LV"/>
              </w:rPr>
              <w:t xml:space="preserve"> </w:t>
            </w:r>
            <w:r w:rsidR="002B4191" w:rsidRPr="002B4191">
              <w:rPr>
                <w:sz w:val="26"/>
                <w:szCs w:val="26"/>
                <w:lang w:val="lv-LV"/>
              </w:rPr>
              <w:t>Komisijas 2008.gada 6.augusta Regula</w:t>
            </w:r>
            <w:r w:rsidR="002B4191">
              <w:rPr>
                <w:sz w:val="26"/>
                <w:szCs w:val="26"/>
                <w:lang w:val="lv-LV"/>
              </w:rPr>
              <w:t>s</w:t>
            </w:r>
            <w:r w:rsidR="002B4191" w:rsidRPr="002B4191">
              <w:rPr>
                <w:sz w:val="26"/>
                <w:szCs w:val="26"/>
                <w:lang w:val="lv-LV"/>
              </w:rPr>
              <w:t xml:space="preserve"> (EK) Nr.800/2008, kas atzīst noteiktas atbalsta kategorijas par saderīgām ar kopējo tirgu, piemērojot Līguma 87. un 88.pantu (vispārējā grupu atbrīvojuma regula)</w:t>
            </w:r>
            <w:r w:rsidR="002B4191">
              <w:rPr>
                <w:sz w:val="26"/>
                <w:szCs w:val="26"/>
                <w:lang w:val="lv-LV"/>
              </w:rPr>
              <w:t xml:space="preserve"> </w:t>
            </w:r>
            <w:r w:rsidR="002B4191" w:rsidRPr="002B4191">
              <w:rPr>
                <w:sz w:val="26"/>
                <w:szCs w:val="26"/>
                <w:lang w:val="lv-LV"/>
              </w:rPr>
              <w:t xml:space="preserve">I </w:t>
            </w:r>
            <w:r w:rsidR="002B4191">
              <w:rPr>
                <w:sz w:val="26"/>
                <w:szCs w:val="26"/>
                <w:lang w:val="lv-LV"/>
              </w:rPr>
              <w:t>n</w:t>
            </w:r>
            <w:r w:rsidR="002B4191" w:rsidRPr="002B4191">
              <w:rPr>
                <w:sz w:val="26"/>
                <w:szCs w:val="26"/>
                <w:lang w:val="lv-LV"/>
              </w:rPr>
              <w:t>odaļas 9.panta 1.punkt</w:t>
            </w:r>
            <w:r w:rsidR="002B4191">
              <w:rPr>
                <w:sz w:val="26"/>
                <w:szCs w:val="26"/>
                <w:lang w:val="lv-LV"/>
              </w:rPr>
              <w:t xml:space="preserve">ā noteiktajam. </w:t>
            </w:r>
          </w:p>
        </w:tc>
      </w:tr>
      <w:tr w:rsidR="009C2326" w:rsidRPr="009C2326" w:rsidTr="00095A13">
        <w:tblPrEx>
          <w:tblBorders>
            <w:insideH w:val="none" w:sz="0" w:space="0" w:color="auto"/>
            <w:insideV w:val="none" w:sz="0" w:space="0" w:color="auto"/>
          </w:tblBorders>
        </w:tblPrEx>
        <w:trPr>
          <w:tblCellSpacing w:w="15" w:type="dxa"/>
        </w:trPr>
        <w:tc>
          <w:tcPr>
            <w:tcW w:w="1511" w:type="pct"/>
            <w:gridSpan w:val="2"/>
            <w:tcBorders>
              <w:top w:val="outset" w:sz="6" w:space="0" w:color="auto"/>
              <w:left w:val="outset" w:sz="6" w:space="0" w:color="auto"/>
              <w:bottom w:val="outset" w:sz="6" w:space="0" w:color="auto"/>
              <w:right w:val="outset" w:sz="6" w:space="0" w:color="auto"/>
            </w:tcBorders>
            <w:shd w:val="clear" w:color="auto" w:fill="auto"/>
            <w:hideMark/>
          </w:tcPr>
          <w:p w:rsidR="009C2326" w:rsidRPr="00095A13" w:rsidRDefault="009C2326" w:rsidP="00895CD2">
            <w:pPr>
              <w:jc w:val="both"/>
              <w:rPr>
                <w:rFonts w:eastAsia="Times New Roman"/>
                <w:sz w:val="26"/>
                <w:szCs w:val="26"/>
                <w:lang w:val="lv-LV" w:eastAsia="lv-LV"/>
              </w:rPr>
            </w:pPr>
            <w:r w:rsidRPr="00095A13">
              <w:rPr>
                <w:rFonts w:eastAsia="Times New Roman"/>
                <w:sz w:val="26"/>
                <w:szCs w:val="26"/>
                <w:lang w:val="lv-LV" w:eastAsia="lv-LV"/>
              </w:rPr>
              <w:t>Cita informācija</w:t>
            </w:r>
          </w:p>
        </w:tc>
        <w:tc>
          <w:tcPr>
            <w:tcW w:w="3441" w:type="pct"/>
            <w:gridSpan w:val="4"/>
            <w:tcBorders>
              <w:top w:val="outset" w:sz="6" w:space="0" w:color="auto"/>
              <w:left w:val="outset" w:sz="6" w:space="0" w:color="auto"/>
              <w:bottom w:val="outset" w:sz="6" w:space="0" w:color="auto"/>
              <w:right w:val="outset" w:sz="6" w:space="0" w:color="auto"/>
            </w:tcBorders>
            <w:shd w:val="clear" w:color="auto" w:fill="auto"/>
            <w:hideMark/>
          </w:tcPr>
          <w:p w:rsidR="009C2326" w:rsidRPr="00095A13" w:rsidRDefault="009C2326" w:rsidP="00895CD2">
            <w:pPr>
              <w:jc w:val="both"/>
              <w:rPr>
                <w:rFonts w:eastAsia="Times New Roman"/>
                <w:sz w:val="26"/>
                <w:szCs w:val="26"/>
                <w:lang w:val="lv-LV" w:eastAsia="lv-LV"/>
              </w:rPr>
            </w:pPr>
            <w:r w:rsidRPr="00095A13">
              <w:rPr>
                <w:rFonts w:eastAsia="Times New Roman"/>
                <w:sz w:val="26"/>
                <w:szCs w:val="26"/>
                <w:lang w:val="lv-LV" w:eastAsia="lv-LV"/>
              </w:rPr>
              <w:t>Nav</w:t>
            </w:r>
          </w:p>
        </w:tc>
      </w:tr>
    </w:tbl>
    <w:p w:rsidR="009C2326" w:rsidRDefault="009C2326" w:rsidP="001E0F0B">
      <w:pPr>
        <w:pStyle w:val="NormalWeb"/>
        <w:spacing w:before="0" w:beforeAutospacing="0" w:after="0" w:afterAutospacing="0" w:line="276" w:lineRule="auto"/>
        <w:jc w:val="center"/>
        <w:rPr>
          <w:b/>
          <w:sz w:val="26"/>
          <w:szCs w:val="26"/>
          <w:lang w:val="lv-LV"/>
        </w:rPr>
      </w:pPr>
    </w:p>
    <w:p w:rsidR="00E77FDA" w:rsidRDefault="00E77FDA" w:rsidP="00E77FDA">
      <w:pPr>
        <w:pStyle w:val="NormalWeb"/>
        <w:spacing w:before="0" w:beforeAutospacing="0" w:after="0" w:afterAutospacing="0" w:line="276" w:lineRule="auto"/>
        <w:jc w:val="center"/>
        <w:rPr>
          <w:b/>
          <w:sz w:val="26"/>
          <w:szCs w:val="26"/>
          <w:lang w:val="lv-LV"/>
        </w:rPr>
      </w:pPr>
      <w:r w:rsidRPr="00A420C4">
        <w:rPr>
          <w:b/>
          <w:sz w:val="26"/>
          <w:szCs w:val="26"/>
          <w:lang w:val="lv-LV"/>
        </w:rPr>
        <w:t>Anotācijas VI sadaļa – nav attiecināms</w:t>
      </w:r>
    </w:p>
    <w:p w:rsidR="0076555E" w:rsidRPr="00A420C4" w:rsidRDefault="0076555E" w:rsidP="001E0F0B">
      <w:pPr>
        <w:pStyle w:val="NormalWeb"/>
        <w:spacing w:before="0" w:beforeAutospacing="0" w:after="0" w:afterAutospacing="0" w:line="276" w:lineRule="auto"/>
        <w:jc w:val="center"/>
        <w:rPr>
          <w:b/>
          <w:sz w:val="26"/>
          <w:szCs w:val="26"/>
          <w:lang w:val="lv-LV"/>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7"/>
        <w:gridCol w:w="4536"/>
      </w:tblGrid>
      <w:tr w:rsidR="007D3113" w:rsidRPr="00771505" w:rsidTr="00762978">
        <w:tc>
          <w:tcPr>
            <w:tcW w:w="9214" w:type="dxa"/>
            <w:gridSpan w:val="3"/>
          </w:tcPr>
          <w:p w:rsidR="007D3113" w:rsidRPr="00A420C4" w:rsidRDefault="007D3113" w:rsidP="00762978">
            <w:pPr>
              <w:jc w:val="center"/>
              <w:rPr>
                <w:rFonts w:eastAsia="Times New Roman"/>
                <w:b/>
                <w:sz w:val="26"/>
                <w:szCs w:val="26"/>
                <w:lang w:val="lv-LV" w:eastAsia="lv-LV"/>
              </w:rPr>
            </w:pPr>
            <w:r w:rsidRPr="00A420C4">
              <w:rPr>
                <w:rFonts w:eastAsia="Times New Roman"/>
                <w:b/>
                <w:sz w:val="26"/>
                <w:szCs w:val="26"/>
                <w:lang w:val="lv-LV" w:eastAsia="lv-LV"/>
              </w:rPr>
              <w:t>VII. Tiesību akta projekta izpildes nodrošināšana un tās ietekme uz institūcijām</w:t>
            </w:r>
          </w:p>
        </w:tc>
      </w:tr>
      <w:tr w:rsidR="00554313" w:rsidRPr="00771505" w:rsidTr="007D3113">
        <w:tc>
          <w:tcPr>
            <w:tcW w:w="851" w:type="dxa"/>
          </w:tcPr>
          <w:p w:rsidR="00554313" w:rsidRPr="00A420C4" w:rsidRDefault="00554313" w:rsidP="00762978">
            <w:pPr>
              <w:rPr>
                <w:rFonts w:eastAsia="Times New Roman"/>
                <w:sz w:val="26"/>
                <w:szCs w:val="26"/>
                <w:lang w:val="lv-LV" w:eastAsia="lv-LV"/>
              </w:rPr>
            </w:pPr>
            <w:r w:rsidRPr="00A420C4">
              <w:rPr>
                <w:rFonts w:eastAsia="Times New Roman"/>
                <w:sz w:val="26"/>
                <w:szCs w:val="26"/>
                <w:lang w:val="lv-LV" w:eastAsia="lv-LV"/>
              </w:rPr>
              <w:t>1.</w:t>
            </w:r>
          </w:p>
        </w:tc>
        <w:tc>
          <w:tcPr>
            <w:tcW w:w="3827" w:type="dxa"/>
            <w:hideMark/>
          </w:tcPr>
          <w:p w:rsidR="00554313" w:rsidRPr="00A420C4" w:rsidRDefault="00554313" w:rsidP="00762978">
            <w:pPr>
              <w:rPr>
                <w:rFonts w:eastAsia="Times New Roman"/>
                <w:sz w:val="26"/>
                <w:szCs w:val="26"/>
                <w:lang w:val="lv-LV" w:eastAsia="lv-LV"/>
              </w:rPr>
            </w:pPr>
            <w:r w:rsidRPr="00A420C4">
              <w:rPr>
                <w:rFonts w:eastAsia="Times New Roman"/>
                <w:sz w:val="26"/>
                <w:szCs w:val="26"/>
                <w:lang w:val="lv-LV" w:eastAsia="lv-LV"/>
              </w:rPr>
              <w:t>Projekta izpildē iesaistītās institūcijas</w:t>
            </w:r>
          </w:p>
        </w:tc>
        <w:tc>
          <w:tcPr>
            <w:tcW w:w="4536" w:type="dxa"/>
            <w:hideMark/>
          </w:tcPr>
          <w:p w:rsidR="00554313" w:rsidRPr="00A420C4" w:rsidRDefault="00554313" w:rsidP="004522F0">
            <w:pPr>
              <w:ind w:firstLine="485"/>
              <w:jc w:val="both"/>
              <w:rPr>
                <w:rFonts w:eastAsia="Times New Roman"/>
                <w:sz w:val="26"/>
                <w:szCs w:val="26"/>
                <w:lang w:val="lv-LV" w:eastAsia="lv-LV"/>
              </w:rPr>
            </w:pPr>
            <w:r w:rsidRPr="00A420C4">
              <w:rPr>
                <w:rFonts w:eastAsia="Times New Roman"/>
                <w:sz w:val="26"/>
                <w:szCs w:val="26"/>
                <w:lang w:val="lv-LV" w:eastAsia="lv-LV"/>
              </w:rPr>
              <w:t>Projekta izpildi nodrošinās valsts aģentūra „Latvijas Investīciju un attīstības aģentūra”.</w:t>
            </w:r>
          </w:p>
        </w:tc>
      </w:tr>
      <w:tr w:rsidR="00554313" w:rsidRPr="00771505" w:rsidTr="007D3113">
        <w:tc>
          <w:tcPr>
            <w:tcW w:w="851" w:type="dxa"/>
          </w:tcPr>
          <w:p w:rsidR="00554313" w:rsidRPr="00A420C4" w:rsidRDefault="00554313" w:rsidP="00762978">
            <w:pPr>
              <w:rPr>
                <w:rFonts w:eastAsia="Times New Roman"/>
                <w:sz w:val="26"/>
                <w:szCs w:val="26"/>
                <w:lang w:val="lv-LV" w:eastAsia="lv-LV"/>
              </w:rPr>
            </w:pPr>
            <w:r w:rsidRPr="00A420C4">
              <w:rPr>
                <w:rFonts w:eastAsia="Times New Roman"/>
                <w:sz w:val="26"/>
                <w:szCs w:val="26"/>
                <w:lang w:val="lv-LV" w:eastAsia="lv-LV"/>
              </w:rPr>
              <w:t>2.</w:t>
            </w:r>
          </w:p>
        </w:tc>
        <w:tc>
          <w:tcPr>
            <w:tcW w:w="3827" w:type="dxa"/>
            <w:hideMark/>
          </w:tcPr>
          <w:p w:rsidR="00554313" w:rsidRPr="00A420C4" w:rsidRDefault="00554313" w:rsidP="00762978">
            <w:pPr>
              <w:rPr>
                <w:rFonts w:eastAsia="Times New Roman"/>
                <w:sz w:val="26"/>
                <w:szCs w:val="26"/>
                <w:lang w:val="lv-LV" w:eastAsia="lv-LV"/>
              </w:rPr>
            </w:pPr>
            <w:r w:rsidRPr="00A420C4">
              <w:rPr>
                <w:rFonts w:eastAsia="Times New Roman"/>
                <w:sz w:val="26"/>
                <w:szCs w:val="26"/>
                <w:lang w:val="lv-LV" w:eastAsia="lv-LV"/>
              </w:rPr>
              <w:t>Projekta izpildes ietekme uz pārvaldes funkcijā</w:t>
            </w:r>
          </w:p>
        </w:tc>
        <w:tc>
          <w:tcPr>
            <w:tcW w:w="4536" w:type="dxa"/>
            <w:hideMark/>
          </w:tcPr>
          <w:p w:rsidR="00554313" w:rsidRPr="00A420C4" w:rsidRDefault="00554313" w:rsidP="004522F0">
            <w:pPr>
              <w:ind w:firstLine="485"/>
              <w:jc w:val="both"/>
              <w:rPr>
                <w:rFonts w:eastAsia="Times New Roman"/>
                <w:sz w:val="26"/>
                <w:szCs w:val="26"/>
                <w:lang w:val="lv-LV" w:eastAsia="lv-LV"/>
              </w:rPr>
            </w:pPr>
            <w:r w:rsidRPr="00A420C4">
              <w:rPr>
                <w:rFonts w:eastAsia="Times New Roman"/>
                <w:sz w:val="26"/>
                <w:szCs w:val="26"/>
                <w:lang w:val="lv-LV" w:eastAsia="lv-LV"/>
              </w:rPr>
              <w:t>Projekta izpilde tiks nodrošināta valsts aģentūras „Latvijas Investīciju un attīstības aģentūra” funkciju ietvaros.</w:t>
            </w:r>
          </w:p>
        </w:tc>
      </w:tr>
      <w:tr w:rsidR="00554313" w:rsidRPr="00771505" w:rsidTr="007D3113">
        <w:trPr>
          <w:trHeight w:val="930"/>
        </w:trPr>
        <w:tc>
          <w:tcPr>
            <w:tcW w:w="851" w:type="dxa"/>
          </w:tcPr>
          <w:p w:rsidR="00554313" w:rsidRPr="00A420C4" w:rsidRDefault="00554313" w:rsidP="00762978">
            <w:pPr>
              <w:rPr>
                <w:rFonts w:eastAsia="Times New Roman"/>
                <w:sz w:val="26"/>
                <w:szCs w:val="26"/>
                <w:lang w:val="lv-LV" w:eastAsia="lv-LV"/>
              </w:rPr>
            </w:pPr>
            <w:r w:rsidRPr="00A420C4">
              <w:rPr>
                <w:rFonts w:eastAsia="Times New Roman"/>
                <w:sz w:val="26"/>
                <w:szCs w:val="26"/>
                <w:lang w:val="lv-LV" w:eastAsia="lv-LV"/>
              </w:rPr>
              <w:t>3.</w:t>
            </w:r>
          </w:p>
        </w:tc>
        <w:tc>
          <w:tcPr>
            <w:tcW w:w="3827" w:type="dxa"/>
            <w:hideMark/>
          </w:tcPr>
          <w:p w:rsidR="00554313" w:rsidRPr="00A420C4" w:rsidRDefault="00554313" w:rsidP="00762978">
            <w:pPr>
              <w:rPr>
                <w:rFonts w:eastAsia="Times New Roman"/>
                <w:sz w:val="26"/>
                <w:szCs w:val="26"/>
                <w:lang w:val="lv-LV" w:eastAsia="lv-LV"/>
              </w:rPr>
            </w:pPr>
            <w:r w:rsidRPr="00A420C4">
              <w:rPr>
                <w:rFonts w:eastAsia="Times New Roman"/>
                <w:sz w:val="26"/>
                <w:szCs w:val="26"/>
                <w:lang w:val="lv-LV" w:eastAsia="lv-LV"/>
              </w:rPr>
              <w:t>Projekta izpildes ietekme uz pārvaldes institucionālo struktūru. Jaunu institūciju izveide</w:t>
            </w:r>
          </w:p>
        </w:tc>
        <w:tc>
          <w:tcPr>
            <w:tcW w:w="4536" w:type="dxa"/>
            <w:hideMark/>
          </w:tcPr>
          <w:p w:rsidR="00554313" w:rsidRPr="00A420C4" w:rsidRDefault="00554313" w:rsidP="004522F0">
            <w:pPr>
              <w:ind w:firstLine="485"/>
              <w:jc w:val="both"/>
              <w:rPr>
                <w:rFonts w:eastAsia="Times New Roman"/>
                <w:sz w:val="26"/>
                <w:szCs w:val="26"/>
                <w:lang w:val="lv-LV" w:eastAsia="lv-LV"/>
              </w:rPr>
            </w:pPr>
            <w:r w:rsidRPr="00A420C4">
              <w:rPr>
                <w:rFonts w:eastAsia="Times New Roman"/>
                <w:sz w:val="26"/>
                <w:szCs w:val="26"/>
                <w:lang w:val="lv-LV" w:eastAsia="lv-LV"/>
              </w:rPr>
              <w:t>Netiks radītas jaunas institūcijas, funkcijas tiks izpildītas valsts aģentūras „Latvijas Investīciju un attīstības aģentūra” funkciju ietvaros.</w:t>
            </w:r>
          </w:p>
        </w:tc>
      </w:tr>
      <w:tr w:rsidR="00554313" w:rsidRPr="00A420C4" w:rsidTr="007D3113">
        <w:trPr>
          <w:trHeight w:val="927"/>
        </w:trPr>
        <w:tc>
          <w:tcPr>
            <w:tcW w:w="851" w:type="dxa"/>
          </w:tcPr>
          <w:p w:rsidR="00554313" w:rsidRPr="00A420C4" w:rsidRDefault="00554313" w:rsidP="00762978">
            <w:pPr>
              <w:rPr>
                <w:rFonts w:eastAsia="Times New Roman"/>
                <w:sz w:val="26"/>
                <w:szCs w:val="26"/>
                <w:lang w:val="lv-LV" w:eastAsia="lv-LV"/>
              </w:rPr>
            </w:pPr>
            <w:r w:rsidRPr="00A420C4">
              <w:rPr>
                <w:rFonts w:eastAsia="Times New Roman"/>
                <w:sz w:val="26"/>
                <w:szCs w:val="26"/>
                <w:lang w:val="lv-LV" w:eastAsia="lv-LV"/>
              </w:rPr>
              <w:lastRenderedPageBreak/>
              <w:t>4.</w:t>
            </w:r>
          </w:p>
        </w:tc>
        <w:tc>
          <w:tcPr>
            <w:tcW w:w="3827" w:type="dxa"/>
            <w:hideMark/>
          </w:tcPr>
          <w:p w:rsidR="00554313" w:rsidRPr="00A420C4" w:rsidRDefault="00554313" w:rsidP="00762978">
            <w:pPr>
              <w:rPr>
                <w:rFonts w:eastAsia="Times New Roman"/>
                <w:sz w:val="26"/>
                <w:szCs w:val="26"/>
                <w:lang w:val="lv-LV" w:eastAsia="lv-LV"/>
              </w:rPr>
            </w:pPr>
            <w:r w:rsidRPr="00A420C4">
              <w:rPr>
                <w:rFonts w:eastAsia="Times New Roman"/>
                <w:sz w:val="26"/>
                <w:szCs w:val="26"/>
                <w:lang w:val="lv-LV" w:eastAsia="lv-LV"/>
              </w:rPr>
              <w:t>Projekta izpildes ietekmes uz pārvaldes institucionālo struktūru. Esošu institūciju likvidācija</w:t>
            </w:r>
          </w:p>
        </w:tc>
        <w:tc>
          <w:tcPr>
            <w:tcW w:w="4536" w:type="dxa"/>
            <w:hideMark/>
          </w:tcPr>
          <w:p w:rsidR="00554313" w:rsidRPr="00A420C4" w:rsidRDefault="00554313" w:rsidP="004522F0">
            <w:pPr>
              <w:ind w:firstLine="284"/>
              <w:jc w:val="both"/>
              <w:rPr>
                <w:rFonts w:eastAsia="Times New Roman"/>
                <w:sz w:val="26"/>
                <w:szCs w:val="26"/>
                <w:lang w:val="lv-LV" w:eastAsia="lv-LV"/>
              </w:rPr>
            </w:pPr>
            <w:r w:rsidRPr="00A420C4">
              <w:rPr>
                <w:rFonts w:eastAsia="Times New Roman"/>
                <w:iCs/>
                <w:sz w:val="26"/>
                <w:szCs w:val="26"/>
                <w:lang w:val="lv-LV" w:eastAsia="lv-LV"/>
              </w:rPr>
              <w:t>Projekts šo jomu neskar. </w:t>
            </w:r>
          </w:p>
        </w:tc>
      </w:tr>
      <w:tr w:rsidR="00554313" w:rsidRPr="00A420C4" w:rsidTr="007D3113">
        <w:trPr>
          <w:trHeight w:val="912"/>
        </w:trPr>
        <w:tc>
          <w:tcPr>
            <w:tcW w:w="851" w:type="dxa"/>
          </w:tcPr>
          <w:p w:rsidR="00554313" w:rsidRPr="00A420C4" w:rsidRDefault="00554313" w:rsidP="00762978">
            <w:pPr>
              <w:rPr>
                <w:rFonts w:eastAsia="Times New Roman"/>
                <w:sz w:val="26"/>
                <w:szCs w:val="26"/>
                <w:lang w:val="lv-LV" w:eastAsia="lv-LV"/>
              </w:rPr>
            </w:pPr>
            <w:r w:rsidRPr="00A420C4">
              <w:rPr>
                <w:rFonts w:eastAsia="Times New Roman"/>
                <w:sz w:val="26"/>
                <w:szCs w:val="26"/>
                <w:lang w:val="lv-LV" w:eastAsia="lv-LV"/>
              </w:rPr>
              <w:t>5.</w:t>
            </w:r>
          </w:p>
        </w:tc>
        <w:tc>
          <w:tcPr>
            <w:tcW w:w="3827" w:type="dxa"/>
            <w:hideMark/>
          </w:tcPr>
          <w:p w:rsidR="00554313" w:rsidRPr="00A420C4" w:rsidRDefault="00554313" w:rsidP="00762978">
            <w:pPr>
              <w:rPr>
                <w:rFonts w:eastAsia="Times New Roman"/>
                <w:sz w:val="26"/>
                <w:szCs w:val="26"/>
                <w:lang w:val="lv-LV" w:eastAsia="lv-LV"/>
              </w:rPr>
            </w:pPr>
            <w:r w:rsidRPr="00A420C4">
              <w:rPr>
                <w:rFonts w:eastAsia="Times New Roman"/>
                <w:sz w:val="26"/>
                <w:szCs w:val="26"/>
                <w:lang w:val="lv-LV" w:eastAsia="lv-LV"/>
              </w:rPr>
              <w:t>Projekta izpildes ietekmes uz pārvaldes institucionālo struktūru. Esošu institūciju reorganizācija</w:t>
            </w:r>
          </w:p>
        </w:tc>
        <w:tc>
          <w:tcPr>
            <w:tcW w:w="4536" w:type="dxa"/>
            <w:hideMark/>
          </w:tcPr>
          <w:p w:rsidR="00554313" w:rsidRPr="00A420C4" w:rsidRDefault="00554313" w:rsidP="004522F0">
            <w:pPr>
              <w:ind w:firstLine="284"/>
              <w:jc w:val="both"/>
              <w:rPr>
                <w:rFonts w:eastAsia="Times New Roman"/>
                <w:sz w:val="26"/>
                <w:szCs w:val="26"/>
                <w:lang w:val="lv-LV" w:eastAsia="lv-LV"/>
              </w:rPr>
            </w:pPr>
            <w:r w:rsidRPr="00A420C4">
              <w:rPr>
                <w:rFonts w:eastAsia="Times New Roman"/>
                <w:iCs/>
                <w:sz w:val="26"/>
                <w:szCs w:val="26"/>
                <w:lang w:val="lv-LV" w:eastAsia="lv-LV"/>
              </w:rPr>
              <w:t>Projekts šo jomu neskar. </w:t>
            </w:r>
          </w:p>
        </w:tc>
      </w:tr>
      <w:tr w:rsidR="007D3113" w:rsidRPr="00A420C4" w:rsidTr="007D3113">
        <w:tc>
          <w:tcPr>
            <w:tcW w:w="851" w:type="dxa"/>
          </w:tcPr>
          <w:p w:rsidR="007D3113" w:rsidRPr="00A420C4" w:rsidRDefault="007D3113" w:rsidP="00762978">
            <w:pPr>
              <w:rPr>
                <w:rFonts w:eastAsia="Times New Roman"/>
                <w:sz w:val="26"/>
                <w:szCs w:val="26"/>
                <w:lang w:val="lv-LV" w:eastAsia="lv-LV"/>
              </w:rPr>
            </w:pPr>
            <w:r w:rsidRPr="00A420C4">
              <w:rPr>
                <w:rFonts w:eastAsia="Times New Roman"/>
                <w:sz w:val="26"/>
                <w:szCs w:val="26"/>
                <w:lang w:val="lv-LV" w:eastAsia="lv-LV"/>
              </w:rPr>
              <w:t>6.</w:t>
            </w:r>
          </w:p>
        </w:tc>
        <w:tc>
          <w:tcPr>
            <w:tcW w:w="3827" w:type="dxa"/>
            <w:hideMark/>
          </w:tcPr>
          <w:p w:rsidR="007D3113" w:rsidRPr="00A420C4" w:rsidRDefault="007D3113" w:rsidP="00762978">
            <w:pPr>
              <w:rPr>
                <w:rFonts w:eastAsia="Times New Roman"/>
                <w:sz w:val="26"/>
                <w:szCs w:val="26"/>
                <w:lang w:val="lv-LV" w:eastAsia="lv-LV"/>
              </w:rPr>
            </w:pPr>
            <w:r w:rsidRPr="00A420C4">
              <w:rPr>
                <w:rFonts w:eastAsia="Times New Roman"/>
                <w:sz w:val="26"/>
                <w:szCs w:val="26"/>
                <w:lang w:val="lv-LV" w:eastAsia="lv-LV"/>
              </w:rPr>
              <w:t>Cita informācija</w:t>
            </w:r>
          </w:p>
        </w:tc>
        <w:tc>
          <w:tcPr>
            <w:tcW w:w="4536" w:type="dxa"/>
            <w:hideMark/>
          </w:tcPr>
          <w:p w:rsidR="007D3113" w:rsidRPr="00A420C4" w:rsidRDefault="007D3113" w:rsidP="00762978">
            <w:pPr>
              <w:ind w:firstLine="284"/>
              <w:rPr>
                <w:rFonts w:eastAsia="Times New Roman"/>
                <w:sz w:val="26"/>
                <w:szCs w:val="26"/>
                <w:lang w:val="lv-LV" w:eastAsia="lv-LV"/>
              </w:rPr>
            </w:pPr>
            <w:r w:rsidRPr="00A420C4">
              <w:rPr>
                <w:rFonts w:eastAsia="Times New Roman"/>
                <w:sz w:val="26"/>
                <w:szCs w:val="26"/>
                <w:lang w:val="lv-LV" w:eastAsia="lv-LV"/>
              </w:rPr>
              <w:t>Nav.</w:t>
            </w:r>
          </w:p>
        </w:tc>
      </w:tr>
    </w:tbl>
    <w:p w:rsidR="00CE5A53" w:rsidRPr="00A420C4" w:rsidRDefault="00CE5A53" w:rsidP="00CE5A53">
      <w:pPr>
        <w:tabs>
          <w:tab w:val="left" w:pos="7655"/>
        </w:tabs>
        <w:jc w:val="both"/>
        <w:rPr>
          <w:bCs/>
          <w:sz w:val="26"/>
          <w:szCs w:val="26"/>
          <w:lang w:val="lv-LV"/>
        </w:rPr>
      </w:pPr>
    </w:p>
    <w:p w:rsidR="00403EAD" w:rsidRPr="00A420C4" w:rsidRDefault="00C82B27" w:rsidP="00CE5A53">
      <w:pPr>
        <w:tabs>
          <w:tab w:val="left" w:pos="7655"/>
        </w:tabs>
        <w:jc w:val="both"/>
        <w:rPr>
          <w:bCs/>
          <w:sz w:val="26"/>
          <w:szCs w:val="26"/>
          <w:lang w:val="lv-LV"/>
        </w:rPr>
      </w:pPr>
      <w:r w:rsidRPr="00E03137">
        <w:rPr>
          <w:bCs/>
          <w:sz w:val="26"/>
          <w:szCs w:val="26"/>
          <w:lang w:val="lv-LV"/>
        </w:rPr>
        <w:t>Ekonomikas ministrs</w:t>
      </w:r>
      <w:r w:rsidRPr="00E03137">
        <w:rPr>
          <w:bCs/>
          <w:sz w:val="26"/>
          <w:szCs w:val="26"/>
          <w:lang w:val="lv-LV"/>
        </w:rPr>
        <w:tab/>
      </w:r>
      <w:proofErr w:type="spellStart"/>
      <w:r w:rsidR="005814D0" w:rsidRPr="00E03137">
        <w:rPr>
          <w:bCs/>
          <w:sz w:val="26"/>
          <w:szCs w:val="26"/>
          <w:lang w:val="lv-LV"/>
        </w:rPr>
        <w:t>D.Pavļuts</w:t>
      </w:r>
      <w:proofErr w:type="spellEnd"/>
    </w:p>
    <w:p w:rsidR="006521EE" w:rsidRPr="00A420C4" w:rsidRDefault="006521EE" w:rsidP="00CE5A53">
      <w:pPr>
        <w:pStyle w:val="EnvelopeReturn"/>
        <w:jc w:val="both"/>
        <w:rPr>
          <w:rFonts w:ascii="Times New Roman" w:hAnsi="Times New Roman"/>
          <w:color w:val="000000"/>
          <w:sz w:val="26"/>
          <w:szCs w:val="26"/>
          <w:lang w:val="lv-LV"/>
        </w:rPr>
      </w:pPr>
    </w:p>
    <w:p w:rsidR="00D5225B" w:rsidRPr="00A420C4" w:rsidRDefault="00D5225B" w:rsidP="00CE5A53">
      <w:pPr>
        <w:pStyle w:val="EnvelopeReturn"/>
        <w:jc w:val="both"/>
        <w:rPr>
          <w:rFonts w:ascii="Times New Roman" w:hAnsi="Times New Roman"/>
          <w:color w:val="000000"/>
          <w:sz w:val="26"/>
          <w:szCs w:val="26"/>
          <w:lang w:val="lv-LV"/>
        </w:rPr>
      </w:pPr>
    </w:p>
    <w:p w:rsidR="00403EAD" w:rsidRPr="00A420C4" w:rsidRDefault="00C82B27" w:rsidP="00554313">
      <w:pPr>
        <w:pStyle w:val="EnvelopeReturn"/>
        <w:jc w:val="both"/>
        <w:rPr>
          <w:rFonts w:ascii="Times New Roman" w:hAnsi="Times New Roman"/>
          <w:color w:val="000000"/>
          <w:sz w:val="26"/>
          <w:szCs w:val="26"/>
          <w:lang w:val="lv-LV"/>
        </w:rPr>
      </w:pPr>
      <w:r w:rsidRPr="00A420C4">
        <w:rPr>
          <w:rFonts w:ascii="Times New Roman" w:hAnsi="Times New Roman"/>
          <w:color w:val="000000"/>
          <w:sz w:val="26"/>
          <w:szCs w:val="26"/>
          <w:lang w:val="lv-LV"/>
        </w:rPr>
        <w:t>Vīza: Valsts sekretār</w:t>
      </w:r>
      <w:r w:rsidR="00554313" w:rsidRPr="00A420C4">
        <w:rPr>
          <w:rFonts w:ascii="Times New Roman" w:hAnsi="Times New Roman"/>
          <w:color w:val="000000"/>
          <w:sz w:val="26"/>
          <w:szCs w:val="26"/>
          <w:lang w:val="lv-LV"/>
        </w:rPr>
        <w:t>s</w:t>
      </w:r>
      <w:r w:rsidR="00554313" w:rsidRPr="00A420C4">
        <w:rPr>
          <w:rFonts w:ascii="Times New Roman" w:hAnsi="Times New Roman"/>
          <w:color w:val="000000"/>
          <w:sz w:val="26"/>
          <w:szCs w:val="26"/>
          <w:lang w:val="lv-LV"/>
        </w:rPr>
        <w:tab/>
      </w:r>
      <w:r w:rsidRPr="00A420C4">
        <w:rPr>
          <w:rFonts w:ascii="Times New Roman" w:hAnsi="Times New Roman"/>
          <w:color w:val="000000"/>
          <w:sz w:val="26"/>
          <w:szCs w:val="26"/>
          <w:lang w:val="lv-LV"/>
        </w:rPr>
        <w:tab/>
      </w:r>
      <w:r w:rsidRPr="00A420C4">
        <w:rPr>
          <w:rFonts w:ascii="Times New Roman" w:hAnsi="Times New Roman"/>
          <w:color w:val="000000"/>
          <w:sz w:val="26"/>
          <w:szCs w:val="26"/>
          <w:lang w:val="lv-LV"/>
        </w:rPr>
        <w:tab/>
      </w:r>
      <w:r w:rsidRPr="00A420C4">
        <w:rPr>
          <w:rFonts w:ascii="Times New Roman" w:hAnsi="Times New Roman"/>
          <w:color w:val="000000"/>
          <w:sz w:val="26"/>
          <w:szCs w:val="26"/>
          <w:lang w:val="lv-LV"/>
        </w:rPr>
        <w:tab/>
      </w:r>
      <w:r w:rsidRPr="00A420C4">
        <w:rPr>
          <w:rFonts w:ascii="Times New Roman" w:hAnsi="Times New Roman"/>
          <w:color w:val="000000"/>
          <w:sz w:val="26"/>
          <w:szCs w:val="26"/>
          <w:lang w:val="lv-LV"/>
        </w:rPr>
        <w:tab/>
      </w:r>
      <w:r w:rsidRPr="00A420C4">
        <w:rPr>
          <w:rFonts w:ascii="Times New Roman" w:hAnsi="Times New Roman"/>
          <w:color w:val="000000"/>
          <w:sz w:val="26"/>
          <w:szCs w:val="26"/>
          <w:lang w:val="lv-LV"/>
        </w:rPr>
        <w:tab/>
        <w:t xml:space="preserve">      </w:t>
      </w:r>
      <w:r w:rsidR="00143392" w:rsidRPr="00A420C4">
        <w:rPr>
          <w:rFonts w:ascii="Times New Roman" w:hAnsi="Times New Roman"/>
          <w:color w:val="000000"/>
          <w:sz w:val="26"/>
          <w:szCs w:val="26"/>
          <w:lang w:val="lv-LV"/>
        </w:rPr>
        <w:tab/>
      </w:r>
      <w:r w:rsidR="0054660D" w:rsidRPr="00A420C4">
        <w:rPr>
          <w:rFonts w:ascii="Times New Roman" w:hAnsi="Times New Roman"/>
          <w:color w:val="000000"/>
          <w:sz w:val="26"/>
          <w:szCs w:val="26"/>
          <w:lang w:val="lv-LV"/>
        </w:rPr>
        <w:tab/>
      </w:r>
      <w:r w:rsidR="00554313" w:rsidRPr="00A420C4">
        <w:rPr>
          <w:rFonts w:ascii="Times New Roman" w:hAnsi="Times New Roman"/>
          <w:color w:val="000000"/>
          <w:sz w:val="26"/>
          <w:szCs w:val="26"/>
          <w:lang w:val="lv-LV"/>
        </w:rPr>
        <w:t>J</w:t>
      </w:r>
      <w:r w:rsidRPr="00A420C4">
        <w:rPr>
          <w:rFonts w:ascii="Times New Roman" w:hAnsi="Times New Roman"/>
          <w:color w:val="000000"/>
          <w:sz w:val="26"/>
          <w:szCs w:val="26"/>
          <w:lang w:val="lv-LV"/>
        </w:rPr>
        <w:t>.</w:t>
      </w:r>
      <w:r w:rsidR="00554313" w:rsidRPr="00A420C4">
        <w:rPr>
          <w:rFonts w:ascii="Times New Roman" w:hAnsi="Times New Roman"/>
          <w:color w:val="000000"/>
          <w:sz w:val="26"/>
          <w:szCs w:val="26"/>
          <w:lang w:val="lv-LV"/>
        </w:rPr>
        <w:t>Pūce</w:t>
      </w:r>
    </w:p>
    <w:p w:rsidR="00403EAD" w:rsidRPr="00A420C4" w:rsidRDefault="00403EAD" w:rsidP="00CE5A53">
      <w:pPr>
        <w:jc w:val="both"/>
        <w:rPr>
          <w:color w:val="000000"/>
          <w:sz w:val="26"/>
          <w:szCs w:val="26"/>
          <w:lang w:val="lv-LV"/>
        </w:rPr>
      </w:pPr>
    </w:p>
    <w:p w:rsidR="00554313" w:rsidRDefault="00554313"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Default="00771505" w:rsidP="00CE5A53">
      <w:pPr>
        <w:jc w:val="both"/>
        <w:rPr>
          <w:color w:val="000000"/>
          <w:sz w:val="26"/>
          <w:szCs w:val="26"/>
          <w:lang w:val="lv-LV"/>
        </w:rPr>
      </w:pPr>
    </w:p>
    <w:p w:rsidR="00771505" w:rsidRPr="00A420C4" w:rsidRDefault="00771505" w:rsidP="00CE5A53">
      <w:pPr>
        <w:jc w:val="both"/>
        <w:rPr>
          <w:color w:val="000000"/>
          <w:sz w:val="26"/>
          <w:szCs w:val="26"/>
          <w:lang w:val="lv-LV"/>
        </w:rPr>
      </w:pPr>
    </w:p>
    <w:p w:rsidR="00554313" w:rsidRPr="00A420C4" w:rsidRDefault="00554313" w:rsidP="00CE5A53">
      <w:pPr>
        <w:jc w:val="both"/>
        <w:rPr>
          <w:color w:val="000000"/>
          <w:lang w:val="lv-LV"/>
        </w:rPr>
      </w:pPr>
    </w:p>
    <w:p w:rsidR="00545175" w:rsidRDefault="00545175" w:rsidP="007D3113">
      <w:pPr>
        <w:jc w:val="both"/>
        <w:rPr>
          <w:color w:val="000000"/>
          <w:lang w:val="lv-LV"/>
        </w:rPr>
      </w:pPr>
      <w:r>
        <w:rPr>
          <w:color w:val="000000"/>
          <w:lang w:val="lv-LV"/>
        </w:rPr>
        <w:fldChar w:fldCharType="begin"/>
      </w:r>
      <w:r>
        <w:rPr>
          <w:color w:val="000000"/>
          <w:lang w:val="lv-LV"/>
        </w:rPr>
        <w:instrText xml:space="preserve"> TIME \@ "dd.MM.yyyy HH:mm" </w:instrText>
      </w:r>
      <w:r>
        <w:rPr>
          <w:color w:val="000000"/>
          <w:lang w:val="lv-LV"/>
        </w:rPr>
        <w:fldChar w:fldCharType="separate"/>
      </w:r>
      <w:r w:rsidR="00771505">
        <w:rPr>
          <w:noProof/>
          <w:color w:val="000000"/>
          <w:lang w:val="lv-LV"/>
        </w:rPr>
        <w:t>02.08.2013 16:04</w:t>
      </w:r>
      <w:r>
        <w:rPr>
          <w:color w:val="000000"/>
          <w:lang w:val="lv-LV"/>
        </w:rPr>
        <w:fldChar w:fldCharType="end"/>
      </w:r>
      <w:bookmarkStart w:id="9" w:name="_GoBack"/>
      <w:bookmarkEnd w:id="9"/>
    </w:p>
    <w:p w:rsidR="007D3113" w:rsidRPr="00A420C4" w:rsidRDefault="00D4472A" w:rsidP="007D3113">
      <w:pPr>
        <w:jc w:val="both"/>
        <w:rPr>
          <w:color w:val="000000"/>
          <w:lang w:val="lv-LV"/>
        </w:rPr>
      </w:pPr>
      <w:r w:rsidRPr="00A420C4">
        <w:fldChar w:fldCharType="begin"/>
      </w:r>
      <w:r w:rsidRPr="00A420C4">
        <w:rPr>
          <w:lang w:val="de-DE"/>
        </w:rPr>
        <w:instrText xml:space="preserve"> NUMWORDS   \* MERGEFORMAT </w:instrText>
      </w:r>
      <w:r w:rsidRPr="00A420C4">
        <w:fldChar w:fldCharType="separate"/>
      </w:r>
      <w:r w:rsidR="00223555" w:rsidRPr="00223555">
        <w:rPr>
          <w:noProof/>
          <w:color w:val="000000"/>
          <w:lang w:val="lv-LV"/>
        </w:rPr>
        <w:t>2180</w:t>
      </w:r>
      <w:r w:rsidRPr="00A420C4">
        <w:rPr>
          <w:noProof/>
          <w:color w:val="000000"/>
          <w:lang w:val="lv-LV"/>
        </w:rPr>
        <w:fldChar w:fldCharType="end"/>
      </w:r>
    </w:p>
    <w:p w:rsidR="007D3113" w:rsidRPr="00A420C4" w:rsidRDefault="00E03137" w:rsidP="007D3113">
      <w:pPr>
        <w:jc w:val="both"/>
        <w:rPr>
          <w:color w:val="000000"/>
          <w:lang w:val="lv-LV"/>
        </w:rPr>
      </w:pPr>
      <w:r>
        <w:rPr>
          <w:color w:val="000000"/>
          <w:lang w:val="lv-LV"/>
        </w:rPr>
        <w:t>Kaspars Purmalietis</w:t>
      </w:r>
    </w:p>
    <w:p w:rsidR="007D3113" w:rsidRPr="00A420C4" w:rsidRDefault="007D3113" w:rsidP="007D3113">
      <w:pPr>
        <w:jc w:val="both"/>
        <w:rPr>
          <w:lang w:val="lv-LV"/>
        </w:rPr>
      </w:pPr>
      <w:r w:rsidRPr="00A420C4">
        <w:rPr>
          <w:color w:val="000000"/>
          <w:lang w:val="lv-LV"/>
        </w:rPr>
        <w:t>67013</w:t>
      </w:r>
      <w:r w:rsidR="00E03137">
        <w:rPr>
          <w:color w:val="000000"/>
          <w:lang w:val="lv-LV"/>
        </w:rPr>
        <w:t>108</w:t>
      </w:r>
      <w:r w:rsidRPr="00A420C4">
        <w:rPr>
          <w:color w:val="000000"/>
          <w:lang w:val="lv-LV"/>
        </w:rPr>
        <w:t xml:space="preserve">, </w:t>
      </w:r>
      <w:r w:rsidR="00E03137">
        <w:rPr>
          <w:lang w:val="lv-LV"/>
        </w:rPr>
        <w:t>Kaspars.Purmalietis</w:t>
      </w:r>
      <w:r w:rsidRPr="00A420C4">
        <w:rPr>
          <w:lang w:val="lv-LV"/>
        </w:rPr>
        <w:t>@em.gov.lv</w:t>
      </w:r>
    </w:p>
    <w:sectPr w:rsidR="007D3113" w:rsidRPr="00A420C4"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55" w:rsidRDefault="00856E55" w:rsidP="00B014C2">
      <w:r>
        <w:separator/>
      </w:r>
    </w:p>
  </w:endnote>
  <w:endnote w:type="continuationSeparator" w:id="0">
    <w:p w:rsidR="00856E55" w:rsidRDefault="00856E55"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F3" w:rsidRPr="002B0ECA" w:rsidRDefault="00C22136" w:rsidP="002B0ECA">
    <w:pPr>
      <w:jc w:val="both"/>
      <w:rPr>
        <w:rFonts w:eastAsia="Times New Roman"/>
        <w:lang w:val="lv-LV" w:eastAsia="lv-LV"/>
      </w:rPr>
    </w:pPr>
    <w:fldSimple w:instr=" FILENAME   \* MERGEFORMAT ">
      <w:r w:rsidR="00223555">
        <w:rPr>
          <w:noProof/>
        </w:rPr>
        <w:t>EMAnot_020813_groz328</w:t>
      </w:r>
    </w:fldSimple>
    <w:r w:rsidR="002B0ECA" w:rsidRPr="007D3113">
      <w:t xml:space="preserve">; </w:t>
    </w:r>
    <w:r w:rsidR="002B0ECA" w:rsidRPr="002B0ECA">
      <w:rPr>
        <w:rFonts w:eastAsia="Times New Roman"/>
        <w:lang w:val="lv-LV" w:eastAsia="lv-LV"/>
      </w:rPr>
      <w:t>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w:t>
    </w:r>
    <w:r w:rsidR="002B0ECA">
      <w:rPr>
        <w:rFonts w:eastAsia="Times New Roman"/>
        <w:lang w:val="lv-LV" w:eastAsia="lv-LV"/>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F3" w:rsidRPr="007D3113" w:rsidRDefault="00C22136" w:rsidP="002B0ECA">
    <w:pPr>
      <w:jc w:val="both"/>
      <w:rPr>
        <w:rFonts w:eastAsia="Times New Roman"/>
        <w:lang w:val="lv-LV" w:eastAsia="lv-LV"/>
      </w:rPr>
    </w:pPr>
    <w:fldSimple w:instr=" FILENAME   \* MERGEFORMAT ">
      <w:r w:rsidR="00223555">
        <w:rPr>
          <w:noProof/>
        </w:rPr>
        <w:t>EMAnot_020813_groz328</w:t>
      </w:r>
    </w:fldSimple>
    <w:r w:rsidR="005B6EF3" w:rsidRPr="007D3113">
      <w:t xml:space="preserve">; </w:t>
    </w:r>
    <w:r w:rsidR="002B0ECA" w:rsidRPr="002B0ECA">
      <w:rPr>
        <w:rFonts w:eastAsia="Times New Roman"/>
        <w:lang w:val="lv-LV" w:eastAsia="lv-LV"/>
      </w:rPr>
      <w:t>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w:t>
    </w:r>
    <w:r w:rsidR="002B0ECA">
      <w:rPr>
        <w:rFonts w:eastAsia="Times New Roman"/>
        <w:lang w:val="lv-LV" w:eastAsia="lv-LV"/>
      </w:rPr>
      <w:t>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55" w:rsidRDefault="00856E55" w:rsidP="00B014C2">
      <w:r>
        <w:separator/>
      </w:r>
    </w:p>
  </w:footnote>
  <w:footnote w:type="continuationSeparator" w:id="0">
    <w:p w:rsidR="00856E55" w:rsidRDefault="00856E55"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F3" w:rsidRPr="00B014C2" w:rsidRDefault="005B6EF3">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71505">
      <w:rPr>
        <w:noProof/>
        <w:sz w:val="24"/>
        <w:szCs w:val="24"/>
      </w:rPr>
      <w:t>10</w:t>
    </w:r>
    <w:r w:rsidRPr="00B014C2">
      <w:rPr>
        <w:sz w:val="24"/>
        <w:szCs w:val="24"/>
      </w:rPr>
      <w:fldChar w:fldCharType="end"/>
    </w:r>
  </w:p>
  <w:p w:rsidR="005B6EF3" w:rsidRDefault="005B6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84"/>
        </w:tabs>
        <w:ind w:left="284" w:firstLine="425"/>
      </w:pPr>
      <w:rPr>
        <w:rFonts w:hint="default"/>
        <w:color w:val="000000"/>
        <w:position w:val="0"/>
        <w:sz w:val="20"/>
      </w:rPr>
    </w:lvl>
    <w:lvl w:ilvl="1">
      <w:start w:val="1"/>
      <w:numFmt w:val="lowerLetter"/>
      <w:lvlText w:val="%2."/>
      <w:lvlJc w:val="left"/>
      <w:pPr>
        <w:tabs>
          <w:tab w:val="num" w:pos="360"/>
        </w:tabs>
        <w:ind w:left="360" w:firstLine="1789"/>
      </w:pPr>
      <w:rPr>
        <w:rFonts w:hint="default"/>
        <w:color w:val="000000"/>
        <w:position w:val="0"/>
        <w:sz w:val="20"/>
      </w:rPr>
    </w:lvl>
    <w:lvl w:ilvl="2">
      <w:start w:val="1"/>
      <w:numFmt w:val="lowerRoman"/>
      <w:lvlText w:val="%3."/>
      <w:lvlJc w:val="left"/>
      <w:pPr>
        <w:tabs>
          <w:tab w:val="num" w:pos="340"/>
        </w:tabs>
        <w:ind w:left="340" w:firstLine="2529"/>
      </w:pPr>
      <w:rPr>
        <w:rFonts w:hint="default"/>
        <w:color w:val="000000"/>
        <w:position w:val="0"/>
        <w:sz w:val="20"/>
      </w:rPr>
    </w:lvl>
    <w:lvl w:ilvl="3">
      <w:start w:val="1"/>
      <w:numFmt w:val="decimal"/>
      <w:isLgl/>
      <w:lvlText w:val="%4."/>
      <w:lvlJc w:val="left"/>
      <w:pPr>
        <w:tabs>
          <w:tab w:val="num" w:pos="360"/>
        </w:tabs>
        <w:ind w:left="360" w:firstLine="3229"/>
      </w:pPr>
      <w:rPr>
        <w:rFonts w:hint="default"/>
        <w:color w:val="000000"/>
        <w:position w:val="0"/>
        <w:sz w:val="20"/>
      </w:rPr>
    </w:lvl>
    <w:lvl w:ilvl="4">
      <w:start w:val="1"/>
      <w:numFmt w:val="lowerLetter"/>
      <w:lvlText w:val="%5."/>
      <w:lvlJc w:val="left"/>
      <w:pPr>
        <w:tabs>
          <w:tab w:val="num" w:pos="360"/>
        </w:tabs>
        <w:ind w:left="360" w:firstLine="3949"/>
      </w:pPr>
      <w:rPr>
        <w:rFonts w:hint="default"/>
        <w:color w:val="000000"/>
        <w:position w:val="0"/>
        <w:sz w:val="20"/>
      </w:rPr>
    </w:lvl>
    <w:lvl w:ilvl="5">
      <w:start w:val="1"/>
      <w:numFmt w:val="lowerRoman"/>
      <w:lvlText w:val="%6."/>
      <w:lvlJc w:val="left"/>
      <w:pPr>
        <w:tabs>
          <w:tab w:val="num" w:pos="340"/>
        </w:tabs>
        <w:ind w:left="340" w:firstLine="4689"/>
      </w:pPr>
      <w:rPr>
        <w:rFonts w:hint="default"/>
        <w:color w:val="000000"/>
        <w:position w:val="0"/>
        <w:sz w:val="20"/>
      </w:rPr>
    </w:lvl>
    <w:lvl w:ilvl="6">
      <w:start w:val="1"/>
      <w:numFmt w:val="decimal"/>
      <w:isLgl/>
      <w:lvlText w:val="%7."/>
      <w:lvlJc w:val="left"/>
      <w:pPr>
        <w:tabs>
          <w:tab w:val="num" w:pos="360"/>
        </w:tabs>
        <w:ind w:left="360" w:firstLine="5389"/>
      </w:pPr>
      <w:rPr>
        <w:rFonts w:hint="default"/>
        <w:color w:val="000000"/>
        <w:position w:val="0"/>
        <w:sz w:val="20"/>
      </w:rPr>
    </w:lvl>
    <w:lvl w:ilvl="7">
      <w:start w:val="1"/>
      <w:numFmt w:val="lowerLetter"/>
      <w:lvlText w:val="%8."/>
      <w:lvlJc w:val="left"/>
      <w:pPr>
        <w:tabs>
          <w:tab w:val="num" w:pos="360"/>
        </w:tabs>
        <w:ind w:left="360" w:firstLine="6109"/>
      </w:pPr>
      <w:rPr>
        <w:rFonts w:hint="default"/>
        <w:color w:val="000000"/>
        <w:position w:val="0"/>
        <w:sz w:val="20"/>
      </w:rPr>
    </w:lvl>
    <w:lvl w:ilvl="8">
      <w:start w:val="1"/>
      <w:numFmt w:val="lowerRoman"/>
      <w:lvlText w:val="%9."/>
      <w:lvlJc w:val="left"/>
      <w:pPr>
        <w:tabs>
          <w:tab w:val="num" w:pos="340"/>
        </w:tabs>
        <w:ind w:left="340" w:firstLine="6849"/>
      </w:pPr>
      <w:rPr>
        <w:rFonts w:hint="default"/>
        <w:color w:val="000000"/>
        <w:position w:val="0"/>
        <w:sz w:val="20"/>
      </w:rPr>
    </w:lvl>
  </w:abstractNum>
  <w:abstractNum w:abstractNumId="1">
    <w:nsid w:val="24E10539"/>
    <w:multiLevelType w:val="hybridMultilevel"/>
    <w:tmpl w:val="F8CA0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E24C57"/>
    <w:multiLevelType w:val="hybridMultilevel"/>
    <w:tmpl w:val="D73CAAD6"/>
    <w:lvl w:ilvl="0" w:tplc="BFE8D5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FB1D10"/>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6BC77786"/>
    <w:multiLevelType w:val="hybridMultilevel"/>
    <w:tmpl w:val="B1CA1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C3F4FBC"/>
    <w:multiLevelType w:val="hybridMultilevel"/>
    <w:tmpl w:val="6F3E3712"/>
    <w:lvl w:ilvl="0" w:tplc="E2A8F7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13"/>
  </w:num>
  <w:num w:numId="6">
    <w:abstractNumId w:val="6"/>
  </w:num>
  <w:num w:numId="7">
    <w:abstractNumId w:val="4"/>
  </w:num>
  <w:num w:numId="8">
    <w:abstractNumId w:val="8"/>
  </w:num>
  <w:num w:numId="9">
    <w:abstractNumId w:val="12"/>
  </w:num>
  <w:num w:numId="10">
    <w:abstractNumId w:val="5"/>
  </w:num>
  <w:num w:numId="11">
    <w:abstractNumId w:val="1"/>
  </w:num>
  <w:num w:numId="12">
    <w:abstractNumId w:val="2"/>
  </w:num>
  <w:num w:numId="13">
    <w:abstractNumId w:val="14"/>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E51"/>
    <w:rsid w:val="00005DBB"/>
    <w:rsid w:val="00010E63"/>
    <w:rsid w:val="0001186C"/>
    <w:rsid w:val="000125FF"/>
    <w:rsid w:val="000158C8"/>
    <w:rsid w:val="0001764D"/>
    <w:rsid w:val="000229E4"/>
    <w:rsid w:val="0002315B"/>
    <w:rsid w:val="00025B0A"/>
    <w:rsid w:val="0002603A"/>
    <w:rsid w:val="00026C03"/>
    <w:rsid w:val="0002762A"/>
    <w:rsid w:val="000301FE"/>
    <w:rsid w:val="0003046E"/>
    <w:rsid w:val="0003480A"/>
    <w:rsid w:val="00036E03"/>
    <w:rsid w:val="0004078B"/>
    <w:rsid w:val="000415DE"/>
    <w:rsid w:val="0004167C"/>
    <w:rsid w:val="00047EF5"/>
    <w:rsid w:val="00050EA4"/>
    <w:rsid w:val="00052996"/>
    <w:rsid w:val="00052D3E"/>
    <w:rsid w:val="00052E89"/>
    <w:rsid w:val="00063CC7"/>
    <w:rsid w:val="000643D5"/>
    <w:rsid w:val="00065AD2"/>
    <w:rsid w:val="00067A64"/>
    <w:rsid w:val="0007058B"/>
    <w:rsid w:val="000729ED"/>
    <w:rsid w:val="00074BDD"/>
    <w:rsid w:val="00077E10"/>
    <w:rsid w:val="00080022"/>
    <w:rsid w:val="00080026"/>
    <w:rsid w:val="00083227"/>
    <w:rsid w:val="00084A09"/>
    <w:rsid w:val="00085E74"/>
    <w:rsid w:val="000921C6"/>
    <w:rsid w:val="00093614"/>
    <w:rsid w:val="0009399C"/>
    <w:rsid w:val="00095A13"/>
    <w:rsid w:val="0009661E"/>
    <w:rsid w:val="00097583"/>
    <w:rsid w:val="000A084D"/>
    <w:rsid w:val="000A10F8"/>
    <w:rsid w:val="000A2879"/>
    <w:rsid w:val="000A3AD0"/>
    <w:rsid w:val="000A434E"/>
    <w:rsid w:val="000A4AED"/>
    <w:rsid w:val="000A53E9"/>
    <w:rsid w:val="000A5F92"/>
    <w:rsid w:val="000A696F"/>
    <w:rsid w:val="000A7437"/>
    <w:rsid w:val="000B0719"/>
    <w:rsid w:val="000B4A38"/>
    <w:rsid w:val="000C0C3A"/>
    <w:rsid w:val="000C2D66"/>
    <w:rsid w:val="000C717A"/>
    <w:rsid w:val="000D0388"/>
    <w:rsid w:val="000D1257"/>
    <w:rsid w:val="000D140B"/>
    <w:rsid w:val="000D2F05"/>
    <w:rsid w:val="000D30E0"/>
    <w:rsid w:val="000D4B8D"/>
    <w:rsid w:val="000D72B7"/>
    <w:rsid w:val="000E0262"/>
    <w:rsid w:val="000E409F"/>
    <w:rsid w:val="000E4277"/>
    <w:rsid w:val="000E5595"/>
    <w:rsid w:val="000F3F4C"/>
    <w:rsid w:val="000F4577"/>
    <w:rsid w:val="000F6DB2"/>
    <w:rsid w:val="000F6E9E"/>
    <w:rsid w:val="001002E4"/>
    <w:rsid w:val="00100BBC"/>
    <w:rsid w:val="00101FE0"/>
    <w:rsid w:val="0010230C"/>
    <w:rsid w:val="0010410B"/>
    <w:rsid w:val="001047E8"/>
    <w:rsid w:val="001102A6"/>
    <w:rsid w:val="001106FA"/>
    <w:rsid w:val="00110E66"/>
    <w:rsid w:val="00113586"/>
    <w:rsid w:val="00115E25"/>
    <w:rsid w:val="0011745E"/>
    <w:rsid w:val="001237C7"/>
    <w:rsid w:val="0012452E"/>
    <w:rsid w:val="00130C6B"/>
    <w:rsid w:val="00131092"/>
    <w:rsid w:val="00131C62"/>
    <w:rsid w:val="0013447D"/>
    <w:rsid w:val="001350FB"/>
    <w:rsid w:val="00136766"/>
    <w:rsid w:val="00141EF2"/>
    <w:rsid w:val="00142CBB"/>
    <w:rsid w:val="00143392"/>
    <w:rsid w:val="001507B4"/>
    <w:rsid w:val="00151A37"/>
    <w:rsid w:val="00156BF0"/>
    <w:rsid w:val="00157107"/>
    <w:rsid w:val="00166B88"/>
    <w:rsid w:val="0016720F"/>
    <w:rsid w:val="00167AFE"/>
    <w:rsid w:val="001705C0"/>
    <w:rsid w:val="001720E2"/>
    <w:rsid w:val="0017312C"/>
    <w:rsid w:val="0017573B"/>
    <w:rsid w:val="001763ED"/>
    <w:rsid w:val="001764E7"/>
    <w:rsid w:val="00176C31"/>
    <w:rsid w:val="00177DD5"/>
    <w:rsid w:val="001831F7"/>
    <w:rsid w:val="001861FD"/>
    <w:rsid w:val="001871BB"/>
    <w:rsid w:val="00191102"/>
    <w:rsid w:val="0019399B"/>
    <w:rsid w:val="00193BE3"/>
    <w:rsid w:val="0019488A"/>
    <w:rsid w:val="00194CFD"/>
    <w:rsid w:val="00195030"/>
    <w:rsid w:val="0019558A"/>
    <w:rsid w:val="00197296"/>
    <w:rsid w:val="001973A7"/>
    <w:rsid w:val="001A0D4B"/>
    <w:rsid w:val="001A48E1"/>
    <w:rsid w:val="001A4DDD"/>
    <w:rsid w:val="001A6894"/>
    <w:rsid w:val="001B3236"/>
    <w:rsid w:val="001B3656"/>
    <w:rsid w:val="001B5F59"/>
    <w:rsid w:val="001B6286"/>
    <w:rsid w:val="001B6A67"/>
    <w:rsid w:val="001B6D15"/>
    <w:rsid w:val="001B7E5F"/>
    <w:rsid w:val="001C1BFF"/>
    <w:rsid w:val="001C3410"/>
    <w:rsid w:val="001C6C0E"/>
    <w:rsid w:val="001D04C0"/>
    <w:rsid w:val="001D1BF7"/>
    <w:rsid w:val="001D37CE"/>
    <w:rsid w:val="001D5E9C"/>
    <w:rsid w:val="001D62EC"/>
    <w:rsid w:val="001D6919"/>
    <w:rsid w:val="001D76FC"/>
    <w:rsid w:val="001E0F0B"/>
    <w:rsid w:val="001E4A96"/>
    <w:rsid w:val="001E5031"/>
    <w:rsid w:val="001F02C1"/>
    <w:rsid w:val="001F301A"/>
    <w:rsid w:val="001F36BC"/>
    <w:rsid w:val="001F4FE9"/>
    <w:rsid w:val="001F53EB"/>
    <w:rsid w:val="001F6B1B"/>
    <w:rsid w:val="001F7479"/>
    <w:rsid w:val="001F7527"/>
    <w:rsid w:val="0020037C"/>
    <w:rsid w:val="00205FEE"/>
    <w:rsid w:val="002120AC"/>
    <w:rsid w:val="0021241F"/>
    <w:rsid w:val="0021333C"/>
    <w:rsid w:val="00213D6A"/>
    <w:rsid w:val="00217BC1"/>
    <w:rsid w:val="00217ED9"/>
    <w:rsid w:val="00222C39"/>
    <w:rsid w:val="00223555"/>
    <w:rsid w:val="00223C20"/>
    <w:rsid w:val="002240A0"/>
    <w:rsid w:val="0022770E"/>
    <w:rsid w:val="0023085A"/>
    <w:rsid w:val="00230FB6"/>
    <w:rsid w:val="00231642"/>
    <w:rsid w:val="00231BC0"/>
    <w:rsid w:val="002323CF"/>
    <w:rsid w:val="002326CC"/>
    <w:rsid w:val="00233657"/>
    <w:rsid w:val="00234F1B"/>
    <w:rsid w:val="00237DD2"/>
    <w:rsid w:val="00240CAE"/>
    <w:rsid w:val="00243030"/>
    <w:rsid w:val="00243A9D"/>
    <w:rsid w:val="00246E4B"/>
    <w:rsid w:val="0024736B"/>
    <w:rsid w:val="00247529"/>
    <w:rsid w:val="002507A0"/>
    <w:rsid w:val="002528CF"/>
    <w:rsid w:val="002538B5"/>
    <w:rsid w:val="00256DF2"/>
    <w:rsid w:val="00257A14"/>
    <w:rsid w:val="00257EAE"/>
    <w:rsid w:val="00263862"/>
    <w:rsid w:val="00264E33"/>
    <w:rsid w:val="00265959"/>
    <w:rsid w:val="0026604A"/>
    <w:rsid w:val="00266744"/>
    <w:rsid w:val="00271DF1"/>
    <w:rsid w:val="002720E3"/>
    <w:rsid w:val="00273F38"/>
    <w:rsid w:val="002748FF"/>
    <w:rsid w:val="0027797E"/>
    <w:rsid w:val="0028114E"/>
    <w:rsid w:val="00281EF8"/>
    <w:rsid w:val="002845ED"/>
    <w:rsid w:val="00284615"/>
    <w:rsid w:val="00284B05"/>
    <w:rsid w:val="00285B79"/>
    <w:rsid w:val="0028698C"/>
    <w:rsid w:val="00293834"/>
    <w:rsid w:val="00293A76"/>
    <w:rsid w:val="00296D3D"/>
    <w:rsid w:val="002A0CEE"/>
    <w:rsid w:val="002A126D"/>
    <w:rsid w:val="002A3206"/>
    <w:rsid w:val="002A32DE"/>
    <w:rsid w:val="002A33D0"/>
    <w:rsid w:val="002A646A"/>
    <w:rsid w:val="002B0ECA"/>
    <w:rsid w:val="002B29F6"/>
    <w:rsid w:val="002B30CE"/>
    <w:rsid w:val="002B3871"/>
    <w:rsid w:val="002B4191"/>
    <w:rsid w:val="002B4D01"/>
    <w:rsid w:val="002C0E0E"/>
    <w:rsid w:val="002C2026"/>
    <w:rsid w:val="002C20C8"/>
    <w:rsid w:val="002C4691"/>
    <w:rsid w:val="002C7CFA"/>
    <w:rsid w:val="002D549E"/>
    <w:rsid w:val="002D6463"/>
    <w:rsid w:val="002D7773"/>
    <w:rsid w:val="002D7DF1"/>
    <w:rsid w:val="002E0D23"/>
    <w:rsid w:val="002E2838"/>
    <w:rsid w:val="002E507C"/>
    <w:rsid w:val="002E5461"/>
    <w:rsid w:val="002E5F43"/>
    <w:rsid w:val="002E6122"/>
    <w:rsid w:val="002E6945"/>
    <w:rsid w:val="002E7530"/>
    <w:rsid w:val="002F063C"/>
    <w:rsid w:val="002F3311"/>
    <w:rsid w:val="002F423D"/>
    <w:rsid w:val="002F426B"/>
    <w:rsid w:val="002F4553"/>
    <w:rsid w:val="002F53BF"/>
    <w:rsid w:val="002F54CE"/>
    <w:rsid w:val="002F5BBF"/>
    <w:rsid w:val="002F5C95"/>
    <w:rsid w:val="002F6D2C"/>
    <w:rsid w:val="003000F0"/>
    <w:rsid w:val="00300539"/>
    <w:rsid w:val="00303B7C"/>
    <w:rsid w:val="00305C42"/>
    <w:rsid w:val="003108D5"/>
    <w:rsid w:val="003110AF"/>
    <w:rsid w:val="00314719"/>
    <w:rsid w:val="003170BD"/>
    <w:rsid w:val="003205FD"/>
    <w:rsid w:val="00320B71"/>
    <w:rsid w:val="003229C9"/>
    <w:rsid w:val="00322A15"/>
    <w:rsid w:val="0032394F"/>
    <w:rsid w:val="003319EF"/>
    <w:rsid w:val="0033352C"/>
    <w:rsid w:val="00335837"/>
    <w:rsid w:val="003372CD"/>
    <w:rsid w:val="0034284E"/>
    <w:rsid w:val="00342D20"/>
    <w:rsid w:val="0034329B"/>
    <w:rsid w:val="00343918"/>
    <w:rsid w:val="003451DA"/>
    <w:rsid w:val="00350050"/>
    <w:rsid w:val="003523DA"/>
    <w:rsid w:val="003525FA"/>
    <w:rsid w:val="003529B2"/>
    <w:rsid w:val="00352F5C"/>
    <w:rsid w:val="0035511D"/>
    <w:rsid w:val="0035647E"/>
    <w:rsid w:val="00360437"/>
    <w:rsid w:val="00361DA6"/>
    <w:rsid w:val="00362A6F"/>
    <w:rsid w:val="003633B3"/>
    <w:rsid w:val="00363B7B"/>
    <w:rsid w:val="00366CFC"/>
    <w:rsid w:val="0037006F"/>
    <w:rsid w:val="003708DF"/>
    <w:rsid w:val="00374AA5"/>
    <w:rsid w:val="00374BCF"/>
    <w:rsid w:val="003756B1"/>
    <w:rsid w:val="00375A4C"/>
    <w:rsid w:val="003801FB"/>
    <w:rsid w:val="0038115B"/>
    <w:rsid w:val="00382BEB"/>
    <w:rsid w:val="00383500"/>
    <w:rsid w:val="00384799"/>
    <w:rsid w:val="00385381"/>
    <w:rsid w:val="0038691A"/>
    <w:rsid w:val="00387598"/>
    <w:rsid w:val="00387B0C"/>
    <w:rsid w:val="00387FF6"/>
    <w:rsid w:val="00392E75"/>
    <w:rsid w:val="0039416F"/>
    <w:rsid w:val="00395947"/>
    <w:rsid w:val="00396D76"/>
    <w:rsid w:val="003970C6"/>
    <w:rsid w:val="00397428"/>
    <w:rsid w:val="003A1360"/>
    <w:rsid w:val="003A22A8"/>
    <w:rsid w:val="003A2B62"/>
    <w:rsid w:val="003A5963"/>
    <w:rsid w:val="003A6B5D"/>
    <w:rsid w:val="003A6DC7"/>
    <w:rsid w:val="003B3914"/>
    <w:rsid w:val="003B5EAA"/>
    <w:rsid w:val="003B7956"/>
    <w:rsid w:val="003C15B6"/>
    <w:rsid w:val="003C3FA4"/>
    <w:rsid w:val="003C3FF4"/>
    <w:rsid w:val="003C4F1E"/>
    <w:rsid w:val="003C5956"/>
    <w:rsid w:val="003C5A0B"/>
    <w:rsid w:val="003C5D28"/>
    <w:rsid w:val="003C7954"/>
    <w:rsid w:val="003D0E42"/>
    <w:rsid w:val="003D3F61"/>
    <w:rsid w:val="003E0167"/>
    <w:rsid w:val="003E0D17"/>
    <w:rsid w:val="003E1A89"/>
    <w:rsid w:val="003E28D2"/>
    <w:rsid w:val="003E2968"/>
    <w:rsid w:val="003E31BC"/>
    <w:rsid w:val="003E3604"/>
    <w:rsid w:val="003E6CB3"/>
    <w:rsid w:val="003F095C"/>
    <w:rsid w:val="003F1D99"/>
    <w:rsid w:val="003F464F"/>
    <w:rsid w:val="003F4E09"/>
    <w:rsid w:val="004001AA"/>
    <w:rsid w:val="00402B2B"/>
    <w:rsid w:val="00403279"/>
    <w:rsid w:val="00403EAD"/>
    <w:rsid w:val="00404D4B"/>
    <w:rsid w:val="00404E4B"/>
    <w:rsid w:val="004124AF"/>
    <w:rsid w:val="004133BC"/>
    <w:rsid w:val="004146B3"/>
    <w:rsid w:val="004147A8"/>
    <w:rsid w:val="00415DA7"/>
    <w:rsid w:val="00420FC8"/>
    <w:rsid w:val="00423616"/>
    <w:rsid w:val="0042395B"/>
    <w:rsid w:val="0042472B"/>
    <w:rsid w:val="0042477D"/>
    <w:rsid w:val="00425D7C"/>
    <w:rsid w:val="004260C8"/>
    <w:rsid w:val="00427802"/>
    <w:rsid w:val="0043243D"/>
    <w:rsid w:val="004342AD"/>
    <w:rsid w:val="004342BE"/>
    <w:rsid w:val="004348B0"/>
    <w:rsid w:val="004368B2"/>
    <w:rsid w:val="00436E6A"/>
    <w:rsid w:val="00440420"/>
    <w:rsid w:val="00441D10"/>
    <w:rsid w:val="004423A1"/>
    <w:rsid w:val="00442C22"/>
    <w:rsid w:val="004459BC"/>
    <w:rsid w:val="004527EA"/>
    <w:rsid w:val="00453F78"/>
    <w:rsid w:val="00454275"/>
    <w:rsid w:val="00455BA8"/>
    <w:rsid w:val="00455C37"/>
    <w:rsid w:val="00455EC9"/>
    <w:rsid w:val="00456ADC"/>
    <w:rsid w:val="00457E3C"/>
    <w:rsid w:val="00460A29"/>
    <w:rsid w:val="0046221D"/>
    <w:rsid w:val="00465585"/>
    <w:rsid w:val="004657AC"/>
    <w:rsid w:val="00466B95"/>
    <w:rsid w:val="00470C9C"/>
    <w:rsid w:val="00471B85"/>
    <w:rsid w:val="0047230F"/>
    <w:rsid w:val="00472755"/>
    <w:rsid w:val="00475B7C"/>
    <w:rsid w:val="0047631D"/>
    <w:rsid w:val="004775F4"/>
    <w:rsid w:val="00480DD4"/>
    <w:rsid w:val="004829AD"/>
    <w:rsid w:val="0048386E"/>
    <w:rsid w:val="0048412C"/>
    <w:rsid w:val="00484C10"/>
    <w:rsid w:val="00485D96"/>
    <w:rsid w:val="00487693"/>
    <w:rsid w:val="004878E3"/>
    <w:rsid w:val="004936C3"/>
    <w:rsid w:val="00493D89"/>
    <w:rsid w:val="00496AEF"/>
    <w:rsid w:val="00497585"/>
    <w:rsid w:val="004A19D5"/>
    <w:rsid w:val="004A1A10"/>
    <w:rsid w:val="004A20FA"/>
    <w:rsid w:val="004A2D43"/>
    <w:rsid w:val="004A7CF9"/>
    <w:rsid w:val="004B083E"/>
    <w:rsid w:val="004B31C4"/>
    <w:rsid w:val="004B3CA5"/>
    <w:rsid w:val="004B4A59"/>
    <w:rsid w:val="004B5DBC"/>
    <w:rsid w:val="004B638C"/>
    <w:rsid w:val="004C54F0"/>
    <w:rsid w:val="004C7B7E"/>
    <w:rsid w:val="004D096F"/>
    <w:rsid w:val="004D0BE5"/>
    <w:rsid w:val="004D1165"/>
    <w:rsid w:val="004D4704"/>
    <w:rsid w:val="004D4997"/>
    <w:rsid w:val="004D6AC5"/>
    <w:rsid w:val="004D6C4B"/>
    <w:rsid w:val="004D6D11"/>
    <w:rsid w:val="004E12D3"/>
    <w:rsid w:val="004E30F5"/>
    <w:rsid w:val="004E5580"/>
    <w:rsid w:val="004E5900"/>
    <w:rsid w:val="004E7663"/>
    <w:rsid w:val="004E7F2B"/>
    <w:rsid w:val="004F028B"/>
    <w:rsid w:val="004F2359"/>
    <w:rsid w:val="004F2F91"/>
    <w:rsid w:val="004F5D06"/>
    <w:rsid w:val="004F6505"/>
    <w:rsid w:val="00502E9A"/>
    <w:rsid w:val="00503E08"/>
    <w:rsid w:val="005064C9"/>
    <w:rsid w:val="00510235"/>
    <w:rsid w:val="0051166F"/>
    <w:rsid w:val="005129D4"/>
    <w:rsid w:val="0051436F"/>
    <w:rsid w:val="00514B8A"/>
    <w:rsid w:val="00514E91"/>
    <w:rsid w:val="0051571C"/>
    <w:rsid w:val="00516838"/>
    <w:rsid w:val="00517C20"/>
    <w:rsid w:val="00520070"/>
    <w:rsid w:val="0052194D"/>
    <w:rsid w:val="00522B62"/>
    <w:rsid w:val="00522E31"/>
    <w:rsid w:val="0052331D"/>
    <w:rsid w:val="00526CAD"/>
    <w:rsid w:val="0052723E"/>
    <w:rsid w:val="005279FC"/>
    <w:rsid w:val="00530077"/>
    <w:rsid w:val="00531E23"/>
    <w:rsid w:val="00533893"/>
    <w:rsid w:val="0053500F"/>
    <w:rsid w:val="0053787E"/>
    <w:rsid w:val="00537A29"/>
    <w:rsid w:val="00537FF6"/>
    <w:rsid w:val="005422C3"/>
    <w:rsid w:val="00542F49"/>
    <w:rsid w:val="00545175"/>
    <w:rsid w:val="00545DA2"/>
    <w:rsid w:val="0054660D"/>
    <w:rsid w:val="005471CA"/>
    <w:rsid w:val="00551B3C"/>
    <w:rsid w:val="00551D29"/>
    <w:rsid w:val="0055201A"/>
    <w:rsid w:val="00552966"/>
    <w:rsid w:val="00554313"/>
    <w:rsid w:val="00554A7A"/>
    <w:rsid w:val="0055556E"/>
    <w:rsid w:val="00556A56"/>
    <w:rsid w:val="005578E7"/>
    <w:rsid w:val="00560311"/>
    <w:rsid w:val="00561CB9"/>
    <w:rsid w:val="00562527"/>
    <w:rsid w:val="0056528D"/>
    <w:rsid w:val="005655BB"/>
    <w:rsid w:val="00575602"/>
    <w:rsid w:val="00575C67"/>
    <w:rsid w:val="00576B09"/>
    <w:rsid w:val="00580317"/>
    <w:rsid w:val="00580DE9"/>
    <w:rsid w:val="005814D0"/>
    <w:rsid w:val="0058249F"/>
    <w:rsid w:val="00584F56"/>
    <w:rsid w:val="00585D8F"/>
    <w:rsid w:val="0058667B"/>
    <w:rsid w:val="0058679B"/>
    <w:rsid w:val="005867C2"/>
    <w:rsid w:val="005867EB"/>
    <w:rsid w:val="005877DA"/>
    <w:rsid w:val="005903C8"/>
    <w:rsid w:val="00590452"/>
    <w:rsid w:val="0059610C"/>
    <w:rsid w:val="005A0ABF"/>
    <w:rsid w:val="005A59AB"/>
    <w:rsid w:val="005B1EC4"/>
    <w:rsid w:val="005B29DE"/>
    <w:rsid w:val="005B374A"/>
    <w:rsid w:val="005B4178"/>
    <w:rsid w:val="005B4D4E"/>
    <w:rsid w:val="005B5168"/>
    <w:rsid w:val="005B6EF3"/>
    <w:rsid w:val="005C03F5"/>
    <w:rsid w:val="005C251D"/>
    <w:rsid w:val="005C3235"/>
    <w:rsid w:val="005C6DDB"/>
    <w:rsid w:val="005D0CB9"/>
    <w:rsid w:val="005D2DDC"/>
    <w:rsid w:val="005D3220"/>
    <w:rsid w:val="005D3658"/>
    <w:rsid w:val="005D39EF"/>
    <w:rsid w:val="005D6B54"/>
    <w:rsid w:val="005E2C40"/>
    <w:rsid w:val="005E668A"/>
    <w:rsid w:val="005F0648"/>
    <w:rsid w:val="005F129D"/>
    <w:rsid w:val="005F5121"/>
    <w:rsid w:val="005F65CE"/>
    <w:rsid w:val="005F71F0"/>
    <w:rsid w:val="00600819"/>
    <w:rsid w:val="00604375"/>
    <w:rsid w:val="006056A8"/>
    <w:rsid w:val="00606694"/>
    <w:rsid w:val="006126A9"/>
    <w:rsid w:val="00612C3B"/>
    <w:rsid w:val="00613019"/>
    <w:rsid w:val="00613323"/>
    <w:rsid w:val="00615667"/>
    <w:rsid w:val="00616CBC"/>
    <w:rsid w:val="00620AD6"/>
    <w:rsid w:val="006218A6"/>
    <w:rsid w:val="006224F7"/>
    <w:rsid w:val="00623730"/>
    <w:rsid w:val="00630367"/>
    <w:rsid w:val="00631039"/>
    <w:rsid w:val="006316BA"/>
    <w:rsid w:val="006349DF"/>
    <w:rsid w:val="00636440"/>
    <w:rsid w:val="00637231"/>
    <w:rsid w:val="006375F0"/>
    <w:rsid w:val="00644CE2"/>
    <w:rsid w:val="006456BB"/>
    <w:rsid w:val="00647FA6"/>
    <w:rsid w:val="0065046F"/>
    <w:rsid w:val="00650716"/>
    <w:rsid w:val="00651669"/>
    <w:rsid w:val="006521EE"/>
    <w:rsid w:val="006539BF"/>
    <w:rsid w:val="00657421"/>
    <w:rsid w:val="00665C71"/>
    <w:rsid w:val="006677FB"/>
    <w:rsid w:val="00672A2F"/>
    <w:rsid w:val="00674BA7"/>
    <w:rsid w:val="00676770"/>
    <w:rsid w:val="00681496"/>
    <w:rsid w:val="00682B4A"/>
    <w:rsid w:val="00685458"/>
    <w:rsid w:val="00685AFD"/>
    <w:rsid w:val="00686E89"/>
    <w:rsid w:val="00687F3B"/>
    <w:rsid w:val="006910BE"/>
    <w:rsid w:val="006927E6"/>
    <w:rsid w:val="00693653"/>
    <w:rsid w:val="00693FAB"/>
    <w:rsid w:val="00696772"/>
    <w:rsid w:val="00696FB4"/>
    <w:rsid w:val="0069780B"/>
    <w:rsid w:val="006A22FE"/>
    <w:rsid w:val="006A33F8"/>
    <w:rsid w:val="006A59EB"/>
    <w:rsid w:val="006A7638"/>
    <w:rsid w:val="006B1596"/>
    <w:rsid w:val="006B584A"/>
    <w:rsid w:val="006C04B0"/>
    <w:rsid w:val="006C136E"/>
    <w:rsid w:val="006C1797"/>
    <w:rsid w:val="006C3B32"/>
    <w:rsid w:val="006C7341"/>
    <w:rsid w:val="006D03EB"/>
    <w:rsid w:val="006D0B9B"/>
    <w:rsid w:val="006D1F62"/>
    <w:rsid w:val="006D3A18"/>
    <w:rsid w:val="006D4C40"/>
    <w:rsid w:val="006D69A4"/>
    <w:rsid w:val="006E2C3C"/>
    <w:rsid w:val="006E3C5D"/>
    <w:rsid w:val="006E41F6"/>
    <w:rsid w:val="006E498A"/>
    <w:rsid w:val="006E53FC"/>
    <w:rsid w:val="006E67D7"/>
    <w:rsid w:val="006F0C19"/>
    <w:rsid w:val="006F24A8"/>
    <w:rsid w:val="006F29B4"/>
    <w:rsid w:val="006F56C1"/>
    <w:rsid w:val="006F7BDA"/>
    <w:rsid w:val="00700070"/>
    <w:rsid w:val="007058E9"/>
    <w:rsid w:val="0071026C"/>
    <w:rsid w:val="00713A16"/>
    <w:rsid w:val="007152A8"/>
    <w:rsid w:val="00717880"/>
    <w:rsid w:val="00717F0C"/>
    <w:rsid w:val="007217E4"/>
    <w:rsid w:val="007224A2"/>
    <w:rsid w:val="0072267A"/>
    <w:rsid w:val="00725107"/>
    <w:rsid w:val="0072668A"/>
    <w:rsid w:val="007269D1"/>
    <w:rsid w:val="007278CF"/>
    <w:rsid w:val="007315C5"/>
    <w:rsid w:val="00732894"/>
    <w:rsid w:val="007335B6"/>
    <w:rsid w:val="007355DD"/>
    <w:rsid w:val="007363F2"/>
    <w:rsid w:val="007366E7"/>
    <w:rsid w:val="00737AB8"/>
    <w:rsid w:val="00741F6A"/>
    <w:rsid w:val="00750AEA"/>
    <w:rsid w:val="00753C33"/>
    <w:rsid w:val="007547B1"/>
    <w:rsid w:val="00754859"/>
    <w:rsid w:val="00760465"/>
    <w:rsid w:val="00762083"/>
    <w:rsid w:val="007622F2"/>
    <w:rsid w:val="00762978"/>
    <w:rsid w:val="0076555E"/>
    <w:rsid w:val="007659DC"/>
    <w:rsid w:val="00766F64"/>
    <w:rsid w:val="00767185"/>
    <w:rsid w:val="00771505"/>
    <w:rsid w:val="007715C1"/>
    <w:rsid w:val="0077435A"/>
    <w:rsid w:val="00780424"/>
    <w:rsid w:val="007808E8"/>
    <w:rsid w:val="00781268"/>
    <w:rsid w:val="0078538E"/>
    <w:rsid w:val="00787BED"/>
    <w:rsid w:val="00787DED"/>
    <w:rsid w:val="00791212"/>
    <w:rsid w:val="00791D10"/>
    <w:rsid w:val="00794B98"/>
    <w:rsid w:val="007958E4"/>
    <w:rsid w:val="007A0D95"/>
    <w:rsid w:val="007A14D0"/>
    <w:rsid w:val="007A1D95"/>
    <w:rsid w:val="007A25F6"/>
    <w:rsid w:val="007A3DB5"/>
    <w:rsid w:val="007A52E8"/>
    <w:rsid w:val="007A7FC5"/>
    <w:rsid w:val="007B1337"/>
    <w:rsid w:val="007B1BE8"/>
    <w:rsid w:val="007B67C1"/>
    <w:rsid w:val="007B6976"/>
    <w:rsid w:val="007C2992"/>
    <w:rsid w:val="007D0273"/>
    <w:rsid w:val="007D3113"/>
    <w:rsid w:val="007D6900"/>
    <w:rsid w:val="007D7613"/>
    <w:rsid w:val="007D7A8A"/>
    <w:rsid w:val="007E0AEC"/>
    <w:rsid w:val="007E268D"/>
    <w:rsid w:val="007E2F7C"/>
    <w:rsid w:val="007E34D8"/>
    <w:rsid w:val="007E3DF8"/>
    <w:rsid w:val="007E5D4D"/>
    <w:rsid w:val="007E66D5"/>
    <w:rsid w:val="007E6AE9"/>
    <w:rsid w:val="007E7623"/>
    <w:rsid w:val="007F0242"/>
    <w:rsid w:val="007F0C15"/>
    <w:rsid w:val="007F1028"/>
    <w:rsid w:val="007F2DC6"/>
    <w:rsid w:val="007F5D71"/>
    <w:rsid w:val="007F73A1"/>
    <w:rsid w:val="00801790"/>
    <w:rsid w:val="00801F32"/>
    <w:rsid w:val="00803011"/>
    <w:rsid w:val="00806BC5"/>
    <w:rsid w:val="00807DD6"/>
    <w:rsid w:val="00810454"/>
    <w:rsid w:val="00812990"/>
    <w:rsid w:val="00813323"/>
    <w:rsid w:val="00816E5A"/>
    <w:rsid w:val="00817839"/>
    <w:rsid w:val="00820F76"/>
    <w:rsid w:val="00821487"/>
    <w:rsid w:val="00823419"/>
    <w:rsid w:val="0082376A"/>
    <w:rsid w:val="00823CBA"/>
    <w:rsid w:val="00826588"/>
    <w:rsid w:val="008265EF"/>
    <w:rsid w:val="00827407"/>
    <w:rsid w:val="008274F2"/>
    <w:rsid w:val="00832642"/>
    <w:rsid w:val="00840ABC"/>
    <w:rsid w:val="00842D5F"/>
    <w:rsid w:val="00843294"/>
    <w:rsid w:val="0084423C"/>
    <w:rsid w:val="00845F2C"/>
    <w:rsid w:val="008508CF"/>
    <w:rsid w:val="008549AE"/>
    <w:rsid w:val="00856E55"/>
    <w:rsid w:val="00860387"/>
    <w:rsid w:val="00860C80"/>
    <w:rsid w:val="00860FDE"/>
    <w:rsid w:val="0086104F"/>
    <w:rsid w:val="00861E48"/>
    <w:rsid w:val="00862779"/>
    <w:rsid w:val="00862D34"/>
    <w:rsid w:val="00863515"/>
    <w:rsid w:val="00871F60"/>
    <w:rsid w:val="008737CE"/>
    <w:rsid w:val="00874C25"/>
    <w:rsid w:val="0087598A"/>
    <w:rsid w:val="008764AE"/>
    <w:rsid w:val="00877265"/>
    <w:rsid w:val="00877FED"/>
    <w:rsid w:val="00883CA1"/>
    <w:rsid w:val="00884239"/>
    <w:rsid w:val="008850DE"/>
    <w:rsid w:val="00886123"/>
    <w:rsid w:val="00890831"/>
    <w:rsid w:val="0089090B"/>
    <w:rsid w:val="00891DAA"/>
    <w:rsid w:val="00891EF4"/>
    <w:rsid w:val="008927D8"/>
    <w:rsid w:val="00893263"/>
    <w:rsid w:val="0089622A"/>
    <w:rsid w:val="00896363"/>
    <w:rsid w:val="008972A4"/>
    <w:rsid w:val="00897C16"/>
    <w:rsid w:val="008A140A"/>
    <w:rsid w:val="008A515D"/>
    <w:rsid w:val="008A6786"/>
    <w:rsid w:val="008A6918"/>
    <w:rsid w:val="008B2B57"/>
    <w:rsid w:val="008B385B"/>
    <w:rsid w:val="008B3FAA"/>
    <w:rsid w:val="008B485C"/>
    <w:rsid w:val="008B6C2F"/>
    <w:rsid w:val="008B7FD6"/>
    <w:rsid w:val="008C0F58"/>
    <w:rsid w:val="008C14B4"/>
    <w:rsid w:val="008C37BE"/>
    <w:rsid w:val="008C46C8"/>
    <w:rsid w:val="008C47D6"/>
    <w:rsid w:val="008C76E4"/>
    <w:rsid w:val="008D0A17"/>
    <w:rsid w:val="008D11BF"/>
    <w:rsid w:val="008D17E5"/>
    <w:rsid w:val="008D36A0"/>
    <w:rsid w:val="008D4A68"/>
    <w:rsid w:val="008D6725"/>
    <w:rsid w:val="008D78FF"/>
    <w:rsid w:val="008E0248"/>
    <w:rsid w:val="008E2ECE"/>
    <w:rsid w:val="008E429C"/>
    <w:rsid w:val="008E45A6"/>
    <w:rsid w:val="008E5140"/>
    <w:rsid w:val="008E69C9"/>
    <w:rsid w:val="008E7D3D"/>
    <w:rsid w:val="008F04B9"/>
    <w:rsid w:val="008F122D"/>
    <w:rsid w:val="008F244A"/>
    <w:rsid w:val="008F48C1"/>
    <w:rsid w:val="008F4C9D"/>
    <w:rsid w:val="008F5394"/>
    <w:rsid w:val="0090048A"/>
    <w:rsid w:val="00900FF8"/>
    <w:rsid w:val="0090395A"/>
    <w:rsid w:val="0090449A"/>
    <w:rsid w:val="00904778"/>
    <w:rsid w:val="0090536A"/>
    <w:rsid w:val="00905541"/>
    <w:rsid w:val="009062D3"/>
    <w:rsid w:val="00906840"/>
    <w:rsid w:val="00906909"/>
    <w:rsid w:val="00910B4D"/>
    <w:rsid w:val="00911B94"/>
    <w:rsid w:val="00914CB3"/>
    <w:rsid w:val="00916054"/>
    <w:rsid w:val="00916509"/>
    <w:rsid w:val="009243DD"/>
    <w:rsid w:val="0092468A"/>
    <w:rsid w:val="00925417"/>
    <w:rsid w:val="00925C96"/>
    <w:rsid w:val="00926E4B"/>
    <w:rsid w:val="00927127"/>
    <w:rsid w:val="009277A4"/>
    <w:rsid w:val="00930DCC"/>
    <w:rsid w:val="00932BAE"/>
    <w:rsid w:val="00932C66"/>
    <w:rsid w:val="00933398"/>
    <w:rsid w:val="009347CA"/>
    <w:rsid w:val="00934C43"/>
    <w:rsid w:val="00937618"/>
    <w:rsid w:val="00937A69"/>
    <w:rsid w:val="00940388"/>
    <w:rsid w:val="009414BE"/>
    <w:rsid w:val="00944628"/>
    <w:rsid w:val="00944903"/>
    <w:rsid w:val="00945AEE"/>
    <w:rsid w:val="0094732D"/>
    <w:rsid w:val="00947AE5"/>
    <w:rsid w:val="00953044"/>
    <w:rsid w:val="00955FB6"/>
    <w:rsid w:val="009562F8"/>
    <w:rsid w:val="009566B7"/>
    <w:rsid w:val="0095696B"/>
    <w:rsid w:val="009578FD"/>
    <w:rsid w:val="00957CB6"/>
    <w:rsid w:val="00962CEA"/>
    <w:rsid w:val="0096453C"/>
    <w:rsid w:val="009658DE"/>
    <w:rsid w:val="009666E8"/>
    <w:rsid w:val="0096699E"/>
    <w:rsid w:val="0097021A"/>
    <w:rsid w:val="009741BB"/>
    <w:rsid w:val="00976DE4"/>
    <w:rsid w:val="00981D69"/>
    <w:rsid w:val="00982E41"/>
    <w:rsid w:val="00985F38"/>
    <w:rsid w:val="00990D1F"/>
    <w:rsid w:val="0099344A"/>
    <w:rsid w:val="00993DF6"/>
    <w:rsid w:val="00995388"/>
    <w:rsid w:val="0099575C"/>
    <w:rsid w:val="00995863"/>
    <w:rsid w:val="009A164D"/>
    <w:rsid w:val="009A35C7"/>
    <w:rsid w:val="009A38AD"/>
    <w:rsid w:val="009A3A02"/>
    <w:rsid w:val="009A4789"/>
    <w:rsid w:val="009B0DB2"/>
    <w:rsid w:val="009B2624"/>
    <w:rsid w:val="009B2F66"/>
    <w:rsid w:val="009B4731"/>
    <w:rsid w:val="009B60FF"/>
    <w:rsid w:val="009B623D"/>
    <w:rsid w:val="009C1935"/>
    <w:rsid w:val="009C2326"/>
    <w:rsid w:val="009C2CF9"/>
    <w:rsid w:val="009C34B1"/>
    <w:rsid w:val="009C412F"/>
    <w:rsid w:val="009C4D17"/>
    <w:rsid w:val="009C63C0"/>
    <w:rsid w:val="009C7064"/>
    <w:rsid w:val="009D10C0"/>
    <w:rsid w:val="009D142C"/>
    <w:rsid w:val="009D6B85"/>
    <w:rsid w:val="009E116E"/>
    <w:rsid w:val="009E182A"/>
    <w:rsid w:val="009E190F"/>
    <w:rsid w:val="009E1AEA"/>
    <w:rsid w:val="009E35B5"/>
    <w:rsid w:val="009E3D6E"/>
    <w:rsid w:val="009E42F2"/>
    <w:rsid w:val="009E604D"/>
    <w:rsid w:val="009E66C4"/>
    <w:rsid w:val="009E79FF"/>
    <w:rsid w:val="009E7DF3"/>
    <w:rsid w:val="009F1F15"/>
    <w:rsid w:val="009F22DF"/>
    <w:rsid w:val="009F37B4"/>
    <w:rsid w:val="009F4017"/>
    <w:rsid w:val="009F56B3"/>
    <w:rsid w:val="009F727D"/>
    <w:rsid w:val="00A04BD5"/>
    <w:rsid w:val="00A05715"/>
    <w:rsid w:val="00A06AF5"/>
    <w:rsid w:val="00A104D4"/>
    <w:rsid w:val="00A126E6"/>
    <w:rsid w:val="00A14437"/>
    <w:rsid w:val="00A15971"/>
    <w:rsid w:val="00A20A03"/>
    <w:rsid w:val="00A24FA8"/>
    <w:rsid w:val="00A259F7"/>
    <w:rsid w:val="00A30576"/>
    <w:rsid w:val="00A30F97"/>
    <w:rsid w:val="00A326B1"/>
    <w:rsid w:val="00A34AC6"/>
    <w:rsid w:val="00A3527F"/>
    <w:rsid w:val="00A367CD"/>
    <w:rsid w:val="00A37760"/>
    <w:rsid w:val="00A37F07"/>
    <w:rsid w:val="00A419B3"/>
    <w:rsid w:val="00A420C4"/>
    <w:rsid w:val="00A425FC"/>
    <w:rsid w:val="00A44590"/>
    <w:rsid w:val="00A465E0"/>
    <w:rsid w:val="00A46619"/>
    <w:rsid w:val="00A47339"/>
    <w:rsid w:val="00A473A7"/>
    <w:rsid w:val="00A47536"/>
    <w:rsid w:val="00A52937"/>
    <w:rsid w:val="00A52BA6"/>
    <w:rsid w:val="00A53A46"/>
    <w:rsid w:val="00A53F3C"/>
    <w:rsid w:val="00A54D4C"/>
    <w:rsid w:val="00A54F7E"/>
    <w:rsid w:val="00A55C87"/>
    <w:rsid w:val="00A55F04"/>
    <w:rsid w:val="00A60E59"/>
    <w:rsid w:val="00A6113D"/>
    <w:rsid w:val="00A6164F"/>
    <w:rsid w:val="00A6168D"/>
    <w:rsid w:val="00A62155"/>
    <w:rsid w:val="00A62C9B"/>
    <w:rsid w:val="00A71A44"/>
    <w:rsid w:val="00A71F2A"/>
    <w:rsid w:val="00A779C1"/>
    <w:rsid w:val="00A806F1"/>
    <w:rsid w:val="00A83B04"/>
    <w:rsid w:val="00A83E56"/>
    <w:rsid w:val="00A84938"/>
    <w:rsid w:val="00A91BA0"/>
    <w:rsid w:val="00A92DAD"/>
    <w:rsid w:val="00A94125"/>
    <w:rsid w:val="00A963C3"/>
    <w:rsid w:val="00AA44FA"/>
    <w:rsid w:val="00AA46D0"/>
    <w:rsid w:val="00AA53C4"/>
    <w:rsid w:val="00AA5C4F"/>
    <w:rsid w:val="00AA5F61"/>
    <w:rsid w:val="00AA76A0"/>
    <w:rsid w:val="00AB067F"/>
    <w:rsid w:val="00AB0D9C"/>
    <w:rsid w:val="00AB248D"/>
    <w:rsid w:val="00AB2498"/>
    <w:rsid w:val="00AB2B93"/>
    <w:rsid w:val="00AB488D"/>
    <w:rsid w:val="00AB5720"/>
    <w:rsid w:val="00AB5B30"/>
    <w:rsid w:val="00AC0231"/>
    <w:rsid w:val="00AC10FE"/>
    <w:rsid w:val="00AC1619"/>
    <w:rsid w:val="00AC4602"/>
    <w:rsid w:val="00AC51C0"/>
    <w:rsid w:val="00AD01D2"/>
    <w:rsid w:val="00AD03A6"/>
    <w:rsid w:val="00AD1A52"/>
    <w:rsid w:val="00AD2F9E"/>
    <w:rsid w:val="00AD452A"/>
    <w:rsid w:val="00AD5849"/>
    <w:rsid w:val="00AE05F1"/>
    <w:rsid w:val="00AE1659"/>
    <w:rsid w:val="00AE26A2"/>
    <w:rsid w:val="00AE51EC"/>
    <w:rsid w:val="00AE52B6"/>
    <w:rsid w:val="00AE6E0C"/>
    <w:rsid w:val="00AF01CF"/>
    <w:rsid w:val="00AF1E99"/>
    <w:rsid w:val="00AF32A9"/>
    <w:rsid w:val="00B00661"/>
    <w:rsid w:val="00B014C2"/>
    <w:rsid w:val="00B01AC6"/>
    <w:rsid w:val="00B01E7B"/>
    <w:rsid w:val="00B033B8"/>
    <w:rsid w:val="00B04DBD"/>
    <w:rsid w:val="00B130BF"/>
    <w:rsid w:val="00B15301"/>
    <w:rsid w:val="00B16BFA"/>
    <w:rsid w:val="00B17C2B"/>
    <w:rsid w:val="00B20369"/>
    <w:rsid w:val="00B219DE"/>
    <w:rsid w:val="00B221CA"/>
    <w:rsid w:val="00B23B0C"/>
    <w:rsid w:val="00B24FA2"/>
    <w:rsid w:val="00B26A25"/>
    <w:rsid w:val="00B30133"/>
    <w:rsid w:val="00B30ED0"/>
    <w:rsid w:val="00B30FF1"/>
    <w:rsid w:val="00B31842"/>
    <w:rsid w:val="00B32A63"/>
    <w:rsid w:val="00B3485B"/>
    <w:rsid w:val="00B37ECA"/>
    <w:rsid w:val="00B41D2B"/>
    <w:rsid w:val="00B4309E"/>
    <w:rsid w:val="00B45132"/>
    <w:rsid w:val="00B45711"/>
    <w:rsid w:val="00B45C8B"/>
    <w:rsid w:val="00B46611"/>
    <w:rsid w:val="00B52943"/>
    <w:rsid w:val="00B56AD2"/>
    <w:rsid w:val="00B6151B"/>
    <w:rsid w:val="00B62197"/>
    <w:rsid w:val="00B626F8"/>
    <w:rsid w:val="00B629EC"/>
    <w:rsid w:val="00B63137"/>
    <w:rsid w:val="00B67838"/>
    <w:rsid w:val="00B71C6B"/>
    <w:rsid w:val="00B74BCA"/>
    <w:rsid w:val="00B7774A"/>
    <w:rsid w:val="00B800E8"/>
    <w:rsid w:val="00B80D36"/>
    <w:rsid w:val="00B813DC"/>
    <w:rsid w:val="00B81761"/>
    <w:rsid w:val="00B81E82"/>
    <w:rsid w:val="00B82499"/>
    <w:rsid w:val="00B85F43"/>
    <w:rsid w:val="00B9092D"/>
    <w:rsid w:val="00B912E7"/>
    <w:rsid w:val="00B91475"/>
    <w:rsid w:val="00B931D1"/>
    <w:rsid w:val="00B954BB"/>
    <w:rsid w:val="00B97180"/>
    <w:rsid w:val="00B97542"/>
    <w:rsid w:val="00BA0A22"/>
    <w:rsid w:val="00BA0ABB"/>
    <w:rsid w:val="00BA7293"/>
    <w:rsid w:val="00BA7603"/>
    <w:rsid w:val="00BB09C5"/>
    <w:rsid w:val="00BB128C"/>
    <w:rsid w:val="00BB1832"/>
    <w:rsid w:val="00BB4180"/>
    <w:rsid w:val="00BB63D9"/>
    <w:rsid w:val="00BB6516"/>
    <w:rsid w:val="00BB6D20"/>
    <w:rsid w:val="00BC0302"/>
    <w:rsid w:val="00BC06E8"/>
    <w:rsid w:val="00BC16B4"/>
    <w:rsid w:val="00BC1DE4"/>
    <w:rsid w:val="00BC262B"/>
    <w:rsid w:val="00BC3919"/>
    <w:rsid w:val="00BC486B"/>
    <w:rsid w:val="00BC4AAD"/>
    <w:rsid w:val="00BC51A3"/>
    <w:rsid w:val="00BC70FB"/>
    <w:rsid w:val="00BD1934"/>
    <w:rsid w:val="00BD22EA"/>
    <w:rsid w:val="00BD3CD7"/>
    <w:rsid w:val="00BD44E2"/>
    <w:rsid w:val="00BE0EC8"/>
    <w:rsid w:val="00BE1338"/>
    <w:rsid w:val="00BE32A5"/>
    <w:rsid w:val="00BE4892"/>
    <w:rsid w:val="00BE515D"/>
    <w:rsid w:val="00BE6036"/>
    <w:rsid w:val="00BE622A"/>
    <w:rsid w:val="00BF13E2"/>
    <w:rsid w:val="00BF7C06"/>
    <w:rsid w:val="00C024E1"/>
    <w:rsid w:val="00C02D2F"/>
    <w:rsid w:val="00C02EEC"/>
    <w:rsid w:val="00C044F2"/>
    <w:rsid w:val="00C04B3F"/>
    <w:rsid w:val="00C0764D"/>
    <w:rsid w:val="00C10CEA"/>
    <w:rsid w:val="00C11C6A"/>
    <w:rsid w:val="00C12C72"/>
    <w:rsid w:val="00C144AD"/>
    <w:rsid w:val="00C15742"/>
    <w:rsid w:val="00C1663D"/>
    <w:rsid w:val="00C16BBF"/>
    <w:rsid w:val="00C20EF9"/>
    <w:rsid w:val="00C21702"/>
    <w:rsid w:val="00C219FF"/>
    <w:rsid w:val="00C220F3"/>
    <w:rsid w:val="00C22136"/>
    <w:rsid w:val="00C234B8"/>
    <w:rsid w:val="00C257B7"/>
    <w:rsid w:val="00C272F7"/>
    <w:rsid w:val="00C307D2"/>
    <w:rsid w:val="00C30B31"/>
    <w:rsid w:val="00C31F73"/>
    <w:rsid w:val="00C32F05"/>
    <w:rsid w:val="00C35132"/>
    <w:rsid w:val="00C35F1A"/>
    <w:rsid w:val="00C37B14"/>
    <w:rsid w:val="00C37BC8"/>
    <w:rsid w:val="00C4088E"/>
    <w:rsid w:val="00C40FDA"/>
    <w:rsid w:val="00C43F6F"/>
    <w:rsid w:val="00C4520E"/>
    <w:rsid w:val="00C45D44"/>
    <w:rsid w:val="00C509E0"/>
    <w:rsid w:val="00C51784"/>
    <w:rsid w:val="00C53901"/>
    <w:rsid w:val="00C5549D"/>
    <w:rsid w:val="00C60771"/>
    <w:rsid w:val="00C64F4A"/>
    <w:rsid w:val="00C66991"/>
    <w:rsid w:val="00C671F9"/>
    <w:rsid w:val="00C67302"/>
    <w:rsid w:val="00C7152A"/>
    <w:rsid w:val="00C73791"/>
    <w:rsid w:val="00C73CB9"/>
    <w:rsid w:val="00C73D47"/>
    <w:rsid w:val="00C74479"/>
    <w:rsid w:val="00C80D3A"/>
    <w:rsid w:val="00C82A06"/>
    <w:rsid w:val="00C82B27"/>
    <w:rsid w:val="00C84D32"/>
    <w:rsid w:val="00C85068"/>
    <w:rsid w:val="00C852AB"/>
    <w:rsid w:val="00C94E64"/>
    <w:rsid w:val="00CA051F"/>
    <w:rsid w:val="00CA0A26"/>
    <w:rsid w:val="00CA0B16"/>
    <w:rsid w:val="00CA181C"/>
    <w:rsid w:val="00CA334F"/>
    <w:rsid w:val="00CA4ADF"/>
    <w:rsid w:val="00CA5DE0"/>
    <w:rsid w:val="00CA6526"/>
    <w:rsid w:val="00CA6640"/>
    <w:rsid w:val="00CA7E59"/>
    <w:rsid w:val="00CB0847"/>
    <w:rsid w:val="00CB2CB2"/>
    <w:rsid w:val="00CB4D81"/>
    <w:rsid w:val="00CB5D7B"/>
    <w:rsid w:val="00CB6A16"/>
    <w:rsid w:val="00CB7A76"/>
    <w:rsid w:val="00CB7C96"/>
    <w:rsid w:val="00CB7E18"/>
    <w:rsid w:val="00CC1808"/>
    <w:rsid w:val="00CC1AF4"/>
    <w:rsid w:val="00CC76C2"/>
    <w:rsid w:val="00CD1E6F"/>
    <w:rsid w:val="00CD1F0C"/>
    <w:rsid w:val="00CD4C14"/>
    <w:rsid w:val="00CD628C"/>
    <w:rsid w:val="00CE09F6"/>
    <w:rsid w:val="00CE0F1A"/>
    <w:rsid w:val="00CE46A5"/>
    <w:rsid w:val="00CE5A53"/>
    <w:rsid w:val="00CF05DA"/>
    <w:rsid w:val="00CF0F69"/>
    <w:rsid w:val="00CF370C"/>
    <w:rsid w:val="00CF5AE5"/>
    <w:rsid w:val="00CF5C7C"/>
    <w:rsid w:val="00D0275E"/>
    <w:rsid w:val="00D03BE9"/>
    <w:rsid w:val="00D07CDB"/>
    <w:rsid w:val="00D11D2F"/>
    <w:rsid w:val="00D135FA"/>
    <w:rsid w:val="00D159F5"/>
    <w:rsid w:val="00D16BE8"/>
    <w:rsid w:val="00D17FC9"/>
    <w:rsid w:val="00D2150A"/>
    <w:rsid w:val="00D215C9"/>
    <w:rsid w:val="00D22207"/>
    <w:rsid w:val="00D25DF0"/>
    <w:rsid w:val="00D30469"/>
    <w:rsid w:val="00D305DA"/>
    <w:rsid w:val="00D30630"/>
    <w:rsid w:val="00D315BC"/>
    <w:rsid w:val="00D33AD7"/>
    <w:rsid w:val="00D33BC8"/>
    <w:rsid w:val="00D33C38"/>
    <w:rsid w:val="00D346C8"/>
    <w:rsid w:val="00D347F4"/>
    <w:rsid w:val="00D402F5"/>
    <w:rsid w:val="00D41B36"/>
    <w:rsid w:val="00D42829"/>
    <w:rsid w:val="00D4472A"/>
    <w:rsid w:val="00D507F1"/>
    <w:rsid w:val="00D5085C"/>
    <w:rsid w:val="00D5184D"/>
    <w:rsid w:val="00D51E6D"/>
    <w:rsid w:val="00D5225B"/>
    <w:rsid w:val="00D62CCB"/>
    <w:rsid w:val="00D67DC0"/>
    <w:rsid w:val="00D67E3F"/>
    <w:rsid w:val="00D7051C"/>
    <w:rsid w:val="00D71175"/>
    <w:rsid w:val="00D7256E"/>
    <w:rsid w:val="00D729A2"/>
    <w:rsid w:val="00D74282"/>
    <w:rsid w:val="00D751F5"/>
    <w:rsid w:val="00D75E37"/>
    <w:rsid w:val="00D81713"/>
    <w:rsid w:val="00D83212"/>
    <w:rsid w:val="00D84793"/>
    <w:rsid w:val="00D924D9"/>
    <w:rsid w:val="00D94C96"/>
    <w:rsid w:val="00D97223"/>
    <w:rsid w:val="00D97A9A"/>
    <w:rsid w:val="00DA3D80"/>
    <w:rsid w:val="00DA4E50"/>
    <w:rsid w:val="00DA61A3"/>
    <w:rsid w:val="00DA723C"/>
    <w:rsid w:val="00DA7414"/>
    <w:rsid w:val="00DB28DC"/>
    <w:rsid w:val="00DB29B9"/>
    <w:rsid w:val="00DB35ED"/>
    <w:rsid w:val="00DB3BCB"/>
    <w:rsid w:val="00DC02E2"/>
    <w:rsid w:val="00DC1972"/>
    <w:rsid w:val="00DC3053"/>
    <w:rsid w:val="00DC3091"/>
    <w:rsid w:val="00DC3289"/>
    <w:rsid w:val="00DC406B"/>
    <w:rsid w:val="00DC44CC"/>
    <w:rsid w:val="00DC4C6D"/>
    <w:rsid w:val="00DD0266"/>
    <w:rsid w:val="00DD03BA"/>
    <w:rsid w:val="00DD28ED"/>
    <w:rsid w:val="00DD2A42"/>
    <w:rsid w:val="00DD2D84"/>
    <w:rsid w:val="00DD32A1"/>
    <w:rsid w:val="00DD3C99"/>
    <w:rsid w:val="00DD42C2"/>
    <w:rsid w:val="00DD4ECC"/>
    <w:rsid w:val="00DD50FD"/>
    <w:rsid w:val="00DD7180"/>
    <w:rsid w:val="00DD7A97"/>
    <w:rsid w:val="00DE043D"/>
    <w:rsid w:val="00DE12EB"/>
    <w:rsid w:val="00DE1404"/>
    <w:rsid w:val="00DE28A0"/>
    <w:rsid w:val="00DE5D69"/>
    <w:rsid w:val="00DE67FC"/>
    <w:rsid w:val="00DE6E2C"/>
    <w:rsid w:val="00DF0637"/>
    <w:rsid w:val="00DF0A7E"/>
    <w:rsid w:val="00DF2714"/>
    <w:rsid w:val="00DF4F04"/>
    <w:rsid w:val="00DF58A4"/>
    <w:rsid w:val="00DF6643"/>
    <w:rsid w:val="00DF6B2B"/>
    <w:rsid w:val="00E007C1"/>
    <w:rsid w:val="00E02B02"/>
    <w:rsid w:val="00E03137"/>
    <w:rsid w:val="00E03A78"/>
    <w:rsid w:val="00E07DF2"/>
    <w:rsid w:val="00E10D14"/>
    <w:rsid w:val="00E14351"/>
    <w:rsid w:val="00E147E0"/>
    <w:rsid w:val="00E2293F"/>
    <w:rsid w:val="00E22EBE"/>
    <w:rsid w:val="00E238D9"/>
    <w:rsid w:val="00E2457E"/>
    <w:rsid w:val="00E245B1"/>
    <w:rsid w:val="00E262D1"/>
    <w:rsid w:val="00E26AAA"/>
    <w:rsid w:val="00E26E54"/>
    <w:rsid w:val="00E33E43"/>
    <w:rsid w:val="00E36176"/>
    <w:rsid w:val="00E36B28"/>
    <w:rsid w:val="00E374A8"/>
    <w:rsid w:val="00E4147B"/>
    <w:rsid w:val="00E424F8"/>
    <w:rsid w:val="00E42E89"/>
    <w:rsid w:val="00E45814"/>
    <w:rsid w:val="00E4618D"/>
    <w:rsid w:val="00E47E61"/>
    <w:rsid w:val="00E53C62"/>
    <w:rsid w:val="00E60458"/>
    <w:rsid w:val="00E650CE"/>
    <w:rsid w:val="00E65238"/>
    <w:rsid w:val="00E65F36"/>
    <w:rsid w:val="00E65F64"/>
    <w:rsid w:val="00E67992"/>
    <w:rsid w:val="00E70B81"/>
    <w:rsid w:val="00E73425"/>
    <w:rsid w:val="00E741B5"/>
    <w:rsid w:val="00E75633"/>
    <w:rsid w:val="00E75765"/>
    <w:rsid w:val="00E76A2A"/>
    <w:rsid w:val="00E77E51"/>
    <w:rsid w:val="00E77FDA"/>
    <w:rsid w:val="00E8088C"/>
    <w:rsid w:val="00E8283B"/>
    <w:rsid w:val="00E840AF"/>
    <w:rsid w:val="00E8717E"/>
    <w:rsid w:val="00E90C7E"/>
    <w:rsid w:val="00E91702"/>
    <w:rsid w:val="00E93D72"/>
    <w:rsid w:val="00E95D22"/>
    <w:rsid w:val="00E96283"/>
    <w:rsid w:val="00E96F82"/>
    <w:rsid w:val="00E97753"/>
    <w:rsid w:val="00EA2820"/>
    <w:rsid w:val="00EA34D6"/>
    <w:rsid w:val="00EA3F1F"/>
    <w:rsid w:val="00EA50BA"/>
    <w:rsid w:val="00EA5412"/>
    <w:rsid w:val="00EA57EF"/>
    <w:rsid w:val="00EB03F5"/>
    <w:rsid w:val="00EB11EE"/>
    <w:rsid w:val="00EB1BE8"/>
    <w:rsid w:val="00EB263C"/>
    <w:rsid w:val="00EB27E9"/>
    <w:rsid w:val="00EB4AE3"/>
    <w:rsid w:val="00EC2AD9"/>
    <w:rsid w:val="00EC3A4F"/>
    <w:rsid w:val="00EC5645"/>
    <w:rsid w:val="00EC59C9"/>
    <w:rsid w:val="00EC5C1C"/>
    <w:rsid w:val="00EC6973"/>
    <w:rsid w:val="00EC7346"/>
    <w:rsid w:val="00EC7AE4"/>
    <w:rsid w:val="00ED29AD"/>
    <w:rsid w:val="00ED3510"/>
    <w:rsid w:val="00ED377B"/>
    <w:rsid w:val="00ED6A1E"/>
    <w:rsid w:val="00EE1948"/>
    <w:rsid w:val="00EE2B7B"/>
    <w:rsid w:val="00EE424E"/>
    <w:rsid w:val="00EE4624"/>
    <w:rsid w:val="00EE4FC3"/>
    <w:rsid w:val="00EE7439"/>
    <w:rsid w:val="00EF0130"/>
    <w:rsid w:val="00EF02EC"/>
    <w:rsid w:val="00EF0674"/>
    <w:rsid w:val="00EF1B0A"/>
    <w:rsid w:val="00EF26A5"/>
    <w:rsid w:val="00EF335B"/>
    <w:rsid w:val="00EF4167"/>
    <w:rsid w:val="00EF5255"/>
    <w:rsid w:val="00EF662A"/>
    <w:rsid w:val="00EF6E5B"/>
    <w:rsid w:val="00EF7A99"/>
    <w:rsid w:val="00EF7D9D"/>
    <w:rsid w:val="00F00E71"/>
    <w:rsid w:val="00F010E4"/>
    <w:rsid w:val="00F02E30"/>
    <w:rsid w:val="00F04A68"/>
    <w:rsid w:val="00F067B2"/>
    <w:rsid w:val="00F06BE8"/>
    <w:rsid w:val="00F071F6"/>
    <w:rsid w:val="00F103C0"/>
    <w:rsid w:val="00F130C7"/>
    <w:rsid w:val="00F15932"/>
    <w:rsid w:val="00F16223"/>
    <w:rsid w:val="00F166D9"/>
    <w:rsid w:val="00F210C4"/>
    <w:rsid w:val="00F213B5"/>
    <w:rsid w:val="00F21BD7"/>
    <w:rsid w:val="00F24674"/>
    <w:rsid w:val="00F25271"/>
    <w:rsid w:val="00F258DB"/>
    <w:rsid w:val="00F27161"/>
    <w:rsid w:val="00F30110"/>
    <w:rsid w:val="00F303C0"/>
    <w:rsid w:val="00F3042A"/>
    <w:rsid w:val="00F33357"/>
    <w:rsid w:val="00F343C6"/>
    <w:rsid w:val="00F34BA0"/>
    <w:rsid w:val="00F34F76"/>
    <w:rsid w:val="00F35826"/>
    <w:rsid w:val="00F3582A"/>
    <w:rsid w:val="00F41FDC"/>
    <w:rsid w:val="00F4573A"/>
    <w:rsid w:val="00F45FC6"/>
    <w:rsid w:val="00F46E40"/>
    <w:rsid w:val="00F5184C"/>
    <w:rsid w:val="00F53491"/>
    <w:rsid w:val="00F54C76"/>
    <w:rsid w:val="00F621F0"/>
    <w:rsid w:val="00F6286C"/>
    <w:rsid w:val="00F6296A"/>
    <w:rsid w:val="00F6350C"/>
    <w:rsid w:val="00F6526D"/>
    <w:rsid w:val="00F66DA2"/>
    <w:rsid w:val="00F708A4"/>
    <w:rsid w:val="00F73226"/>
    <w:rsid w:val="00F73CBA"/>
    <w:rsid w:val="00F73E4D"/>
    <w:rsid w:val="00F74837"/>
    <w:rsid w:val="00F768B2"/>
    <w:rsid w:val="00F76AF6"/>
    <w:rsid w:val="00F77BBE"/>
    <w:rsid w:val="00F80221"/>
    <w:rsid w:val="00F86808"/>
    <w:rsid w:val="00F87021"/>
    <w:rsid w:val="00F90A19"/>
    <w:rsid w:val="00F924ED"/>
    <w:rsid w:val="00F9303A"/>
    <w:rsid w:val="00F938E2"/>
    <w:rsid w:val="00F93F65"/>
    <w:rsid w:val="00F942CC"/>
    <w:rsid w:val="00F94B10"/>
    <w:rsid w:val="00F94F3C"/>
    <w:rsid w:val="00F95038"/>
    <w:rsid w:val="00F9656B"/>
    <w:rsid w:val="00FA1511"/>
    <w:rsid w:val="00FA2035"/>
    <w:rsid w:val="00FA3614"/>
    <w:rsid w:val="00FA6053"/>
    <w:rsid w:val="00FA6507"/>
    <w:rsid w:val="00FA7D62"/>
    <w:rsid w:val="00FB128C"/>
    <w:rsid w:val="00FB1448"/>
    <w:rsid w:val="00FB2469"/>
    <w:rsid w:val="00FB4EBF"/>
    <w:rsid w:val="00FB55B2"/>
    <w:rsid w:val="00FC1889"/>
    <w:rsid w:val="00FC34C0"/>
    <w:rsid w:val="00FC4CC7"/>
    <w:rsid w:val="00FC6B93"/>
    <w:rsid w:val="00FC6E18"/>
    <w:rsid w:val="00FD02B8"/>
    <w:rsid w:val="00FD42A6"/>
    <w:rsid w:val="00FD49C9"/>
    <w:rsid w:val="00FD630D"/>
    <w:rsid w:val="00FE5007"/>
    <w:rsid w:val="00FE5EA3"/>
    <w:rsid w:val="00FE6043"/>
    <w:rsid w:val="00FE7777"/>
    <w:rsid w:val="00FE7937"/>
    <w:rsid w:val="00FF0BAE"/>
    <w:rsid w:val="00FF218F"/>
    <w:rsid w:val="00FF54DF"/>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Emphasis">
    <w:name w:val="Emphasis"/>
    <w:basedOn w:val="DefaultParagraphFont"/>
    <w:uiPriority w:val="20"/>
    <w:qFormat/>
    <w:rsid w:val="00807DD6"/>
    <w:rPr>
      <w:i/>
      <w:iCs/>
    </w:rPr>
  </w:style>
  <w:style w:type="character" w:customStyle="1" w:styleId="st1">
    <w:name w:val="st1"/>
    <w:basedOn w:val="DefaultParagraphFont"/>
    <w:rsid w:val="004133BC"/>
  </w:style>
  <w:style w:type="character" w:styleId="CommentReference">
    <w:name w:val="annotation reference"/>
    <w:basedOn w:val="DefaultParagraphFont"/>
    <w:uiPriority w:val="99"/>
    <w:semiHidden/>
    <w:unhideWhenUsed/>
    <w:rsid w:val="00E8088C"/>
    <w:rPr>
      <w:sz w:val="16"/>
      <w:szCs w:val="16"/>
    </w:rPr>
  </w:style>
  <w:style w:type="paragraph" w:styleId="CommentText">
    <w:name w:val="annotation text"/>
    <w:basedOn w:val="Normal"/>
    <w:link w:val="CommentTextChar"/>
    <w:uiPriority w:val="99"/>
    <w:semiHidden/>
    <w:unhideWhenUsed/>
    <w:rsid w:val="00E8088C"/>
  </w:style>
  <w:style w:type="character" w:customStyle="1" w:styleId="CommentTextChar">
    <w:name w:val="Comment Text Char"/>
    <w:basedOn w:val="DefaultParagraphFont"/>
    <w:link w:val="CommentText"/>
    <w:uiPriority w:val="99"/>
    <w:semiHidden/>
    <w:rsid w:val="00E8088C"/>
    <w:rPr>
      <w:lang w:val="en-AU" w:eastAsia="en-US"/>
    </w:rPr>
  </w:style>
  <w:style w:type="paragraph" w:customStyle="1" w:styleId="tvhtml">
    <w:name w:val="tv_html"/>
    <w:basedOn w:val="Normal"/>
    <w:rsid w:val="008C14B4"/>
    <w:pPr>
      <w:spacing w:before="100" w:beforeAutospacing="1" w:after="100" w:afterAutospacing="1"/>
    </w:pPr>
    <w:rPr>
      <w:rFonts w:ascii="Verdana" w:eastAsia="Times New Roman" w:hAnsi="Verdana"/>
      <w:sz w:val="14"/>
      <w:szCs w:val="14"/>
      <w:lang w:val="lv-LV" w:eastAsia="lv-LV"/>
    </w:rPr>
  </w:style>
  <w:style w:type="paragraph" w:styleId="Date">
    <w:name w:val="Date"/>
    <w:basedOn w:val="Normal"/>
    <w:next w:val="Normal"/>
    <w:link w:val="DateChar"/>
    <w:uiPriority w:val="99"/>
    <w:semiHidden/>
    <w:unhideWhenUsed/>
    <w:rsid w:val="00EC6973"/>
  </w:style>
  <w:style w:type="character" w:customStyle="1" w:styleId="DateChar">
    <w:name w:val="Date Char"/>
    <w:basedOn w:val="DefaultParagraphFont"/>
    <w:link w:val="Date"/>
    <w:uiPriority w:val="99"/>
    <w:semiHidden/>
    <w:rsid w:val="00EC6973"/>
    <w:rPr>
      <w:lang w:val="en-AU" w:eastAsia="en-US"/>
    </w:rPr>
  </w:style>
  <w:style w:type="paragraph" w:styleId="CommentSubject">
    <w:name w:val="annotation subject"/>
    <w:basedOn w:val="CommentText"/>
    <w:next w:val="CommentText"/>
    <w:link w:val="CommentSubjectChar"/>
    <w:uiPriority w:val="99"/>
    <w:semiHidden/>
    <w:unhideWhenUsed/>
    <w:rsid w:val="00442C22"/>
    <w:rPr>
      <w:b/>
      <w:bCs/>
    </w:rPr>
  </w:style>
  <w:style w:type="character" w:customStyle="1" w:styleId="CommentSubjectChar">
    <w:name w:val="Comment Subject Char"/>
    <w:basedOn w:val="CommentTextChar"/>
    <w:link w:val="CommentSubject"/>
    <w:uiPriority w:val="99"/>
    <w:semiHidden/>
    <w:rsid w:val="00442C22"/>
    <w:rPr>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Emphasis">
    <w:name w:val="Emphasis"/>
    <w:basedOn w:val="DefaultParagraphFont"/>
    <w:uiPriority w:val="20"/>
    <w:qFormat/>
    <w:rsid w:val="00807DD6"/>
    <w:rPr>
      <w:i/>
      <w:iCs/>
    </w:rPr>
  </w:style>
  <w:style w:type="character" w:customStyle="1" w:styleId="st1">
    <w:name w:val="st1"/>
    <w:basedOn w:val="DefaultParagraphFont"/>
    <w:rsid w:val="004133BC"/>
  </w:style>
  <w:style w:type="character" w:styleId="CommentReference">
    <w:name w:val="annotation reference"/>
    <w:basedOn w:val="DefaultParagraphFont"/>
    <w:uiPriority w:val="99"/>
    <w:semiHidden/>
    <w:unhideWhenUsed/>
    <w:rsid w:val="00E8088C"/>
    <w:rPr>
      <w:sz w:val="16"/>
      <w:szCs w:val="16"/>
    </w:rPr>
  </w:style>
  <w:style w:type="paragraph" w:styleId="CommentText">
    <w:name w:val="annotation text"/>
    <w:basedOn w:val="Normal"/>
    <w:link w:val="CommentTextChar"/>
    <w:uiPriority w:val="99"/>
    <w:semiHidden/>
    <w:unhideWhenUsed/>
    <w:rsid w:val="00E8088C"/>
  </w:style>
  <w:style w:type="character" w:customStyle="1" w:styleId="CommentTextChar">
    <w:name w:val="Comment Text Char"/>
    <w:basedOn w:val="DefaultParagraphFont"/>
    <w:link w:val="CommentText"/>
    <w:uiPriority w:val="99"/>
    <w:semiHidden/>
    <w:rsid w:val="00E8088C"/>
    <w:rPr>
      <w:lang w:val="en-AU" w:eastAsia="en-US"/>
    </w:rPr>
  </w:style>
  <w:style w:type="paragraph" w:customStyle="1" w:styleId="tvhtml">
    <w:name w:val="tv_html"/>
    <w:basedOn w:val="Normal"/>
    <w:rsid w:val="008C14B4"/>
    <w:pPr>
      <w:spacing w:before="100" w:beforeAutospacing="1" w:after="100" w:afterAutospacing="1"/>
    </w:pPr>
    <w:rPr>
      <w:rFonts w:ascii="Verdana" w:eastAsia="Times New Roman" w:hAnsi="Verdana"/>
      <w:sz w:val="14"/>
      <w:szCs w:val="14"/>
      <w:lang w:val="lv-LV" w:eastAsia="lv-LV"/>
    </w:rPr>
  </w:style>
  <w:style w:type="paragraph" w:styleId="Date">
    <w:name w:val="Date"/>
    <w:basedOn w:val="Normal"/>
    <w:next w:val="Normal"/>
    <w:link w:val="DateChar"/>
    <w:uiPriority w:val="99"/>
    <w:semiHidden/>
    <w:unhideWhenUsed/>
    <w:rsid w:val="00EC6973"/>
  </w:style>
  <w:style w:type="character" w:customStyle="1" w:styleId="DateChar">
    <w:name w:val="Date Char"/>
    <w:basedOn w:val="DefaultParagraphFont"/>
    <w:link w:val="Date"/>
    <w:uiPriority w:val="99"/>
    <w:semiHidden/>
    <w:rsid w:val="00EC6973"/>
    <w:rPr>
      <w:lang w:val="en-AU" w:eastAsia="en-US"/>
    </w:rPr>
  </w:style>
  <w:style w:type="paragraph" w:styleId="CommentSubject">
    <w:name w:val="annotation subject"/>
    <w:basedOn w:val="CommentText"/>
    <w:next w:val="CommentText"/>
    <w:link w:val="CommentSubjectChar"/>
    <w:uiPriority w:val="99"/>
    <w:semiHidden/>
    <w:unhideWhenUsed/>
    <w:rsid w:val="00442C22"/>
    <w:rPr>
      <w:b/>
      <w:bCs/>
    </w:rPr>
  </w:style>
  <w:style w:type="character" w:customStyle="1" w:styleId="CommentSubjectChar">
    <w:name w:val="Comment Subject Char"/>
    <w:basedOn w:val="CommentTextChar"/>
    <w:link w:val="CommentSubject"/>
    <w:uiPriority w:val="99"/>
    <w:semiHidden/>
    <w:rsid w:val="00442C22"/>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0340">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05301099">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693848510">
      <w:bodyDiv w:val="1"/>
      <w:marLeft w:val="0"/>
      <w:marRight w:val="0"/>
      <w:marTop w:val="0"/>
      <w:marBottom w:val="0"/>
      <w:divBdr>
        <w:top w:val="none" w:sz="0" w:space="0" w:color="auto"/>
        <w:left w:val="none" w:sz="0" w:space="0" w:color="auto"/>
        <w:bottom w:val="none" w:sz="0" w:space="0" w:color="auto"/>
        <w:right w:val="none" w:sz="0" w:space="0" w:color="auto"/>
      </w:divBdr>
    </w:div>
    <w:div w:id="1020859246">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345479241">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95FC2E3-609A-4D25-872E-4E59D30F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2207</Words>
  <Characters>16025</Characters>
  <Application>Microsoft Office Word</Application>
  <DocSecurity>0</DocSecurity>
  <Lines>516</Lines>
  <Paragraphs>141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30.marta noteikumos Nr.328 „Noteikumi par darbības programmas „Cilvēkresursi un nodarbinātība” papildinājuma 1.3.1.1.1.apakšaktivitātes „Atbalsts nodarbināto apmācībām komersantu </vt:lpstr>
    </vt:vector>
  </TitlesOfParts>
  <Company>LR Ekonomikas ministrija</Company>
  <LinksUpToDate>false</LinksUpToDate>
  <CharactersWithSpaces>18091</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 sākotnējās ietekmes novērtējuma ziņojums (anotācija)</dc:title>
  <dc:subject>Anotācija</dc:subject>
  <dc:creator>Kaspars Purmalietis</dc:creator>
  <dc:description>Kaspars.Purmalietis@em.gov.lv, 67013108</dc:description>
  <cp:lastModifiedBy>Kaspars Purmalietis</cp:lastModifiedBy>
  <cp:revision>10</cp:revision>
  <cp:lastPrinted>2010-03-29T10:15:00Z</cp:lastPrinted>
  <dcterms:created xsi:type="dcterms:W3CDTF">2013-07-30T07:57:00Z</dcterms:created>
  <dcterms:modified xsi:type="dcterms:W3CDTF">2013-08-02T13:04:00Z</dcterms:modified>
</cp:coreProperties>
</file>