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C1" w:rsidRPr="00BC5856" w:rsidRDefault="00901106" w:rsidP="00C84C5F">
      <w:pPr>
        <w:jc w:val="center"/>
        <w:rPr>
          <w:szCs w:val="28"/>
        </w:rPr>
      </w:pPr>
      <w:bookmarkStart w:id="0" w:name="OLE_LINK7"/>
      <w:bookmarkStart w:id="1" w:name="OLE_LINK8"/>
      <w:bookmarkStart w:id="2" w:name="OLE_LINK9"/>
      <w:bookmarkStart w:id="3" w:name="OLE_LINK14"/>
      <w:bookmarkStart w:id="4" w:name="OLE_LINK15"/>
      <w:r w:rsidRPr="00BC5856">
        <w:rPr>
          <w:szCs w:val="28"/>
        </w:rPr>
        <w:t xml:space="preserve">Ministru kabineta noteikumu projekta </w:t>
      </w:r>
    </w:p>
    <w:p w:rsidR="00752CE5" w:rsidRPr="00BC5856" w:rsidRDefault="00F540A2" w:rsidP="00752CE5">
      <w:pPr>
        <w:jc w:val="center"/>
        <w:rPr>
          <w:szCs w:val="28"/>
        </w:rPr>
      </w:pPr>
      <w:r w:rsidRPr="00BC5856">
        <w:rPr>
          <w:szCs w:val="28"/>
        </w:rPr>
        <w:t>„</w:t>
      </w:r>
      <w:bookmarkStart w:id="5" w:name="OLE_LINK12"/>
      <w:bookmarkStart w:id="6" w:name="OLE_LINK13"/>
      <w:r w:rsidR="00AD3C28" w:rsidRPr="00AD3C28">
        <w:rPr>
          <w:szCs w:val="28"/>
        </w:rPr>
        <w:t>Grozījumi Ministru kabineta 2008.gada 16.decembra noteikumos Nr.1048 „Dabasgāzes piegādes un lietošanas noteikumi”</w:t>
      </w:r>
      <w:bookmarkEnd w:id="5"/>
      <w:bookmarkEnd w:id="6"/>
      <w:r w:rsidRPr="00BC5856">
        <w:rPr>
          <w:szCs w:val="28"/>
        </w:rPr>
        <w:t>”</w:t>
      </w:r>
    </w:p>
    <w:bookmarkEnd w:id="3"/>
    <w:bookmarkEnd w:id="4"/>
    <w:p w:rsidR="00901106" w:rsidRPr="007A40C1" w:rsidRDefault="00901106" w:rsidP="00C84C5F">
      <w:pPr>
        <w:jc w:val="center"/>
        <w:rPr>
          <w:szCs w:val="28"/>
        </w:rPr>
      </w:pPr>
      <w:r w:rsidRPr="00BC5856">
        <w:rPr>
          <w:szCs w:val="28"/>
        </w:rPr>
        <w:t xml:space="preserve">sākotnējās ietekmes novērtējuma </w:t>
      </w:r>
      <w:smartTag w:uri="schemas-tilde-lv/tildestengine" w:element="veidnes">
        <w:smartTagPr>
          <w:attr w:name="text" w:val="ziņojums"/>
          <w:attr w:name="baseform" w:val="ziņojums"/>
          <w:attr w:name="id" w:val="-1"/>
        </w:smartTagPr>
        <w:r w:rsidRPr="00BC5856">
          <w:rPr>
            <w:szCs w:val="28"/>
          </w:rPr>
          <w:t>ziņojums</w:t>
        </w:r>
      </w:smartTag>
      <w:r w:rsidRPr="00BC5856">
        <w:rPr>
          <w:szCs w:val="28"/>
        </w:rPr>
        <w:t xml:space="preserve"> (anotācija</w:t>
      </w:r>
      <w:r w:rsidRPr="007A40C1">
        <w:rPr>
          <w:szCs w:val="28"/>
        </w:rPr>
        <w:t>)</w:t>
      </w:r>
    </w:p>
    <w:bookmarkEnd w:id="0"/>
    <w:bookmarkEnd w:id="1"/>
    <w:bookmarkEnd w:id="2"/>
    <w:p w:rsidR="00F07C39" w:rsidRPr="009C6CAE" w:rsidRDefault="00F07C39" w:rsidP="009C6CAE"/>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79"/>
        <w:gridCol w:w="1863"/>
        <w:gridCol w:w="6989"/>
      </w:tblGrid>
      <w:tr w:rsidR="00901106" w:rsidRPr="009C6CAE">
        <w:tc>
          <w:tcPr>
            <w:tcW w:w="0" w:type="auto"/>
            <w:gridSpan w:val="3"/>
            <w:tcBorders>
              <w:top w:val="single" w:sz="6" w:space="0" w:color="auto"/>
              <w:left w:val="single" w:sz="6" w:space="0" w:color="auto"/>
              <w:bottom w:val="outset" w:sz="6" w:space="0" w:color="000000"/>
              <w:right w:val="single" w:sz="6" w:space="0" w:color="auto"/>
            </w:tcBorders>
            <w:vAlign w:val="center"/>
          </w:tcPr>
          <w:p w:rsidR="00901106" w:rsidRPr="009C6CAE" w:rsidRDefault="00901106" w:rsidP="009C6CAE">
            <w:pPr>
              <w:jc w:val="center"/>
              <w:rPr>
                <w:b/>
                <w:bCs/>
                <w:sz w:val="24"/>
              </w:rPr>
            </w:pPr>
            <w:r w:rsidRPr="009C6CAE">
              <w:rPr>
                <w:b/>
                <w:bCs/>
                <w:sz w:val="24"/>
              </w:rPr>
              <w:t>I. Tiesību akta projekta izstrādes nepieciešamība</w:t>
            </w:r>
          </w:p>
        </w:tc>
      </w:tr>
      <w:tr w:rsidR="00901106" w:rsidRPr="009C6CAE">
        <w:tc>
          <w:tcPr>
            <w:tcW w:w="15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1.</w:t>
            </w:r>
          </w:p>
        </w:tc>
        <w:tc>
          <w:tcPr>
            <w:tcW w:w="100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Pamatojums</w:t>
            </w:r>
          </w:p>
        </w:tc>
        <w:tc>
          <w:tcPr>
            <w:tcW w:w="3750" w:type="pct"/>
            <w:tcBorders>
              <w:top w:val="outset" w:sz="6" w:space="0" w:color="000000"/>
              <w:left w:val="outset" w:sz="6" w:space="0" w:color="000000"/>
              <w:bottom w:val="outset" w:sz="6" w:space="0" w:color="000000"/>
              <w:right w:val="outset" w:sz="6" w:space="0" w:color="000000"/>
            </w:tcBorders>
          </w:tcPr>
          <w:p w:rsidR="007660BD" w:rsidRPr="008F1B3E" w:rsidRDefault="007E01BB" w:rsidP="006C4282">
            <w:pPr>
              <w:jc w:val="both"/>
              <w:rPr>
                <w:sz w:val="24"/>
              </w:rPr>
            </w:pPr>
            <w:r w:rsidRPr="007E01BB">
              <w:rPr>
                <w:sz w:val="24"/>
              </w:rPr>
              <w:t>Noteikumu projekts sagatavots</w:t>
            </w:r>
            <w:r w:rsidR="00D23742">
              <w:rPr>
                <w:sz w:val="24"/>
              </w:rPr>
              <w:t xml:space="preserve">, izpildot </w:t>
            </w:r>
            <w:r w:rsidR="00D23742" w:rsidRPr="00D23742">
              <w:rPr>
                <w:sz w:val="24"/>
              </w:rPr>
              <w:t>Eiropas Parlamenta un Padom</w:t>
            </w:r>
            <w:r w:rsidR="00D23742">
              <w:rPr>
                <w:sz w:val="24"/>
              </w:rPr>
              <w:t>es 2010. gada 20. oktobra Regulas</w:t>
            </w:r>
            <w:r w:rsidR="00D23742" w:rsidRPr="00D23742">
              <w:rPr>
                <w:sz w:val="24"/>
              </w:rPr>
              <w:t xml:space="preserve"> (ES) Nr. </w:t>
            </w:r>
            <w:r w:rsidR="0070016E">
              <w:rPr>
                <w:sz w:val="24"/>
              </w:rPr>
              <w:t>9</w:t>
            </w:r>
            <w:r w:rsidR="00D23742" w:rsidRPr="00D23742">
              <w:rPr>
                <w:sz w:val="24"/>
              </w:rPr>
              <w:t>94/2010 par gāzes piegādes drošības aizsardzības pasākumiem un Padomes Direktīvas 2004/67/EK atcelšanu</w:t>
            </w:r>
            <w:r w:rsidR="00D23742">
              <w:rPr>
                <w:sz w:val="24"/>
              </w:rPr>
              <w:t xml:space="preserve"> prasības</w:t>
            </w:r>
            <w:r w:rsidR="0070016E">
              <w:rPr>
                <w:sz w:val="24"/>
              </w:rPr>
              <w:t xml:space="preserve"> (turpmāk – Regula 994/2010)</w:t>
            </w:r>
          </w:p>
        </w:tc>
      </w:tr>
      <w:tr w:rsidR="00901106" w:rsidRPr="009C6CAE" w:rsidTr="00433140">
        <w:tc>
          <w:tcPr>
            <w:tcW w:w="15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2.</w:t>
            </w:r>
          </w:p>
        </w:tc>
        <w:tc>
          <w:tcPr>
            <w:tcW w:w="100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Pašreizējā situācija un problēmas</w:t>
            </w:r>
          </w:p>
        </w:tc>
        <w:tc>
          <w:tcPr>
            <w:tcW w:w="3750" w:type="pct"/>
            <w:tcBorders>
              <w:top w:val="outset" w:sz="6" w:space="0" w:color="000000"/>
              <w:left w:val="outset" w:sz="6" w:space="0" w:color="000000"/>
              <w:bottom w:val="outset" w:sz="6" w:space="0" w:color="000000"/>
              <w:right w:val="outset" w:sz="6" w:space="0" w:color="000000"/>
            </w:tcBorders>
          </w:tcPr>
          <w:p w:rsidR="00EE203A" w:rsidRDefault="00EE203A" w:rsidP="00867608">
            <w:pPr>
              <w:spacing w:after="60"/>
              <w:jc w:val="both"/>
              <w:rPr>
                <w:sz w:val="24"/>
              </w:rPr>
            </w:pPr>
            <w:r>
              <w:rPr>
                <w:sz w:val="24"/>
              </w:rPr>
              <w:t>Regulas 994/2010 mērķis, ņ</w:t>
            </w:r>
            <w:r w:rsidRPr="00EE203A">
              <w:rPr>
                <w:sz w:val="24"/>
              </w:rPr>
              <w:t xml:space="preserve">emot vērā </w:t>
            </w:r>
            <w:r>
              <w:rPr>
                <w:sz w:val="24"/>
              </w:rPr>
              <w:t>dabas</w:t>
            </w:r>
            <w:r w:rsidRPr="00EE203A">
              <w:rPr>
                <w:sz w:val="24"/>
              </w:rPr>
              <w:t xml:space="preserve">gāzes nozīmīgumu </w:t>
            </w:r>
            <w:r>
              <w:rPr>
                <w:sz w:val="24"/>
              </w:rPr>
              <w:t xml:space="preserve">Eiropas </w:t>
            </w:r>
            <w:r w:rsidRPr="00EE203A">
              <w:rPr>
                <w:sz w:val="24"/>
              </w:rPr>
              <w:t xml:space="preserve">Savienības dažādo enerģijas veidu kopumā, ir apliecināt </w:t>
            </w:r>
            <w:r w:rsidR="003E5D9C">
              <w:rPr>
                <w:sz w:val="24"/>
              </w:rPr>
              <w:t>dabas</w:t>
            </w:r>
            <w:r w:rsidRPr="00EE203A">
              <w:rPr>
                <w:sz w:val="24"/>
              </w:rPr>
              <w:t>gāzes patērētājiem, ka tiek veikti visi nepieciešamie pasākumi, lai viņiem nodrošinātu pastāvīgas piegādes, jo īpaši sarežģītos klimata apstākļos un piegādes traucējumu gadījumā.</w:t>
            </w:r>
          </w:p>
          <w:p w:rsidR="00EE203A" w:rsidRDefault="00EE203A" w:rsidP="00867608">
            <w:pPr>
              <w:spacing w:after="60"/>
              <w:jc w:val="both"/>
              <w:rPr>
                <w:sz w:val="24"/>
              </w:rPr>
            </w:pPr>
            <w:r>
              <w:rPr>
                <w:sz w:val="24"/>
              </w:rPr>
              <w:t>R</w:t>
            </w:r>
            <w:r w:rsidRPr="00EE203A">
              <w:rPr>
                <w:sz w:val="24"/>
              </w:rPr>
              <w:t xml:space="preserve">egulā </w:t>
            </w:r>
            <w:r>
              <w:rPr>
                <w:sz w:val="24"/>
              </w:rPr>
              <w:t xml:space="preserve">994/2010 </w:t>
            </w:r>
            <w:r w:rsidRPr="00EE203A">
              <w:rPr>
                <w:sz w:val="24"/>
              </w:rPr>
              <w:t xml:space="preserve">ir paredzēti noteikumi </w:t>
            </w:r>
            <w:r w:rsidR="003E5D9C">
              <w:rPr>
                <w:sz w:val="24"/>
              </w:rPr>
              <w:t>dabas</w:t>
            </w:r>
            <w:r w:rsidRPr="00EE203A">
              <w:rPr>
                <w:sz w:val="24"/>
              </w:rPr>
              <w:t xml:space="preserve">gāzes piegādes drošības aizsardzībai, garantējot pareizu un nepārtrauktu iekšējā dabasgāzes tirgus darbību, atļaujot ārkārtas pasākumus, kurus īsteno, kad tirgus vairs nevar nodrošināt pieprasīto gāzes daudzumu, un paredzot </w:t>
            </w:r>
            <w:r w:rsidR="003E5D9C" w:rsidRPr="00EE203A">
              <w:rPr>
                <w:sz w:val="24"/>
              </w:rPr>
              <w:t xml:space="preserve">skaidru </w:t>
            </w:r>
            <w:r w:rsidRPr="00EE203A">
              <w:rPr>
                <w:sz w:val="24"/>
              </w:rPr>
              <w:t xml:space="preserve">pienākumu noteikšanu dabasgāzes uzņēmumiem, dalībvalstīm un </w:t>
            </w:r>
            <w:r w:rsidR="003E5D9C">
              <w:rPr>
                <w:sz w:val="24"/>
              </w:rPr>
              <w:t xml:space="preserve">Eiropas </w:t>
            </w:r>
            <w:r w:rsidRPr="00EE203A">
              <w:rPr>
                <w:sz w:val="24"/>
              </w:rPr>
              <w:t>Savienībai saistībā gan ar preventīvu rīcību, gan ar pretpasākumiem konkrētiem piegādes traucējumiem. Turklāt, regulā</w:t>
            </w:r>
            <w:r w:rsidR="003E5D9C">
              <w:rPr>
                <w:sz w:val="24"/>
              </w:rPr>
              <w:t xml:space="preserve"> 994/2010</w:t>
            </w:r>
            <w:r w:rsidRPr="00EE203A">
              <w:rPr>
                <w:sz w:val="24"/>
              </w:rPr>
              <w:t xml:space="preserve"> ir paredzēts mehānisms plānošanas un reakcijas koordinēšanai ārkārtas situācijās dalībvalstu, reģionālajā un Savienības līmenī.</w:t>
            </w:r>
          </w:p>
          <w:p w:rsidR="003E5D9C" w:rsidRDefault="00EE203A" w:rsidP="00867608">
            <w:pPr>
              <w:spacing w:after="60"/>
              <w:jc w:val="both"/>
              <w:rPr>
                <w:rFonts w:cs="EUAlbertina"/>
                <w:color w:val="000000"/>
                <w:sz w:val="24"/>
              </w:rPr>
            </w:pPr>
            <w:r w:rsidRPr="00EE203A">
              <w:rPr>
                <w:rFonts w:cs="EUAlbertina"/>
                <w:color w:val="000000"/>
                <w:sz w:val="24"/>
              </w:rPr>
              <w:t>Regula 994/2010 pieļauj, ka vajadzības gadījumā, kamēr vēl nav oficiāli izraudzīta kompetentā iestāde, valsts struktūras, kas pašlaik ir atbildīgas par gāzes piegādes drošību, veic pasākumus, kas saskaņā ar šo regulu jāīsteno kompetentajai iestādei. Šie pasākumi ietver riska novērtējuma veikšanu, un, balstoties uz šo riska novērtēšanu, preventīva rīcības plāna un ārkārtas rīcības plāna izveidi un regulāru gāzes piegādes drošības uzraudzību valsts mērogā.</w:t>
            </w:r>
            <w:r>
              <w:rPr>
                <w:rFonts w:cs="EUAlbertina"/>
                <w:color w:val="000000"/>
                <w:sz w:val="24"/>
              </w:rPr>
              <w:t xml:space="preserve"> </w:t>
            </w:r>
          </w:p>
          <w:p w:rsidR="00EE203A" w:rsidRPr="00EE203A" w:rsidRDefault="00EE203A" w:rsidP="00867608">
            <w:pPr>
              <w:spacing w:after="60"/>
              <w:jc w:val="both"/>
              <w:rPr>
                <w:rFonts w:cs="EUAlbertina"/>
                <w:color w:val="000000"/>
                <w:sz w:val="24"/>
              </w:rPr>
            </w:pPr>
            <w:r>
              <w:rPr>
                <w:rFonts w:cs="EUAlbertina"/>
                <w:color w:val="000000"/>
                <w:sz w:val="24"/>
              </w:rPr>
              <w:t xml:space="preserve">Ekonomikas ministrija sadarbībā ar Sabiedrisko pakalpojumu regulēšanas komisiju un dabasgāzes pārvades sistēmas operatoru AS „Latvijas Gāze” ir </w:t>
            </w:r>
            <w:r w:rsidR="003E5D9C">
              <w:rPr>
                <w:rFonts w:cs="EUAlbertina"/>
                <w:color w:val="000000"/>
                <w:sz w:val="24"/>
              </w:rPr>
              <w:t xml:space="preserve">izstrādājusi dabasgāzes piegādes drošības risku novērtējuma projektu. Pašlaik Baltijas enerģijas tirgus </w:t>
            </w:r>
            <w:proofErr w:type="spellStart"/>
            <w:r w:rsidR="003E5D9C">
              <w:rPr>
                <w:rFonts w:cs="EUAlbertina"/>
                <w:color w:val="000000"/>
                <w:sz w:val="24"/>
              </w:rPr>
              <w:t>starpsavienojuma</w:t>
            </w:r>
            <w:proofErr w:type="spellEnd"/>
            <w:r w:rsidR="003E5D9C">
              <w:rPr>
                <w:rFonts w:cs="EUAlbertina"/>
                <w:color w:val="000000"/>
                <w:sz w:val="24"/>
              </w:rPr>
              <w:t xml:space="preserve"> plāna ietvaros kopā ar  Igaunijas un Lietuvas pārstāvjiem strādā pie reģionālā dabasgāzes piegādes drošības risku novērtējuma.</w:t>
            </w:r>
          </w:p>
          <w:p w:rsidR="00F73677" w:rsidRPr="008F1B3E" w:rsidRDefault="00867608" w:rsidP="00867608">
            <w:pPr>
              <w:spacing w:after="60"/>
              <w:ind w:left="-15"/>
              <w:jc w:val="both"/>
              <w:rPr>
                <w:sz w:val="24"/>
              </w:rPr>
            </w:pPr>
            <w:r w:rsidRPr="00867608">
              <w:rPr>
                <w:sz w:val="24"/>
              </w:rPr>
              <w:t xml:space="preserve">Tā kā Regula 994/2010 paredz katrai </w:t>
            </w:r>
            <w:r w:rsidRPr="00867608">
              <w:rPr>
                <w:rFonts w:cs="EUAlbertina"/>
                <w:color w:val="000000"/>
                <w:sz w:val="24"/>
              </w:rPr>
              <w:t xml:space="preserve">dalībvalstij izraudzīties valsts iestādi vai valsts regulatīvā iestādi, tas ir kompetento iestādi, kas ir atbildīga par tajā noteikto pasākumu īstenošanu, Ekonomikas ministrija ir sagatavojusi </w:t>
            </w:r>
            <w:r w:rsidR="00F540A2" w:rsidRPr="00867608">
              <w:rPr>
                <w:sz w:val="24"/>
              </w:rPr>
              <w:t xml:space="preserve">Ministru kabineta noteikumu projektu </w:t>
            </w:r>
            <w:r>
              <w:rPr>
                <w:sz w:val="24"/>
              </w:rPr>
              <w:t>„</w:t>
            </w:r>
            <w:r w:rsidRPr="00867608">
              <w:rPr>
                <w:sz w:val="24"/>
              </w:rPr>
              <w:t>Grozījumi Ministru kabineta 2008.gada 16.decembra noteikumos Nr.1048 „Dabasgāzes piegādes un lietošanas noteikumi”</w:t>
            </w:r>
            <w:r>
              <w:rPr>
                <w:sz w:val="24"/>
              </w:rPr>
              <w:t>”.</w:t>
            </w:r>
          </w:p>
        </w:tc>
      </w:tr>
      <w:tr w:rsidR="00901106" w:rsidRPr="009C6CAE" w:rsidTr="00FC42AA">
        <w:tc>
          <w:tcPr>
            <w:tcW w:w="150" w:type="pct"/>
            <w:tcBorders>
              <w:top w:val="outset" w:sz="6" w:space="0" w:color="000000"/>
              <w:left w:val="outset" w:sz="6" w:space="0" w:color="000000"/>
              <w:bottom w:val="outset" w:sz="6" w:space="0" w:color="000000"/>
              <w:right w:val="outset" w:sz="6" w:space="0" w:color="000000"/>
            </w:tcBorders>
          </w:tcPr>
          <w:p w:rsidR="00901106" w:rsidRPr="009C6CAE" w:rsidRDefault="00F540A2" w:rsidP="009C6CAE">
            <w:pPr>
              <w:rPr>
                <w:sz w:val="24"/>
              </w:rPr>
            </w:pPr>
            <w:r>
              <w:rPr>
                <w:sz w:val="24"/>
              </w:rPr>
              <w:t xml:space="preserve"> </w:t>
            </w:r>
          </w:p>
        </w:tc>
        <w:tc>
          <w:tcPr>
            <w:tcW w:w="100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 xml:space="preserve">Saistītie politikas ietekmes novērtējumi un </w:t>
            </w:r>
            <w:r w:rsidRPr="009C6CAE">
              <w:rPr>
                <w:sz w:val="24"/>
              </w:rPr>
              <w:lastRenderedPageBreak/>
              <w:t>pētījumi</w:t>
            </w:r>
          </w:p>
        </w:tc>
        <w:tc>
          <w:tcPr>
            <w:tcW w:w="3750" w:type="pct"/>
            <w:tcBorders>
              <w:top w:val="outset" w:sz="6" w:space="0" w:color="000000"/>
              <w:left w:val="outset" w:sz="6" w:space="0" w:color="000000"/>
              <w:bottom w:val="outset" w:sz="6" w:space="0" w:color="000000"/>
              <w:right w:val="outset" w:sz="6" w:space="0" w:color="000000"/>
            </w:tcBorders>
            <w:vAlign w:val="center"/>
          </w:tcPr>
          <w:p w:rsidR="00901106" w:rsidRPr="008F1B3E" w:rsidRDefault="003C776B" w:rsidP="009C6CAE">
            <w:pPr>
              <w:rPr>
                <w:sz w:val="24"/>
              </w:rPr>
            </w:pPr>
            <w:r w:rsidRPr="008F1B3E">
              <w:rPr>
                <w:iCs/>
                <w:sz w:val="24"/>
              </w:rPr>
              <w:lastRenderedPageBreak/>
              <w:t>Noteikumu projekts šo jomu neskar</w:t>
            </w:r>
            <w:r w:rsidR="00901106" w:rsidRPr="008F1B3E">
              <w:rPr>
                <w:iCs/>
                <w:sz w:val="24"/>
              </w:rPr>
              <w:t>.</w:t>
            </w:r>
          </w:p>
        </w:tc>
      </w:tr>
      <w:tr w:rsidR="00901106" w:rsidRPr="009C6CAE" w:rsidTr="00433140">
        <w:tc>
          <w:tcPr>
            <w:tcW w:w="15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lastRenderedPageBreak/>
              <w:t>4.</w:t>
            </w:r>
          </w:p>
        </w:tc>
        <w:tc>
          <w:tcPr>
            <w:tcW w:w="100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Tiesiskā regulējuma mērķis un būtība</w:t>
            </w:r>
          </w:p>
        </w:tc>
        <w:tc>
          <w:tcPr>
            <w:tcW w:w="3750" w:type="pct"/>
            <w:tcBorders>
              <w:top w:val="outset" w:sz="6" w:space="0" w:color="000000"/>
              <w:left w:val="outset" w:sz="6" w:space="0" w:color="000000"/>
              <w:bottom w:val="outset" w:sz="6" w:space="0" w:color="000000"/>
              <w:right w:val="outset" w:sz="6" w:space="0" w:color="000000"/>
            </w:tcBorders>
          </w:tcPr>
          <w:p w:rsidR="00532380" w:rsidRPr="008F1B3E" w:rsidRDefault="008F1B3E" w:rsidP="0070016E">
            <w:pPr>
              <w:pStyle w:val="naiskr"/>
              <w:spacing w:before="0" w:after="0"/>
              <w:ind w:left="24"/>
              <w:jc w:val="both"/>
              <w:rPr>
                <w:bCs/>
              </w:rPr>
            </w:pPr>
            <w:r w:rsidRPr="008F1B3E">
              <w:rPr>
                <w:bCs/>
              </w:rPr>
              <w:t xml:space="preserve">Ar noteikumu projektu </w:t>
            </w:r>
            <w:r w:rsidR="0070016E">
              <w:rPr>
                <w:bCs/>
              </w:rPr>
              <w:t xml:space="preserve">Ekonomikas ministrija </w:t>
            </w:r>
            <w:r w:rsidRPr="008F1B3E">
              <w:rPr>
                <w:bCs/>
              </w:rPr>
              <w:t xml:space="preserve">tiek </w:t>
            </w:r>
            <w:r w:rsidR="0070016E">
              <w:rPr>
                <w:bCs/>
              </w:rPr>
              <w:t xml:space="preserve">atzīta </w:t>
            </w:r>
            <w:r w:rsidR="00067623">
              <w:rPr>
                <w:bCs/>
              </w:rPr>
              <w:t xml:space="preserve"> par </w:t>
            </w:r>
            <w:r w:rsidR="0070016E">
              <w:rPr>
                <w:bCs/>
              </w:rPr>
              <w:t>kompetento iestādi, kas atbildīga par Regulas 994/2010 prasību ievērošanu</w:t>
            </w:r>
          </w:p>
        </w:tc>
      </w:tr>
      <w:tr w:rsidR="00901106" w:rsidRPr="009C6CAE" w:rsidTr="00FC42AA">
        <w:tc>
          <w:tcPr>
            <w:tcW w:w="15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5.</w:t>
            </w:r>
          </w:p>
        </w:tc>
        <w:tc>
          <w:tcPr>
            <w:tcW w:w="100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Projekta izstrādē iesaistītās institūcijas</w:t>
            </w:r>
          </w:p>
        </w:tc>
        <w:tc>
          <w:tcPr>
            <w:tcW w:w="3750" w:type="pct"/>
            <w:tcBorders>
              <w:top w:val="outset" w:sz="6" w:space="0" w:color="000000"/>
              <w:left w:val="outset" w:sz="6" w:space="0" w:color="000000"/>
              <w:bottom w:val="outset" w:sz="6" w:space="0" w:color="000000"/>
              <w:right w:val="outset" w:sz="6" w:space="0" w:color="000000"/>
            </w:tcBorders>
            <w:vAlign w:val="center"/>
          </w:tcPr>
          <w:p w:rsidR="00901106" w:rsidRPr="009C6CAE" w:rsidRDefault="005645DF" w:rsidP="009C6CAE">
            <w:pPr>
              <w:rPr>
                <w:sz w:val="24"/>
              </w:rPr>
            </w:pPr>
            <w:r>
              <w:rPr>
                <w:sz w:val="24"/>
              </w:rPr>
              <w:t>Noteikumu projekts šo jomu neskar.</w:t>
            </w:r>
          </w:p>
        </w:tc>
      </w:tr>
      <w:tr w:rsidR="00901106" w:rsidRPr="009C6CAE">
        <w:tc>
          <w:tcPr>
            <w:tcW w:w="15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6.</w:t>
            </w:r>
          </w:p>
        </w:tc>
        <w:tc>
          <w:tcPr>
            <w:tcW w:w="100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Iemesli, kādēļ netika nodrošināta sabiedrības līdzdalība</w:t>
            </w:r>
          </w:p>
        </w:tc>
        <w:tc>
          <w:tcPr>
            <w:tcW w:w="3750" w:type="pct"/>
            <w:tcBorders>
              <w:top w:val="outset" w:sz="6" w:space="0" w:color="000000"/>
              <w:left w:val="outset" w:sz="6" w:space="0" w:color="000000"/>
              <w:bottom w:val="outset" w:sz="6" w:space="0" w:color="000000"/>
              <w:right w:val="outset" w:sz="6" w:space="0" w:color="000000"/>
            </w:tcBorders>
          </w:tcPr>
          <w:p w:rsidR="00901106" w:rsidRPr="009C6CAE" w:rsidRDefault="003C776B" w:rsidP="009C6CAE">
            <w:pPr>
              <w:jc w:val="both"/>
              <w:rPr>
                <w:sz w:val="24"/>
              </w:rPr>
            </w:pPr>
            <w:r>
              <w:rPr>
                <w:iCs/>
                <w:sz w:val="24"/>
              </w:rPr>
              <w:t>Noteikumu projekts šo jomu neskar</w:t>
            </w:r>
            <w:r w:rsidR="0011198A" w:rsidRPr="009C6CAE">
              <w:rPr>
                <w:bCs/>
                <w:iCs/>
                <w:sz w:val="24"/>
              </w:rPr>
              <w:t>.</w:t>
            </w:r>
          </w:p>
        </w:tc>
      </w:tr>
      <w:tr w:rsidR="00901106" w:rsidRPr="009C6CAE">
        <w:tc>
          <w:tcPr>
            <w:tcW w:w="15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7.</w:t>
            </w:r>
          </w:p>
        </w:tc>
        <w:tc>
          <w:tcPr>
            <w:tcW w:w="100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Cita informācija</w:t>
            </w:r>
          </w:p>
        </w:tc>
        <w:tc>
          <w:tcPr>
            <w:tcW w:w="3750" w:type="pct"/>
            <w:tcBorders>
              <w:top w:val="outset" w:sz="6" w:space="0" w:color="000000"/>
              <w:left w:val="outset" w:sz="6" w:space="0" w:color="000000"/>
              <w:bottom w:val="outset" w:sz="6" w:space="0" w:color="000000"/>
              <w:right w:val="outset" w:sz="6" w:space="0" w:color="000000"/>
            </w:tcBorders>
          </w:tcPr>
          <w:p w:rsidR="00901106" w:rsidRPr="009C6CAE" w:rsidRDefault="00522E66" w:rsidP="00E32C2F">
            <w:pPr>
              <w:jc w:val="both"/>
              <w:rPr>
                <w:sz w:val="24"/>
              </w:rPr>
            </w:pPr>
            <w:r>
              <w:rPr>
                <w:sz w:val="24"/>
              </w:rPr>
              <w:t>Nav.</w:t>
            </w:r>
          </w:p>
        </w:tc>
      </w:tr>
    </w:tbl>
    <w:p w:rsidR="007A4662" w:rsidRPr="009C6CAE" w:rsidRDefault="007A4662" w:rsidP="009C6CAE">
      <w:pPr>
        <w:rPr>
          <w:sz w:val="24"/>
        </w:rPr>
      </w:pPr>
    </w:p>
    <w:p w:rsidR="00901106" w:rsidRPr="009C6CAE" w:rsidRDefault="00901106" w:rsidP="009C6CAE">
      <w:pPr>
        <w:rPr>
          <w:sz w:val="18"/>
          <w:szCs w:val="18"/>
        </w:rPr>
      </w:pPr>
    </w:p>
    <w:p w:rsidR="00CA7CE3" w:rsidRDefault="00CA7CE3" w:rsidP="00CA7CE3">
      <w:pPr>
        <w:pStyle w:val="naisf"/>
        <w:tabs>
          <w:tab w:val="left" w:pos="5760"/>
        </w:tabs>
        <w:spacing w:before="0" w:after="0"/>
        <w:ind w:firstLine="0"/>
      </w:pPr>
      <w:r w:rsidRPr="009C6CAE">
        <w:t xml:space="preserve">Anotācijas </w:t>
      </w:r>
      <w:r>
        <w:t xml:space="preserve">II, </w:t>
      </w:r>
      <w:r w:rsidRPr="009C6CAE">
        <w:t>III</w:t>
      </w:r>
      <w:r>
        <w:t>, IV,</w:t>
      </w:r>
      <w:r w:rsidRPr="009C6CAE">
        <w:t xml:space="preserve"> V </w:t>
      </w:r>
      <w:r>
        <w:t xml:space="preserve">un VII </w:t>
      </w:r>
      <w:r w:rsidRPr="009C6CAE">
        <w:t xml:space="preserve">sadaļa – </w:t>
      </w:r>
      <w:r>
        <w:t>n</w:t>
      </w:r>
      <w:r>
        <w:rPr>
          <w:iCs/>
        </w:rPr>
        <w:t>oteikumu projekts šīs jomas neskar</w:t>
      </w:r>
      <w:r w:rsidRPr="009C6CAE">
        <w:t>.</w:t>
      </w:r>
    </w:p>
    <w:p w:rsidR="00CA7CE3" w:rsidRPr="009C6CAE" w:rsidRDefault="00CA7CE3" w:rsidP="00CA7CE3">
      <w:pPr>
        <w:pStyle w:val="naisf"/>
        <w:tabs>
          <w:tab w:val="left" w:pos="5760"/>
        </w:tabs>
        <w:spacing w:before="0" w:after="0"/>
        <w:ind w:firstLine="0"/>
      </w:pPr>
    </w:p>
    <w:p w:rsidR="00BC5856" w:rsidRPr="00AD3C28" w:rsidRDefault="00BC5856" w:rsidP="00BC5856">
      <w:pPr>
        <w:rPr>
          <w:szCs w:val="28"/>
        </w:rPr>
      </w:pPr>
    </w:p>
    <w:p w:rsidR="00BC5856" w:rsidRPr="00AD3C28" w:rsidRDefault="00BC5856" w:rsidP="00BC5856">
      <w:pPr>
        <w:rPr>
          <w:szCs w:val="28"/>
        </w:rPr>
      </w:pPr>
      <w:r w:rsidRPr="00AD3C28">
        <w:rPr>
          <w:szCs w:val="28"/>
        </w:rPr>
        <w:t xml:space="preserve">Ministru prezidents </w:t>
      </w:r>
      <w:r w:rsidRPr="00AD3C28">
        <w:rPr>
          <w:szCs w:val="28"/>
        </w:rPr>
        <w:tab/>
      </w:r>
      <w:r w:rsidRPr="00AD3C28">
        <w:rPr>
          <w:szCs w:val="28"/>
        </w:rPr>
        <w:tab/>
      </w:r>
      <w:r w:rsidRPr="00AD3C28">
        <w:rPr>
          <w:szCs w:val="28"/>
        </w:rPr>
        <w:tab/>
      </w:r>
      <w:r w:rsidRPr="00AD3C28">
        <w:rPr>
          <w:szCs w:val="28"/>
        </w:rPr>
        <w:tab/>
      </w:r>
      <w:r w:rsidRPr="00AD3C28">
        <w:rPr>
          <w:szCs w:val="28"/>
        </w:rPr>
        <w:tab/>
      </w:r>
      <w:r w:rsidRPr="00AD3C28">
        <w:rPr>
          <w:szCs w:val="28"/>
        </w:rPr>
        <w:tab/>
        <w:t xml:space="preserve">          V. </w:t>
      </w:r>
      <w:proofErr w:type="spellStart"/>
      <w:r w:rsidRPr="00AD3C28">
        <w:rPr>
          <w:szCs w:val="28"/>
        </w:rPr>
        <w:t>Dombrovskis</w:t>
      </w:r>
      <w:proofErr w:type="spellEnd"/>
    </w:p>
    <w:p w:rsidR="00BC5856" w:rsidRPr="00AD3C28" w:rsidRDefault="00BC5856" w:rsidP="00BC5856">
      <w:pPr>
        <w:rPr>
          <w:szCs w:val="28"/>
        </w:rPr>
      </w:pPr>
    </w:p>
    <w:p w:rsidR="00BC5856" w:rsidRPr="00BC5856" w:rsidRDefault="00BC5856" w:rsidP="00BC5856">
      <w:pPr>
        <w:pStyle w:val="NormalWeb"/>
        <w:spacing w:before="0" w:beforeAutospacing="0" w:after="0" w:afterAutospacing="0"/>
        <w:rPr>
          <w:rFonts w:ascii="Times New Roman" w:hAnsi="Times New Roman"/>
          <w:b/>
          <w:sz w:val="28"/>
          <w:szCs w:val="28"/>
        </w:rPr>
      </w:pPr>
      <w:r w:rsidRPr="00BC5856">
        <w:rPr>
          <w:rFonts w:ascii="Times New Roman" w:hAnsi="Times New Roman"/>
          <w:sz w:val="28"/>
          <w:szCs w:val="28"/>
        </w:rPr>
        <w:t>Ekonomikas ministrs</w:t>
      </w:r>
      <w:r w:rsidRPr="00BC5856">
        <w:rPr>
          <w:rFonts w:ascii="Times New Roman" w:hAnsi="Times New Roman"/>
          <w:sz w:val="28"/>
          <w:szCs w:val="28"/>
        </w:rPr>
        <w:tab/>
      </w:r>
      <w:r w:rsidRPr="00BC5856">
        <w:rPr>
          <w:rFonts w:ascii="Times New Roman" w:hAnsi="Times New Roman"/>
          <w:sz w:val="28"/>
          <w:szCs w:val="28"/>
        </w:rPr>
        <w:tab/>
      </w:r>
      <w:r w:rsidRPr="00BC5856">
        <w:rPr>
          <w:rFonts w:ascii="Times New Roman" w:hAnsi="Times New Roman"/>
          <w:sz w:val="28"/>
          <w:szCs w:val="28"/>
        </w:rPr>
        <w:tab/>
      </w:r>
      <w:r w:rsidRPr="00BC5856">
        <w:rPr>
          <w:rFonts w:ascii="Times New Roman" w:hAnsi="Times New Roman"/>
          <w:sz w:val="28"/>
          <w:szCs w:val="28"/>
        </w:rPr>
        <w:tab/>
      </w:r>
      <w:r w:rsidRPr="00BC5856">
        <w:rPr>
          <w:rFonts w:ascii="Times New Roman" w:hAnsi="Times New Roman"/>
          <w:sz w:val="28"/>
          <w:szCs w:val="28"/>
        </w:rPr>
        <w:tab/>
      </w:r>
      <w:r w:rsidRPr="00BC5856">
        <w:rPr>
          <w:rFonts w:ascii="Times New Roman" w:hAnsi="Times New Roman"/>
          <w:sz w:val="28"/>
          <w:szCs w:val="28"/>
        </w:rPr>
        <w:tab/>
        <w:t xml:space="preserve">          </w:t>
      </w:r>
      <w:proofErr w:type="spellStart"/>
      <w:r w:rsidR="00867608">
        <w:rPr>
          <w:rFonts w:ascii="Times New Roman" w:hAnsi="Times New Roman"/>
          <w:sz w:val="28"/>
          <w:szCs w:val="28"/>
        </w:rPr>
        <w:t>D.Pavļuts</w:t>
      </w:r>
      <w:proofErr w:type="spellEnd"/>
    </w:p>
    <w:p w:rsidR="00BC5856" w:rsidRPr="00AD3C28" w:rsidRDefault="00BC5856" w:rsidP="00BC5856">
      <w:pPr>
        <w:pStyle w:val="BalloonText"/>
        <w:rPr>
          <w:rFonts w:ascii="Times New Roman" w:hAnsi="Times New Roman" w:cs="Times New Roman"/>
          <w:szCs w:val="28"/>
        </w:rPr>
      </w:pPr>
    </w:p>
    <w:p w:rsidR="00BC5856" w:rsidRPr="00AD3C28" w:rsidRDefault="00BC5856" w:rsidP="00BC5856">
      <w:pPr>
        <w:rPr>
          <w:szCs w:val="28"/>
        </w:rPr>
      </w:pPr>
      <w:r w:rsidRPr="00AD3C28">
        <w:rPr>
          <w:szCs w:val="28"/>
        </w:rPr>
        <w:t>Iesniedzējs: Ekonomikas ministrs</w:t>
      </w:r>
      <w:r w:rsidRPr="00AD3C28">
        <w:rPr>
          <w:szCs w:val="28"/>
        </w:rPr>
        <w:tab/>
      </w:r>
      <w:r w:rsidRPr="00AD3C28">
        <w:rPr>
          <w:szCs w:val="28"/>
        </w:rPr>
        <w:tab/>
      </w:r>
      <w:r w:rsidRPr="00AD3C28">
        <w:rPr>
          <w:szCs w:val="28"/>
        </w:rPr>
        <w:tab/>
      </w:r>
      <w:r w:rsidRPr="00AD3C28">
        <w:rPr>
          <w:szCs w:val="28"/>
        </w:rPr>
        <w:tab/>
        <w:t xml:space="preserve">          </w:t>
      </w:r>
      <w:proofErr w:type="spellStart"/>
      <w:r w:rsidR="00867608">
        <w:rPr>
          <w:szCs w:val="28"/>
        </w:rPr>
        <w:t>D.Pavļuts</w:t>
      </w:r>
      <w:proofErr w:type="spellEnd"/>
    </w:p>
    <w:p w:rsidR="00BC5856" w:rsidRPr="00AD3C28" w:rsidRDefault="00BC5856" w:rsidP="00BC5856">
      <w:pPr>
        <w:rPr>
          <w:szCs w:val="28"/>
        </w:rPr>
      </w:pPr>
    </w:p>
    <w:p w:rsidR="00CA7CE3" w:rsidRPr="00BC5856" w:rsidRDefault="00BC5856" w:rsidP="00BC5856">
      <w:r w:rsidRPr="00AD3C28">
        <w:rPr>
          <w:szCs w:val="28"/>
        </w:rPr>
        <w:t>Vīza: Valsts sekretārs                                                                    J.Pūce</w:t>
      </w:r>
      <w:r w:rsidRPr="00BC5856">
        <w:rPr>
          <w:szCs w:val="28"/>
        </w:rPr>
        <w:t xml:space="preserve">            </w:t>
      </w:r>
    </w:p>
    <w:p w:rsidR="00CA7CE3" w:rsidRDefault="00CA7CE3" w:rsidP="00CA7CE3">
      <w:pPr>
        <w:tabs>
          <w:tab w:val="left" w:pos="5760"/>
        </w:tabs>
        <w:jc w:val="both"/>
        <w:rPr>
          <w:szCs w:val="28"/>
        </w:rPr>
      </w:pPr>
    </w:p>
    <w:p w:rsidR="00AC1E01" w:rsidRDefault="00AC1E01" w:rsidP="009C6CAE">
      <w:pPr>
        <w:jc w:val="both"/>
        <w:rPr>
          <w:sz w:val="20"/>
          <w:szCs w:val="20"/>
        </w:rPr>
      </w:pPr>
      <w:bookmarkStart w:id="7" w:name="OLE_LINK10"/>
      <w:bookmarkStart w:id="8" w:name="OLE_LINK11"/>
    </w:p>
    <w:p w:rsidR="0004197B" w:rsidRDefault="0004197B" w:rsidP="009C6CAE">
      <w:pPr>
        <w:jc w:val="both"/>
        <w:rPr>
          <w:sz w:val="20"/>
          <w:szCs w:val="20"/>
        </w:rPr>
      </w:pPr>
    </w:p>
    <w:p w:rsidR="0004197B" w:rsidRDefault="0004197B" w:rsidP="009C6CAE">
      <w:pPr>
        <w:jc w:val="both"/>
        <w:rPr>
          <w:sz w:val="20"/>
          <w:szCs w:val="20"/>
        </w:rPr>
      </w:pPr>
    </w:p>
    <w:p w:rsidR="00AC1E01" w:rsidRPr="009C6CAE" w:rsidRDefault="00AC1E01" w:rsidP="009C6CAE">
      <w:pPr>
        <w:jc w:val="both"/>
        <w:rPr>
          <w:sz w:val="20"/>
          <w:szCs w:val="20"/>
        </w:rPr>
      </w:pPr>
    </w:p>
    <w:bookmarkEnd w:id="7"/>
    <w:bookmarkEnd w:id="8"/>
    <w:p w:rsidR="00752CE5" w:rsidRPr="00752CE5" w:rsidRDefault="0004197B" w:rsidP="00752CE5">
      <w:pPr>
        <w:jc w:val="both"/>
        <w:rPr>
          <w:sz w:val="20"/>
          <w:szCs w:val="20"/>
        </w:rPr>
      </w:pPr>
      <w:r>
        <w:rPr>
          <w:sz w:val="20"/>
          <w:szCs w:val="20"/>
        </w:rPr>
        <w:t>02.11</w:t>
      </w:r>
      <w:r w:rsidR="00752CE5" w:rsidRPr="00752CE5">
        <w:rPr>
          <w:sz w:val="20"/>
          <w:szCs w:val="20"/>
        </w:rPr>
        <w:t xml:space="preserve">.2011. </w:t>
      </w:r>
      <w:r w:rsidR="002520D0">
        <w:rPr>
          <w:sz w:val="20"/>
          <w:szCs w:val="20"/>
        </w:rPr>
        <w:t>12:31</w:t>
      </w:r>
    </w:p>
    <w:p w:rsidR="0004197B" w:rsidRDefault="0004197B" w:rsidP="00752CE5">
      <w:pPr>
        <w:outlineLvl w:val="0"/>
        <w:rPr>
          <w:sz w:val="20"/>
          <w:szCs w:val="20"/>
        </w:rPr>
      </w:pPr>
      <w:fldSimple w:instr=" NUMWORDS   \* MERGEFORMAT ">
        <w:r>
          <w:rPr>
            <w:noProof/>
            <w:sz w:val="20"/>
            <w:szCs w:val="20"/>
          </w:rPr>
          <w:t>417</w:t>
        </w:r>
      </w:fldSimple>
    </w:p>
    <w:p w:rsidR="00752CE5" w:rsidRPr="00752CE5" w:rsidRDefault="0004197B" w:rsidP="00752CE5">
      <w:pPr>
        <w:outlineLvl w:val="0"/>
        <w:rPr>
          <w:sz w:val="20"/>
          <w:szCs w:val="20"/>
        </w:rPr>
      </w:pPr>
      <w:r>
        <w:rPr>
          <w:sz w:val="20"/>
          <w:szCs w:val="20"/>
        </w:rPr>
        <w:t>I.Niedrīte</w:t>
      </w:r>
    </w:p>
    <w:p w:rsidR="00752CE5" w:rsidRPr="00752CE5" w:rsidRDefault="00752CE5" w:rsidP="00752CE5">
      <w:pPr>
        <w:outlineLvl w:val="0"/>
        <w:rPr>
          <w:sz w:val="20"/>
          <w:szCs w:val="20"/>
        </w:rPr>
      </w:pPr>
      <w:bookmarkStart w:id="9" w:name="OLE_LINK5"/>
      <w:bookmarkStart w:id="10" w:name="OLE_LINK6"/>
      <w:r w:rsidRPr="00752CE5">
        <w:rPr>
          <w:sz w:val="20"/>
          <w:szCs w:val="20"/>
        </w:rPr>
        <w:t>670131</w:t>
      </w:r>
      <w:bookmarkEnd w:id="9"/>
      <w:bookmarkEnd w:id="10"/>
      <w:r w:rsidR="0004197B">
        <w:rPr>
          <w:sz w:val="20"/>
          <w:szCs w:val="20"/>
        </w:rPr>
        <w:t>68</w:t>
      </w:r>
      <w:r w:rsidRPr="00752CE5">
        <w:rPr>
          <w:sz w:val="20"/>
          <w:szCs w:val="20"/>
        </w:rPr>
        <w:t xml:space="preserve">, </w:t>
      </w:r>
      <w:bookmarkStart w:id="11" w:name="OLE_LINK3"/>
      <w:bookmarkStart w:id="12" w:name="OLE_LINK4"/>
      <w:r w:rsidR="0004197B">
        <w:rPr>
          <w:sz w:val="20"/>
          <w:szCs w:val="20"/>
        </w:rPr>
        <w:fldChar w:fldCharType="begin"/>
      </w:r>
      <w:r w:rsidR="0004197B">
        <w:rPr>
          <w:sz w:val="20"/>
          <w:szCs w:val="20"/>
        </w:rPr>
        <w:instrText xml:space="preserve"> HYPERLINK "mailto:</w:instrText>
      </w:r>
      <w:r w:rsidR="0004197B" w:rsidRPr="0004197B">
        <w:rPr>
          <w:sz w:val="20"/>
          <w:szCs w:val="20"/>
        </w:rPr>
        <w:instrText>Indra.Niedrite@em.gov.lv</w:instrText>
      </w:r>
      <w:r w:rsidR="0004197B">
        <w:rPr>
          <w:sz w:val="20"/>
          <w:szCs w:val="20"/>
        </w:rPr>
        <w:instrText xml:space="preserve">" </w:instrText>
      </w:r>
      <w:r w:rsidR="0004197B">
        <w:rPr>
          <w:sz w:val="20"/>
          <w:szCs w:val="20"/>
        </w:rPr>
        <w:fldChar w:fldCharType="separate"/>
      </w:r>
      <w:r w:rsidR="0004197B" w:rsidRPr="00B331ED">
        <w:rPr>
          <w:rStyle w:val="Hyperlink"/>
          <w:sz w:val="20"/>
          <w:szCs w:val="20"/>
        </w:rPr>
        <w:t>Indra.Niedrite@em.gov.lv</w:t>
      </w:r>
      <w:r w:rsidR="0004197B">
        <w:rPr>
          <w:sz w:val="20"/>
          <w:szCs w:val="20"/>
        </w:rPr>
        <w:fldChar w:fldCharType="end"/>
      </w:r>
      <w:r w:rsidRPr="00752CE5">
        <w:rPr>
          <w:sz w:val="20"/>
          <w:szCs w:val="20"/>
        </w:rPr>
        <w:t xml:space="preserve">  </w:t>
      </w:r>
      <w:bookmarkEnd w:id="11"/>
      <w:bookmarkEnd w:id="12"/>
    </w:p>
    <w:p w:rsidR="00F918DC" w:rsidRPr="00752CE5" w:rsidRDefault="00F918DC" w:rsidP="00752CE5">
      <w:pPr>
        <w:jc w:val="both"/>
      </w:pPr>
    </w:p>
    <w:sectPr w:rsidR="00F918DC" w:rsidRPr="00752CE5" w:rsidSect="0096419D">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B34" w:rsidRDefault="00300B34">
      <w:r>
        <w:separator/>
      </w:r>
    </w:p>
  </w:endnote>
  <w:endnote w:type="continuationSeparator" w:id="0">
    <w:p w:rsidR="00300B34" w:rsidRDefault="00300B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EC" w:rsidRPr="0004197B" w:rsidRDefault="0004197B" w:rsidP="0004197B">
    <w:pPr>
      <w:jc w:val="both"/>
      <w:rPr>
        <w:sz w:val="20"/>
        <w:szCs w:val="20"/>
      </w:rPr>
    </w:pPr>
    <w:r>
      <w:rPr>
        <w:sz w:val="20"/>
        <w:szCs w:val="20"/>
      </w:rPr>
      <w:t>EMAnot_021111_not1049</w:t>
    </w:r>
    <w:r w:rsidRPr="00F540A2">
      <w:rPr>
        <w:sz w:val="20"/>
        <w:szCs w:val="20"/>
      </w:rPr>
      <w:t xml:space="preserve">; </w:t>
    </w:r>
    <w:r w:rsidRPr="0004197B">
      <w:rPr>
        <w:sz w:val="20"/>
        <w:szCs w:val="20"/>
      </w:rPr>
      <w:t>Minis</w:t>
    </w:r>
    <w:r>
      <w:rPr>
        <w:sz w:val="20"/>
        <w:szCs w:val="20"/>
      </w:rPr>
      <w:t xml:space="preserve">tru kabineta noteikumu projekta </w:t>
    </w:r>
    <w:r w:rsidRPr="0004197B">
      <w:rPr>
        <w:sz w:val="20"/>
        <w:szCs w:val="20"/>
      </w:rPr>
      <w:t>„Grozījumi Ministru kabineta 2008.gada 16.decembra noteikumos Nr.1048 „Dabasgāzes piegādes un lietošanas noteikumi””</w:t>
    </w:r>
    <w:r w:rsidR="006C4282">
      <w:rPr>
        <w:sz w:val="20"/>
        <w:szCs w:val="20"/>
      </w:rPr>
      <w:t xml:space="preserve"> </w:t>
    </w:r>
    <w:r w:rsidRPr="0004197B">
      <w:rPr>
        <w:sz w:val="20"/>
        <w:szCs w:val="20"/>
      </w:rPr>
      <w:t>sākotnējās ietekmes n</w:t>
    </w:r>
    <w:r>
      <w:rPr>
        <w:sz w:val="20"/>
        <w:szCs w:val="20"/>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EC" w:rsidRPr="0004197B" w:rsidRDefault="00BC5856" w:rsidP="0004197B">
    <w:pPr>
      <w:jc w:val="both"/>
      <w:rPr>
        <w:sz w:val="20"/>
        <w:szCs w:val="20"/>
      </w:rPr>
    </w:pPr>
    <w:r>
      <w:rPr>
        <w:sz w:val="20"/>
        <w:szCs w:val="20"/>
      </w:rPr>
      <w:t>EMAnot_</w:t>
    </w:r>
    <w:r w:rsidR="0004197B">
      <w:rPr>
        <w:sz w:val="20"/>
        <w:szCs w:val="20"/>
      </w:rPr>
      <w:t>021111_not1049</w:t>
    </w:r>
    <w:r w:rsidR="00043D6E" w:rsidRPr="00F540A2">
      <w:rPr>
        <w:sz w:val="20"/>
        <w:szCs w:val="20"/>
      </w:rPr>
      <w:t xml:space="preserve">; </w:t>
    </w:r>
    <w:r w:rsidR="0004197B" w:rsidRPr="0004197B">
      <w:rPr>
        <w:sz w:val="20"/>
        <w:szCs w:val="20"/>
      </w:rPr>
      <w:t>Minis</w:t>
    </w:r>
    <w:r w:rsidR="0004197B">
      <w:rPr>
        <w:sz w:val="20"/>
        <w:szCs w:val="20"/>
      </w:rPr>
      <w:t xml:space="preserve">tru kabineta noteikumu projekta </w:t>
    </w:r>
    <w:r w:rsidR="0004197B" w:rsidRPr="0004197B">
      <w:rPr>
        <w:sz w:val="20"/>
        <w:szCs w:val="20"/>
      </w:rPr>
      <w:t>„Grozījumi Ministru kabineta 2008.gada 16.decembra noteikumos Nr.1048 „Dabasgāzes piegādes un lietošanas noteikumi””</w:t>
    </w:r>
    <w:r w:rsidR="006C4282">
      <w:rPr>
        <w:sz w:val="20"/>
        <w:szCs w:val="20"/>
      </w:rPr>
      <w:t xml:space="preserve"> </w:t>
    </w:r>
    <w:r w:rsidR="0004197B" w:rsidRPr="0004197B">
      <w:rPr>
        <w:sz w:val="20"/>
        <w:szCs w:val="20"/>
      </w:rPr>
      <w:t>sākotnējās ietekmes n</w:t>
    </w:r>
    <w:r w:rsidR="0004197B">
      <w:rPr>
        <w:sz w:val="20"/>
        <w:szCs w:val="20"/>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B34" w:rsidRDefault="00300B34">
      <w:r>
        <w:separator/>
      </w:r>
    </w:p>
  </w:footnote>
  <w:footnote w:type="continuationSeparator" w:id="0">
    <w:p w:rsidR="00300B34" w:rsidRDefault="00300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EC" w:rsidRDefault="00DB54D0" w:rsidP="0069090D">
    <w:pPr>
      <w:pStyle w:val="Header"/>
      <w:framePr w:wrap="around" w:vAnchor="text" w:hAnchor="margin" w:xAlign="center" w:y="1"/>
      <w:rPr>
        <w:rStyle w:val="PageNumber"/>
      </w:rPr>
    </w:pPr>
    <w:r>
      <w:rPr>
        <w:rStyle w:val="PageNumber"/>
      </w:rPr>
      <w:fldChar w:fldCharType="begin"/>
    </w:r>
    <w:r w:rsidR="008E13EC">
      <w:rPr>
        <w:rStyle w:val="PageNumber"/>
      </w:rPr>
      <w:instrText xml:space="preserve">PAGE  </w:instrText>
    </w:r>
    <w:r>
      <w:rPr>
        <w:rStyle w:val="PageNumber"/>
      </w:rPr>
      <w:fldChar w:fldCharType="end"/>
    </w:r>
  </w:p>
  <w:p w:rsidR="008E13EC" w:rsidRDefault="008E13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EC" w:rsidRDefault="00DB54D0" w:rsidP="0069090D">
    <w:pPr>
      <w:pStyle w:val="Header"/>
      <w:framePr w:wrap="around" w:vAnchor="text" w:hAnchor="margin" w:xAlign="center" w:y="1"/>
      <w:rPr>
        <w:rStyle w:val="PageNumber"/>
      </w:rPr>
    </w:pPr>
    <w:r>
      <w:rPr>
        <w:rStyle w:val="PageNumber"/>
      </w:rPr>
      <w:fldChar w:fldCharType="begin"/>
    </w:r>
    <w:r w:rsidR="008E13EC">
      <w:rPr>
        <w:rStyle w:val="PageNumber"/>
      </w:rPr>
      <w:instrText xml:space="preserve">PAGE  </w:instrText>
    </w:r>
    <w:r>
      <w:rPr>
        <w:rStyle w:val="PageNumber"/>
      </w:rPr>
      <w:fldChar w:fldCharType="separate"/>
    </w:r>
    <w:r w:rsidR="002520D0">
      <w:rPr>
        <w:rStyle w:val="PageNumber"/>
        <w:noProof/>
      </w:rPr>
      <w:t>2</w:t>
    </w:r>
    <w:r>
      <w:rPr>
        <w:rStyle w:val="PageNumber"/>
      </w:rPr>
      <w:fldChar w:fldCharType="end"/>
    </w:r>
  </w:p>
  <w:p w:rsidR="008E13EC" w:rsidRDefault="008E13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C262A"/>
    <w:multiLevelType w:val="hybridMultilevel"/>
    <w:tmpl w:val="8EC8145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901106"/>
    <w:rsid w:val="00007626"/>
    <w:rsid w:val="000107E9"/>
    <w:rsid w:val="00016706"/>
    <w:rsid w:val="000208C8"/>
    <w:rsid w:val="00027D65"/>
    <w:rsid w:val="00032439"/>
    <w:rsid w:val="0004197B"/>
    <w:rsid w:val="00043D6E"/>
    <w:rsid w:val="00047EB4"/>
    <w:rsid w:val="000518C9"/>
    <w:rsid w:val="00065058"/>
    <w:rsid w:val="00067623"/>
    <w:rsid w:val="00074D7F"/>
    <w:rsid w:val="00084FFA"/>
    <w:rsid w:val="000A4195"/>
    <w:rsid w:val="000C456E"/>
    <w:rsid w:val="000C46A1"/>
    <w:rsid w:val="000C4C42"/>
    <w:rsid w:val="000D58EF"/>
    <w:rsid w:val="000E5DFF"/>
    <w:rsid w:val="000F0EBF"/>
    <w:rsid w:val="00101F63"/>
    <w:rsid w:val="0011198A"/>
    <w:rsid w:val="0011297E"/>
    <w:rsid w:val="00115066"/>
    <w:rsid w:val="00116775"/>
    <w:rsid w:val="0011694D"/>
    <w:rsid w:val="001229B1"/>
    <w:rsid w:val="00123B6A"/>
    <w:rsid w:val="001250CF"/>
    <w:rsid w:val="00127BD5"/>
    <w:rsid w:val="00130C62"/>
    <w:rsid w:val="001330DA"/>
    <w:rsid w:val="00144611"/>
    <w:rsid w:val="00172510"/>
    <w:rsid w:val="00176A7C"/>
    <w:rsid w:val="00183231"/>
    <w:rsid w:val="0018325A"/>
    <w:rsid w:val="00197A7A"/>
    <w:rsid w:val="001C6B68"/>
    <w:rsid w:val="001D15A1"/>
    <w:rsid w:val="001E513B"/>
    <w:rsid w:val="001E6D78"/>
    <w:rsid w:val="001F79A3"/>
    <w:rsid w:val="00217E95"/>
    <w:rsid w:val="00233AB3"/>
    <w:rsid w:val="002372EE"/>
    <w:rsid w:val="0024451D"/>
    <w:rsid w:val="002520D0"/>
    <w:rsid w:val="002539FF"/>
    <w:rsid w:val="00264F0C"/>
    <w:rsid w:val="0029404F"/>
    <w:rsid w:val="002A49B7"/>
    <w:rsid w:val="002A5AC0"/>
    <w:rsid w:val="002A72B7"/>
    <w:rsid w:val="002C1DD4"/>
    <w:rsid w:val="002D386E"/>
    <w:rsid w:val="002D7BE4"/>
    <w:rsid w:val="002E6DED"/>
    <w:rsid w:val="002F08F7"/>
    <w:rsid w:val="002F4B61"/>
    <w:rsid w:val="00300B34"/>
    <w:rsid w:val="00302B03"/>
    <w:rsid w:val="003116D3"/>
    <w:rsid w:val="00311B83"/>
    <w:rsid w:val="003201F2"/>
    <w:rsid w:val="003219B8"/>
    <w:rsid w:val="00367254"/>
    <w:rsid w:val="00394216"/>
    <w:rsid w:val="003A6EEB"/>
    <w:rsid w:val="003B726C"/>
    <w:rsid w:val="003C1D6A"/>
    <w:rsid w:val="003C3945"/>
    <w:rsid w:val="003C776B"/>
    <w:rsid w:val="003D3A2E"/>
    <w:rsid w:val="003E30E7"/>
    <w:rsid w:val="003E55E6"/>
    <w:rsid w:val="003E5D9C"/>
    <w:rsid w:val="003E6004"/>
    <w:rsid w:val="003F78DC"/>
    <w:rsid w:val="004001C0"/>
    <w:rsid w:val="004135FF"/>
    <w:rsid w:val="00433140"/>
    <w:rsid w:val="00441E9B"/>
    <w:rsid w:val="004448A0"/>
    <w:rsid w:val="004475B5"/>
    <w:rsid w:val="00451BB7"/>
    <w:rsid w:val="00453C52"/>
    <w:rsid w:val="00480CEB"/>
    <w:rsid w:val="004816CB"/>
    <w:rsid w:val="004A3E48"/>
    <w:rsid w:val="004B644B"/>
    <w:rsid w:val="004C003C"/>
    <w:rsid w:val="004C098E"/>
    <w:rsid w:val="004E50A4"/>
    <w:rsid w:val="004F32B0"/>
    <w:rsid w:val="004F519B"/>
    <w:rsid w:val="00515127"/>
    <w:rsid w:val="005163CD"/>
    <w:rsid w:val="00522E66"/>
    <w:rsid w:val="00525514"/>
    <w:rsid w:val="0052568C"/>
    <w:rsid w:val="00532380"/>
    <w:rsid w:val="0055153F"/>
    <w:rsid w:val="00553D5B"/>
    <w:rsid w:val="0056165D"/>
    <w:rsid w:val="005616B3"/>
    <w:rsid w:val="005645DF"/>
    <w:rsid w:val="00581F0E"/>
    <w:rsid w:val="00582CFC"/>
    <w:rsid w:val="00585647"/>
    <w:rsid w:val="005859C4"/>
    <w:rsid w:val="005914EC"/>
    <w:rsid w:val="005A6A8A"/>
    <w:rsid w:val="005B141A"/>
    <w:rsid w:val="005D38C4"/>
    <w:rsid w:val="005E08CB"/>
    <w:rsid w:val="005E4BD7"/>
    <w:rsid w:val="005F13CD"/>
    <w:rsid w:val="005F15D9"/>
    <w:rsid w:val="005F5A49"/>
    <w:rsid w:val="00605935"/>
    <w:rsid w:val="006224DA"/>
    <w:rsid w:val="006237DC"/>
    <w:rsid w:val="00640C55"/>
    <w:rsid w:val="00654590"/>
    <w:rsid w:val="00656AFF"/>
    <w:rsid w:val="006578C8"/>
    <w:rsid w:val="00676A64"/>
    <w:rsid w:val="00677842"/>
    <w:rsid w:val="00685DAE"/>
    <w:rsid w:val="00687082"/>
    <w:rsid w:val="00687B5B"/>
    <w:rsid w:val="0069090D"/>
    <w:rsid w:val="00692007"/>
    <w:rsid w:val="006B27C5"/>
    <w:rsid w:val="006C4282"/>
    <w:rsid w:val="006D0611"/>
    <w:rsid w:val="006D1243"/>
    <w:rsid w:val="006D2701"/>
    <w:rsid w:val="006D4C56"/>
    <w:rsid w:val="006E03FB"/>
    <w:rsid w:val="006E0597"/>
    <w:rsid w:val="006F11D1"/>
    <w:rsid w:val="006F57A2"/>
    <w:rsid w:val="0070016E"/>
    <w:rsid w:val="00705208"/>
    <w:rsid w:val="00707E3D"/>
    <w:rsid w:val="00730EFD"/>
    <w:rsid w:val="0074043C"/>
    <w:rsid w:val="0074554B"/>
    <w:rsid w:val="007520AA"/>
    <w:rsid w:val="007523B9"/>
    <w:rsid w:val="00752CE5"/>
    <w:rsid w:val="007566D2"/>
    <w:rsid w:val="00761247"/>
    <w:rsid w:val="007660BD"/>
    <w:rsid w:val="00792915"/>
    <w:rsid w:val="007A25FE"/>
    <w:rsid w:val="007A3E0A"/>
    <w:rsid w:val="007A40C1"/>
    <w:rsid w:val="007A4662"/>
    <w:rsid w:val="007A5DD8"/>
    <w:rsid w:val="007D4609"/>
    <w:rsid w:val="007D61C6"/>
    <w:rsid w:val="007E01BB"/>
    <w:rsid w:val="007E1095"/>
    <w:rsid w:val="007E682B"/>
    <w:rsid w:val="007F066F"/>
    <w:rsid w:val="007F2189"/>
    <w:rsid w:val="007F75E9"/>
    <w:rsid w:val="0080108E"/>
    <w:rsid w:val="00821366"/>
    <w:rsid w:val="00830743"/>
    <w:rsid w:val="008424E9"/>
    <w:rsid w:val="008479D9"/>
    <w:rsid w:val="00847A01"/>
    <w:rsid w:val="0085033C"/>
    <w:rsid w:val="008531B4"/>
    <w:rsid w:val="0085450D"/>
    <w:rsid w:val="00855FCE"/>
    <w:rsid w:val="008571FA"/>
    <w:rsid w:val="00867608"/>
    <w:rsid w:val="00882EC0"/>
    <w:rsid w:val="00885E1F"/>
    <w:rsid w:val="00890345"/>
    <w:rsid w:val="008917A6"/>
    <w:rsid w:val="008A0672"/>
    <w:rsid w:val="008C0B62"/>
    <w:rsid w:val="008C0ED6"/>
    <w:rsid w:val="008D3B3E"/>
    <w:rsid w:val="008E13EC"/>
    <w:rsid w:val="008E795A"/>
    <w:rsid w:val="008F1B3E"/>
    <w:rsid w:val="008F6288"/>
    <w:rsid w:val="00900C4B"/>
    <w:rsid w:val="00901106"/>
    <w:rsid w:val="009059D1"/>
    <w:rsid w:val="009075B6"/>
    <w:rsid w:val="00913832"/>
    <w:rsid w:val="00915221"/>
    <w:rsid w:val="0091638C"/>
    <w:rsid w:val="00916E10"/>
    <w:rsid w:val="009231F9"/>
    <w:rsid w:val="0092576F"/>
    <w:rsid w:val="00926DB4"/>
    <w:rsid w:val="0092711A"/>
    <w:rsid w:val="00944184"/>
    <w:rsid w:val="00961CCE"/>
    <w:rsid w:val="0096419D"/>
    <w:rsid w:val="00970650"/>
    <w:rsid w:val="00990C3D"/>
    <w:rsid w:val="00991687"/>
    <w:rsid w:val="00992418"/>
    <w:rsid w:val="00992679"/>
    <w:rsid w:val="009B5DF8"/>
    <w:rsid w:val="009B6298"/>
    <w:rsid w:val="009C6CAE"/>
    <w:rsid w:val="009D04FE"/>
    <w:rsid w:val="009E327F"/>
    <w:rsid w:val="009E406F"/>
    <w:rsid w:val="009F2E15"/>
    <w:rsid w:val="00A421EB"/>
    <w:rsid w:val="00A545D2"/>
    <w:rsid w:val="00A66B67"/>
    <w:rsid w:val="00A7276A"/>
    <w:rsid w:val="00A743F3"/>
    <w:rsid w:val="00A74D9A"/>
    <w:rsid w:val="00A84032"/>
    <w:rsid w:val="00A86B4A"/>
    <w:rsid w:val="00A92537"/>
    <w:rsid w:val="00A9661B"/>
    <w:rsid w:val="00A97B52"/>
    <w:rsid w:val="00AC1E01"/>
    <w:rsid w:val="00AD083E"/>
    <w:rsid w:val="00AD3C28"/>
    <w:rsid w:val="00AF1513"/>
    <w:rsid w:val="00AF48AA"/>
    <w:rsid w:val="00B02AC0"/>
    <w:rsid w:val="00B06683"/>
    <w:rsid w:val="00B151E7"/>
    <w:rsid w:val="00B27BE6"/>
    <w:rsid w:val="00B44777"/>
    <w:rsid w:val="00B57F51"/>
    <w:rsid w:val="00B646F3"/>
    <w:rsid w:val="00B7072B"/>
    <w:rsid w:val="00B71AD5"/>
    <w:rsid w:val="00B73D68"/>
    <w:rsid w:val="00B8584A"/>
    <w:rsid w:val="00BA5212"/>
    <w:rsid w:val="00BB0068"/>
    <w:rsid w:val="00BB0531"/>
    <w:rsid w:val="00BC5856"/>
    <w:rsid w:val="00C05D06"/>
    <w:rsid w:val="00C1099D"/>
    <w:rsid w:val="00C21310"/>
    <w:rsid w:val="00C32A03"/>
    <w:rsid w:val="00C44751"/>
    <w:rsid w:val="00C51AD6"/>
    <w:rsid w:val="00C54B96"/>
    <w:rsid w:val="00C55EAC"/>
    <w:rsid w:val="00C56C2C"/>
    <w:rsid w:val="00C763BD"/>
    <w:rsid w:val="00C84858"/>
    <w:rsid w:val="00C84C5F"/>
    <w:rsid w:val="00C87D96"/>
    <w:rsid w:val="00C956F2"/>
    <w:rsid w:val="00CA78A2"/>
    <w:rsid w:val="00CA7CE3"/>
    <w:rsid w:val="00CC18EA"/>
    <w:rsid w:val="00CC4EEB"/>
    <w:rsid w:val="00CE1F4A"/>
    <w:rsid w:val="00CE6A48"/>
    <w:rsid w:val="00CE71F8"/>
    <w:rsid w:val="00D00B3C"/>
    <w:rsid w:val="00D012B6"/>
    <w:rsid w:val="00D01478"/>
    <w:rsid w:val="00D23742"/>
    <w:rsid w:val="00D32266"/>
    <w:rsid w:val="00D35563"/>
    <w:rsid w:val="00D35DA4"/>
    <w:rsid w:val="00D43AD0"/>
    <w:rsid w:val="00D561B1"/>
    <w:rsid w:val="00D8375E"/>
    <w:rsid w:val="00D873EA"/>
    <w:rsid w:val="00D91700"/>
    <w:rsid w:val="00DA7BE8"/>
    <w:rsid w:val="00DB0DCC"/>
    <w:rsid w:val="00DB1105"/>
    <w:rsid w:val="00DB54D0"/>
    <w:rsid w:val="00DB6EE3"/>
    <w:rsid w:val="00DC3C80"/>
    <w:rsid w:val="00DC7727"/>
    <w:rsid w:val="00DE65A8"/>
    <w:rsid w:val="00DF3C5A"/>
    <w:rsid w:val="00DF6E1C"/>
    <w:rsid w:val="00E31AA2"/>
    <w:rsid w:val="00E32C2F"/>
    <w:rsid w:val="00E55D3F"/>
    <w:rsid w:val="00E65216"/>
    <w:rsid w:val="00E73878"/>
    <w:rsid w:val="00EA14A8"/>
    <w:rsid w:val="00EA2D2A"/>
    <w:rsid w:val="00EA62CB"/>
    <w:rsid w:val="00EC6346"/>
    <w:rsid w:val="00ED43AD"/>
    <w:rsid w:val="00ED7FF7"/>
    <w:rsid w:val="00EE203A"/>
    <w:rsid w:val="00EF2DB6"/>
    <w:rsid w:val="00EF58ED"/>
    <w:rsid w:val="00F07C39"/>
    <w:rsid w:val="00F15A09"/>
    <w:rsid w:val="00F252D4"/>
    <w:rsid w:val="00F34C14"/>
    <w:rsid w:val="00F36346"/>
    <w:rsid w:val="00F37011"/>
    <w:rsid w:val="00F460CD"/>
    <w:rsid w:val="00F540A2"/>
    <w:rsid w:val="00F56862"/>
    <w:rsid w:val="00F72E09"/>
    <w:rsid w:val="00F73677"/>
    <w:rsid w:val="00F75438"/>
    <w:rsid w:val="00F7582E"/>
    <w:rsid w:val="00F764D7"/>
    <w:rsid w:val="00F80DD3"/>
    <w:rsid w:val="00F820C1"/>
    <w:rsid w:val="00F918DC"/>
    <w:rsid w:val="00F9418C"/>
    <w:rsid w:val="00F94406"/>
    <w:rsid w:val="00FA4C9F"/>
    <w:rsid w:val="00FA73F9"/>
    <w:rsid w:val="00FC308A"/>
    <w:rsid w:val="00FC42AA"/>
    <w:rsid w:val="00FE4C0C"/>
    <w:rsid w:val="00FF4674"/>
    <w:rsid w:val="00FF4DA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94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901106"/>
    <w:pPr>
      <w:spacing w:before="100" w:beforeAutospacing="1" w:after="100" w:afterAutospacing="1"/>
    </w:pPr>
    <w:rPr>
      <w:rFonts w:ascii="Verdana" w:hAnsi="Verdana"/>
      <w:sz w:val="18"/>
      <w:szCs w:val="18"/>
    </w:rPr>
  </w:style>
  <w:style w:type="paragraph" w:customStyle="1" w:styleId="naislab">
    <w:name w:val="naislab"/>
    <w:basedOn w:val="Normal"/>
    <w:rsid w:val="00901106"/>
    <w:pPr>
      <w:spacing w:before="75" w:after="75"/>
      <w:jc w:val="right"/>
    </w:pPr>
    <w:rPr>
      <w:sz w:val="24"/>
    </w:rPr>
  </w:style>
  <w:style w:type="paragraph" w:customStyle="1" w:styleId="naiskr">
    <w:name w:val="naiskr"/>
    <w:basedOn w:val="Normal"/>
    <w:rsid w:val="00901106"/>
    <w:pPr>
      <w:spacing w:before="75" w:after="75"/>
    </w:pPr>
    <w:rPr>
      <w:sz w:val="24"/>
    </w:rPr>
  </w:style>
  <w:style w:type="character" w:styleId="Hyperlink">
    <w:name w:val="Hyperlink"/>
    <w:basedOn w:val="DefaultParagraphFont"/>
    <w:uiPriority w:val="99"/>
    <w:rsid w:val="00901106"/>
    <w:rPr>
      <w:color w:val="0000FF"/>
      <w:u w:val="single"/>
    </w:rPr>
  </w:style>
  <w:style w:type="paragraph" w:styleId="Header">
    <w:name w:val="header"/>
    <w:basedOn w:val="Normal"/>
    <w:rsid w:val="0011198A"/>
    <w:pPr>
      <w:tabs>
        <w:tab w:val="center" w:pos="4153"/>
        <w:tab w:val="right" w:pos="8306"/>
      </w:tabs>
    </w:pPr>
  </w:style>
  <w:style w:type="paragraph" w:styleId="Footer">
    <w:name w:val="footer"/>
    <w:basedOn w:val="Normal"/>
    <w:rsid w:val="0011198A"/>
    <w:pPr>
      <w:tabs>
        <w:tab w:val="center" w:pos="4153"/>
        <w:tab w:val="right" w:pos="8306"/>
      </w:tabs>
    </w:pPr>
  </w:style>
  <w:style w:type="paragraph" w:customStyle="1" w:styleId="naisf">
    <w:name w:val="naisf"/>
    <w:basedOn w:val="Normal"/>
    <w:rsid w:val="00F918DC"/>
    <w:pPr>
      <w:spacing w:before="75" w:after="75"/>
      <w:ind w:firstLine="375"/>
      <w:jc w:val="both"/>
    </w:pPr>
    <w:rPr>
      <w:sz w:val="24"/>
    </w:rPr>
  </w:style>
  <w:style w:type="character" w:styleId="PageNumber">
    <w:name w:val="page number"/>
    <w:basedOn w:val="DefaultParagraphFont"/>
    <w:rsid w:val="006E0597"/>
  </w:style>
  <w:style w:type="paragraph" w:styleId="BodyText">
    <w:name w:val="Body Text"/>
    <w:basedOn w:val="Normal"/>
    <w:rsid w:val="00127BD5"/>
    <w:pPr>
      <w:spacing w:line="360" w:lineRule="auto"/>
      <w:jc w:val="both"/>
    </w:pPr>
    <w:rPr>
      <w:lang w:eastAsia="en-US"/>
    </w:rPr>
  </w:style>
  <w:style w:type="paragraph" w:styleId="BalloonText">
    <w:name w:val="Balloon Text"/>
    <w:basedOn w:val="Normal"/>
    <w:link w:val="BalloonTextChar"/>
    <w:rsid w:val="00BC5856"/>
    <w:rPr>
      <w:rFonts w:ascii="Tahoma" w:hAnsi="Tahoma" w:cs="Tahoma"/>
      <w:sz w:val="16"/>
      <w:szCs w:val="16"/>
    </w:rPr>
  </w:style>
  <w:style w:type="character" w:customStyle="1" w:styleId="BalloonTextChar">
    <w:name w:val="Balloon Text Char"/>
    <w:basedOn w:val="DefaultParagraphFont"/>
    <w:link w:val="BalloonText"/>
    <w:rsid w:val="00BC5856"/>
    <w:rPr>
      <w:rFonts w:ascii="Tahoma" w:hAnsi="Tahoma" w:cs="Tahoma"/>
      <w:sz w:val="16"/>
      <w:szCs w:val="16"/>
    </w:rPr>
  </w:style>
  <w:style w:type="character" w:customStyle="1" w:styleId="NormalWebChar">
    <w:name w:val="Normal (Web) Char"/>
    <w:basedOn w:val="DefaultParagraphFont"/>
    <w:link w:val="NormalWeb"/>
    <w:locked/>
    <w:rsid w:val="00BC5856"/>
    <w:rPr>
      <w:rFonts w:ascii="Verdana" w:hAnsi="Verdana"/>
      <w:sz w:val="18"/>
      <w:szCs w:val="18"/>
    </w:rPr>
  </w:style>
  <w:style w:type="paragraph" w:styleId="ListParagraph">
    <w:name w:val="List Paragraph"/>
    <w:basedOn w:val="Normal"/>
    <w:uiPriority w:val="34"/>
    <w:qFormat/>
    <w:rsid w:val="00867608"/>
    <w:pPr>
      <w:ind w:left="720"/>
      <w:contextualSpacing/>
    </w:pPr>
  </w:style>
</w:styles>
</file>

<file path=word/webSettings.xml><?xml version="1.0" encoding="utf-8"?>
<w:webSettings xmlns:r="http://schemas.openxmlformats.org/officeDocument/2006/relationships" xmlns:w="http://schemas.openxmlformats.org/wordprocessingml/2006/main">
  <w:divs>
    <w:div w:id="213348766">
      <w:bodyDiv w:val="1"/>
      <w:marLeft w:val="0"/>
      <w:marRight w:val="0"/>
      <w:marTop w:val="0"/>
      <w:marBottom w:val="0"/>
      <w:divBdr>
        <w:top w:val="none" w:sz="0" w:space="0" w:color="auto"/>
        <w:left w:val="none" w:sz="0" w:space="0" w:color="auto"/>
        <w:bottom w:val="none" w:sz="0" w:space="0" w:color="auto"/>
        <w:right w:val="none" w:sz="0" w:space="0" w:color="auto"/>
      </w:divBdr>
      <w:divsChild>
        <w:div w:id="73204263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49899779">
      <w:bodyDiv w:val="1"/>
      <w:marLeft w:val="0"/>
      <w:marRight w:val="0"/>
      <w:marTop w:val="0"/>
      <w:marBottom w:val="0"/>
      <w:divBdr>
        <w:top w:val="none" w:sz="0" w:space="0" w:color="auto"/>
        <w:left w:val="none" w:sz="0" w:space="0" w:color="auto"/>
        <w:bottom w:val="none" w:sz="0" w:space="0" w:color="auto"/>
        <w:right w:val="none" w:sz="0" w:space="0" w:color="auto"/>
      </w:divBdr>
      <w:divsChild>
        <w:div w:id="5225957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37733608">
      <w:bodyDiv w:val="1"/>
      <w:marLeft w:val="0"/>
      <w:marRight w:val="0"/>
      <w:marTop w:val="0"/>
      <w:marBottom w:val="0"/>
      <w:divBdr>
        <w:top w:val="none" w:sz="0" w:space="0" w:color="auto"/>
        <w:left w:val="none" w:sz="0" w:space="0" w:color="auto"/>
        <w:bottom w:val="none" w:sz="0" w:space="0" w:color="auto"/>
        <w:right w:val="none" w:sz="0" w:space="0" w:color="auto"/>
      </w:divBdr>
    </w:div>
    <w:div w:id="1236890244">
      <w:bodyDiv w:val="1"/>
      <w:marLeft w:val="0"/>
      <w:marRight w:val="0"/>
      <w:marTop w:val="0"/>
      <w:marBottom w:val="0"/>
      <w:divBdr>
        <w:top w:val="none" w:sz="0" w:space="0" w:color="auto"/>
        <w:left w:val="none" w:sz="0" w:space="0" w:color="auto"/>
        <w:bottom w:val="none" w:sz="0" w:space="0" w:color="auto"/>
        <w:right w:val="none" w:sz="0" w:space="0" w:color="auto"/>
      </w:divBdr>
      <w:divsChild>
        <w:div w:id="112434848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62321222">
      <w:bodyDiv w:val="1"/>
      <w:marLeft w:val="0"/>
      <w:marRight w:val="0"/>
      <w:marTop w:val="0"/>
      <w:marBottom w:val="0"/>
      <w:divBdr>
        <w:top w:val="none" w:sz="0" w:space="0" w:color="auto"/>
        <w:left w:val="none" w:sz="0" w:space="0" w:color="auto"/>
        <w:bottom w:val="none" w:sz="0" w:space="0" w:color="auto"/>
        <w:right w:val="none" w:sz="0" w:space="0" w:color="auto"/>
      </w:divBdr>
      <w:divsChild>
        <w:div w:id="906682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67661803">
      <w:bodyDiv w:val="1"/>
      <w:marLeft w:val="0"/>
      <w:marRight w:val="0"/>
      <w:marTop w:val="0"/>
      <w:marBottom w:val="0"/>
      <w:divBdr>
        <w:top w:val="none" w:sz="0" w:space="0" w:color="auto"/>
        <w:left w:val="none" w:sz="0" w:space="0" w:color="auto"/>
        <w:bottom w:val="none" w:sz="0" w:space="0" w:color="auto"/>
        <w:right w:val="none" w:sz="0" w:space="0" w:color="auto"/>
      </w:divBdr>
      <w:divsChild>
        <w:div w:id="6130979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357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E7135-0EA2-40D6-BA3B-1E50ED89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445</Words>
  <Characters>3232</Characters>
  <Application>Microsoft Office Word</Application>
  <DocSecurity>0</DocSecurity>
  <Lines>104</Lines>
  <Paragraphs>43</Paragraphs>
  <ScaleCrop>false</ScaleCrop>
  <HeadingPairs>
    <vt:vector size="2" baseType="variant">
      <vt:variant>
        <vt:lpstr>Title</vt:lpstr>
      </vt:variant>
      <vt:variant>
        <vt:i4>1</vt:i4>
      </vt:variant>
    </vt:vector>
  </HeadingPairs>
  <TitlesOfParts>
    <vt:vector size="1" baseType="lpstr">
      <vt:lpstr>Grozījumi Ministru kabineta 2008.gada 16.decembra noteikumos Nr.1048 „Dabasgāzes piegādes un lietošanas noteikumi”</vt:lpstr>
    </vt:vector>
  </TitlesOfParts>
  <Company>LR Ekonomikas ministrija</Company>
  <LinksUpToDate>false</LinksUpToDate>
  <CharactersWithSpaces>3634</CharactersWithSpaces>
  <SharedDoc>false</SharedDoc>
  <HLinks>
    <vt:vector size="6" baseType="variant">
      <vt:variant>
        <vt:i4>1376294</vt:i4>
      </vt:variant>
      <vt:variant>
        <vt:i4>0</vt:i4>
      </vt:variant>
      <vt:variant>
        <vt:i4>0</vt:i4>
      </vt:variant>
      <vt:variant>
        <vt:i4>5</vt:i4>
      </vt:variant>
      <vt:variant>
        <vt:lpwstr>mailto:Agnese.Laizane@em.gov.lv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16.decembra noteikumos Nr.1048 „Dabasgāzes piegādes un lietošanas noteikumi”” anotācija</dc:title>
  <dc:subject>Anotācija</dc:subject>
  <dc:creator>Indra Niedrīte</dc:creator>
  <cp:keywords/>
  <dc:description>Indra Niedrīte
67013168, 
Indra.Niedrite@em.gov.lv </dc:description>
  <cp:lastModifiedBy>Indra Niedrīte</cp:lastModifiedBy>
  <cp:revision>8</cp:revision>
  <cp:lastPrinted>2011-02-04T13:42:00Z</cp:lastPrinted>
  <dcterms:created xsi:type="dcterms:W3CDTF">2011-11-02T09:45:00Z</dcterms:created>
  <dcterms:modified xsi:type="dcterms:W3CDTF">2011-11-02T10:31:00Z</dcterms:modified>
</cp:coreProperties>
</file>