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94" w:rsidRPr="00177449" w:rsidRDefault="00B8658B" w:rsidP="00EA2B05">
      <w:pPr>
        <w:pStyle w:val="naisc"/>
        <w:spacing w:before="0" w:after="120"/>
        <w:rPr>
          <w:b/>
          <w:sz w:val="28"/>
          <w:szCs w:val="28"/>
        </w:rPr>
      </w:pPr>
      <w:r w:rsidRPr="00887386">
        <w:rPr>
          <w:b/>
          <w:bCs/>
          <w:sz w:val="28"/>
          <w:szCs w:val="28"/>
        </w:rPr>
        <w:t>Noteikumu projekta „</w:t>
      </w:r>
      <w:r w:rsidR="000853FD">
        <w:rPr>
          <w:b/>
          <w:bCs/>
          <w:sz w:val="28"/>
          <w:szCs w:val="28"/>
        </w:rPr>
        <w:t xml:space="preserve">Noteikumi par ēku </w:t>
      </w:r>
      <w:r w:rsidR="00A90C97" w:rsidRPr="00A90C97">
        <w:rPr>
          <w:b/>
          <w:bCs/>
          <w:sz w:val="28"/>
          <w:szCs w:val="28"/>
        </w:rPr>
        <w:t>energo</w:t>
      </w:r>
      <w:r w:rsidR="000853FD">
        <w:rPr>
          <w:b/>
          <w:bCs/>
          <w:sz w:val="28"/>
          <w:szCs w:val="28"/>
        </w:rPr>
        <w:t>sertifikāciju</w:t>
      </w:r>
      <w:r w:rsidRPr="00887386">
        <w:rPr>
          <w:b/>
          <w:bCs/>
          <w:sz w:val="28"/>
          <w:szCs w:val="28"/>
        </w:rPr>
        <w:t xml:space="preserve">” </w:t>
      </w:r>
      <w:r w:rsidRPr="00177449">
        <w:rPr>
          <w:b/>
          <w:sz w:val="28"/>
          <w:szCs w:val="28"/>
        </w:rPr>
        <w:t xml:space="preserve">sākotnējās ietekmes novērtējuma </w:t>
      </w:r>
      <w:smartTag w:uri="schemas-tilde-lv/tildestengine" w:element="veidnes">
        <w:smartTagPr>
          <w:attr w:name="id" w:val="-1"/>
          <w:attr w:name="baseform" w:val="ziņojums"/>
          <w:attr w:name="text" w:val="ziņojums"/>
        </w:smartTagPr>
        <w:r w:rsidRPr="00177449">
          <w:rPr>
            <w:b/>
            <w:sz w:val="28"/>
            <w:szCs w:val="28"/>
          </w:rPr>
          <w:t>ziņojums</w:t>
        </w:r>
      </w:smartTag>
      <w:r w:rsidRPr="00177449">
        <w:rPr>
          <w:b/>
          <w:sz w:val="28"/>
          <w:szCs w:val="28"/>
        </w:rPr>
        <w:t xml:space="preserve">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36"/>
        <w:gridCol w:w="2060"/>
        <w:gridCol w:w="6831"/>
      </w:tblGrid>
      <w:tr w:rsidR="00B8658B" w:rsidRPr="00177449" w:rsidTr="000B5132">
        <w:tc>
          <w:tcPr>
            <w:tcW w:w="5000" w:type="pct"/>
            <w:gridSpan w:val="3"/>
            <w:vAlign w:val="center"/>
          </w:tcPr>
          <w:p w:rsidR="00B8658B" w:rsidRPr="00177449" w:rsidRDefault="00B8658B" w:rsidP="00B8658B">
            <w:pPr>
              <w:pStyle w:val="naisnod"/>
              <w:spacing w:before="120" w:after="120"/>
            </w:pPr>
            <w:r w:rsidRPr="00177449">
              <w:t>I. Tiesību akta projekta izstrādes nepieciešamība</w:t>
            </w:r>
          </w:p>
        </w:tc>
      </w:tr>
      <w:tr w:rsidR="00B8658B" w:rsidRPr="00177449" w:rsidTr="00131EC7">
        <w:tc>
          <w:tcPr>
            <w:tcW w:w="0" w:type="auto"/>
          </w:tcPr>
          <w:p w:rsidR="00B8658B" w:rsidRPr="00177449" w:rsidRDefault="00B8658B" w:rsidP="00B8658B">
            <w:pPr>
              <w:pStyle w:val="naiskr"/>
              <w:spacing w:before="0" w:beforeAutospacing="0" w:after="0" w:afterAutospacing="0"/>
              <w:rPr>
                <w:lang w:val="lv-LV"/>
              </w:rPr>
            </w:pPr>
            <w:r w:rsidRPr="00177449">
              <w:rPr>
                <w:lang w:val="lv-LV"/>
              </w:rPr>
              <w:t>1.</w:t>
            </w:r>
          </w:p>
        </w:tc>
        <w:tc>
          <w:tcPr>
            <w:tcW w:w="1129" w:type="pct"/>
          </w:tcPr>
          <w:p w:rsidR="00B8658B" w:rsidRPr="00177449" w:rsidRDefault="00B8658B" w:rsidP="00B8658B">
            <w:pPr>
              <w:pStyle w:val="naiskr"/>
              <w:spacing w:before="0" w:beforeAutospacing="0" w:after="0" w:afterAutospacing="0"/>
              <w:ind w:hanging="10"/>
              <w:rPr>
                <w:lang w:val="lv-LV"/>
              </w:rPr>
            </w:pPr>
            <w:r w:rsidRPr="00177449">
              <w:rPr>
                <w:lang w:val="lv-LV"/>
              </w:rPr>
              <w:t>Pamatojums</w:t>
            </w:r>
          </w:p>
        </w:tc>
        <w:tc>
          <w:tcPr>
            <w:tcW w:w="3742" w:type="pct"/>
          </w:tcPr>
          <w:p w:rsidR="000853FD" w:rsidRPr="000853FD" w:rsidRDefault="00F057E2" w:rsidP="00106621">
            <w:pPr>
              <w:pStyle w:val="naiskr"/>
              <w:spacing w:before="0" w:beforeAutospacing="0" w:after="0" w:afterAutospacing="0"/>
              <w:ind w:hanging="6"/>
              <w:jc w:val="both"/>
              <w:rPr>
                <w:lang w:val="lv-LV"/>
              </w:rPr>
            </w:pPr>
            <w:r w:rsidRPr="000853FD">
              <w:rPr>
                <w:lang w:val="lv-LV"/>
              </w:rPr>
              <w:t>Ēku energoefektivitātes likuma 7.</w:t>
            </w:r>
            <w:r>
              <w:rPr>
                <w:lang w:val="lv-LV"/>
              </w:rPr>
              <w:t> </w:t>
            </w:r>
            <w:r w:rsidRPr="000853FD">
              <w:rPr>
                <w:lang w:val="lv-LV"/>
              </w:rPr>
              <w:t>panta treš</w:t>
            </w:r>
            <w:r>
              <w:rPr>
                <w:lang w:val="lv-LV"/>
              </w:rPr>
              <w:t>ā</w:t>
            </w:r>
            <w:r w:rsidRPr="000853FD">
              <w:rPr>
                <w:lang w:val="lv-LV"/>
              </w:rPr>
              <w:t xml:space="preserve"> daļ</w:t>
            </w:r>
            <w:r>
              <w:rPr>
                <w:lang w:val="lv-LV"/>
              </w:rPr>
              <w:t>a</w:t>
            </w:r>
            <w:r w:rsidRPr="000853FD">
              <w:rPr>
                <w:lang w:val="lv-LV"/>
              </w:rPr>
              <w:t>, 8.</w:t>
            </w:r>
            <w:r>
              <w:rPr>
                <w:lang w:val="lv-LV"/>
              </w:rPr>
              <w:t> </w:t>
            </w:r>
            <w:r w:rsidRPr="000853FD">
              <w:rPr>
                <w:lang w:val="lv-LV"/>
              </w:rPr>
              <w:t xml:space="preserve">panta </w:t>
            </w:r>
            <w:r>
              <w:rPr>
                <w:lang w:val="lv-LV"/>
              </w:rPr>
              <w:t>astotā</w:t>
            </w:r>
            <w:r w:rsidRPr="000853FD">
              <w:rPr>
                <w:lang w:val="lv-LV"/>
              </w:rPr>
              <w:t xml:space="preserve"> daļ</w:t>
            </w:r>
            <w:r>
              <w:rPr>
                <w:lang w:val="lv-LV"/>
              </w:rPr>
              <w:t>a</w:t>
            </w:r>
            <w:r w:rsidRPr="000853FD">
              <w:rPr>
                <w:lang w:val="lv-LV"/>
              </w:rPr>
              <w:t>,</w:t>
            </w:r>
            <w:r>
              <w:rPr>
                <w:lang w:val="lv-LV"/>
              </w:rPr>
              <w:t xml:space="preserve"> </w:t>
            </w:r>
            <w:r w:rsidRPr="000853FD">
              <w:rPr>
                <w:lang w:val="lv-LV"/>
              </w:rPr>
              <w:t>9.</w:t>
            </w:r>
            <w:r>
              <w:rPr>
                <w:lang w:val="lv-LV"/>
              </w:rPr>
              <w:t> </w:t>
            </w:r>
            <w:r w:rsidRPr="000853FD">
              <w:rPr>
                <w:lang w:val="lv-LV"/>
              </w:rPr>
              <w:t>panta piekt</w:t>
            </w:r>
            <w:r>
              <w:rPr>
                <w:lang w:val="lv-LV"/>
              </w:rPr>
              <w:t>ā</w:t>
            </w:r>
            <w:r w:rsidRPr="000853FD">
              <w:rPr>
                <w:lang w:val="lv-LV"/>
              </w:rPr>
              <w:t xml:space="preserve"> daļ</w:t>
            </w:r>
            <w:r>
              <w:rPr>
                <w:lang w:val="lv-LV"/>
              </w:rPr>
              <w:t>a</w:t>
            </w:r>
            <w:r w:rsidRPr="000853FD">
              <w:rPr>
                <w:lang w:val="lv-LV"/>
              </w:rPr>
              <w:t>, 10.</w:t>
            </w:r>
            <w:r>
              <w:rPr>
                <w:lang w:val="lv-LV"/>
              </w:rPr>
              <w:t> </w:t>
            </w:r>
            <w:r w:rsidRPr="000853FD">
              <w:rPr>
                <w:lang w:val="lv-LV"/>
              </w:rPr>
              <w:t>panta treš</w:t>
            </w:r>
            <w:r>
              <w:rPr>
                <w:lang w:val="lv-LV"/>
              </w:rPr>
              <w:t>ā</w:t>
            </w:r>
            <w:r w:rsidRPr="000853FD">
              <w:rPr>
                <w:lang w:val="lv-LV"/>
              </w:rPr>
              <w:t xml:space="preserve"> daļ</w:t>
            </w:r>
            <w:r>
              <w:rPr>
                <w:lang w:val="lv-LV"/>
              </w:rPr>
              <w:t>a</w:t>
            </w:r>
            <w:r w:rsidRPr="000853FD">
              <w:rPr>
                <w:lang w:val="lv-LV"/>
              </w:rPr>
              <w:t>, 11.</w:t>
            </w:r>
            <w:r>
              <w:rPr>
                <w:lang w:val="lv-LV"/>
              </w:rPr>
              <w:t> </w:t>
            </w:r>
            <w:r w:rsidRPr="000853FD">
              <w:rPr>
                <w:lang w:val="lv-LV"/>
              </w:rPr>
              <w:t>panta  treš</w:t>
            </w:r>
            <w:r>
              <w:rPr>
                <w:lang w:val="lv-LV"/>
              </w:rPr>
              <w:t>ā</w:t>
            </w:r>
            <w:r w:rsidRPr="000853FD">
              <w:rPr>
                <w:lang w:val="lv-LV"/>
              </w:rPr>
              <w:t xml:space="preserve"> daļ</w:t>
            </w:r>
            <w:r>
              <w:rPr>
                <w:lang w:val="lv-LV"/>
              </w:rPr>
              <w:t>a.</w:t>
            </w:r>
          </w:p>
        </w:tc>
      </w:tr>
      <w:tr w:rsidR="00B8658B" w:rsidRPr="00177449" w:rsidTr="00131EC7">
        <w:tc>
          <w:tcPr>
            <w:tcW w:w="0" w:type="auto"/>
          </w:tcPr>
          <w:p w:rsidR="00B8658B" w:rsidRPr="00177449" w:rsidRDefault="00B8658B" w:rsidP="00B8658B">
            <w:pPr>
              <w:pStyle w:val="naiskr"/>
              <w:spacing w:before="0" w:beforeAutospacing="0" w:after="0" w:afterAutospacing="0"/>
              <w:rPr>
                <w:lang w:val="lv-LV"/>
              </w:rPr>
            </w:pPr>
            <w:r w:rsidRPr="00177449">
              <w:rPr>
                <w:lang w:val="lv-LV"/>
              </w:rPr>
              <w:t>2.</w:t>
            </w:r>
          </w:p>
        </w:tc>
        <w:tc>
          <w:tcPr>
            <w:tcW w:w="1129" w:type="pct"/>
          </w:tcPr>
          <w:p w:rsidR="00B8658B" w:rsidRPr="00177449" w:rsidRDefault="00B8658B" w:rsidP="00B8658B">
            <w:pPr>
              <w:pStyle w:val="naiskr"/>
              <w:tabs>
                <w:tab w:val="left" w:pos="170"/>
              </w:tabs>
              <w:spacing w:before="0" w:beforeAutospacing="0" w:after="0" w:afterAutospacing="0"/>
              <w:rPr>
                <w:lang w:val="lv-LV"/>
              </w:rPr>
            </w:pPr>
            <w:r w:rsidRPr="00177449">
              <w:rPr>
                <w:lang w:val="lv-LV"/>
              </w:rPr>
              <w:t>Pašreizējā situācija un problēmas</w:t>
            </w:r>
          </w:p>
        </w:tc>
        <w:tc>
          <w:tcPr>
            <w:tcW w:w="3742" w:type="pct"/>
          </w:tcPr>
          <w:p w:rsidR="00F057E2" w:rsidRDefault="00F057E2" w:rsidP="00F057E2">
            <w:pPr>
              <w:pStyle w:val="naiskr"/>
              <w:spacing w:before="0" w:beforeAutospacing="0" w:after="0" w:afterAutospacing="0"/>
              <w:jc w:val="both"/>
              <w:rPr>
                <w:lang w:val="lv-LV"/>
              </w:rPr>
            </w:pPr>
            <w:r>
              <w:rPr>
                <w:lang w:val="lv-LV"/>
              </w:rPr>
              <w:t xml:space="preserve">   Šobrīd ēku energosertifikāciju regulē Ministru kabineta 2010. gada 8. jūnija noteikumi </w:t>
            </w:r>
            <w:proofErr w:type="spellStart"/>
            <w:r>
              <w:rPr>
                <w:lang w:val="lv-LV"/>
              </w:rPr>
              <w:t>Nr</w:t>
            </w:r>
            <w:proofErr w:type="spellEnd"/>
            <w:r>
              <w:rPr>
                <w:lang w:val="lv-LV"/>
              </w:rPr>
              <w:t xml:space="preserve">. 504 „Noteikumi par ēku energosertifikāciju” (turpmāk – noteikumi </w:t>
            </w:r>
            <w:proofErr w:type="spellStart"/>
            <w:r>
              <w:rPr>
                <w:lang w:val="lv-LV"/>
              </w:rPr>
              <w:t>Nr</w:t>
            </w:r>
            <w:proofErr w:type="spellEnd"/>
            <w:r>
              <w:rPr>
                <w:lang w:val="lv-LV"/>
              </w:rPr>
              <w:t>. 504).</w:t>
            </w:r>
          </w:p>
          <w:p w:rsidR="00F057E2" w:rsidRDefault="00F057E2" w:rsidP="00F057E2">
            <w:pPr>
              <w:pStyle w:val="naiskr"/>
              <w:spacing w:before="0" w:beforeAutospacing="0" w:after="0" w:afterAutospacing="0"/>
              <w:jc w:val="both"/>
              <w:rPr>
                <w:lang w:val="lv-LV"/>
              </w:rPr>
            </w:pPr>
            <w:r>
              <w:rPr>
                <w:lang w:val="lv-LV"/>
              </w:rPr>
              <w:t xml:space="preserve">  </w:t>
            </w:r>
            <w:r w:rsidRPr="00382F12">
              <w:rPr>
                <w:lang w:val="lv-LV"/>
              </w:rPr>
              <w:t xml:space="preserve"> Eiropas Parlaments un Padome 2010. gada 19. maijā pieņēma direktīvu 2010/31/ES par ēku energoefektivitāti (turpmāk – direktīva 2010/31/ES), kura aizstāj  Eiropas Parlamenta un Padomes 2002.</w:t>
            </w:r>
            <w:r>
              <w:rPr>
                <w:lang w:val="lv-LV"/>
              </w:rPr>
              <w:t> </w:t>
            </w:r>
            <w:r w:rsidRPr="00382F12">
              <w:rPr>
                <w:lang w:val="lv-LV"/>
              </w:rPr>
              <w:t>gada 16.</w:t>
            </w:r>
            <w:r>
              <w:rPr>
                <w:lang w:val="lv-LV"/>
              </w:rPr>
              <w:t> </w:t>
            </w:r>
            <w:r w:rsidRPr="00382F12">
              <w:rPr>
                <w:lang w:val="lv-LV"/>
              </w:rPr>
              <w:t>decembra direktīvu 2002/91/EK par ēku energoefektivitāti (turpmāk – direktīva 2002/91/EK).</w:t>
            </w:r>
          </w:p>
          <w:p w:rsidR="00F057E2" w:rsidRDefault="00F057E2" w:rsidP="00F057E2">
            <w:pPr>
              <w:pStyle w:val="naiskr"/>
              <w:spacing w:before="0" w:beforeAutospacing="0" w:after="0" w:afterAutospacing="0"/>
              <w:jc w:val="both"/>
              <w:rPr>
                <w:lang w:val="lv-LV"/>
              </w:rPr>
            </w:pPr>
            <w:r>
              <w:rPr>
                <w:lang w:val="lv-LV"/>
              </w:rPr>
              <w:t xml:space="preserve">    Lai nodrošinātu </w:t>
            </w:r>
            <w:r w:rsidRPr="00382F12">
              <w:rPr>
                <w:lang w:val="lv-LV"/>
              </w:rPr>
              <w:t>direktīva</w:t>
            </w:r>
            <w:r>
              <w:rPr>
                <w:lang w:val="lv-LV"/>
              </w:rPr>
              <w:t>s</w:t>
            </w:r>
            <w:r w:rsidRPr="00382F12">
              <w:rPr>
                <w:lang w:val="lv-LV"/>
              </w:rPr>
              <w:t xml:space="preserve"> 2010/3</w:t>
            </w:r>
            <w:r>
              <w:rPr>
                <w:lang w:val="lv-LV"/>
              </w:rPr>
              <w:t>1/ES par ēku energoefektivitāti prasību pārņemšanu Saeimā 2012. gada 6. decembrī</w:t>
            </w:r>
            <w:r>
              <w:rPr>
                <w:sz w:val="28"/>
                <w:lang w:val="lv-LV"/>
              </w:rPr>
              <w:t> </w:t>
            </w:r>
            <w:r>
              <w:rPr>
                <w:lang w:val="lv-LV"/>
              </w:rPr>
              <w:t xml:space="preserve">pieņemts Ēku energoefektivitātes likumu, kas stājās spēkā 2013. gada 9. janvārī. Ar minētā likuma spēkā stāšanos spēku zaudēja iepriekš spēkā esošais Ēku energoefektivitātes likums (2008. gada 13. marts). </w:t>
            </w:r>
          </w:p>
          <w:p w:rsidR="00F057E2" w:rsidRDefault="00F057E2" w:rsidP="00F057E2">
            <w:pPr>
              <w:pStyle w:val="naiskr"/>
              <w:spacing w:before="0" w:beforeAutospacing="0" w:after="0" w:afterAutospacing="0"/>
              <w:jc w:val="both"/>
              <w:rPr>
                <w:lang w:val="lv-LV"/>
              </w:rPr>
            </w:pPr>
            <w:r>
              <w:rPr>
                <w:lang w:val="lv-LV"/>
              </w:rPr>
              <w:t xml:space="preserve">   Ēku energoefektivitātes likumā Ministru kabinetam doti deleģējumi noteikt:</w:t>
            </w:r>
          </w:p>
          <w:p w:rsidR="00F057E2" w:rsidRPr="006A1045" w:rsidRDefault="00F057E2" w:rsidP="00F057E2">
            <w:pPr>
              <w:pStyle w:val="naiskr"/>
              <w:spacing w:before="0" w:beforeAutospacing="0" w:after="0" w:afterAutospacing="0"/>
              <w:jc w:val="both"/>
              <w:rPr>
                <w:lang w:val="lv-LV"/>
              </w:rPr>
            </w:pPr>
            <w:r>
              <w:rPr>
                <w:lang w:val="lv-LV"/>
              </w:rPr>
              <w:t xml:space="preserve">  - </w:t>
            </w:r>
            <w:r w:rsidRPr="006A1045">
              <w:rPr>
                <w:lang w:val="lv-LV"/>
              </w:rPr>
              <w:t>ēku energosertifikācijas kārtību</w:t>
            </w:r>
            <w:r>
              <w:rPr>
                <w:lang w:val="lv-LV"/>
              </w:rPr>
              <w:t xml:space="preserve"> (</w:t>
            </w:r>
            <w:r w:rsidRPr="006A1045">
              <w:rPr>
                <w:lang w:val="lv-LV"/>
              </w:rPr>
              <w:t>7.</w:t>
            </w:r>
            <w:r>
              <w:rPr>
                <w:lang w:val="lv-LV"/>
              </w:rPr>
              <w:t> </w:t>
            </w:r>
            <w:r w:rsidRPr="006A1045">
              <w:rPr>
                <w:lang w:val="lv-LV"/>
              </w:rPr>
              <w:t>panta trešā daļ</w:t>
            </w:r>
            <w:r>
              <w:rPr>
                <w:lang w:val="lv-LV"/>
              </w:rPr>
              <w:t>a)</w:t>
            </w:r>
            <w:r w:rsidRPr="006A1045">
              <w:rPr>
                <w:lang w:val="lv-LV"/>
              </w:rPr>
              <w:t xml:space="preserve">; </w:t>
            </w:r>
          </w:p>
          <w:p w:rsidR="00F057E2" w:rsidRPr="006A1045" w:rsidRDefault="00F057E2" w:rsidP="00F057E2">
            <w:pPr>
              <w:pStyle w:val="naiskr"/>
              <w:spacing w:before="0" w:beforeAutospacing="0" w:after="0" w:afterAutospacing="0"/>
              <w:jc w:val="both"/>
              <w:rPr>
                <w:lang w:val="lv-LV"/>
              </w:rPr>
            </w:pPr>
            <w:r>
              <w:rPr>
                <w:lang w:val="lv-LV"/>
              </w:rPr>
              <w:t xml:space="preserve">  - </w:t>
            </w:r>
            <w:r w:rsidRPr="006A1045">
              <w:rPr>
                <w:lang w:val="lv-LV"/>
              </w:rPr>
              <w:t>ēkas energoefektivitātes sertifikāta un ēkas pagaidu energosertifikāta paraugu, reģistrācijas kārtību, ēku energoefektivitātes salīdzinošo vērtēšanas sistēmu</w:t>
            </w:r>
            <w:r>
              <w:rPr>
                <w:lang w:val="lv-LV"/>
              </w:rPr>
              <w:t xml:space="preserve"> (</w:t>
            </w:r>
            <w:r w:rsidRPr="006A1045">
              <w:rPr>
                <w:lang w:val="lv-LV"/>
              </w:rPr>
              <w:t xml:space="preserve">8.panta </w:t>
            </w:r>
            <w:r>
              <w:rPr>
                <w:lang w:val="lv-LV"/>
              </w:rPr>
              <w:t>astot</w:t>
            </w:r>
            <w:r w:rsidRPr="006A1045">
              <w:rPr>
                <w:lang w:val="lv-LV"/>
              </w:rPr>
              <w:t>ā daļ</w:t>
            </w:r>
            <w:r>
              <w:rPr>
                <w:lang w:val="lv-LV"/>
              </w:rPr>
              <w:t>a)</w:t>
            </w:r>
            <w:r w:rsidRPr="006A1045">
              <w:rPr>
                <w:lang w:val="lv-LV"/>
              </w:rPr>
              <w:t xml:space="preserve">; </w:t>
            </w:r>
          </w:p>
          <w:p w:rsidR="00F057E2" w:rsidRPr="006A1045" w:rsidRDefault="00F057E2" w:rsidP="00F057E2">
            <w:pPr>
              <w:pStyle w:val="naiskr"/>
              <w:spacing w:before="0" w:beforeAutospacing="0" w:after="0" w:afterAutospacing="0"/>
              <w:jc w:val="both"/>
              <w:rPr>
                <w:lang w:val="lv-LV"/>
              </w:rPr>
            </w:pPr>
            <w:r>
              <w:rPr>
                <w:lang w:val="lv-LV"/>
              </w:rPr>
              <w:t xml:space="preserve">  - </w:t>
            </w:r>
            <w:r w:rsidRPr="006A1045">
              <w:rPr>
                <w:lang w:val="lv-LV"/>
              </w:rPr>
              <w:t>ēku energoefektivitātes klasifikācijas sistēmu</w:t>
            </w:r>
            <w:r>
              <w:rPr>
                <w:lang w:val="lv-LV"/>
              </w:rPr>
              <w:t xml:space="preserve"> (</w:t>
            </w:r>
            <w:r w:rsidRPr="006A1045">
              <w:rPr>
                <w:lang w:val="lv-LV"/>
              </w:rPr>
              <w:t>9.panta piekt</w:t>
            </w:r>
            <w:r>
              <w:rPr>
                <w:lang w:val="lv-LV"/>
              </w:rPr>
              <w:t>ā daļā)</w:t>
            </w:r>
            <w:r w:rsidRPr="006A1045">
              <w:rPr>
                <w:lang w:val="lv-LV"/>
              </w:rPr>
              <w:t>;</w:t>
            </w:r>
          </w:p>
          <w:p w:rsidR="00F057E2" w:rsidRPr="006A1045" w:rsidRDefault="00F057E2" w:rsidP="00F057E2">
            <w:pPr>
              <w:pStyle w:val="naiskr"/>
              <w:spacing w:before="0" w:beforeAutospacing="0" w:after="0" w:afterAutospacing="0"/>
              <w:jc w:val="both"/>
              <w:rPr>
                <w:lang w:val="lv-LV"/>
              </w:rPr>
            </w:pPr>
            <w:r>
              <w:rPr>
                <w:lang w:val="lv-LV"/>
              </w:rPr>
              <w:t xml:space="preserve">  - </w:t>
            </w:r>
            <w:r w:rsidRPr="006A1045">
              <w:rPr>
                <w:lang w:val="lv-LV"/>
              </w:rPr>
              <w:t>energoefektivitātes prasības un augstas efektivitātes sistēmu izmantošanas prasības gandrīz nulles enerģijas ēkām</w:t>
            </w:r>
            <w:r>
              <w:rPr>
                <w:lang w:val="lv-LV"/>
              </w:rPr>
              <w:t xml:space="preserve"> (</w:t>
            </w:r>
            <w:r w:rsidRPr="006A1045">
              <w:rPr>
                <w:lang w:val="lv-LV"/>
              </w:rPr>
              <w:t>10.</w:t>
            </w:r>
            <w:r>
              <w:rPr>
                <w:lang w:val="lv-LV"/>
              </w:rPr>
              <w:t> </w:t>
            </w:r>
            <w:r w:rsidRPr="006A1045">
              <w:rPr>
                <w:lang w:val="lv-LV"/>
              </w:rPr>
              <w:t>panta trešā daļ</w:t>
            </w:r>
            <w:r>
              <w:rPr>
                <w:lang w:val="lv-LV"/>
              </w:rPr>
              <w:t>a)</w:t>
            </w:r>
            <w:r w:rsidRPr="006A1045">
              <w:rPr>
                <w:lang w:val="lv-LV"/>
              </w:rPr>
              <w:t xml:space="preserve">; </w:t>
            </w:r>
          </w:p>
          <w:p w:rsidR="00F057E2" w:rsidRDefault="00F057E2" w:rsidP="00F057E2">
            <w:pPr>
              <w:pStyle w:val="naiskr"/>
              <w:spacing w:before="0" w:beforeAutospacing="0" w:after="0" w:afterAutospacing="0"/>
              <w:jc w:val="both"/>
              <w:rPr>
                <w:lang w:val="lv-LV"/>
              </w:rPr>
            </w:pPr>
            <w:r>
              <w:rPr>
                <w:lang w:val="lv-LV"/>
              </w:rPr>
              <w:t xml:space="preserve">  - </w:t>
            </w:r>
            <w:r w:rsidRPr="006A1045">
              <w:rPr>
                <w:lang w:val="lv-LV"/>
              </w:rPr>
              <w:t>pārbaudes kārtību un termiņus apkures sistēmām, kuru apkures katlu lietderīgā nominālā jauda ir lielāka par 20 kilovatiem, un gaisa kondicionēšanas sistēmām, kuru lietderīgā nominālā jauda ir lielāka par 12 kilovatiem</w:t>
            </w:r>
            <w:r>
              <w:rPr>
                <w:lang w:val="lv-LV"/>
              </w:rPr>
              <w:t xml:space="preserve"> (</w:t>
            </w:r>
            <w:r w:rsidRPr="006A1045">
              <w:rPr>
                <w:lang w:val="lv-LV"/>
              </w:rPr>
              <w:t>11.</w:t>
            </w:r>
            <w:r>
              <w:rPr>
                <w:lang w:val="lv-LV"/>
              </w:rPr>
              <w:t> </w:t>
            </w:r>
            <w:r w:rsidRPr="006A1045">
              <w:rPr>
                <w:lang w:val="lv-LV"/>
              </w:rPr>
              <w:t xml:space="preserve">panta </w:t>
            </w:r>
            <w:r>
              <w:rPr>
                <w:lang w:val="lv-LV"/>
              </w:rPr>
              <w:t>trešā</w:t>
            </w:r>
            <w:r w:rsidRPr="006A1045">
              <w:rPr>
                <w:lang w:val="lv-LV"/>
              </w:rPr>
              <w:t xml:space="preserve"> daļ</w:t>
            </w:r>
            <w:r>
              <w:rPr>
                <w:lang w:val="lv-LV"/>
              </w:rPr>
              <w:t>a)</w:t>
            </w:r>
            <w:r w:rsidRPr="006A1045">
              <w:rPr>
                <w:lang w:val="lv-LV"/>
              </w:rPr>
              <w:t>.</w:t>
            </w:r>
          </w:p>
          <w:p w:rsidR="00F057E2" w:rsidRDefault="00F057E2" w:rsidP="00F057E2">
            <w:pPr>
              <w:pStyle w:val="naiskr"/>
              <w:spacing w:before="0" w:beforeAutospacing="0" w:after="0" w:afterAutospacing="0"/>
              <w:jc w:val="both"/>
              <w:rPr>
                <w:lang w:val="lv-LV"/>
              </w:rPr>
            </w:pPr>
            <w:r>
              <w:rPr>
                <w:lang w:val="lv-LV"/>
              </w:rPr>
              <w:t xml:space="preserve">   Ēku energoefektivitātes likuma </w:t>
            </w:r>
            <w:r w:rsidRPr="006A140A">
              <w:rPr>
                <w:lang w:val="lv-LV"/>
              </w:rPr>
              <w:t>pārejas noteikumu 6.</w:t>
            </w:r>
            <w:r>
              <w:rPr>
                <w:lang w:val="lv-LV"/>
              </w:rPr>
              <w:t> </w:t>
            </w:r>
            <w:r w:rsidRPr="006A140A">
              <w:rPr>
                <w:lang w:val="lv-LV"/>
              </w:rPr>
              <w:t>punkts nosaka, ka līdz jaunu Ministru kabineta noteikumu spēkā stāšanās dienai, bet ne ilgāk kā līdz 2013.</w:t>
            </w:r>
            <w:r>
              <w:rPr>
                <w:lang w:val="lv-LV"/>
              </w:rPr>
              <w:t> </w:t>
            </w:r>
            <w:r w:rsidRPr="006A140A">
              <w:rPr>
                <w:lang w:val="lv-LV"/>
              </w:rPr>
              <w:t>gada 30.</w:t>
            </w:r>
            <w:r>
              <w:rPr>
                <w:lang w:val="lv-LV"/>
              </w:rPr>
              <w:t> </w:t>
            </w:r>
            <w:r w:rsidRPr="006A140A">
              <w:rPr>
                <w:lang w:val="lv-LV"/>
              </w:rPr>
              <w:t xml:space="preserve">jūnijam piemērojami noteikumi </w:t>
            </w:r>
            <w:proofErr w:type="spellStart"/>
            <w:r w:rsidRPr="006A140A">
              <w:rPr>
                <w:lang w:val="lv-LV"/>
              </w:rPr>
              <w:t>Nr</w:t>
            </w:r>
            <w:proofErr w:type="spellEnd"/>
            <w:r w:rsidRPr="006A140A">
              <w:rPr>
                <w:lang w:val="lv-LV"/>
              </w:rPr>
              <w:t>.</w:t>
            </w:r>
            <w:r>
              <w:rPr>
                <w:lang w:val="lv-LV"/>
              </w:rPr>
              <w:t> 504</w:t>
            </w:r>
            <w:r w:rsidRPr="0065384C">
              <w:rPr>
                <w:lang w:val="lv-LV"/>
              </w:rPr>
              <w:t>.</w:t>
            </w:r>
            <w:r>
              <w:rPr>
                <w:lang w:val="lv-LV"/>
              </w:rPr>
              <w:t xml:space="preserve"> </w:t>
            </w:r>
            <w:r w:rsidRPr="006A140A">
              <w:rPr>
                <w:lang w:val="lv-LV"/>
              </w:rPr>
              <w:t xml:space="preserve"> </w:t>
            </w:r>
            <w:r>
              <w:rPr>
                <w:lang w:val="lv-LV"/>
              </w:rPr>
              <w:t>N</w:t>
            </w:r>
            <w:r w:rsidRPr="006A140A">
              <w:rPr>
                <w:lang w:val="lv-LV"/>
              </w:rPr>
              <w:t xml:space="preserve">oteikumi </w:t>
            </w:r>
            <w:proofErr w:type="spellStart"/>
            <w:r w:rsidRPr="006A140A">
              <w:rPr>
                <w:lang w:val="lv-LV"/>
              </w:rPr>
              <w:t>Nr</w:t>
            </w:r>
            <w:proofErr w:type="spellEnd"/>
            <w:r w:rsidRPr="006A140A">
              <w:rPr>
                <w:lang w:val="lv-LV"/>
              </w:rPr>
              <w:t>.</w:t>
            </w:r>
            <w:r>
              <w:rPr>
                <w:lang w:val="lv-LV"/>
              </w:rPr>
              <w:t> 504 nosaka:</w:t>
            </w:r>
          </w:p>
          <w:p w:rsidR="00F057E2" w:rsidRPr="0012534A" w:rsidRDefault="00F057E2" w:rsidP="00F057E2">
            <w:pPr>
              <w:pStyle w:val="naiskr"/>
              <w:spacing w:before="0" w:beforeAutospacing="0" w:after="0" w:afterAutospacing="0"/>
              <w:jc w:val="both"/>
              <w:rPr>
                <w:lang w:val="lv-LV"/>
              </w:rPr>
            </w:pPr>
            <w:r>
              <w:rPr>
                <w:lang w:val="lv-LV"/>
              </w:rPr>
              <w:t xml:space="preserve">  - </w:t>
            </w:r>
            <w:r w:rsidRPr="0012534A">
              <w:rPr>
                <w:lang w:val="lv-LV"/>
              </w:rPr>
              <w:t>kārtību, kādā veicama ēku energosertifikācija;</w:t>
            </w:r>
          </w:p>
          <w:p w:rsidR="00F057E2" w:rsidRPr="0012534A" w:rsidRDefault="00F057E2" w:rsidP="00F057E2">
            <w:pPr>
              <w:pStyle w:val="naiskr"/>
              <w:spacing w:before="0" w:beforeAutospacing="0" w:after="0" w:afterAutospacing="0"/>
              <w:jc w:val="both"/>
              <w:rPr>
                <w:lang w:val="lv-LV"/>
              </w:rPr>
            </w:pPr>
            <w:r>
              <w:rPr>
                <w:lang w:val="lv-LV"/>
              </w:rPr>
              <w:t xml:space="preserve">  - </w:t>
            </w:r>
            <w:r w:rsidRPr="0012534A">
              <w:rPr>
                <w:lang w:val="lv-LV"/>
              </w:rPr>
              <w:t>ēkas energoefektivitātes sertifikāta veidu, paraugu, saturu, izsniegšanas un reģistrācijas kārtību;</w:t>
            </w:r>
          </w:p>
          <w:p w:rsidR="00F057E2" w:rsidRPr="0012534A" w:rsidRDefault="00F057E2" w:rsidP="00F057E2">
            <w:pPr>
              <w:pStyle w:val="naiskr"/>
              <w:spacing w:before="0" w:beforeAutospacing="0" w:after="0" w:afterAutospacing="0"/>
              <w:jc w:val="both"/>
              <w:rPr>
                <w:lang w:val="lv-LV"/>
              </w:rPr>
            </w:pPr>
            <w:r>
              <w:rPr>
                <w:lang w:val="lv-LV"/>
              </w:rPr>
              <w:t xml:space="preserve">  - </w:t>
            </w:r>
            <w:r w:rsidRPr="0012534A">
              <w:rPr>
                <w:lang w:val="lv-LV"/>
              </w:rPr>
              <w:t>energosertifikācijas pārraudzības kārtību;</w:t>
            </w:r>
          </w:p>
          <w:p w:rsidR="00F057E2" w:rsidRPr="0012534A" w:rsidRDefault="00F057E2" w:rsidP="00F057E2">
            <w:pPr>
              <w:pStyle w:val="naiskr"/>
              <w:spacing w:before="0" w:beforeAutospacing="0" w:after="0" w:afterAutospacing="0"/>
              <w:jc w:val="both"/>
              <w:rPr>
                <w:lang w:val="lv-LV"/>
              </w:rPr>
            </w:pPr>
            <w:r>
              <w:rPr>
                <w:lang w:val="lv-LV"/>
              </w:rPr>
              <w:t xml:space="preserve">  -</w:t>
            </w:r>
            <w:r w:rsidRPr="0012534A">
              <w:rPr>
                <w:lang w:val="lv-LV"/>
              </w:rPr>
              <w:t xml:space="preserve"> kārtību, kādā apkopo, aktualizē un izmanto informāciju par izsniegtajiem ēku energoefektivitātes sertifikātiem;</w:t>
            </w:r>
          </w:p>
          <w:p w:rsidR="006A1045" w:rsidRDefault="00F057E2" w:rsidP="00F057E2">
            <w:pPr>
              <w:pStyle w:val="naiskr"/>
              <w:spacing w:before="0" w:beforeAutospacing="0" w:after="0" w:afterAutospacing="0"/>
              <w:jc w:val="both"/>
              <w:rPr>
                <w:lang w:val="lv-LV"/>
              </w:rPr>
            </w:pPr>
            <w:r>
              <w:rPr>
                <w:lang w:val="lv-LV"/>
              </w:rPr>
              <w:t xml:space="preserve">  - </w:t>
            </w:r>
            <w:r w:rsidRPr="0012534A">
              <w:rPr>
                <w:lang w:val="lv-LV"/>
              </w:rPr>
              <w:t>pārbaudes kārtību apkures katliem, kuru nominālā jauda ir lielāka par 20 kilovatiem, un gaisa kondicionēšanas sistēmām, kuru nominālā jauda ir lielāka par 12 kilovatiem.</w:t>
            </w:r>
          </w:p>
          <w:p w:rsidR="007778FF" w:rsidRPr="00177449" w:rsidRDefault="007778FF" w:rsidP="00F057E2">
            <w:pPr>
              <w:pStyle w:val="naiskr"/>
              <w:spacing w:before="0" w:beforeAutospacing="0" w:after="0" w:afterAutospacing="0"/>
              <w:jc w:val="both"/>
              <w:rPr>
                <w:lang w:val="lv-LV"/>
              </w:rPr>
            </w:pPr>
          </w:p>
        </w:tc>
      </w:tr>
      <w:tr w:rsidR="00B8658B" w:rsidRPr="00177449" w:rsidTr="00131EC7">
        <w:tc>
          <w:tcPr>
            <w:tcW w:w="0" w:type="auto"/>
          </w:tcPr>
          <w:p w:rsidR="00B8658B" w:rsidRPr="00177449" w:rsidRDefault="00B8658B" w:rsidP="00B8658B">
            <w:pPr>
              <w:pStyle w:val="naiskr"/>
              <w:spacing w:before="0" w:beforeAutospacing="0" w:after="0" w:afterAutospacing="0"/>
              <w:rPr>
                <w:lang w:val="lv-LV"/>
              </w:rPr>
            </w:pPr>
            <w:r w:rsidRPr="00177449">
              <w:rPr>
                <w:lang w:val="lv-LV"/>
              </w:rPr>
              <w:lastRenderedPageBreak/>
              <w:t>3.</w:t>
            </w:r>
          </w:p>
        </w:tc>
        <w:tc>
          <w:tcPr>
            <w:tcW w:w="1129" w:type="pct"/>
          </w:tcPr>
          <w:p w:rsidR="00191311" w:rsidRPr="00177449" w:rsidRDefault="00B8658B" w:rsidP="0065384C">
            <w:pPr>
              <w:pStyle w:val="naiskr"/>
              <w:spacing w:before="0" w:beforeAutospacing="0" w:after="0" w:afterAutospacing="0"/>
              <w:rPr>
                <w:lang w:val="lv-LV"/>
              </w:rPr>
            </w:pPr>
            <w:r w:rsidRPr="00177449">
              <w:rPr>
                <w:lang w:val="lv-LV"/>
              </w:rPr>
              <w:t>Saistītie politikas ietekmes novērtējumi un pētījumi</w:t>
            </w:r>
          </w:p>
        </w:tc>
        <w:tc>
          <w:tcPr>
            <w:tcW w:w="3742" w:type="pct"/>
          </w:tcPr>
          <w:p w:rsidR="00B8658B" w:rsidRPr="00177449" w:rsidRDefault="00B8658B" w:rsidP="00B8658B">
            <w:pPr>
              <w:pStyle w:val="naiskr"/>
              <w:spacing w:before="0" w:beforeAutospacing="0" w:after="0" w:afterAutospacing="0"/>
              <w:jc w:val="both"/>
              <w:rPr>
                <w:iCs/>
                <w:lang w:val="lv-LV"/>
              </w:rPr>
            </w:pPr>
            <w:r>
              <w:rPr>
                <w:iCs/>
                <w:lang w:val="lv-LV"/>
              </w:rPr>
              <w:t xml:space="preserve">    </w:t>
            </w:r>
            <w:r w:rsidR="00432427">
              <w:rPr>
                <w:iCs/>
                <w:lang w:val="lv-LV"/>
              </w:rPr>
              <w:t xml:space="preserve">Noteikumu </w:t>
            </w:r>
            <w:r w:rsidRPr="00177449">
              <w:rPr>
                <w:iCs/>
                <w:lang w:val="lv-LV"/>
              </w:rPr>
              <w:t xml:space="preserve">projekta izstrādei politikas </w:t>
            </w:r>
            <w:r w:rsidRPr="00177449">
              <w:rPr>
                <w:lang w:val="lv-LV"/>
              </w:rPr>
              <w:t>ietekmes novērtējumi un pētījumi nav veikti.</w:t>
            </w:r>
          </w:p>
          <w:p w:rsidR="00B8658B" w:rsidRPr="00177449" w:rsidRDefault="00B8658B" w:rsidP="00B8658B">
            <w:pPr>
              <w:pStyle w:val="naiskr"/>
              <w:spacing w:before="0" w:beforeAutospacing="0" w:after="0" w:afterAutospacing="0"/>
              <w:jc w:val="both"/>
              <w:rPr>
                <w:lang w:val="lv-LV"/>
              </w:rPr>
            </w:pPr>
          </w:p>
        </w:tc>
      </w:tr>
      <w:tr w:rsidR="00B8658B" w:rsidRPr="00177449" w:rsidTr="00131EC7">
        <w:tc>
          <w:tcPr>
            <w:tcW w:w="0" w:type="auto"/>
          </w:tcPr>
          <w:p w:rsidR="00B8658B" w:rsidRPr="00177449" w:rsidRDefault="00B8658B" w:rsidP="00B8658B">
            <w:pPr>
              <w:pStyle w:val="naiskr"/>
              <w:spacing w:before="0" w:beforeAutospacing="0" w:after="0" w:afterAutospacing="0"/>
              <w:rPr>
                <w:lang w:val="lv-LV"/>
              </w:rPr>
            </w:pPr>
            <w:r w:rsidRPr="00177449">
              <w:rPr>
                <w:lang w:val="lv-LV"/>
              </w:rPr>
              <w:t>4.</w:t>
            </w:r>
          </w:p>
        </w:tc>
        <w:tc>
          <w:tcPr>
            <w:tcW w:w="1129" w:type="pct"/>
          </w:tcPr>
          <w:p w:rsidR="00B8658B" w:rsidRPr="00177449" w:rsidRDefault="00B8658B" w:rsidP="00B8658B">
            <w:pPr>
              <w:pStyle w:val="naiskr"/>
              <w:spacing w:before="0" w:beforeAutospacing="0" w:after="0" w:afterAutospacing="0"/>
              <w:rPr>
                <w:lang w:val="lv-LV"/>
              </w:rPr>
            </w:pPr>
            <w:r w:rsidRPr="00177449">
              <w:rPr>
                <w:lang w:val="lv-LV"/>
              </w:rPr>
              <w:t xml:space="preserve">Tiesiskā regulējuma mērķis un </w:t>
            </w:r>
            <w:r w:rsidRPr="00831E82">
              <w:rPr>
                <w:lang w:val="lv-LV"/>
              </w:rPr>
              <w:t>būtība</w:t>
            </w:r>
          </w:p>
        </w:tc>
        <w:tc>
          <w:tcPr>
            <w:tcW w:w="3742" w:type="pct"/>
          </w:tcPr>
          <w:p w:rsidR="00220DA1" w:rsidRDefault="00AF2166" w:rsidP="00AF2166">
            <w:pPr>
              <w:pStyle w:val="naiskr"/>
              <w:spacing w:before="0" w:beforeAutospacing="0" w:after="0" w:afterAutospacing="0"/>
              <w:jc w:val="both"/>
              <w:rPr>
                <w:lang w:val="lv-LV"/>
              </w:rPr>
            </w:pPr>
            <w:r>
              <w:rPr>
                <w:lang w:val="lv-LV"/>
              </w:rPr>
              <w:t xml:space="preserve">   </w:t>
            </w:r>
            <w:r w:rsidR="00AE1BBE" w:rsidRPr="00C64894">
              <w:rPr>
                <w:lang w:val="lv-LV"/>
              </w:rPr>
              <w:t>N</w:t>
            </w:r>
            <w:r w:rsidR="00AF5257" w:rsidRPr="00C64894">
              <w:rPr>
                <w:lang w:val="lv-LV"/>
              </w:rPr>
              <w:t xml:space="preserve">oteikumu projektā </w:t>
            </w:r>
            <w:r w:rsidR="0012534A">
              <w:rPr>
                <w:lang w:val="lv-LV"/>
              </w:rPr>
              <w:t>daļēji</w:t>
            </w:r>
            <w:r w:rsidR="00AE1BBE" w:rsidRPr="00C64894">
              <w:rPr>
                <w:lang w:val="lv-LV"/>
              </w:rPr>
              <w:t xml:space="preserve"> saglabāti</w:t>
            </w:r>
            <w:r w:rsidR="00AF5257" w:rsidRPr="00C64894">
              <w:rPr>
                <w:lang w:val="lv-LV"/>
              </w:rPr>
              <w:t xml:space="preserve"> </w:t>
            </w:r>
            <w:r w:rsidR="000B5132" w:rsidRPr="00C64894">
              <w:rPr>
                <w:lang w:val="lv-LV"/>
              </w:rPr>
              <w:t>Ministru kabineta noteikum</w:t>
            </w:r>
            <w:r w:rsidR="00AE1BBE" w:rsidRPr="00C64894">
              <w:rPr>
                <w:lang w:val="lv-LV"/>
              </w:rPr>
              <w:t>u</w:t>
            </w:r>
            <w:r w:rsidR="000B5132" w:rsidRPr="00C64894">
              <w:rPr>
                <w:lang w:val="lv-LV"/>
              </w:rPr>
              <w:t xml:space="preserve"> </w:t>
            </w:r>
            <w:proofErr w:type="spellStart"/>
            <w:r w:rsidR="000B5132" w:rsidRPr="00C64894">
              <w:rPr>
                <w:lang w:val="lv-LV"/>
              </w:rPr>
              <w:t>Nr</w:t>
            </w:r>
            <w:proofErr w:type="spellEnd"/>
            <w:r w:rsidR="000B5132" w:rsidRPr="00C64894">
              <w:rPr>
                <w:lang w:val="lv-LV"/>
              </w:rPr>
              <w:t>.</w:t>
            </w:r>
            <w:r w:rsidR="00AE1BBE" w:rsidRPr="00C64894">
              <w:rPr>
                <w:lang w:val="lv-LV"/>
              </w:rPr>
              <w:t> </w:t>
            </w:r>
            <w:r w:rsidR="0012534A">
              <w:rPr>
                <w:lang w:val="lv-LV"/>
              </w:rPr>
              <w:t>504</w:t>
            </w:r>
            <w:r w:rsidR="000B5132" w:rsidRPr="00C64894">
              <w:rPr>
                <w:lang w:val="lv-LV"/>
              </w:rPr>
              <w:t xml:space="preserve"> ietvert</w:t>
            </w:r>
            <w:r w:rsidR="00AE1BBE" w:rsidRPr="00C64894">
              <w:rPr>
                <w:lang w:val="lv-LV"/>
              </w:rPr>
              <w:t>ie</w:t>
            </w:r>
            <w:r w:rsidR="000B5132" w:rsidRPr="00C64894">
              <w:rPr>
                <w:lang w:val="lv-LV"/>
              </w:rPr>
              <w:t xml:space="preserve"> </w:t>
            </w:r>
            <w:r w:rsidR="00AE1BBE" w:rsidRPr="00C64894">
              <w:rPr>
                <w:lang w:val="lv-LV"/>
              </w:rPr>
              <w:t>nosacījumi</w:t>
            </w:r>
            <w:r w:rsidR="00220DA1">
              <w:rPr>
                <w:lang w:val="lv-LV"/>
              </w:rPr>
              <w:t xml:space="preserve">, kas precizēti un papildināti ņemot vērā izmaiņas, kas ieviestas ar direktīvu 2010/31/ES un </w:t>
            </w:r>
            <w:r w:rsidR="00220DA1" w:rsidRPr="00220DA1">
              <w:rPr>
                <w:lang w:val="lv-LV"/>
              </w:rPr>
              <w:t>2012.</w:t>
            </w:r>
            <w:r w:rsidR="00220DA1">
              <w:rPr>
                <w:lang w:val="lv-LV"/>
              </w:rPr>
              <w:t> </w:t>
            </w:r>
            <w:r w:rsidR="00220DA1" w:rsidRPr="00220DA1">
              <w:rPr>
                <w:lang w:val="lv-LV"/>
              </w:rPr>
              <w:t>gada 6.</w:t>
            </w:r>
            <w:r w:rsidR="00220DA1">
              <w:rPr>
                <w:lang w:val="lv-LV"/>
              </w:rPr>
              <w:t> </w:t>
            </w:r>
            <w:r w:rsidR="00220DA1" w:rsidRPr="00220DA1">
              <w:rPr>
                <w:lang w:val="lv-LV"/>
              </w:rPr>
              <w:t>decembr</w:t>
            </w:r>
            <w:r w:rsidR="00220DA1">
              <w:rPr>
                <w:lang w:val="lv-LV"/>
              </w:rPr>
              <w:t>a</w:t>
            </w:r>
            <w:r w:rsidR="00220DA1" w:rsidRPr="00220DA1">
              <w:rPr>
                <w:lang w:val="lv-LV"/>
              </w:rPr>
              <w:t xml:space="preserve"> Ēku energoefektivitātes likumu</w:t>
            </w:r>
            <w:r w:rsidR="00220DA1">
              <w:rPr>
                <w:lang w:val="lv-LV"/>
              </w:rPr>
              <w:t>.</w:t>
            </w:r>
          </w:p>
          <w:p w:rsidR="003625C9" w:rsidRPr="003625C9" w:rsidRDefault="00015C50" w:rsidP="003625C9">
            <w:pPr>
              <w:pStyle w:val="naiskr"/>
              <w:spacing w:before="0" w:beforeAutospacing="0" w:after="0" w:afterAutospacing="0"/>
              <w:jc w:val="both"/>
              <w:rPr>
                <w:lang w:val="lv-LV"/>
              </w:rPr>
            </w:pPr>
            <w:r>
              <w:rPr>
                <w:lang w:val="lv-LV"/>
              </w:rPr>
              <w:t xml:space="preserve">   Noteikumu projekts nosaka salīdzinošu ēku energoefektivitātes vērtēšanas un klasificēšanas sistēmu</w:t>
            </w:r>
            <w:r w:rsidR="003625C9">
              <w:rPr>
                <w:lang w:val="lv-LV"/>
              </w:rPr>
              <w:t xml:space="preserve">. </w:t>
            </w:r>
            <w:r w:rsidR="003625C9" w:rsidRPr="003625C9">
              <w:rPr>
                <w:lang w:val="lv-LV"/>
              </w:rPr>
              <w:t xml:space="preserve">Ēku energoefektivitātes salīdzinošā vērtēšanas sistēmu veido ēkas energoefektivitātes rādītāju, normatīvo energoefektivitātes rādītāju un ēkas tipam atbilstošu statistiski noteiktu vidējo energoefektivitātes rādītāju </w:t>
            </w:r>
            <w:r w:rsidR="008B73B1">
              <w:t xml:space="preserve"> </w:t>
            </w:r>
            <w:r w:rsidR="008B73B1" w:rsidRPr="008B73B1">
              <w:rPr>
                <w:lang w:val="lv-LV"/>
              </w:rPr>
              <w:t xml:space="preserve">apkures patēriņam </w:t>
            </w:r>
            <w:r w:rsidR="003625C9" w:rsidRPr="003625C9">
              <w:rPr>
                <w:lang w:val="lv-LV"/>
              </w:rPr>
              <w:t xml:space="preserve">salīdzinājums, ko attēlo salīdzinošā vērtēšanas skalā </w:t>
            </w:r>
            <w:r w:rsidR="003625C9">
              <w:rPr>
                <w:lang w:val="lv-LV"/>
              </w:rPr>
              <w:t>(</w:t>
            </w:r>
            <w:r w:rsidR="003625C9" w:rsidRPr="003625C9">
              <w:rPr>
                <w:lang w:val="lv-LV"/>
              </w:rPr>
              <w:t>noteikumu 4. pielikum</w:t>
            </w:r>
            <w:r w:rsidR="003625C9">
              <w:rPr>
                <w:lang w:val="lv-LV"/>
              </w:rPr>
              <w:t xml:space="preserve">s). </w:t>
            </w:r>
            <w:r w:rsidR="003625C9">
              <w:t xml:space="preserve"> </w:t>
            </w:r>
            <w:r w:rsidR="003625C9" w:rsidRPr="003625C9">
              <w:rPr>
                <w:lang w:val="lv-LV"/>
              </w:rPr>
              <w:t xml:space="preserve">Salīdzinošā vērtēšanas skalā </w:t>
            </w:r>
            <w:r w:rsidR="00054DCF">
              <w:rPr>
                <w:lang w:val="lv-LV"/>
              </w:rPr>
              <w:t>atbilstoši Ēku energoefektivitātes likuma 9. pantam C, D</w:t>
            </w:r>
            <w:r w:rsidR="004C305A">
              <w:rPr>
                <w:lang w:val="lv-LV"/>
              </w:rPr>
              <w:t>, E</w:t>
            </w:r>
            <w:r w:rsidR="00054DCF">
              <w:rPr>
                <w:lang w:val="lv-LV"/>
              </w:rPr>
              <w:t xml:space="preserve"> un F klase atbilst pamata energoefektivitātes klasēm</w:t>
            </w:r>
            <w:r w:rsidR="004C305A">
              <w:rPr>
                <w:lang w:val="lv-LV"/>
              </w:rPr>
              <w:t xml:space="preserve">, </w:t>
            </w:r>
            <w:r w:rsidR="0065732F">
              <w:rPr>
                <w:lang w:val="lv-LV"/>
              </w:rPr>
              <w:t xml:space="preserve">A un B klase </w:t>
            </w:r>
            <w:r w:rsidR="004C305A">
              <w:rPr>
                <w:lang w:val="lv-LV"/>
              </w:rPr>
              <w:t>atbilst</w:t>
            </w:r>
            <w:r w:rsidR="0065732F">
              <w:rPr>
                <w:lang w:val="lv-LV"/>
              </w:rPr>
              <w:t xml:space="preserve"> paaugstinātas </w:t>
            </w:r>
            <w:r w:rsidR="003625C9" w:rsidRPr="003625C9">
              <w:rPr>
                <w:lang w:val="lv-LV"/>
              </w:rPr>
              <w:t xml:space="preserve">energoefektivitātes </w:t>
            </w:r>
            <w:r w:rsidR="0065732F" w:rsidRPr="003625C9">
              <w:rPr>
                <w:lang w:val="lv-LV"/>
              </w:rPr>
              <w:t>klas</w:t>
            </w:r>
            <w:r w:rsidR="0065732F">
              <w:rPr>
                <w:lang w:val="lv-LV"/>
              </w:rPr>
              <w:t xml:space="preserve">ēm. </w:t>
            </w:r>
          </w:p>
          <w:p w:rsidR="00DD743F" w:rsidRPr="00DD743F" w:rsidRDefault="00DD743F" w:rsidP="00DD743F">
            <w:pPr>
              <w:pStyle w:val="naiskr"/>
              <w:spacing w:before="0" w:beforeAutospacing="0" w:after="0" w:afterAutospacing="0"/>
              <w:jc w:val="both"/>
              <w:rPr>
                <w:lang w:val="lv-LV"/>
              </w:rPr>
            </w:pPr>
            <w:r>
              <w:rPr>
                <w:lang w:val="lv-LV"/>
              </w:rPr>
              <w:t xml:space="preserve">  </w:t>
            </w:r>
            <w:r w:rsidRPr="00DD743F">
              <w:rPr>
                <w:lang w:val="lv-LV"/>
              </w:rPr>
              <w:t>Dzīvojamām ēkām:</w:t>
            </w:r>
          </w:p>
          <w:p w:rsidR="00DD743F" w:rsidRPr="00DD743F" w:rsidRDefault="00DD743F" w:rsidP="00DD743F">
            <w:pPr>
              <w:pStyle w:val="naiskr"/>
              <w:spacing w:before="0" w:beforeAutospacing="0" w:after="0" w:afterAutospacing="0"/>
              <w:jc w:val="both"/>
              <w:rPr>
                <w:lang w:val="lv-LV"/>
              </w:rPr>
            </w:pPr>
            <w:r>
              <w:rPr>
                <w:lang w:val="lv-LV"/>
              </w:rPr>
              <w:t xml:space="preserve">  </w:t>
            </w:r>
            <w:r w:rsidRPr="00DD743F">
              <w:rPr>
                <w:lang w:val="lv-LV"/>
              </w:rPr>
              <w:t>A klase – atbilst šajos noteikumos noteiktajām prasībām gandrīz nulles enerģijas ēkām</w:t>
            </w:r>
            <w:r>
              <w:rPr>
                <w:lang w:val="lv-LV"/>
              </w:rPr>
              <w:t xml:space="preserve"> (prasības iekļautas noteikumu projekta 19. punktā)</w:t>
            </w:r>
            <w:r w:rsidRPr="00DD743F">
              <w:rPr>
                <w:lang w:val="lv-LV"/>
              </w:rPr>
              <w:t>;</w:t>
            </w:r>
          </w:p>
          <w:p w:rsidR="00DD743F" w:rsidRPr="00DD743F" w:rsidRDefault="00DD743F" w:rsidP="00DD743F">
            <w:pPr>
              <w:pStyle w:val="naiskr"/>
              <w:spacing w:before="0" w:beforeAutospacing="0" w:after="0" w:afterAutospacing="0"/>
              <w:jc w:val="both"/>
              <w:rPr>
                <w:lang w:val="lv-LV"/>
              </w:rPr>
            </w:pPr>
            <w:r>
              <w:rPr>
                <w:lang w:val="lv-LV"/>
              </w:rPr>
              <w:t xml:space="preserve">  </w:t>
            </w:r>
            <w:r w:rsidRPr="00DD743F">
              <w:rPr>
                <w:lang w:val="lv-LV"/>
              </w:rPr>
              <w:t>B klase – ēkas, kurām energoefektivitātes rādītājs apkurei nepārsniedz 40 kilovatstundas uz kvadrātmetru;</w:t>
            </w:r>
          </w:p>
          <w:p w:rsidR="00DD743F" w:rsidRPr="00DD743F" w:rsidRDefault="00DD743F" w:rsidP="00DD743F">
            <w:pPr>
              <w:pStyle w:val="naiskr"/>
              <w:spacing w:before="0" w:beforeAutospacing="0" w:after="0" w:afterAutospacing="0"/>
              <w:jc w:val="both"/>
              <w:rPr>
                <w:lang w:val="lv-LV"/>
              </w:rPr>
            </w:pPr>
            <w:r>
              <w:rPr>
                <w:lang w:val="lv-LV"/>
              </w:rPr>
              <w:t xml:space="preserve">  </w:t>
            </w:r>
            <w:r w:rsidRPr="00DD743F">
              <w:rPr>
                <w:lang w:val="lv-LV"/>
              </w:rPr>
              <w:t xml:space="preserve">C klase – ēkas, kurām energoefektivitātes rādītājs apkurei nepārsniedz 50 kilovatstundas uz kvadrātmetru; </w:t>
            </w:r>
          </w:p>
          <w:p w:rsidR="00DD743F" w:rsidRPr="00DD743F" w:rsidRDefault="00DD743F" w:rsidP="00DD743F">
            <w:pPr>
              <w:pStyle w:val="naiskr"/>
              <w:spacing w:before="0" w:beforeAutospacing="0" w:after="0" w:afterAutospacing="0"/>
              <w:jc w:val="both"/>
              <w:rPr>
                <w:lang w:val="lv-LV"/>
              </w:rPr>
            </w:pPr>
            <w:r>
              <w:rPr>
                <w:lang w:val="lv-LV"/>
              </w:rPr>
              <w:t xml:space="preserve">  </w:t>
            </w:r>
            <w:r w:rsidRPr="00DD743F">
              <w:rPr>
                <w:lang w:val="lv-LV"/>
              </w:rPr>
              <w:t>D klase – ēkas, kurām energoefektivitātes rādītājs apkurei nepārsniedz 60 kilovatstundas uz kvadrātmetru;</w:t>
            </w:r>
          </w:p>
          <w:p w:rsidR="00DD743F" w:rsidRPr="00DD743F" w:rsidRDefault="00DD743F" w:rsidP="00DD743F">
            <w:pPr>
              <w:pStyle w:val="naiskr"/>
              <w:spacing w:before="0" w:beforeAutospacing="0" w:after="0" w:afterAutospacing="0"/>
              <w:jc w:val="both"/>
              <w:rPr>
                <w:lang w:val="lv-LV"/>
              </w:rPr>
            </w:pPr>
            <w:r>
              <w:rPr>
                <w:lang w:val="lv-LV"/>
              </w:rPr>
              <w:t xml:space="preserve">  </w:t>
            </w:r>
            <w:r w:rsidRPr="00DD743F">
              <w:rPr>
                <w:lang w:val="lv-LV"/>
              </w:rPr>
              <w:t xml:space="preserve">E klase – atbilst ēkas tipam atbilstošam vidējam patēriņam; </w:t>
            </w:r>
          </w:p>
          <w:p w:rsidR="00DD743F" w:rsidRDefault="00DD743F" w:rsidP="00DD743F">
            <w:pPr>
              <w:pStyle w:val="naiskr"/>
              <w:spacing w:before="0" w:beforeAutospacing="0" w:after="0" w:afterAutospacing="0"/>
              <w:jc w:val="both"/>
              <w:rPr>
                <w:lang w:val="lv-LV"/>
              </w:rPr>
            </w:pPr>
            <w:r>
              <w:rPr>
                <w:lang w:val="lv-LV"/>
              </w:rPr>
              <w:t xml:space="preserve">  </w:t>
            </w:r>
            <w:r w:rsidRPr="00DD743F">
              <w:rPr>
                <w:lang w:val="lv-LV"/>
              </w:rPr>
              <w:t>F klase – atbilst normatīvos aktos noteiktajam pieļaujamajam enerģijas patēriņa līmenim</w:t>
            </w:r>
            <w:r w:rsidR="005642B9">
              <w:rPr>
                <w:lang w:val="lv-LV"/>
              </w:rPr>
              <w:t xml:space="preserve">; prasība noteikta Ministru kabineta </w:t>
            </w:r>
            <w:r w:rsidR="005642B9">
              <w:t xml:space="preserve"> </w:t>
            </w:r>
            <w:r w:rsidR="005642B9" w:rsidRPr="007572F9">
              <w:rPr>
                <w:lang w:val="lv-LV"/>
              </w:rPr>
              <w:t>2010.</w:t>
            </w:r>
            <w:r w:rsidR="005642B9">
              <w:rPr>
                <w:lang w:val="lv-LV"/>
              </w:rPr>
              <w:t> </w:t>
            </w:r>
            <w:r w:rsidR="005642B9" w:rsidRPr="007572F9">
              <w:rPr>
                <w:lang w:val="lv-LV"/>
              </w:rPr>
              <w:t>gada 28.</w:t>
            </w:r>
            <w:r w:rsidR="005642B9">
              <w:rPr>
                <w:lang w:val="lv-LV"/>
              </w:rPr>
              <w:t> </w:t>
            </w:r>
            <w:r w:rsidR="005642B9" w:rsidRPr="007572F9">
              <w:rPr>
                <w:lang w:val="lv-LV"/>
              </w:rPr>
              <w:t>septembr</w:t>
            </w:r>
            <w:r w:rsidR="005642B9">
              <w:rPr>
                <w:lang w:val="lv-LV"/>
              </w:rPr>
              <w:t>a noteikumu Nr.907</w:t>
            </w:r>
            <w:r w:rsidR="005642B9" w:rsidRPr="007572F9">
              <w:rPr>
                <w:lang w:val="lv-LV"/>
              </w:rPr>
              <w:t xml:space="preserve"> </w:t>
            </w:r>
            <w:r w:rsidR="005642B9">
              <w:rPr>
                <w:lang w:val="lv-LV"/>
              </w:rPr>
              <w:t>„</w:t>
            </w:r>
            <w:r w:rsidR="005642B9" w:rsidRPr="007572F9">
              <w:rPr>
                <w:lang w:val="lv-LV"/>
              </w:rPr>
              <w:t>Noteikumi par dzīvojamās mājas apsekošanu, tehnisko apkopi, kārtējo remontu un energoefektivitātes minimālajam prasībām</w:t>
            </w:r>
            <w:r w:rsidR="005642B9">
              <w:rPr>
                <w:lang w:val="lv-LV"/>
              </w:rPr>
              <w:t>” 21. punktā, kur noteikts, ka d</w:t>
            </w:r>
            <w:r w:rsidR="005642B9" w:rsidRPr="007572F9">
              <w:rPr>
                <w:lang w:val="lv-LV"/>
              </w:rPr>
              <w:t>zīvojamās mājas pārvaldītājs plāno energoefektivitātes paaugstināšanas pasākumus, tajā skaitā dzīvojamās mājas renovāciju, ja dzīvojamai mājai vidējais siltumenerģijas patēriņš pēdējos trīs kalendāra gados pārsniedz 230 kWh/m</w:t>
            </w:r>
            <w:r w:rsidR="005642B9" w:rsidRPr="007572F9">
              <w:rPr>
                <w:vertAlign w:val="superscript"/>
                <w:lang w:val="lv-LV"/>
              </w:rPr>
              <w:t>2</w:t>
            </w:r>
            <w:r w:rsidR="005642B9" w:rsidRPr="007572F9">
              <w:rPr>
                <w:lang w:val="lv-LV"/>
              </w:rPr>
              <w:t xml:space="preserve"> gadā</w:t>
            </w:r>
            <w:r w:rsidR="005642B9">
              <w:rPr>
                <w:lang w:val="lv-LV"/>
              </w:rPr>
              <w:t>.</w:t>
            </w:r>
          </w:p>
          <w:p w:rsidR="00DD743F" w:rsidRPr="00DD743F" w:rsidRDefault="00DD743F" w:rsidP="00DD743F">
            <w:pPr>
              <w:pStyle w:val="naiskr"/>
              <w:spacing w:before="0" w:beforeAutospacing="0" w:after="0" w:afterAutospacing="0"/>
              <w:jc w:val="both"/>
              <w:rPr>
                <w:lang w:val="lv-LV"/>
              </w:rPr>
            </w:pPr>
            <w:r>
              <w:rPr>
                <w:lang w:val="lv-LV"/>
              </w:rPr>
              <w:t xml:space="preserve">  Ned</w:t>
            </w:r>
            <w:r w:rsidRPr="00DD743F">
              <w:rPr>
                <w:lang w:val="lv-LV"/>
              </w:rPr>
              <w:t>zīvojamām ēkām:</w:t>
            </w:r>
          </w:p>
          <w:p w:rsidR="003625C9" w:rsidRPr="003625C9" w:rsidRDefault="003625C9" w:rsidP="003625C9">
            <w:pPr>
              <w:pStyle w:val="naiskr"/>
              <w:spacing w:before="0" w:beforeAutospacing="0" w:after="0" w:afterAutospacing="0"/>
              <w:jc w:val="both"/>
              <w:rPr>
                <w:lang w:val="lv-LV"/>
              </w:rPr>
            </w:pPr>
            <w:r>
              <w:rPr>
                <w:lang w:val="lv-LV"/>
              </w:rPr>
              <w:t xml:space="preserve">  </w:t>
            </w:r>
            <w:r w:rsidRPr="003625C9">
              <w:rPr>
                <w:lang w:val="lv-LV"/>
              </w:rPr>
              <w:t>A klase – atbilst noteikumos noteiktajām prasībām gandrīz nulles enerģijas ēkām</w:t>
            </w:r>
            <w:r w:rsidR="008011DA">
              <w:rPr>
                <w:lang w:val="lv-LV"/>
              </w:rPr>
              <w:t xml:space="preserve"> (prasības iekļautas noteikumu projekta 1</w:t>
            </w:r>
            <w:r w:rsidR="00DD743F">
              <w:rPr>
                <w:lang w:val="lv-LV"/>
              </w:rPr>
              <w:t>9</w:t>
            </w:r>
            <w:r w:rsidR="008011DA">
              <w:rPr>
                <w:lang w:val="lv-LV"/>
              </w:rPr>
              <w:t>. punktā)</w:t>
            </w:r>
            <w:r w:rsidRPr="003625C9">
              <w:rPr>
                <w:lang w:val="lv-LV"/>
              </w:rPr>
              <w:t>;</w:t>
            </w:r>
          </w:p>
          <w:p w:rsidR="003625C9" w:rsidRPr="003625C9" w:rsidRDefault="003625C9" w:rsidP="003625C9">
            <w:pPr>
              <w:pStyle w:val="naiskr"/>
              <w:spacing w:before="0" w:beforeAutospacing="0" w:after="0" w:afterAutospacing="0"/>
              <w:jc w:val="both"/>
              <w:rPr>
                <w:lang w:val="lv-LV"/>
              </w:rPr>
            </w:pPr>
            <w:r>
              <w:rPr>
                <w:lang w:val="lv-LV"/>
              </w:rPr>
              <w:t xml:space="preserve">  </w:t>
            </w:r>
            <w:r w:rsidRPr="003625C9">
              <w:rPr>
                <w:lang w:val="lv-LV"/>
              </w:rPr>
              <w:t>B klase – zema enerģijas patēriņa ēka, kas atbilst A un C klases vidējai vērtībai;</w:t>
            </w:r>
          </w:p>
          <w:p w:rsidR="003625C9" w:rsidRPr="003625C9" w:rsidRDefault="003625C9" w:rsidP="003625C9">
            <w:pPr>
              <w:pStyle w:val="naiskr"/>
              <w:spacing w:before="0" w:beforeAutospacing="0" w:after="0" w:afterAutospacing="0"/>
              <w:jc w:val="both"/>
              <w:rPr>
                <w:lang w:val="lv-LV"/>
              </w:rPr>
            </w:pPr>
            <w:r>
              <w:rPr>
                <w:lang w:val="lv-LV"/>
              </w:rPr>
              <w:t xml:space="preserve">  </w:t>
            </w:r>
            <w:r w:rsidRPr="003625C9">
              <w:rPr>
                <w:lang w:val="lv-LV"/>
              </w:rPr>
              <w:t>C klase – atbilst normatīvos aktos būvniecības jomā noteiktām prasībām jaunām ēkām</w:t>
            </w:r>
            <w:r w:rsidR="008011DA">
              <w:rPr>
                <w:lang w:val="lv-LV"/>
              </w:rPr>
              <w:t xml:space="preserve"> (jaunas prasības tiks noteiktas līdz 2013. gada beigām)</w:t>
            </w:r>
            <w:r w:rsidRPr="003625C9">
              <w:rPr>
                <w:lang w:val="lv-LV"/>
              </w:rPr>
              <w:t xml:space="preserve">; </w:t>
            </w:r>
          </w:p>
          <w:p w:rsidR="003625C9" w:rsidRPr="003625C9" w:rsidRDefault="003625C9" w:rsidP="003625C9">
            <w:pPr>
              <w:pStyle w:val="naiskr"/>
              <w:spacing w:before="0" w:beforeAutospacing="0" w:after="0" w:afterAutospacing="0"/>
              <w:jc w:val="both"/>
              <w:rPr>
                <w:lang w:val="lv-LV"/>
              </w:rPr>
            </w:pPr>
            <w:r>
              <w:rPr>
                <w:lang w:val="lv-LV"/>
              </w:rPr>
              <w:t xml:space="preserve">  </w:t>
            </w:r>
            <w:r w:rsidRPr="003625C9">
              <w:rPr>
                <w:lang w:val="lv-LV"/>
              </w:rPr>
              <w:t>D klase – atbilst normatīvos aktos būvniecības jomā noteiktām prasībām rekonstruējamām ēkām</w:t>
            </w:r>
            <w:r w:rsidR="008011DA">
              <w:rPr>
                <w:lang w:val="lv-LV"/>
              </w:rPr>
              <w:t xml:space="preserve"> (jaunas prasības tiks noteiktas līdz 2013. gada beigām);</w:t>
            </w:r>
          </w:p>
          <w:p w:rsidR="00220DA1" w:rsidRDefault="003625C9" w:rsidP="003625C9">
            <w:pPr>
              <w:pStyle w:val="naiskr"/>
              <w:spacing w:before="0" w:beforeAutospacing="0" w:after="0" w:afterAutospacing="0"/>
              <w:jc w:val="both"/>
              <w:rPr>
                <w:lang w:val="lv-LV"/>
              </w:rPr>
            </w:pPr>
            <w:r>
              <w:rPr>
                <w:lang w:val="lv-LV"/>
              </w:rPr>
              <w:t xml:space="preserve">  </w:t>
            </w:r>
            <w:r w:rsidRPr="003625C9">
              <w:rPr>
                <w:lang w:val="lv-LV"/>
              </w:rPr>
              <w:t>E klase – atbilst ēkas tipam atbilstošam vidējam patēriņam</w:t>
            </w:r>
            <w:r w:rsidR="0020422E">
              <w:rPr>
                <w:lang w:val="lv-LV"/>
              </w:rPr>
              <w:t>.</w:t>
            </w:r>
            <w:r w:rsidRPr="003625C9">
              <w:rPr>
                <w:lang w:val="lv-LV"/>
              </w:rPr>
              <w:t>,.</w:t>
            </w:r>
          </w:p>
          <w:p w:rsidR="0020422E" w:rsidRPr="003625C9" w:rsidRDefault="0020422E" w:rsidP="0020422E">
            <w:pPr>
              <w:pStyle w:val="naiskr"/>
              <w:spacing w:before="0" w:beforeAutospacing="0" w:after="0" w:afterAutospacing="0"/>
              <w:jc w:val="both"/>
              <w:rPr>
                <w:lang w:val="lv-LV"/>
              </w:rPr>
            </w:pPr>
            <w:r>
              <w:rPr>
                <w:lang w:val="lv-LV"/>
              </w:rPr>
              <w:lastRenderedPageBreak/>
              <w:t xml:space="preserve">   Gan dzīvojamām, gan nedzīvojamām ēkām energoefektivitātes rādītāji </w:t>
            </w:r>
            <w:r w:rsidR="00D308C9">
              <w:rPr>
                <w:lang w:val="lv-LV"/>
              </w:rPr>
              <w:t xml:space="preserve">šobrīd normatīvos aktos nav </w:t>
            </w:r>
            <w:r>
              <w:rPr>
                <w:lang w:val="lv-LV"/>
              </w:rPr>
              <w:t>noteikti, tādēļ noteikumos noteikts,</w:t>
            </w:r>
            <w:r w:rsidR="00C143F1">
              <w:rPr>
                <w:lang w:val="lv-LV"/>
              </w:rPr>
              <w:t xml:space="preserve"> </w:t>
            </w:r>
            <w:r>
              <w:rPr>
                <w:lang w:val="lv-LV"/>
              </w:rPr>
              <w:t>ka  Ekonomikas ministrija nosaka un reizi gadā publicē vidējos apkures patēriņa datus par: daudzdzīvokļu dzīvojamām mājām, viena dzīvokļa mājām, biroju ēkām, izglītības iestāžu ēkām.</w:t>
            </w:r>
          </w:p>
          <w:p w:rsidR="0020422E" w:rsidRDefault="0020422E" w:rsidP="003625C9">
            <w:pPr>
              <w:pStyle w:val="naiskr"/>
              <w:spacing w:before="0" w:beforeAutospacing="0" w:after="0" w:afterAutospacing="0"/>
              <w:jc w:val="both"/>
              <w:rPr>
                <w:lang w:val="lv-LV"/>
              </w:rPr>
            </w:pPr>
            <w:r>
              <w:rPr>
                <w:lang w:val="lv-LV"/>
              </w:rPr>
              <w:t xml:space="preserve">  Nedzīvojamām ēkām C un D klases vērtības tiks noteiktas </w:t>
            </w:r>
            <w:r w:rsidR="004B5CEE">
              <w:rPr>
                <w:lang w:val="lv-LV"/>
              </w:rPr>
              <w:t xml:space="preserve">līdz 2013. gada beigām </w:t>
            </w:r>
            <w:r>
              <w:rPr>
                <w:lang w:val="lv-LV"/>
              </w:rPr>
              <w:t>būvniecību regulējošos normatīvos aktos saskaņā ar Direktīvas 2010/31/ES 5. panta 2. punktu</w:t>
            </w:r>
            <w:r w:rsidR="004B5CEE">
              <w:rPr>
                <w:lang w:val="lv-LV"/>
              </w:rPr>
              <w:t xml:space="preserve"> un </w:t>
            </w:r>
            <w:r w:rsidR="004B5CEE" w:rsidRPr="004B5CEE">
              <w:rPr>
                <w:lang w:val="lv-LV"/>
              </w:rPr>
              <w:t>Eiropas</w:t>
            </w:r>
            <w:r w:rsidR="004B5CEE">
              <w:rPr>
                <w:lang w:val="lv-LV"/>
              </w:rPr>
              <w:t xml:space="preserve"> </w:t>
            </w:r>
            <w:r w:rsidR="004B5CEE" w:rsidRPr="004B5CEE">
              <w:rPr>
                <w:lang w:val="lv-LV"/>
              </w:rPr>
              <w:t>Komisijas</w:t>
            </w:r>
            <w:r w:rsidR="004B5CEE">
              <w:rPr>
                <w:lang w:val="lv-LV"/>
              </w:rPr>
              <w:t xml:space="preserve"> </w:t>
            </w:r>
            <w:r w:rsidR="004B5CEE" w:rsidRPr="004B5CEE">
              <w:rPr>
                <w:lang w:val="lv-LV"/>
              </w:rPr>
              <w:t>2012.</w:t>
            </w:r>
            <w:r w:rsidR="004B5CEE">
              <w:rPr>
                <w:lang w:val="lv-LV"/>
              </w:rPr>
              <w:t> </w:t>
            </w:r>
            <w:r w:rsidR="004B5CEE" w:rsidRPr="004B5CEE">
              <w:rPr>
                <w:lang w:val="lv-LV"/>
              </w:rPr>
              <w:t>gada 16.</w:t>
            </w:r>
            <w:r w:rsidR="004B5CEE">
              <w:rPr>
                <w:lang w:val="lv-LV"/>
              </w:rPr>
              <w:t> </w:t>
            </w:r>
            <w:r w:rsidR="004B5CEE" w:rsidRPr="004B5CEE">
              <w:rPr>
                <w:lang w:val="lv-LV"/>
              </w:rPr>
              <w:t>janvāra</w:t>
            </w:r>
            <w:r w:rsidR="004B5CEE">
              <w:rPr>
                <w:lang w:val="lv-LV"/>
              </w:rPr>
              <w:t xml:space="preserve"> </w:t>
            </w:r>
            <w:r w:rsidR="004B5CEE" w:rsidRPr="004B5CEE">
              <w:rPr>
                <w:lang w:val="lv-LV"/>
              </w:rPr>
              <w:t xml:space="preserve">Regulu </w:t>
            </w:r>
            <w:proofErr w:type="spellStart"/>
            <w:r w:rsidR="004B5CEE" w:rsidRPr="004B5CEE">
              <w:rPr>
                <w:lang w:val="lv-LV"/>
              </w:rPr>
              <w:t>Nr</w:t>
            </w:r>
            <w:proofErr w:type="spellEnd"/>
            <w:r w:rsidR="004B5CEE" w:rsidRPr="004B5CEE">
              <w:rPr>
                <w:lang w:val="lv-LV"/>
              </w:rPr>
              <w:t>.</w:t>
            </w:r>
            <w:r w:rsidR="004B5CEE">
              <w:rPr>
                <w:lang w:val="lv-LV"/>
              </w:rPr>
              <w:t xml:space="preserve"> </w:t>
            </w:r>
            <w:r w:rsidR="004B5CEE" w:rsidRPr="004B5CEE">
              <w:rPr>
                <w:lang w:val="lv-LV"/>
              </w:rPr>
              <w:t>244/2012, ar kuru papildina Eiropas Parlamenta un Padomes Direktīvu 2010/31/ES par ēku energoefektivitāti, nosakot salīdzinošās metodoloģijas sistēmu izmaksu ziņā optimālu minimālo energoefektivitātes prasību līmeņu aprēķināšanai ēkām un būves elementiem</w:t>
            </w:r>
            <w:r w:rsidR="004B5CEE">
              <w:rPr>
                <w:lang w:val="lv-LV"/>
              </w:rPr>
              <w:t>.</w:t>
            </w:r>
          </w:p>
          <w:p w:rsidR="007572F9" w:rsidRDefault="007572F9" w:rsidP="003625C9">
            <w:pPr>
              <w:pStyle w:val="naiskr"/>
              <w:spacing w:before="0" w:beforeAutospacing="0" w:after="0" w:afterAutospacing="0"/>
              <w:jc w:val="both"/>
              <w:rPr>
                <w:lang w:val="lv-LV"/>
              </w:rPr>
            </w:pPr>
            <w:r>
              <w:rPr>
                <w:lang w:val="lv-LV"/>
              </w:rPr>
              <w:t xml:space="preserve">  Ņemot vērā, ka </w:t>
            </w:r>
            <w:r w:rsidRPr="007572F9">
              <w:rPr>
                <w:lang w:val="lv-LV"/>
              </w:rPr>
              <w:t>B, C, D un E kla</w:t>
            </w:r>
            <w:r w:rsidR="00F057E2">
              <w:rPr>
                <w:lang w:val="lv-LV"/>
              </w:rPr>
              <w:t>šu vērtības</w:t>
            </w:r>
            <w:r w:rsidRPr="007572F9">
              <w:rPr>
                <w:lang w:val="lv-LV"/>
              </w:rPr>
              <w:t xml:space="preserve"> </w:t>
            </w:r>
            <w:r w:rsidR="00F057E2">
              <w:rPr>
                <w:lang w:val="lv-LV"/>
              </w:rPr>
              <w:t xml:space="preserve">nedzīvojamām </w:t>
            </w:r>
            <w:r>
              <w:rPr>
                <w:lang w:val="lv-LV"/>
              </w:rPr>
              <w:t>ēk</w:t>
            </w:r>
            <w:r w:rsidR="00F057E2">
              <w:rPr>
                <w:lang w:val="lv-LV"/>
              </w:rPr>
              <w:t>ām</w:t>
            </w:r>
            <w:r>
              <w:rPr>
                <w:lang w:val="lv-LV"/>
              </w:rPr>
              <w:t xml:space="preserve"> tiks noteiktas līdz 2013.</w:t>
            </w:r>
            <w:r w:rsidR="00BB7623">
              <w:rPr>
                <w:lang w:val="lv-LV"/>
              </w:rPr>
              <w:t> </w:t>
            </w:r>
            <w:r>
              <w:rPr>
                <w:lang w:val="lv-LV"/>
              </w:rPr>
              <w:t>gada beigām, prasība  norādīt</w:t>
            </w:r>
            <w:r w:rsidR="0020422E">
              <w:rPr>
                <w:lang w:val="lv-LV"/>
              </w:rPr>
              <w:t xml:space="preserve"> </w:t>
            </w:r>
            <w:r w:rsidR="00D308C9" w:rsidRPr="001F633B">
              <w:rPr>
                <w:lang w:val="lv-LV"/>
              </w:rPr>
              <w:t xml:space="preserve"> </w:t>
            </w:r>
            <w:r w:rsidR="00D308C9">
              <w:rPr>
                <w:lang w:val="lv-LV"/>
              </w:rPr>
              <w:t>attiecīgās klašu vērtības</w:t>
            </w:r>
            <w:r w:rsidR="00D308C9" w:rsidDel="00D308C9">
              <w:rPr>
                <w:lang w:val="lv-LV"/>
              </w:rPr>
              <w:t xml:space="preserve"> </w:t>
            </w:r>
            <w:r w:rsidR="0020422E">
              <w:rPr>
                <w:lang w:val="lv-LV"/>
              </w:rPr>
              <w:t>ēkas energosertifikātā</w:t>
            </w:r>
            <w:r>
              <w:rPr>
                <w:lang w:val="lv-LV"/>
              </w:rPr>
              <w:t xml:space="preserve"> </w:t>
            </w:r>
            <w:r w:rsidRPr="007572F9">
              <w:rPr>
                <w:lang w:val="lv-LV"/>
              </w:rPr>
              <w:t>stājas spēkā 2014.</w:t>
            </w:r>
            <w:r w:rsidR="00BB7623">
              <w:rPr>
                <w:lang w:val="lv-LV"/>
              </w:rPr>
              <w:t> </w:t>
            </w:r>
            <w:r w:rsidRPr="007572F9">
              <w:rPr>
                <w:lang w:val="lv-LV"/>
              </w:rPr>
              <w:t>gada 1.</w:t>
            </w:r>
            <w:r w:rsidR="00BB7623">
              <w:rPr>
                <w:lang w:val="lv-LV"/>
              </w:rPr>
              <w:t> </w:t>
            </w:r>
            <w:r w:rsidRPr="007572F9">
              <w:rPr>
                <w:lang w:val="lv-LV"/>
              </w:rPr>
              <w:t>janvārī.</w:t>
            </w:r>
          </w:p>
          <w:p w:rsidR="007572F9" w:rsidRDefault="00BB7623" w:rsidP="003625C9">
            <w:pPr>
              <w:pStyle w:val="naiskr"/>
              <w:spacing w:before="0" w:beforeAutospacing="0" w:after="0" w:afterAutospacing="0"/>
              <w:jc w:val="both"/>
              <w:rPr>
                <w:lang w:val="lv-LV"/>
              </w:rPr>
            </w:pPr>
            <w:r>
              <w:rPr>
                <w:lang w:val="lv-LV"/>
              </w:rPr>
              <w:t xml:space="preserve">  Noteikumos noteiktas prasības gandrīz nulles enerģijas ēkām ņemot vērā </w:t>
            </w:r>
            <w:r>
              <w:t xml:space="preserve"> </w:t>
            </w:r>
            <w:r w:rsidRPr="00BB7623">
              <w:rPr>
                <w:lang w:val="lv-LV"/>
              </w:rPr>
              <w:t>Vides aizsardzības un reģionālās attīstības ministrija</w:t>
            </w:r>
            <w:r>
              <w:rPr>
                <w:lang w:val="lv-LV"/>
              </w:rPr>
              <w:t xml:space="preserve">s pieredzi realizējot </w:t>
            </w:r>
            <w:r w:rsidRPr="00BB7623">
              <w:rPr>
                <w:lang w:val="lv-LV"/>
              </w:rPr>
              <w:t>Klimata pārmaiņu finanšu instrumenta projektu</w:t>
            </w:r>
            <w:r>
              <w:rPr>
                <w:lang w:val="lv-LV"/>
              </w:rPr>
              <w:t>s</w:t>
            </w:r>
            <w:r w:rsidRPr="00BB7623">
              <w:rPr>
                <w:lang w:val="lv-LV"/>
              </w:rPr>
              <w:t xml:space="preserve"> atklātā konkurs</w:t>
            </w:r>
            <w:r>
              <w:rPr>
                <w:lang w:val="lv-LV"/>
              </w:rPr>
              <w:t>ā</w:t>
            </w:r>
            <w:r w:rsidRPr="00BB7623">
              <w:rPr>
                <w:lang w:val="lv-LV"/>
              </w:rPr>
              <w:t xml:space="preserve"> „Zema enerģijas patēriņa ēkas”</w:t>
            </w:r>
            <w:r>
              <w:rPr>
                <w:lang w:val="lv-LV"/>
              </w:rPr>
              <w:t xml:space="preserve">. </w:t>
            </w:r>
            <w:r w:rsidR="00F057E2">
              <w:rPr>
                <w:lang w:val="lv-LV"/>
              </w:rPr>
              <w:t xml:space="preserve">Papildus ņemts vērā </w:t>
            </w:r>
            <w:r w:rsidR="00F057E2" w:rsidRPr="00191487">
              <w:rPr>
                <w:iCs/>
                <w:lang w:val="lv-LV"/>
              </w:rPr>
              <w:t>Informatīv</w:t>
            </w:r>
            <w:r w:rsidR="00F057E2">
              <w:rPr>
                <w:iCs/>
                <w:lang w:val="lv-LV"/>
              </w:rPr>
              <w:t>ā</w:t>
            </w:r>
            <w:r w:rsidR="00F057E2" w:rsidRPr="00191487">
              <w:rPr>
                <w:iCs/>
                <w:lang w:val="lv-LV"/>
              </w:rPr>
              <w:t xml:space="preserve"> ziņojum</w:t>
            </w:r>
            <w:r w:rsidR="00F057E2">
              <w:rPr>
                <w:iCs/>
                <w:lang w:val="lv-LV"/>
              </w:rPr>
              <w:t>ā</w:t>
            </w:r>
            <w:r w:rsidR="00F057E2" w:rsidRPr="00191487">
              <w:rPr>
                <w:iCs/>
                <w:lang w:val="lv-LV"/>
              </w:rPr>
              <w:t xml:space="preserve"> „Latvijas Enerģētikas ilgtermiņa stratēģija 2030 – konkurētspējīga enerģētika sabiedrībai”</w:t>
            </w:r>
            <w:r w:rsidR="00F057E2">
              <w:rPr>
                <w:lang w:val="lv-LV"/>
              </w:rPr>
              <w:t xml:space="preserve"> noteiktas priekšnosacījums „</w:t>
            </w:r>
            <w:r w:rsidR="00F057E2" w:rsidRPr="00F057E2">
              <w:rPr>
                <w:lang w:val="lv-LV"/>
              </w:rPr>
              <w:t>16)</w:t>
            </w:r>
            <w:r w:rsidR="00F057E2">
              <w:rPr>
                <w:lang w:val="lv-LV"/>
              </w:rPr>
              <w:t xml:space="preserve"> </w:t>
            </w:r>
            <w:r w:rsidR="00F057E2" w:rsidRPr="00F057E2">
              <w:rPr>
                <w:lang w:val="lv-LV"/>
              </w:rPr>
              <w:t>stimulēt jaunu patērētāju pieslēgšanu efektīvām centralizētās siltumapgādes sistēmām, tai skaitā, ierobežojot zemas lietderības fosilo autonomās apkures iekārtas uzstādīšanu teritorijā, kurā ir pieejama centralizētā siltumapgāde</w:t>
            </w:r>
            <w:r w:rsidR="00F057E2">
              <w:rPr>
                <w:lang w:val="lv-LV"/>
              </w:rPr>
              <w:t>”.</w:t>
            </w:r>
          </w:p>
          <w:p w:rsidR="007572F9" w:rsidRDefault="00C21440" w:rsidP="00106621">
            <w:pPr>
              <w:pStyle w:val="naiskr"/>
              <w:spacing w:before="0" w:beforeAutospacing="0" w:after="0" w:afterAutospacing="0"/>
              <w:jc w:val="both"/>
              <w:rPr>
                <w:lang w:val="lv-LV"/>
              </w:rPr>
            </w:pPr>
            <w:r>
              <w:rPr>
                <w:lang w:val="lv-LV"/>
              </w:rPr>
              <w:t xml:space="preserve">  Noteikumi nosaka, ka neatkarīgi eksperti izsniegtos ēku energosertifikātus un ēku pagaidu energosertifikātus reģistrē </w:t>
            </w:r>
            <w:r>
              <w:t xml:space="preserve"> </w:t>
            </w:r>
            <w:r w:rsidRPr="00C21440">
              <w:rPr>
                <w:lang w:val="lv-LV"/>
              </w:rPr>
              <w:t>ēku energosertifikātu reģistrā</w:t>
            </w:r>
            <w:r>
              <w:rPr>
                <w:lang w:val="lv-LV"/>
              </w:rPr>
              <w:t xml:space="preserve">, ko uztur Ekonomikas ministrija. </w:t>
            </w:r>
            <w:r>
              <w:t xml:space="preserve"> </w:t>
            </w:r>
            <w:r w:rsidRPr="00C21440">
              <w:rPr>
                <w:lang w:val="lv-LV"/>
              </w:rPr>
              <w:t>Ēku</w:t>
            </w:r>
            <w:r w:rsidR="00106621">
              <w:rPr>
                <w:lang w:val="lv-LV"/>
              </w:rPr>
              <w:t> </w:t>
            </w:r>
            <w:r w:rsidRPr="00C21440">
              <w:rPr>
                <w:lang w:val="lv-LV"/>
              </w:rPr>
              <w:t>energosertifikātu reģistrā iekļauj datus, kas saskaņā ar šiem noteikumiem iekļauti ēkas energosertifikātā, ēkas pagaidu energosertifikātā un šo dokumentu pielikumos.</w:t>
            </w:r>
            <w:r w:rsidR="00D308C9">
              <w:rPr>
                <w:lang w:val="lv-LV"/>
              </w:rPr>
              <w:t xml:space="preserve"> </w:t>
            </w:r>
          </w:p>
          <w:p w:rsidR="003625C9" w:rsidRDefault="00C21440" w:rsidP="003625C9">
            <w:pPr>
              <w:pStyle w:val="naiskr"/>
              <w:spacing w:before="0" w:beforeAutospacing="0" w:after="0" w:afterAutospacing="0"/>
              <w:jc w:val="both"/>
              <w:rPr>
                <w:lang w:val="lv-LV"/>
              </w:rPr>
            </w:pPr>
            <w:r w:rsidRPr="00C21440">
              <w:rPr>
                <w:lang w:val="lv-LV"/>
              </w:rPr>
              <w:t xml:space="preserve">   </w:t>
            </w:r>
            <w:r>
              <w:rPr>
                <w:lang w:val="lv-LV"/>
              </w:rPr>
              <w:t>Ēku energosertifikātu</w:t>
            </w:r>
            <w:r w:rsidRPr="00C21440">
              <w:rPr>
                <w:lang w:val="lv-LV"/>
              </w:rPr>
              <w:t xml:space="preserve"> reģistr</w:t>
            </w:r>
            <w:r>
              <w:rPr>
                <w:lang w:val="lv-LV"/>
              </w:rPr>
              <w:t>u</w:t>
            </w:r>
            <w:r w:rsidRPr="00C21440">
              <w:rPr>
                <w:lang w:val="lv-LV"/>
              </w:rPr>
              <w:t xml:space="preserve"> plānots iekļaut Būvniecības informācijas sistēmā (turpmāk – BIS). Ekonomikas ministrija īsteno Eiropas Savienības fondu 3.2.2.1.1.</w:t>
            </w:r>
            <w:r>
              <w:rPr>
                <w:lang w:val="lv-LV"/>
              </w:rPr>
              <w:t> </w:t>
            </w:r>
            <w:proofErr w:type="spellStart"/>
            <w:r w:rsidRPr="00C21440">
              <w:rPr>
                <w:lang w:val="lv-LV"/>
              </w:rPr>
              <w:t>apakšaktivitātes</w:t>
            </w:r>
            <w:proofErr w:type="spellEnd"/>
            <w:r w:rsidRPr="00C21440">
              <w:rPr>
                <w:lang w:val="lv-LV"/>
              </w:rPr>
              <w:t xml:space="preserve"> „Informācijas sistēmu un elektronisko pakalpojumu attīstība” projektu „Būvniecības informācijas sistēmas izstrāde” (ID</w:t>
            </w:r>
            <w:r>
              <w:rPr>
                <w:lang w:val="lv-LV"/>
              </w:rPr>
              <w:t>.</w:t>
            </w:r>
            <w:r w:rsidRPr="00C21440">
              <w:rPr>
                <w:lang w:val="lv-LV"/>
              </w:rPr>
              <w:t xml:space="preserve"> 3DP /3.2.2.1.1/08/IPIA/IUMEPLS/004). Projekta īstenošanas ilgums ir no 2010. gada 7. janvāra līdz </w:t>
            </w:r>
            <w:r w:rsidR="00D308C9" w:rsidRPr="00C21440">
              <w:rPr>
                <w:lang w:val="lv-LV"/>
              </w:rPr>
              <w:t>201</w:t>
            </w:r>
            <w:r w:rsidR="00D308C9">
              <w:rPr>
                <w:lang w:val="lv-LV"/>
              </w:rPr>
              <w:t>4</w:t>
            </w:r>
            <w:r w:rsidRPr="00C21440">
              <w:rPr>
                <w:lang w:val="lv-LV"/>
              </w:rPr>
              <w:t xml:space="preserve">. gada </w:t>
            </w:r>
            <w:r w:rsidR="00D308C9">
              <w:rPr>
                <w:lang w:val="lv-LV"/>
              </w:rPr>
              <w:t>1</w:t>
            </w:r>
            <w:r w:rsidRPr="00C21440">
              <w:rPr>
                <w:lang w:val="lv-LV"/>
              </w:rPr>
              <w:t xml:space="preserve">. </w:t>
            </w:r>
            <w:r w:rsidR="00D308C9">
              <w:rPr>
                <w:lang w:val="lv-LV"/>
              </w:rPr>
              <w:t>janvārim</w:t>
            </w:r>
            <w:r w:rsidRPr="00C21440">
              <w:rPr>
                <w:lang w:val="lv-LV"/>
              </w:rPr>
              <w:t>.</w:t>
            </w:r>
            <w:r>
              <w:rPr>
                <w:lang w:val="lv-LV"/>
              </w:rPr>
              <w:t xml:space="preserve"> </w:t>
            </w:r>
            <w:r w:rsidR="00D308C9">
              <w:rPr>
                <w:lang w:val="lv-LV"/>
              </w:rPr>
              <w:t xml:space="preserve"> Ņemot vērā, ka BIS vēl nav izveidota, noteikumos iekļauts pārejas noteikums par ēku energosertifikātu un  ēku pagaidu energosertifikātu reģistrāciju no 2014. gada 1. janvāra.</w:t>
            </w:r>
          </w:p>
          <w:p w:rsidR="00C21440" w:rsidRDefault="00C21440" w:rsidP="003625C9">
            <w:pPr>
              <w:pStyle w:val="naiskr"/>
              <w:spacing w:before="0" w:beforeAutospacing="0" w:after="0" w:afterAutospacing="0"/>
              <w:jc w:val="both"/>
              <w:rPr>
                <w:lang w:val="lv-LV"/>
              </w:rPr>
            </w:pPr>
            <w:bookmarkStart w:id="0" w:name="_GoBack"/>
            <w:r>
              <w:rPr>
                <w:lang w:val="lv-LV"/>
              </w:rPr>
              <w:t xml:space="preserve">   Noteikumu projektā apkures sistēmu un gaisa kondicionēšanas sistēmu pārbaude noteikta termiņos, kādus pieprasa direktīva 2010/31/ES, piemērojot attiecīgus Latvijā adaptētus CEN (Eiropas standartizācijas organizācijas) standartus:</w:t>
            </w:r>
          </w:p>
          <w:p w:rsidR="00AE1BBE" w:rsidRPr="00C64894" w:rsidRDefault="00C21440" w:rsidP="00C21440">
            <w:pPr>
              <w:pStyle w:val="naiskr"/>
              <w:numPr>
                <w:ilvl w:val="0"/>
                <w:numId w:val="15"/>
              </w:numPr>
              <w:spacing w:before="0" w:beforeAutospacing="0" w:after="0" w:afterAutospacing="0"/>
              <w:jc w:val="both"/>
              <w:rPr>
                <w:lang w:val="lv-LV"/>
              </w:rPr>
            </w:pPr>
            <w:r w:rsidRPr="00C21440">
              <w:rPr>
                <w:lang w:val="lv-LV"/>
              </w:rPr>
              <w:t>LVS EN 15378:2009 L „Ēku apkures sistēmas. Apkures katlu un apkures sistēmu inspicēšana” (turpmāk – standarts LVS EN 15378:2009 L)</w:t>
            </w:r>
            <w:r>
              <w:rPr>
                <w:lang w:val="lv-LV"/>
              </w:rPr>
              <w:t>;</w:t>
            </w:r>
          </w:p>
          <w:p w:rsidR="00AE1BBE" w:rsidRDefault="00C21440" w:rsidP="00C21440">
            <w:pPr>
              <w:pStyle w:val="naiskr"/>
              <w:numPr>
                <w:ilvl w:val="0"/>
                <w:numId w:val="15"/>
              </w:numPr>
              <w:spacing w:before="0" w:beforeAutospacing="0" w:after="0" w:afterAutospacing="0"/>
              <w:jc w:val="both"/>
              <w:rPr>
                <w:lang w:val="lv-LV"/>
              </w:rPr>
            </w:pPr>
            <w:r w:rsidRPr="00C21440">
              <w:rPr>
                <w:lang w:val="lv-LV"/>
              </w:rPr>
              <w:t xml:space="preserve">LVS EN 15240:2009 L „Ēku ventilācija. Ēku </w:t>
            </w:r>
            <w:r w:rsidRPr="00C21440">
              <w:rPr>
                <w:lang w:val="lv-LV"/>
              </w:rPr>
              <w:lastRenderedPageBreak/>
              <w:t>energoefektivitāte. Gaisa kondicionēšanas sistēmu apskates vadlīnijas” (turpmāk – standarts LVS EN 15240:2009 L)</w:t>
            </w:r>
            <w:r>
              <w:rPr>
                <w:lang w:val="lv-LV"/>
              </w:rPr>
              <w:t>.</w:t>
            </w:r>
          </w:p>
          <w:p w:rsidR="00C21440" w:rsidRPr="00E57F05" w:rsidRDefault="00C21440" w:rsidP="00B117D8">
            <w:pPr>
              <w:pStyle w:val="naiskr"/>
              <w:spacing w:before="0" w:beforeAutospacing="0" w:after="0" w:afterAutospacing="0"/>
              <w:jc w:val="both"/>
              <w:rPr>
                <w:lang w:val="lv-LV"/>
              </w:rPr>
            </w:pPr>
            <w:r>
              <w:rPr>
                <w:lang w:val="lv-LV"/>
              </w:rPr>
              <w:t xml:space="preserve">   </w:t>
            </w:r>
            <w:r w:rsidR="00B117D8">
              <w:rPr>
                <w:lang w:val="lv-LV"/>
              </w:rPr>
              <w:t>S</w:t>
            </w:r>
            <w:r w:rsidR="00B117D8" w:rsidRPr="00C21440">
              <w:rPr>
                <w:lang w:val="lv-LV"/>
              </w:rPr>
              <w:t>tandart</w:t>
            </w:r>
            <w:r w:rsidR="00B117D8">
              <w:rPr>
                <w:lang w:val="lv-LV"/>
              </w:rPr>
              <w:t>a</w:t>
            </w:r>
            <w:r w:rsidR="00B117D8" w:rsidRPr="00C21440">
              <w:rPr>
                <w:lang w:val="lv-LV"/>
              </w:rPr>
              <w:t xml:space="preserve"> LVS EN 15378:2009 L</w:t>
            </w:r>
            <w:r w:rsidR="00B117D8">
              <w:rPr>
                <w:lang w:val="lv-LV"/>
              </w:rPr>
              <w:t xml:space="preserve"> un </w:t>
            </w:r>
            <w:r w:rsidR="00B117D8" w:rsidRPr="00C21440">
              <w:rPr>
                <w:lang w:val="lv-LV"/>
              </w:rPr>
              <w:t>LVS EN 15240:2009 L</w:t>
            </w:r>
            <w:r w:rsidR="00B117D8">
              <w:rPr>
                <w:lang w:val="lv-LV"/>
              </w:rPr>
              <w:t xml:space="preserve"> piemērošana noteikumu projektā noteikta, jo attiecīgos standartus  CEN pieņēma atbilstoši Eiropas Komisijas pilnvarojumam (M/343), lai nodrošinātu ēku energoefektivitātes direktīvas prasību izpildi. </w:t>
            </w:r>
            <w:r>
              <w:rPr>
                <w:lang w:val="lv-LV"/>
              </w:rPr>
              <w:t>S</w:t>
            </w:r>
            <w:r w:rsidRPr="00C21440">
              <w:rPr>
                <w:lang w:val="lv-LV"/>
              </w:rPr>
              <w:t>tandarts LVS EN 15378:2009 L</w:t>
            </w:r>
            <w:r>
              <w:rPr>
                <w:lang w:val="lv-LV"/>
              </w:rPr>
              <w:t xml:space="preserve"> un </w:t>
            </w:r>
            <w:r w:rsidRPr="00C21440">
              <w:rPr>
                <w:lang w:val="lv-LV"/>
              </w:rPr>
              <w:t>LVS EN 15240:2009 L</w:t>
            </w:r>
            <w:r>
              <w:rPr>
                <w:lang w:val="lv-LV"/>
              </w:rPr>
              <w:t xml:space="preserve"> iztulkot</w:t>
            </w:r>
            <w:r w:rsidR="009B3AA8">
              <w:rPr>
                <w:lang w:val="lv-LV"/>
              </w:rPr>
              <w:t>s</w:t>
            </w:r>
            <w:r>
              <w:rPr>
                <w:lang w:val="lv-LV"/>
              </w:rPr>
              <w:t xml:space="preserve"> latviešu valodā 2009. gadā.</w:t>
            </w:r>
            <w:bookmarkEnd w:id="0"/>
          </w:p>
        </w:tc>
      </w:tr>
      <w:tr w:rsidR="00B8658B" w:rsidRPr="00177449" w:rsidTr="00131EC7">
        <w:tc>
          <w:tcPr>
            <w:tcW w:w="0" w:type="auto"/>
          </w:tcPr>
          <w:p w:rsidR="00B8658B" w:rsidRPr="00177449" w:rsidRDefault="00B8658B" w:rsidP="00B8658B">
            <w:pPr>
              <w:pStyle w:val="naiskr"/>
              <w:spacing w:before="0" w:beforeAutospacing="0" w:after="0" w:afterAutospacing="0"/>
              <w:rPr>
                <w:lang w:val="lv-LV"/>
              </w:rPr>
            </w:pPr>
            <w:r w:rsidRPr="00177449">
              <w:rPr>
                <w:lang w:val="lv-LV"/>
              </w:rPr>
              <w:lastRenderedPageBreak/>
              <w:t>5.</w:t>
            </w:r>
          </w:p>
        </w:tc>
        <w:tc>
          <w:tcPr>
            <w:tcW w:w="1129" w:type="pct"/>
          </w:tcPr>
          <w:p w:rsidR="00B8658B" w:rsidRPr="00177449" w:rsidRDefault="00B8658B" w:rsidP="00B8658B">
            <w:pPr>
              <w:pStyle w:val="naiskr"/>
              <w:spacing w:before="0" w:beforeAutospacing="0" w:after="0" w:afterAutospacing="0"/>
              <w:rPr>
                <w:lang w:val="lv-LV"/>
              </w:rPr>
            </w:pPr>
            <w:r w:rsidRPr="00177449">
              <w:rPr>
                <w:lang w:val="lv-LV"/>
              </w:rPr>
              <w:t>Projekta izstrādē iesaistītās institūcijas</w:t>
            </w:r>
          </w:p>
        </w:tc>
        <w:tc>
          <w:tcPr>
            <w:tcW w:w="3742" w:type="pct"/>
          </w:tcPr>
          <w:p w:rsidR="00B8658B" w:rsidRPr="00412F87" w:rsidRDefault="000A1129" w:rsidP="000A1129">
            <w:pPr>
              <w:pStyle w:val="naiskr"/>
              <w:spacing w:before="0" w:beforeAutospacing="0" w:after="0" w:afterAutospacing="0"/>
              <w:jc w:val="both"/>
              <w:rPr>
                <w:b/>
                <w:lang w:val="lv-LV"/>
              </w:rPr>
            </w:pPr>
            <w:r>
              <w:rPr>
                <w:lang w:val="lv-LV"/>
              </w:rPr>
              <w:t xml:space="preserve">   </w:t>
            </w:r>
            <w:r w:rsidRPr="00177449">
              <w:rPr>
                <w:lang w:val="lv-LV"/>
              </w:rPr>
              <w:t>Projekts šo jomu neskar.</w:t>
            </w:r>
          </w:p>
        </w:tc>
      </w:tr>
      <w:tr w:rsidR="00B8658B" w:rsidRPr="00177449" w:rsidTr="00131EC7">
        <w:tc>
          <w:tcPr>
            <w:tcW w:w="0" w:type="auto"/>
          </w:tcPr>
          <w:p w:rsidR="00B8658B" w:rsidRPr="00177449" w:rsidRDefault="00B8658B" w:rsidP="00B8658B">
            <w:pPr>
              <w:pStyle w:val="naiskr"/>
              <w:spacing w:before="0" w:beforeAutospacing="0" w:after="0" w:afterAutospacing="0"/>
              <w:rPr>
                <w:lang w:val="lv-LV"/>
              </w:rPr>
            </w:pPr>
            <w:r w:rsidRPr="00177449">
              <w:rPr>
                <w:lang w:val="lv-LV"/>
              </w:rPr>
              <w:t>6.</w:t>
            </w:r>
          </w:p>
        </w:tc>
        <w:tc>
          <w:tcPr>
            <w:tcW w:w="1129" w:type="pct"/>
          </w:tcPr>
          <w:p w:rsidR="00B8658B" w:rsidRPr="00177449" w:rsidRDefault="00B8658B" w:rsidP="00B8658B">
            <w:pPr>
              <w:pStyle w:val="naiskr"/>
              <w:spacing w:before="0" w:beforeAutospacing="0" w:after="0" w:afterAutospacing="0"/>
              <w:rPr>
                <w:i/>
                <w:highlight w:val="yellow"/>
                <w:lang w:val="lv-LV"/>
              </w:rPr>
            </w:pPr>
            <w:r w:rsidRPr="00177449">
              <w:rPr>
                <w:lang w:val="lv-LV"/>
              </w:rPr>
              <w:t>Iemesli, kādēļ netika nodrošināta sabiedrības līdzdalība</w:t>
            </w:r>
          </w:p>
        </w:tc>
        <w:tc>
          <w:tcPr>
            <w:tcW w:w="3742" w:type="pct"/>
          </w:tcPr>
          <w:p w:rsidR="00B8658B" w:rsidRPr="00C51AE1" w:rsidRDefault="000A1129" w:rsidP="00412F87">
            <w:pPr>
              <w:pStyle w:val="naiskr"/>
              <w:spacing w:before="0" w:beforeAutospacing="0" w:after="0" w:afterAutospacing="0"/>
              <w:jc w:val="both"/>
              <w:rPr>
                <w:lang w:val="ru-RU"/>
              </w:rPr>
            </w:pPr>
            <w:r w:rsidRPr="00412F87">
              <w:rPr>
                <w:iCs/>
                <w:lang w:val="lv-LV"/>
              </w:rPr>
              <w:t xml:space="preserve">   </w:t>
            </w:r>
            <w:r w:rsidRPr="000A1129">
              <w:rPr>
                <w:iCs/>
                <w:lang w:val="lv-LV"/>
              </w:rPr>
              <w:t>Noteikumu projektu izstrādāja Ekonomikas ministrija. Noteikumu izstāde laikā analizēti Eiropas Savienības dalībvalstu  (Lietuvas, Igaunijas, Vācijas, Dānijas, Zviedrijas) normatīvie akti ēku energoefektivitātes jomā. Nevalstiskās organizācijas viedokli varēs sniegt noteikumu projekta saskaņošanas laikā.</w:t>
            </w:r>
          </w:p>
        </w:tc>
      </w:tr>
      <w:tr w:rsidR="00B8658B" w:rsidRPr="00177449" w:rsidTr="00131EC7">
        <w:tc>
          <w:tcPr>
            <w:tcW w:w="0" w:type="auto"/>
          </w:tcPr>
          <w:p w:rsidR="00B8658B" w:rsidRPr="00177449" w:rsidRDefault="00B8658B" w:rsidP="00B8658B">
            <w:pPr>
              <w:pStyle w:val="naiskr"/>
              <w:spacing w:before="0" w:beforeAutospacing="0" w:after="0" w:afterAutospacing="0"/>
              <w:rPr>
                <w:lang w:val="lv-LV"/>
              </w:rPr>
            </w:pPr>
            <w:r w:rsidRPr="00177449">
              <w:rPr>
                <w:lang w:val="lv-LV"/>
              </w:rPr>
              <w:t>7.</w:t>
            </w:r>
          </w:p>
        </w:tc>
        <w:tc>
          <w:tcPr>
            <w:tcW w:w="1129" w:type="pct"/>
          </w:tcPr>
          <w:p w:rsidR="00B8658B" w:rsidRPr="00177449" w:rsidRDefault="00B8658B" w:rsidP="00B8658B">
            <w:pPr>
              <w:pStyle w:val="naiskr"/>
              <w:spacing w:before="0" w:beforeAutospacing="0" w:after="0" w:afterAutospacing="0"/>
              <w:rPr>
                <w:lang w:val="lv-LV"/>
              </w:rPr>
            </w:pPr>
            <w:r w:rsidRPr="00177449">
              <w:rPr>
                <w:lang w:val="lv-LV"/>
              </w:rPr>
              <w:t>Cita informācija</w:t>
            </w:r>
          </w:p>
        </w:tc>
        <w:tc>
          <w:tcPr>
            <w:tcW w:w="3742" w:type="pct"/>
          </w:tcPr>
          <w:p w:rsidR="00B8658B" w:rsidRPr="00177449" w:rsidRDefault="00F057E2" w:rsidP="000853FD">
            <w:pPr>
              <w:pStyle w:val="naiskr"/>
              <w:spacing w:before="0" w:beforeAutospacing="0" w:after="0" w:afterAutospacing="0"/>
              <w:jc w:val="both"/>
              <w:rPr>
                <w:lang w:val="lv-LV"/>
              </w:rPr>
            </w:pPr>
            <w:r w:rsidRPr="00191487">
              <w:rPr>
                <w:iCs/>
                <w:lang w:val="lv-LV"/>
              </w:rPr>
              <w:t xml:space="preserve">    Ministru kabinetā 28.05.2013. izskatīts Informatīvais ziņojums „Latvijas Enerģētikas ilgtermiņa stratēģija 2030 – konkurētspējīga enerģētika sabiedrībai”, kurā noteikts, ka energoefektivitātes veicināšanai, viens no priekšnosacījumiem ir: „</w:t>
            </w:r>
            <w:proofErr w:type="spellStart"/>
            <w:r w:rsidRPr="00191487">
              <w:rPr>
                <w:iCs/>
                <w:lang w:val="lv-LV"/>
              </w:rPr>
              <w:t>īstermiņā</w:t>
            </w:r>
            <w:proofErr w:type="spellEnd"/>
            <w:r w:rsidRPr="00191487">
              <w:rPr>
                <w:iCs/>
                <w:lang w:val="lv-LV"/>
              </w:rPr>
              <w:t xml:space="preserve"> noteikt ievērojami augstākas izmaksu ziņā efektīvas obligātas būvnormatīvu klases jaunu un renovētu ēku </w:t>
            </w:r>
            <w:proofErr w:type="spellStart"/>
            <w:r w:rsidRPr="00191487">
              <w:rPr>
                <w:iCs/>
                <w:lang w:val="lv-LV"/>
              </w:rPr>
              <w:t>siltumnoturībai</w:t>
            </w:r>
            <w:proofErr w:type="spellEnd"/>
            <w:r w:rsidRPr="00191487">
              <w:rPr>
                <w:iCs/>
                <w:lang w:val="lv-LV"/>
              </w:rPr>
              <w:t xml:space="preserve">, kā arī brīvprātīgas klases, </w:t>
            </w:r>
            <w:proofErr w:type="spellStart"/>
            <w:r w:rsidRPr="00191487">
              <w:rPr>
                <w:iCs/>
                <w:lang w:val="lv-LV"/>
              </w:rPr>
              <w:t>t.sk</w:t>
            </w:r>
            <w:proofErr w:type="spellEnd"/>
            <w:r w:rsidRPr="00191487">
              <w:rPr>
                <w:iCs/>
                <w:lang w:val="lv-LV"/>
              </w:rPr>
              <w:t>., 0 enerģijas patēriņa ēkas”.</w:t>
            </w:r>
          </w:p>
        </w:tc>
      </w:tr>
    </w:tbl>
    <w:p w:rsidR="00B8658B" w:rsidRPr="00177449" w:rsidRDefault="00B8658B" w:rsidP="00B8658B">
      <w:pPr>
        <w:pStyle w:val="naisf"/>
        <w:spacing w:before="0" w:after="0"/>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9"/>
        <w:gridCol w:w="2057"/>
        <w:gridCol w:w="6831"/>
      </w:tblGrid>
      <w:tr w:rsidR="00B8658B" w:rsidRPr="00177449" w:rsidTr="00B8658B">
        <w:tc>
          <w:tcPr>
            <w:tcW w:w="0" w:type="auto"/>
            <w:gridSpan w:val="3"/>
            <w:tcMar>
              <w:left w:w="28" w:type="dxa"/>
              <w:right w:w="28" w:type="dxa"/>
            </w:tcMar>
            <w:vAlign w:val="center"/>
          </w:tcPr>
          <w:p w:rsidR="00B8658B" w:rsidRPr="00177449" w:rsidRDefault="00B8658B" w:rsidP="00B8658B">
            <w:pPr>
              <w:pStyle w:val="naisnod"/>
              <w:spacing w:before="120" w:after="120"/>
            </w:pPr>
            <w:r w:rsidRPr="00177449">
              <w:t>II. Tiesību akta projekta ietekme uz sabiedrību</w:t>
            </w:r>
          </w:p>
        </w:tc>
      </w:tr>
      <w:tr w:rsidR="00B8658B" w:rsidRPr="00177449" w:rsidTr="00131EC7">
        <w:tc>
          <w:tcPr>
            <w:tcW w:w="0" w:type="auto"/>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 xml:space="preserve">1. </w:t>
            </w:r>
          </w:p>
        </w:tc>
        <w:tc>
          <w:tcPr>
            <w:tcW w:w="1127" w:type="pct"/>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 xml:space="preserve">Sabiedrības </w:t>
            </w:r>
            <w:proofErr w:type="spellStart"/>
            <w:r w:rsidRPr="00177449">
              <w:rPr>
                <w:lang w:val="lv-LV"/>
              </w:rPr>
              <w:t>mērķgrupa</w:t>
            </w:r>
            <w:proofErr w:type="spellEnd"/>
          </w:p>
        </w:tc>
        <w:tc>
          <w:tcPr>
            <w:tcW w:w="3742" w:type="pct"/>
            <w:tcMar>
              <w:left w:w="28" w:type="dxa"/>
              <w:right w:w="28" w:type="dxa"/>
            </w:tcMar>
          </w:tcPr>
          <w:p w:rsidR="00B8658B" w:rsidRPr="00177449" w:rsidRDefault="00AE1BBE" w:rsidP="000A1129">
            <w:pPr>
              <w:pStyle w:val="naiskr"/>
              <w:spacing w:before="0" w:beforeAutospacing="0" w:after="0" w:afterAutospacing="0"/>
              <w:jc w:val="both"/>
              <w:rPr>
                <w:lang w:val="lv-LV"/>
              </w:rPr>
            </w:pPr>
            <w:r>
              <w:rPr>
                <w:lang w:val="lv-LV"/>
              </w:rPr>
              <w:t xml:space="preserve">   </w:t>
            </w:r>
            <w:r w:rsidRPr="00AE1BBE">
              <w:rPr>
                <w:lang w:val="lv-LV"/>
              </w:rPr>
              <w:t xml:space="preserve">Noteikumu projekts attiecas uz </w:t>
            </w:r>
            <w:r w:rsidR="000A1129">
              <w:rPr>
                <w:lang w:val="lv-LV"/>
              </w:rPr>
              <w:t>neatkarīgiem ekspertiem</w:t>
            </w:r>
            <w:r w:rsidRPr="00AE1BBE">
              <w:rPr>
                <w:lang w:val="lv-LV"/>
              </w:rPr>
              <w:t>, kuri veic ēk</w:t>
            </w:r>
            <w:r w:rsidR="000A1129">
              <w:rPr>
                <w:lang w:val="lv-LV"/>
              </w:rPr>
              <w:t>as</w:t>
            </w:r>
            <w:r w:rsidRPr="00AE1BBE">
              <w:rPr>
                <w:lang w:val="lv-LV"/>
              </w:rPr>
              <w:t xml:space="preserve"> energosertifik</w:t>
            </w:r>
            <w:r w:rsidR="000A1129">
              <w:rPr>
                <w:lang w:val="lv-LV"/>
              </w:rPr>
              <w:t>āciju</w:t>
            </w:r>
            <w:r w:rsidR="00963222">
              <w:rPr>
                <w:lang w:val="lv-LV"/>
              </w:rPr>
              <w:t xml:space="preserve"> </w:t>
            </w:r>
            <w:r w:rsidRPr="00AE1BBE">
              <w:rPr>
                <w:lang w:val="lv-LV"/>
              </w:rPr>
              <w:t xml:space="preserve">vai </w:t>
            </w:r>
            <w:r w:rsidR="00963222">
              <w:rPr>
                <w:lang w:val="lv-LV"/>
              </w:rPr>
              <w:t xml:space="preserve">ēkas </w:t>
            </w:r>
            <w:r w:rsidRPr="00AE1BBE">
              <w:rPr>
                <w:lang w:val="lv-LV"/>
              </w:rPr>
              <w:t xml:space="preserve">pagaidu </w:t>
            </w:r>
            <w:r w:rsidR="00963222">
              <w:rPr>
                <w:lang w:val="lv-LV"/>
              </w:rPr>
              <w:t>energo</w:t>
            </w:r>
            <w:r w:rsidRPr="00AE1BBE">
              <w:rPr>
                <w:lang w:val="lv-LV"/>
              </w:rPr>
              <w:t>sertifikā</w:t>
            </w:r>
            <w:r w:rsidR="000A1129">
              <w:rPr>
                <w:lang w:val="lv-LV"/>
              </w:rPr>
              <w:t>ciju</w:t>
            </w:r>
            <w:r w:rsidRPr="00AE1BBE">
              <w:rPr>
                <w:lang w:val="lv-LV"/>
              </w:rPr>
              <w:t xml:space="preserve">. Latvijā ir </w:t>
            </w:r>
            <w:r w:rsidR="000A1129">
              <w:rPr>
                <w:lang w:val="lv-LV"/>
              </w:rPr>
              <w:t>100</w:t>
            </w:r>
            <w:r w:rsidRPr="00AE1BBE">
              <w:rPr>
                <w:lang w:val="lv-LV"/>
              </w:rPr>
              <w:t xml:space="preserve"> sertificēti energoauditori, kas tiesīgi izdot ēku energosertifikātus </w:t>
            </w:r>
            <w:r w:rsidR="00963222">
              <w:rPr>
                <w:lang w:val="lv-LV"/>
              </w:rPr>
              <w:t xml:space="preserve">vai pagaidu </w:t>
            </w:r>
            <w:r w:rsidR="00963222" w:rsidRPr="00AE1BBE">
              <w:rPr>
                <w:lang w:val="lv-LV"/>
              </w:rPr>
              <w:t xml:space="preserve">energosertifikātus </w:t>
            </w:r>
            <w:r w:rsidRPr="00AE1BBE">
              <w:rPr>
                <w:lang w:val="lv-LV"/>
              </w:rPr>
              <w:t xml:space="preserve">un </w:t>
            </w:r>
            <w:r>
              <w:rPr>
                <w:lang w:val="lv-LV"/>
              </w:rPr>
              <w:t>387</w:t>
            </w:r>
            <w:r w:rsidRPr="00AE1BBE">
              <w:rPr>
                <w:lang w:val="lv-LV"/>
              </w:rPr>
              <w:t xml:space="preserve"> sertificēti</w:t>
            </w:r>
            <w:r>
              <w:rPr>
                <w:lang w:val="lv-LV"/>
              </w:rPr>
              <w:t xml:space="preserve"> būvju konstrukciju</w:t>
            </w:r>
            <w:r w:rsidRPr="00AE1BBE">
              <w:rPr>
                <w:lang w:val="lv-LV"/>
              </w:rPr>
              <w:t xml:space="preserve"> projektētāji, kas tiesīgi izdot ēku pagaidu </w:t>
            </w:r>
            <w:r w:rsidR="00963222">
              <w:rPr>
                <w:lang w:val="lv-LV"/>
              </w:rPr>
              <w:t>energo</w:t>
            </w:r>
            <w:r w:rsidRPr="00AE1BBE">
              <w:rPr>
                <w:lang w:val="lv-LV"/>
              </w:rPr>
              <w:t>sertifikātus.</w:t>
            </w:r>
            <w:r w:rsidR="000A1129">
              <w:rPr>
                <w:lang w:val="lv-LV"/>
              </w:rPr>
              <w:t xml:space="preserve"> </w:t>
            </w:r>
            <w:r w:rsidR="00946CE3">
              <w:rPr>
                <w:iCs/>
                <w:lang w:val="lv-LV"/>
              </w:rPr>
              <w:t>Pēc Ministru kabineta noteikumu projekta „</w:t>
            </w:r>
            <w:r w:rsidR="00946CE3" w:rsidRPr="00946CE3">
              <w:rPr>
                <w:iCs/>
                <w:lang w:val="lv-LV"/>
              </w:rPr>
              <w:t>Noteikumi par neatkarīgiem ekspertiem ēku energoefektivitātes jomā</w:t>
            </w:r>
            <w:r w:rsidR="00946CE3">
              <w:rPr>
                <w:iCs/>
                <w:lang w:val="lv-LV"/>
              </w:rPr>
              <w:t xml:space="preserve">” (28.03.2013. </w:t>
            </w:r>
            <w:proofErr w:type="spellStart"/>
            <w:r w:rsidR="00946CE3">
              <w:rPr>
                <w:iCs/>
                <w:lang w:val="lv-LV"/>
              </w:rPr>
              <w:t>prot</w:t>
            </w:r>
            <w:proofErr w:type="spellEnd"/>
            <w:r w:rsidR="00946CE3">
              <w:rPr>
                <w:iCs/>
                <w:lang w:val="lv-LV"/>
              </w:rPr>
              <w:t xml:space="preserve">. </w:t>
            </w:r>
            <w:proofErr w:type="spellStart"/>
            <w:r w:rsidR="00946CE3">
              <w:rPr>
                <w:iCs/>
                <w:lang w:val="lv-LV"/>
              </w:rPr>
              <w:t>Nr</w:t>
            </w:r>
            <w:proofErr w:type="spellEnd"/>
            <w:r w:rsidR="00946CE3">
              <w:rPr>
                <w:iCs/>
                <w:lang w:val="lv-LV"/>
              </w:rPr>
              <w:t xml:space="preserve">. 12, 8. §, VSS-291) pieņemšanas </w:t>
            </w:r>
            <w:r w:rsidR="00946CE3" w:rsidRPr="00AE1BBE">
              <w:rPr>
                <w:lang w:val="lv-LV"/>
              </w:rPr>
              <w:t>tiesī</w:t>
            </w:r>
            <w:r w:rsidR="00946CE3">
              <w:rPr>
                <w:lang w:val="lv-LV"/>
              </w:rPr>
              <w:t>bas</w:t>
            </w:r>
            <w:r w:rsidR="00946CE3" w:rsidRPr="00AE1BBE">
              <w:rPr>
                <w:lang w:val="lv-LV"/>
              </w:rPr>
              <w:t xml:space="preserve"> izdot ēku pagaidu </w:t>
            </w:r>
            <w:r w:rsidR="00963222">
              <w:rPr>
                <w:lang w:val="lv-LV"/>
              </w:rPr>
              <w:t>energo</w:t>
            </w:r>
            <w:r w:rsidR="00946CE3" w:rsidRPr="00AE1BBE">
              <w:rPr>
                <w:lang w:val="lv-LV"/>
              </w:rPr>
              <w:t>sertifikātus</w:t>
            </w:r>
            <w:r w:rsidR="00946CE3">
              <w:rPr>
                <w:lang w:val="lv-LV"/>
              </w:rPr>
              <w:t xml:space="preserve"> iegūs </w:t>
            </w:r>
            <w:r w:rsidR="00AF2166" w:rsidRPr="00946CE3">
              <w:rPr>
                <w:iCs/>
                <w:lang w:val="lv-LV"/>
              </w:rPr>
              <w:t xml:space="preserve">889 sertificēti arhitekti </w:t>
            </w:r>
            <w:r w:rsidR="00946CE3" w:rsidRPr="00946CE3">
              <w:rPr>
                <w:iCs/>
                <w:lang w:val="lv-LV"/>
              </w:rPr>
              <w:t xml:space="preserve">un </w:t>
            </w:r>
            <w:r w:rsidR="00AF2166" w:rsidRPr="00946CE3">
              <w:rPr>
                <w:iCs/>
                <w:lang w:val="lv-LV"/>
              </w:rPr>
              <w:t xml:space="preserve">278 siltumapgādes un ventilācijas sistēmu projektēšanas jomā sertificēti </w:t>
            </w:r>
            <w:proofErr w:type="spellStart"/>
            <w:r w:rsidR="00AF2166" w:rsidRPr="00946CE3">
              <w:rPr>
                <w:iCs/>
                <w:lang w:val="lv-LV"/>
              </w:rPr>
              <w:t>būvspeciālisti</w:t>
            </w:r>
            <w:proofErr w:type="spellEnd"/>
            <w:r w:rsidR="00AF2166">
              <w:rPr>
                <w:iCs/>
                <w:lang w:val="lv-LV"/>
              </w:rPr>
              <w:t>.</w:t>
            </w:r>
          </w:p>
        </w:tc>
      </w:tr>
      <w:tr w:rsidR="00B8658B" w:rsidRPr="00177449" w:rsidTr="00131EC7">
        <w:tc>
          <w:tcPr>
            <w:tcW w:w="0" w:type="auto"/>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2.</w:t>
            </w:r>
          </w:p>
        </w:tc>
        <w:tc>
          <w:tcPr>
            <w:tcW w:w="1127" w:type="pct"/>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 xml:space="preserve">Citas sabiedrības grupas (bez </w:t>
            </w:r>
            <w:proofErr w:type="spellStart"/>
            <w:r w:rsidRPr="00177449">
              <w:rPr>
                <w:lang w:val="lv-LV"/>
              </w:rPr>
              <w:t>mērķgrupas</w:t>
            </w:r>
            <w:proofErr w:type="spellEnd"/>
            <w:r w:rsidRPr="00177449">
              <w:rPr>
                <w:lang w:val="lv-LV"/>
              </w:rPr>
              <w:t>), kuras tiesiskais regulējums arī ietekmē vai varētu ietekmēt</w:t>
            </w:r>
          </w:p>
        </w:tc>
        <w:tc>
          <w:tcPr>
            <w:tcW w:w="3742" w:type="pct"/>
            <w:tcMar>
              <w:left w:w="28" w:type="dxa"/>
              <w:right w:w="28" w:type="dxa"/>
            </w:tcMar>
          </w:tcPr>
          <w:p w:rsidR="00B8658B" w:rsidRPr="00963222" w:rsidRDefault="00946CE3" w:rsidP="007636A3">
            <w:pPr>
              <w:pStyle w:val="naiskr"/>
              <w:spacing w:before="0" w:beforeAutospacing="0" w:after="0" w:afterAutospacing="0"/>
              <w:jc w:val="both"/>
              <w:rPr>
                <w:lang w:val="lv-LV"/>
              </w:rPr>
            </w:pPr>
            <w:r>
              <w:t xml:space="preserve">   </w:t>
            </w:r>
            <w:r w:rsidRPr="00963222">
              <w:rPr>
                <w:lang w:val="lv-LV"/>
              </w:rPr>
              <w:t>Saskaņā ar ēku energoefektivitātes likumu, ēku energosertificēšana skar ēku būvniecībā, izīrēšanā un pārdošanā iesaistītās personas: īpašniekus (pārdevējus, izīrētājus) un potenciālos lietotājus (pircējus, īrniekus).</w:t>
            </w:r>
          </w:p>
        </w:tc>
      </w:tr>
      <w:tr w:rsidR="00B8658B" w:rsidRPr="00177449" w:rsidTr="00131EC7">
        <w:tc>
          <w:tcPr>
            <w:tcW w:w="0" w:type="auto"/>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3.</w:t>
            </w:r>
          </w:p>
        </w:tc>
        <w:tc>
          <w:tcPr>
            <w:tcW w:w="1127" w:type="pct"/>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Tiesiskā regulējuma finansiālā ietekme</w:t>
            </w:r>
          </w:p>
        </w:tc>
        <w:tc>
          <w:tcPr>
            <w:tcW w:w="3742" w:type="pct"/>
            <w:tcMar>
              <w:left w:w="28" w:type="dxa"/>
              <w:right w:w="28" w:type="dxa"/>
            </w:tcMar>
          </w:tcPr>
          <w:p w:rsidR="00B8658B" w:rsidRPr="00177449" w:rsidRDefault="00946CE3" w:rsidP="00946CE3">
            <w:pPr>
              <w:pStyle w:val="naiskr"/>
              <w:spacing w:before="0" w:beforeAutospacing="0" w:after="0" w:afterAutospacing="0"/>
              <w:jc w:val="both"/>
              <w:rPr>
                <w:lang w:val="lv-LV"/>
              </w:rPr>
            </w:pPr>
            <w:r>
              <w:rPr>
                <w:lang w:val="lv-LV"/>
              </w:rPr>
              <w:t xml:space="preserve">   </w:t>
            </w:r>
            <w:r w:rsidRPr="00177449">
              <w:rPr>
                <w:lang w:val="lv-LV"/>
              </w:rPr>
              <w:t>Projekts šo jomu neskar.</w:t>
            </w:r>
          </w:p>
        </w:tc>
      </w:tr>
      <w:tr w:rsidR="00B8658B" w:rsidRPr="00177449" w:rsidTr="00131EC7">
        <w:tc>
          <w:tcPr>
            <w:tcW w:w="0" w:type="auto"/>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4.</w:t>
            </w:r>
          </w:p>
        </w:tc>
        <w:tc>
          <w:tcPr>
            <w:tcW w:w="1127" w:type="pct"/>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Tiesiskā regulējuma nefinansiālā ietekme</w:t>
            </w:r>
          </w:p>
        </w:tc>
        <w:tc>
          <w:tcPr>
            <w:tcW w:w="3742" w:type="pct"/>
            <w:tcMar>
              <w:left w:w="28" w:type="dxa"/>
              <w:right w:w="28" w:type="dxa"/>
            </w:tcMar>
          </w:tcPr>
          <w:p w:rsidR="00B8658B" w:rsidRPr="00177449" w:rsidRDefault="000A1129" w:rsidP="00A6357B">
            <w:pPr>
              <w:pStyle w:val="naiskr"/>
              <w:spacing w:before="0" w:beforeAutospacing="0" w:after="0" w:afterAutospacing="0"/>
              <w:jc w:val="both"/>
              <w:rPr>
                <w:lang w:val="lv-LV"/>
              </w:rPr>
            </w:pPr>
            <w:r>
              <w:rPr>
                <w:lang w:val="lv-LV"/>
              </w:rPr>
              <w:t xml:space="preserve">   </w:t>
            </w:r>
            <w:r w:rsidRPr="00177449">
              <w:rPr>
                <w:lang w:val="lv-LV"/>
              </w:rPr>
              <w:t>Projekts šo jomu neskar.</w:t>
            </w:r>
          </w:p>
        </w:tc>
      </w:tr>
      <w:tr w:rsidR="00B8658B" w:rsidRPr="00177449" w:rsidTr="00131EC7">
        <w:tc>
          <w:tcPr>
            <w:tcW w:w="0" w:type="auto"/>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5.</w:t>
            </w:r>
          </w:p>
        </w:tc>
        <w:tc>
          <w:tcPr>
            <w:tcW w:w="1127" w:type="pct"/>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 xml:space="preserve">Administratīvās </w:t>
            </w:r>
            <w:r w:rsidRPr="00177449">
              <w:rPr>
                <w:lang w:val="lv-LV"/>
              </w:rPr>
              <w:lastRenderedPageBreak/>
              <w:t>procedūras raksturojums</w:t>
            </w:r>
          </w:p>
        </w:tc>
        <w:tc>
          <w:tcPr>
            <w:tcW w:w="3742" w:type="pct"/>
            <w:tcMar>
              <w:left w:w="28" w:type="dxa"/>
              <w:right w:w="28" w:type="dxa"/>
            </w:tcMar>
          </w:tcPr>
          <w:p w:rsidR="00B8658B" w:rsidRPr="00177449" w:rsidRDefault="00B8658B" w:rsidP="00AB072A">
            <w:pPr>
              <w:pStyle w:val="naiskr"/>
              <w:spacing w:before="0" w:beforeAutospacing="0" w:after="0" w:afterAutospacing="0"/>
              <w:rPr>
                <w:lang w:val="lv-LV"/>
              </w:rPr>
            </w:pPr>
            <w:r>
              <w:rPr>
                <w:lang w:val="lv-LV"/>
              </w:rPr>
              <w:lastRenderedPageBreak/>
              <w:t xml:space="preserve">   </w:t>
            </w:r>
            <w:r w:rsidRPr="00177449">
              <w:rPr>
                <w:lang w:val="lv-LV"/>
              </w:rPr>
              <w:t>Projekts šo jomu neskar.</w:t>
            </w:r>
          </w:p>
        </w:tc>
      </w:tr>
      <w:tr w:rsidR="00B8658B" w:rsidRPr="00177449" w:rsidTr="00131EC7">
        <w:tc>
          <w:tcPr>
            <w:tcW w:w="0" w:type="auto"/>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lastRenderedPageBreak/>
              <w:t>6.</w:t>
            </w:r>
          </w:p>
        </w:tc>
        <w:tc>
          <w:tcPr>
            <w:tcW w:w="1127" w:type="pct"/>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Administratīvo izmaksu monetārs novērtējums</w:t>
            </w:r>
          </w:p>
        </w:tc>
        <w:tc>
          <w:tcPr>
            <w:tcW w:w="3742" w:type="pct"/>
            <w:tcMar>
              <w:left w:w="28" w:type="dxa"/>
              <w:right w:w="28" w:type="dxa"/>
            </w:tcMar>
          </w:tcPr>
          <w:p w:rsidR="00B8658B" w:rsidRPr="00177449" w:rsidRDefault="00B8658B" w:rsidP="00AB072A">
            <w:pPr>
              <w:pStyle w:val="naiskr"/>
              <w:spacing w:before="0" w:beforeAutospacing="0" w:after="0" w:afterAutospacing="0"/>
              <w:rPr>
                <w:lang w:val="lv-LV"/>
              </w:rPr>
            </w:pPr>
            <w:r>
              <w:rPr>
                <w:lang w:val="lv-LV"/>
              </w:rPr>
              <w:t xml:space="preserve">   </w:t>
            </w:r>
            <w:r w:rsidRPr="00177449">
              <w:rPr>
                <w:lang w:val="lv-LV"/>
              </w:rPr>
              <w:t>Projekts šo jomu neskar.</w:t>
            </w:r>
          </w:p>
        </w:tc>
      </w:tr>
      <w:tr w:rsidR="00B8658B" w:rsidRPr="00177449" w:rsidTr="00131EC7">
        <w:tc>
          <w:tcPr>
            <w:tcW w:w="0" w:type="auto"/>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7.</w:t>
            </w:r>
          </w:p>
        </w:tc>
        <w:tc>
          <w:tcPr>
            <w:tcW w:w="1127" w:type="pct"/>
            <w:tcMar>
              <w:left w:w="28" w:type="dxa"/>
              <w:right w:w="28" w:type="dxa"/>
            </w:tcMar>
          </w:tcPr>
          <w:p w:rsidR="00B8658B" w:rsidRPr="00177449" w:rsidRDefault="00B8658B" w:rsidP="00B8658B">
            <w:pPr>
              <w:pStyle w:val="naiskr"/>
              <w:spacing w:before="0" w:beforeAutospacing="0" w:after="0" w:afterAutospacing="0"/>
              <w:rPr>
                <w:lang w:val="lv-LV"/>
              </w:rPr>
            </w:pPr>
            <w:r w:rsidRPr="00177449">
              <w:rPr>
                <w:lang w:val="lv-LV"/>
              </w:rPr>
              <w:t>Cita informācija</w:t>
            </w:r>
          </w:p>
        </w:tc>
        <w:tc>
          <w:tcPr>
            <w:tcW w:w="3742" w:type="pct"/>
            <w:tcMar>
              <w:left w:w="28" w:type="dxa"/>
              <w:right w:w="28" w:type="dxa"/>
            </w:tcMar>
          </w:tcPr>
          <w:p w:rsidR="00B8658B" w:rsidRPr="00177449" w:rsidRDefault="00B8658B" w:rsidP="00B8658B">
            <w:pPr>
              <w:pStyle w:val="naiskr"/>
              <w:spacing w:before="0" w:beforeAutospacing="0" w:after="0" w:afterAutospacing="0"/>
              <w:rPr>
                <w:lang w:val="lv-LV"/>
              </w:rPr>
            </w:pPr>
            <w:r>
              <w:rPr>
                <w:lang w:val="lv-LV"/>
              </w:rPr>
              <w:t xml:space="preserve">   </w:t>
            </w:r>
            <w:r w:rsidRPr="00177449">
              <w:rPr>
                <w:lang w:val="lv-LV"/>
              </w:rPr>
              <w:t>Nav</w:t>
            </w:r>
            <w:r>
              <w:rPr>
                <w:lang w:val="lv-LV"/>
              </w:rPr>
              <w:t>.</w:t>
            </w:r>
          </w:p>
        </w:tc>
      </w:tr>
    </w:tbl>
    <w:p w:rsidR="00B8658B" w:rsidRDefault="00B8658B" w:rsidP="00B8658B">
      <w:pPr>
        <w:pStyle w:val="naisf"/>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B8658B" w:rsidRPr="00177449" w:rsidTr="00B8658B">
        <w:trPr>
          <w:jc w:val="center"/>
        </w:trPr>
        <w:tc>
          <w:tcPr>
            <w:tcW w:w="0" w:type="auto"/>
          </w:tcPr>
          <w:p w:rsidR="00B8658B" w:rsidRPr="00177449" w:rsidRDefault="00B8658B" w:rsidP="00B8658B">
            <w:pPr>
              <w:pStyle w:val="naisnod"/>
              <w:spacing w:before="120" w:after="120"/>
              <w:rPr>
                <w:i/>
              </w:rPr>
            </w:pPr>
            <w:r w:rsidRPr="00177449">
              <w:br w:type="page"/>
              <w:t>III. Tiesību akta projekta ietekme uz valsts budžetu un pašvaldību budžetiem</w:t>
            </w:r>
          </w:p>
        </w:tc>
      </w:tr>
      <w:tr w:rsidR="00B8658B" w:rsidRPr="007C0F2C" w:rsidTr="00B8658B">
        <w:trPr>
          <w:jc w:val="center"/>
        </w:trPr>
        <w:tc>
          <w:tcPr>
            <w:tcW w:w="0" w:type="auto"/>
          </w:tcPr>
          <w:p w:rsidR="00B8658B" w:rsidRPr="000D0160" w:rsidRDefault="00B8658B" w:rsidP="000D0160">
            <w:pPr>
              <w:pStyle w:val="naiskr"/>
              <w:spacing w:before="120" w:beforeAutospacing="0" w:after="120" w:afterAutospacing="0"/>
              <w:jc w:val="center"/>
              <w:rPr>
                <w:b/>
                <w:i/>
                <w:sz w:val="22"/>
                <w:szCs w:val="22"/>
                <w:lang w:val="lv-LV"/>
              </w:rPr>
            </w:pPr>
            <w:r w:rsidRPr="007636A3">
              <w:rPr>
                <w:szCs w:val="22"/>
                <w:lang w:val="lv-LV"/>
              </w:rPr>
              <w:t>Projekts šo jomu neskar.</w:t>
            </w:r>
          </w:p>
        </w:tc>
      </w:tr>
    </w:tbl>
    <w:p w:rsidR="00883EF3" w:rsidRPr="00C55BF1" w:rsidRDefault="00883EF3" w:rsidP="00B8658B">
      <w:pPr>
        <w:ind w:right="-568" w:hanging="567"/>
        <w:rPr>
          <w:color w:val="000000"/>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980"/>
        <w:gridCol w:w="6911"/>
      </w:tblGrid>
      <w:tr w:rsidR="00B8658B" w:rsidRPr="00177449" w:rsidTr="00B8658B">
        <w:trPr>
          <w:jc w:val="center"/>
        </w:trPr>
        <w:tc>
          <w:tcPr>
            <w:tcW w:w="0" w:type="auto"/>
            <w:gridSpan w:val="3"/>
          </w:tcPr>
          <w:p w:rsidR="00B8658B" w:rsidRPr="00177449" w:rsidRDefault="00B8658B" w:rsidP="00B8658B">
            <w:pPr>
              <w:pStyle w:val="naisnod"/>
              <w:spacing w:before="120" w:after="120"/>
            </w:pPr>
            <w:r w:rsidRPr="00177449">
              <w:t>IV. Tiesību akta projekta ietekme uz spēkā esošo tiesību normu sistēmu</w:t>
            </w:r>
          </w:p>
        </w:tc>
      </w:tr>
      <w:tr w:rsidR="00B8658B" w:rsidRPr="00177449" w:rsidTr="00131EC7">
        <w:trPr>
          <w:jc w:val="center"/>
        </w:trPr>
        <w:tc>
          <w:tcPr>
            <w:tcW w:w="0" w:type="auto"/>
          </w:tcPr>
          <w:p w:rsidR="00B8658B" w:rsidRPr="00177449" w:rsidRDefault="00B8658B" w:rsidP="00B8658B">
            <w:pPr>
              <w:pStyle w:val="naiskr"/>
              <w:tabs>
                <w:tab w:val="left" w:pos="2628"/>
              </w:tabs>
              <w:spacing w:before="0" w:beforeAutospacing="0" w:after="0" w:afterAutospacing="0"/>
              <w:jc w:val="both"/>
              <w:rPr>
                <w:iCs/>
                <w:lang w:val="lv-LV"/>
              </w:rPr>
            </w:pPr>
            <w:r w:rsidRPr="00177449">
              <w:rPr>
                <w:iCs/>
                <w:lang w:val="lv-LV"/>
              </w:rPr>
              <w:t>1.</w:t>
            </w:r>
          </w:p>
        </w:tc>
        <w:tc>
          <w:tcPr>
            <w:tcW w:w="1066" w:type="pct"/>
          </w:tcPr>
          <w:p w:rsidR="00B8658B" w:rsidRPr="00177449" w:rsidRDefault="00B8658B" w:rsidP="00B8658B">
            <w:pPr>
              <w:pStyle w:val="naiskr"/>
              <w:tabs>
                <w:tab w:val="left" w:pos="2628"/>
              </w:tabs>
              <w:spacing w:before="0" w:beforeAutospacing="0" w:after="0" w:afterAutospacing="0"/>
              <w:jc w:val="both"/>
              <w:rPr>
                <w:iCs/>
                <w:lang w:val="lv-LV"/>
              </w:rPr>
            </w:pPr>
            <w:r w:rsidRPr="00177449">
              <w:rPr>
                <w:lang w:val="lv-LV"/>
              </w:rPr>
              <w:t>Nepieciešamie saistītie tiesību aktu projekti</w:t>
            </w:r>
          </w:p>
        </w:tc>
        <w:tc>
          <w:tcPr>
            <w:tcW w:w="3721" w:type="pct"/>
          </w:tcPr>
          <w:p w:rsidR="00B8658B" w:rsidRPr="008810FE" w:rsidRDefault="00AB072A" w:rsidP="007636A3">
            <w:pPr>
              <w:pStyle w:val="naiskr"/>
              <w:tabs>
                <w:tab w:val="left" w:pos="2628"/>
              </w:tabs>
              <w:spacing w:before="0" w:beforeAutospacing="0" w:after="0" w:afterAutospacing="0"/>
              <w:jc w:val="both"/>
              <w:rPr>
                <w:iCs/>
              </w:rPr>
            </w:pPr>
            <w:r>
              <w:rPr>
                <w:szCs w:val="22"/>
                <w:lang w:val="lv-LV"/>
              </w:rPr>
              <w:t xml:space="preserve">   </w:t>
            </w:r>
            <w:r w:rsidR="007636A3" w:rsidRPr="007636A3">
              <w:rPr>
                <w:szCs w:val="22"/>
                <w:lang w:val="lv-LV"/>
              </w:rPr>
              <w:t>Projekts šo jomu neskar.</w:t>
            </w:r>
          </w:p>
        </w:tc>
      </w:tr>
      <w:tr w:rsidR="00B8658B" w:rsidRPr="00177449" w:rsidTr="00131EC7">
        <w:trPr>
          <w:jc w:val="center"/>
        </w:trPr>
        <w:tc>
          <w:tcPr>
            <w:tcW w:w="0" w:type="auto"/>
          </w:tcPr>
          <w:p w:rsidR="00B8658B" w:rsidRPr="00177449" w:rsidRDefault="00B8658B" w:rsidP="00B8658B">
            <w:pPr>
              <w:pStyle w:val="naiskr"/>
              <w:tabs>
                <w:tab w:val="left" w:pos="2628"/>
              </w:tabs>
              <w:spacing w:before="0" w:beforeAutospacing="0" w:after="0" w:afterAutospacing="0"/>
              <w:jc w:val="both"/>
              <w:rPr>
                <w:iCs/>
                <w:lang w:val="lv-LV"/>
              </w:rPr>
            </w:pPr>
            <w:r w:rsidRPr="00177449">
              <w:rPr>
                <w:iCs/>
                <w:lang w:val="lv-LV"/>
              </w:rPr>
              <w:t>2.</w:t>
            </w:r>
          </w:p>
        </w:tc>
        <w:tc>
          <w:tcPr>
            <w:tcW w:w="1066" w:type="pct"/>
          </w:tcPr>
          <w:p w:rsidR="00B8658B" w:rsidRPr="00177449" w:rsidRDefault="00B8658B" w:rsidP="00B8658B">
            <w:pPr>
              <w:pStyle w:val="naiskr"/>
              <w:tabs>
                <w:tab w:val="left" w:pos="2628"/>
              </w:tabs>
              <w:spacing w:before="0" w:beforeAutospacing="0" w:after="0" w:afterAutospacing="0"/>
              <w:jc w:val="both"/>
              <w:rPr>
                <w:iCs/>
                <w:lang w:val="lv-LV"/>
              </w:rPr>
            </w:pPr>
            <w:r w:rsidRPr="00177449">
              <w:rPr>
                <w:lang w:val="lv-LV"/>
              </w:rPr>
              <w:t>Cita informācija</w:t>
            </w:r>
          </w:p>
        </w:tc>
        <w:tc>
          <w:tcPr>
            <w:tcW w:w="3721" w:type="pct"/>
          </w:tcPr>
          <w:p w:rsidR="00B8658B" w:rsidRPr="0051253C" w:rsidRDefault="007636A3" w:rsidP="000A1129">
            <w:pPr>
              <w:pStyle w:val="naiskr"/>
              <w:spacing w:before="0" w:beforeAutospacing="0" w:after="0" w:afterAutospacing="0"/>
              <w:jc w:val="both"/>
              <w:rPr>
                <w:i/>
                <w:iCs/>
                <w:lang w:val="lv-LV"/>
              </w:rPr>
            </w:pPr>
            <w:r>
              <w:rPr>
                <w:iCs/>
                <w:lang w:val="lv-LV"/>
              </w:rPr>
              <w:t xml:space="preserve">   Noteikumu projekta</w:t>
            </w:r>
            <w:r w:rsidR="00412F87">
              <w:rPr>
                <w:iCs/>
                <w:lang w:val="lv-LV"/>
              </w:rPr>
              <w:t>m</w:t>
            </w:r>
            <w:r>
              <w:rPr>
                <w:iCs/>
                <w:lang w:val="lv-LV"/>
              </w:rPr>
              <w:t xml:space="preserve"> jāstājas spēkā līdz 2013. gada 30. jūnijam.</w:t>
            </w:r>
            <w:r w:rsidR="00412F87">
              <w:rPr>
                <w:iCs/>
                <w:lang w:val="lv-LV"/>
              </w:rPr>
              <w:t xml:space="preserve"> </w:t>
            </w:r>
            <w:r w:rsidRPr="00BA59A0">
              <w:rPr>
                <w:lang w:val="lv-LV"/>
              </w:rPr>
              <w:t xml:space="preserve">Pēc </w:t>
            </w:r>
            <w:r>
              <w:rPr>
                <w:lang w:val="lv-LV"/>
              </w:rPr>
              <w:t xml:space="preserve">noteikumu </w:t>
            </w:r>
            <w:r w:rsidRPr="00BA59A0">
              <w:rPr>
                <w:lang w:val="lv-LV"/>
              </w:rPr>
              <w:t>projekta spēkā stāšanās, zaudēs spēku Ministru kabineta 20</w:t>
            </w:r>
            <w:r w:rsidR="000853FD">
              <w:rPr>
                <w:lang w:val="lv-LV"/>
              </w:rPr>
              <w:t>10</w:t>
            </w:r>
            <w:r w:rsidRPr="00BA59A0">
              <w:rPr>
                <w:lang w:val="lv-LV"/>
              </w:rPr>
              <w:t>.</w:t>
            </w:r>
            <w:r w:rsidR="00AB072A">
              <w:rPr>
                <w:lang w:val="lv-LV"/>
              </w:rPr>
              <w:t xml:space="preserve"> </w:t>
            </w:r>
            <w:r w:rsidRPr="00BA59A0">
              <w:rPr>
                <w:lang w:val="lv-LV"/>
              </w:rPr>
              <w:t xml:space="preserve">gada </w:t>
            </w:r>
            <w:r w:rsidR="000853FD">
              <w:rPr>
                <w:lang w:val="lv-LV"/>
              </w:rPr>
              <w:t>6</w:t>
            </w:r>
            <w:r w:rsidRPr="00BA59A0">
              <w:rPr>
                <w:lang w:val="lv-LV"/>
              </w:rPr>
              <w:t>.</w:t>
            </w:r>
            <w:r w:rsidR="00AB072A">
              <w:rPr>
                <w:lang w:val="lv-LV"/>
              </w:rPr>
              <w:t> </w:t>
            </w:r>
            <w:r w:rsidRPr="00BA59A0">
              <w:rPr>
                <w:lang w:val="lv-LV"/>
              </w:rPr>
              <w:t>j</w:t>
            </w:r>
            <w:r w:rsidR="000853FD">
              <w:rPr>
                <w:lang w:val="lv-LV"/>
              </w:rPr>
              <w:t>ūnij</w:t>
            </w:r>
            <w:r w:rsidRPr="00BA59A0">
              <w:rPr>
                <w:lang w:val="lv-LV"/>
              </w:rPr>
              <w:t>a noteikum</w:t>
            </w:r>
            <w:r>
              <w:rPr>
                <w:lang w:val="lv-LV"/>
              </w:rPr>
              <w:t>i</w:t>
            </w:r>
            <w:r w:rsidRPr="00BA59A0">
              <w:rPr>
                <w:lang w:val="lv-LV"/>
              </w:rPr>
              <w:t xml:space="preserve"> </w:t>
            </w:r>
            <w:proofErr w:type="spellStart"/>
            <w:r w:rsidRPr="00BA59A0">
              <w:rPr>
                <w:lang w:val="lv-LV"/>
              </w:rPr>
              <w:t>Nr</w:t>
            </w:r>
            <w:proofErr w:type="spellEnd"/>
            <w:r w:rsidRPr="00BA59A0">
              <w:rPr>
                <w:lang w:val="lv-LV"/>
              </w:rPr>
              <w:t>.</w:t>
            </w:r>
            <w:r>
              <w:rPr>
                <w:lang w:val="lv-LV"/>
              </w:rPr>
              <w:t> </w:t>
            </w:r>
            <w:r w:rsidR="000853FD">
              <w:rPr>
                <w:lang w:val="lv-LV"/>
              </w:rPr>
              <w:t>504</w:t>
            </w:r>
            <w:r w:rsidRPr="00BA59A0">
              <w:rPr>
                <w:lang w:val="lv-LV"/>
              </w:rPr>
              <w:t xml:space="preserve"> „</w:t>
            </w:r>
            <w:r w:rsidR="000853FD">
              <w:rPr>
                <w:lang w:val="lv-LV"/>
              </w:rPr>
              <w:t>Noteikumi par ēku energosertifikāciju</w:t>
            </w:r>
            <w:r w:rsidRPr="00BA59A0">
              <w:rPr>
                <w:lang w:val="lv-LV"/>
              </w:rPr>
              <w:t>”</w:t>
            </w:r>
            <w:r>
              <w:rPr>
                <w:lang w:val="lv-LV"/>
              </w:rPr>
              <w:t>.</w:t>
            </w:r>
          </w:p>
        </w:tc>
      </w:tr>
    </w:tbl>
    <w:p w:rsidR="00B8658B" w:rsidRPr="00177449" w:rsidRDefault="00B8658B" w:rsidP="00B8658B">
      <w:pPr>
        <w:ind w:firstLine="720"/>
        <w:jc w:val="both"/>
      </w:pPr>
    </w:p>
    <w:tbl>
      <w:tblPr>
        <w:tblW w:w="5000"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94"/>
        <w:gridCol w:w="2002"/>
        <w:gridCol w:w="6831"/>
      </w:tblGrid>
      <w:tr w:rsidR="00B8658B" w:rsidRPr="00177449" w:rsidTr="00B8658B">
        <w:trPr>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B8658B" w:rsidRPr="00177449" w:rsidRDefault="00B8658B" w:rsidP="00B8658B">
            <w:pPr>
              <w:spacing w:before="120" w:after="120"/>
              <w:jc w:val="center"/>
              <w:rPr>
                <w:b/>
              </w:rPr>
            </w:pPr>
            <w:r w:rsidRPr="00177449">
              <w:rPr>
                <w:b/>
              </w:rPr>
              <w:t>V. Tiesību akta projekta atbilstība Latvijas Republikas starptautiskajām saistībām</w:t>
            </w:r>
          </w:p>
        </w:tc>
      </w:tr>
      <w:tr w:rsidR="00B8658B" w:rsidRPr="00177449" w:rsidTr="00131EC7">
        <w:trPr>
          <w:jc w:val="center"/>
        </w:trPr>
        <w:tc>
          <w:tcPr>
            <w:tcW w:w="0" w:type="auto"/>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1.</w:t>
            </w:r>
          </w:p>
        </w:tc>
        <w:tc>
          <w:tcPr>
            <w:tcW w:w="1097" w:type="pct"/>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Saistības pret Eiropas Savienību</w:t>
            </w:r>
          </w:p>
        </w:tc>
        <w:tc>
          <w:tcPr>
            <w:tcW w:w="3742" w:type="pct"/>
            <w:tcBorders>
              <w:top w:val="outset" w:sz="6" w:space="0" w:color="auto"/>
              <w:left w:val="outset" w:sz="6" w:space="0" w:color="auto"/>
              <w:bottom w:val="outset" w:sz="6" w:space="0" w:color="auto"/>
              <w:right w:val="outset" w:sz="6" w:space="0" w:color="auto"/>
            </w:tcBorders>
          </w:tcPr>
          <w:p w:rsidR="00B8658B" w:rsidRDefault="00B8658B" w:rsidP="00B8658B">
            <w:pPr>
              <w:ind w:left="57"/>
              <w:jc w:val="both"/>
            </w:pPr>
            <w:r>
              <w:t xml:space="preserve">    </w:t>
            </w:r>
            <w:r w:rsidR="002F52B9">
              <w:t>Noteikumu projekts</w:t>
            </w:r>
            <w:r>
              <w:t xml:space="preserve"> izstrādāts, lai pārņemtu </w:t>
            </w:r>
            <w:r w:rsidRPr="00177449">
              <w:t>Eiropas Parlamenta un Eiropas Padomes 2010. gada 19. maija direktīv</w:t>
            </w:r>
            <w:r>
              <w:t>u</w:t>
            </w:r>
            <w:r w:rsidRPr="00177449">
              <w:t xml:space="preserve"> 2010/31/ES par ēku energoefektivitāti.</w:t>
            </w:r>
          </w:p>
          <w:p w:rsidR="005B2A4A" w:rsidRPr="00177449" w:rsidRDefault="00B8658B" w:rsidP="00191311">
            <w:pPr>
              <w:ind w:left="57"/>
              <w:jc w:val="both"/>
            </w:pPr>
            <w:r>
              <w:t xml:space="preserve">    </w:t>
            </w:r>
            <w:r w:rsidRPr="00177449">
              <w:t>Direktīvas 2010/31/ES 27. pants</w:t>
            </w:r>
            <w:r>
              <w:t xml:space="preserve"> </w:t>
            </w:r>
            <w:r w:rsidRPr="00177449">
              <w:t>nosaka, ka dalībvalstis līdz 2012.</w:t>
            </w:r>
            <w:r>
              <w:t> </w:t>
            </w:r>
            <w:r w:rsidRPr="00177449">
              <w:t>gada 9.</w:t>
            </w:r>
            <w:r>
              <w:t> </w:t>
            </w:r>
            <w:r w:rsidRPr="00177449">
              <w:t>jūlijam pieņem un publicē normatīvos un administratīvos aktus, kas vajadzīgi, lai izpildītu direktīvas 2.</w:t>
            </w:r>
            <w:r>
              <w:t> </w:t>
            </w:r>
            <w:r w:rsidRPr="00177449">
              <w:t>līdz 18.</w:t>
            </w:r>
            <w:r>
              <w:t> </w:t>
            </w:r>
            <w:r w:rsidRPr="00177449">
              <w:t>panta, kā arī 20.</w:t>
            </w:r>
            <w:r>
              <w:t> </w:t>
            </w:r>
            <w:r w:rsidRPr="00177449">
              <w:t>un 27. panta prasības.</w:t>
            </w:r>
          </w:p>
        </w:tc>
      </w:tr>
      <w:tr w:rsidR="00B8658B" w:rsidRPr="00177449" w:rsidTr="00131EC7">
        <w:trPr>
          <w:jc w:val="center"/>
        </w:trPr>
        <w:tc>
          <w:tcPr>
            <w:tcW w:w="0" w:type="auto"/>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2.</w:t>
            </w:r>
          </w:p>
        </w:tc>
        <w:tc>
          <w:tcPr>
            <w:tcW w:w="1097" w:type="pct"/>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Citas starptautiskās saistības</w:t>
            </w:r>
          </w:p>
        </w:tc>
        <w:tc>
          <w:tcPr>
            <w:tcW w:w="3742" w:type="pct"/>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Projekts šo jomu neskar</w:t>
            </w:r>
          </w:p>
        </w:tc>
      </w:tr>
      <w:tr w:rsidR="00B8658B" w:rsidRPr="00177449" w:rsidTr="00131EC7">
        <w:trPr>
          <w:jc w:val="center"/>
        </w:trPr>
        <w:tc>
          <w:tcPr>
            <w:tcW w:w="0" w:type="auto"/>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3.</w:t>
            </w:r>
          </w:p>
        </w:tc>
        <w:tc>
          <w:tcPr>
            <w:tcW w:w="1097" w:type="pct"/>
            <w:tcBorders>
              <w:top w:val="outset" w:sz="6" w:space="0" w:color="auto"/>
              <w:left w:val="outset" w:sz="6" w:space="0" w:color="auto"/>
              <w:bottom w:val="outset" w:sz="6" w:space="0" w:color="auto"/>
              <w:right w:val="outset" w:sz="6" w:space="0" w:color="auto"/>
            </w:tcBorders>
          </w:tcPr>
          <w:p w:rsidR="00B8658B" w:rsidRPr="00177449" w:rsidRDefault="00B8658B" w:rsidP="00B8658B">
            <w:pPr>
              <w:ind w:left="57"/>
            </w:pPr>
            <w:r w:rsidRPr="00177449">
              <w:t>Cita informācija</w:t>
            </w:r>
          </w:p>
        </w:tc>
        <w:tc>
          <w:tcPr>
            <w:tcW w:w="3742" w:type="pct"/>
            <w:tcBorders>
              <w:top w:val="outset" w:sz="6" w:space="0" w:color="auto"/>
              <w:left w:val="outset" w:sz="6" w:space="0" w:color="auto"/>
              <w:bottom w:val="outset" w:sz="6" w:space="0" w:color="auto"/>
              <w:right w:val="outset" w:sz="6" w:space="0" w:color="auto"/>
            </w:tcBorders>
          </w:tcPr>
          <w:p w:rsidR="00223806" w:rsidRPr="00131EC7" w:rsidRDefault="00191311" w:rsidP="00223806">
            <w:pPr>
              <w:ind w:left="57"/>
              <w:jc w:val="both"/>
              <w:rPr>
                <w:iCs/>
              </w:rPr>
            </w:pPr>
            <w:r>
              <w:rPr>
                <w:iCs/>
              </w:rPr>
              <w:t xml:space="preserve">   </w:t>
            </w:r>
            <w:r w:rsidRPr="00131EC7">
              <w:rPr>
                <w:iCs/>
              </w:rPr>
              <w:t xml:space="preserve">Noteikumu projekts pārņem Direktīvas 2010/31/ES </w:t>
            </w:r>
            <w:r w:rsidR="00131EC7" w:rsidRPr="00131EC7">
              <w:rPr>
                <w:iCs/>
              </w:rPr>
              <w:t>11</w:t>
            </w:r>
            <w:r w:rsidRPr="00131EC7">
              <w:rPr>
                <w:iCs/>
              </w:rPr>
              <w:t>.</w:t>
            </w:r>
            <w:r w:rsidR="00131EC7" w:rsidRPr="00131EC7">
              <w:rPr>
                <w:iCs/>
              </w:rPr>
              <w:t>, 14., 15. un 16.</w:t>
            </w:r>
            <w:r w:rsidR="00223806" w:rsidRPr="00131EC7">
              <w:rPr>
                <w:iCs/>
              </w:rPr>
              <w:t> </w:t>
            </w:r>
            <w:r w:rsidRPr="00131EC7">
              <w:rPr>
                <w:iCs/>
              </w:rPr>
              <w:t xml:space="preserve">panta prasības. </w:t>
            </w:r>
          </w:p>
          <w:p w:rsidR="00B8658B" w:rsidRPr="00177449" w:rsidRDefault="00223806" w:rsidP="00223806">
            <w:pPr>
              <w:ind w:left="57"/>
              <w:jc w:val="both"/>
            </w:pPr>
            <w:r w:rsidRPr="00131EC7">
              <w:rPr>
                <w:iCs/>
              </w:rPr>
              <w:t xml:space="preserve">   </w:t>
            </w:r>
            <w:r w:rsidR="00191311" w:rsidRPr="00131EC7">
              <w:rPr>
                <w:iCs/>
              </w:rPr>
              <w:t>Citi Direktīvas 2010/31/ES panti pārņemti ar 2012. gada 6. decembra Ēku energoefektivitātes likumu vai tiks pārņemti ar citiem normatīviem aktiem.</w:t>
            </w:r>
          </w:p>
        </w:tc>
      </w:tr>
    </w:tbl>
    <w:p w:rsidR="00B8658B" w:rsidRPr="00177449" w:rsidRDefault="00B8658B" w:rsidP="00B8658B"/>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446"/>
        <w:gridCol w:w="2269"/>
        <w:gridCol w:w="1559"/>
        <w:gridCol w:w="3853"/>
      </w:tblGrid>
      <w:tr w:rsidR="00B8658B" w:rsidRPr="0098167B" w:rsidTr="00EA2B05">
        <w:tc>
          <w:tcPr>
            <w:tcW w:w="0" w:type="auto"/>
            <w:gridSpan w:val="4"/>
            <w:tcBorders>
              <w:top w:val="outset" w:sz="6" w:space="0" w:color="auto"/>
              <w:left w:val="outset" w:sz="6" w:space="0" w:color="auto"/>
              <w:bottom w:val="outset" w:sz="6" w:space="0" w:color="auto"/>
              <w:right w:val="outset" w:sz="6" w:space="0" w:color="auto"/>
            </w:tcBorders>
            <w:vAlign w:val="center"/>
          </w:tcPr>
          <w:p w:rsidR="00B8658B" w:rsidRPr="00287783" w:rsidRDefault="00B8658B" w:rsidP="00B8658B">
            <w:pPr>
              <w:ind w:left="57"/>
              <w:jc w:val="center"/>
              <w:rPr>
                <w:b/>
              </w:rPr>
            </w:pPr>
            <w:r w:rsidRPr="00287783">
              <w:rPr>
                <w:b/>
              </w:rPr>
              <w:t>1.tabula</w:t>
            </w:r>
          </w:p>
          <w:p w:rsidR="00B8658B" w:rsidRPr="00287783" w:rsidRDefault="00B8658B" w:rsidP="00B8658B">
            <w:pPr>
              <w:ind w:left="57"/>
              <w:jc w:val="center"/>
            </w:pPr>
            <w:r w:rsidRPr="00287783">
              <w:rPr>
                <w:b/>
              </w:rPr>
              <w:t>Tiesību akta projekta atbilstība ES tiesību aktiem</w:t>
            </w:r>
          </w:p>
        </w:tc>
      </w:tr>
      <w:tr w:rsidR="00B8658B" w:rsidRPr="0098167B" w:rsidTr="00AF2166">
        <w:tc>
          <w:tcPr>
            <w:tcW w:w="792" w:type="pct"/>
            <w:tcBorders>
              <w:top w:val="outset" w:sz="6" w:space="0" w:color="auto"/>
              <w:left w:val="outset" w:sz="6" w:space="0" w:color="auto"/>
              <w:bottom w:val="outset" w:sz="6" w:space="0" w:color="auto"/>
              <w:right w:val="outset" w:sz="6" w:space="0" w:color="auto"/>
            </w:tcBorders>
          </w:tcPr>
          <w:p w:rsidR="00B8658B" w:rsidRPr="00287783" w:rsidRDefault="00B8658B" w:rsidP="00B8658B">
            <w:pPr>
              <w:ind w:left="57"/>
            </w:pPr>
            <w:r w:rsidRPr="00287783">
              <w:t>Attiecīgā ES tiesību akta datums, numurs un nosaukums</w:t>
            </w:r>
          </w:p>
        </w:tc>
        <w:tc>
          <w:tcPr>
            <w:tcW w:w="4208" w:type="pct"/>
            <w:gridSpan w:val="3"/>
            <w:tcBorders>
              <w:top w:val="outset" w:sz="6" w:space="0" w:color="auto"/>
              <w:left w:val="outset" w:sz="6" w:space="0" w:color="auto"/>
              <w:bottom w:val="outset" w:sz="6" w:space="0" w:color="auto"/>
              <w:right w:val="outset" w:sz="6" w:space="0" w:color="auto"/>
            </w:tcBorders>
          </w:tcPr>
          <w:p w:rsidR="00B8658B" w:rsidRPr="00287783" w:rsidRDefault="00B8658B" w:rsidP="00B8658B">
            <w:pPr>
              <w:ind w:left="57"/>
              <w:rPr>
                <w:i/>
              </w:rPr>
            </w:pPr>
            <w:r w:rsidRPr="00287783">
              <w:t>Eiropas Parlamenta un Eiropas Padomes 2010. gada 19. maija direktīva 2010/31/ES par ēku energoefektivitāti.</w:t>
            </w:r>
          </w:p>
        </w:tc>
      </w:tr>
      <w:tr w:rsidR="00B8658B" w:rsidRPr="0098167B" w:rsidTr="00131EC7">
        <w:tc>
          <w:tcPr>
            <w:tcW w:w="792" w:type="pct"/>
            <w:tcBorders>
              <w:top w:val="outset" w:sz="6" w:space="0" w:color="auto"/>
              <w:left w:val="outset" w:sz="6" w:space="0" w:color="auto"/>
              <w:bottom w:val="outset" w:sz="6" w:space="0" w:color="auto"/>
              <w:right w:val="outset" w:sz="6" w:space="0" w:color="auto"/>
            </w:tcBorders>
            <w:vAlign w:val="center"/>
          </w:tcPr>
          <w:p w:rsidR="00B8658B" w:rsidRPr="00287783" w:rsidRDefault="00B8658B" w:rsidP="00B8658B">
            <w:pPr>
              <w:ind w:left="57"/>
              <w:jc w:val="center"/>
            </w:pPr>
            <w:r w:rsidRPr="00287783">
              <w:t>A</w:t>
            </w:r>
          </w:p>
        </w:tc>
        <w:tc>
          <w:tcPr>
            <w:tcW w:w="1243" w:type="pct"/>
            <w:tcBorders>
              <w:top w:val="outset" w:sz="6" w:space="0" w:color="auto"/>
              <w:left w:val="outset" w:sz="6" w:space="0" w:color="auto"/>
              <w:bottom w:val="outset" w:sz="6" w:space="0" w:color="auto"/>
              <w:right w:val="outset" w:sz="6" w:space="0" w:color="auto"/>
            </w:tcBorders>
            <w:vAlign w:val="center"/>
          </w:tcPr>
          <w:p w:rsidR="00B8658B" w:rsidRPr="00287783" w:rsidRDefault="00B8658B" w:rsidP="00B8658B">
            <w:pPr>
              <w:ind w:left="57"/>
              <w:jc w:val="center"/>
            </w:pPr>
            <w:r w:rsidRPr="00287783">
              <w:t>B</w:t>
            </w:r>
          </w:p>
        </w:tc>
        <w:tc>
          <w:tcPr>
            <w:tcW w:w="854" w:type="pct"/>
            <w:tcBorders>
              <w:top w:val="outset" w:sz="6" w:space="0" w:color="auto"/>
              <w:left w:val="outset" w:sz="6" w:space="0" w:color="auto"/>
              <w:bottom w:val="outset" w:sz="6" w:space="0" w:color="auto"/>
              <w:right w:val="outset" w:sz="6" w:space="0" w:color="auto"/>
            </w:tcBorders>
            <w:vAlign w:val="center"/>
          </w:tcPr>
          <w:p w:rsidR="00B8658B" w:rsidRPr="00287783" w:rsidRDefault="00B8658B" w:rsidP="00B8658B">
            <w:pPr>
              <w:ind w:left="57"/>
              <w:jc w:val="center"/>
            </w:pPr>
            <w:r w:rsidRPr="00287783">
              <w:t>C</w:t>
            </w:r>
          </w:p>
        </w:tc>
        <w:tc>
          <w:tcPr>
            <w:tcW w:w="2111" w:type="pct"/>
            <w:tcBorders>
              <w:top w:val="outset" w:sz="6" w:space="0" w:color="auto"/>
              <w:left w:val="outset" w:sz="6" w:space="0" w:color="auto"/>
              <w:bottom w:val="outset" w:sz="6" w:space="0" w:color="auto"/>
              <w:right w:val="outset" w:sz="6" w:space="0" w:color="auto"/>
            </w:tcBorders>
            <w:vAlign w:val="center"/>
          </w:tcPr>
          <w:p w:rsidR="00B8658B" w:rsidRPr="00287783" w:rsidRDefault="00B8658B" w:rsidP="00B8658B">
            <w:pPr>
              <w:ind w:left="57"/>
              <w:jc w:val="center"/>
            </w:pPr>
            <w:r w:rsidRPr="00287783">
              <w:t>D</w:t>
            </w:r>
          </w:p>
        </w:tc>
      </w:tr>
      <w:tr w:rsidR="00B8658B" w:rsidRPr="0098167B" w:rsidTr="00131EC7">
        <w:tc>
          <w:tcPr>
            <w:tcW w:w="792" w:type="pct"/>
            <w:tcBorders>
              <w:top w:val="outset" w:sz="6" w:space="0" w:color="auto"/>
              <w:left w:val="outset" w:sz="6" w:space="0" w:color="auto"/>
              <w:bottom w:val="outset" w:sz="6" w:space="0" w:color="auto"/>
              <w:right w:val="outset" w:sz="6" w:space="0" w:color="auto"/>
            </w:tcBorders>
          </w:tcPr>
          <w:p w:rsidR="00B8658B" w:rsidRPr="00446DAB" w:rsidRDefault="00B8658B" w:rsidP="00B8658B">
            <w:pPr>
              <w:ind w:left="57"/>
            </w:pPr>
            <w:r w:rsidRPr="00446DAB">
              <w:t xml:space="preserve">Attiecīgā </w:t>
            </w:r>
            <w:r w:rsidRPr="00446DAB">
              <w:lastRenderedPageBreak/>
              <w:t>ES tiesību akta panta numurs (uzkaitot katru vienību – pantu, daļu, punktu, apakšpunktu)</w:t>
            </w:r>
          </w:p>
          <w:p w:rsidR="00B8658B" w:rsidRPr="00446DAB" w:rsidRDefault="00B8658B" w:rsidP="00B8658B">
            <w:pPr>
              <w:ind w:left="57"/>
              <w:rPr>
                <w:spacing w:val="-3"/>
              </w:rPr>
            </w:pPr>
          </w:p>
          <w:p w:rsidR="00B8658B" w:rsidRPr="00446DAB" w:rsidRDefault="00B8658B" w:rsidP="00B8658B">
            <w:pPr>
              <w:rPr>
                <w:spacing w:val="-3"/>
              </w:rPr>
            </w:pPr>
          </w:p>
        </w:tc>
        <w:tc>
          <w:tcPr>
            <w:tcW w:w="1243" w:type="pct"/>
            <w:tcBorders>
              <w:top w:val="outset" w:sz="6" w:space="0" w:color="auto"/>
              <w:left w:val="outset" w:sz="6" w:space="0" w:color="auto"/>
              <w:bottom w:val="outset" w:sz="6" w:space="0" w:color="auto"/>
              <w:right w:val="outset" w:sz="6" w:space="0" w:color="auto"/>
            </w:tcBorders>
          </w:tcPr>
          <w:p w:rsidR="00B8658B" w:rsidRPr="00446DAB" w:rsidRDefault="00B8658B" w:rsidP="00B8658B">
            <w:pPr>
              <w:ind w:left="57"/>
              <w:rPr>
                <w:spacing w:val="-3"/>
              </w:rPr>
            </w:pPr>
            <w:r w:rsidRPr="00446DAB">
              <w:rPr>
                <w:spacing w:val="-3"/>
              </w:rPr>
              <w:lastRenderedPageBreak/>
              <w:t xml:space="preserve">Projekta vienība, kas </w:t>
            </w:r>
            <w:r w:rsidRPr="00446DAB">
              <w:rPr>
                <w:spacing w:val="-3"/>
              </w:rPr>
              <w:lastRenderedPageBreak/>
              <w:t>pārņem vai ievieš katru šīs tabulas A ailē minēto ES tiesību akta vienību, vai tiesību akts, kur attiecīgā ES tiesību akta vienība pārņemta vai ieviesta</w:t>
            </w:r>
          </w:p>
        </w:tc>
        <w:tc>
          <w:tcPr>
            <w:tcW w:w="854" w:type="pct"/>
            <w:tcBorders>
              <w:top w:val="outset" w:sz="6" w:space="0" w:color="auto"/>
              <w:left w:val="outset" w:sz="6" w:space="0" w:color="auto"/>
              <w:bottom w:val="outset" w:sz="6" w:space="0" w:color="auto"/>
              <w:right w:val="outset" w:sz="6" w:space="0" w:color="auto"/>
            </w:tcBorders>
          </w:tcPr>
          <w:p w:rsidR="00B8658B" w:rsidRPr="00446DAB" w:rsidRDefault="00B8658B" w:rsidP="00B8658B">
            <w:pPr>
              <w:ind w:left="57"/>
              <w:rPr>
                <w:spacing w:val="-3"/>
              </w:rPr>
            </w:pPr>
            <w:r w:rsidRPr="00446DAB">
              <w:rPr>
                <w:spacing w:val="-3"/>
              </w:rPr>
              <w:lastRenderedPageBreak/>
              <w:t xml:space="preserve">Informācija par </w:t>
            </w:r>
            <w:r w:rsidRPr="00446DAB">
              <w:rPr>
                <w:spacing w:val="-3"/>
              </w:rPr>
              <w:lastRenderedPageBreak/>
              <w:t>to, vai šīs tabulas A ailē minētās ES tiesību akta vienības tiek pārņemtas vai ieviestas pilnībā vai daļēji.</w:t>
            </w:r>
          </w:p>
          <w:p w:rsidR="00B8658B" w:rsidRPr="00446DAB" w:rsidRDefault="00B8658B" w:rsidP="00B8658B">
            <w:pPr>
              <w:ind w:left="57"/>
              <w:rPr>
                <w:spacing w:val="-3"/>
              </w:rPr>
            </w:pPr>
            <w:r w:rsidRPr="00446DAB">
              <w:rPr>
                <w:spacing w:val="-3"/>
              </w:rPr>
              <w:t>Ja attiecīgā ES tiesību akta vienība tiek pārņemta vai ieviesta daļēji, sniedz attiecīgu skaidrojumu, kā arī precīzi norāda, kad un kādā veidā ES tiesību akta vienība tiks pārņemta vai ieviesta pilnībā.</w:t>
            </w:r>
          </w:p>
          <w:p w:rsidR="00B8658B" w:rsidRPr="00446DAB" w:rsidRDefault="00B8658B" w:rsidP="00B8658B">
            <w:pPr>
              <w:ind w:left="57"/>
              <w:rPr>
                <w:spacing w:val="-3"/>
              </w:rPr>
            </w:pPr>
            <w:r w:rsidRPr="00446DAB">
              <w:rPr>
                <w:spacing w:val="-3"/>
              </w:rPr>
              <w:t>Norāda institūciju, kas ir atbildīga par šo saistību izpildi pilnībā</w:t>
            </w:r>
          </w:p>
        </w:tc>
        <w:tc>
          <w:tcPr>
            <w:tcW w:w="2111" w:type="pct"/>
            <w:tcBorders>
              <w:top w:val="outset" w:sz="6" w:space="0" w:color="auto"/>
              <w:left w:val="outset" w:sz="6" w:space="0" w:color="auto"/>
              <w:bottom w:val="outset" w:sz="6" w:space="0" w:color="auto"/>
              <w:right w:val="outset" w:sz="6" w:space="0" w:color="auto"/>
            </w:tcBorders>
          </w:tcPr>
          <w:p w:rsidR="00B8658B" w:rsidRPr="00446DAB" w:rsidRDefault="00B8658B" w:rsidP="00B8658B">
            <w:pPr>
              <w:ind w:left="57"/>
            </w:pPr>
            <w:r w:rsidRPr="00446DAB">
              <w:rPr>
                <w:spacing w:val="-3"/>
              </w:rPr>
              <w:lastRenderedPageBreak/>
              <w:t xml:space="preserve">Informācija par to, vai šīs </w:t>
            </w:r>
            <w:r w:rsidRPr="00446DAB">
              <w:t xml:space="preserve">tabulas </w:t>
            </w:r>
            <w:r w:rsidRPr="00446DAB">
              <w:lastRenderedPageBreak/>
              <w:t>B ailē minētās projekta vienības paredz stingrākas prasības nekā šīs tabulas A ailē minētās ES tiesību akta vienības. Ja projekts satur stingrākas prasības nekā attiecīgais ES tiesību akts, norāda pamatojumu un samērīgumu.</w:t>
            </w:r>
          </w:p>
          <w:p w:rsidR="00B8658B" w:rsidRPr="00446DAB" w:rsidRDefault="00B8658B" w:rsidP="00B8658B">
            <w:pPr>
              <w:ind w:left="57"/>
              <w:rPr>
                <w:spacing w:val="-3"/>
              </w:rPr>
            </w:pPr>
            <w:r w:rsidRPr="00446DAB">
              <w:t>Norāda iespējamās alternatīvas (</w:t>
            </w:r>
            <w:proofErr w:type="spellStart"/>
            <w:r w:rsidRPr="00446DAB">
              <w:t>t.sk</w:t>
            </w:r>
            <w:proofErr w:type="spellEnd"/>
            <w:r w:rsidRPr="00446DAB">
              <w:t>. alternatīvas, kas neparedz tiesiskā regulējuma izstrādi) – kādos gadījumos būtu iespējams izvairīties no stingrāku prasību</w:t>
            </w:r>
            <w:r w:rsidRPr="00446DAB">
              <w:rPr>
                <w:spacing w:val="-3"/>
              </w:rPr>
              <w:t xml:space="preserve"> noteikšanas, nekā paredzēts attiecīgajos ES tiesību aktos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101D75">
            <w:r w:rsidRPr="00446DAB">
              <w:lastRenderedPageBreak/>
              <w:t xml:space="preserve">11. panta </w:t>
            </w:r>
          </w:p>
          <w:p w:rsidR="00F057E2" w:rsidRPr="00446DAB" w:rsidRDefault="00F057E2" w:rsidP="00101D75">
            <w:r w:rsidRPr="00446DAB">
              <w:t>1</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Default="006E48DA" w:rsidP="00101D75">
            <w:pPr>
              <w:ind w:left="57"/>
              <w:rPr>
                <w:spacing w:val="-2"/>
              </w:rPr>
            </w:pPr>
            <w:r>
              <w:rPr>
                <w:spacing w:val="-2"/>
              </w:rPr>
              <w:t>5</w:t>
            </w:r>
            <w:r w:rsidR="00F057E2">
              <w:rPr>
                <w:spacing w:val="-2"/>
              </w:rPr>
              <w:t xml:space="preserve">., </w:t>
            </w:r>
            <w:r>
              <w:rPr>
                <w:spacing w:val="-2"/>
              </w:rPr>
              <w:t>13</w:t>
            </w:r>
            <w:r w:rsidR="00F057E2">
              <w:rPr>
                <w:spacing w:val="-2"/>
              </w:rPr>
              <w:t xml:space="preserve">., </w:t>
            </w:r>
            <w:r>
              <w:rPr>
                <w:spacing w:val="-2"/>
              </w:rPr>
              <w:t>14</w:t>
            </w:r>
            <w:r w:rsidR="00F057E2">
              <w:rPr>
                <w:spacing w:val="-2"/>
              </w:rPr>
              <w:t xml:space="preserve">. punkts, </w:t>
            </w:r>
          </w:p>
          <w:p w:rsidR="00F057E2" w:rsidRDefault="00F057E2" w:rsidP="00101D75">
            <w:pPr>
              <w:ind w:left="57"/>
              <w:rPr>
                <w:spacing w:val="-2"/>
              </w:rPr>
            </w:pPr>
            <w:r>
              <w:rPr>
                <w:spacing w:val="-2"/>
              </w:rPr>
              <w:t>1., 2. un 4. pielikums;</w:t>
            </w:r>
          </w:p>
          <w:p w:rsidR="00F057E2" w:rsidRPr="006218EC" w:rsidRDefault="00F057E2" w:rsidP="00101D75">
            <w:pPr>
              <w:ind w:left="57"/>
              <w:rPr>
                <w:spacing w:val="-2"/>
              </w:rPr>
            </w:pPr>
            <w:r>
              <w:rPr>
                <w:spacing w:val="-2"/>
              </w:rPr>
              <w:t xml:space="preserve">Ēku energoefektivitātes likuma (turpmāk – EEEL) </w:t>
            </w:r>
            <w:r>
              <w:rPr>
                <w:spacing w:val="-2"/>
                <w:lang w:val="ru-RU"/>
              </w:rPr>
              <w:t>8</w:t>
            </w:r>
            <w:r w:rsidRPr="006218EC">
              <w:rPr>
                <w:spacing w:val="-2"/>
              </w:rPr>
              <w:t>. panta 1., 2. un 3. daļa</w:t>
            </w:r>
            <w:r>
              <w:rPr>
                <w:spacing w:val="-2"/>
              </w:rPr>
              <w:t>.</w:t>
            </w:r>
          </w:p>
        </w:tc>
        <w:tc>
          <w:tcPr>
            <w:tcW w:w="854" w:type="pct"/>
            <w:tcBorders>
              <w:top w:val="outset" w:sz="6" w:space="0" w:color="auto"/>
              <w:left w:val="outset" w:sz="6" w:space="0" w:color="auto"/>
              <w:bottom w:val="outset" w:sz="6" w:space="0" w:color="auto"/>
              <w:right w:val="outset" w:sz="6" w:space="0" w:color="auto"/>
            </w:tcBorders>
          </w:tcPr>
          <w:p w:rsidR="00F057E2" w:rsidRPr="008406CB" w:rsidRDefault="00F057E2" w:rsidP="00101D75">
            <w:pPr>
              <w:ind w:left="57"/>
              <w:rPr>
                <w:spacing w:val="-2"/>
              </w:rPr>
            </w:pPr>
            <w:r w:rsidRPr="008406CB">
              <w:rPr>
                <w:spacing w:val="-2"/>
              </w:rPr>
              <w:t>Pārņemta pilnībā</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101D75">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101D75">
            <w:r w:rsidRPr="00446DAB">
              <w:t xml:space="preserve">11. panta </w:t>
            </w:r>
          </w:p>
          <w:p w:rsidR="00F057E2" w:rsidRPr="00446DAB" w:rsidRDefault="00F057E2" w:rsidP="00101D75">
            <w:r w:rsidRPr="00446DAB">
              <w:t>2</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Default="006E48DA" w:rsidP="00101D75">
            <w:pPr>
              <w:ind w:left="57"/>
              <w:rPr>
                <w:spacing w:val="-2"/>
              </w:rPr>
            </w:pPr>
            <w:r>
              <w:rPr>
                <w:spacing w:val="-2"/>
              </w:rPr>
              <w:t>7</w:t>
            </w:r>
            <w:r w:rsidR="00F057E2">
              <w:rPr>
                <w:spacing w:val="-2"/>
              </w:rPr>
              <w:t>.</w:t>
            </w:r>
            <w:r>
              <w:rPr>
                <w:spacing w:val="-2"/>
              </w:rPr>
              <w:t>1</w:t>
            </w:r>
            <w:r w:rsidR="00F057E2">
              <w:rPr>
                <w:spacing w:val="-2"/>
              </w:rPr>
              <w:t xml:space="preserve">., </w:t>
            </w:r>
            <w:r>
              <w:rPr>
                <w:spacing w:val="-2"/>
              </w:rPr>
              <w:t>7</w:t>
            </w:r>
            <w:r w:rsidR="00F057E2">
              <w:rPr>
                <w:spacing w:val="-2"/>
              </w:rPr>
              <w:t>.</w:t>
            </w:r>
            <w:r>
              <w:rPr>
                <w:spacing w:val="-2"/>
              </w:rPr>
              <w:t>5</w:t>
            </w:r>
            <w:r w:rsidR="00F057E2">
              <w:rPr>
                <w:spacing w:val="-2"/>
              </w:rPr>
              <w:t>. apakšpunkts un 3. pielikuma 5. sadaļa;</w:t>
            </w:r>
          </w:p>
          <w:p w:rsidR="00F057E2" w:rsidRPr="006218EC" w:rsidRDefault="00F057E2" w:rsidP="00101D75">
            <w:pPr>
              <w:ind w:left="57"/>
              <w:rPr>
                <w:spacing w:val="-2"/>
              </w:rPr>
            </w:pPr>
            <w:r>
              <w:rPr>
                <w:spacing w:val="-2"/>
              </w:rPr>
              <w:t xml:space="preserve">EEEL </w:t>
            </w:r>
            <w:r>
              <w:rPr>
                <w:spacing w:val="-2"/>
                <w:lang w:val="ru-RU"/>
              </w:rPr>
              <w:t>8</w:t>
            </w:r>
            <w:r w:rsidRPr="006218EC">
              <w:rPr>
                <w:spacing w:val="-2"/>
              </w:rPr>
              <w:t xml:space="preserve">. panta </w:t>
            </w:r>
            <w:r>
              <w:rPr>
                <w:spacing w:val="-2"/>
              </w:rPr>
              <w:t>6</w:t>
            </w:r>
            <w:r w:rsidRPr="006218EC">
              <w:rPr>
                <w:spacing w:val="-2"/>
              </w:rPr>
              <w:t xml:space="preserve">. daļa </w:t>
            </w:r>
          </w:p>
        </w:tc>
        <w:tc>
          <w:tcPr>
            <w:tcW w:w="854" w:type="pct"/>
            <w:tcBorders>
              <w:top w:val="outset" w:sz="6" w:space="0" w:color="auto"/>
              <w:left w:val="outset" w:sz="6" w:space="0" w:color="auto"/>
              <w:bottom w:val="outset" w:sz="6" w:space="0" w:color="auto"/>
              <w:right w:val="outset" w:sz="6" w:space="0" w:color="auto"/>
            </w:tcBorders>
          </w:tcPr>
          <w:p w:rsidR="00F057E2" w:rsidRPr="008406CB" w:rsidRDefault="00F057E2" w:rsidP="00101D75">
            <w:pPr>
              <w:ind w:left="57"/>
              <w:rPr>
                <w:spacing w:val="-2"/>
              </w:rPr>
            </w:pPr>
            <w:r w:rsidRPr="008406CB">
              <w:rPr>
                <w:spacing w:val="-2"/>
              </w:rPr>
              <w:t>Pārņemta pilnībā</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101D75">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101D75">
            <w:r w:rsidRPr="00446DAB">
              <w:t xml:space="preserve">11. panta </w:t>
            </w:r>
          </w:p>
          <w:p w:rsidR="00F057E2" w:rsidRPr="00446DAB" w:rsidRDefault="00F057E2" w:rsidP="00101D75">
            <w:r w:rsidRPr="00446DAB">
              <w:t>3</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Default="00F057E2" w:rsidP="00101D75">
            <w:pPr>
              <w:ind w:left="57"/>
              <w:rPr>
                <w:spacing w:val="-2"/>
              </w:rPr>
            </w:pPr>
            <w:r>
              <w:rPr>
                <w:spacing w:val="-2"/>
              </w:rPr>
              <w:t>3. pielikuma 5. sadaļa;</w:t>
            </w:r>
          </w:p>
          <w:p w:rsidR="00F057E2" w:rsidRPr="006218EC" w:rsidRDefault="00F057E2" w:rsidP="00101D75">
            <w:pPr>
              <w:ind w:left="57"/>
              <w:rPr>
                <w:spacing w:val="-2"/>
                <w:lang w:val="ru-RU"/>
              </w:rPr>
            </w:pPr>
            <w:r>
              <w:rPr>
                <w:spacing w:val="-2"/>
              </w:rPr>
              <w:t xml:space="preserve">EEEL </w:t>
            </w:r>
            <w:r>
              <w:rPr>
                <w:spacing w:val="-2"/>
                <w:lang w:val="ru-RU"/>
              </w:rPr>
              <w:t>8</w:t>
            </w:r>
            <w:r w:rsidRPr="006218EC">
              <w:rPr>
                <w:spacing w:val="-2"/>
              </w:rPr>
              <w:t xml:space="preserve">. panta </w:t>
            </w:r>
            <w:r>
              <w:rPr>
                <w:spacing w:val="-2"/>
              </w:rPr>
              <w:t>6</w:t>
            </w:r>
            <w:r w:rsidRPr="006218EC">
              <w:rPr>
                <w:spacing w:val="-2"/>
              </w:rPr>
              <w:t>. daļa</w:t>
            </w:r>
          </w:p>
        </w:tc>
        <w:tc>
          <w:tcPr>
            <w:tcW w:w="854" w:type="pct"/>
            <w:tcBorders>
              <w:top w:val="outset" w:sz="6" w:space="0" w:color="auto"/>
              <w:left w:val="outset" w:sz="6" w:space="0" w:color="auto"/>
              <w:bottom w:val="outset" w:sz="6" w:space="0" w:color="auto"/>
              <w:right w:val="outset" w:sz="6" w:space="0" w:color="auto"/>
            </w:tcBorders>
          </w:tcPr>
          <w:p w:rsidR="00F057E2" w:rsidRPr="008406CB" w:rsidRDefault="00F057E2" w:rsidP="00101D75">
            <w:pPr>
              <w:ind w:left="57"/>
              <w:rPr>
                <w:spacing w:val="-2"/>
              </w:rPr>
            </w:pPr>
            <w:r w:rsidRPr="008406CB">
              <w:rPr>
                <w:spacing w:val="-2"/>
              </w:rPr>
              <w:t>Pārņemta pilnībā</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101D75">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101D75">
            <w:r w:rsidRPr="00446DAB">
              <w:t xml:space="preserve">11. panta </w:t>
            </w:r>
          </w:p>
          <w:p w:rsidR="00F057E2" w:rsidRPr="00446DAB" w:rsidRDefault="00F057E2" w:rsidP="00101D75">
            <w:r w:rsidRPr="00446DAB">
              <w:t>4</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Pr="002F60FB" w:rsidRDefault="006E48DA" w:rsidP="006E48DA">
            <w:pPr>
              <w:ind w:left="57"/>
              <w:rPr>
                <w:spacing w:val="-2"/>
              </w:rPr>
            </w:pPr>
            <w:r>
              <w:rPr>
                <w:spacing w:val="-2"/>
              </w:rPr>
              <w:t>7</w:t>
            </w:r>
            <w:r w:rsidR="00F057E2">
              <w:rPr>
                <w:spacing w:val="-2"/>
              </w:rPr>
              <w:t>.</w:t>
            </w:r>
            <w:r>
              <w:rPr>
                <w:spacing w:val="-2"/>
              </w:rPr>
              <w:t>5</w:t>
            </w:r>
            <w:r w:rsidR="00F057E2">
              <w:rPr>
                <w:spacing w:val="-2"/>
              </w:rPr>
              <w:t>. apakšpunkts</w:t>
            </w:r>
          </w:p>
        </w:tc>
        <w:tc>
          <w:tcPr>
            <w:tcW w:w="854" w:type="pct"/>
            <w:tcBorders>
              <w:top w:val="outset" w:sz="6" w:space="0" w:color="auto"/>
              <w:left w:val="outset" w:sz="6" w:space="0" w:color="auto"/>
              <w:bottom w:val="outset" w:sz="6" w:space="0" w:color="auto"/>
              <w:right w:val="outset" w:sz="6" w:space="0" w:color="auto"/>
            </w:tcBorders>
          </w:tcPr>
          <w:p w:rsidR="00F057E2" w:rsidRPr="008406CB" w:rsidRDefault="00F057E2" w:rsidP="00101D75">
            <w:pPr>
              <w:ind w:left="57"/>
              <w:rPr>
                <w:spacing w:val="-2"/>
              </w:rPr>
            </w:pPr>
            <w:r w:rsidRPr="008406CB">
              <w:rPr>
                <w:spacing w:val="-2"/>
              </w:rPr>
              <w:t>Pārņemta pilnībā</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101D75">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F42AE7">
            <w:r w:rsidRPr="00446DAB">
              <w:t xml:space="preserve">11. panta </w:t>
            </w:r>
          </w:p>
          <w:p w:rsidR="00F057E2" w:rsidRPr="00446DAB" w:rsidRDefault="00F057E2" w:rsidP="00F42AE7">
            <w:r w:rsidRPr="00446DAB">
              <w:t>5</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Pr="006218EC" w:rsidRDefault="00F057E2" w:rsidP="00F42AE7">
            <w:pPr>
              <w:ind w:left="57"/>
              <w:rPr>
                <w:spacing w:val="-2"/>
              </w:rPr>
            </w:pPr>
            <w:r>
              <w:rPr>
                <w:spacing w:val="-2"/>
              </w:rPr>
              <w:t>EEEL</w:t>
            </w:r>
            <w:r w:rsidRPr="006218EC">
              <w:rPr>
                <w:spacing w:val="-2"/>
              </w:rPr>
              <w:t xml:space="preserve"> 1</w:t>
            </w:r>
            <w:r>
              <w:rPr>
                <w:spacing w:val="-2"/>
              </w:rPr>
              <w:t>3</w:t>
            </w:r>
            <w:r w:rsidRPr="006218EC">
              <w:rPr>
                <w:spacing w:val="-2"/>
              </w:rPr>
              <w:t>. pant</w:t>
            </w:r>
            <w:r>
              <w:rPr>
                <w:spacing w:val="-2"/>
              </w:rPr>
              <w:t>a 1. daļas 2. un 3. punkts</w:t>
            </w:r>
          </w:p>
        </w:tc>
        <w:tc>
          <w:tcPr>
            <w:tcW w:w="854" w:type="pct"/>
            <w:tcBorders>
              <w:top w:val="outset" w:sz="6" w:space="0" w:color="auto"/>
              <w:left w:val="outset" w:sz="6" w:space="0" w:color="auto"/>
              <w:bottom w:val="outset" w:sz="6" w:space="0" w:color="auto"/>
              <w:right w:val="outset" w:sz="6" w:space="0" w:color="auto"/>
            </w:tcBorders>
          </w:tcPr>
          <w:p w:rsidR="00F057E2" w:rsidRPr="008406CB" w:rsidRDefault="00F057E2" w:rsidP="00F42AE7">
            <w:pPr>
              <w:ind w:left="57"/>
              <w:rPr>
                <w:spacing w:val="-2"/>
              </w:rPr>
            </w:pPr>
            <w:r w:rsidRPr="008406CB">
              <w:rPr>
                <w:spacing w:val="-2"/>
              </w:rPr>
              <w:t>Pārņemta pilnībā</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F42AE7">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F42AE7">
            <w:r w:rsidRPr="00446DAB">
              <w:t xml:space="preserve">11. panta </w:t>
            </w:r>
          </w:p>
          <w:p w:rsidR="00F057E2" w:rsidRPr="00446DAB" w:rsidRDefault="00F057E2" w:rsidP="00F42AE7">
            <w:r w:rsidRPr="00446DAB">
              <w:lastRenderedPageBreak/>
              <w:t>6</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Pr="00131EC7" w:rsidRDefault="00F057E2" w:rsidP="00F42AE7">
            <w:pPr>
              <w:ind w:left="57"/>
              <w:rPr>
                <w:spacing w:val="-2"/>
              </w:rPr>
            </w:pPr>
            <w:r w:rsidRPr="00131EC7">
              <w:rPr>
                <w:spacing w:val="-2"/>
              </w:rPr>
              <w:lastRenderedPageBreak/>
              <w:t>Nav piemērota</w:t>
            </w:r>
          </w:p>
        </w:tc>
        <w:tc>
          <w:tcPr>
            <w:tcW w:w="854" w:type="pct"/>
            <w:tcBorders>
              <w:top w:val="outset" w:sz="6" w:space="0" w:color="auto"/>
              <w:left w:val="outset" w:sz="6" w:space="0" w:color="auto"/>
              <w:bottom w:val="outset" w:sz="6" w:space="0" w:color="auto"/>
              <w:right w:val="outset" w:sz="6" w:space="0" w:color="auto"/>
            </w:tcBorders>
          </w:tcPr>
          <w:p w:rsidR="00F057E2" w:rsidRPr="008406CB" w:rsidRDefault="00F057E2" w:rsidP="00F42AE7">
            <w:pPr>
              <w:ind w:left="57"/>
              <w:rPr>
                <w:spacing w:val="-2"/>
              </w:rPr>
            </w:pPr>
            <w:r>
              <w:rPr>
                <w:spacing w:val="-2"/>
              </w:rPr>
              <w:t xml:space="preserve">Projekts šo </w:t>
            </w:r>
            <w:r>
              <w:rPr>
                <w:spacing w:val="-2"/>
              </w:rPr>
              <w:lastRenderedPageBreak/>
              <w:t>jomu neskar</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F42AE7">
            <w:pPr>
              <w:ind w:left="57"/>
              <w:rPr>
                <w:spacing w:val="-2"/>
              </w:rPr>
            </w:pPr>
            <w:r w:rsidRPr="00446DAB">
              <w:lastRenderedPageBreak/>
              <w:t xml:space="preserve">Projekts nenosaka stingrākas prasības </w:t>
            </w:r>
            <w:r w:rsidRPr="00446DAB">
              <w:lastRenderedPageBreak/>
              <w:t>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F42AE7">
            <w:r w:rsidRPr="00446DAB">
              <w:lastRenderedPageBreak/>
              <w:t xml:space="preserve">11. panta </w:t>
            </w:r>
          </w:p>
          <w:p w:rsidR="00F057E2" w:rsidRPr="00446DAB" w:rsidRDefault="00F057E2" w:rsidP="00F42AE7">
            <w:r w:rsidRPr="00446DAB">
              <w:t>7</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Pr="00131EC7" w:rsidRDefault="00F057E2" w:rsidP="00F42AE7">
            <w:pPr>
              <w:ind w:left="57"/>
              <w:rPr>
                <w:spacing w:val="-2"/>
              </w:rPr>
            </w:pPr>
            <w:r w:rsidRPr="00131EC7">
              <w:rPr>
                <w:spacing w:val="-2"/>
              </w:rPr>
              <w:t>Nav piemērota</w:t>
            </w:r>
          </w:p>
        </w:tc>
        <w:tc>
          <w:tcPr>
            <w:tcW w:w="854" w:type="pct"/>
            <w:tcBorders>
              <w:top w:val="outset" w:sz="6" w:space="0" w:color="auto"/>
              <w:left w:val="outset" w:sz="6" w:space="0" w:color="auto"/>
              <w:bottom w:val="outset" w:sz="6" w:space="0" w:color="auto"/>
              <w:right w:val="outset" w:sz="6" w:space="0" w:color="auto"/>
            </w:tcBorders>
          </w:tcPr>
          <w:p w:rsidR="00F057E2" w:rsidRPr="008406CB" w:rsidRDefault="00F057E2" w:rsidP="00F42AE7">
            <w:pPr>
              <w:ind w:left="57"/>
              <w:rPr>
                <w:spacing w:val="-2"/>
              </w:rPr>
            </w:pPr>
            <w:r>
              <w:rPr>
                <w:spacing w:val="-2"/>
              </w:rPr>
              <w:t>Projekts šo jomu neskar</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F42AE7">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F42AE7">
            <w:r w:rsidRPr="00446DAB">
              <w:t xml:space="preserve">11. panta </w:t>
            </w:r>
          </w:p>
          <w:p w:rsidR="00F057E2" w:rsidRPr="00446DAB" w:rsidRDefault="00F057E2" w:rsidP="00F42AE7">
            <w:r w:rsidRPr="00446DAB">
              <w:t>8</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Pr="00D9260D" w:rsidRDefault="00F057E2" w:rsidP="00F42AE7">
            <w:pPr>
              <w:ind w:left="57"/>
              <w:rPr>
                <w:spacing w:val="-2"/>
              </w:rPr>
            </w:pPr>
            <w:r>
              <w:rPr>
                <w:spacing w:val="-2"/>
              </w:rPr>
              <w:t xml:space="preserve">EEEL </w:t>
            </w:r>
            <w:r>
              <w:rPr>
                <w:spacing w:val="-2"/>
                <w:lang w:val="ru-RU"/>
              </w:rPr>
              <w:t>8</w:t>
            </w:r>
            <w:r w:rsidRPr="00D9260D">
              <w:rPr>
                <w:spacing w:val="-2"/>
              </w:rPr>
              <w:t xml:space="preserve">. panta </w:t>
            </w:r>
            <w:r>
              <w:rPr>
                <w:spacing w:val="-2"/>
              </w:rPr>
              <w:t>7</w:t>
            </w:r>
            <w:r w:rsidRPr="00D9260D">
              <w:rPr>
                <w:spacing w:val="-2"/>
              </w:rPr>
              <w:t>. daļa</w:t>
            </w:r>
          </w:p>
        </w:tc>
        <w:tc>
          <w:tcPr>
            <w:tcW w:w="854" w:type="pct"/>
            <w:tcBorders>
              <w:top w:val="outset" w:sz="6" w:space="0" w:color="auto"/>
              <w:left w:val="outset" w:sz="6" w:space="0" w:color="auto"/>
              <w:bottom w:val="outset" w:sz="6" w:space="0" w:color="auto"/>
              <w:right w:val="outset" w:sz="6" w:space="0" w:color="auto"/>
            </w:tcBorders>
          </w:tcPr>
          <w:p w:rsidR="00F057E2" w:rsidRPr="008406CB" w:rsidRDefault="00F057E2" w:rsidP="00F42AE7">
            <w:pPr>
              <w:ind w:left="57"/>
              <w:rPr>
                <w:spacing w:val="-2"/>
              </w:rPr>
            </w:pPr>
            <w:r w:rsidRPr="008406CB">
              <w:rPr>
                <w:spacing w:val="-2"/>
              </w:rPr>
              <w:t>Pārņemta pilnībā</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F42AE7">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F42AE7">
            <w:r w:rsidRPr="00446DAB">
              <w:t xml:space="preserve">11. panta </w:t>
            </w:r>
          </w:p>
          <w:p w:rsidR="00F057E2" w:rsidRPr="00446DAB" w:rsidRDefault="00F057E2" w:rsidP="00F42AE7">
            <w:r w:rsidRPr="00446DAB">
              <w:t>9</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Pr="00D9260D" w:rsidRDefault="00F057E2" w:rsidP="00F42AE7">
            <w:pPr>
              <w:ind w:left="57"/>
              <w:rPr>
                <w:spacing w:val="-2"/>
              </w:rPr>
            </w:pPr>
            <w:r>
              <w:rPr>
                <w:spacing w:val="-2"/>
              </w:rPr>
              <w:t>Projekts šo jomu neskar</w:t>
            </w:r>
          </w:p>
        </w:tc>
        <w:tc>
          <w:tcPr>
            <w:tcW w:w="854" w:type="pct"/>
            <w:tcBorders>
              <w:top w:val="outset" w:sz="6" w:space="0" w:color="auto"/>
              <w:left w:val="outset" w:sz="6" w:space="0" w:color="auto"/>
              <w:bottom w:val="outset" w:sz="6" w:space="0" w:color="auto"/>
              <w:right w:val="outset" w:sz="6" w:space="0" w:color="auto"/>
            </w:tcBorders>
          </w:tcPr>
          <w:p w:rsidR="00F057E2" w:rsidRPr="008406CB" w:rsidRDefault="00F057E2" w:rsidP="00F42AE7">
            <w:pPr>
              <w:ind w:left="57"/>
              <w:rPr>
                <w:spacing w:val="-2"/>
              </w:rPr>
            </w:pPr>
            <w:r w:rsidRPr="008406CB">
              <w:rPr>
                <w:spacing w:val="-2"/>
              </w:rPr>
              <w:t>Pārņemta pilnībā</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F42AE7">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F42AE7">
            <w:r w:rsidRPr="00446DAB">
              <w:t xml:space="preserve">14. panta </w:t>
            </w:r>
          </w:p>
          <w:p w:rsidR="00F057E2" w:rsidRPr="00446DAB" w:rsidRDefault="00F057E2" w:rsidP="00F42AE7">
            <w:r w:rsidRPr="00446DAB">
              <w:t>1</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Default="006E48DA" w:rsidP="00F42AE7">
            <w:pPr>
              <w:ind w:left="57"/>
              <w:rPr>
                <w:spacing w:val="-2"/>
              </w:rPr>
            </w:pPr>
            <w:r>
              <w:rPr>
                <w:spacing w:val="-2"/>
              </w:rPr>
              <w:t>18</w:t>
            </w:r>
            <w:r w:rsidR="00F057E2">
              <w:rPr>
                <w:spacing w:val="-2"/>
              </w:rPr>
              <w:t xml:space="preserve">., </w:t>
            </w:r>
            <w:r>
              <w:rPr>
                <w:spacing w:val="-2"/>
              </w:rPr>
              <w:t>19</w:t>
            </w:r>
            <w:r w:rsidR="00F057E2">
              <w:rPr>
                <w:spacing w:val="-2"/>
              </w:rPr>
              <w:t xml:space="preserve">., </w:t>
            </w:r>
            <w:r>
              <w:rPr>
                <w:spacing w:val="-2"/>
              </w:rPr>
              <w:t>20</w:t>
            </w:r>
            <w:r w:rsidR="00F057E2">
              <w:rPr>
                <w:spacing w:val="-2"/>
              </w:rPr>
              <w:t>. punkts;</w:t>
            </w:r>
          </w:p>
          <w:p w:rsidR="00F057E2" w:rsidRPr="00053503" w:rsidRDefault="00F057E2" w:rsidP="00F42AE7">
            <w:pPr>
              <w:ind w:left="57"/>
              <w:rPr>
                <w:spacing w:val="-2"/>
              </w:rPr>
            </w:pPr>
            <w:r>
              <w:rPr>
                <w:spacing w:val="-2"/>
              </w:rPr>
              <w:t>EEEL 11</w:t>
            </w:r>
            <w:r w:rsidRPr="00053503">
              <w:rPr>
                <w:spacing w:val="-2"/>
              </w:rPr>
              <w:t>. pants</w:t>
            </w:r>
          </w:p>
        </w:tc>
        <w:tc>
          <w:tcPr>
            <w:tcW w:w="854" w:type="pct"/>
            <w:tcBorders>
              <w:top w:val="outset" w:sz="6" w:space="0" w:color="auto"/>
              <w:left w:val="outset" w:sz="6" w:space="0" w:color="auto"/>
              <w:bottom w:val="outset" w:sz="6" w:space="0" w:color="auto"/>
              <w:right w:val="outset" w:sz="6" w:space="0" w:color="auto"/>
            </w:tcBorders>
          </w:tcPr>
          <w:p w:rsidR="00F057E2" w:rsidRPr="00053503" w:rsidRDefault="00F057E2" w:rsidP="00F42AE7">
            <w:pPr>
              <w:ind w:left="57"/>
              <w:rPr>
                <w:spacing w:val="-2"/>
              </w:rPr>
            </w:pPr>
            <w:r>
              <w:rPr>
                <w:spacing w:val="-2"/>
              </w:rPr>
              <w:t>Pārņemta pilnībā</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F42AE7">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F42AE7">
            <w:r w:rsidRPr="00446DAB">
              <w:t xml:space="preserve">14. panta </w:t>
            </w:r>
          </w:p>
          <w:p w:rsidR="00F057E2" w:rsidRPr="00446DAB" w:rsidRDefault="00F057E2" w:rsidP="00F42AE7">
            <w:r w:rsidRPr="00446DAB">
              <w:t>2</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Pr="00053503" w:rsidRDefault="006E48DA" w:rsidP="00F42AE7">
            <w:pPr>
              <w:ind w:left="57"/>
              <w:rPr>
                <w:spacing w:val="-2"/>
              </w:rPr>
            </w:pPr>
            <w:r>
              <w:rPr>
                <w:spacing w:val="-2"/>
              </w:rPr>
              <w:t>19</w:t>
            </w:r>
            <w:r w:rsidR="00F057E2">
              <w:rPr>
                <w:spacing w:val="-2"/>
              </w:rPr>
              <w:t>. punkts</w:t>
            </w:r>
          </w:p>
        </w:tc>
        <w:tc>
          <w:tcPr>
            <w:tcW w:w="854" w:type="pct"/>
            <w:tcBorders>
              <w:top w:val="outset" w:sz="6" w:space="0" w:color="auto"/>
              <w:left w:val="outset" w:sz="6" w:space="0" w:color="auto"/>
              <w:bottom w:val="outset" w:sz="6" w:space="0" w:color="auto"/>
              <w:right w:val="outset" w:sz="6" w:space="0" w:color="auto"/>
            </w:tcBorders>
          </w:tcPr>
          <w:p w:rsidR="00F057E2" w:rsidRPr="00053503" w:rsidRDefault="00F057E2" w:rsidP="00F42AE7">
            <w:pPr>
              <w:ind w:left="57"/>
              <w:rPr>
                <w:spacing w:val="-2"/>
              </w:rPr>
            </w:pPr>
            <w:r>
              <w:rPr>
                <w:spacing w:val="-2"/>
              </w:rPr>
              <w:t>Pārņemta pilnībā</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F42AE7">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F42AE7">
            <w:r w:rsidRPr="00446DAB">
              <w:t xml:space="preserve">14. panta </w:t>
            </w:r>
          </w:p>
          <w:p w:rsidR="00F057E2" w:rsidRPr="00446DAB" w:rsidRDefault="00F057E2" w:rsidP="00F42AE7">
            <w:r w:rsidRPr="00446DAB">
              <w:t>3</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Pr="00053503" w:rsidRDefault="006E48DA" w:rsidP="00F42AE7">
            <w:pPr>
              <w:ind w:left="57"/>
              <w:rPr>
                <w:spacing w:val="-2"/>
              </w:rPr>
            </w:pPr>
            <w:r>
              <w:rPr>
                <w:spacing w:val="-2"/>
              </w:rPr>
              <w:t>19</w:t>
            </w:r>
            <w:r w:rsidR="00F057E2">
              <w:rPr>
                <w:spacing w:val="-2"/>
              </w:rPr>
              <w:t>. punkts</w:t>
            </w:r>
          </w:p>
        </w:tc>
        <w:tc>
          <w:tcPr>
            <w:tcW w:w="854" w:type="pct"/>
            <w:tcBorders>
              <w:top w:val="outset" w:sz="6" w:space="0" w:color="auto"/>
              <w:left w:val="outset" w:sz="6" w:space="0" w:color="auto"/>
              <w:bottom w:val="outset" w:sz="6" w:space="0" w:color="auto"/>
              <w:right w:val="outset" w:sz="6" w:space="0" w:color="auto"/>
            </w:tcBorders>
          </w:tcPr>
          <w:p w:rsidR="00F057E2" w:rsidRPr="00053503" w:rsidRDefault="00F057E2" w:rsidP="00F42AE7">
            <w:pPr>
              <w:ind w:left="57"/>
              <w:rPr>
                <w:spacing w:val="-2"/>
              </w:rPr>
            </w:pPr>
            <w:r>
              <w:rPr>
                <w:spacing w:val="-2"/>
              </w:rPr>
              <w:t>Pārņemta pilnībā</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F42AE7">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F42AE7">
            <w:r w:rsidRPr="00446DAB">
              <w:t xml:space="preserve">14. panta </w:t>
            </w:r>
          </w:p>
          <w:p w:rsidR="00F057E2" w:rsidRPr="00446DAB" w:rsidRDefault="00F057E2" w:rsidP="00F42AE7">
            <w:r w:rsidRPr="00446DAB">
              <w:t>4</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Pr="00053503" w:rsidRDefault="00F057E2" w:rsidP="00F42AE7">
            <w:pPr>
              <w:ind w:left="57"/>
              <w:rPr>
                <w:spacing w:val="-2"/>
              </w:rPr>
            </w:pPr>
            <w:r>
              <w:rPr>
                <w:spacing w:val="-2"/>
              </w:rPr>
              <w:t>Projekts šo jomu neskar</w:t>
            </w:r>
          </w:p>
        </w:tc>
        <w:tc>
          <w:tcPr>
            <w:tcW w:w="854" w:type="pct"/>
            <w:tcBorders>
              <w:top w:val="outset" w:sz="6" w:space="0" w:color="auto"/>
              <w:left w:val="outset" w:sz="6" w:space="0" w:color="auto"/>
              <w:bottom w:val="outset" w:sz="6" w:space="0" w:color="auto"/>
              <w:right w:val="outset" w:sz="6" w:space="0" w:color="auto"/>
            </w:tcBorders>
          </w:tcPr>
          <w:p w:rsidR="00F057E2" w:rsidRPr="00053503" w:rsidRDefault="00F057E2" w:rsidP="00F42AE7">
            <w:pPr>
              <w:ind w:left="57"/>
              <w:rPr>
                <w:spacing w:val="-2"/>
              </w:rPr>
            </w:pPr>
            <w:r>
              <w:rPr>
                <w:spacing w:val="-2"/>
              </w:rPr>
              <w:t>Projekts šo jomu neskar</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F42AE7">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F42AE7">
            <w:r w:rsidRPr="00446DAB">
              <w:t xml:space="preserve">14. panta </w:t>
            </w:r>
          </w:p>
          <w:p w:rsidR="00F057E2" w:rsidRPr="00446DAB" w:rsidRDefault="00F057E2" w:rsidP="00F42AE7">
            <w:r w:rsidRPr="00446DAB">
              <w:t>5</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Pr="00053503" w:rsidRDefault="00F057E2" w:rsidP="00F42AE7">
            <w:pPr>
              <w:ind w:left="57"/>
              <w:rPr>
                <w:spacing w:val="-2"/>
              </w:rPr>
            </w:pPr>
            <w:r>
              <w:rPr>
                <w:spacing w:val="-2"/>
              </w:rPr>
              <w:t>Projekts šo jomu neskar.</w:t>
            </w:r>
          </w:p>
        </w:tc>
        <w:tc>
          <w:tcPr>
            <w:tcW w:w="854" w:type="pct"/>
            <w:tcBorders>
              <w:top w:val="outset" w:sz="6" w:space="0" w:color="auto"/>
              <w:left w:val="outset" w:sz="6" w:space="0" w:color="auto"/>
              <w:bottom w:val="outset" w:sz="6" w:space="0" w:color="auto"/>
              <w:right w:val="outset" w:sz="6" w:space="0" w:color="auto"/>
            </w:tcBorders>
          </w:tcPr>
          <w:p w:rsidR="00F057E2" w:rsidRPr="00053503" w:rsidRDefault="00F057E2" w:rsidP="00F42AE7">
            <w:pPr>
              <w:ind w:left="57"/>
              <w:rPr>
                <w:spacing w:val="-2"/>
              </w:rPr>
            </w:pPr>
            <w:r>
              <w:rPr>
                <w:spacing w:val="-2"/>
              </w:rPr>
              <w:t>Projekts šo jomu neskar</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F42AE7">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F42AE7">
            <w:r w:rsidRPr="00446DAB">
              <w:t xml:space="preserve">15. panta </w:t>
            </w:r>
          </w:p>
          <w:p w:rsidR="00F057E2" w:rsidRPr="00446DAB" w:rsidRDefault="00F057E2" w:rsidP="00F42AE7">
            <w:r w:rsidRPr="00446DAB">
              <w:t>1</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Default="006E48DA" w:rsidP="00F42AE7">
            <w:pPr>
              <w:ind w:left="57"/>
              <w:rPr>
                <w:spacing w:val="-2"/>
              </w:rPr>
            </w:pPr>
            <w:r>
              <w:rPr>
                <w:spacing w:val="-2"/>
              </w:rPr>
              <w:t>21</w:t>
            </w:r>
            <w:r w:rsidR="00F057E2">
              <w:rPr>
                <w:spacing w:val="-2"/>
              </w:rPr>
              <w:t xml:space="preserve">., </w:t>
            </w:r>
            <w:r>
              <w:rPr>
                <w:spacing w:val="-2"/>
              </w:rPr>
              <w:t>22</w:t>
            </w:r>
            <w:r w:rsidR="00F057E2">
              <w:rPr>
                <w:spacing w:val="-2"/>
              </w:rPr>
              <w:t xml:space="preserve">., </w:t>
            </w:r>
            <w:r>
              <w:rPr>
                <w:spacing w:val="-2"/>
              </w:rPr>
              <w:t>23</w:t>
            </w:r>
            <w:r w:rsidR="00F057E2">
              <w:rPr>
                <w:spacing w:val="-2"/>
              </w:rPr>
              <w:t>. punkts;</w:t>
            </w:r>
          </w:p>
          <w:p w:rsidR="00F057E2" w:rsidRPr="00053503" w:rsidRDefault="00F057E2" w:rsidP="00F42AE7">
            <w:pPr>
              <w:ind w:left="57"/>
              <w:rPr>
                <w:spacing w:val="-2"/>
              </w:rPr>
            </w:pPr>
            <w:r>
              <w:rPr>
                <w:spacing w:val="-2"/>
              </w:rPr>
              <w:t>EEEL 11</w:t>
            </w:r>
            <w:r w:rsidRPr="00053503">
              <w:rPr>
                <w:spacing w:val="-2"/>
              </w:rPr>
              <w:t xml:space="preserve">. pants </w:t>
            </w:r>
          </w:p>
        </w:tc>
        <w:tc>
          <w:tcPr>
            <w:tcW w:w="854" w:type="pct"/>
            <w:tcBorders>
              <w:top w:val="outset" w:sz="6" w:space="0" w:color="auto"/>
              <w:left w:val="outset" w:sz="6" w:space="0" w:color="auto"/>
              <w:bottom w:val="outset" w:sz="6" w:space="0" w:color="auto"/>
              <w:right w:val="outset" w:sz="6" w:space="0" w:color="auto"/>
            </w:tcBorders>
          </w:tcPr>
          <w:p w:rsidR="00F057E2" w:rsidRPr="00053503" w:rsidRDefault="00F057E2" w:rsidP="00F42AE7">
            <w:pPr>
              <w:ind w:left="57"/>
              <w:rPr>
                <w:spacing w:val="-2"/>
              </w:rPr>
            </w:pPr>
            <w:r>
              <w:rPr>
                <w:spacing w:val="-2"/>
              </w:rPr>
              <w:t>Pārņemta pilnībā</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F42AE7">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F42AE7">
            <w:r w:rsidRPr="00446DAB">
              <w:t xml:space="preserve">15. panta </w:t>
            </w:r>
          </w:p>
          <w:p w:rsidR="00F057E2" w:rsidRPr="00446DAB" w:rsidRDefault="00F057E2" w:rsidP="00F42AE7">
            <w:r w:rsidRPr="00446DAB">
              <w:t>2</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Pr="00053503" w:rsidRDefault="006E48DA" w:rsidP="006E48DA">
            <w:pPr>
              <w:ind w:left="57"/>
              <w:rPr>
                <w:spacing w:val="-2"/>
              </w:rPr>
            </w:pPr>
            <w:r>
              <w:rPr>
                <w:spacing w:val="-2"/>
              </w:rPr>
              <w:t>23</w:t>
            </w:r>
            <w:r w:rsidR="00F057E2">
              <w:rPr>
                <w:spacing w:val="-2"/>
              </w:rPr>
              <w:t>. punkts</w:t>
            </w:r>
          </w:p>
        </w:tc>
        <w:tc>
          <w:tcPr>
            <w:tcW w:w="854" w:type="pct"/>
            <w:tcBorders>
              <w:top w:val="outset" w:sz="6" w:space="0" w:color="auto"/>
              <w:left w:val="outset" w:sz="6" w:space="0" w:color="auto"/>
              <w:bottom w:val="outset" w:sz="6" w:space="0" w:color="auto"/>
              <w:right w:val="outset" w:sz="6" w:space="0" w:color="auto"/>
            </w:tcBorders>
          </w:tcPr>
          <w:p w:rsidR="00F057E2" w:rsidRPr="00053503" w:rsidRDefault="00F057E2" w:rsidP="00F42AE7">
            <w:pPr>
              <w:ind w:left="57"/>
              <w:rPr>
                <w:spacing w:val="-2"/>
              </w:rPr>
            </w:pPr>
            <w:r>
              <w:rPr>
                <w:spacing w:val="-2"/>
              </w:rPr>
              <w:t>Pārņemta pilnībā</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F42AE7">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F42AE7">
            <w:r w:rsidRPr="00446DAB">
              <w:t xml:space="preserve">15. panta </w:t>
            </w:r>
          </w:p>
          <w:p w:rsidR="00F057E2" w:rsidRPr="00446DAB" w:rsidRDefault="00F057E2" w:rsidP="00F42AE7">
            <w:r w:rsidRPr="00446DAB">
              <w:t>3</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Pr="00053503" w:rsidRDefault="006E48DA" w:rsidP="006E48DA">
            <w:pPr>
              <w:ind w:left="57"/>
              <w:rPr>
                <w:spacing w:val="-2"/>
              </w:rPr>
            </w:pPr>
            <w:r>
              <w:rPr>
                <w:spacing w:val="-2"/>
              </w:rPr>
              <w:t>23</w:t>
            </w:r>
            <w:r w:rsidR="00F057E2">
              <w:rPr>
                <w:spacing w:val="-2"/>
              </w:rPr>
              <w:t>. punkts</w:t>
            </w:r>
          </w:p>
        </w:tc>
        <w:tc>
          <w:tcPr>
            <w:tcW w:w="854" w:type="pct"/>
            <w:tcBorders>
              <w:top w:val="outset" w:sz="6" w:space="0" w:color="auto"/>
              <w:left w:val="outset" w:sz="6" w:space="0" w:color="auto"/>
              <w:bottom w:val="outset" w:sz="6" w:space="0" w:color="auto"/>
              <w:right w:val="outset" w:sz="6" w:space="0" w:color="auto"/>
            </w:tcBorders>
          </w:tcPr>
          <w:p w:rsidR="00F057E2" w:rsidRPr="00053503" w:rsidRDefault="00F057E2" w:rsidP="00F42AE7">
            <w:pPr>
              <w:ind w:left="57"/>
              <w:rPr>
                <w:spacing w:val="-2"/>
              </w:rPr>
            </w:pPr>
            <w:r>
              <w:rPr>
                <w:spacing w:val="-2"/>
              </w:rPr>
              <w:t>Pārņemta pilnībā</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F42AE7">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F42AE7">
            <w:r w:rsidRPr="00446DAB">
              <w:t xml:space="preserve">15. panta </w:t>
            </w:r>
          </w:p>
          <w:p w:rsidR="00F057E2" w:rsidRPr="00446DAB" w:rsidRDefault="00F057E2" w:rsidP="00F42AE7">
            <w:r w:rsidRPr="00446DAB">
              <w:t>4</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Pr="00053503" w:rsidRDefault="00F057E2" w:rsidP="00F42AE7">
            <w:pPr>
              <w:ind w:left="57"/>
              <w:rPr>
                <w:spacing w:val="-2"/>
              </w:rPr>
            </w:pPr>
            <w:r>
              <w:rPr>
                <w:spacing w:val="-2"/>
              </w:rPr>
              <w:t>Projekts šo jomu neskar</w:t>
            </w:r>
          </w:p>
        </w:tc>
        <w:tc>
          <w:tcPr>
            <w:tcW w:w="854" w:type="pct"/>
            <w:tcBorders>
              <w:top w:val="outset" w:sz="6" w:space="0" w:color="auto"/>
              <w:left w:val="outset" w:sz="6" w:space="0" w:color="auto"/>
              <w:bottom w:val="outset" w:sz="6" w:space="0" w:color="auto"/>
              <w:right w:val="outset" w:sz="6" w:space="0" w:color="auto"/>
            </w:tcBorders>
          </w:tcPr>
          <w:p w:rsidR="00F057E2" w:rsidRPr="00053503" w:rsidRDefault="00F057E2" w:rsidP="00F42AE7">
            <w:pPr>
              <w:ind w:left="57"/>
              <w:rPr>
                <w:spacing w:val="-2"/>
              </w:rPr>
            </w:pPr>
            <w:r>
              <w:rPr>
                <w:spacing w:val="-2"/>
              </w:rPr>
              <w:t>Projekts šo jomu neskar</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F42AE7">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F42AE7">
            <w:r w:rsidRPr="00446DAB">
              <w:t xml:space="preserve">15. panta </w:t>
            </w:r>
          </w:p>
          <w:p w:rsidR="00F057E2" w:rsidRPr="00446DAB" w:rsidRDefault="00F057E2" w:rsidP="00F42AE7">
            <w:r w:rsidRPr="00446DAB">
              <w:t>5</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Pr="00053503" w:rsidRDefault="00F057E2" w:rsidP="00F42AE7">
            <w:pPr>
              <w:ind w:left="57"/>
              <w:rPr>
                <w:spacing w:val="-2"/>
              </w:rPr>
            </w:pPr>
            <w:r>
              <w:rPr>
                <w:spacing w:val="-2"/>
              </w:rPr>
              <w:t>Projekts šo jomu neskar</w:t>
            </w:r>
          </w:p>
        </w:tc>
        <w:tc>
          <w:tcPr>
            <w:tcW w:w="854" w:type="pct"/>
            <w:tcBorders>
              <w:top w:val="outset" w:sz="6" w:space="0" w:color="auto"/>
              <w:left w:val="outset" w:sz="6" w:space="0" w:color="auto"/>
              <w:bottom w:val="outset" w:sz="6" w:space="0" w:color="auto"/>
              <w:right w:val="outset" w:sz="6" w:space="0" w:color="auto"/>
            </w:tcBorders>
          </w:tcPr>
          <w:p w:rsidR="00F057E2" w:rsidRPr="00053503" w:rsidRDefault="00F057E2" w:rsidP="00F42AE7">
            <w:pPr>
              <w:ind w:left="57"/>
              <w:rPr>
                <w:spacing w:val="-2"/>
              </w:rPr>
            </w:pPr>
            <w:r>
              <w:rPr>
                <w:spacing w:val="-2"/>
              </w:rPr>
              <w:t>Projekts šo jomu neskar</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F42AE7">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F42AE7">
            <w:r w:rsidRPr="00446DAB">
              <w:t xml:space="preserve">16. panta </w:t>
            </w:r>
          </w:p>
          <w:p w:rsidR="00F057E2" w:rsidRPr="00446DAB" w:rsidRDefault="00F057E2" w:rsidP="00F42AE7">
            <w:r w:rsidRPr="00446DAB">
              <w:t>1</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Default="006E48DA" w:rsidP="00F42AE7">
            <w:pPr>
              <w:ind w:left="57"/>
              <w:rPr>
                <w:spacing w:val="-2"/>
              </w:rPr>
            </w:pPr>
            <w:r>
              <w:rPr>
                <w:spacing w:val="-2"/>
              </w:rPr>
              <w:t>23</w:t>
            </w:r>
            <w:r w:rsidR="00F057E2">
              <w:rPr>
                <w:spacing w:val="-2"/>
              </w:rPr>
              <w:t xml:space="preserve">. un </w:t>
            </w:r>
            <w:r>
              <w:rPr>
                <w:spacing w:val="-2"/>
              </w:rPr>
              <w:t>25</w:t>
            </w:r>
            <w:r w:rsidR="00F057E2">
              <w:rPr>
                <w:spacing w:val="-2"/>
              </w:rPr>
              <w:t>. punkts;</w:t>
            </w:r>
          </w:p>
          <w:p w:rsidR="00F057E2" w:rsidRPr="000656E5" w:rsidRDefault="00F057E2" w:rsidP="00F42AE7">
            <w:pPr>
              <w:ind w:left="57"/>
              <w:rPr>
                <w:spacing w:val="-2"/>
              </w:rPr>
            </w:pPr>
            <w:r>
              <w:rPr>
                <w:spacing w:val="-2"/>
              </w:rPr>
              <w:t>EEEL 11</w:t>
            </w:r>
            <w:r w:rsidRPr="000656E5">
              <w:rPr>
                <w:spacing w:val="-2"/>
              </w:rPr>
              <w:t>. panta 2. daļa</w:t>
            </w:r>
          </w:p>
        </w:tc>
        <w:tc>
          <w:tcPr>
            <w:tcW w:w="854" w:type="pct"/>
            <w:tcBorders>
              <w:top w:val="outset" w:sz="6" w:space="0" w:color="auto"/>
              <w:left w:val="outset" w:sz="6" w:space="0" w:color="auto"/>
              <w:bottom w:val="outset" w:sz="6" w:space="0" w:color="auto"/>
              <w:right w:val="outset" w:sz="6" w:space="0" w:color="auto"/>
            </w:tcBorders>
          </w:tcPr>
          <w:p w:rsidR="00F057E2" w:rsidRPr="000656E5" w:rsidRDefault="00F057E2" w:rsidP="00F42AE7">
            <w:pPr>
              <w:ind w:left="57"/>
              <w:rPr>
                <w:spacing w:val="-2"/>
              </w:rPr>
            </w:pPr>
            <w:r>
              <w:rPr>
                <w:spacing w:val="-2"/>
              </w:rPr>
              <w:t>Pārņemta pilnībā</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F42AE7">
            <w:pPr>
              <w:ind w:left="57"/>
              <w:rPr>
                <w:spacing w:val="-2"/>
              </w:rPr>
            </w:pPr>
            <w:r w:rsidRPr="00446DAB">
              <w:t>Projekts nenosaka stingrākas prasības nekā attiecīgais ES tiesību akts</w:t>
            </w:r>
          </w:p>
        </w:tc>
      </w:tr>
      <w:tr w:rsidR="00F057E2" w:rsidRPr="0098167B" w:rsidTr="00131EC7">
        <w:tc>
          <w:tcPr>
            <w:tcW w:w="792" w:type="pct"/>
            <w:tcBorders>
              <w:top w:val="outset" w:sz="6" w:space="0" w:color="auto"/>
              <w:left w:val="outset" w:sz="6" w:space="0" w:color="auto"/>
              <w:bottom w:val="outset" w:sz="6" w:space="0" w:color="auto"/>
              <w:right w:val="outset" w:sz="6" w:space="0" w:color="auto"/>
            </w:tcBorders>
          </w:tcPr>
          <w:p w:rsidR="00F057E2" w:rsidRDefault="00F057E2" w:rsidP="00F42AE7">
            <w:r w:rsidRPr="00446DAB">
              <w:t xml:space="preserve">16. panta </w:t>
            </w:r>
          </w:p>
          <w:p w:rsidR="00F057E2" w:rsidRPr="00446DAB" w:rsidRDefault="00F057E2" w:rsidP="00F42AE7">
            <w:r w:rsidRPr="00446DAB">
              <w:t>2</w:t>
            </w:r>
            <w:r>
              <w:t>.</w:t>
            </w:r>
            <w:r w:rsidRPr="00446DAB">
              <w:t xml:space="preserve"> daļa</w:t>
            </w:r>
          </w:p>
        </w:tc>
        <w:tc>
          <w:tcPr>
            <w:tcW w:w="1243" w:type="pct"/>
            <w:tcBorders>
              <w:top w:val="outset" w:sz="6" w:space="0" w:color="auto"/>
              <w:left w:val="outset" w:sz="6" w:space="0" w:color="auto"/>
              <w:bottom w:val="outset" w:sz="6" w:space="0" w:color="auto"/>
              <w:right w:val="outset" w:sz="6" w:space="0" w:color="auto"/>
            </w:tcBorders>
          </w:tcPr>
          <w:p w:rsidR="00F057E2" w:rsidRPr="0098167B" w:rsidRDefault="00F057E2" w:rsidP="00F42AE7">
            <w:pPr>
              <w:ind w:left="57"/>
              <w:rPr>
                <w:spacing w:val="-2"/>
                <w:highlight w:val="yellow"/>
              </w:rPr>
            </w:pPr>
            <w:r>
              <w:rPr>
                <w:spacing w:val="-2"/>
              </w:rPr>
              <w:t>EEEL 13. panta 1. daļas 1. punkts</w:t>
            </w:r>
          </w:p>
        </w:tc>
        <w:tc>
          <w:tcPr>
            <w:tcW w:w="854" w:type="pct"/>
            <w:tcBorders>
              <w:top w:val="outset" w:sz="6" w:space="0" w:color="auto"/>
              <w:left w:val="outset" w:sz="6" w:space="0" w:color="auto"/>
              <w:bottom w:val="outset" w:sz="6" w:space="0" w:color="auto"/>
              <w:right w:val="outset" w:sz="6" w:space="0" w:color="auto"/>
            </w:tcBorders>
          </w:tcPr>
          <w:p w:rsidR="00F057E2" w:rsidRPr="0098167B" w:rsidRDefault="00F057E2" w:rsidP="00F42AE7">
            <w:pPr>
              <w:ind w:left="57"/>
              <w:rPr>
                <w:spacing w:val="-2"/>
                <w:highlight w:val="yellow"/>
              </w:rPr>
            </w:pPr>
            <w:r>
              <w:rPr>
                <w:spacing w:val="-2"/>
              </w:rPr>
              <w:t>Pārņemta pilnībā</w:t>
            </w:r>
          </w:p>
        </w:tc>
        <w:tc>
          <w:tcPr>
            <w:tcW w:w="2111" w:type="pct"/>
            <w:tcBorders>
              <w:top w:val="outset" w:sz="6" w:space="0" w:color="auto"/>
              <w:left w:val="outset" w:sz="6" w:space="0" w:color="auto"/>
              <w:bottom w:val="outset" w:sz="6" w:space="0" w:color="auto"/>
              <w:right w:val="outset" w:sz="6" w:space="0" w:color="auto"/>
            </w:tcBorders>
          </w:tcPr>
          <w:p w:rsidR="00F057E2" w:rsidRPr="0040621C" w:rsidRDefault="00F057E2" w:rsidP="00CD2B5B">
            <w:pPr>
              <w:ind w:left="57"/>
              <w:rPr>
                <w:spacing w:val="-2"/>
              </w:rPr>
            </w:pPr>
            <w:r w:rsidRPr="00446DAB">
              <w:t>Projekts nenosaka stingrākas prasības nekā attiecīgais ES tiesību akts</w:t>
            </w:r>
          </w:p>
        </w:tc>
      </w:tr>
      <w:tr w:rsidR="00F057E2" w:rsidRPr="0098167B" w:rsidTr="00131EC7">
        <w:tc>
          <w:tcPr>
            <w:tcW w:w="2035" w:type="pct"/>
            <w:gridSpan w:val="2"/>
            <w:tcBorders>
              <w:top w:val="outset" w:sz="6" w:space="0" w:color="auto"/>
              <w:left w:val="outset" w:sz="6" w:space="0" w:color="auto"/>
              <w:bottom w:val="outset" w:sz="6" w:space="0" w:color="auto"/>
              <w:right w:val="outset" w:sz="6" w:space="0" w:color="auto"/>
            </w:tcBorders>
          </w:tcPr>
          <w:p w:rsidR="00F057E2" w:rsidRPr="00287783" w:rsidRDefault="00F057E2" w:rsidP="00CD2B5B">
            <w:pPr>
              <w:ind w:left="57"/>
              <w:rPr>
                <w:spacing w:val="-3"/>
              </w:rPr>
            </w:pPr>
            <w:r w:rsidRPr="00287783">
              <w:rPr>
                <w:spacing w:val="-3"/>
              </w:rPr>
              <w:t>Kā ir izmantota ES tiesību aktā paredzētā rīcības brīvība dalībvalstij pārņemt vai ieviest noteiktas ES tiesību akta normas?</w:t>
            </w:r>
          </w:p>
          <w:p w:rsidR="00F057E2" w:rsidRPr="00287783" w:rsidRDefault="00F057E2" w:rsidP="00CD2B5B">
            <w:pPr>
              <w:ind w:left="57"/>
              <w:rPr>
                <w:spacing w:val="-3"/>
              </w:rPr>
            </w:pPr>
            <w:r w:rsidRPr="00287783">
              <w:rPr>
                <w:spacing w:val="-3"/>
              </w:rPr>
              <w:t>Kādēļ?</w:t>
            </w:r>
          </w:p>
        </w:tc>
        <w:tc>
          <w:tcPr>
            <w:tcW w:w="2965" w:type="pct"/>
            <w:gridSpan w:val="2"/>
            <w:tcBorders>
              <w:top w:val="outset" w:sz="6" w:space="0" w:color="auto"/>
              <w:left w:val="outset" w:sz="6" w:space="0" w:color="auto"/>
              <w:bottom w:val="outset" w:sz="6" w:space="0" w:color="auto"/>
              <w:right w:val="outset" w:sz="6" w:space="0" w:color="auto"/>
            </w:tcBorders>
          </w:tcPr>
          <w:p w:rsidR="00F057E2" w:rsidRPr="00287783" w:rsidRDefault="00F057E2" w:rsidP="008C5EFD">
            <w:pPr>
              <w:ind w:left="57"/>
              <w:jc w:val="both"/>
            </w:pPr>
            <w:r w:rsidRPr="00287783">
              <w:t>Direktīv</w:t>
            </w:r>
            <w:r>
              <w:t>ā</w:t>
            </w:r>
            <w:r w:rsidRPr="00287783">
              <w:t xml:space="preserve"> 2010/31/ES</w:t>
            </w:r>
            <w:r>
              <w:t xml:space="preserve"> paredzētā rīcības brīvība piemērota sekojoši – 11. panta 6. un 7. punktā dotā rīcības brīvība ēkas daļu vai viendzīvokļa māju energosertifikācijai izmantot cita līdzvērtīga dzīvokļa vai mājas energosertifikātu nav izmantota, jo Latvijā ēkas daļu (</w:t>
            </w:r>
            <w:proofErr w:type="spellStart"/>
            <w:r>
              <w:t>t.sk</w:t>
            </w:r>
            <w:proofErr w:type="spellEnd"/>
            <w:r>
              <w:t xml:space="preserve">. dzīvokļu) energosertifikāts nepieciešams tikai gadījumos, ja attiecīgai ēkas daļai ir </w:t>
            </w:r>
            <w:r w:rsidRPr="00131EC7">
              <w:t>individuāla energonesēja vai siltumenerģijas uzskaite</w:t>
            </w:r>
            <w:r>
              <w:t>, kā arī šobrīd tipveida ēku apbūve nav izplatīta.</w:t>
            </w:r>
          </w:p>
        </w:tc>
      </w:tr>
      <w:tr w:rsidR="00F057E2" w:rsidRPr="0098167B" w:rsidTr="00131EC7">
        <w:tc>
          <w:tcPr>
            <w:tcW w:w="2035" w:type="pct"/>
            <w:gridSpan w:val="2"/>
            <w:tcBorders>
              <w:top w:val="outset" w:sz="6" w:space="0" w:color="auto"/>
              <w:left w:val="outset" w:sz="6" w:space="0" w:color="auto"/>
              <w:bottom w:val="outset" w:sz="6" w:space="0" w:color="auto"/>
              <w:right w:val="outset" w:sz="6" w:space="0" w:color="auto"/>
            </w:tcBorders>
          </w:tcPr>
          <w:p w:rsidR="00F057E2" w:rsidRPr="00287783" w:rsidRDefault="00F057E2" w:rsidP="00CD2B5B">
            <w:pPr>
              <w:ind w:left="57"/>
              <w:rPr>
                <w:spacing w:val="-3"/>
              </w:rPr>
            </w:pPr>
            <w:r w:rsidRPr="00287783">
              <w:rPr>
                <w:spacing w:val="-4"/>
              </w:rPr>
              <w:t xml:space="preserve">Saistības sniegt paziņojumu ES institūcijām un ES dalībvalstīm atbilstoši normatīvajiem aktiem, kas regulē informācijas sniegšanu par tehnisko noteikumu, valsts atbalsta </w:t>
            </w:r>
            <w:r w:rsidRPr="00287783">
              <w:rPr>
                <w:spacing w:val="-4"/>
              </w:rPr>
              <w:lastRenderedPageBreak/>
              <w:t>piešķiršanas un finanšu noteikumu (attiecībā uz monetāro politiku) projektiem</w:t>
            </w:r>
          </w:p>
        </w:tc>
        <w:tc>
          <w:tcPr>
            <w:tcW w:w="2965" w:type="pct"/>
            <w:gridSpan w:val="2"/>
            <w:tcBorders>
              <w:top w:val="outset" w:sz="6" w:space="0" w:color="auto"/>
              <w:left w:val="outset" w:sz="6" w:space="0" w:color="auto"/>
              <w:bottom w:val="outset" w:sz="6" w:space="0" w:color="auto"/>
              <w:right w:val="outset" w:sz="6" w:space="0" w:color="auto"/>
            </w:tcBorders>
          </w:tcPr>
          <w:p w:rsidR="00F057E2" w:rsidRPr="00287783" w:rsidRDefault="00F057E2" w:rsidP="00CD2B5B">
            <w:pPr>
              <w:ind w:left="57"/>
            </w:pPr>
            <w:r w:rsidRPr="00287783">
              <w:lastRenderedPageBreak/>
              <w:t>Projekts šo jomu neskar.</w:t>
            </w:r>
          </w:p>
        </w:tc>
      </w:tr>
      <w:tr w:rsidR="00F057E2" w:rsidRPr="00177449" w:rsidTr="00131EC7">
        <w:tc>
          <w:tcPr>
            <w:tcW w:w="2035" w:type="pct"/>
            <w:gridSpan w:val="2"/>
            <w:tcBorders>
              <w:top w:val="outset" w:sz="6" w:space="0" w:color="auto"/>
              <w:left w:val="outset" w:sz="6" w:space="0" w:color="auto"/>
              <w:bottom w:val="outset" w:sz="6" w:space="0" w:color="auto"/>
              <w:right w:val="outset" w:sz="6" w:space="0" w:color="auto"/>
            </w:tcBorders>
          </w:tcPr>
          <w:p w:rsidR="00F057E2" w:rsidRPr="00287783" w:rsidRDefault="00F057E2" w:rsidP="00CD2B5B">
            <w:pPr>
              <w:ind w:left="57"/>
            </w:pPr>
            <w:r w:rsidRPr="00287783">
              <w:lastRenderedPageBreak/>
              <w:t>Cita informācija</w:t>
            </w:r>
          </w:p>
        </w:tc>
        <w:tc>
          <w:tcPr>
            <w:tcW w:w="2965" w:type="pct"/>
            <w:gridSpan w:val="2"/>
            <w:tcBorders>
              <w:top w:val="outset" w:sz="6" w:space="0" w:color="auto"/>
              <w:left w:val="outset" w:sz="6" w:space="0" w:color="auto"/>
              <w:bottom w:val="outset" w:sz="6" w:space="0" w:color="auto"/>
              <w:right w:val="outset" w:sz="6" w:space="0" w:color="auto"/>
            </w:tcBorders>
          </w:tcPr>
          <w:p w:rsidR="00F057E2" w:rsidRPr="00287783" w:rsidRDefault="00F057E2" w:rsidP="00CD2B5B">
            <w:pPr>
              <w:ind w:left="57"/>
            </w:pPr>
            <w:r>
              <w:t>Nav</w:t>
            </w:r>
          </w:p>
        </w:tc>
      </w:tr>
    </w:tbl>
    <w:p w:rsidR="00B8658B" w:rsidRPr="00177449" w:rsidRDefault="00B8658B" w:rsidP="00B8658B"/>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127"/>
      </w:tblGrid>
      <w:tr w:rsidR="00B8658B" w:rsidRPr="00177449" w:rsidTr="00B8658B">
        <w:trPr>
          <w:trHeight w:val="20"/>
        </w:trPr>
        <w:tc>
          <w:tcPr>
            <w:tcW w:w="0" w:type="auto"/>
            <w:tcBorders>
              <w:top w:val="outset" w:sz="6" w:space="0" w:color="auto"/>
              <w:left w:val="outset" w:sz="6" w:space="0" w:color="auto"/>
              <w:bottom w:val="outset" w:sz="6" w:space="0" w:color="auto"/>
              <w:right w:val="outset" w:sz="6" w:space="0" w:color="auto"/>
            </w:tcBorders>
            <w:vAlign w:val="center"/>
          </w:tcPr>
          <w:p w:rsidR="00B8658B" w:rsidRPr="00177449" w:rsidRDefault="00B8658B" w:rsidP="00B8658B">
            <w:pPr>
              <w:ind w:left="57"/>
              <w:jc w:val="center"/>
              <w:rPr>
                <w:b/>
              </w:rPr>
            </w:pPr>
            <w:r w:rsidRPr="00177449">
              <w:rPr>
                <w:b/>
              </w:rPr>
              <w:t>2.tabula</w:t>
            </w:r>
          </w:p>
          <w:p w:rsidR="00B8658B" w:rsidRPr="00177449" w:rsidRDefault="00B8658B" w:rsidP="00B8658B">
            <w:pPr>
              <w:ind w:left="57"/>
              <w:jc w:val="center"/>
              <w:rPr>
                <w:b/>
              </w:rPr>
            </w:pPr>
            <w:r w:rsidRPr="00177449">
              <w:rPr>
                <w:b/>
              </w:rPr>
              <w:t>Ar tiesību akta projektu izpildītās vai uzņemtās saistības, kas izriet no starptautiskajiem tiesību aktiem vai starptautiskas institūcijas vai organizācijas dokumentiem.</w:t>
            </w:r>
          </w:p>
          <w:p w:rsidR="00B8658B" w:rsidRPr="00177449" w:rsidRDefault="00B8658B" w:rsidP="00B8658B">
            <w:pPr>
              <w:ind w:left="57"/>
              <w:jc w:val="center"/>
              <w:rPr>
                <w:b/>
              </w:rPr>
            </w:pPr>
            <w:r w:rsidRPr="00177449">
              <w:rPr>
                <w:b/>
              </w:rPr>
              <w:t>Pasākumi šo saistību izpildei</w:t>
            </w:r>
          </w:p>
        </w:tc>
      </w:tr>
      <w:tr w:rsidR="00B8658B" w:rsidRPr="00177449" w:rsidTr="00B8658B">
        <w:trPr>
          <w:trHeight w:val="20"/>
        </w:trPr>
        <w:tc>
          <w:tcPr>
            <w:tcW w:w="0" w:type="auto"/>
            <w:tcBorders>
              <w:top w:val="outset" w:sz="6" w:space="0" w:color="auto"/>
              <w:left w:val="outset" w:sz="6" w:space="0" w:color="auto"/>
              <w:bottom w:val="outset" w:sz="6" w:space="0" w:color="auto"/>
              <w:right w:val="outset" w:sz="6" w:space="0" w:color="auto"/>
            </w:tcBorders>
            <w:vAlign w:val="center"/>
          </w:tcPr>
          <w:p w:rsidR="00B8658B" w:rsidRPr="00177449" w:rsidRDefault="00B8658B" w:rsidP="00B8658B">
            <w:pPr>
              <w:spacing w:before="120" w:after="120"/>
              <w:ind w:left="57"/>
              <w:jc w:val="center"/>
            </w:pPr>
            <w:r w:rsidRPr="00177449">
              <w:t>Projekts šo jomu neskar</w:t>
            </w:r>
            <w:r>
              <w:t>.</w:t>
            </w:r>
          </w:p>
        </w:tc>
      </w:tr>
    </w:tbl>
    <w:p w:rsidR="00A074CA" w:rsidRDefault="00A074CA" w:rsidP="00B8658B">
      <w:pPr>
        <w:pStyle w:val="naisf"/>
        <w:spacing w:before="0" w:after="0"/>
        <w:jc w:val="center"/>
        <w:rPr>
          <w:b/>
        </w:rPr>
      </w:pPr>
    </w:p>
    <w:p w:rsidR="00A074CA" w:rsidRPr="00177449" w:rsidRDefault="00A074CA" w:rsidP="00B8658B">
      <w:pPr>
        <w:pStyle w:val="naisf"/>
        <w:spacing w:before="0" w:after="0"/>
        <w:jc w:val="center"/>
        <w:rPr>
          <w:b/>
        </w:rPr>
      </w:pPr>
    </w:p>
    <w:tbl>
      <w:tblPr>
        <w:tblW w:w="5025"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6"/>
        <w:gridCol w:w="4044"/>
        <w:gridCol w:w="4846"/>
      </w:tblGrid>
      <w:tr w:rsidR="00B8658B" w:rsidRPr="00177449" w:rsidTr="00B8658B">
        <w:tc>
          <w:tcPr>
            <w:tcW w:w="0" w:type="auto"/>
            <w:gridSpan w:val="3"/>
          </w:tcPr>
          <w:p w:rsidR="00B8658B" w:rsidRPr="00177449" w:rsidRDefault="00B8658B" w:rsidP="00B8658B">
            <w:pPr>
              <w:pStyle w:val="naisnod"/>
              <w:spacing w:before="120" w:after="120"/>
            </w:pPr>
            <w:r w:rsidRPr="00177449">
              <w:t>VI. Sabiedrības līdzdalība un šīs līdzdalības rezultāti</w:t>
            </w:r>
          </w:p>
        </w:tc>
      </w:tr>
      <w:tr w:rsidR="00B8658B" w:rsidRPr="00177449" w:rsidTr="00131EC7">
        <w:tblPrEx>
          <w:tblCellMar>
            <w:top w:w="28" w:type="dxa"/>
            <w:left w:w="28" w:type="dxa"/>
            <w:bottom w:w="28" w:type="dxa"/>
            <w:right w:w="28" w:type="dxa"/>
          </w:tblCellMar>
        </w:tblPrEx>
        <w:tc>
          <w:tcPr>
            <w:tcW w:w="0" w:type="auto"/>
          </w:tcPr>
          <w:p w:rsidR="00B8658B" w:rsidRPr="00177449" w:rsidRDefault="00B8658B" w:rsidP="00B8658B">
            <w:pPr>
              <w:pStyle w:val="naisnod"/>
              <w:spacing w:before="0" w:after="0"/>
              <w:jc w:val="left"/>
              <w:rPr>
                <w:b w:val="0"/>
              </w:rPr>
            </w:pPr>
            <w:r w:rsidRPr="00177449">
              <w:rPr>
                <w:b w:val="0"/>
              </w:rPr>
              <w:t>1.</w:t>
            </w:r>
          </w:p>
        </w:tc>
        <w:tc>
          <w:tcPr>
            <w:tcW w:w="2216" w:type="pct"/>
          </w:tcPr>
          <w:p w:rsidR="00B8658B" w:rsidRPr="00177449" w:rsidRDefault="00B8658B" w:rsidP="00B8658B">
            <w:pPr>
              <w:pStyle w:val="naisf"/>
              <w:spacing w:before="0" w:after="0"/>
              <w:ind w:left="57" w:right="57" w:firstLine="0"/>
              <w:jc w:val="left"/>
            </w:pPr>
            <w:r>
              <w:t>Sabiedrības informēšana par projekta izstrādes uzsākšanu</w:t>
            </w:r>
          </w:p>
        </w:tc>
        <w:tc>
          <w:tcPr>
            <w:tcW w:w="2655" w:type="pct"/>
          </w:tcPr>
          <w:p w:rsidR="00374B83" w:rsidRPr="00374B83" w:rsidRDefault="00B8658B" w:rsidP="00A074CA">
            <w:pPr>
              <w:pStyle w:val="naisnod"/>
              <w:spacing w:before="0" w:after="0"/>
              <w:ind w:left="57" w:right="57"/>
              <w:jc w:val="both"/>
              <w:rPr>
                <w:b w:val="0"/>
              </w:rPr>
            </w:pPr>
            <w:r w:rsidRPr="009908E9">
              <w:rPr>
                <w:b w:val="0"/>
              </w:rPr>
              <w:t xml:space="preserve">    </w:t>
            </w:r>
            <w:r w:rsidR="00374B83">
              <w:rPr>
                <w:b w:val="0"/>
              </w:rPr>
              <w:t>Par</w:t>
            </w:r>
            <w:r w:rsidRPr="009908E9">
              <w:rPr>
                <w:b w:val="0"/>
              </w:rPr>
              <w:t xml:space="preserve"> </w:t>
            </w:r>
            <w:r w:rsidR="002F52B9">
              <w:rPr>
                <w:b w:val="0"/>
              </w:rPr>
              <w:t>noteikumu projekt</w:t>
            </w:r>
            <w:r w:rsidR="00374B83">
              <w:rPr>
                <w:b w:val="0"/>
              </w:rPr>
              <w:t>u</w:t>
            </w:r>
            <w:r>
              <w:rPr>
                <w:b w:val="0"/>
              </w:rPr>
              <w:t xml:space="preserve"> </w:t>
            </w:r>
            <w:r w:rsidR="007636A3">
              <w:rPr>
                <w:b w:val="0"/>
              </w:rPr>
              <w:t xml:space="preserve">nozares </w:t>
            </w:r>
            <w:r w:rsidR="00963222">
              <w:rPr>
                <w:b w:val="0"/>
              </w:rPr>
              <w:t>eksperti</w:t>
            </w:r>
            <w:r w:rsidR="00374B83">
              <w:rPr>
                <w:b w:val="0"/>
              </w:rPr>
              <w:t xml:space="preserve"> tiks informēti izsludin</w:t>
            </w:r>
            <w:r w:rsidR="00A074CA">
              <w:rPr>
                <w:b w:val="0"/>
              </w:rPr>
              <w:t>ot noteikumu projektu</w:t>
            </w:r>
            <w:r w:rsidR="00963222">
              <w:rPr>
                <w:b w:val="0"/>
              </w:rPr>
              <w:t>.</w:t>
            </w:r>
            <w:r w:rsidR="00374B83">
              <w:rPr>
                <w:b w:val="0"/>
              </w:rPr>
              <w:t xml:space="preserve"> </w:t>
            </w:r>
          </w:p>
        </w:tc>
      </w:tr>
      <w:tr w:rsidR="00B8658B" w:rsidRPr="00177449" w:rsidTr="00131EC7">
        <w:tblPrEx>
          <w:tblCellMar>
            <w:top w:w="28" w:type="dxa"/>
            <w:left w:w="28" w:type="dxa"/>
            <w:bottom w:w="28" w:type="dxa"/>
            <w:right w:w="28" w:type="dxa"/>
          </w:tblCellMar>
        </w:tblPrEx>
        <w:tc>
          <w:tcPr>
            <w:tcW w:w="0" w:type="auto"/>
          </w:tcPr>
          <w:p w:rsidR="00B8658B" w:rsidRPr="00177449" w:rsidRDefault="00B8658B" w:rsidP="00B8658B">
            <w:pPr>
              <w:pStyle w:val="naisnod"/>
              <w:spacing w:before="0" w:after="0"/>
              <w:jc w:val="left"/>
              <w:rPr>
                <w:b w:val="0"/>
              </w:rPr>
            </w:pPr>
            <w:r>
              <w:rPr>
                <w:b w:val="0"/>
              </w:rPr>
              <w:t>2</w:t>
            </w:r>
            <w:r w:rsidRPr="00177449">
              <w:rPr>
                <w:b w:val="0"/>
              </w:rPr>
              <w:t>.</w:t>
            </w:r>
          </w:p>
        </w:tc>
        <w:tc>
          <w:tcPr>
            <w:tcW w:w="2216" w:type="pct"/>
          </w:tcPr>
          <w:p w:rsidR="00B8658B" w:rsidRPr="00177449" w:rsidRDefault="00B8658B" w:rsidP="00B8658B">
            <w:pPr>
              <w:pStyle w:val="naisf"/>
              <w:spacing w:before="0" w:after="0"/>
              <w:ind w:left="57" w:right="57" w:firstLine="0"/>
              <w:jc w:val="left"/>
            </w:pPr>
            <w:r>
              <w:t>Sabiedrības līdzdalība projekta izstrādē</w:t>
            </w:r>
          </w:p>
        </w:tc>
        <w:tc>
          <w:tcPr>
            <w:tcW w:w="2655" w:type="pct"/>
          </w:tcPr>
          <w:p w:rsidR="00B8658B" w:rsidRPr="00963222" w:rsidRDefault="00374B83" w:rsidP="00963222">
            <w:pPr>
              <w:autoSpaceDE w:val="0"/>
              <w:autoSpaceDN w:val="0"/>
              <w:adjustRightInd w:val="0"/>
              <w:jc w:val="both"/>
              <w:rPr>
                <w:b/>
              </w:rPr>
            </w:pPr>
            <w:r>
              <w:t xml:space="preserve">  </w:t>
            </w:r>
            <w:r w:rsidR="00A074CA">
              <w:t xml:space="preserve"> </w:t>
            </w:r>
            <w:r w:rsidRPr="009908E9">
              <w:t>Projekts šo jomu neskar.</w:t>
            </w:r>
          </w:p>
        </w:tc>
      </w:tr>
      <w:tr w:rsidR="00B8658B" w:rsidRPr="00177449" w:rsidTr="00131EC7">
        <w:tblPrEx>
          <w:tblCellMar>
            <w:top w:w="28" w:type="dxa"/>
            <w:left w:w="28" w:type="dxa"/>
            <w:bottom w:w="28" w:type="dxa"/>
            <w:right w:w="28" w:type="dxa"/>
          </w:tblCellMar>
        </w:tblPrEx>
        <w:tc>
          <w:tcPr>
            <w:tcW w:w="0" w:type="auto"/>
          </w:tcPr>
          <w:p w:rsidR="00B8658B" w:rsidRPr="00177449" w:rsidRDefault="00B8658B" w:rsidP="00B8658B">
            <w:pPr>
              <w:pStyle w:val="naisnod"/>
              <w:spacing w:before="0" w:after="0"/>
              <w:jc w:val="left"/>
              <w:rPr>
                <w:b w:val="0"/>
              </w:rPr>
            </w:pPr>
            <w:r>
              <w:rPr>
                <w:b w:val="0"/>
              </w:rPr>
              <w:t>3</w:t>
            </w:r>
            <w:r w:rsidRPr="00177449">
              <w:rPr>
                <w:b w:val="0"/>
              </w:rPr>
              <w:t>.</w:t>
            </w:r>
          </w:p>
        </w:tc>
        <w:tc>
          <w:tcPr>
            <w:tcW w:w="2216" w:type="pct"/>
          </w:tcPr>
          <w:p w:rsidR="00B8658B" w:rsidRPr="00177449" w:rsidRDefault="00B8658B" w:rsidP="00B8658B">
            <w:pPr>
              <w:pStyle w:val="naisf"/>
              <w:spacing w:before="0" w:after="0"/>
              <w:ind w:left="57" w:right="57" w:firstLine="0"/>
              <w:jc w:val="left"/>
            </w:pPr>
            <w:r>
              <w:t>Sabiedrības līdzdalības rezultāti</w:t>
            </w:r>
          </w:p>
        </w:tc>
        <w:tc>
          <w:tcPr>
            <w:tcW w:w="2655" w:type="pct"/>
          </w:tcPr>
          <w:p w:rsidR="00B8658B" w:rsidRPr="006F7FD2" w:rsidRDefault="00374B83" w:rsidP="00963222">
            <w:pPr>
              <w:pStyle w:val="naisnod"/>
              <w:spacing w:before="0" w:after="0"/>
              <w:ind w:left="57" w:right="57"/>
              <w:jc w:val="both"/>
              <w:rPr>
                <w:b w:val="0"/>
                <w:highlight w:val="yellow"/>
              </w:rPr>
            </w:pPr>
            <w:r>
              <w:rPr>
                <w:b w:val="0"/>
              </w:rPr>
              <w:t xml:space="preserve">  </w:t>
            </w:r>
            <w:r w:rsidRPr="009908E9">
              <w:rPr>
                <w:b w:val="0"/>
              </w:rPr>
              <w:t>Projekts šo jomu neskar.</w:t>
            </w:r>
          </w:p>
        </w:tc>
      </w:tr>
      <w:tr w:rsidR="00B8658B" w:rsidRPr="00177449" w:rsidTr="00131EC7">
        <w:tblPrEx>
          <w:tblCellMar>
            <w:top w:w="28" w:type="dxa"/>
            <w:left w:w="28" w:type="dxa"/>
            <w:bottom w:w="28" w:type="dxa"/>
            <w:right w:w="28" w:type="dxa"/>
          </w:tblCellMar>
        </w:tblPrEx>
        <w:tc>
          <w:tcPr>
            <w:tcW w:w="0" w:type="auto"/>
          </w:tcPr>
          <w:p w:rsidR="00B8658B" w:rsidRPr="00177449" w:rsidRDefault="00B8658B" w:rsidP="00B8658B">
            <w:pPr>
              <w:pStyle w:val="naisnod"/>
              <w:spacing w:before="0" w:after="0"/>
              <w:jc w:val="left"/>
              <w:rPr>
                <w:b w:val="0"/>
              </w:rPr>
            </w:pPr>
            <w:r>
              <w:rPr>
                <w:b w:val="0"/>
              </w:rPr>
              <w:t>4</w:t>
            </w:r>
            <w:r w:rsidRPr="00177449">
              <w:rPr>
                <w:b w:val="0"/>
              </w:rPr>
              <w:t>.</w:t>
            </w:r>
          </w:p>
        </w:tc>
        <w:tc>
          <w:tcPr>
            <w:tcW w:w="2216" w:type="pct"/>
          </w:tcPr>
          <w:p w:rsidR="00B8658B" w:rsidRPr="00177449" w:rsidRDefault="00B8658B" w:rsidP="00B8658B">
            <w:pPr>
              <w:pStyle w:val="naisf"/>
              <w:spacing w:before="0" w:after="0"/>
              <w:ind w:left="57" w:right="57" w:firstLine="0"/>
              <w:jc w:val="left"/>
            </w:pPr>
            <w:r>
              <w:t>Saeimas un ekspertu līdzdalība</w:t>
            </w:r>
          </w:p>
        </w:tc>
        <w:tc>
          <w:tcPr>
            <w:tcW w:w="2655" w:type="pct"/>
          </w:tcPr>
          <w:p w:rsidR="00B8658B" w:rsidRPr="009908E9" w:rsidRDefault="00B8658B" w:rsidP="00B8658B">
            <w:pPr>
              <w:pStyle w:val="naisnod"/>
              <w:spacing w:before="0" w:after="0"/>
              <w:ind w:left="57" w:right="57"/>
              <w:jc w:val="both"/>
              <w:rPr>
                <w:b w:val="0"/>
              </w:rPr>
            </w:pPr>
            <w:r>
              <w:rPr>
                <w:b w:val="0"/>
              </w:rPr>
              <w:t xml:space="preserve">  </w:t>
            </w:r>
            <w:r w:rsidRPr="009908E9">
              <w:rPr>
                <w:b w:val="0"/>
              </w:rPr>
              <w:t>Projekts šo jomu neskar.</w:t>
            </w:r>
          </w:p>
        </w:tc>
      </w:tr>
      <w:tr w:rsidR="00B8658B" w:rsidRPr="00177449" w:rsidTr="00131EC7">
        <w:tblPrEx>
          <w:tblCellMar>
            <w:top w:w="28" w:type="dxa"/>
            <w:left w:w="28" w:type="dxa"/>
            <w:bottom w:w="28" w:type="dxa"/>
            <w:right w:w="28" w:type="dxa"/>
          </w:tblCellMar>
        </w:tblPrEx>
        <w:tc>
          <w:tcPr>
            <w:tcW w:w="0" w:type="auto"/>
          </w:tcPr>
          <w:p w:rsidR="00B8658B" w:rsidRPr="00177449" w:rsidRDefault="00B8658B" w:rsidP="00B8658B">
            <w:pPr>
              <w:pStyle w:val="naisnod"/>
              <w:spacing w:before="0" w:after="0"/>
              <w:jc w:val="left"/>
              <w:rPr>
                <w:b w:val="0"/>
              </w:rPr>
            </w:pPr>
            <w:r>
              <w:rPr>
                <w:b w:val="0"/>
              </w:rPr>
              <w:t>5</w:t>
            </w:r>
            <w:r w:rsidRPr="00177449">
              <w:rPr>
                <w:b w:val="0"/>
              </w:rPr>
              <w:t>.</w:t>
            </w:r>
          </w:p>
        </w:tc>
        <w:tc>
          <w:tcPr>
            <w:tcW w:w="2216" w:type="pct"/>
          </w:tcPr>
          <w:p w:rsidR="00B8658B" w:rsidRPr="00177449" w:rsidRDefault="00B8658B" w:rsidP="00B8658B">
            <w:pPr>
              <w:pStyle w:val="naisf"/>
              <w:spacing w:before="0" w:after="0"/>
              <w:ind w:left="57" w:right="57" w:firstLine="0"/>
              <w:jc w:val="left"/>
            </w:pPr>
            <w:r>
              <w:t>Cita informācija</w:t>
            </w:r>
          </w:p>
        </w:tc>
        <w:tc>
          <w:tcPr>
            <w:tcW w:w="2655" w:type="pct"/>
          </w:tcPr>
          <w:p w:rsidR="00B8658B" w:rsidRPr="0082347B" w:rsidRDefault="00B8658B" w:rsidP="00B8658B">
            <w:pPr>
              <w:shd w:val="clear" w:color="auto" w:fill="FFFFFF"/>
              <w:spacing w:line="225" w:lineRule="atLeast"/>
              <w:rPr>
                <w:rFonts w:ascii="Verdana" w:hAnsi="Verdana"/>
                <w:color w:val="000000"/>
                <w:sz w:val="15"/>
                <w:szCs w:val="15"/>
              </w:rPr>
            </w:pPr>
            <w:bookmarkStart w:id="1" w:name="p61"/>
            <w:bookmarkEnd w:id="1"/>
            <w:r>
              <w:rPr>
                <w:rFonts w:ascii="Verdana" w:hAnsi="Verdana"/>
                <w:color w:val="000000"/>
                <w:sz w:val="15"/>
                <w:szCs w:val="15"/>
              </w:rPr>
              <w:t xml:space="preserve">    </w:t>
            </w:r>
            <w:r>
              <w:t>Nav</w:t>
            </w:r>
            <w:bookmarkStart w:id="2" w:name="p62"/>
            <w:bookmarkStart w:id="3" w:name="p64"/>
            <w:bookmarkEnd w:id="2"/>
            <w:bookmarkEnd w:id="3"/>
            <w:r w:rsidR="00963222">
              <w:t>.</w:t>
            </w:r>
          </w:p>
        </w:tc>
      </w:tr>
    </w:tbl>
    <w:p w:rsidR="00C64894" w:rsidRDefault="00C64894" w:rsidP="00B8658B">
      <w:pPr>
        <w:pStyle w:val="naisf"/>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127"/>
      </w:tblGrid>
      <w:tr w:rsidR="00B8658B" w:rsidRPr="00177449" w:rsidTr="00B8658B">
        <w:tc>
          <w:tcPr>
            <w:tcW w:w="0" w:type="auto"/>
            <w:tcBorders>
              <w:top w:val="single" w:sz="4" w:space="0" w:color="auto"/>
            </w:tcBorders>
          </w:tcPr>
          <w:p w:rsidR="00B8658B" w:rsidRPr="00177449" w:rsidRDefault="00B8658B" w:rsidP="00B8658B">
            <w:pPr>
              <w:pStyle w:val="naisnod"/>
              <w:spacing w:before="120" w:after="120"/>
            </w:pPr>
            <w:r w:rsidRPr="00177449">
              <w:t>VII. Tiesību akta projekta izpildes nodrošināšana un tās ietekme uz institūcijām</w:t>
            </w:r>
          </w:p>
        </w:tc>
      </w:tr>
      <w:tr w:rsidR="00963222" w:rsidRPr="00177449" w:rsidTr="00963222">
        <w:tc>
          <w:tcPr>
            <w:tcW w:w="5000" w:type="pct"/>
          </w:tcPr>
          <w:p w:rsidR="00963222" w:rsidRPr="00177449" w:rsidRDefault="00963222" w:rsidP="00F06D5F">
            <w:pPr>
              <w:pStyle w:val="naisnod"/>
              <w:spacing w:before="120" w:after="120"/>
              <w:ind w:left="57" w:right="57"/>
              <w:rPr>
                <w:b w:val="0"/>
              </w:rPr>
            </w:pPr>
            <w:r>
              <w:rPr>
                <w:b w:val="0"/>
                <w:iCs/>
              </w:rPr>
              <w:t>Projekts šo jomu neskar.</w:t>
            </w:r>
          </w:p>
        </w:tc>
      </w:tr>
    </w:tbl>
    <w:p w:rsidR="00B8658B" w:rsidRDefault="00B8658B" w:rsidP="00B8658B">
      <w:pPr>
        <w:pStyle w:val="Signature"/>
        <w:widowControl/>
        <w:spacing w:before="0"/>
        <w:ind w:firstLine="0"/>
        <w:rPr>
          <w:sz w:val="28"/>
          <w:lang w:val="lv-LV"/>
        </w:rPr>
      </w:pPr>
    </w:p>
    <w:p w:rsidR="00C64894" w:rsidRDefault="00C64894" w:rsidP="00C64894">
      <w:pPr>
        <w:pStyle w:val="EnvelopeReturn"/>
        <w:rPr>
          <w:lang w:eastAsia="en-US"/>
        </w:rPr>
      </w:pPr>
    </w:p>
    <w:p w:rsidR="00C64894" w:rsidRPr="00C64894" w:rsidRDefault="00C64894" w:rsidP="00C64894">
      <w:pPr>
        <w:pStyle w:val="EnvelopeReturn"/>
        <w:rPr>
          <w:lang w:eastAsia="en-US"/>
        </w:rPr>
      </w:pPr>
    </w:p>
    <w:p w:rsidR="00B8658B" w:rsidRPr="00AA08AB" w:rsidRDefault="00B8658B" w:rsidP="00B8658B">
      <w:pPr>
        <w:pStyle w:val="Signature"/>
        <w:widowControl/>
        <w:spacing w:before="0"/>
        <w:ind w:firstLine="0"/>
        <w:rPr>
          <w:sz w:val="28"/>
          <w:lang w:val="lv-LV"/>
        </w:rPr>
      </w:pPr>
      <w:r>
        <w:rPr>
          <w:sz w:val="28"/>
          <w:lang w:val="lv-LV"/>
        </w:rPr>
        <w:t xml:space="preserve">Ekonomikas </w:t>
      </w:r>
      <w:r w:rsidRPr="00AA08AB">
        <w:rPr>
          <w:sz w:val="28"/>
          <w:lang w:val="lv-LV"/>
        </w:rPr>
        <w:t>ministrs</w:t>
      </w:r>
      <w:r w:rsidRPr="00AA08AB">
        <w:rPr>
          <w:sz w:val="28"/>
          <w:lang w:val="lv-LV"/>
        </w:rPr>
        <w:tab/>
      </w:r>
      <w:r>
        <w:rPr>
          <w:sz w:val="28"/>
          <w:lang w:val="lv-LV"/>
        </w:rPr>
        <w:t>D</w:t>
      </w:r>
      <w:r w:rsidRPr="00AA08AB">
        <w:rPr>
          <w:sz w:val="28"/>
          <w:lang w:val="lv-LV"/>
        </w:rPr>
        <w:t>. </w:t>
      </w:r>
      <w:proofErr w:type="spellStart"/>
      <w:r>
        <w:rPr>
          <w:sz w:val="28"/>
          <w:lang w:val="lv-LV"/>
        </w:rPr>
        <w:t>Pa</w:t>
      </w:r>
      <w:r w:rsidR="009E5B25">
        <w:rPr>
          <w:sz w:val="28"/>
          <w:lang w:val="lv-LV"/>
        </w:rPr>
        <w:t>v</w:t>
      </w:r>
      <w:r>
        <w:rPr>
          <w:sz w:val="28"/>
          <w:lang w:val="lv-LV"/>
        </w:rPr>
        <w:t>ļuts</w:t>
      </w:r>
      <w:proofErr w:type="spellEnd"/>
    </w:p>
    <w:p w:rsidR="00C64894" w:rsidRDefault="00C64894" w:rsidP="00B8658B">
      <w:pPr>
        <w:pStyle w:val="Signature"/>
        <w:widowControl/>
        <w:spacing w:before="0"/>
        <w:ind w:firstLine="0"/>
        <w:rPr>
          <w:sz w:val="28"/>
          <w:szCs w:val="28"/>
          <w:lang w:val="lv-LV"/>
        </w:rPr>
      </w:pPr>
    </w:p>
    <w:p w:rsidR="00131EC7" w:rsidRPr="00131EC7" w:rsidRDefault="00131EC7" w:rsidP="00131EC7">
      <w:pPr>
        <w:pStyle w:val="EnvelopeReturn"/>
        <w:rPr>
          <w:lang w:eastAsia="en-US"/>
        </w:rPr>
      </w:pPr>
    </w:p>
    <w:p w:rsidR="00B8658B" w:rsidRPr="00177449" w:rsidRDefault="00B8658B" w:rsidP="00B8658B">
      <w:pPr>
        <w:pStyle w:val="Signature"/>
        <w:widowControl/>
        <w:spacing w:before="0"/>
        <w:ind w:firstLine="0"/>
        <w:rPr>
          <w:sz w:val="28"/>
          <w:lang w:val="lv-LV"/>
        </w:rPr>
      </w:pPr>
      <w:r w:rsidRPr="00177449">
        <w:rPr>
          <w:sz w:val="28"/>
          <w:szCs w:val="28"/>
          <w:lang w:val="lv-LV"/>
        </w:rPr>
        <w:t>Vīza:</w:t>
      </w:r>
      <w:r>
        <w:rPr>
          <w:sz w:val="28"/>
          <w:szCs w:val="28"/>
          <w:lang w:val="lv-LV"/>
        </w:rPr>
        <w:t xml:space="preserve"> v</w:t>
      </w:r>
      <w:r w:rsidRPr="00177449">
        <w:rPr>
          <w:sz w:val="28"/>
          <w:szCs w:val="28"/>
          <w:lang w:val="lv-LV"/>
        </w:rPr>
        <w:t>alsts</w:t>
      </w:r>
      <w:r>
        <w:rPr>
          <w:sz w:val="28"/>
          <w:szCs w:val="28"/>
          <w:lang w:val="lv-LV"/>
        </w:rPr>
        <w:t xml:space="preserve"> </w:t>
      </w:r>
      <w:r w:rsidRPr="00177449">
        <w:rPr>
          <w:sz w:val="28"/>
          <w:szCs w:val="28"/>
          <w:lang w:val="lv-LV"/>
        </w:rPr>
        <w:t>sekretār</w:t>
      </w:r>
      <w:r>
        <w:rPr>
          <w:sz w:val="28"/>
          <w:szCs w:val="28"/>
          <w:lang w:val="lv-LV"/>
        </w:rPr>
        <w:t>s</w:t>
      </w:r>
      <w:r w:rsidRPr="00177449">
        <w:rPr>
          <w:sz w:val="28"/>
          <w:lang w:val="lv-LV"/>
        </w:rPr>
        <w:tab/>
      </w:r>
      <w:r>
        <w:rPr>
          <w:sz w:val="28"/>
          <w:lang w:val="lv-LV"/>
        </w:rPr>
        <w:t>J</w:t>
      </w:r>
      <w:r w:rsidRPr="00177449">
        <w:rPr>
          <w:sz w:val="28"/>
          <w:lang w:val="lv-LV"/>
        </w:rPr>
        <w:t>. </w:t>
      </w:r>
      <w:r>
        <w:rPr>
          <w:sz w:val="28"/>
          <w:lang w:val="lv-LV"/>
        </w:rPr>
        <w:t>Pūce</w:t>
      </w:r>
    </w:p>
    <w:p w:rsidR="00B8658B" w:rsidRPr="00177449" w:rsidRDefault="00B8658B" w:rsidP="00B8658B">
      <w:pPr>
        <w:pStyle w:val="naisf"/>
        <w:spacing w:before="0" w:after="0"/>
        <w:ind w:firstLine="0"/>
        <w:rPr>
          <w:sz w:val="18"/>
          <w:szCs w:val="18"/>
        </w:rPr>
      </w:pPr>
    </w:p>
    <w:p w:rsidR="00C64894" w:rsidRDefault="00C64894" w:rsidP="00B8658B">
      <w:pPr>
        <w:jc w:val="both"/>
        <w:rPr>
          <w:sz w:val="20"/>
          <w:szCs w:val="18"/>
        </w:rPr>
      </w:pPr>
    </w:p>
    <w:p w:rsidR="00B8658B" w:rsidRPr="007778FF" w:rsidRDefault="00832520" w:rsidP="00B8658B">
      <w:pPr>
        <w:jc w:val="both"/>
        <w:rPr>
          <w:sz w:val="22"/>
          <w:szCs w:val="18"/>
        </w:rPr>
      </w:pPr>
      <w:r>
        <w:rPr>
          <w:sz w:val="22"/>
          <w:szCs w:val="18"/>
        </w:rPr>
        <w:t>05</w:t>
      </w:r>
      <w:r w:rsidR="00B8658B" w:rsidRPr="007778FF">
        <w:rPr>
          <w:sz w:val="22"/>
          <w:szCs w:val="18"/>
        </w:rPr>
        <w:t>.</w:t>
      </w:r>
      <w:r w:rsidR="00714158" w:rsidRPr="007778FF">
        <w:rPr>
          <w:sz w:val="22"/>
          <w:szCs w:val="18"/>
        </w:rPr>
        <w:t>0</w:t>
      </w:r>
      <w:r>
        <w:rPr>
          <w:sz w:val="22"/>
          <w:szCs w:val="18"/>
        </w:rPr>
        <w:t>7</w:t>
      </w:r>
      <w:r w:rsidR="00B8658B" w:rsidRPr="007778FF">
        <w:rPr>
          <w:sz w:val="22"/>
          <w:szCs w:val="18"/>
        </w:rPr>
        <w:t xml:space="preserve">.2013. </w:t>
      </w:r>
      <w:r>
        <w:rPr>
          <w:sz w:val="22"/>
          <w:szCs w:val="18"/>
        </w:rPr>
        <w:t>8</w:t>
      </w:r>
      <w:r w:rsidR="00B8658B" w:rsidRPr="007778FF">
        <w:rPr>
          <w:sz w:val="22"/>
          <w:szCs w:val="18"/>
        </w:rPr>
        <w:t>:</w:t>
      </w:r>
      <w:r>
        <w:rPr>
          <w:sz w:val="22"/>
          <w:szCs w:val="18"/>
        </w:rPr>
        <w:t>3</w:t>
      </w:r>
      <w:r w:rsidR="006E48DA" w:rsidRPr="007778FF">
        <w:rPr>
          <w:sz w:val="22"/>
          <w:szCs w:val="18"/>
        </w:rPr>
        <w:t>0</w:t>
      </w:r>
    </w:p>
    <w:p w:rsidR="00B8658B" w:rsidRPr="007778FF" w:rsidRDefault="006E48DA" w:rsidP="00B8658B">
      <w:pPr>
        <w:jc w:val="both"/>
        <w:rPr>
          <w:sz w:val="22"/>
          <w:szCs w:val="18"/>
        </w:rPr>
      </w:pPr>
      <w:r w:rsidRPr="007778FF">
        <w:rPr>
          <w:sz w:val="26"/>
        </w:rPr>
        <w:fldChar w:fldCharType="begin"/>
      </w:r>
      <w:r w:rsidRPr="007778FF">
        <w:rPr>
          <w:sz w:val="26"/>
        </w:rPr>
        <w:instrText xml:space="preserve"> NUMWORDS   \* MERGEFORMAT </w:instrText>
      </w:r>
      <w:r w:rsidRPr="007778FF">
        <w:rPr>
          <w:sz w:val="26"/>
        </w:rPr>
        <w:fldChar w:fldCharType="separate"/>
      </w:r>
      <w:r w:rsidRPr="007778FF">
        <w:rPr>
          <w:noProof/>
          <w:sz w:val="22"/>
          <w:szCs w:val="18"/>
        </w:rPr>
        <w:t>2397</w:t>
      </w:r>
      <w:r w:rsidRPr="007778FF">
        <w:rPr>
          <w:noProof/>
          <w:sz w:val="22"/>
          <w:szCs w:val="18"/>
        </w:rPr>
        <w:fldChar w:fldCharType="end"/>
      </w:r>
    </w:p>
    <w:p w:rsidR="00C64894" w:rsidRPr="007778FF" w:rsidRDefault="00C64894" w:rsidP="00B8658B">
      <w:pPr>
        <w:pStyle w:val="BodyText3"/>
        <w:spacing w:after="0"/>
        <w:jc w:val="both"/>
        <w:rPr>
          <w:color w:val="000000"/>
          <w:sz w:val="22"/>
          <w:szCs w:val="18"/>
        </w:rPr>
      </w:pPr>
      <w:bookmarkStart w:id="4" w:name="OLE_LINK5"/>
      <w:bookmarkStart w:id="5" w:name="OLE_LINK6"/>
    </w:p>
    <w:p w:rsidR="00B8658B" w:rsidRPr="007778FF" w:rsidRDefault="00B8658B" w:rsidP="00B8658B">
      <w:pPr>
        <w:pStyle w:val="BodyText3"/>
        <w:spacing w:after="0"/>
        <w:jc w:val="both"/>
        <w:rPr>
          <w:bCs/>
          <w:sz w:val="22"/>
          <w:szCs w:val="18"/>
        </w:rPr>
      </w:pPr>
      <w:proofErr w:type="spellStart"/>
      <w:r w:rsidRPr="007778FF">
        <w:rPr>
          <w:sz w:val="22"/>
          <w:szCs w:val="18"/>
        </w:rPr>
        <w:t>Dz</w:t>
      </w:r>
      <w:proofErr w:type="spellEnd"/>
      <w:r w:rsidRPr="007778FF">
        <w:rPr>
          <w:sz w:val="22"/>
          <w:szCs w:val="18"/>
        </w:rPr>
        <w:t>. Grasmanis</w:t>
      </w:r>
    </w:p>
    <w:p w:rsidR="00B8658B" w:rsidRPr="007778FF" w:rsidRDefault="00B8658B" w:rsidP="00B8658B">
      <w:pPr>
        <w:pStyle w:val="BodyText3"/>
        <w:spacing w:after="0"/>
        <w:jc w:val="both"/>
        <w:rPr>
          <w:bCs/>
          <w:sz w:val="22"/>
          <w:szCs w:val="18"/>
        </w:rPr>
      </w:pPr>
      <w:r w:rsidRPr="007778FF">
        <w:rPr>
          <w:sz w:val="22"/>
          <w:szCs w:val="18"/>
        </w:rPr>
        <w:t>67013040</w:t>
      </w:r>
      <w:bookmarkStart w:id="6" w:name="OLE_LINK7"/>
      <w:bookmarkStart w:id="7" w:name="OLE_LINK8"/>
      <w:bookmarkEnd w:id="4"/>
      <w:bookmarkEnd w:id="5"/>
    </w:p>
    <w:p w:rsidR="00B8658B" w:rsidRPr="007778FF" w:rsidRDefault="00B8658B" w:rsidP="00191311">
      <w:pPr>
        <w:pStyle w:val="BodyText3"/>
        <w:spacing w:after="0"/>
        <w:jc w:val="both"/>
        <w:rPr>
          <w:sz w:val="22"/>
          <w:szCs w:val="18"/>
        </w:rPr>
      </w:pPr>
      <w:r w:rsidRPr="007778FF">
        <w:rPr>
          <w:bCs/>
          <w:sz w:val="22"/>
          <w:szCs w:val="18"/>
        </w:rPr>
        <w:t>D</w:t>
      </w:r>
      <w:r w:rsidRPr="007778FF">
        <w:rPr>
          <w:sz w:val="22"/>
          <w:szCs w:val="18"/>
        </w:rPr>
        <w:t>zintars.</w:t>
      </w:r>
      <w:r w:rsidRPr="007778FF">
        <w:rPr>
          <w:bCs/>
          <w:sz w:val="22"/>
          <w:szCs w:val="18"/>
        </w:rPr>
        <w:t>G</w:t>
      </w:r>
      <w:r w:rsidRPr="007778FF">
        <w:rPr>
          <w:sz w:val="22"/>
          <w:szCs w:val="18"/>
        </w:rPr>
        <w:t>rasmanis@em.gov.lv</w:t>
      </w:r>
      <w:bookmarkEnd w:id="6"/>
      <w:bookmarkEnd w:id="7"/>
    </w:p>
    <w:sectPr w:rsidR="00B8658B" w:rsidRPr="007778FF" w:rsidSect="00522746">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E7" w:rsidRDefault="00F42AE7">
      <w:r>
        <w:separator/>
      </w:r>
    </w:p>
  </w:endnote>
  <w:endnote w:type="continuationSeparator" w:id="0">
    <w:p w:rsidR="00F42AE7" w:rsidRDefault="00F4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E7" w:rsidRPr="00014631" w:rsidRDefault="005822A3" w:rsidP="00AF2166">
    <w:pPr>
      <w:pStyle w:val="Footer"/>
      <w:tabs>
        <w:tab w:val="clear" w:pos="4153"/>
        <w:tab w:val="clear" w:pos="8306"/>
        <w:tab w:val="center" w:pos="2835"/>
        <w:tab w:val="center" w:pos="4536"/>
        <w:tab w:val="right" w:pos="8789"/>
      </w:tabs>
      <w:spacing w:before="120"/>
    </w:pPr>
    <w:r>
      <w:fldChar w:fldCharType="begin"/>
    </w:r>
    <w:r>
      <w:instrText xml:space="preserve"> FILENAME  \* MERGEFORMAT </w:instrText>
    </w:r>
    <w:r>
      <w:fldChar w:fldCharType="separate"/>
    </w:r>
    <w:r w:rsidR="00832520">
      <w:rPr>
        <w:noProof/>
      </w:rPr>
      <w:t>EMAnot_050713_eku_energosertifikacija.docx</w:t>
    </w:r>
    <w:r>
      <w:rPr>
        <w:noProof/>
      </w:rPr>
      <w:fldChar w:fldCharType="end"/>
    </w:r>
    <w:r w:rsidR="00F42AE7" w:rsidRPr="00014631">
      <w:t xml:space="preserve">; </w:t>
    </w:r>
    <w:fldSimple w:instr=" TITLE  \* MERGEFORMAT ">
      <w:r w:rsidR="00832520">
        <w:t>Noteikumu projekta „Noteikumi par ēku energosertifikāciju” sākotnējās ietekmes novērtējuma ziņojums (anotācija)</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E7" w:rsidRPr="00014631" w:rsidRDefault="005822A3" w:rsidP="0096313F">
    <w:pPr>
      <w:pStyle w:val="Footer"/>
      <w:tabs>
        <w:tab w:val="clear" w:pos="4153"/>
        <w:tab w:val="clear" w:pos="8306"/>
        <w:tab w:val="center" w:pos="2835"/>
        <w:tab w:val="center" w:pos="4536"/>
        <w:tab w:val="right" w:pos="8789"/>
      </w:tabs>
      <w:spacing w:before="240"/>
    </w:pPr>
    <w:r>
      <w:fldChar w:fldCharType="begin"/>
    </w:r>
    <w:r>
      <w:instrText xml:space="preserve"> FILENAME  \* MERGEFORMAT </w:instrText>
    </w:r>
    <w:r>
      <w:fldChar w:fldCharType="separate"/>
    </w:r>
    <w:r w:rsidR="00832520">
      <w:rPr>
        <w:noProof/>
      </w:rPr>
      <w:t>EMAnot_050713_eku_energosertifikacija.docx</w:t>
    </w:r>
    <w:r>
      <w:rPr>
        <w:noProof/>
      </w:rPr>
      <w:fldChar w:fldCharType="end"/>
    </w:r>
    <w:r w:rsidR="00F42AE7" w:rsidRPr="00014631">
      <w:t xml:space="preserve">; </w:t>
    </w:r>
    <w:fldSimple w:instr=" TITLE  \* MERGEFORMAT ">
      <w:r w:rsidR="00832520">
        <w:t>Noteikumu projekta „Noteikumi par ēku energosertifikāciju” sākotnējās ietekmes novērtējuma ziņojums (anotācija)</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E7" w:rsidRDefault="00F42AE7">
      <w:r>
        <w:separator/>
      </w:r>
    </w:p>
  </w:footnote>
  <w:footnote w:type="continuationSeparator" w:id="0">
    <w:p w:rsidR="00F42AE7" w:rsidRDefault="00F42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E7" w:rsidRPr="00EC33D7" w:rsidRDefault="00F42AE7" w:rsidP="00EC33D7">
    <w:pPr>
      <w:pStyle w:val="Header"/>
      <w:jc w:val="center"/>
    </w:pPr>
    <w:r w:rsidRPr="00EC33D7">
      <w:rPr>
        <w:rStyle w:val="PageNumber"/>
      </w:rPr>
      <w:fldChar w:fldCharType="begin"/>
    </w:r>
    <w:r w:rsidRPr="00EC33D7">
      <w:rPr>
        <w:rStyle w:val="PageNumber"/>
      </w:rPr>
      <w:instrText xml:space="preserve"> PAGE </w:instrText>
    </w:r>
    <w:r w:rsidRPr="00EC33D7">
      <w:rPr>
        <w:rStyle w:val="PageNumber"/>
      </w:rPr>
      <w:fldChar w:fldCharType="separate"/>
    </w:r>
    <w:r w:rsidR="005822A3">
      <w:rPr>
        <w:rStyle w:val="PageNumber"/>
        <w:noProof/>
      </w:rPr>
      <w:t>3</w:t>
    </w:r>
    <w:r w:rsidRPr="00EC33D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8ED"/>
    <w:multiLevelType w:val="multilevel"/>
    <w:tmpl w:val="7C9CF756"/>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5E5D60"/>
    <w:multiLevelType w:val="hybridMultilevel"/>
    <w:tmpl w:val="5360FEE0"/>
    <w:lvl w:ilvl="0" w:tplc="433001F6">
      <w:start w:val="1"/>
      <w:numFmt w:val="bullet"/>
      <w:lvlText w:val=""/>
      <w:lvlJc w:val="left"/>
      <w:pPr>
        <w:tabs>
          <w:tab w:val="num" w:pos="720"/>
        </w:tabs>
        <w:ind w:left="720" w:hanging="360"/>
      </w:pPr>
      <w:rPr>
        <w:rFonts w:ascii="Wingdings" w:hAnsi="Wingdings" w:hint="default"/>
        <w:b/>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7EB3963"/>
    <w:multiLevelType w:val="hybridMultilevel"/>
    <w:tmpl w:val="9FECA9AE"/>
    <w:lvl w:ilvl="0" w:tplc="C3FAFB06">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nsid w:val="20424193"/>
    <w:multiLevelType w:val="hybridMultilevel"/>
    <w:tmpl w:val="7188FEE4"/>
    <w:lvl w:ilvl="0" w:tplc="364EA2F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3B6F3EA3"/>
    <w:multiLevelType w:val="hybridMultilevel"/>
    <w:tmpl w:val="5F7C6BB6"/>
    <w:lvl w:ilvl="0" w:tplc="DA58DAB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DA8270C"/>
    <w:multiLevelType w:val="hybridMultilevel"/>
    <w:tmpl w:val="724C54D2"/>
    <w:lvl w:ilvl="0" w:tplc="25BC2A76">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446071E"/>
    <w:multiLevelType w:val="hybridMultilevel"/>
    <w:tmpl w:val="6D7EEB4E"/>
    <w:lvl w:ilvl="0" w:tplc="AC5495D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nsid w:val="5068637C"/>
    <w:multiLevelType w:val="hybridMultilevel"/>
    <w:tmpl w:val="CAD4A500"/>
    <w:lvl w:ilvl="0" w:tplc="9D64AA32">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7645E48"/>
    <w:multiLevelType w:val="hybridMultilevel"/>
    <w:tmpl w:val="43F68DC4"/>
    <w:lvl w:ilvl="0" w:tplc="3FE6CC8A">
      <w:start w:val="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579E0EE4"/>
    <w:multiLevelType w:val="hybridMultilevel"/>
    <w:tmpl w:val="9F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F0F19C5"/>
    <w:multiLevelType w:val="hybridMultilevel"/>
    <w:tmpl w:val="1C36A26A"/>
    <w:lvl w:ilvl="0" w:tplc="11F42F7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1582C61"/>
    <w:multiLevelType w:val="hybridMultilevel"/>
    <w:tmpl w:val="7D1875DA"/>
    <w:lvl w:ilvl="0" w:tplc="25BC2A76">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25522B9"/>
    <w:multiLevelType w:val="hybridMultilevel"/>
    <w:tmpl w:val="1E68DA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6447E4B"/>
    <w:multiLevelType w:val="hybridMultilevel"/>
    <w:tmpl w:val="9CCCD376"/>
    <w:lvl w:ilvl="0" w:tplc="FBDA969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9621416"/>
    <w:multiLevelType w:val="hybridMultilevel"/>
    <w:tmpl w:val="454254FA"/>
    <w:lvl w:ilvl="0" w:tplc="0034123E">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6"/>
  </w:num>
  <w:num w:numId="5">
    <w:abstractNumId w:val="14"/>
  </w:num>
  <w:num w:numId="6">
    <w:abstractNumId w:val="12"/>
  </w:num>
  <w:num w:numId="7">
    <w:abstractNumId w:val="13"/>
  </w:num>
  <w:num w:numId="8">
    <w:abstractNumId w:val="9"/>
  </w:num>
  <w:num w:numId="9">
    <w:abstractNumId w:val="7"/>
  </w:num>
  <w:num w:numId="10">
    <w:abstractNumId w:val="2"/>
  </w:num>
  <w:num w:numId="11">
    <w:abstractNumId w:val="8"/>
  </w:num>
  <w:num w:numId="12">
    <w:abstractNumId w:val="4"/>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50E7"/>
    <w:rsid w:val="0001071C"/>
    <w:rsid w:val="000115CE"/>
    <w:rsid w:val="00014631"/>
    <w:rsid w:val="00015C50"/>
    <w:rsid w:val="00017F43"/>
    <w:rsid w:val="000228C4"/>
    <w:rsid w:val="0004790F"/>
    <w:rsid w:val="00052943"/>
    <w:rsid w:val="00054DCF"/>
    <w:rsid w:val="00060896"/>
    <w:rsid w:val="00080AFD"/>
    <w:rsid w:val="000817D4"/>
    <w:rsid w:val="00084A5C"/>
    <w:rsid w:val="000853FD"/>
    <w:rsid w:val="00093763"/>
    <w:rsid w:val="000A1129"/>
    <w:rsid w:val="000A4D3F"/>
    <w:rsid w:val="000A7E89"/>
    <w:rsid w:val="000B331A"/>
    <w:rsid w:val="000B5132"/>
    <w:rsid w:val="000C4238"/>
    <w:rsid w:val="000C48BD"/>
    <w:rsid w:val="000D0160"/>
    <w:rsid w:val="000D137E"/>
    <w:rsid w:val="000E5C01"/>
    <w:rsid w:val="000F4E63"/>
    <w:rsid w:val="00106621"/>
    <w:rsid w:val="00111141"/>
    <w:rsid w:val="00112476"/>
    <w:rsid w:val="00114A4F"/>
    <w:rsid w:val="00114DBC"/>
    <w:rsid w:val="0011780B"/>
    <w:rsid w:val="0012534A"/>
    <w:rsid w:val="0013080B"/>
    <w:rsid w:val="00131EC7"/>
    <w:rsid w:val="00136222"/>
    <w:rsid w:val="00140686"/>
    <w:rsid w:val="001417F0"/>
    <w:rsid w:val="001435B7"/>
    <w:rsid w:val="00175337"/>
    <w:rsid w:val="0018069F"/>
    <w:rsid w:val="001850B1"/>
    <w:rsid w:val="001866A1"/>
    <w:rsid w:val="00187B2F"/>
    <w:rsid w:val="00191311"/>
    <w:rsid w:val="00194D57"/>
    <w:rsid w:val="001A4085"/>
    <w:rsid w:val="001C18E1"/>
    <w:rsid w:val="001C1919"/>
    <w:rsid w:val="001C2619"/>
    <w:rsid w:val="001C7B05"/>
    <w:rsid w:val="001E190E"/>
    <w:rsid w:val="001E3109"/>
    <w:rsid w:val="001E6956"/>
    <w:rsid w:val="001E6CBF"/>
    <w:rsid w:val="001F0C8F"/>
    <w:rsid w:val="001F0C93"/>
    <w:rsid w:val="001F4553"/>
    <w:rsid w:val="0020422E"/>
    <w:rsid w:val="002135B2"/>
    <w:rsid w:val="00213B90"/>
    <w:rsid w:val="002159DE"/>
    <w:rsid w:val="00220DA1"/>
    <w:rsid w:val="00221E90"/>
    <w:rsid w:val="00223806"/>
    <w:rsid w:val="0022475D"/>
    <w:rsid w:val="00232ED7"/>
    <w:rsid w:val="00235B98"/>
    <w:rsid w:val="00240F36"/>
    <w:rsid w:val="0026231B"/>
    <w:rsid w:val="0027180D"/>
    <w:rsid w:val="00273A92"/>
    <w:rsid w:val="00282EB8"/>
    <w:rsid w:val="0028594D"/>
    <w:rsid w:val="00291DA8"/>
    <w:rsid w:val="002936EA"/>
    <w:rsid w:val="00293908"/>
    <w:rsid w:val="002950E7"/>
    <w:rsid w:val="002A2FC6"/>
    <w:rsid w:val="002B00AE"/>
    <w:rsid w:val="002C26E9"/>
    <w:rsid w:val="002C44A2"/>
    <w:rsid w:val="002C49A6"/>
    <w:rsid w:val="002C74E4"/>
    <w:rsid w:val="002F52B9"/>
    <w:rsid w:val="00303923"/>
    <w:rsid w:val="00304545"/>
    <w:rsid w:val="0032119A"/>
    <w:rsid w:val="00321BD5"/>
    <w:rsid w:val="00325662"/>
    <w:rsid w:val="00325D0F"/>
    <w:rsid w:val="00330BD6"/>
    <w:rsid w:val="00336FD7"/>
    <w:rsid w:val="00340294"/>
    <w:rsid w:val="003448AC"/>
    <w:rsid w:val="00350C1B"/>
    <w:rsid w:val="003528ED"/>
    <w:rsid w:val="0036015B"/>
    <w:rsid w:val="003625C9"/>
    <w:rsid w:val="00365AD3"/>
    <w:rsid w:val="00371933"/>
    <w:rsid w:val="00374521"/>
    <w:rsid w:val="0037457F"/>
    <w:rsid w:val="00374B83"/>
    <w:rsid w:val="003754D4"/>
    <w:rsid w:val="00382F12"/>
    <w:rsid w:val="00392754"/>
    <w:rsid w:val="003938DE"/>
    <w:rsid w:val="003A1714"/>
    <w:rsid w:val="003A51CF"/>
    <w:rsid w:val="003A53C6"/>
    <w:rsid w:val="003B2068"/>
    <w:rsid w:val="003B7CF3"/>
    <w:rsid w:val="003C046C"/>
    <w:rsid w:val="003C3446"/>
    <w:rsid w:val="003C7CF8"/>
    <w:rsid w:val="003D3D7D"/>
    <w:rsid w:val="003D673E"/>
    <w:rsid w:val="003E0CA7"/>
    <w:rsid w:val="003E13A6"/>
    <w:rsid w:val="003E3FFA"/>
    <w:rsid w:val="00401F61"/>
    <w:rsid w:val="0040678B"/>
    <w:rsid w:val="00406E34"/>
    <w:rsid w:val="00407CA1"/>
    <w:rsid w:val="004104A7"/>
    <w:rsid w:val="00412F87"/>
    <w:rsid w:val="004207DA"/>
    <w:rsid w:val="00431387"/>
    <w:rsid w:val="00432427"/>
    <w:rsid w:val="00436411"/>
    <w:rsid w:val="004435DE"/>
    <w:rsid w:val="004562C8"/>
    <w:rsid w:val="00460623"/>
    <w:rsid w:val="0046109A"/>
    <w:rsid w:val="0046219D"/>
    <w:rsid w:val="00462C94"/>
    <w:rsid w:val="00471B14"/>
    <w:rsid w:val="0048076D"/>
    <w:rsid w:val="00483EF5"/>
    <w:rsid w:val="00485BCC"/>
    <w:rsid w:val="00495DD7"/>
    <w:rsid w:val="0049666B"/>
    <w:rsid w:val="004A3B1A"/>
    <w:rsid w:val="004A507C"/>
    <w:rsid w:val="004B0D32"/>
    <w:rsid w:val="004B5CEE"/>
    <w:rsid w:val="004B7DCB"/>
    <w:rsid w:val="004C305A"/>
    <w:rsid w:val="004C31E7"/>
    <w:rsid w:val="004D0798"/>
    <w:rsid w:val="004D6476"/>
    <w:rsid w:val="004E0A87"/>
    <w:rsid w:val="00500DA3"/>
    <w:rsid w:val="005046F6"/>
    <w:rsid w:val="0050522A"/>
    <w:rsid w:val="00507906"/>
    <w:rsid w:val="005079F9"/>
    <w:rsid w:val="005114EE"/>
    <w:rsid w:val="005155F2"/>
    <w:rsid w:val="005177EE"/>
    <w:rsid w:val="00522746"/>
    <w:rsid w:val="00523835"/>
    <w:rsid w:val="00523AE1"/>
    <w:rsid w:val="005363B1"/>
    <w:rsid w:val="005428D7"/>
    <w:rsid w:val="00544941"/>
    <w:rsid w:val="0054529D"/>
    <w:rsid w:val="005473D6"/>
    <w:rsid w:val="00552C19"/>
    <w:rsid w:val="005550A7"/>
    <w:rsid w:val="00555443"/>
    <w:rsid w:val="00557612"/>
    <w:rsid w:val="00560309"/>
    <w:rsid w:val="00560FBB"/>
    <w:rsid w:val="00562F2D"/>
    <w:rsid w:val="005635AE"/>
    <w:rsid w:val="005642B9"/>
    <w:rsid w:val="005822A3"/>
    <w:rsid w:val="005839FB"/>
    <w:rsid w:val="00593D80"/>
    <w:rsid w:val="005A746D"/>
    <w:rsid w:val="005A7931"/>
    <w:rsid w:val="005B2A4A"/>
    <w:rsid w:val="005C6603"/>
    <w:rsid w:val="005D233E"/>
    <w:rsid w:val="005D5215"/>
    <w:rsid w:val="005E576A"/>
    <w:rsid w:val="005F67C2"/>
    <w:rsid w:val="00603182"/>
    <w:rsid w:val="00604DC0"/>
    <w:rsid w:val="00606E77"/>
    <w:rsid w:val="00612E4F"/>
    <w:rsid w:val="006179DF"/>
    <w:rsid w:val="006212CD"/>
    <w:rsid w:val="00635F6C"/>
    <w:rsid w:val="0064225E"/>
    <w:rsid w:val="006439F5"/>
    <w:rsid w:val="0064409B"/>
    <w:rsid w:val="00653414"/>
    <w:rsid w:val="0065384C"/>
    <w:rsid w:val="0065732F"/>
    <w:rsid w:val="00662A30"/>
    <w:rsid w:val="0066546B"/>
    <w:rsid w:val="006717E0"/>
    <w:rsid w:val="00673FEE"/>
    <w:rsid w:val="00674CCC"/>
    <w:rsid w:val="006814D7"/>
    <w:rsid w:val="006A1045"/>
    <w:rsid w:val="006A140A"/>
    <w:rsid w:val="006A2CB9"/>
    <w:rsid w:val="006A6653"/>
    <w:rsid w:val="006A78BA"/>
    <w:rsid w:val="006B18E6"/>
    <w:rsid w:val="006B50B2"/>
    <w:rsid w:val="006B5837"/>
    <w:rsid w:val="006B5E4D"/>
    <w:rsid w:val="006C27FD"/>
    <w:rsid w:val="006D2CA5"/>
    <w:rsid w:val="006D647C"/>
    <w:rsid w:val="006E47FC"/>
    <w:rsid w:val="006E48DA"/>
    <w:rsid w:val="006E73BF"/>
    <w:rsid w:val="006F259F"/>
    <w:rsid w:val="006F3F5B"/>
    <w:rsid w:val="006F65D9"/>
    <w:rsid w:val="006F6E79"/>
    <w:rsid w:val="007005C8"/>
    <w:rsid w:val="00707A9E"/>
    <w:rsid w:val="00710B7E"/>
    <w:rsid w:val="00714158"/>
    <w:rsid w:val="00714E5C"/>
    <w:rsid w:val="00722894"/>
    <w:rsid w:val="00733D0D"/>
    <w:rsid w:val="00751A09"/>
    <w:rsid w:val="007572F9"/>
    <w:rsid w:val="00760D82"/>
    <w:rsid w:val="007636A3"/>
    <w:rsid w:val="0076530E"/>
    <w:rsid w:val="007655B9"/>
    <w:rsid w:val="00772F28"/>
    <w:rsid w:val="007731DA"/>
    <w:rsid w:val="00776C16"/>
    <w:rsid w:val="007778FF"/>
    <w:rsid w:val="007806B8"/>
    <w:rsid w:val="007807EE"/>
    <w:rsid w:val="00781B03"/>
    <w:rsid w:val="00785534"/>
    <w:rsid w:val="007912E9"/>
    <w:rsid w:val="007A332B"/>
    <w:rsid w:val="007B37D8"/>
    <w:rsid w:val="007B5394"/>
    <w:rsid w:val="007B7329"/>
    <w:rsid w:val="007C319E"/>
    <w:rsid w:val="007C79BA"/>
    <w:rsid w:val="007D0655"/>
    <w:rsid w:val="007D3D97"/>
    <w:rsid w:val="007D5E94"/>
    <w:rsid w:val="007F0CF9"/>
    <w:rsid w:val="00800E9E"/>
    <w:rsid w:val="008011DA"/>
    <w:rsid w:val="00807421"/>
    <w:rsid w:val="00807ECC"/>
    <w:rsid w:val="008124E5"/>
    <w:rsid w:val="00817768"/>
    <w:rsid w:val="00821B36"/>
    <w:rsid w:val="00825529"/>
    <w:rsid w:val="0082700C"/>
    <w:rsid w:val="0083075D"/>
    <w:rsid w:val="00832520"/>
    <w:rsid w:val="00835FF4"/>
    <w:rsid w:val="008461B8"/>
    <w:rsid w:val="008479F6"/>
    <w:rsid w:val="00850577"/>
    <w:rsid w:val="008518AA"/>
    <w:rsid w:val="00863E2B"/>
    <w:rsid w:val="00866120"/>
    <w:rsid w:val="00870367"/>
    <w:rsid w:val="00873629"/>
    <w:rsid w:val="008820B2"/>
    <w:rsid w:val="00882F4A"/>
    <w:rsid w:val="00883EF3"/>
    <w:rsid w:val="00886493"/>
    <w:rsid w:val="00887386"/>
    <w:rsid w:val="008948EE"/>
    <w:rsid w:val="008A2DD7"/>
    <w:rsid w:val="008B0074"/>
    <w:rsid w:val="008B375E"/>
    <w:rsid w:val="008B4EA7"/>
    <w:rsid w:val="008B73B1"/>
    <w:rsid w:val="008B7858"/>
    <w:rsid w:val="008C31A0"/>
    <w:rsid w:val="008C3F0C"/>
    <w:rsid w:val="008C43B1"/>
    <w:rsid w:val="008C5EFD"/>
    <w:rsid w:val="008C67F0"/>
    <w:rsid w:val="008C6A9C"/>
    <w:rsid w:val="008C6C8A"/>
    <w:rsid w:val="008E2AF6"/>
    <w:rsid w:val="008E2D2F"/>
    <w:rsid w:val="008F1DAA"/>
    <w:rsid w:val="008F7D16"/>
    <w:rsid w:val="00907191"/>
    <w:rsid w:val="009076C4"/>
    <w:rsid w:val="00910182"/>
    <w:rsid w:val="00912120"/>
    <w:rsid w:val="009157BA"/>
    <w:rsid w:val="00922413"/>
    <w:rsid w:val="009262EF"/>
    <w:rsid w:val="009366D3"/>
    <w:rsid w:val="009454EF"/>
    <w:rsid w:val="00946CE3"/>
    <w:rsid w:val="00951BA6"/>
    <w:rsid w:val="0096313F"/>
    <w:rsid w:val="00963222"/>
    <w:rsid w:val="00964BFB"/>
    <w:rsid w:val="00965E4E"/>
    <w:rsid w:val="00966F4D"/>
    <w:rsid w:val="00970201"/>
    <w:rsid w:val="0097224A"/>
    <w:rsid w:val="00994BA3"/>
    <w:rsid w:val="009970EE"/>
    <w:rsid w:val="009A393C"/>
    <w:rsid w:val="009A4BAB"/>
    <w:rsid w:val="009A589D"/>
    <w:rsid w:val="009A64C0"/>
    <w:rsid w:val="009B3AA8"/>
    <w:rsid w:val="009C4C64"/>
    <w:rsid w:val="009C7B2D"/>
    <w:rsid w:val="009D40D7"/>
    <w:rsid w:val="009E00FD"/>
    <w:rsid w:val="009E4A75"/>
    <w:rsid w:val="009E5B25"/>
    <w:rsid w:val="009E6073"/>
    <w:rsid w:val="009F0858"/>
    <w:rsid w:val="009F7169"/>
    <w:rsid w:val="00A02731"/>
    <w:rsid w:val="00A04B39"/>
    <w:rsid w:val="00A052F4"/>
    <w:rsid w:val="00A074CA"/>
    <w:rsid w:val="00A079BC"/>
    <w:rsid w:val="00A12779"/>
    <w:rsid w:val="00A16F34"/>
    <w:rsid w:val="00A24F1F"/>
    <w:rsid w:val="00A30F4F"/>
    <w:rsid w:val="00A31E41"/>
    <w:rsid w:val="00A35DF0"/>
    <w:rsid w:val="00A41B12"/>
    <w:rsid w:val="00A44324"/>
    <w:rsid w:val="00A47BA8"/>
    <w:rsid w:val="00A6357B"/>
    <w:rsid w:val="00A6366B"/>
    <w:rsid w:val="00A76CBC"/>
    <w:rsid w:val="00A80CC0"/>
    <w:rsid w:val="00A86F98"/>
    <w:rsid w:val="00A90C97"/>
    <w:rsid w:val="00A92CA3"/>
    <w:rsid w:val="00A935CF"/>
    <w:rsid w:val="00AB072A"/>
    <w:rsid w:val="00AB1922"/>
    <w:rsid w:val="00AC03EA"/>
    <w:rsid w:val="00AD222C"/>
    <w:rsid w:val="00AD3CD0"/>
    <w:rsid w:val="00AD7486"/>
    <w:rsid w:val="00AE1BBE"/>
    <w:rsid w:val="00AF2166"/>
    <w:rsid w:val="00AF4FF3"/>
    <w:rsid w:val="00AF5257"/>
    <w:rsid w:val="00AF75F4"/>
    <w:rsid w:val="00B00B73"/>
    <w:rsid w:val="00B02AAB"/>
    <w:rsid w:val="00B06EE9"/>
    <w:rsid w:val="00B115AB"/>
    <w:rsid w:val="00B117D8"/>
    <w:rsid w:val="00B16019"/>
    <w:rsid w:val="00B23254"/>
    <w:rsid w:val="00B26EF2"/>
    <w:rsid w:val="00B278FE"/>
    <w:rsid w:val="00B32D9D"/>
    <w:rsid w:val="00B351A9"/>
    <w:rsid w:val="00B36277"/>
    <w:rsid w:val="00B408AB"/>
    <w:rsid w:val="00B450C4"/>
    <w:rsid w:val="00B51C89"/>
    <w:rsid w:val="00B5555B"/>
    <w:rsid w:val="00B55D52"/>
    <w:rsid w:val="00B5657E"/>
    <w:rsid w:val="00B617EE"/>
    <w:rsid w:val="00B63C97"/>
    <w:rsid w:val="00B83E45"/>
    <w:rsid w:val="00B84684"/>
    <w:rsid w:val="00B85A61"/>
    <w:rsid w:val="00B85DEE"/>
    <w:rsid w:val="00B863B3"/>
    <w:rsid w:val="00B8658B"/>
    <w:rsid w:val="00BA4BC0"/>
    <w:rsid w:val="00BB4404"/>
    <w:rsid w:val="00BB7623"/>
    <w:rsid w:val="00BC1C14"/>
    <w:rsid w:val="00BC3939"/>
    <w:rsid w:val="00BC5682"/>
    <w:rsid w:val="00BC6CDE"/>
    <w:rsid w:val="00BD6637"/>
    <w:rsid w:val="00BE73B9"/>
    <w:rsid w:val="00BF7B4A"/>
    <w:rsid w:val="00C00494"/>
    <w:rsid w:val="00C143F1"/>
    <w:rsid w:val="00C178E5"/>
    <w:rsid w:val="00C21440"/>
    <w:rsid w:val="00C22661"/>
    <w:rsid w:val="00C32BEE"/>
    <w:rsid w:val="00C350EA"/>
    <w:rsid w:val="00C41A46"/>
    <w:rsid w:val="00C45306"/>
    <w:rsid w:val="00C45CA8"/>
    <w:rsid w:val="00C47704"/>
    <w:rsid w:val="00C53080"/>
    <w:rsid w:val="00C60AC2"/>
    <w:rsid w:val="00C63709"/>
    <w:rsid w:val="00C64894"/>
    <w:rsid w:val="00C66D36"/>
    <w:rsid w:val="00C714B6"/>
    <w:rsid w:val="00C72965"/>
    <w:rsid w:val="00C73C48"/>
    <w:rsid w:val="00C77A47"/>
    <w:rsid w:val="00C91400"/>
    <w:rsid w:val="00C942C1"/>
    <w:rsid w:val="00CA2737"/>
    <w:rsid w:val="00CA6912"/>
    <w:rsid w:val="00CB0FE1"/>
    <w:rsid w:val="00CB206D"/>
    <w:rsid w:val="00CB47D6"/>
    <w:rsid w:val="00CB4A2C"/>
    <w:rsid w:val="00CC717F"/>
    <w:rsid w:val="00CC78BF"/>
    <w:rsid w:val="00CD2B5B"/>
    <w:rsid w:val="00D031CC"/>
    <w:rsid w:val="00D101F2"/>
    <w:rsid w:val="00D308C9"/>
    <w:rsid w:val="00D32593"/>
    <w:rsid w:val="00D3579C"/>
    <w:rsid w:val="00D47ED8"/>
    <w:rsid w:val="00D611C2"/>
    <w:rsid w:val="00D65115"/>
    <w:rsid w:val="00D667D2"/>
    <w:rsid w:val="00D66851"/>
    <w:rsid w:val="00D71129"/>
    <w:rsid w:val="00D75B1C"/>
    <w:rsid w:val="00D772EA"/>
    <w:rsid w:val="00D8080C"/>
    <w:rsid w:val="00D835B7"/>
    <w:rsid w:val="00D84228"/>
    <w:rsid w:val="00D85902"/>
    <w:rsid w:val="00D91813"/>
    <w:rsid w:val="00D92317"/>
    <w:rsid w:val="00D95A21"/>
    <w:rsid w:val="00DB1388"/>
    <w:rsid w:val="00DB2B9F"/>
    <w:rsid w:val="00DC4C31"/>
    <w:rsid w:val="00DC5876"/>
    <w:rsid w:val="00DC6562"/>
    <w:rsid w:val="00DD186B"/>
    <w:rsid w:val="00DD694A"/>
    <w:rsid w:val="00DD743F"/>
    <w:rsid w:val="00DE7093"/>
    <w:rsid w:val="00DF25D2"/>
    <w:rsid w:val="00DF47B6"/>
    <w:rsid w:val="00E04882"/>
    <w:rsid w:val="00E064C5"/>
    <w:rsid w:val="00E21F0A"/>
    <w:rsid w:val="00E23172"/>
    <w:rsid w:val="00E302A3"/>
    <w:rsid w:val="00E30A3B"/>
    <w:rsid w:val="00E4417F"/>
    <w:rsid w:val="00E553E2"/>
    <w:rsid w:val="00E56B05"/>
    <w:rsid w:val="00E62C88"/>
    <w:rsid w:val="00E7588D"/>
    <w:rsid w:val="00E76747"/>
    <w:rsid w:val="00E81870"/>
    <w:rsid w:val="00E84938"/>
    <w:rsid w:val="00E84D30"/>
    <w:rsid w:val="00E923D8"/>
    <w:rsid w:val="00E979BD"/>
    <w:rsid w:val="00EA2B05"/>
    <w:rsid w:val="00EB5304"/>
    <w:rsid w:val="00EB647A"/>
    <w:rsid w:val="00EC33D7"/>
    <w:rsid w:val="00ED005D"/>
    <w:rsid w:val="00EF0862"/>
    <w:rsid w:val="00EF5DEF"/>
    <w:rsid w:val="00F017EC"/>
    <w:rsid w:val="00F03450"/>
    <w:rsid w:val="00F057E2"/>
    <w:rsid w:val="00F06D5F"/>
    <w:rsid w:val="00F10D02"/>
    <w:rsid w:val="00F124F8"/>
    <w:rsid w:val="00F135F8"/>
    <w:rsid w:val="00F279DD"/>
    <w:rsid w:val="00F34F3A"/>
    <w:rsid w:val="00F42AE7"/>
    <w:rsid w:val="00F702AD"/>
    <w:rsid w:val="00F7214C"/>
    <w:rsid w:val="00F73CA0"/>
    <w:rsid w:val="00F821E6"/>
    <w:rsid w:val="00F83B14"/>
    <w:rsid w:val="00F86A48"/>
    <w:rsid w:val="00F91D07"/>
    <w:rsid w:val="00F94439"/>
    <w:rsid w:val="00F94F46"/>
    <w:rsid w:val="00FA2037"/>
    <w:rsid w:val="00FA2E57"/>
    <w:rsid w:val="00FA4C5A"/>
    <w:rsid w:val="00FB0B5C"/>
    <w:rsid w:val="00FB431C"/>
    <w:rsid w:val="00FB5840"/>
    <w:rsid w:val="00FC0A8E"/>
    <w:rsid w:val="00FC0AFA"/>
    <w:rsid w:val="00FC1FB5"/>
    <w:rsid w:val="00FC7700"/>
    <w:rsid w:val="00FC7FCE"/>
    <w:rsid w:val="00FD0CB8"/>
    <w:rsid w:val="00FD5033"/>
    <w:rsid w:val="00FD52AC"/>
    <w:rsid w:val="00FE32CE"/>
    <w:rsid w:val="00FE35EE"/>
    <w:rsid w:val="00FE4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4C5"/>
    <w:rPr>
      <w:sz w:val="24"/>
      <w:szCs w:val="24"/>
    </w:rPr>
  </w:style>
  <w:style w:type="paragraph" w:styleId="Heading1">
    <w:name w:val="heading 1"/>
    <w:basedOn w:val="Normal"/>
    <w:next w:val="Normal"/>
    <w:qFormat/>
    <w:rsid w:val="00F135F8"/>
    <w:pPr>
      <w:keepNext/>
      <w:tabs>
        <w:tab w:val="right" w:pos="9072"/>
      </w:tabs>
      <w:spacing w:before="120"/>
      <w:jc w:val="center"/>
      <w:outlineLvl w:val="0"/>
    </w:pPr>
    <w:rPr>
      <w:szCs w:val="20"/>
      <w:lang w:eastAsia="en-US"/>
    </w:rPr>
  </w:style>
  <w:style w:type="paragraph" w:styleId="Heading2">
    <w:name w:val="heading 2"/>
    <w:basedOn w:val="Normal"/>
    <w:next w:val="Normal"/>
    <w:qFormat/>
    <w:rsid w:val="00EC33D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50E7"/>
    <w:pPr>
      <w:spacing w:before="100" w:beforeAutospacing="1" w:after="100" w:afterAutospacing="1"/>
    </w:pPr>
  </w:style>
  <w:style w:type="paragraph" w:customStyle="1" w:styleId="naisf">
    <w:name w:val="naisf"/>
    <w:basedOn w:val="Normal"/>
    <w:rsid w:val="002950E7"/>
    <w:pPr>
      <w:spacing w:before="75" w:after="75"/>
      <w:ind w:firstLine="375"/>
      <w:jc w:val="both"/>
    </w:pPr>
  </w:style>
  <w:style w:type="paragraph" w:customStyle="1" w:styleId="naislab">
    <w:name w:val="naislab"/>
    <w:basedOn w:val="Normal"/>
    <w:rsid w:val="002950E7"/>
    <w:pPr>
      <w:spacing w:before="75" w:after="75"/>
      <w:jc w:val="right"/>
    </w:pPr>
  </w:style>
  <w:style w:type="paragraph" w:customStyle="1" w:styleId="naisc">
    <w:name w:val="naisc"/>
    <w:basedOn w:val="Normal"/>
    <w:rsid w:val="002950E7"/>
    <w:pPr>
      <w:spacing w:before="450" w:after="300"/>
      <w:jc w:val="center"/>
    </w:pPr>
    <w:rPr>
      <w:sz w:val="26"/>
      <w:szCs w:val="26"/>
    </w:rPr>
  </w:style>
  <w:style w:type="paragraph" w:styleId="Header">
    <w:name w:val="header"/>
    <w:basedOn w:val="Normal"/>
    <w:link w:val="HeaderChar"/>
    <w:uiPriority w:val="99"/>
    <w:rsid w:val="00407CA1"/>
    <w:pPr>
      <w:tabs>
        <w:tab w:val="center" w:pos="4153"/>
        <w:tab w:val="right" w:pos="8306"/>
      </w:tabs>
    </w:pPr>
  </w:style>
  <w:style w:type="paragraph" w:styleId="Footer">
    <w:name w:val="footer"/>
    <w:basedOn w:val="Normal"/>
    <w:rsid w:val="00407CA1"/>
    <w:pPr>
      <w:tabs>
        <w:tab w:val="center" w:pos="4153"/>
        <w:tab w:val="right" w:pos="8306"/>
      </w:tabs>
    </w:pPr>
  </w:style>
  <w:style w:type="paragraph" w:styleId="BodyText">
    <w:name w:val="Body Text"/>
    <w:basedOn w:val="Normal"/>
    <w:rsid w:val="00407CA1"/>
    <w:rPr>
      <w:sz w:val="28"/>
      <w:szCs w:val="20"/>
      <w:lang w:eastAsia="en-US"/>
    </w:rPr>
  </w:style>
  <w:style w:type="paragraph" w:styleId="BalloonText">
    <w:name w:val="Balloon Text"/>
    <w:basedOn w:val="Normal"/>
    <w:semiHidden/>
    <w:rsid w:val="005A746D"/>
    <w:rPr>
      <w:rFonts w:ascii="Tahoma" w:hAnsi="Tahoma" w:cs="Tahoma"/>
      <w:sz w:val="16"/>
      <w:szCs w:val="16"/>
    </w:rPr>
  </w:style>
  <w:style w:type="character" w:styleId="Hyperlink">
    <w:name w:val="Hyperlink"/>
    <w:basedOn w:val="DefaultParagraphFont"/>
    <w:rsid w:val="008479F6"/>
    <w:rPr>
      <w:color w:val="AA1317"/>
      <w:u w:val="single"/>
    </w:rPr>
  </w:style>
  <w:style w:type="character" w:styleId="FollowedHyperlink">
    <w:name w:val="FollowedHyperlink"/>
    <w:basedOn w:val="DefaultParagraphFont"/>
    <w:rsid w:val="00371933"/>
    <w:rPr>
      <w:color w:val="800080"/>
      <w:u w:val="single"/>
    </w:rPr>
  </w:style>
  <w:style w:type="table" w:styleId="TableGrid">
    <w:name w:val="Table Grid"/>
    <w:basedOn w:val="TableNormal"/>
    <w:rsid w:val="00DC4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C33D7"/>
  </w:style>
  <w:style w:type="paragraph" w:customStyle="1" w:styleId="naiskr">
    <w:name w:val="naiskr"/>
    <w:basedOn w:val="Normal"/>
    <w:rsid w:val="00B408AB"/>
    <w:pPr>
      <w:spacing w:before="100" w:beforeAutospacing="1" w:after="100" w:afterAutospacing="1"/>
    </w:pPr>
    <w:rPr>
      <w:lang w:val="en-GB" w:eastAsia="en-US"/>
    </w:rPr>
  </w:style>
  <w:style w:type="character" w:styleId="Strong">
    <w:name w:val="Strong"/>
    <w:basedOn w:val="DefaultParagraphFont"/>
    <w:qFormat/>
    <w:rsid w:val="00D101F2"/>
    <w:rPr>
      <w:b/>
      <w:bCs/>
    </w:rPr>
  </w:style>
  <w:style w:type="paragraph" w:customStyle="1" w:styleId="naisnod">
    <w:name w:val="naisnod"/>
    <w:basedOn w:val="Normal"/>
    <w:rsid w:val="007655B9"/>
    <w:pPr>
      <w:spacing w:before="131" w:after="131"/>
      <w:jc w:val="center"/>
    </w:pPr>
    <w:rPr>
      <w:b/>
      <w:bCs/>
    </w:rPr>
  </w:style>
  <w:style w:type="paragraph" w:customStyle="1" w:styleId="nais2">
    <w:name w:val="nais2"/>
    <w:basedOn w:val="Normal"/>
    <w:rsid w:val="005F67C2"/>
    <w:pPr>
      <w:spacing w:before="65" w:after="65"/>
      <w:ind w:left="785" w:firstLine="327"/>
      <w:jc w:val="both"/>
    </w:pPr>
  </w:style>
  <w:style w:type="paragraph" w:styleId="Signature">
    <w:name w:val="Signature"/>
    <w:basedOn w:val="Normal"/>
    <w:next w:val="EnvelopeReturn"/>
    <w:link w:val="SignatureChar"/>
    <w:rsid w:val="00B8658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B8658B"/>
    <w:rPr>
      <w:sz w:val="26"/>
      <w:lang w:val="en-AU" w:eastAsia="en-US"/>
    </w:rPr>
  </w:style>
  <w:style w:type="paragraph" w:styleId="EnvelopeReturn">
    <w:name w:val="envelope return"/>
    <w:basedOn w:val="Normal"/>
    <w:rsid w:val="00B8658B"/>
    <w:rPr>
      <w:rFonts w:ascii="Arial" w:hAnsi="Arial" w:cs="Arial"/>
      <w:sz w:val="20"/>
      <w:szCs w:val="20"/>
    </w:rPr>
  </w:style>
  <w:style w:type="paragraph" w:styleId="FootnoteText">
    <w:name w:val="footnote text"/>
    <w:basedOn w:val="Normal"/>
    <w:link w:val="FootnoteTextChar"/>
    <w:rsid w:val="00B8658B"/>
    <w:rPr>
      <w:sz w:val="20"/>
      <w:szCs w:val="20"/>
    </w:rPr>
  </w:style>
  <w:style w:type="character" w:customStyle="1" w:styleId="FootnoteTextChar">
    <w:name w:val="Footnote Text Char"/>
    <w:basedOn w:val="DefaultParagraphFont"/>
    <w:link w:val="FootnoteText"/>
    <w:rsid w:val="00B8658B"/>
  </w:style>
  <w:style w:type="character" w:customStyle="1" w:styleId="apple-converted-space">
    <w:name w:val="apple-converted-space"/>
    <w:rsid w:val="00B8658B"/>
  </w:style>
  <w:style w:type="paragraph" w:customStyle="1" w:styleId="tvhtml">
    <w:name w:val="tv_html"/>
    <w:basedOn w:val="Normal"/>
    <w:rsid w:val="00B8658B"/>
    <w:pPr>
      <w:spacing w:before="100" w:beforeAutospacing="1" w:after="100" w:afterAutospacing="1"/>
    </w:pPr>
  </w:style>
  <w:style w:type="character" w:customStyle="1" w:styleId="tvhtml1">
    <w:name w:val="tv_html1"/>
    <w:rsid w:val="00B8658B"/>
  </w:style>
  <w:style w:type="character" w:customStyle="1" w:styleId="fontsize2">
    <w:name w:val="fontsize2"/>
    <w:rsid w:val="00B8658B"/>
  </w:style>
  <w:style w:type="character" w:styleId="FootnoteReference">
    <w:name w:val="footnote reference"/>
    <w:rsid w:val="00B8658B"/>
    <w:rPr>
      <w:vertAlign w:val="superscript"/>
    </w:rPr>
  </w:style>
  <w:style w:type="paragraph" w:styleId="PlainText">
    <w:name w:val="Plain Text"/>
    <w:basedOn w:val="Normal"/>
    <w:link w:val="PlainTextChar"/>
    <w:unhideWhenUsed/>
    <w:rsid w:val="00B8658B"/>
    <w:rPr>
      <w:rFonts w:ascii="Courier New" w:eastAsia="Calibri" w:hAnsi="Courier New" w:cs="Courier New"/>
      <w:sz w:val="20"/>
      <w:szCs w:val="20"/>
    </w:rPr>
  </w:style>
  <w:style w:type="character" w:customStyle="1" w:styleId="PlainTextChar">
    <w:name w:val="Plain Text Char"/>
    <w:basedOn w:val="DefaultParagraphFont"/>
    <w:link w:val="PlainText"/>
    <w:rsid w:val="00B8658B"/>
    <w:rPr>
      <w:rFonts w:ascii="Courier New" w:eastAsia="Calibri" w:hAnsi="Courier New" w:cs="Courier New"/>
    </w:rPr>
  </w:style>
  <w:style w:type="paragraph" w:styleId="ListParagraph">
    <w:name w:val="List Paragraph"/>
    <w:basedOn w:val="Normal"/>
    <w:uiPriority w:val="34"/>
    <w:qFormat/>
    <w:rsid w:val="00B8658B"/>
    <w:pPr>
      <w:ind w:left="720"/>
      <w:contextualSpacing/>
    </w:pPr>
  </w:style>
  <w:style w:type="paragraph" w:styleId="BodyTextIndent">
    <w:name w:val="Body Text Indent"/>
    <w:basedOn w:val="Normal"/>
    <w:link w:val="BodyTextIndentChar"/>
    <w:rsid w:val="00B8658B"/>
    <w:pPr>
      <w:spacing w:after="120"/>
      <w:ind w:left="283"/>
    </w:pPr>
  </w:style>
  <w:style w:type="character" w:customStyle="1" w:styleId="BodyTextIndentChar">
    <w:name w:val="Body Text Indent Char"/>
    <w:basedOn w:val="DefaultParagraphFont"/>
    <w:link w:val="BodyTextIndent"/>
    <w:rsid w:val="00B8658B"/>
    <w:rPr>
      <w:sz w:val="24"/>
      <w:szCs w:val="24"/>
    </w:rPr>
  </w:style>
  <w:style w:type="character" w:customStyle="1" w:styleId="xdtextbox1">
    <w:name w:val="xdtextbox1"/>
    <w:rsid w:val="00B8658B"/>
    <w:rPr>
      <w:color w:val="auto"/>
      <w:bdr w:val="single" w:sz="8" w:space="1" w:color="DCDCDC" w:frame="1"/>
      <w:shd w:val="clear" w:color="auto" w:fill="FFFFFF"/>
    </w:rPr>
  </w:style>
  <w:style w:type="paragraph" w:styleId="BodyText3">
    <w:name w:val="Body Text 3"/>
    <w:basedOn w:val="Normal"/>
    <w:link w:val="BodyText3Char"/>
    <w:rsid w:val="00B8658B"/>
    <w:pPr>
      <w:spacing w:after="120"/>
    </w:pPr>
    <w:rPr>
      <w:sz w:val="16"/>
      <w:szCs w:val="16"/>
    </w:rPr>
  </w:style>
  <w:style w:type="character" w:customStyle="1" w:styleId="BodyText3Char">
    <w:name w:val="Body Text 3 Char"/>
    <w:basedOn w:val="DefaultParagraphFont"/>
    <w:link w:val="BodyText3"/>
    <w:rsid w:val="00B8658B"/>
    <w:rPr>
      <w:sz w:val="16"/>
      <w:szCs w:val="16"/>
    </w:rPr>
  </w:style>
  <w:style w:type="character" w:customStyle="1" w:styleId="HeaderChar">
    <w:name w:val="Header Char"/>
    <w:link w:val="Header"/>
    <w:uiPriority w:val="99"/>
    <w:rsid w:val="00B8658B"/>
    <w:rPr>
      <w:sz w:val="24"/>
      <w:szCs w:val="24"/>
    </w:rPr>
  </w:style>
  <w:style w:type="paragraph" w:customStyle="1" w:styleId="tv2131">
    <w:name w:val="tv2131"/>
    <w:basedOn w:val="Normal"/>
    <w:rsid w:val="006A140A"/>
    <w:pPr>
      <w:spacing w:before="240" w:line="360" w:lineRule="auto"/>
      <w:ind w:firstLine="250"/>
      <w:jc w:val="both"/>
    </w:pPr>
    <w:rPr>
      <w:rFonts w:ascii="Verdana" w:hAnsi="Verdana"/>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46070">
      <w:bodyDiv w:val="1"/>
      <w:marLeft w:val="0"/>
      <w:marRight w:val="0"/>
      <w:marTop w:val="0"/>
      <w:marBottom w:val="0"/>
      <w:divBdr>
        <w:top w:val="none" w:sz="0" w:space="0" w:color="auto"/>
        <w:left w:val="none" w:sz="0" w:space="0" w:color="auto"/>
        <w:bottom w:val="none" w:sz="0" w:space="0" w:color="auto"/>
        <w:right w:val="none" w:sz="0" w:space="0" w:color="auto"/>
      </w:divBdr>
    </w:div>
    <w:div w:id="14418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3905-1A4B-4A3B-9C15-B60768AB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2397</Words>
  <Characters>16344</Characters>
  <Application>Microsoft Office Word</Application>
  <DocSecurity>0</DocSecurity>
  <Lines>605</Lines>
  <Paragraphs>328</Paragraphs>
  <ScaleCrop>false</ScaleCrop>
  <HeadingPairs>
    <vt:vector size="2" baseType="variant">
      <vt:variant>
        <vt:lpstr>Title</vt:lpstr>
      </vt:variant>
      <vt:variant>
        <vt:i4>1</vt:i4>
      </vt:variant>
    </vt:vector>
  </HeadingPairs>
  <TitlesOfParts>
    <vt:vector size="1" baseType="lpstr">
      <vt:lpstr>Noteikumu projekta „Noteikumi par ēku energosertifikāciju” sākotnējās ietekmes novērtējuma ziņojums (anotācija)</vt:lpstr>
    </vt:vector>
  </TitlesOfParts>
  <Company>LR Ekonomikas ministrija</Company>
  <LinksUpToDate>false</LinksUpToDate>
  <CharactersWithSpaces>18413</CharactersWithSpaces>
  <SharedDoc>false</SharedDoc>
  <HLinks>
    <vt:vector size="6" baseType="variant">
      <vt:variant>
        <vt:i4>1638473</vt:i4>
      </vt:variant>
      <vt:variant>
        <vt:i4>0</vt:i4>
      </vt:variant>
      <vt:variant>
        <vt:i4>0</vt:i4>
      </vt:variant>
      <vt:variant>
        <vt:i4>5</vt:i4>
      </vt:variant>
      <vt:variant>
        <vt:lpwstr>http://www.likumi.lv/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ēku energosertifikāciju” sākotnējās ietekmes novērtējuma ziņojums (anotācija)</dc:title>
  <dc:subject>anotācija</dc:subject>
  <dc:creator>Dzintars Grasmanis</dc:creator>
  <dc:description>dzintars.grasmanis@em.gov.lv
67013040</dc:description>
  <cp:lastModifiedBy>Dzintars Grasmanis</cp:lastModifiedBy>
  <cp:revision>9</cp:revision>
  <cp:lastPrinted>2013-07-05T05:29:00Z</cp:lastPrinted>
  <dcterms:created xsi:type="dcterms:W3CDTF">2013-05-30T13:05:00Z</dcterms:created>
  <dcterms:modified xsi:type="dcterms:W3CDTF">2013-07-05T06:39:00Z</dcterms:modified>
</cp:coreProperties>
</file>