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D40" w:rsidRDefault="00A67D40" w:rsidP="00AA41AB">
      <w:pPr>
        <w:pStyle w:val="naisf"/>
        <w:spacing w:before="0" w:after="0"/>
        <w:jc w:val="center"/>
        <w:rPr>
          <w:b/>
          <w:bCs/>
        </w:rPr>
      </w:pPr>
      <w:bookmarkStart w:id="0" w:name="OLE_LINK4"/>
      <w:bookmarkStart w:id="1" w:name="OLE_LINK5"/>
      <w:r w:rsidRPr="00BA0369">
        <w:rPr>
          <w:b/>
        </w:rPr>
        <w:t xml:space="preserve">Ministru kabineta noteikumu </w:t>
      </w:r>
      <w:r w:rsidRPr="00FF5FD0">
        <w:rPr>
          <w:b/>
        </w:rPr>
        <w:t>projekta</w:t>
      </w:r>
      <w:r w:rsidR="003E45BF" w:rsidRPr="00FF5FD0">
        <w:rPr>
          <w:b/>
        </w:rPr>
        <w:t xml:space="preserve"> </w:t>
      </w:r>
      <w:r w:rsidRPr="00FF5FD0">
        <w:rPr>
          <w:b/>
        </w:rPr>
        <w:t>„</w:t>
      </w:r>
      <w:r w:rsidR="001607DD">
        <w:rPr>
          <w:b/>
        </w:rPr>
        <w:t>Noteikumi par nodevu atļaujas laukuma jūrā izmantošanai mākslīgo salu, būvju un iekārtu būvniecībai, ierīkošanai, ar to saistītai izpētei un ekspluatācijai</w:t>
      </w:r>
      <w:r w:rsidR="001418F5" w:rsidRPr="00BA0369">
        <w:rPr>
          <w:b/>
          <w:bCs/>
        </w:rPr>
        <w:t>”</w:t>
      </w:r>
      <w:r w:rsidRPr="00BA0369">
        <w:rPr>
          <w:b/>
        </w:rPr>
        <w:t xml:space="preserve"> </w:t>
      </w:r>
      <w:r w:rsidRPr="00BA0369">
        <w:rPr>
          <w:b/>
          <w:bCs/>
        </w:rPr>
        <w:t>sākotnējās ietekmes novērtējuma ziņojums (anotācija)</w:t>
      </w:r>
    </w:p>
    <w:bookmarkEnd w:id="0"/>
    <w:bookmarkEnd w:id="1"/>
    <w:p w:rsidR="00B843C2" w:rsidRPr="00BA0369" w:rsidRDefault="00B843C2" w:rsidP="00AA41AB">
      <w:pPr>
        <w:pStyle w:val="naisf"/>
        <w:spacing w:before="0" w:after="0"/>
        <w:jc w:val="center"/>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2"/>
        <w:gridCol w:w="1717"/>
        <w:gridCol w:w="7162"/>
      </w:tblGrid>
      <w:tr w:rsidR="002E43E8" w:rsidRPr="00BA0369" w:rsidTr="002E43E8">
        <w:trPr>
          <w:tblCellSpacing w:w="15" w:type="dxa"/>
        </w:trPr>
        <w:tc>
          <w:tcPr>
            <w:tcW w:w="0" w:type="auto"/>
            <w:gridSpan w:val="3"/>
            <w:tcBorders>
              <w:top w:val="single" w:sz="6" w:space="0" w:color="auto"/>
              <w:left w:val="single" w:sz="6" w:space="0" w:color="auto"/>
              <w:bottom w:val="outset" w:sz="6" w:space="0" w:color="auto"/>
              <w:right w:val="single" w:sz="6" w:space="0" w:color="auto"/>
            </w:tcBorders>
            <w:vAlign w:val="center"/>
            <w:hideMark/>
          </w:tcPr>
          <w:p w:rsidR="002E43E8" w:rsidRPr="00BA0369" w:rsidRDefault="002E43E8" w:rsidP="002E43E8">
            <w:pPr>
              <w:spacing w:before="100" w:beforeAutospacing="1" w:after="100" w:afterAutospacing="1" w:line="240" w:lineRule="auto"/>
              <w:jc w:val="center"/>
              <w:rPr>
                <w:rFonts w:ascii="Times New Roman" w:eastAsia="Times New Roman" w:hAnsi="Times New Roman"/>
                <w:b/>
                <w:bCs/>
                <w:sz w:val="24"/>
                <w:szCs w:val="24"/>
                <w:lang w:eastAsia="lv-LV"/>
              </w:rPr>
            </w:pPr>
            <w:r w:rsidRPr="00BA0369">
              <w:rPr>
                <w:rFonts w:ascii="Times New Roman" w:eastAsia="Times New Roman" w:hAnsi="Times New Roman"/>
                <w:b/>
                <w:bCs/>
                <w:sz w:val="24"/>
                <w:szCs w:val="24"/>
                <w:lang w:eastAsia="lv-LV"/>
              </w:rPr>
              <w:t>I. Tiesību akta projekta izstrādes nepieciešamība</w:t>
            </w:r>
          </w:p>
        </w:tc>
      </w:tr>
      <w:tr w:rsidR="002E43E8" w:rsidRPr="00BA0369" w:rsidTr="00F8043B">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1.</w:t>
            </w:r>
          </w:p>
        </w:tc>
        <w:tc>
          <w:tcPr>
            <w:tcW w:w="915"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Pamatojums</w:t>
            </w:r>
          </w:p>
        </w:tc>
        <w:tc>
          <w:tcPr>
            <w:tcW w:w="3859" w:type="pct"/>
            <w:tcBorders>
              <w:top w:val="outset" w:sz="6" w:space="0" w:color="auto"/>
              <w:left w:val="outset" w:sz="6" w:space="0" w:color="auto"/>
              <w:bottom w:val="outset" w:sz="6" w:space="0" w:color="auto"/>
              <w:right w:val="outset" w:sz="6" w:space="0" w:color="auto"/>
            </w:tcBorders>
            <w:hideMark/>
          </w:tcPr>
          <w:p w:rsidR="00110AA1" w:rsidRPr="00BA0369" w:rsidRDefault="001607DD" w:rsidP="0038289F">
            <w:pPr>
              <w:pStyle w:val="naislab"/>
              <w:spacing w:before="0" w:after="0"/>
              <w:ind w:left="104" w:right="57"/>
              <w:jc w:val="both"/>
              <w:rPr>
                <w:color w:val="000000" w:themeColor="text1"/>
              </w:rPr>
            </w:pPr>
            <w:r w:rsidRPr="00B8575B">
              <w:rPr>
                <w:color w:val="000000" w:themeColor="text1"/>
              </w:rPr>
              <w:t>Jūras vides aizsardzības un pārvaldības likuma 19.panta piektā</w:t>
            </w:r>
            <w:r>
              <w:rPr>
                <w:color w:val="000000" w:themeColor="text1"/>
              </w:rPr>
              <w:t xml:space="preserve"> daļa</w:t>
            </w:r>
            <w:r w:rsidRPr="00B8575B">
              <w:rPr>
                <w:color w:val="000000" w:themeColor="text1"/>
              </w:rPr>
              <w:t xml:space="preserve"> nosaka Ministru kabinetam deleģējumu noteikt nodevas par atļaujas laukuma jūrā izmantošanu </w:t>
            </w:r>
            <w:r w:rsidRPr="00B8575B">
              <w:rPr>
                <w:bCs/>
              </w:rPr>
              <w:t>mākslīgo salu, būvju un iekārtu, tajā skaitā platformu un enerģijas ražošanai nepieciešamo iekārtu, būvniecībai, ierīkošanai, ar to saistītai izpētei un ekspluatācijai</w:t>
            </w:r>
            <w:r>
              <w:rPr>
                <w:bCs/>
              </w:rPr>
              <w:t xml:space="preserve"> maksāšanas kārtību un apmēru, kā arī atbrīvojumus no nodevas maksāšanas</w:t>
            </w:r>
            <w:r>
              <w:rPr>
                <w:color w:val="000000" w:themeColor="text1"/>
              </w:rPr>
              <w:t>.</w:t>
            </w:r>
          </w:p>
        </w:tc>
      </w:tr>
      <w:tr w:rsidR="002E43E8" w:rsidRPr="00BA0369" w:rsidTr="00F8043B">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2.</w:t>
            </w:r>
          </w:p>
        </w:tc>
        <w:tc>
          <w:tcPr>
            <w:tcW w:w="915"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Pašreizējā situācija un problēmas</w:t>
            </w:r>
          </w:p>
        </w:tc>
        <w:tc>
          <w:tcPr>
            <w:tcW w:w="3859" w:type="pct"/>
            <w:tcBorders>
              <w:top w:val="outset" w:sz="6" w:space="0" w:color="auto"/>
              <w:left w:val="outset" w:sz="6" w:space="0" w:color="auto"/>
              <w:bottom w:val="outset" w:sz="6" w:space="0" w:color="auto"/>
              <w:right w:val="outset" w:sz="6" w:space="0" w:color="auto"/>
            </w:tcBorders>
            <w:hideMark/>
          </w:tcPr>
          <w:p w:rsidR="000A1B39" w:rsidRDefault="00F7548D" w:rsidP="00B94028">
            <w:pPr>
              <w:pStyle w:val="ListParagraph"/>
              <w:ind w:left="0"/>
              <w:jc w:val="both"/>
              <w:rPr>
                <w:rFonts w:ascii="Times New Roman" w:hAnsi="Times New Roman"/>
                <w:sz w:val="24"/>
                <w:szCs w:val="24"/>
              </w:rPr>
            </w:pPr>
            <w:r>
              <w:rPr>
                <w:rFonts w:ascii="Times New Roman" w:hAnsi="Times New Roman"/>
                <w:sz w:val="24"/>
                <w:szCs w:val="24"/>
              </w:rPr>
              <w:t xml:space="preserve"> </w:t>
            </w:r>
            <w:r w:rsidR="0096094A">
              <w:rPr>
                <w:rFonts w:ascii="Times New Roman" w:hAnsi="Times New Roman"/>
                <w:sz w:val="24"/>
                <w:szCs w:val="24"/>
              </w:rPr>
              <w:t xml:space="preserve">Līdz šim darbību veikšana jūrā netika regulēta un noteikta. </w:t>
            </w:r>
          </w:p>
          <w:p w:rsidR="0096094A" w:rsidRDefault="0096094A" w:rsidP="00B94028">
            <w:pPr>
              <w:pStyle w:val="ListParagraph"/>
              <w:ind w:left="0"/>
              <w:jc w:val="both"/>
              <w:rPr>
                <w:rFonts w:ascii="Times New Roman" w:hAnsi="Times New Roman"/>
                <w:sz w:val="24"/>
                <w:szCs w:val="24"/>
              </w:rPr>
            </w:pPr>
            <w:r>
              <w:rPr>
                <w:rFonts w:ascii="Times New Roman" w:hAnsi="Times New Roman"/>
                <w:sz w:val="24"/>
                <w:szCs w:val="24"/>
              </w:rPr>
              <w:t xml:space="preserve">2010.gada 18.novembrī stājās spēkā Jūras vides aizsardzības un pārvaldības likums, kas nosaka Ministru kabinetam deleģējumu izdot vairākus Ministru kabineta noteikumus, kas regulē atļaujas izsniegšanu jūras izmantošanai un nodevas noteikšanu par jūras izmantošanu. </w:t>
            </w:r>
          </w:p>
          <w:p w:rsidR="0096094A" w:rsidRDefault="0096094A" w:rsidP="0096094A">
            <w:pPr>
              <w:pStyle w:val="ListParagraph"/>
              <w:ind w:left="0"/>
              <w:jc w:val="both"/>
              <w:rPr>
                <w:rFonts w:ascii="Times New Roman" w:hAnsi="Times New Roman"/>
                <w:sz w:val="24"/>
                <w:szCs w:val="24"/>
              </w:rPr>
            </w:pPr>
            <w:r>
              <w:rPr>
                <w:rFonts w:ascii="Times New Roman" w:hAnsi="Times New Roman"/>
                <w:sz w:val="24"/>
                <w:szCs w:val="24"/>
              </w:rPr>
              <w:t>Latvijas Republikā spēkā esošie normatīvie akti, ja vien nav noteikts citādi</w:t>
            </w:r>
            <w:r w:rsidR="00521707">
              <w:rPr>
                <w:rFonts w:ascii="Times New Roman" w:hAnsi="Times New Roman"/>
                <w:sz w:val="24"/>
                <w:szCs w:val="24"/>
              </w:rPr>
              <w:t>,</w:t>
            </w:r>
            <w:r>
              <w:rPr>
                <w:rFonts w:ascii="Times New Roman" w:hAnsi="Times New Roman"/>
                <w:sz w:val="24"/>
                <w:szCs w:val="24"/>
              </w:rPr>
              <w:t xml:space="preserve"> neattiecas uz Latvijas Republikas ekskluzīvo ekonomisko zonu, tātad arī attiecīgi nenosaka maksu par šīs teritorijas izmantošanu. </w:t>
            </w:r>
          </w:p>
          <w:p w:rsidR="006C1D41" w:rsidRDefault="0096094A" w:rsidP="0096094A">
            <w:pPr>
              <w:spacing w:after="0" w:line="240" w:lineRule="auto"/>
              <w:jc w:val="both"/>
              <w:rPr>
                <w:rFonts w:ascii="Times New Roman" w:hAnsi="Times New Roman"/>
                <w:sz w:val="24"/>
                <w:szCs w:val="24"/>
              </w:rPr>
            </w:pPr>
            <w:r w:rsidRPr="00BA0369">
              <w:rPr>
                <w:rFonts w:ascii="Times New Roman" w:hAnsi="Times New Roman"/>
                <w:sz w:val="24"/>
                <w:szCs w:val="24"/>
              </w:rPr>
              <w:t>Saskaņā ar Latvijas Republikas valsts robežas likuma 1.panta 1. un 9.punktu valsts robeža ir nepārtraukta un noslēgta līnija un ar šo līniju sakrītoša vertikāla virsma, kas Latvijas Republikas sauszemes un ūdeņu teritoriju, zemes dzīles un gaisa telpu norobežo no kaimiņvalstīm un no Latvijas Republikas ekskluzīvās ekonomiskās zonas Baltijas jūrā; Latvijas Republikas teritoriālā jūra ir Baltijas jūras ūdeņi 12 jūras jūdžu platumā, skaitot no bāzes līnijas, ja starptautiskajos līgumos nav noteikts citādi</w:t>
            </w:r>
            <w:r>
              <w:rPr>
                <w:rFonts w:ascii="Times New Roman" w:hAnsi="Times New Roman"/>
                <w:sz w:val="24"/>
                <w:szCs w:val="24"/>
              </w:rPr>
              <w:t>.</w:t>
            </w:r>
          </w:p>
          <w:p w:rsidR="0096094A" w:rsidRPr="00BA0369" w:rsidRDefault="0096094A" w:rsidP="0096094A">
            <w:pPr>
              <w:spacing w:after="0" w:line="240" w:lineRule="auto"/>
              <w:jc w:val="both"/>
              <w:rPr>
                <w:rFonts w:ascii="Times New Roman" w:hAnsi="Times New Roman"/>
                <w:sz w:val="24"/>
                <w:szCs w:val="24"/>
              </w:rPr>
            </w:pPr>
            <w:r w:rsidRPr="00BA0369">
              <w:rPr>
                <w:rFonts w:ascii="Times New Roman" w:hAnsi="Times New Roman"/>
                <w:sz w:val="24"/>
                <w:szCs w:val="24"/>
              </w:rPr>
              <w:t xml:space="preserve">Baltijas jūras Rīgas jūras līča ūdeņi no bāzes līnijas līdz valsts robežai, kas noteikta saskaņā ar Latvijas Republikas un Igaunijas Republikas 1996.gada 12.jūlija līgumu par jūras robežas noteikšanu Rīgas jūras līcī, Irbes šaurumā un Baltijas jūrā. </w:t>
            </w:r>
          </w:p>
          <w:p w:rsidR="0096094A" w:rsidRDefault="0096094A" w:rsidP="0096094A">
            <w:pPr>
              <w:pStyle w:val="ListParagraph"/>
              <w:ind w:left="0"/>
              <w:jc w:val="both"/>
              <w:rPr>
                <w:rFonts w:ascii="Times New Roman" w:eastAsia="Calibri" w:hAnsi="Times New Roman"/>
                <w:sz w:val="24"/>
                <w:szCs w:val="24"/>
                <w:lang w:eastAsia="en-US"/>
              </w:rPr>
            </w:pPr>
            <w:r>
              <w:rPr>
                <w:rFonts w:ascii="Times New Roman" w:hAnsi="Times New Roman"/>
                <w:color w:val="000000" w:themeColor="text1"/>
                <w:sz w:val="24"/>
                <w:szCs w:val="24"/>
              </w:rPr>
              <w:t xml:space="preserve">Likuma </w:t>
            </w:r>
            <w:r w:rsidRPr="0096094A">
              <w:rPr>
                <w:rFonts w:ascii="Times New Roman" w:eastAsia="Calibri" w:hAnsi="Times New Roman"/>
                <w:sz w:val="24"/>
                <w:szCs w:val="24"/>
                <w:lang w:eastAsia="en-US"/>
              </w:rPr>
              <w:t xml:space="preserve">„Par valsts un pašvaldību finanšu līdzekļu un </w:t>
            </w:r>
            <w:r w:rsidRPr="0096094A">
              <w:rPr>
                <w:rFonts w:ascii="Times New Roman" w:eastAsia="Calibri" w:hAnsi="Times New Roman"/>
                <w:sz w:val="24"/>
                <w:szCs w:val="24"/>
                <w:lang w:eastAsia="en-US"/>
              </w:rPr>
              <w:br/>
              <w:t>mantas izšķērdēšanas novēršanu</w:t>
            </w:r>
            <w:r>
              <w:rPr>
                <w:rFonts w:ascii="Times New Roman" w:eastAsia="Calibri" w:hAnsi="Times New Roman"/>
                <w:sz w:val="24"/>
                <w:szCs w:val="24"/>
                <w:lang w:eastAsia="en-US"/>
              </w:rPr>
              <w:t xml:space="preserve">” 5.panta pirmā daļa nosaka, ka </w:t>
            </w:r>
            <w:r w:rsidRPr="00DF118D">
              <w:rPr>
                <w:rFonts w:ascii="Times New Roman" w:eastAsia="Calibri" w:hAnsi="Times New Roman"/>
                <w:sz w:val="24"/>
                <w:szCs w:val="24"/>
                <w:lang w:eastAsia="en-US"/>
              </w:rPr>
              <w:t xml:space="preserve"> Valsts un pašvaldību mantu aizliegts nodot citām personām bezatlīdzības lietošanā.</w:t>
            </w:r>
          </w:p>
          <w:p w:rsidR="00A67101" w:rsidRPr="00BA0369" w:rsidRDefault="00A67101" w:rsidP="0096094A">
            <w:pPr>
              <w:pStyle w:val="ListParagraph"/>
              <w:ind w:left="0"/>
              <w:jc w:val="both"/>
              <w:rPr>
                <w:rFonts w:ascii="Times New Roman" w:hAnsi="Times New Roman"/>
                <w:color w:val="000000" w:themeColor="text1"/>
                <w:sz w:val="24"/>
                <w:szCs w:val="24"/>
              </w:rPr>
            </w:pPr>
            <w:r>
              <w:rPr>
                <w:rFonts w:ascii="Times New Roman" w:eastAsia="Calibri" w:hAnsi="Times New Roman"/>
                <w:sz w:val="24"/>
                <w:szCs w:val="24"/>
                <w:lang w:eastAsia="en-US"/>
              </w:rPr>
              <w:t xml:space="preserve">Tādējādi, ievērojot Jūras vides aizsardzības un pārvaldības likuma deleģējumu, kā arī normatīvo regulējumu, Ekonomikas ministrijai jāizstrādā Ministru kabineta noteikumu projekts, kas nosaka nodevu par atļaujas laukuma jūrā izmantošanu. </w:t>
            </w:r>
          </w:p>
        </w:tc>
      </w:tr>
      <w:tr w:rsidR="002E43E8" w:rsidRPr="00BA0369" w:rsidTr="00F8043B">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3.</w:t>
            </w:r>
          </w:p>
        </w:tc>
        <w:tc>
          <w:tcPr>
            <w:tcW w:w="915"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Saistītie politikas ietekmes novērtējumi un pētījumi</w:t>
            </w:r>
          </w:p>
        </w:tc>
        <w:tc>
          <w:tcPr>
            <w:tcW w:w="3859" w:type="pct"/>
            <w:tcBorders>
              <w:top w:val="outset" w:sz="6" w:space="0" w:color="auto"/>
              <w:left w:val="outset" w:sz="6" w:space="0" w:color="auto"/>
              <w:bottom w:val="outset" w:sz="6" w:space="0" w:color="auto"/>
              <w:right w:val="outset" w:sz="6" w:space="0" w:color="auto"/>
            </w:tcBorders>
            <w:hideMark/>
          </w:tcPr>
          <w:p w:rsidR="006D1CF8" w:rsidRPr="00BA0369" w:rsidRDefault="00A67101" w:rsidP="003E4698">
            <w:pPr>
              <w:spacing w:after="0" w:line="240" w:lineRule="auto"/>
              <w:jc w:val="both"/>
              <w:rPr>
                <w:rFonts w:ascii="Times New Roman" w:eastAsia="Times New Roman" w:hAnsi="Times New Roman"/>
                <w:color w:val="000000" w:themeColor="text1"/>
                <w:sz w:val="24"/>
                <w:szCs w:val="24"/>
                <w:lang w:eastAsia="lv-LV"/>
              </w:rPr>
            </w:pPr>
            <w:r>
              <w:rPr>
                <w:rFonts w:ascii="Times New Roman" w:hAnsi="Times New Roman"/>
                <w:iCs/>
                <w:color w:val="000000" w:themeColor="text1"/>
                <w:sz w:val="24"/>
                <w:szCs w:val="24"/>
              </w:rPr>
              <w:t xml:space="preserve">Projekts šo jomu neskar. </w:t>
            </w:r>
          </w:p>
        </w:tc>
      </w:tr>
      <w:tr w:rsidR="002E43E8" w:rsidRPr="00BA0369" w:rsidTr="00F8043B">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4.</w:t>
            </w:r>
          </w:p>
        </w:tc>
        <w:tc>
          <w:tcPr>
            <w:tcW w:w="915"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0A1B39">
              <w:rPr>
                <w:rFonts w:ascii="Times New Roman" w:eastAsia="Times New Roman" w:hAnsi="Times New Roman"/>
                <w:sz w:val="24"/>
                <w:szCs w:val="24"/>
                <w:lang w:eastAsia="lv-LV"/>
              </w:rPr>
              <w:t xml:space="preserve">Tiesiskā regulējuma </w:t>
            </w:r>
            <w:r w:rsidRPr="000A1B39">
              <w:rPr>
                <w:rFonts w:ascii="Times New Roman" w:eastAsia="Times New Roman" w:hAnsi="Times New Roman"/>
                <w:sz w:val="24"/>
                <w:szCs w:val="24"/>
                <w:lang w:eastAsia="lv-LV"/>
              </w:rPr>
              <w:lastRenderedPageBreak/>
              <w:t>mērķis un būtība</w:t>
            </w:r>
          </w:p>
        </w:tc>
        <w:tc>
          <w:tcPr>
            <w:tcW w:w="3859" w:type="pct"/>
            <w:tcBorders>
              <w:top w:val="outset" w:sz="6" w:space="0" w:color="auto"/>
              <w:left w:val="outset" w:sz="6" w:space="0" w:color="auto"/>
              <w:bottom w:val="outset" w:sz="6" w:space="0" w:color="auto"/>
              <w:right w:val="outset" w:sz="6" w:space="0" w:color="auto"/>
            </w:tcBorders>
            <w:hideMark/>
          </w:tcPr>
          <w:p w:rsidR="00224710" w:rsidRDefault="00A67101" w:rsidP="00A671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Noteikumu projekts nosaka, ka l</w:t>
            </w:r>
            <w:r w:rsidRPr="00A67101">
              <w:rPr>
                <w:rFonts w:ascii="Times New Roman" w:hAnsi="Times New Roman"/>
                <w:color w:val="000000" w:themeColor="text1"/>
                <w:sz w:val="24"/>
                <w:szCs w:val="24"/>
              </w:rPr>
              <w:t xml:space="preserve">aukuma nodeva ir maksa par Latvijas teritorijā vai Latvijas Republikas ekskluzīvajā ekonomiskajā zonā </w:t>
            </w:r>
            <w:r w:rsidRPr="00A67101">
              <w:rPr>
                <w:rFonts w:ascii="Times New Roman" w:hAnsi="Times New Roman"/>
                <w:color w:val="000000" w:themeColor="text1"/>
                <w:sz w:val="24"/>
                <w:szCs w:val="24"/>
              </w:rPr>
              <w:lastRenderedPageBreak/>
              <w:t>noteiktā atļaujas laukuma izmantošanu mākslīgo salu, būvju un iekārtu, tajā skaitā platformu un enerģijas ražošanai nepieciešamo iekārtu (turpmāk – būves), būvniecībai, ierīkošanai, ar to saistītai izpētei un ekspluatācijai</w:t>
            </w:r>
            <w:r>
              <w:rPr>
                <w:rFonts w:ascii="Times New Roman" w:hAnsi="Times New Roman"/>
                <w:color w:val="000000" w:themeColor="text1"/>
                <w:sz w:val="24"/>
                <w:szCs w:val="24"/>
              </w:rPr>
              <w:t xml:space="preserve">. Laukuma nodeva tiek diferencēta trīs veidos: </w:t>
            </w:r>
            <w:r w:rsidRPr="00A67101">
              <w:rPr>
                <w:rFonts w:ascii="Times New Roman" w:hAnsi="Times New Roman"/>
                <w:color w:val="000000" w:themeColor="text1"/>
                <w:sz w:val="24"/>
                <w:szCs w:val="24"/>
              </w:rPr>
              <w:t>būvju būvniecībai, kas nepieciešama izpētes veikšanai; būvju būvniecībai komercdarbības veikšanai; vēja elektrostaciju būvniecībai, ja vēja elektrostacijas netiek  pieslēgtas Latvijas elektrotīklam</w:t>
            </w:r>
            <w:r>
              <w:rPr>
                <w:rFonts w:ascii="Times New Roman" w:hAnsi="Times New Roman"/>
                <w:color w:val="000000" w:themeColor="text1"/>
                <w:sz w:val="24"/>
                <w:szCs w:val="24"/>
              </w:rPr>
              <w:t xml:space="preserve">. </w:t>
            </w:r>
          </w:p>
          <w:p w:rsidR="00A67101" w:rsidRPr="002C7CB3" w:rsidRDefault="00A67101" w:rsidP="00A671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Noteikumu projekts nosaka, ka nodevas maksātāji ir </w:t>
            </w:r>
            <w:r w:rsidRPr="00A67101">
              <w:rPr>
                <w:rFonts w:ascii="Times New Roman" w:hAnsi="Times New Roman"/>
                <w:color w:val="000000" w:themeColor="text1"/>
                <w:sz w:val="24"/>
                <w:szCs w:val="24"/>
              </w:rPr>
              <w:t>personas, kuras saņēmušas Ministru kabineta atļauju būvju būvniecībai, ierīkošanai, arī ar to saistītai izpētei un būvju ekspluatācijai noteiktā atļaujas laukumā</w:t>
            </w:r>
            <w:r>
              <w:rPr>
                <w:rFonts w:ascii="Times New Roman" w:hAnsi="Times New Roman"/>
                <w:color w:val="000000" w:themeColor="text1"/>
                <w:sz w:val="24"/>
                <w:szCs w:val="24"/>
              </w:rPr>
              <w:t xml:space="preserve">. Laukuma nodevu maksā latos par kvadrātmetru mēnesī. </w:t>
            </w:r>
          </w:p>
        </w:tc>
      </w:tr>
      <w:tr w:rsidR="002E43E8" w:rsidRPr="00BA0369" w:rsidTr="00F8043B">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lastRenderedPageBreak/>
              <w:t>5.</w:t>
            </w:r>
          </w:p>
        </w:tc>
        <w:tc>
          <w:tcPr>
            <w:tcW w:w="915"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Projekta izstrādē iesaistītās institūcijas</w:t>
            </w:r>
          </w:p>
        </w:tc>
        <w:tc>
          <w:tcPr>
            <w:tcW w:w="3859" w:type="pct"/>
            <w:tcBorders>
              <w:top w:val="outset" w:sz="6" w:space="0" w:color="auto"/>
              <w:left w:val="outset" w:sz="6" w:space="0" w:color="auto"/>
              <w:bottom w:val="outset" w:sz="6" w:space="0" w:color="auto"/>
              <w:right w:val="outset" w:sz="6" w:space="0" w:color="auto"/>
            </w:tcBorders>
            <w:hideMark/>
          </w:tcPr>
          <w:p w:rsidR="002E43E8" w:rsidRPr="00BA0369" w:rsidRDefault="00A67101" w:rsidP="00D64BF8">
            <w:pPr>
              <w:spacing w:after="0" w:line="240" w:lineRule="auto"/>
              <w:rPr>
                <w:rFonts w:ascii="Times New Roman" w:eastAsia="Times New Roman" w:hAnsi="Times New Roman"/>
                <w:sz w:val="24"/>
                <w:szCs w:val="24"/>
                <w:lang w:eastAsia="lv-LV"/>
              </w:rPr>
            </w:pPr>
            <w:r>
              <w:rPr>
                <w:rFonts w:ascii="Times New Roman" w:hAnsi="Times New Roman"/>
                <w:iCs/>
                <w:sz w:val="24"/>
                <w:szCs w:val="24"/>
              </w:rPr>
              <w:t xml:space="preserve">Projekts šo jomu neskar. </w:t>
            </w:r>
          </w:p>
        </w:tc>
      </w:tr>
      <w:tr w:rsidR="002E43E8" w:rsidRPr="00BA0369" w:rsidTr="00F8043B">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6.</w:t>
            </w:r>
          </w:p>
        </w:tc>
        <w:tc>
          <w:tcPr>
            <w:tcW w:w="915"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Iemesli, kādēļ netika nodrošināta sabiedrības līdzdalība</w:t>
            </w:r>
          </w:p>
        </w:tc>
        <w:tc>
          <w:tcPr>
            <w:tcW w:w="3859" w:type="pct"/>
            <w:tcBorders>
              <w:top w:val="outset" w:sz="6" w:space="0" w:color="auto"/>
              <w:left w:val="outset" w:sz="6" w:space="0" w:color="auto"/>
              <w:bottom w:val="outset" w:sz="6" w:space="0" w:color="auto"/>
              <w:right w:val="outset" w:sz="6" w:space="0" w:color="auto"/>
            </w:tcBorders>
            <w:hideMark/>
          </w:tcPr>
          <w:p w:rsidR="006D1CF8" w:rsidRPr="00BA0369" w:rsidRDefault="00C53ED9" w:rsidP="00282506">
            <w:pPr>
              <w:spacing w:after="0" w:line="240" w:lineRule="auto"/>
              <w:jc w:val="both"/>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 xml:space="preserve">Projekts šo jomu neskar. </w:t>
            </w:r>
          </w:p>
        </w:tc>
      </w:tr>
      <w:tr w:rsidR="002E43E8" w:rsidRPr="00BA0369" w:rsidTr="00F8043B">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7.</w:t>
            </w:r>
          </w:p>
        </w:tc>
        <w:tc>
          <w:tcPr>
            <w:tcW w:w="915"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Cita informācija</w:t>
            </w:r>
          </w:p>
        </w:tc>
        <w:tc>
          <w:tcPr>
            <w:tcW w:w="3859" w:type="pct"/>
            <w:tcBorders>
              <w:top w:val="outset" w:sz="6" w:space="0" w:color="auto"/>
              <w:left w:val="outset" w:sz="6" w:space="0" w:color="auto"/>
              <w:bottom w:val="outset" w:sz="6" w:space="0" w:color="auto"/>
              <w:right w:val="outset" w:sz="6" w:space="0" w:color="auto"/>
            </w:tcBorders>
            <w:hideMark/>
          </w:tcPr>
          <w:p w:rsidR="002E43E8" w:rsidRDefault="00B00D6D" w:rsidP="00B00D6D">
            <w:pPr>
              <w:spacing w:after="0" w:line="240" w:lineRule="auto"/>
              <w:rPr>
                <w:rFonts w:ascii="Times New Roman" w:hAnsi="Times New Roman"/>
                <w:sz w:val="24"/>
                <w:szCs w:val="24"/>
              </w:rPr>
            </w:pPr>
            <w:r>
              <w:rPr>
                <w:rFonts w:ascii="Times New Roman" w:hAnsi="Times New Roman"/>
                <w:sz w:val="24"/>
                <w:szCs w:val="24"/>
              </w:rPr>
              <w:t xml:space="preserve">Laukuma nodeva ir noteikta iespējami maza, ievērojot laukuma platību, kādu ir plānots izsludināt konkursā atļaujas saņemšanai vēja elektrostaciju būvniecībai jūrā. Nodevas likmes tiek diferencētas, samērojot </w:t>
            </w:r>
            <w:r w:rsidR="00767987">
              <w:rPr>
                <w:rFonts w:ascii="Times New Roman" w:hAnsi="Times New Roman"/>
                <w:sz w:val="24"/>
                <w:szCs w:val="24"/>
              </w:rPr>
              <w:t xml:space="preserve">laukuma nodevas maksājumu ar sabiedrības ieguvumu. Tādēļ laukuma nodeva vēja elektrostaciju būvniecībai, ka vēja elektrostacijas netiek pieslēgtas Latvijas elektrotīklam ir 0,01 lats. </w:t>
            </w:r>
          </w:p>
          <w:p w:rsidR="00AF5F52" w:rsidRPr="00BA0369" w:rsidRDefault="00AF5F52" w:rsidP="00682454">
            <w:pPr>
              <w:spacing w:after="0" w:line="240" w:lineRule="auto"/>
              <w:rPr>
                <w:rFonts w:ascii="Times New Roman" w:eastAsia="Times New Roman" w:hAnsi="Times New Roman"/>
                <w:sz w:val="24"/>
                <w:szCs w:val="24"/>
                <w:lang w:eastAsia="lv-LV"/>
              </w:rPr>
            </w:pPr>
            <w:r>
              <w:rPr>
                <w:rFonts w:ascii="Times New Roman" w:hAnsi="Times New Roman"/>
                <w:sz w:val="24"/>
                <w:szCs w:val="24"/>
              </w:rPr>
              <w:t>I</w:t>
            </w:r>
            <w:r w:rsidR="00767987">
              <w:rPr>
                <w:rFonts w:ascii="Times New Roman" w:hAnsi="Times New Roman"/>
                <w:sz w:val="24"/>
                <w:szCs w:val="24"/>
              </w:rPr>
              <w:t xml:space="preserve">r aprēķināts, ka pie </w:t>
            </w:r>
            <w:r w:rsidR="00682454">
              <w:rPr>
                <w:rFonts w:ascii="Times New Roman" w:hAnsi="Times New Roman"/>
                <w:sz w:val="24"/>
                <w:szCs w:val="24"/>
              </w:rPr>
              <w:t xml:space="preserve">noteikumu projektā norādītajām likmēm </w:t>
            </w:r>
            <w:r w:rsidR="00767987">
              <w:rPr>
                <w:rFonts w:ascii="Times New Roman" w:hAnsi="Times New Roman"/>
                <w:sz w:val="24"/>
                <w:szCs w:val="24"/>
              </w:rPr>
              <w:t xml:space="preserve">komersants, kas veiks </w:t>
            </w:r>
            <w:r>
              <w:rPr>
                <w:rFonts w:ascii="Times New Roman" w:hAnsi="Times New Roman"/>
                <w:sz w:val="24"/>
                <w:szCs w:val="24"/>
              </w:rPr>
              <w:t>izpēti, kas saistīta ar būvju būvniecību -  1000Ls/km</w:t>
            </w:r>
            <w:r w:rsidRPr="00AF5F52">
              <w:rPr>
                <w:rFonts w:ascii="Times New Roman" w:hAnsi="Times New Roman"/>
                <w:sz w:val="24"/>
                <w:szCs w:val="24"/>
                <w:vertAlign w:val="superscript"/>
              </w:rPr>
              <w:t>2</w:t>
            </w:r>
            <w:r>
              <w:rPr>
                <w:rFonts w:ascii="Times New Roman" w:hAnsi="Times New Roman"/>
                <w:sz w:val="24"/>
                <w:szCs w:val="24"/>
              </w:rPr>
              <w:t xml:space="preserve"> mēnesī (12 000 Ls/km</w:t>
            </w:r>
            <w:r w:rsidRPr="00AF5F52">
              <w:rPr>
                <w:rFonts w:ascii="Times New Roman" w:hAnsi="Times New Roman"/>
                <w:sz w:val="24"/>
                <w:szCs w:val="24"/>
                <w:vertAlign w:val="superscript"/>
              </w:rPr>
              <w:t>2</w:t>
            </w:r>
            <w:r>
              <w:rPr>
                <w:rFonts w:ascii="Times New Roman" w:hAnsi="Times New Roman"/>
                <w:sz w:val="24"/>
                <w:szCs w:val="24"/>
              </w:rPr>
              <w:t xml:space="preserve"> gadā). Par </w:t>
            </w:r>
            <w:r w:rsidR="00767987">
              <w:rPr>
                <w:rFonts w:ascii="Times New Roman" w:hAnsi="Times New Roman"/>
                <w:sz w:val="24"/>
                <w:szCs w:val="24"/>
              </w:rPr>
              <w:t>būvju būvniecību komercdarbības ve</w:t>
            </w:r>
            <w:r>
              <w:rPr>
                <w:rFonts w:ascii="Times New Roman" w:hAnsi="Times New Roman"/>
                <w:sz w:val="24"/>
                <w:szCs w:val="24"/>
              </w:rPr>
              <w:t>ikšanai 3000 Ls/km</w:t>
            </w:r>
            <w:r w:rsidRPr="00AF5F52">
              <w:rPr>
                <w:rFonts w:ascii="Times New Roman" w:hAnsi="Times New Roman"/>
                <w:sz w:val="24"/>
                <w:szCs w:val="24"/>
                <w:vertAlign w:val="superscript"/>
              </w:rPr>
              <w:t>2</w:t>
            </w:r>
            <w:r>
              <w:rPr>
                <w:rFonts w:ascii="Times New Roman" w:hAnsi="Times New Roman"/>
                <w:sz w:val="24"/>
                <w:szCs w:val="24"/>
              </w:rPr>
              <w:t xml:space="preserve"> mēnesī (36 000 Ls/km</w:t>
            </w:r>
            <w:r w:rsidRPr="00AF5F52">
              <w:rPr>
                <w:rFonts w:ascii="Times New Roman" w:hAnsi="Times New Roman"/>
                <w:sz w:val="24"/>
                <w:szCs w:val="24"/>
                <w:vertAlign w:val="superscript"/>
              </w:rPr>
              <w:t>2</w:t>
            </w:r>
            <w:r>
              <w:rPr>
                <w:rFonts w:ascii="Times New Roman" w:hAnsi="Times New Roman"/>
                <w:sz w:val="24"/>
                <w:szCs w:val="24"/>
              </w:rPr>
              <w:t xml:space="preserve"> gadā). Par vēja elektrostaciju būvniecību, ja elektrostacijas netiek pieslēgtas Latvijas elektrotīkliem – 10 000Ls/km</w:t>
            </w:r>
            <w:r w:rsidRPr="00AF5F52">
              <w:rPr>
                <w:rFonts w:ascii="Times New Roman" w:hAnsi="Times New Roman"/>
                <w:sz w:val="24"/>
                <w:szCs w:val="24"/>
                <w:vertAlign w:val="superscript"/>
              </w:rPr>
              <w:t>2</w:t>
            </w:r>
            <w:r>
              <w:rPr>
                <w:rFonts w:ascii="Times New Roman" w:hAnsi="Times New Roman"/>
                <w:sz w:val="24"/>
                <w:szCs w:val="24"/>
              </w:rPr>
              <w:t xml:space="preserve"> mēnesī (120 000 Ls/km</w:t>
            </w:r>
            <w:r w:rsidRPr="00AF5F52">
              <w:rPr>
                <w:rFonts w:ascii="Times New Roman" w:hAnsi="Times New Roman"/>
                <w:sz w:val="24"/>
                <w:szCs w:val="24"/>
                <w:vertAlign w:val="superscript"/>
              </w:rPr>
              <w:t>2</w:t>
            </w:r>
            <w:r>
              <w:rPr>
                <w:rFonts w:ascii="Times New Roman" w:hAnsi="Times New Roman"/>
                <w:sz w:val="24"/>
                <w:szCs w:val="24"/>
              </w:rPr>
              <w:t xml:space="preserve"> gadā). </w:t>
            </w:r>
          </w:p>
        </w:tc>
      </w:tr>
    </w:tbl>
    <w:p w:rsidR="002E43E8" w:rsidRPr="00BA0369" w:rsidRDefault="002E43E8" w:rsidP="00D64BF8">
      <w:pPr>
        <w:spacing w:after="0" w:line="240" w:lineRule="auto"/>
        <w:rPr>
          <w:rFonts w:ascii="Times New Roman" w:eastAsia="Times New Roman" w:hAnsi="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58"/>
        <w:gridCol w:w="2837"/>
        <w:gridCol w:w="6026"/>
      </w:tblGrid>
      <w:tr w:rsidR="00683D14" w:rsidRPr="00BA0369" w:rsidTr="00215FD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683D14" w:rsidRPr="00BA0369" w:rsidRDefault="00683D14" w:rsidP="00D64BF8">
            <w:pPr>
              <w:spacing w:after="0" w:line="240" w:lineRule="auto"/>
              <w:jc w:val="center"/>
              <w:rPr>
                <w:rFonts w:ascii="Times New Roman" w:eastAsia="Times New Roman" w:hAnsi="Times New Roman"/>
                <w:b/>
                <w:bCs/>
                <w:sz w:val="24"/>
                <w:szCs w:val="24"/>
                <w:lang w:eastAsia="lv-LV"/>
              </w:rPr>
            </w:pPr>
            <w:r w:rsidRPr="00BA0369">
              <w:rPr>
                <w:rFonts w:ascii="Times New Roman" w:eastAsia="Times New Roman" w:hAnsi="Times New Roman"/>
                <w:b/>
                <w:bCs/>
                <w:sz w:val="24"/>
                <w:szCs w:val="24"/>
                <w:lang w:eastAsia="lv-LV"/>
              </w:rPr>
              <w:t>II. Tiesību akta projekta ietekme uz sabiedrību</w:t>
            </w:r>
          </w:p>
        </w:tc>
      </w:tr>
      <w:tr w:rsidR="00F22C71" w:rsidRPr="00BA0369" w:rsidTr="00F8043B">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683D1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1.</w:t>
            </w:r>
          </w:p>
        </w:tc>
        <w:tc>
          <w:tcPr>
            <w:tcW w:w="1522" w:type="pct"/>
            <w:tcBorders>
              <w:top w:val="outset" w:sz="6" w:space="0" w:color="auto"/>
              <w:left w:val="outset" w:sz="6" w:space="0" w:color="auto"/>
              <w:bottom w:val="outset" w:sz="6" w:space="0" w:color="auto"/>
              <w:right w:val="outset" w:sz="6" w:space="0" w:color="auto"/>
            </w:tcBorders>
            <w:hideMark/>
          </w:tcPr>
          <w:p w:rsidR="00683D1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Sabiedrības mērķgrupa</w:t>
            </w:r>
          </w:p>
        </w:tc>
        <w:tc>
          <w:tcPr>
            <w:tcW w:w="3244" w:type="pct"/>
            <w:tcBorders>
              <w:top w:val="outset" w:sz="6" w:space="0" w:color="auto"/>
              <w:left w:val="outset" w:sz="6" w:space="0" w:color="auto"/>
              <w:bottom w:val="outset" w:sz="6" w:space="0" w:color="auto"/>
              <w:right w:val="outset" w:sz="6" w:space="0" w:color="auto"/>
            </w:tcBorders>
            <w:hideMark/>
          </w:tcPr>
          <w:p w:rsidR="00B467C4" w:rsidRPr="00BA0369" w:rsidRDefault="00C53ED9" w:rsidP="00A67101">
            <w:pPr>
              <w:spacing w:after="0" w:line="240" w:lineRule="auto"/>
              <w:jc w:val="both"/>
              <w:rPr>
                <w:rFonts w:ascii="Times New Roman" w:hAnsi="Times New Roman"/>
                <w:sz w:val="24"/>
                <w:szCs w:val="24"/>
              </w:rPr>
            </w:pPr>
            <w:r w:rsidRPr="00BA0369">
              <w:rPr>
                <w:rFonts w:ascii="Times New Roman" w:hAnsi="Times New Roman"/>
                <w:sz w:val="24"/>
                <w:szCs w:val="24"/>
              </w:rPr>
              <w:t xml:space="preserve">Komersanti </w:t>
            </w:r>
            <w:r w:rsidR="00A67101">
              <w:rPr>
                <w:rFonts w:ascii="Times New Roman" w:hAnsi="Times New Roman"/>
                <w:sz w:val="24"/>
                <w:szCs w:val="24"/>
              </w:rPr>
              <w:t>–</w:t>
            </w:r>
            <w:r w:rsidRPr="00BA0369">
              <w:rPr>
                <w:rFonts w:ascii="Times New Roman" w:hAnsi="Times New Roman"/>
                <w:sz w:val="24"/>
                <w:szCs w:val="24"/>
              </w:rPr>
              <w:t xml:space="preserve"> </w:t>
            </w:r>
            <w:r w:rsidR="00A67101">
              <w:rPr>
                <w:rFonts w:ascii="Times New Roman" w:hAnsi="Times New Roman"/>
                <w:sz w:val="24"/>
                <w:szCs w:val="24"/>
              </w:rPr>
              <w:t xml:space="preserve">jūras teritoriju izmantotāji, </w:t>
            </w:r>
            <w:r w:rsidR="006C1D41">
              <w:rPr>
                <w:rFonts w:ascii="Times New Roman" w:hAnsi="Times New Roman"/>
                <w:sz w:val="24"/>
                <w:szCs w:val="24"/>
              </w:rPr>
              <w:t xml:space="preserve">kuri veic komercdarbību </w:t>
            </w:r>
            <w:r w:rsidR="00A67101">
              <w:rPr>
                <w:rFonts w:ascii="Times New Roman" w:hAnsi="Times New Roman"/>
                <w:sz w:val="24"/>
                <w:szCs w:val="24"/>
              </w:rPr>
              <w:t xml:space="preserve">ar mērķi izbūvēt būves jūrā. </w:t>
            </w:r>
          </w:p>
        </w:tc>
      </w:tr>
      <w:tr w:rsidR="00F22C71" w:rsidRPr="00BA0369" w:rsidTr="00F8043B">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683D1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2.</w:t>
            </w:r>
          </w:p>
        </w:tc>
        <w:tc>
          <w:tcPr>
            <w:tcW w:w="1522" w:type="pct"/>
            <w:tcBorders>
              <w:top w:val="outset" w:sz="6" w:space="0" w:color="auto"/>
              <w:left w:val="outset" w:sz="6" w:space="0" w:color="auto"/>
              <w:bottom w:val="outset" w:sz="6" w:space="0" w:color="auto"/>
              <w:right w:val="outset" w:sz="6" w:space="0" w:color="auto"/>
            </w:tcBorders>
            <w:hideMark/>
          </w:tcPr>
          <w:p w:rsidR="00683D1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 xml:space="preserve">Citas sabiedrības grupas (bez </w:t>
            </w:r>
            <w:proofErr w:type="spellStart"/>
            <w:r w:rsidRPr="00BA0369">
              <w:rPr>
                <w:rFonts w:ascii="Times New Roman" w:eastAsia="Times New Roman" w:hAnsi="Times New Roman"/>
                <w:sz w:val="24"/>
                <w:szCs w:val="24"/>
                <w:lang w:eastAsia="lv-LV"/>
              </w:rPr>
              <w:t>mērķgrupas</w:t>
            </w:r>
            <w:proofErr w:type="spellEnd"/>
            <w:r w:rsidRPr="00BA0369">
              <w:rPr>
                <w:rFonts w:ascii="Times New Roman" w:eastAsia="Times New Roman" w:hAnsi="Times New Roman"/>
                <w:sz w:val="24"/>
                <w:szCs w:val="24"/>
                <w:lang w:eastAsia="lv-LV"/>
              </w:rPr>
              <w:t>), kuras tiesiskais regulējums arī ietekmē vai varētu ietekmēt</w:t>
            </w:r>
          </w:p>
        </w:tc>
        <w:tc>
          <w:tcPr>
            <w:tcW w:w="3244" w:type="pct"/>
            <w:tcBorders>
              <w:top w:val="outset" w:sz="6" w:space="0" w:color="auto"/>
              <w:left w:val="outset" w:sz="6" w:space="0" w:color="auto"/>
              <w:bottom w:val="outset" w:sz="6" w:space="0" w:color="auto"/>
              <w:right w:val="outset" w:sz="6" w:space="0" w:color="auto"/>
            </w:tcBorders>
            <w:hideMark/>
          </w:tcPr>
          <w:p w:rsidR="00683D14" w:rsidRPr="00BA0369" w:rsidRDefault="00A67101" w:rsidP="00AA41AB">
            <w:pPr>
              <w:autoSpaceDE w:val="0"/>
              <w:autoSpaceDN w:val="0"/>
              <w:adjustRightInd w:val="0"/>
              <w:spacing w:after="0" w:line="240" w:lineRule="auto"/>
              <w:jc w:val="both"/>
              <w:rPr>
                <w:rFonts w:ascii="Times New Roman" w:eastAsia="Times New Roman" w:hAnsi="Times New Roman"/>
                <w:sz w:val="24"/>
                <w:szCs w:val="24"/>
                <w:lang w:eastAsia="lv-LV"/>
              </w:rPr>
            </w:pPr>
            <w:r>
              <w:rPr>
                <w:rFonts w:ascii="Times New Roman" w:hAnsi="Times New Roman"/>
                <w:iCs/>
                <w:sz w:val="24"/>
                <w:szCs w:val="24"/>
              </w:rPr>
              <w:t xml:space="preserve">Projekts šo jomu neskar. </w:t>
            </w:r>
            <w:r w:rsidR="00AA41AB" w:rsidRPr="00BA0369">
              <w:rPr>
                <w:rFonts w:ascii="Times New Roman" w:hAnsi="Times New Roman"/>
                <w:iCs/>
                <w:sz w:val="24"/>
                <w:szCs w:val="24"/>
              </w:rPr>
              <w:t xml:space="preserve"> </w:t>
            </w:r>
          </w:p>
        </w:tc>
      </w:tr>
      <w:tr w:rsidR="00F22C71" w:rsidRPr="00BA0369" w:rsidTr="00F8043B">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683D1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3.</w:t>
            </w:r>
          </w:p>
        </w:tc>
        <w:tc>
          <w:tcPr>
            <w:tcW w:w="1522" w:type="pct"/>
            <w:tcBorders>
              <w:top w:val="outset" w:sz="6" w:space="0" w:color="auto"/>
              <w:left w:val="outset" w:sz="6" w:space="0" w:color="auto"/>
              <w:bottom w:val="outset" w:sz="6" w:space="0" w:color="auto"/>
              <w:right w:val="outset" w:sz="6" w:space="0" w:color="auto"/>
            </w:tcBorders>
            <w:hideMark/>
          </w:tcPr>
          <w:p w:rsidR="00B467C4" w:rsidRPr="00BA0369" w:rsidRDefault="00683D14" w:rsidP="00D64BF8">
            <w:pPr>
              <w:spacing w:after="0" w:line="240" w:lineRule="auto"/>
              <w:rPr>
                <w:rFonts w:ascii="Times New Roman" w:eastAsia="Times New Roman" w:hAnsi="Times New Roman"/>
                <w:sz w:val="24"/>
                <w:szCs w:val="24"/>
                <w:highlight w:val="yellow"/>
                <w:lang w:eastAsia="lv-LV"/>
              </w:rPr>
            </w:pPr>
            <w:r w:rsidRPr="001D1C89">
              <w:rPr>
                <w:rFonts w:ascii="Times New Roman" w:eastAsia="Times New Roman" w:hAnsi="Times New Roman"/>
                <w:sz w:val="24"/>
                <w:szCs w:val="24"/>
                <w:lang w:eastAsia="lv-LV"/>
              </w:rPr>
              <w:t>Tiesiskā regulējuma finansiālā ietekme</w:t>
            </w:r>
          </w:p>
        </w:tc>
        <w:tc>
          <w:tcPr>
            <w:tcW w:w="3244" w:type="pct"/>
            <w:tcBorders>
              <w:top w:val="outset" w:sz="6" w:space="0" w:color="auto"/>
              <w:left w:val="outset" w:sz="6" w:space="0" w:color="auto"/>
              <w:bottom w:val="outset" w:sz="6" w:space="0" w:color="auto"/>
              <w:right w:val="outset" w:sz="6" w:space="0" w:color="auto"/>
            </w:tcBorders>
            <w:hideMark/>
          </w:tcPr>
          <w:p w:rsidR="00FF06C1" w:rsidRPr="00BA0369" w:rsidRDefault="00A67101" w:rsidP="006C1D41">
            <w:pPr>
              <w:spacing w:after="0" w:line="240" w:lineRule="auto"/>
              <w:jc w:val="both"/>
              <w:rPr>
                <w:rFonts w:ascii="Times New Roman" w:eastAsia="Times New Roman" w:hAnsi="Times New Roman"/>
                <w:sz w:val="24"/>
                <w:szCs w:val="24"/>
                <w:highlight w:val="yellow"/>
                <w:lang w:eastAsia="lv-LV"/>
              </w:rPr>
            </w:pPr>
            <w:r>
              <w:rPr>
                <w:rFonts w:ascii="Times New Roman" w:eastAsia="Times New Roman" w:hAnsi="Times New Roman"/>
                <w:sz w:val="24"/>
                <w:szCs w:val="24"/>
                <w:lang w:eastAsia="lv-LV"/>
              </w:rPr>
              <w:t xml:space="preserve">Tā kā Jūras vides aizsardzības un pārvaldības likuma izpratnē </w:t>
            </w:r>
            <w:r w:rsidR="006C1D41">
              <w:rPr>
                <w:rFonts w:ascii="Times New Roman" w:eastAsia="Times New Roman" w:hAnsi="Times New Roman"/>
                <w:sz w:val="24"/>
                <w:szCs w:val="24"/>
                <w:lang w:eastAsia="lv-LV"/>
              </w:rPr>
              <w:t xml:space="preserve">un izstrādātajā Ministru kabineta noteikumu projektā par vēja elektrostaciju attīstību jūrā, </w:t>
            </w:r>
            <w:r>
              <w:rPr>
                <w:rFonts w:ascii="Times New Roman" w:eastAsia="Times New Roman" w:hAnsi="Times New Roman"/>
                <w:sz w:val="24"/>
                <w:szCs w:val="24"/>
                <w:lang w:eastAsia="lv-LV"/>
              </w:rPr>
              <w:t xml:space="preserve">būvju būvniecība nevar tikt uzsākta ātrāk kā 2015 gadā, nav </w:t>
            </w:r>
            <w:r>
              <w:rPr>
                <w:rFonts w:ascii="Times New Roman" w:eastAsia="Times New Roman" w:hAnsi="Times New Roman"/>
                <w:sz w:val="24"/>
                <w:szCs w:val="24"/>
                <w:lang w:eastAsia="lv-LV"/>
              </w:rPr>
              <w:lastRenderedPageBreak/>
              <w:t xml:space="preserve">aprēķināma tiesiskā regulējuma finansiālā ietekme.  </w:t>
            </w:r>
            <w:r w:rsidR="00D17561">
              <w:rPr>
                <w:rFonts w:ascii="Times New Roman" w:eastAsia="Times New Roman" w:hAnsi="Times New Roman"/>
                <w:sz w:val="24"/>
                <w:szCs w:val="24"/>
                <w:lang w:eastAsia="lv-LV"/>
              </w:rPr>
              <w:t>Nav paredzēts, ka ātrāk kā 2015.gadā varētu tikt izbūvētas būves.</w:t>
            </w:r>
          </w:p>
        </w:tc>
      </w:tr>
      <w:tr w:rsidR="00F22C71" w:rsidRPr="00BA0369" w:rsidTr="00F8043B">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683D1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lastRenderedPageBreak/>
              <w:t>4.</w:t>
            </w:r>
          </w:p>
        </w:tc>
        <w:tc>
          <w:tcPr>
            <w:tcW w:w="1522" w:type="pct"/>
            <w:tcBorders>
              <w:top w:val="outset" w:sz="6" w:space="0" w:color="auto"/>
              <w:left w:val="outset" w:sz="6" w:space="0" w:color="auto"/>
              <w:bottom w:val="outset" w:sz="6" w:space="0" w:color="auto"/>
              <w:right w:val="outset" w:sz="6" w:space="0" w:color="auto"/>
            </w:tcBorders>
            <w:hideMark/>
          </w:tcPr>
          <w:p w:rsidR="00B467C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Tiesiskā regulējuma nefinansiālā ietekme</w:t>
            </w:r>
          </w:p>
        </w:tc>
        <w:tc>
          <w:tcPr>
            <w:tcW w:w="3244" w:type="pct"/>
            <w:tcBorders>
              <w:top w:val="outset" w:sz="6" w:space="0" w:color="auto"/>
              <w:left w:val="outset" w:sz="6" w:space="0" w:color="auto"/>
              <w:bottom w:val="outset" w:sz="6" w:space="0" w:color="auto"/>
              <w:right w:val="outset" w:sz="6" w:space="0" w:color="auto"/>
            </w:tcBorders>
            <w:hideMark/>
          </w:tcPr>
          <w:p w:rsidR="00B467C4" w:rsidRPr="00BA0369" w:rsidRDefault="00A67101" w:rsidP="00C53ED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F22C71" w:rsidRPr="00BA0369" w:rsidTr="00F8043B">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683D1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5.</w:t>
            </w:r>
          </w:p>
        </w:tc>
        <w:tc>
          <w:tcPr>
            <w:tcW w:w="1522" w:type="pct"/>
            <w:tcBorders>
              <w:top w:val="outset" w:sz="6" w:space="0" w:color="auto"/>
              <w:left w:val="outset" w:sz="6" w:space="0" w:color="auto"/>
              <w:bottom w:val="outset" w:sz="6" w:space="0" w:color="auto"/>
              <w:right w:val="outset" w:sz="6" w:space="0" w:color="auto"/>
            </w:tcBorders>
            <w:hideMark/>
          </w:tcPr>
          <w:p w:rsidR="00B467C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Administratīvās procedūras raksturojums</w:t>
            </w:r>
          </w:p>
        </w:tc>
        <w:tc>
          <w:tcPr>
            <w:tcW w:w="3244" w:type="pct"/>
            <w:tcBorders>
              <w:top w:val="outset" w:sz="6" w:space="0" w:color="auto"/>
              <w:left w:val="outset" w:sz="6" w:space="0" w:color="auto"/>
              <w:bottom w:val="outset" w:sz="6" w:space="0" w:color="auto"/>
              <w:right w:val="outset" w:sz="6" w:space="0" w:color="auto"/>
            </w:tcBorders>
            <w:hideMark/>
          </w:tcPr>
          <w:p w:rsidR="00B467C4" w:rsidRPr="00BA0369" w:rsidRDefault="00A67101" w:rsidP="00A67101">
            <w:pPr>
              <w:spacing w:after="0" w:line="240" w:lineRule="auto"/>
              <w:jc w:val="both"/>
              <w:rPr>
                <w:rFonts w:ascii="Times New Roman" w:eastAsia="Times New Roman" w:hAnsi="Times New Roman"/>
                <w:sz w:val="24"/>
                <w:szCs w:val="24"/>
                <w:lang w:eastAsia="lv-LV"/>
              </w:rPr>
            </w:pPr>
            <w:r>
              <w:rPr>
                <w:rFonts w:ascii="Times New Roman" w:hAnsi="Times New Roman"/>
                <w:iCs/>
                <w:sz w:val="24"/>
                <w:szCs w:val="24"/>
              </w:rPr>
              <w:t xml:space="preserve">Komersantiem, kas saņēmuši atļauju jūras izmantošanai </w:t>
            </w:r>
            <w:r w:rsidR="00C53ED9" w:rsidRPr="00BA0369">
              <w:rPr>
                <w:rFonts w:ascii="Times New Roman" w:hAnsi="Times New Roman"/>
                <w:iCs/>
                <w:sz w:val="24"/>
                <w:szCs w:val="24"/>
              </w:rPr>
              <w:t xml:space="preserve"> </w:t>
            </w:r>
            <w:r>
              <w:rPr>
                <w:rFonts w:ascii="Times New Roman" w:hAnsi="Times New Roman"/>
                <w:iCs/>
                <w:sz w:val="24"/>
                <w:szCs w:val="24"/>
              </w:rPr>
              <w:t xml:space="preserve">būvju būvniecībai, būs pienākums aprēķināt un maksāt nodevu par laukuma izmantošanu, nodevas summu ieskaitot valsts pamatbudžetā. </w:t>
            </w:r>
          </w:p>
        </w:tc>
      </w:tr>
      <w:tr w:rsidR="00F22C71" w:rsidRPr="00BA0369" w:rsidTr="00F8043B">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683D1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6.</w:t>
            </w:r>
          </w:p>
        </w:tc>
        <w:tc>
          <w:tcPr>
            <w:tcW w:w="1522" w:type="pct"/>
            <w:tcBorders>
              <w:top w:val="outset" w:sz="6" w:space="0" w:color="auto"/>
              <w:left w:val="outset" w:sz="6" w:space="0" w:color="auto"/>
              <w:bottom w:val="outset" w:sz="6" w:space="0" w:color="auto"/>
              <w:right w:val="outset" w:sz="6" w:space="0" w:color="auto"/>
            </w:tcBorders>
            <w:hideMark/>
          </w:tcPr>
          <w:p w:rsidR="00B467C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Administratīvo izmaksu monetārs novērtējums</w:t>
            </w:r>
          </w:p>
        </w:tc>
        <w:tc>
          <w:tcPr>
            <w:tcW w:w="3244" w:type="pct"/>
            <w:tcBorders>
              <w:top w:val="outset" w:sz="6" w:space="0" w:color="auto"/>
              <w:left w:val="outset" w:sz="6" w:space="0" w:color="auto"/>
              <w:bottom w:val="outset" w:sz="6" w:space="0" w:color="auto"/>
              <w:right w:val="outset" w:sz="6" w:space="0" w:color="auto"/>
            </w:tcBorders>
            <w:hideMark/>
          </w:tcPr>
          <w:p w:rsidR="00B467C4" w:rsidRPr="00BA0369" w:rsidRDefault="0026471F" w:rsidP="00D64BF8">
            <w:pPr>
              <w:spacing w:after="0" w:line="240" w:lineRule="auto"/>
              <w:rPr>
                <w:rFonts w:ascii="Times New Roman" w:eastAsia="Times New Roman" w:hAnsi="Times New Roman"/>
                <w:sz w:val="24"/>
                <w:szCs w:val="24"/>
                <w:lang w:eastAsia="lv-LV"/>
              </w:rPr>
            </w:pPr>
            <w:r w:rsidRPr="00BA0369">
              <w:rPr>
                <w:rFonts w:ascii="Times New Roman" w:hAnsi="Times New Roman"/>
                <w:iCs/>
                <w:sz w:val="24"/>
                <w:szCs w:val="24"/>
              </w:rPr>
              <w:t>Projekts šo jomu neskar.</w:t>
            </w:r>
          </w:p>
        </w:tc>
      </w:tr>
      <w:tr w:rsidR="00F22C71" w:rsidRPr="00BA0369" w:rsidTr="00F8043B">
        <w:trPr>
          <w:trHeight w:val="369"/>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683D14" w:rsidRPr="00BA0369" w:rsidRDefault="005E2A92"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7.</w:t>
            </w:r>
          </w:p>
        </w:tc>
        <w:tc>
          <w:tcPr>
            <w:tcW w:w="1522" w:type="pct"/>
            <w:tcBorders>
              <w:top w:val="outset" w:sz="6" w:space="0" w:color="auto"/>
              <w:left w:val="outset" w:sz="6" w:space="0" w:color="auto"/>
              <w:bottom w:val="outset" w:sz="6" w:space="0" w:color="auto"/>
              <w:right w:val="outset" w:sz="6" w:space="0" w:color="auto"/>
            </w:tcBorders>
            <w:hideMark/>
          </w:tcPr>
          <w:p w:rsidR="00B467C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Cita informācija</w:t>
            </w:r>
          </w:p>
        </w:tc>
        <w:tc>
          <w:tcPr>
            <w:tcW w:w="3244" w:type="pct"/>
            <w:tcBorders>
              <w:top w:val="outset" w:sz="6" w:space="0" w:color="auto"/>
              <w:left w:val="outset" w:sz="6" w:space="0" w:color="auto"/>
              <w:bottom w:val="outset" w:sz="6" w:space="0" w:color="auto"/>
              <w:right w:val="outset" w:sz="6" w:space="0" w:color="auto"/>
            </w:tcBorders>
            <w:hideMark/>
          </w:tcPr>
          <w:p w:rsidR="00B467C4" w:rsidRPr="00BA0369" w:rsidRDefault="00683D14"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Nav</w:t>
            </w:r>
          </w:p>
        </w:tc>
      </w:tr>
    </w:tbl>
    <w:p w:rsidR="001307FC" w:rsidRDefault="001307FC" w:rsidP="00D64BF8">
      <w:pPr>
        <w:spacing w:after="0" w:line="240" w:lineRule="auto"/>
        <w:rPr>
          <w:rFonts w:ascii="Times New Roman" w:eastAsia="Times New Roman" w:hAnsi="Times New Roman"/>
          <w:b/>
          <w:sz w:val="24"/>
          <w:szCs w:val="24"/>
          <w:lang w:eastAsia="lv-LV"/>
        </w:rPr>
      </w:pPr>
      <w:r w:rsidRPr="001307FC">
        <w:rPr>
          <w:rFonts w:ascii="Times New Roman" w:eastAsia="Times New Roman" w:hAnsi="Times New Roman"/>
          <w:b/>
          <w:sz w:val="24"/>
          <w:szCs w:val="24"/>
          <w:lang w:eastAsia="lv-LV"/>
        </w:rPr>
        <w:t xml:space="preserve">III. </w:t>
      </w:r>
      <w:r w:rsidR="000358EB">
        <w:rPr>
          <w:rFonts w:ascii="Times New Roman" w:eastAsia="Times New Roman" w:hAnsi="Times New Roman"/>
          <w:b/>
          <w:sz w:val="24"/>
          <w:szCs w:val="24"/>
          <w:lang w:eastAsia="lv-LV"/>
        </w:rPr>
        <w:t xml:space="preserve">Projekts šo jomu neskar. </w:t>
      </w:r>
    </w:p>
    <w:tbl>
      <w:tblPr>
        <w:tblW w:w="9453" w:type="dxa"/>
        <w:jc w:val="center"/>
        <w:tblCellSpacing w:w="20" w:type="dxa"/>
        <w:tblInd w:w="4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486"/>
        <w:gridCol w:w="3099"/>
        <w:gridCol w:w="5868"/>
      </w:tblGrid>
      <w:tr w:rsidR="00730046" w:rsidRPr="00BA0369" w:rsidTr="001307FC">
        <w:trPr>
          <w:tblCellSpacing w:w="20" w:type="dxa"/>
          <w:jc w:val="center"/>
        </w:trPr>
        <w:tc>
          <w:tcPr>
            <w:tcW w:w="9373" w:type="dxa"/>
            <w:gridSpan w:val="3"/>
          </w:tcPr>
          <w:p w:rsidR="00730046" w:rsidRPr="00BA0369" w:rsidRDefault="00730046" w:rsidP="001307FC">
            <w:pPr>
              <w:pStyle w:val="naisnod"/>
              <w:spacing w:before="0" w:after="0"/>
              <w:ind w:left="209"/>
            </w:pPr>
            <w:r w:rsidRPr="00BA0369">
              <w:t>IV. Tiesību akta projekta ietekme uz spēkā esošo tiesību normu sistēmu</w:t>
            </w:r>
          </w:p>
        </w:tc>
      </w:tr>
      <w:tr w:rsidR="00730046" w:rsidRPr="00BA0369" w:rsidTr="00F8043B">
        <w:trPr>
          <w:tblCellSpacing w:w="20" w:type="dxa"/>
          <w:jc w:val="center"/>
        </w:trPr>
        <w:tc>
          <w:tcPr>
            <w:tcW w:w="426" w:type="dxa"/>
          </w:tcPr>
          <w:p w:rsidR="00730046" w:rsidRPr="00BA0369" w:rsidRDefault="00730046" w:rsidP="000358EB">
            <w:pPr>
              <w:pStyle w:val="naiskr"/>
              <w:tabs>
                <w:tab w:val="left" w:pos="2628"/>
              </w:tabs>
              <w:spacing w:before="0" w:after="0"/>
              <w:jc w:val="both"/>
              <w:rPr>
                <w:iCs/>
              </w:rPr>
            </w:pPr>
            <w:r w:rsidRPr="00BA0369">
              <w:rPr>
                <w:iCs/>
              </w:rPr>
              <w:t>1.</w:t>
            </w:r>
          </w:p>
        </w:tc>
        <w:tc>
          <w:tcPr>
            <w:tcW w:w="3059" w:type="dxa"/>
          </w:tcPr>
          <w:p w:rsidR="00730046" w:rsidRPr="00BA0369" w:rsidRDefault="00730046" w:rsidP="000358EB">
            <w:pPr>
              <w:pStyle w:val="naiskr"/>
              <w:tabs>
                <w:tab w:val="left" w:pos="2628"/>
              </w:tabs>
              <w:spacing w:before="0" w:after="0"/>
              <w:jc w:val="both"/>
              <w:rPr>
                <w:iCs/>
              </w:rPr>
            </w:pPr>
            <w:r w:rsidRPr="00BA0369">
              <w:rPr>
                <w:sz w:val="22"/>
                <w:szCs w:val="22"/>
              </w:rPr>
              <w:t>Nepieciešamie saistītie tiesību aktu projekti</w:t>
            </w:r>
          </w:p>
        </w:tc>
        <w:tc>
          <w:tcPr>
            <w:tcW w:w="5808" w:type="dxa"/>
          </w:tcPr>
          <w:p w:rsidR="00730046" w:rsidRPr="00BA0369" w:rsidRDefault="00A67101" w:rsidP="007F507F">
            <w:pPr>
              <w:pStyle w:val="naiskr"/>
              <w:tabs>
                <w:tab w:val="left" w:pos="2628"/>
              </w:tabs>
              <w:spacing w:before="0" w:after="0"/>
              <w:jc w:val="both"/>
              <w:rPr>
                <w:iCs/>
              </w:rPr>
            </w:pPr>
            <w:r>
              <w:rPr>
                <w:iCs/>
                <w:sz w:val="22"/>
                <w:szCs w:val="22"/>
              </w:rPr>
              <w:t xml:space="preserve">Projekts šo jomu neskar. </w:t>
            </w:r>
            <w:r w:rsidR="00D7589A">
              <w:rPr>
                <w:iCs/>
                <w:sz w:val="22"/>
                <w:szCs w:val="22"/>
              </w:rPr>
              <w:t xml:space="preserve"> </w:t>
            </w:r>
          </w:p>
        </w:tc>
      </w:tr>
      <w:tr w:rsidR="00730046" w:rsidRPr="00BA0369" w:rsidTr="00F8043B">
        <w:trPr>
          <w:tblCellSpacing w:w="20" w:type="dxa"/>
          <w:jc w:val="center"/>
        </w:trPr>
        <w:tc>
          <w:tcPr>
            <w:tcW w:w="426" w:type="dxa"/>
          </w:tcPr>
          <w:p w:rsidR="00730046" w:rsidRPr="00BA0369" w:rsidRDefault="00730046" w:rsidP="000358EB">
            <w:pPr>
              <w:pStyle w:val="naiskr"/>
              <w:tabs>
                <w:tab w:val="left" w:pos="2628"/>
              </w:tabs>
              <w:spacing w:before="0" w:after="0"/>
              <w:jc w:val="both"/>
              <w:rPr>
                <w:iCs/>
              </w:rPr>
            </w:pPr>
            <w:r w:rsidRPr="00BA0369">
              <w:rPr>
                <w:iCs/>
              </w:rPr>
              <w:t>2.</w:t>
            </w:r>
          </w:p>
        </w:tc>
        <w:tc>
          <w:tcPr>
            <w:tcW w:w="3059" w:type="dxa"/>
          </w:tcPr>
          <w:p w:rsidR="00730046" w:rsidRPr="00BA0369" w:rsidRDefault="00730046" w:rsidP="000358EB">
            <w:pPr>
              <w:pStyle w:val="naiskr"/>
              <w:tabs>
                <w:tab w:val="left" w:pos="2628"/>
              </w:tabs>
              <w:spacing w:before="0" w:after="0"/>
              <w:jc w:val="both"/>
              <w:rPr>
                <w:iCs/>
              </w:rPr>
            </w:pPr>
            <w:r w:rsidRPr="00BA0369">
              <w:rPr>
                <w:sz w:val="22"/>
                <w:szCs w:val="22"/>
              </w:rPr>
              <w:t>Cita informācija</w:t>
            </w:r>
          </w:p>
        </w:tc>
        <w:tc>
          <w:tcPr>
            <w:tcW w:w="5808" w:type="dxa"/>
          </w:tcPr>
          <w:p w:rsidR="00730046" w:rsidRPr="00BA0369" w:rsidRDefault="00A67101" w:rsidP="000358EB">
            <w:pPr>
              <w:pStyle w:val="naiskr"/>
              <w:tabs>
                <w:tab w:val="left" w:pos="2628"/>
              </w:tabs>
              <w:spacing w:before="0" w:after="0"/>
              <w:jc w:val="both"/>
              <w:rPr>
                <w:iCs/>
              </w:rPr>
            </w:pPr>
            <w:r>
              <w:rPr>
                <w:sz w:val="22"/>
                <w:szCs w:val="22"/>
              </w:rPr>
              <w:t xml:space="preserve">Nav. </w:t>
            </w:r>
            <w:r w:rsidR="00D7589A">
              <w:rPr>
                <w:sz w:val="22"/>
                <w:szCs w:val="22"/>
              </w:rPr>
              <w:t xml:space="preserve"> </w:t>
            </w:r>
          </w:p>
        </w:tc>
      </w:tr>
    </w:tbl>
    <w:p w:rsidR="000358EB" w:rsidRDefault="000358EB" w:rsidP="000358EB">
      <w:pPr>
        <w:spacing w:after="0" w:line="240" w:lineRule="auto"/>
        <w:jc w:val="both"/>
        <w:rPr>
          <w:rFonts w:ascii="Times New Roman" w:hAnsi="Times New Roman"/>
          <w:b/>
          <w:sz w:val="24"/>
          <w:szCs w:val="24"/>
        </w:rPr>
      </w:pPr>
      <w:r w:rsidRPr="000358EB">
        <w:rPr>
          <w:rFonts w:ascii="Times New Roman" w:hAnsi="Times New Roman"/>
          <w:b/>
          <w:sz w:val="24"/>
          <w:szCs w:val="24"/>
        </w:rPr>
        <w:t xml:space="preserve">V. </w:t>
      </w:r>
      <w:r w:rsidR="00D17561">
        <w:rPr>
          <w:rFonts w:ascii="Times New Roman" w:hAnsi="Times New Roman"/>
          <w:b/>
          <w:sz w:val="24"/>
          <w:szCs w:val="24"/>
        </w:rPr>
        <w:t xml:space="preserve">, VI. </w:t>
      </w:r>
      <w:r w:rsidRPr="000358EB">
        <w:rPr>
          <w:rFonts w:ascii="Times New Roman" w:hAnsi="Times New Roman"/>
          <w:b/>
          <w:sz w:val="24"/>
          <w:szCs w:val="24"/>
        </w:rPr>
        <w:t xml:space="preserve">Projekts šo jomu neskar. </w:t>
      </w:r>
    </w:p>
    <w:tbl>
      <w:tblPr>
        <w:tblW w:w="5227"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9"/>
        <w:gridCol w:w="3887"/>
        <w:gridCol w:w="5244"/>
      </w:tblGrid>
      <w:tr w:rsidR="002E43E8" w:rsidRPr="00BA0369" w:rsidTr="000358E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jc w:val="center"/>
              <w:rPr>
                <w:rFonts w:ascii="Times New Roman" w:eastAsia="Times New Roman" w:hAnsi="Times New Roman"/>
                <w:b/>
                <w:bCs/>
                <w:sz w:val="24"/>
                <w:szCs w:val="24"/>
                <w:lang w:eastAsia="lv-LV"/>
              </w:rPr>
            </w:pPr>
            <w:r w:rsidRPr="00BA0369">
              <w:rPr>
                <w:rFonts w:ascii="Times New Roman" w:eastAsia="Times New Roman" w:hAnsi="Times New Roman"/>
                <w:b/>
                <w:bCs/>
                <w:sz w:val="24"/>
                <w:szCs w:val="24"/>
                <w:lang w:eastAsia="lv-LV"/>
              </w:rPr>
              <w:t>VII. Tiesību akta projekta izpildes nodrošināšana un tās ietekme uz institūcijām</w:t>
            </w:r>
          </w:p>
        </w:tc>
      </w:tr>
      <w:tr w:rsidR="002E43E8" w:rsidRPr="00BA0369" w:rsidTr="00F8043B">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Projekta izpildē iesaistītās institūcijas</w:t>
            </w:r>
          </w:p>
        </w:tc>
        <w:tc>
          <w:tcPr>
            <w:tcW w:w="2714" w:type="pct"/>
            <w:tcBorders>
              <w:top w:val="outset" w:sz="6" w:space="0" w:color="auto"/>
              <w:left w:val="outset" w:sz="6" w:space="0" w:color="auto"/>
              <w:bottom w:val="outset" w:sz="6" w:space="0" w:color="auto"/>
              <w:right w:val="outset" w:sz="6" w:space="0" w:color="auto"/>
            </w:tcBorders>
            <w:hideMark/>
          </w:tcPr>
          <w:p w:rsidR="002E43E8" w:rsidRPr="00BA0369" w:rsidRDefault="00D17561" w:rsidP="00D17561">
            <w:pPr>
              <w:pStyle w:val="NormalWeb"/>
              <w:spacing w:before="0" w:beforeAutospacing="0" w:after="0" w:afterAutospacing="0"/>
              <w:ind w:right="165"/>
              <w:jc w:val="both"/>
            </w:pPr>
            <w:r>
              <w:t>Valsts ieņēmumu dienests</w:t>
            </w:r>
          </w:p>
        </w:tc>
      </w:tr>
      <w:tr w:rsidR="002E43E8" w:rsidRPr="00BA0369" w:rsidTr="00F8043B">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Projekta izpildes ietekme uz pārvaldes funkcijām</w:t>
            </w:r>
          </w:p>
        </w:tc>
        <w:tc>
          <w:tcPr>
            <w:tcW w:w="2714" w:type="pct"/>
            <w:tcBorders>
              <w:top w:val="outset" w:sz="6" w:space="0" w:color="auto"/>
              <w:left w:val="outset" w:sz="6" w:space="0" w:color="auto"/>
              <w:bottom w:val="outset" w:sz="6" w:space="0" w:color="auto"/>
              <w:right w:val="outset" w:sz="6" w:space="0" w:color="auto"/>
            </w:tcBorders>
            <w:hideMark/>
          </w:tcPr>
          <w:p w:rsidR="002E43E8" w:rsidRPr="00BA0369" w:rsidRDefault="00D17561" w:rsidP="00D64BF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Projekts šo jomu neskar.</w:t>
            </w:r>
          </w:p>
        </w:tc>
      </w:tr>
      <w:tr w:rsidR="002E43E8" w:rsidRPr="00BA0369" w:rsidTr="00F8043B">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Projekta izpildes ietekme uz pārvaldes institucionālo struktūru.</w:t>
            </w:r>
          </w:p>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Jaunu institūciju izveide</w:t>
            </w:r>
          </w:p>
        </w:tc>
        <w:tc>
          <w:tcPr>
            <w:tcW w:w="2714" w:type="pct"/>
            <w:tcBorders>
              <w:top w:val="outset" w:sz="6" w:space="0" w:color="auto"/>
              <w:left w:val="outset" w:sz="6" w:space="0" w:color="auto"/>
              <w:bottom w:val="outset" w:sz="6" w:space="0" w:color="auto"/>
              <w:right w:val="outset" w:sz="6" w:space="0" w:color="auto"/>
            </w:tcBorders>
            <w:hideMark/>
          </w:tcPr>
          <w:p w:rsidR="002E43E8" w:rsidRPr="00BA0369" w:rsidRDefault="006D4D74" w:rsidP="00D64BF8">
            <w:pPr>
              <w:spacing w:after="0" w:line="240" w:lineRule="auto"/>
              <w:rPr>
                <w:rFonts w:ascii="Times New Roman" w:eastAsia="Times New Roman" w:hAnsi="Times New Roman"/>
                <w:sz w:val="24"/>
                <w:szCs w:val="24"/>
                <w:lang w:eastAsia="lv-LV"/>
              </w:rPr>
            </w:pPr>
            <w:r w:rsidRPr="006D4D74">
              <w:rPr>
                <w:rFonts w:ascii="Times New Roman" w:hAnsi="Times New Roman"/>
                <w:sz w:val="24"/>
                <w:szCs w:val="24"/>
              </w:rPr>
              <w:t>Noteikumu projekta apstiprināšanas gadījumā netiek radītas jaunas valsts institūcijas.</w:t>
            </w:r>
          </w:p>
        </w:tc>
      </w:tr>
      <w:tr w:rsidR="002E43E8" w:rsidRPr="00BA0369" w:rsidTr="00F8043B">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4.</w:t>
            </w:r>
          </w:p>
        </w:tc>
        <w:tc>
          <w:tcPr>
            <w:tcW w:w="0" w:type="auto"/>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Projekta izpildes ietekme uz pārvaldes institucionālo struktūru.</w:t>
            </w:r>
          </w:p>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Esošu institūciju likvidācija</w:t>
            </w:r>
          </w:p>
        </w:tc>
        <w:tc>
          <w:tcPr>
            <w:tcW w:w="2714" w:type="pct"/>
            <w:tcBorders>
              <w:top w:val="outset" w:sz="6" w:space="0" w:color="auto"/>
              <w:left w:val="outset" w:sz="6" w:space="0" w:color="auto"/>
              <w:bottom w:val="outset" w:sz="6" w:space="0" w:color="auto"/>
              <w:right w:val="outset" w:sz="6" w:space="0" w:color="auto"/>
            </w:tcBorders>
            <w:hideMark/>
          </w:tcPr>
          <w:p w:rsidR="002E43E8" w:rsidRPr="00BA0369" w:rsidRDefault="0026471F" w:rsidP="00D64BF8">
            <w:pPr>
              <w:spacing w:after="0" w:line="240" w:lineRule="auto"/>
              <w:rPr>
                <w:rFonts w:ascii="Times New Roman" w:eastAsia="Times New Roman" w:hAnsi="Times New Roman"/>
                <w:sz w:val="24"/>
                <w:szCs w:val="24"/>
                <w:lang w:eastAsia="lv-LV"/>
              </w:rPr>
            </w:pPr>
            <w:r w:rsidRPr="00BA0369">
              <w:rPr>
                <w:rFonts w:ascii="Times New Roman" w:hAnsi="Times New Roman"/>
                <w:iCs/>
                <w:sz w:val="24"/>
                <w:szCs w:val="24"/>
              </w:rPr>
              <w:t>Projekts šo jomu neskar.</w:t>
            </w:r>
          </w:p>
        </w:tc>
      </w:tr>
      <w:tr w:rsidR="002E43E8" w:rsidRPr="00BA0369" w:rsidTr="00F8043B">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hideMark/>
          </w:tcPr>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Projekta izpildes ietekme uz pārvaldes institucionālo struktūru.</w:t>
            </w:r>
          </w:p>
          <w:p w:rsidR="002E43E8" w:rsidRPr="00BA0369" w:rsidRDefault="002E43E8" w:rsidP="00D64BF8">
            <w:pPr>
              <w:spacing w:after="0"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Esošu institūciju reorganizācija</w:t>
            </w:r>
          </w:p>
        </w:tc>
        <w:tc>
          <w:tcPr>
            <w:tcW w:w="2714" w:type="pct"/>
            <w:tcBorders>
              <w:top w:val="outset" w:sz="6" w:space="0" w:color="auto"/>
              <w:left w:val="outset" w:sz="6" w:space="0" w:color="auto"/>
              <w:bottom w:val="outset" w:sz="6" w:space="0" w:color="auto"/>
              <w:right w:val="outset" w:sz="6" w:space="0" w:color="auto"/>
            </w:tcBorders>
            <w:hideMark/>
          </w:tcPr>
          <w:p w:rsidR="002E43E8" w:rsidRPr="00BA0369" w:rsidRDefault="0026471F" w:rsidP="00D64BF8">
            <w:pPr>
              <w:spacing w:after="0" w:line="240" w:lineRule="auto"/>
              <w:rPr>
                <w:rFonts w:ascii="Times New Roman" w:eastAsia="Times New Roman" w:hAnsi="Times New Roman"/>
                <w:sz w:val="24"/>
                <w:szCs w:val="24"/>
                <w:lang w:eastAsia="lv-LV"/>
              </w:rPr>
            </w:pPr>
            <w:r w:rsidRPr="00BA0369">
              <w:rPr>
                <w:rFonts w:ascii="Times New Roman" w:hAnsi="Times New Roman"/>
                <w:iCs/>
                <w:sz w:val="24"/>
                <w:szCs w:val="24"/>
              </w:rPr>
              <w:t>Projekts šo jomu neskar.</w:t>
            </w:r>
          </w:p>
        </w:tc>
      </w:tr>
      <w:tr w:rsidR="002E43E8" w:rsidRPr="00BA0369" w:rsidTr="00F8043B">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2E43E8" w:rsidRPr="00BA0369"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hideMark/>
          </w:tcPr>
          <w:p w:rsidR="002E43E8" w:rsidRPr="00BA0369"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Cita informācija</w:t>
            </w:r>
          </w:p>
        </w:tc>
        <w:tc>
          <w:tcPr>
            <w:tcW w:w="2714" w:type="pct"/>
            <w:tcBorders>
              <w:top w:val="outset" w:sz="6" w:space="0" w:color="auto"/>
              <w:left w:val="outset" w:sz="6" w:space="0" w:color="auto"/>
              <w:bottom w:val="outset" w:sz="6" w:space="0" w:color="auto"/>
              <w:right w:val="outset" w:sz="6" w:space="0" w:color="auto"/>
            </w:tcBorders>
            <w:hideMark/>
          </w:tcPr>
          <w:p w:rsidR="002E43E8" w:rsidRPr="00BA0369" w:rsidRDefault="002E43E8" w:rsidP="009640EB">
            <w:pPr>
              <w:spacing w:before="100" w:beforeAutospacing="1" w:after="100" w:afterAutospacing="1" w:line="240" w:lineRule="auto"/>
              <w:rPr>
                <w:rFonts w:ascii="Times New Roman" w:eastAsia="Times New Roman" w:hAnsi="Times New Roman"/>
                <w:sz w:val="24"/>
                <w:szCs w:val="24"/>
                <w:lang w:eastAsia="lv-LV"/>
              </w:rPr>
            </w:pPr>
            <w:r w:rsidRPr="00BA0369">
              <w:rPr>
                <w:rFonts w:ascii="Times New Roman" w:eastAsia="Times New Roman" w:hAnsi="Times New Roman"/>
                <w:sz w:val="24"/>
                <w:szCs w:val="24"/>
                <w:lang w:eastAsia="lv-LV"/>
              </w:rPr>
              <w:t>Nav</w:t>
            </w:r>
          </w:p>
        </w:tc>
      </w:tr>
    </w:tbl>
    <w:p w:rsidR="004603D8" w:rsidRDefault="004603D8" w:rsidP="004603D8">
      <w:pPr>
        <w:pStyle w:val="NormalWeb"/>
        <w:spacing w:before="0" w:beforeAutospacing="0" w:after="0" w:afterAutospacing="0"/>
        <w:ind w:left="539"/>
        <w:rPr>
          <w:sz w:val="28"/>
          <w:szCs w:val="28"/>
        </w:rPr>
      </w:pPr>
    </w:p>
    <w:p w:rsidR="00F3027A" w:rsidRPr="00BA0369" w:rsidRDefault="004603D8" w:rsidP="004603D8">
      <w:pPr>
        <w:pStyle w:val="NormalWeb"/>
        <w:spacing w:before="0" w:beforeAutospacing="0" w:after="0" w:afterAutospacing="0"/>
        <w:ind w:left="539"/>
        <w:rPr>
          <w:sz w:val="28"/>
          <w:szCs w:val="28"/>
        </w:rPr>
      </w:pPr>
      <w:r>
        <w:rPr>
          <w:sz w:val="28"/>
          <w:szCs w:val="28"/>
        </w:rPr>
        <w:t>E</w:t>
      </w:r>
      <w:r w:rsidR="00F3027A" w:rsidRPr="00BA0369">
        <w:rPr>
          <w:sz w:val="28"/>
          <w:szCs w:val="28"/>
        </w:rPr>
        <w:t>konomikas ministr</w:t>
      </w:r>
      <w:r w:rsidR="00F330F2" w:rsidRPr="00BA0369">
        <w:rPr>
          <w:sz w:val="28"/>
          <w:szCs w:val="28"/>
        </w:rPr>
        <w:t>s</w:t>
      </w:r>
      <w:r w:rsidR="00F3027A" w:rsidRPr="00BA0369">
        <w:rPr>
          <w:sz w:val="28"/>
          <w:szCs w:val="28"/>
        </w:rPr>
        <w:tab/>
      </w:r>
      <w:r w:rsidR="00F3027A" w:rsidRPr="00BA0369">
        <w:rPr>
          <w:sz w:val="28"/>
          <w:szCs w:val="28"/>
        </w:rPr>
        <w:tab/>
      </w:r>
      <w:r w:rsidR="00F3027A" w:rsidRPr="00BA0369">
        <w:rPr>
          <w:sz w:val="28"/>
          <w:szCs w:val="28"/>
        </w:rPr>
        <w:tab/>
      </w:r>
      <w:r w:rsidR="00F3027A" w:rsidRPr="00BA0369">
        <w:rPr>
          <w:sz w:val="28"/>
          <w:szCs w:val="28"/>
        </w:rPr>
        <w:tab/>
      </w:r>
      <w:r w:rsidR="00F3027A" w:rsidRPr="00BA0369">
        <w:rPr>
          <w:sz w:val="28"/>
          <w:szCs w:val="28"/>
        </w:rPr>
        <w:tab/>
      </w:r>
      <w:r w:rsidR="00C93ABC" w:rsidRPr="00BA0369">
        <w:rPr>
          <w:sz w:val="28"/>
          <w:szCs w:val="28"/>
        </w:rPr>
        <w:t>A</w:t>
      </w:r>
      <w:r w:rsidR="00F3027A" w:rsidRPr="00BA0369">
        <w:rPr>
          <w:sz w:val="28"/>
          <w:szCs w:val="28"/>
        </w:rPr>
        <w:t>.</w:t>
      </w:r>
      <w:r w:rsidR="00C93ABC" w:rsidRPr="00BA0369">
        <w:rPr>
          <w:sz w:val="28"/>
          <w:szCs w:val="28"/>
        </w:rPr>
        <w:t>Kampars</w:t>
      </w:r>
    </w:p>
    <w:p w:rsidR="004603D8" w:rsidRDefault="004603D8" w:rsidP="004603D8">
      <w:pPr>
        <w:pStyle w:val="EnvelopeReturn"/>
        <w:tabs>
          <w:tab w:val="left" w:pos="6480"/>
          <w:tab w:val="right" w:pos="7560"/>
        </w:tabs>
        <w:spacing w:before="0"/>
        <w:ind w:left="539"/>
        <w:rPr>
          <w:sz w:val="28"/>
          <w:szCs w:val="28"/>
          <w:lang w:val="lv-LV"/>
        </w:rPr>
      </w:pPr>
    </w:p>
    <w:p w:rsidR="00F3027A" w:rsidRPr="00BA0369" w:rsidRDefault="00F3027A" w:rsidP="004603D8">
      <w:pPr>
        <w:pStyle w:val="EnvelopeReturn"/>
        <w:tabs>
          <w:tab w:val="left" w:pos="6480"/>
          <w:tab w:val="right" w:pos="7560"/>
        </w:tabs>
        <w:spacing w:before="0"/>
        <w:ind w:left="539"/>
        <w:rPr>
          <w:sz w:val="28"/>
          <w:szCs w:val="28"/>
          <w:lang w:val="lv-LV"/>
        </w:rPr>
      </w:pPr>
      <w:r w:rsidRPr="00BA0369">
        <w:rPr>
          <w:sz w:val="28"/>
          <w:szCs w:val="28"/>
          <w:lang w:val="lv-LV"/>
        </w:rPr>
        <w:t>Vīz</w:t>
      </w:r>
      <w:r w:rsidR="00FB5C58">
        <w:rPr>
          <w:sz w:val="28"/>
          <w:szCs w:val="28"/>
          <w:lang w:val="lv-LV"/>
        </w:rPr>
        <w:t>a</w:t>
      </w:r>
      <w:r w:rsidRPr="00BA0369">
        <w:rPr>
          <w:sz w:val="28"/>
          <w:szCs w:val="28"/>
          <w:lang w:val="lv-LV"/>
        </w:rPr>
        <w:t>: valsts sekretārs</w:t>
      </w:r>
      <w:r w:rsidRPr="00BA0369">
        <w:rPr>
          <w:sz w:val="28"/>
          <w:szCs w:val="28"/>
          <w:lang w:val="lv-LV"/>
        </w:rPr>
        <w:tab/>
        <w:t>J.Pūce</w:t>
      </w:r>
    </w:p>
    <w:p w:rsidR="00092065" w:rsidRPr="00BA0369" w:rsidRDefault="00092065" w:rsidP="00972F36">
      <w:pPr>
        <w:spacing w:after="0" w:line="240" w:lineRule="auto"/>
        <w:rPr>
          <w:rFonts w:ascii="Times New Roman" w:hAnsi="Times New Roman"/>
          <w:sz w:val="20"/>
          <w:szCs w:val="20"/>
        </w:rPr>
      </w:pPr>
    </w:p>
    <w:p w:rsidR="00D058AB" w:rsidRDefault="00D058AB" w:rsidP="00EE269B">
      <w:pPr>
        <w:spacing w:after="0" w:line="240" w:lineRule="auto"/>
        <w:rPr>
          <w:rFonts w:ascii="Times New Roman" w:hAnsi="Times New Roman"/>
          <w:sz w:val="20"/>
          <w:szCs w:val="20"/>
        </w:rPr>
      </w:pPr>
    </w:p>
    <w:p w:rsidR="00972F36" w:rsidRPr="00BA0369" w:rsidRDefault="00D17561" w:rsidP="00EE269B">
      <w:pPr>
        <w:spacing w:after="0" w:line="240" w:lineRule="auto"/>
        <w:rPr>
          <w:rFonts w:ascii="Times New Roman" w:hAnsi="Times New Roman"/>
          <w:sz w:val="20"/>
          <w:szCs w:val="20"/>
        </w:rPr>
      </w:pPr>
      <w:r>
        <w:rPr>
          <w:rFonts w:ascii="Times New Roman" w:hAnsi="Times New Roman"/>
          <w:sz w:val="20"/>
          <w:szCs w:val="20"/>
        </w:rPr>
        <w:t>0</w:t>
      </w:r>
      <w:r w:rsidR="00521707">
        <w:rPr>
          <w:rFonts w:ascii="Times New Roman" w:hAnsi="Times New Roman"/>
          <w:sz w:val="20"/>
          <w:szCs w:val="20"/>
        </w:rPr>
        <w:t>6</w:t>
      </w:r>
      <w:r>
        <w:rPr>
          <w:rFonts w:ascii="Times New Roman" w:hAnsi="Times New Roman"/>
          <w:sz w:val="20"/>
          <w:szCs w:val="20"/>
        </w:rPr>
        <w:t>.06</w:t>
      </w:r>
      <w:r w:rsidR="00972F36" w:rsidRPr="00BA0369">
        <w:rPr>
          <w:rFonts w:ascii="Times New Roman" w:hAnsi="Times New Roman"/>
          <w:sz w:val="20"/>
          <w:szCs w:val="20"/>
        </w:rPr>
        <w:t>.201</w:t>
      </w:r>
      <w:r w:rsidR="00F940DF" w:rsidRPr="00BA0369">
        <w:rPr>
          <w:rFonts w:ascii="Times New Roman" w:hAnsi="Times New Roman"/>
          <w:sz w:val="20"/>
          <w:szCs w:val="20"/>
        </w:rPr>
        <w:t>1</w:t>
      </w:r>
      <w:r w:rsidR="00972F36" w:rsidRPr="00BA0369">
        <w:rPr>
          <w:rFonts w:ascii="Times New Roman" w:hAnsi="Times New Roman"/>
          <w:sz w:val="20"/>
          <w:szCs w:val="20"/>
        </w:rPr>
        <w:t>.</w:t>
      </w:r>
      <w:r w:rsidR="0036509B" w:rsidRPr="00BA0369">
        <w:rPr>
          <w:rFonts w:ascii="Times New Roman" w:hAnsi="Times New Roman"/>
          <w:sz w:val="20"/>
          <w:szCs w:val="20"/>
        </w:rPr>
        <w:t xml:space="preserve"> </w:t>
      </w:r>
      <w:r w:rsidR="00F8043B">
        <w:rPr>
          <w:rFonts w:ascii="Times New Roman" w:hAnsi="Times New Roman"/>
          <w:sz w:val="20"/>
          <w:szCs w:val="20"/>
        </w:rPr>
        <w:t>13:37</w:t>
      </w:r>
    </w:p>
    <w:p w:rsidR="00986D21" w:rsidRPr="00BA0369" w:rsidRDefault="00F8043B" w:rsidP="003F04CE">
      <w:pPr>
        <w:spacing w:after="0" w:line="240" w:lineRule="auto"/>
        <w:jc w:val="both"/>
        <w:rPr>
          <w:rFonts w:ascii="Times New Roman" w:hAnsi="Times New Roman"/>
          <w:sz w:val="20"/>
          <w:szCs w:val="20"/>
        </w:rPr>
      </w:pPr>
      <w:bookmarkStart w:id="2" w:name="OLE_LINK1"/>
      <w:bookmarkStart w:id="3" w:name="OLE_LINK2"/>
      <w:bookmarkStart w:id="4" w:name="_GoBack"/>
      <w:bookmarkStart w:id="5" w:name="OLE_LINK3"/>
      <w:bookmarkEnd w:id="2"/>
      <w:bookmarkEnd w:id="3"/>
      <w:bookmarkEnd w:id="4"/>
      <w:r>
        <w:rPr>
          <w:rFonts w:ascii="Times New Roman" w:hAnsi="Times New Roman"/>
          <w:sz w:val="20"/>
          <w:szCs w:val="20"/>
        </w:rPr>
        <w:t>838</w:t>
      </w:r>
    </w:p>
    <w:p w:rsidR="00972F36" w:rsidRPr="00BA0369" w:rsidRDefault="006D4D74" w:rsidP="003F04CE">
      <w:pPr>
        <w:spacing w:after="0" w:line="240" w:lineRule="auto"/>
        <w:jc w:val="both"/>
        <w:rPr>
          <w:rFonts w:ascii="Times New Roman" w:hAnsi="Times New Roman"/>
          <w:sz w:val="20"/>
          <w:szCs w:val="20"/>
        </w:rPr>
      </w:pPr>
      <w:proofErr w:type="spellStart"/>
      <w:r>
        <w:rPr>
          <w:rFonts w:ascii="Times New Roman" w:hAnsi="Times New Roman"/>
          <w:sz w:val="20"/>
          <w:szCs w:val="20"/>
        </w:rPr>
        <w:t>I.Ruško</w:t>
      </w:r>
      <w:proofErr w:type="spellEnd"/>
      <w:r w:rsidR="00972F36" w:rsidRPr="00BA0369">
        <w:rPr>
          <w:rFonts w:ascii="Times New Roman" w:hAnsi="Times New Roman"/>
          <w:sz w:val="20"/>
          <w:szCs w:val="20"/>
        </w:rPr>
        <w:t>, 67013</w:t>
      </w:r>
      <w:bookmarkEnd w:id="5"/>
      <w:r w:rsidR="00A22FDC" w:rsidRPr="00BA0369">
        <w:rPr>
          <w:rFonts w:ascii="Times New Roman" w:hAnsi="Times New Roman"/>
          <w:sz w:val="20"/>
          <w:szCs w:val="20"/>
        </w:rPr>
        <w:t>1</w:t>
      </w:r>
      <w:r>
        <w:rPr>
          <w:rFonts w:ascii="Times New Roman" w:hAnsi="Times New Roman"/>
          <w:sz w:val="20"/>
          <w:szCs w:val="20"/>
        </w:rPr>
        <w:t>73</w:t>
      </w:r>
    </w:p>
    <w:p w:rsidR="003F04CE" w:rsidRPr="00BA0369" w:rsidRDefault="006D4D74" w:rsidP="003F04CE">
      <w:pPr>
        <w:spacing w:after="0" w:line="240" w:lineRule="auto"/>
        <w:jc w:val="both"/>
        <w:rPr>
          <w:rFonts w:ascii="Times New Roman" w:hAnsi="Times New Roman"/>
          <w:sz w:val="20"/>
          <w:szCs w:val="20"/>
        </w:rPr>
      </w:pPr>
      <w:r>
        <w:rPr>
          <w:rFonts w:ascii="Times New Roman" w:hAnsi="Times New Roman"/>
          <w:sz w:val="20"/>
          <w:szCs w:val="20"/>
        </w:rPr>
        <w:t>Ilze.rusko</w:t>
      </w:r>
      <w:r w:rsidR="003F04CE" w:rsidRPr="00BA0369">
        <w:rPr>
          <w:rFonts w:ascii="Times New Roman" w:hAnsi="Times New Roman"/>
          <w:sz w:val="20"/>
          <w:szCs w:val="20"/>
        </w:rPr>
        <w:t>@em.gov.lv</w:t>
      </w:r>
    </w:p>
    <w:sectPr w:rsidR="003F04CE" w:rsidRPr="00BA0369" w:rsidSect="00DE55FF">
      <w:headerReference w:type="default" r:id="rId8"/>
      <w:footerReference w:type="default" r:id="rId9"/>
      <w:footerReference w:type="first" r:id="rId10"/>
      <w:pgSz w:w="11906" w:h="16838"/>
      <w:pgMar w:top="1418" w:right="1134" w:bottom="184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080" w:rsidRDefault="00084080" w:rsidP="009640EB">
      <w:pPr>
        <w:spacing w:after="0" w:line="240" w:lineRule="auto"/>
      </w:pPr>
      <w:r>
        <w:separator/>
      </w:r>
    </w:p>
  </w:endnote>
  <w:endnote w:type="continuationSeparator" w:id="0">
    <w:p w:rsidR="00084080" w:rsidRDefault="00084080" w:rsidP="00964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561" w:rsidRPr="00D17561" w:rsidRDefault="00D17561" w:rsidP="00D17561">
    <w:pPr>
      <w:pStyle w:val="naisf"/>
      <w:spacing w:before="0" w:after="0"/>
      <w:ind w:firstLine="0"/>
      <w:rPr>
        <w:bCs/>
        <w:sz w:val="20"/>
        <w:szCs w:val="20"/>
      </w:rPr>
    </w:pPr>
    <w:r w:rsidRPr="00D17561">
      <w:rPr>
        <w:sz w:val="20"/>
        <w:szCs w:val="20"/>
      </w:rPr>
      <w:t>EMAnot_0</w:t>
    </w:r>
    <w:r w:rsidR="00521707">
      <w:rPr>
        <w:sz w:val="20"/>
        <w:szCs w:val="20"/>
      </w:rPr>
      <w:t>6</w:t>
    </w:r>
    <w:r w:rsidRPr="00D17561">
      <w:rPr>
        <w:sz w:val="20"/>
        <w:szCs w:val="20"/>
      </w:rPr>
      <w:t>0611_Juranod; Ministru kabineta noteikumu projekta „Ministru kabineta noteikumu projekta „Noteikumi par nodevu atļaujas laukuma jūrā izmantošanai mākslīgo salu, būvju un iekārtu būvniecībai, ierīkošanai, ar to saistītai izpētei un ekspluatācijai</w:t>
    </w:r>
    <w:r w:rsidRPr="00D17561">
      <w:rPr>
        <w:bCs/>
        <w:sz w:val="20"/>
        <w:szCs w:val="20"/>
      </w:rPr>
      <w:t>”</w:t>
    </w:r>
    <w:r w:rsidRPr="00D17561">
      <w:rPr>
        <w:sz w:val="20"/>
        <w:szCs w:val="20"/>
      </w:rPr>
      <w:t xml:space="preserve"> </w:t>
    </w:r>
    <w:r w:rsidRPr="00D17561">
      <w:rPr>
        <w:bCs/>
        <w:sz w:val="20"/>
        <w:szCs w:val="20"/>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561" w:rsidRPr="00D17561" w:rsidRDefault="00A67101" w:rsidP="00D17561">
    <w:pPr>
      <w:pStyle w:val="naisf"/>
      <w:spacing w:before="0" w:after="0"/>
      <w:ind w:firstLine="0"/>
      <w:rPr>
        <w:bCs/>
        <w:sz w:val="20"/>
        <w:szCs w:val="20"/>
      </w:rPr>
    </w:pPr>
    <w:r w:rsidRPr="00D17561">
      <w:rPr>
        <w:sz w:val="20"/>
        <w:szCs w:val="20"/>
      </w:rPr>
      <w:t>EMAnot_</w:t>
    </w:r>
    <w:r w:rsidR="00D17561" w:rsidRPr="00D17561">
      <w:rPr>
        <w:sz w:val="20"/>
        <w:szCs w:val="20"/>
      </w:rPr>
      <w:t>0</w:t>
    </w:r>
    <w:r w:rsidR="00521707">
      <w:rPr>
        <w:sz w:val="20"/>
        <w:szCs w:val="20"/>
      </w:rPr>
      <w:t>6</w:t>
    </w:r>
    <w:r w:rsidR="00D17561" w:rsidRPr="00D17561">
      <w:rPr>
        <w:sz w:val="20"/>
        <w:szCs w:val="20"/>
      </w:rPr>
      <w:t>06</w:t>
    </w:r>
    <w:r w:rsidRPr="00D17561">
      <w:rPr>
        <w:sz w:val="20"/>
        <w:szCs w:val="20"/>
      </w:rPr>
      <w:t>11_Jura</w:t>
    </w:r>
    <w:r w:rsidR="00D17561" w:rsidRPr="00D17561">
      <w:rPr>
        <w:sz w:val="20"/>
        <w:szCs w:val="20"/>
      </w:rPr>
      <w:t>nod</w:t>
    </w:r>
    <w:r w:rsidRPr="00D17561">
      <w:rPr>
        <w:sz w:val="20"/>
        <w:szCs w:val="20"/>
      </w:rPr>
      <w:t>; Ministru kabineta noteikumu projekta „</w:t>
    </w:r>
    <w:r w:rsidR="00D17561" w:rsidRPr="00D17561">
      <w:rPr>
        <w:sz w:val="20"/>
        <w:szCs w:val="20"/>
      </w:rPr>
      <w:t>Ministru kabineta noteikumu projekta „Noteikumi par nodevu atļaujas laukuma jūrā izmantošanai mākslīgo salu, būvju un iekārtu būvniecībai, ierīkošanai, ar to saistītai izpētei un ekspluatācijai</w:t>
    </w:r>
    <w:r w:rsidR="00D17561" w:rsidRPr="00D17561">
      <w:rPr>
        <w:bCs/>
        <w:sz w:val="20"/>
        <w:szCs w:val="20"/>
      </w:rPr>
      <w:t>”</w:t>
    </w:r>
    <w:r w:rsidR="00D17561" w:rsidRPr="00D17561">
      <w:rPr>
        <w:sz w:val="20"/>
        <w:szCs w:val="20"/>
      </w:rPr>
      <w:t xml:space="preserve"> </w:t>
    </w:r>
    <w:r w:rsidR="00D17561" w:rsidRPr="00D17561">
      <w:rPr>
        <w:bCs/>
        <w:sz w:val="20"/>
        <w:szCs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080" w:rsidRDefault="00084080" w:rsidP="009640EB">
      <w:pPr>
        <w:spacing w:after="0" w:line="240" w:lineRule="auto"/>
      </w:pPr>
      <w:r>
        <w:separator/>
      </w:r>
    </w:p>
  </w:footnote>
  <w:footnote w:type="continuationSeparator" w:id="0">
    <w:p w:rsidR="00084080" w:rsidRDefault="00084080" w:rsidP="00964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30376"/>
      <w:docPartObj>
        <w:docPartGallery w:val="Page Numbers (Top of Page)"/>
        <w:docPartUnique/>
      </w:docPartObj>
    </w:sdtPr>
    <w:sdtContent>
      <w:p w:rsidR="00A67101" w:rsidRDefault="008462AB">
        <w:pPr>
          <w:pStyle w:val="Header"/>
          <w:jc w:val="center"/>
        </w:pPr>
        <w:fldSimple w:instr=" PAGE   \* MERGEFORMAT ">
          <w:r w:rsidR="008533FD">
            <w:rPr>
              <w:noProof/>
            </w:rPr>
            <w:t>3</w:t>
          </w:r>
        </w:fldSimple>
      </w:p>
    </w:sdtContent>
  </w:sdt>
  <w:p w:rsidR="00A67101" w:rsidRDefault="00A671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715E"/>
    <w:multiLevelType w:val="hybridMultilevel"/>
    <w:tmpl w:val="D2326A2E"/>
    <w:lvl w:ilvl="0" w:tplc="DA904CFE">
      <w:start w:val="1"/>
      <w:numFmt w:val="bullet"/>
      <w:lvlText w:val=""/>
      <w:lvlJc w:val="left"/>
      <w:pPr>
        <w:tabs>
          <w:tab w:val="num" w:pos="720"/>
        </w:tabs>
        <w:ind w:left="720" w:hanging="360"/>
      </w:pPr>
      <w:rPr>
        <w:rFonts w:ascii="Wingdings" w:hAnsi="Wingdings" w:hint="default"/>
      </w:rPr>
    </w:lvl>
    <w:lvl w:ilvl="1" w:tplc="3B3A7896" w:tentative="1">
      <w:start w:val="1"/>
      <w:numFmt w:val="bullet"/>
      <w:lvlText w:val=""/>
      <w:lvlJc w:val="left"/>
      <w:pPr>
        <w:tabs>
          <w:tab w:val="num" w:pos="1440"/>
        </w:tabs>
        <w:ind w:left="1440" w:hanging="360"/>
      </w:pPr>
      <w:rPr>
        <w:rFonts w:ascii="Wingdings" w:hAnsi="Wingdings" w:hint="default"/>
      </w:rPr>
    </w:lvl>
    <w:lvl w:ilvl="2" w:tplc="AFB081F8" w:tentative="1">
      <w:start w:val="1"/>
      <w:numFmt w:val="bullet"/>
      <w:lvlText w:val=""/>
      <w:lvlJc w:val="left"/>
      <w:pPr>
        <w:tabs>
          <w:tab w:val="num" w:pos="2160"/>
        </w:tabs>
        <w:ind w:left="2160" w:hanging="360"/>
      </w:pPr>
      <w:rPr>
        <w:rFonts w:ascii="Wingdings" w:hAnsi="Wingdings" w:hint="default"/>
      </w:rPr>
    </w:lvl>
    <w:lvl w:ilvl="3" w:tplc="A6EAD6B0" w:tentative="1">
      <w:start w:val="1"/>
      <w:numFmt w:val="bullet"/>
      <w:lvlText w:val=""/>
      <w:lvlJc w:val="left"/>
      <w:pPr>
        <w:tabs>
          <w:tab w:val="num" w:pos="2880"/>
        </w:tabs>
        <w:ind w:left="2880" w:hanging="360"/>
      </w:pPr>
      <w:rPr>
        <w:rFonts w:ascii="Wingdings" w:hAnsi="Wingdings" w:hint="default"/>
      </w:rPr>
    </w:lvl>
    <w:lvl w:ilvl="4" w:tplc="D7E86360" w:tentative="1">
      <w:start w:val="1"/>
      <w:numFmt w:val="bullet"/>
      <w:lvlText w:val=""/>
      <w:lvlJc w:val="left"/>
      <w:pPr>
        <w:tabs>
          <w:tab w:val="num" w:pos="3600"/>
        </w:tabs>
        <w:ind w:left="3600" w:hanging="360"/>
      </w:pPr>
      <w:rPr>
        <w:rFonts w:ascii="Wingdings" w:hAnsi="Wingdings" w:hint="default"/>
      </w:rPr>
    </w:lvl>
    <w:lvl w:ilvl="5" w:tplc="F272BE94" w:tentative="1">
      <w:start w:val="1"/>
      <w:numFmt w:val="bullet"/>
      <w:lvlText w:val=""/>
      <w:lvlJc w:val="left"/>
      <w:pPr>
        <w:tabs>
          <w:tab w:val="num" w:pos="4320"/>
        </w:tabs>
        <w:ind w:left="4320" w:hanging="360"/>
      </w:pPr>
      <w:rPr>
        <w:rFonts w:ascii="Wingdings" w:hAnsi="Wingdings" w:hint="default"/>
      </w:rPr>
    </w:lvl>
    <w:lvl w:ilvl="6" w:tplc="E36C33F4" w:tentative="1">
      <w:start w:val="1"/>
      <w:numFmt w:val="bullet"/>
      <w:lvlText w:val=""/>
      <w:lvlJc w:val="left"/>
      <w:pPr>
        <w:tabs>
          <w:tab w:val="num" w:pos="5040"/>
        </w:tabs>
        <w:ind w:left="5040" w:hanging="360"/>
      </w:pPr>
      <w:rPr>
        <w:rFonts w:ascii="Wingdings" w:hAnsi="Wingdings" w:hint="default"/>
      </w:rPr>
    </w:lvl>
    <w:lvl w:ilvl="7" w:tplc="914EC7AE" w:tentative="1">
      <w:start w:val="1"/>
      <w:numFmt w:val="bullet"/>
      <w:lvlText w:val=""/>
      <w:lvlJc w:val="left"/>
      <w:pPr>
        <w:tabs>
          <w:tab w:val="num" w:pos="5760"/>
        </w:tabs>
        <w:ind w:left="5760" w:hanging="360"/>
      </w:pPr>
      <w:rPr>
        <w:rFonts w:ascii="Wingdings" w:hAnsi="Wingdings" w:hint="default"/>
      </w:rPr>
    </w:lvl>
    <w:lvl w:ilvl="8" w:tplc="09B243E2" w:tentative="1">
      <w:start w:val="1"/>
      <w:numFmt w:val="bullet"/>
      <w:lvlText w:val=""/>
      <w:lvlJc w:val="left"/>
      <w:pPr>
        <w:tabs>
          <w:tab w:val="num" w:pos="6480"/>
        </w:tabs>
        <w:ind w:left="6480" w:hanging="360"/>
      </w:pPr>
      <w:rPr>
        <w:rFonts w:ascii="Wingdings" w:hAnsi="Wingdings" w:hint="default"/>
      </w:rPr>
    </w:lvl>
  </w:abstractNum>
  <w:abstractNum w:abstractNumId="1">
    <w:nsid w:val="0A5B68EC"/>
    <w:multiLevelType w:val="hybridMultilevel"/>
    <w:tmpl w:val="3A9AB2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A92434"/>
    <w:multiLevelType w:val="hybridMultilevel"/>
    <w:tmpl w:val="9B069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2A7511F9"/>
    <w:multiLevelType w:val="hybridMultilevel"/>
    <w:tmpl w:val="5714FD88"/>
    <w:lvl w:ilvl="0" w:tplc="0A6AD9CC">
      <w:start w:val="1"/>
      <w:numFmt w:val="bullet"/>
      <w:lvlText w:val=""/>
      <w:lvlJc w:val="left"/>
      <w:pPr>
        <w:tabs>
          <w:tab w:val="num" w:pos="720"/>
        </w:tabs>
        <w:ind w:left="720" w:hanging="360"/>
      </w:pPr>
      <w:rPr>
        <w:rFonts w:ascii="Wingdings" w:hAnsi="Wingdings" w:hint="default"/>
      </w:rPr>
    </w:lvl>
    <w:lvl w:ilvl="1" w:tplc="1B308B5A" w:tentative="1">
      <w:start w:val="1"/>
      <w:numFmt w:val="bullet"/>
      <w:lvlText w:val=""/>
      <w:lvlJc w:val="left"/>
      <w:pPr>
        <w:tabs>
          <w:tab w:val="num" w:pos="1440"/>
        </w:tabs>
        <w:ind w:left="1440" w:hanging="360"/>
      </w:pPr>
      <w:rPr>
        <w:rFonts w:ascii="Wingdings" w:hAnsi="Wingdings" w:hint="default"/>
      </w:rPr>
    </w:lvl>
    <w:lvl w:ilvl="2" w:tplc="8A7AFD74" w:tentative="1">
      <w:start w:val="1"/>
      <w:numFmt w:val="bullet"/>
      <w:lvlText w:val=""/>
      <w:lvlJc w:val="left"/>
      <w:pPr>
        <w:tabs>
          <w:tab w:val="num" w:pos="2160"/>
        </w:tabs>
        <w:ind w:left="2160" w:hanging="360"/>
      </w:pPr>
      <w:rPr>
        <w:rFonts w:ascii="Wingdings" w:hAnsi="Wingdings" w:hint="default"/>
      </w:rPr>
    </w:lvl>
    <w:lvl w:ilvl="3" w:tplc="EA80F3F6" w:tentative="1">
      <w:start w:val="1"/>
      <w:numFmt w:val="bullet"/>
      <w:lvlText w:val=""/>
      <w:lvlJc w:val="left"/>
      <w:pPr>
        <w:tabs>
          <w:tab w:val="num" w:pos="2880"/>
        </w:tabs>
        <w:ind w:left="2880" w:hanging="360"/>
      </w:pPr>
      <w:rPr>
        <w:rFonts w:ascii="Wingdings" w:hAnsi="Wingdings" w:hint="default"/>
      </w:rPr>
    </w:lvl>
    <w:lvl w:ilvl="4" w:tplc="CB76104C" w:tentative="1">
      <w:start w:val="1"/>
      <w:numFmt w:val="bullet"/>
      <w:lvlText w:val=""/>
      <w:lvlJc w:val="left"/>
      <w:pPr>
        <w:tabs>
          <w:tab w:val="num" w:pos="3600"/>
        </w:tabs>
        <w:ind w:left="3600" w:hanging="360"/>
      </w:pPr>
      <w:rPr>
        <w:rFonts w:ascii="Wingdings" w:hAnsi="Wingdings" w:hint="default"/>
      </w:rPr>
    </w:lvl>
    <w:lvl w:ilvl="5" w:tplc="71D6B6F4" w:tentative="1">
      <w:start w:val="1"/>
      <w:numFmt w:val="bullet"/>
      <w:lvlText w:val=""/>
      <w:lvlJc w:val="left"/>
      <w:pPr>
        <w:tabs>
          <w:tab w:val="num" w:pos="4320"/>
        </w:tabs>
        <w:ind w:left="4320" w:hanging="360"/>
      </w:pPr>
      <w:rPr>
        <w:rFonts w:ascii="Wingdings" w:hAnsi="Wingdings" w:hint="default"/>
      </w:rPr>
    </w:lvl>
    <w:lvl w:ilvl="6" w:tplc="577A77FA" w:tentative="1">
      <w:start w:val="1"/>
      <w:numFmt w:val="bullet"/>
      <w:lvlText w:val=""/>
      <w:lvlJc w:val="left"/>
      <w:pPr>
        <w:tabs>
          <w:tab w:val="num" w:pos="5040"/>
        </w:tabs>
        <w:ind w:left="5040" w:hanging="360"/>
      </w:pPr>
      <w:rPr>
        <w:rFonts w:ascii="Wingdings" w:hAnsi="Wingdings" w:hint="default"/>
      </w:rPr>
    </w:lvl>
    <w:lvl w:ilvl="7" w:tplc="52D4EA70" w:tentative="1">
      <w:start w:val="1"/>
      <w:numFmt w:val="bullet"/>
      <w:lvlText w:val=""/>
      <w:lvlJc w:val="left"/>
      <w:pPr>
        <w:tabs>
          <w:tab w:val="num" w:pos="5760"/>
        </w:tabs>
        <w:ind w:left="5760" w:hanging="360"/>
      </w:pPr>
      <w:rPr>
        <w:rFonts w:ascii="Wingdings" w:hAnsi="Wingdings" w:hint="default"/>
      </w:rPr>
    </w:lvl>
    <w:lvl w:ilvl="8" w:tplc="90E2B41E" w:tentative="1">
      <w:start w:val="1"/>
      <w:numFmt w:val="bullet"/>
      <w:lvlText w:val=""/>
      <w:lvlJc w:val="left"/>
      <w:pPr>
        <w:tabs>
          <w:tab w:val="num" w:pos="6480"/>
        </w:tabs>
        <w:ind w:left="6480" w:hanging="360"/>
      </w:pPr>
      <w:rPr>
        <w:rFonts w:ascii="Wingdings" w:hAnsi="Wingdings" w:hint="default"/>
      </w:rPr>
    </w:lvl>
  </w:abstractNum>
  <w:abstractNum w:abstractNumId="6">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4AE44B9C"/>
    <w:multiLevelType w:val="hybridMultilevel"/>
    <w:tmpl w:val="E4FC3AE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9">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79312966"/>
    <w:multiLevelType w:val="multilevel"/>
    <w:tmpl w:val="079E7C6E"/>
    <w:lvl w:ilvl="0">
      <w:start w:val="2"/>
      <w:numFmt w:val="decimal"/>
      <w:lvlText w:val="%1."/>
      <w:lvlJc w:val="left"/>
      <w:pPr>
        <w:ind w:left="450" w:hanging="450"/>
      </w:pPr>
      <w:rPr>
        <w:rFonts w:hint="default"/>
      </w:rPr>
    </w:lvl>
    <w:lvl w:ilvl="1">
      <w:start w:val="1"/>
      <w:numFmt w:val="decimal"/>
      <w:lvlText w:val="%2)"/>
      <w:lvlJc w:val="left"/>
      <w:pPr>
        <w:ind w:left="1146" w:hanging="720"/>
      </w:pPr>
      <w:rPr>
        <w:rFonts w:ascii="Times New Roman" w:eastAsia="Times New Roman"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7AE86B14"/>
    <w:multiLevelType w:val="hybridMultilevel"/>
    <w:tmpl w:val="7486A44A"/>
    <w:lvl w:ilvl="0" w:tplc="1E202C6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6"/>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11"/>
  </w:num>
  <w:num w:numId="10">
    <w:abstractNumId w:val="7"/>
  </w:num>
  <w:num w:numId="11">
    <w:abstractNumId w:val="1"/>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5778"/>
  </w:hdrShapeDefaults>
  <w:footnotePr>
    <w:footnote w:id="-1"/>
    <w:footnote w:id="0"/>
  </w:footnotePr>
  <w:endnotePr>
    <w:endnote w:id="-1"/>
    <w:endnote w:id="0"/>
  </w:endnotePr>
  <w:compat/>
  <w:rsids>
    <w:rsidRoot w:val="002E43E8"/>
    <w:rsid w:val="00000605"/>
    <w:rsid w:val="00003FD8"/>
    <w:rsid w:val="00007BCE"/>
    <w:rsid w:val="00014144"/>
    <w:rsid w:val="00015EC6"/>
    <w:rsid w:val="00030D50"/>
    <w:rsid w:val="000358EB"/>
    <w:rsid w:val="0003604C"/>
    <w:rsid w:val="00041E7C"/>
    <w:rsid w:val="00043735"/>
    <w:rsid w:val="0005069D"/>
    <w:rsid w:val="00053E9B"/>
    <w:rsid w:val="0008206C"/>
    <w:rsid w:val="000820A2"/>
    <w:rsid w:val="000833E2"/>
    <w:rsid w:val="00084080"/>
    <w:rsid w:val="00084090"/>
    <w:rsid w:val="00085140"/>
    <w:rsid w:val="00092065"/>
    <w:rsid w:val="0009535E"/>
    <w:rsid w:val="000A1B39"/>
    <w:rsid w:val="000A67F8"/>
    <w:rsid w:val="000A747F"/>
    <w:rsid w:val="000B2A4E"/>
    <w:rsid w:val="000D29B1"/>
    <w:rsid w:val="000D51D2"/>
    <w:rsid w:val="000E2B3C"/>
    <w:rsid w:val="000F1726"/>
    <w:rsid w:val="000F2E2F"/>
    <w:rsid w:val="000F417A"/>
    <w:rsid w:val="000F5EDE"/>
    <w:rsid w:val="00105E88"/>
    <w:rsid w:val="00110AA1"/>
    <w:rsid w:val="001128BE"/>
    <w:rsid w:val="0011734D"/>
    <w:rsid w:val="00117526"/>
    <w:rsid w:val="001307FC"/>
    <w:rsid w:val="00132DCA"/>
    <w:rsid w:val="001347E4"/>
    <w:rsid w:val="00135A4F"/>
    <w:rsid w:val="00136A18"/>
    <w:rsid w:val="001418F5"/>
    <w:rsid w:val="00144B9B"/>
    <w:rsid w:val="0015356E"/>
    <w:rsid w:val="00154B5E"/>
    <w:rsid w:val="001565D2"/>
    <w:rsid w:val="001607DD"/>
    <w:rsid w:val="00171E1C"/>
    <w:rsid w:val="001759C5"/>
    <w:rsid w:val="001767E4"/>
    <w:rsid w:val="00183532"/>
    <w:rsid w:val="001915B6"/>
    <w:rsid w:val="00192763"/>
    <w:rsid w:val="00192844"/>
    <w:rsid w:val="001A2478"/>
    <w:rsid w:val="001A65B8"/>
    <w:rsid w:val="001B2AEC"/>
    <w:rsid w:val="001D0CB5"/>
    <w:rsid w:val="001D1C89"/>
    <w:rsid w:val="001D4937"/>
    <w:rsid w:val="001E7B5F"/>
    <w:rsid w:val="00201F48"/>
    <w:rsid w:val="0020265D"/>
    <w:rsid w:val="00215B3E"/>
    <w:rsid w:val="00215FD3"/>
    <w:rsid w:val="0021779E"/>
    <w:rsid w:val="002229F9"/>
    <w:rsid w:val="00224710"/>
    <w:rsid w:val="00224736"/>
    <w:rsid w:val="0023040B"/>
    <w:rsid w:val="00234FBB"/>
    <w:rsid w:val="0023533F"/>
    <w:rsid w:val="00240A58"/>
    <w:rsid w:val="002474C7"/>
    <w:rsid w:val="0024758B"/>
    <w:rsid w:val="00253443"/>
    <w:rsid w:val="00255ED8"/>
    <w:rsid w:val="0025630E"/>
    <w:rsid w:val="002628E5"/>
    <w:rsid w:val="0026471F"/>
    <w:rsid w:val="002746B3"/>
    <w:rsid w:val="00275C23"/>
    <w:rsid w:val="002811AB"/>
    <w:rsid w:val="00282506"/>
    <w:rsid w:val="00283D0E"/>
    <w:rsid w:val="00291DFC"/>
    <w:rsid w:val="00292375"/>
    <w:rsid w:val="00292822"/>
    <w:rsid w:val="0029471D"/>
    <w:rsid w:val="00294E26"/>
    <w:rsid w:val="002A277A"/>
    <w:rsid w:val="002A2844"/>
    <w:rsid w:val="002A57EB"/>
    <w:rsid w:val="002B218F"/>
    <w:rsid w:val="002B488A"/>
    <w:rsid w:val="002B5ADD"/>
    <w:rsid w:val="002B7FD6"/>
    <w:rsid w:val="002C3BCC"/>
    <w:rsid w:val="002C7399"/>
    <w:rsid w:val="002C7CB3"/>
    <w:rsid w:val="002D1D69"/>
    <w:rsid w:val="002D6CAC"/>
    <w:rsid w:val="002E26E0"/>
    <w:rsid w:val="002E43E8"/>
    <w:rsid w:val="002F67CF"/>
    <w:rsid w:val="002F6EAE"/>
    <w:rsid w:val="00310066"/>
    <w:rsid w:val="00313B1A"/>
    <w:rsid w:val="00314B96"/>
    <w:rsid w:val="00323244"/>
    <w:rsid w:val="00324A66"/>
    <w:rsid w:val="00337A55"/>
    <w:rsid w:val="00341F3F"/>
    <w:rsid w:val="00342129"/>
    <w:rsid w:val="00345A48"/>
    <w:rsid w:val="0035285F"/>
    <w:rsid w:val="00355629"/>
    <w:rsid w:val="00357966"/>
    <w:rsid w:val="00360314"/>
    <w:rsid w:val="00360629"/>
    <w:rsid w:val="00361FBA"/>
    <w:rsid w:val="0036509B"/>
    <w:rsid w:val="00367CEC"/>
    <w:rsid w:val="0037632F"/>
    <w:rsid w:val="0038289F"/>
    <w:rsid w:val="003A2269"/>
    <w:rsid w:val="003A3AFB"/>
    <w:rsid w:val="003A3DDD"/>
    <w:rsid w:val="003A5446"/>
    <w:rsid w:val="003A705C"/>
    <w:rsid w:val="003A716C"/>
    <w:rsid w:val="003B3870"/>
    <w:rsid w:val="003C47DD"/>
    <w:rsid w:val="003E45BF"/>
    <w:rsid w:val="003E4698"/>
    <w:rsid w:val="003F04CE"/>
    <w:rsid w:val="003F245C"/>
    <w:rsid w:val="003F50D9"/>
    <w:rsid w:val="003F7C5C"/>
    <w:rsid w:val="00404742"/>
    <w:rsid w:val="00410AC4"/>
    <w:rsid w:val="00410BC7"/>
    <w:rsid w:val="00420FCF"/>
    <w:rsid w:val="00426B13"/>
    <w:rsid w:val="004361C9"/>
    <w:rsid w:val="00441E49"/>
    <w:rsid w:val="004425C2"/>
    <w:rsid w:val="00453E91"/>
    <w:rsid w:val="00455D64"/>
    <w:rsid w:val="004603D8"/>
    <w:rsid w:val="00474834"/>
    <w:rsid w:val="00480B0B"/>
    <w:rsid w:val="004814AD"/>
    <w:rsid w:val="00485669"/>
    <w:rsid w:val="00495D96"/>
    <w:rsid w:val="004977F3"/>
    <w:rsid w:val="004B4B0A"/>
    <w:rsid w:val="004C0015"/>
    <w:rsid w:val="004C5D6A"/>
    <w:rsid w:val="004C7262"/>
    <w:rsid w:val="004D3161"/>
    <w:rsid w:val="004D377B"/>
    <w:rsid w:val="004F454F"/>
    <w:rsid w:val="00503C19"/>
    <w:rsid w:val="00504636"/>
    <w:rsid w:val="005047B6"/>
    <w:rsid w:val="00506A62"/>
    <w:rsid w:val="005108A2"/>
    <w:rsid w:val="00513575"/>
    <w:rsid w:val="00520C10"/>
    <w:rsid w:val="00521707"/>
    <w:rsid w:val="00544474"/>
    <w:rsid w:val="0054750B"/>
    <w:rsid w:val="00565900"/>
    <w:rsid w:val="00583925"/>
    <w:rsid w:val="00593CCC"/>
    <w:rsid w:val="00596956"/>
    <w:rsid w:val="005A056C"/>
    <w:rsid w:val="005B1D8A"/>
    <w:rsid w:val="005B2BE8"/>
    <w:rsid w:val="005C04E9"/>
    <w:rsid w:val="005D5ECF"/>
    <w:rsid w:val="005E01E3"/>
    <w:rsid w:val="005E2A92"/>
    <w:rsid w:val="005E76E0"/>
    <w:rsid w:val="005F2596"/>
    <w:rsid w:val="005F28AA"/>
    <w:rsid w:val="005F2A46"/>
    <w:rsid w:val="005F3302"/>
    <w:rsid w:val="006018E5"/>
    <w:rsid w:val="00602904"/>
    <w:rsid w:val="00607ACA"/>
    <w:rsid w:val="00637BB9"/>
    <w:rsid w:val="00637F84"/>
    <w:rsid w:val="006402D8"/>
    <w:rsid w:val="00644BBD"/>
    <w:rsid w:val="00645E9A"/>
    <w:rsid w:val="006527AB"/>
    <w:rsid w:val="00654D86"/>
    <w:rsid w:val="00655DD7"/>
    <w:rsid w:val="006564DA"/>
    <w:rsid w:val="006641FF"/>
    <w:rsid w:val="00666184"/>
    <w:rsid w:val="00671021"/>
    <w:rsid w:val="006761DB"/>
    <w:rsid w:val="0067623F"/>
    <w:rsid w:val="006775F1"/>
    <w:rsid w:val="00680FF6"/>
    <w:rsid w:val="00682454"/>
    <w:rsid w:val="00683D14"/>
    <w:rsid w:val="006960C4"/>
    <w:rsid w:val="006A2DB6"/>
    <w:rsid w:val="006A4AFA"/>
    <w:rsid w:val="006B1C7C"/>
    <w:rsid w:val="006B4AFF"/>
    <w:rsid w:val="006C1D41"/>
    <w:rsid w:val="006C73EF"/>
    <w:rsid w:val="006D0AC1"/>
    <w:rsid w:val="006D1CF8"/>
    <w:rsid w:val="006D39AF"/>
    <w:rsid w:val="006D4D74"/>
    <w:rsid w:val="006E369F"/>
    <w:rsid w:val="006E660F"/>
    <w:rsid w:val="006E729D"/>
    <w:rsid w:val="006F2200"/>
    <w:rsid w:val="006F589E"/>
    <w:rsid w:val="006F6E8F"/>
    <w:rsid w:val="006F6FC1"/>
    <w:rsid w:val="007005F7"/>
    <w:rsid w:val="00706910"/>
    <w:rsid w:val="00707C95"/>
    <w:rsid w:val="00721E9E"/>
    <w:rsid w:val="00730046"/>
    <w:rsid w:val="0073112C"/>
    <w:rsid w:val="007315EA"/>
    <w:rsid w:val="0073204C"/>
    <w:rsid w:val="00740DEF"/>
    <w:rsid w:val="00742AAF"/>
    <w:rsid w:val="00742F8A"/>
    <w:rsid w:val="007441FC"/>
    <w:rsid w:val="007470A1"/>
    <w:rsid w:val="00766058"/>
    <w:rsid w:val="00767987"/>
    <w:rsid w:val="00781C1C"/>
    <w:rsid w:val="0078370B"/>
    <w:rsid w:val="00784696"/>
    <w:rsid w:val="0079426A"/>
    <w:rsid w:val="00794E73"/>
    <w:rsid w:val="00795777"/>
    <w:rsid w:val="007A27F5"/>
    <w:rsid w:val="007B37A4"/>
    <w:rsid w:val="007B5A08"/>
    <w:rsid w:val="007C330B"/>
    <w:rsid w:val="007C6779"/>
    <w:rsid w:val="007C6DA2"/>
    <w:rsid w:val="007D0A73"/>
    <w:rsid w:val="007D1E76"/>
    <w:rsid w:val="007D7A48"/>
    <w:rsid w:val="007E7135"/>
    <w:rsid w:val="007E7EAE"/>
    <w:rsid w:val="007F1C80"/>
    <w:rsid w:val="007F507F"/>
    <w:rsid w:val="0080302C"/>
    <w:rsid w:val="00806D96"/>
    <w:rsid w:val="00815DA0"/>
    <w:rsid w:val="0081799D"/>
    <w:rsid w:val="0082289E"/>
    <w:rsid w:val="00827C03"/>
    <w:rsid w:val="00827D44"/>
    <w:rsid w:val="00841A74"/>
    <w:rsid w:val="00844F21"/>
    <w:rsid w:val="008462AB"/>
    <w:rsid w:val="008533FD"/>
    <w:rsid w:val="00861C82"/>
    <w:rsid w:val="008652AA"/>
    <w:rsid w:val="008659F9"/>
    <w:rsid w:val="008718F3"/>
    <w:rsid w:val="00880859"/>
    <w:rsid w:val="0088539B"/>
    <w:rsid w:val="008A2149"/>
    <w:rsid w:val="008A2348"/>
    <w:rsid w:val="008A2BC9"/>
    <w:rsid w:val="008A5B25"/>
    <w:rsid w:val="008A7E29"/>
    <w:rsid w:val="008B0F57"/>
    <w:rsid w:val="008B683B"/>
    <w:rsid w:val="008C3BD5"/>
    <w:rsid w:val="008C3C33"/>
    <w:rsid w:val="008D43C3"/>
    <w:rsid w:val="008D59C2"/>
    <w:rsid w:val="008E1E57"/>
    <w:rsid w:val="008E78F4"/>
    <w:rsid w:val="008F10C3"/>
    <w:rsid w:val="009053E2"/>
    <w:rsid w:val="0091006D"/>
    <w:rsid w:val="00913554"/>
    <w:rsid w:val="009216EE"/>
    <w:rsid w:val="00934B9B"/>
    <w:rsid w:val="009375EB"/>
    <w:rsid w:val="009405FF"/>
    <w:rsid w:val="00941DED"/>
    <w:rsid w:val="00951411"/>
    <w:rsid w:val="009545D9"/>
    <w:rsid w:val="0096094A"/>
    <w:rsid w:val="009640EB"/>
    <w:rsid w:val="00967FA7"/>
    <w:rsid w:val="00971E44"/>
    <w:rsid w:val="00972F36"/>
    <w:rsid w:val="00973569"/>
    <w:rsid w:val="00973706"/>
    <w:rsid w:val="009827A4"/>
    <w:rsid w:val="00982D75"/>
    <w:rsid w:val="00984F36"/>
    <w:rsid w:val="00986D21"/>
    <w:rsid w:val="0099382C"/>
    <w:rsid w:val="009C0C73"/>
    <w:rsid w:val="009C342E"/>
    <w:rsid w:val="009C4059"/>
    <w:rsid w:val="009C6353"/>
    <w:rsid w:val="009D5727"/>
    <w:rsid w:val="009D669E"/>
    <w:rsid w:val="009D67C0"/>
    <w:rsid w:val="009E2F83"/>
    <w:rsid w:val="009F26F2"/>
    <w:rsid w:val="009F2D07"/>
    <w:rsid w:val="009F6ECA"/>
    <w:rsid w:val="00A05540"/>
    <w:rsid w:val="00A14F6C"/>
    <w:rsid w:val="00A161D6"/>
    <w:rsid w:val="00A1679C"/>
    <w:rsid w:val="00A22FDC"/>
    <w:rsid w:val="00A363C9"/>
    <w:rsid w:val="00A37062"/>
    <w:rsid w:val="00A40345"/>
    <w:rsid w:val="00A41A03"/>
    <w:rsid w:val="00A469CB"/>
    <w:rsid w:val="00A47A62"/>
    <w:rsid w:val="00A52271"/>
    <w:rsid w:val="00A67101"/>
    <w:rsid w:val="00A67D40"/>
    <w:rsid w:val="00A7286D"/>
    <w:rsid w:val="00A72D98"/>
    <w:rsid w:val="00A82C52"/>
    <w:rsid w:val="00A87D38"/>
    <w:rsid w:val="00A91151"/>
    <w:rsid w:val="00A9126C"/>
    <w:rsid w:val="00AA41AB"/>
    <w:rsid w:val="00AB34E4"/>
    <w:rsid w:val="00AB5795"/>
    <w:rsid w:val="00AB7878"/>
    <w:rsid w:val="00AC2C7F"/>
    <w:rsid w:val="00AC6E4C"/>
    <w:rsid w:val="00AC7E98"/>
    <w:rsid w:val="00AD1660"/>
    <w:rsid w:val="00AD3151"/>
    <w:rsid w:val="00AD4122"/>
    <w:rsid w:val="00AE1427"/>
    <w:rsid w:val="00AE47C1"/>
    <w:rsid w:val="00AE6802"/>
    <w:rsid w:val="00AF0D4E"/>
    <w:rsid w:val="00AF5F52"/>
    <w:rsid w:val="00B00D6D"/>
    <w:rsid w:val="00B06F37"/>
    <w:rsid w:val="00B113D2"/>
    <w:rsid w:val="00B151BF"/>
    <w:rsid w:val="00B160F2"/>
    <w:rsid w:val="00B21706"/>
    <w:rsid w:val="00B328EA"/>
    <w:rsid w:val="00B32B34"/>
    <w:rsid w:val="00B467C4"/>
    <w:rsid w:val="00B51226"/>
    <w:rsid w:val="00B53559"/>
    <w:rsid w:val="00B53767"/>
    <w:rsid w:val="00B54F7A"/>
    <w:rsid w:val="00B56412"/>
    <w:rsid w:val="00B5796F"/>
    <w:rsid w:val="00B66CA8"/>
    <w:rsid w:val="00B762B5"/>
    <w:rsid w:val="00B76846"/>
    <w:rsid w:val="00B81589"/>
    <w:rsid w:val="00B843C2"/>
    <w:rsid w:val="00B875D7"/>
    <w:rsid w:val="00B94028"/>
    <w:rsid w:val="00BA0369"/>
    <w:rsid w:val="00BA7EF8"/>
    <w:rsid w:val="00BA7F1A"/>
    <w:rsid w:val="00BB66C5"/>
    <w:rsid w:val="00BC2390"/>
    <w:rsid w:val="00BD033A"/>
    <w:rsid w:val="00BE2E3F"/>
    <w:rsid w:val="00BE2E68"/>
    <w:rsid w:val="00BF10B9"/>
    <w:rsid w:val="00C02828"/>
    <w:rsid w:val="00C035CA"/>
    <w:rsid w:val="00C03A43"/>
    <w:rsid w:val="00C16C38"/>
    <w:rsid w:val="00C208B9"/>
    <w:rsid w:val="00C237AC"/>
    <w:rsid w:val="00C332B7"/>
    <w:rsid w:val="00C37D83"/>
    <w:rsid w:val="00C50EBC"/>
    <w:rsid w:val="00C534CD"/>
    <w:rsid w:val="00C53ED9"/>
    <w:rsid w:val="00C56FD6"/>
    <w:rsid w:val="00C65CBF"/>
    <w:rsid w:val="00C6679A"/>
    <w:rsid w:val="00C771B1"/>
    <w:rsid w:val="00C93ABC"/>
    <w:rsid w:val="00CB3031"/>
    <w:rsid w:val="00CB4E68"/>
    <w:rsid w:val="00CC230E"/>
    <w:rsid w:val="00CD13EC"/>
    <w:rsid w:val="00CD1F13"/>
    <w:rsid w:val="00CD59A2"/>
    <w:rsid w:val="00CE1AA5"/>
    <w:rsid w:val="00CE2B4C"/>
    <w:rsid w:val="00CE3EDE"/>
    <w:rsid w:val="00D007AF"/>
    <w:rsid w:val="00D03CCB"/>
    <w:rsid w:val="00D058AB"/>
    <w:rsid w:val="00D10E20"/>
    <w:rsid w:val="00D12396"/>
    <w:rsid w:val="00D15BBE"/>
    <w:rsid w:val="00D17561"/>
    <w:rsid w:val="00D30E31"/>
    <w:rsid w:val="00D33344"/>
    <w:rsid w:val="00D354E2"/>
    <w:rsid w:val="00D363EE"/>
    <w:rsid w:val="00D372C2"/>
    <w:rsid w:val="00D44DDB"/>
    <w:rsid w:val="00D52420"/>
    <w:rsid w:val="00D53548"/>
    <w:rsid w:val="00D53D99"/>
    <w:rsid w:val="00D5541B"/>
    <w:rsid w:val="00D64BF8"/>
    <w:rsid w:val="00D650E9"/>
    <w:rsid w:val="00D7033A"/>
    <w:rsid w:val="00D73A3B"/>
    <w:rsid w:val="00D73FA4"/>
    <w:rsid w:val="00D7589A"/>
    <w:rsid w:val="00D77FBB"/>
    <w:rsid w:val="00D836CF"/>
    <w:rsid w:val="00D85B5F"/>
    <w:rsid w:val="00D94400"/>
    <w:rsid w:val="00D97740"/>
    <w:rsid w:val="00DA0815"/>
    <w:rsid w:val="00DA38B4"/>
    <w:rsid w:val="00DA5B2A"/>
    <w:rsid w:val="00DA7644"/>
    <w:rsid w:val="00DB0678"/>
    <w:rsid w:val="00DB1888"/>
    <w:rsid w:val="00DC6B05"/>
    <w:rsid w:val="00DD1181"/>
    <w:rsid w:val="00DD2C61"/>
    <w:rsid w:val="00DE04DD"/>
    <w:rsid w:val="00DE0D0B"/>
    <w:rsid w:val="00DE24FC"/>
    <w:rsid w:val="00DE43AE"/>
    <w:rsid w:val="00DE55FF"/>
    <w:rsid w:val="00DF118D"/>
    <w:rsid w:val="00E01401"/>
    <w:rsid w:val="00E1000A"/>
    <w:rsid w:val="00E15714"/>
    <w:rsid w:val="00E17422"/>
    <w:rsid w:val="00E23F2F"/>
    <w:rsid w:val="00E30AAF"/>
    <w:rsid w:val="00E30EF2"/>
    <w:rsid w:val="00E325EF"/>
    <w:rsid w:val="00E36F00"/>
    <w:rsid w:val="00E4440D"/>
    <w:rsid w:val="00E46001"/>
    <w:rsid w:val="00E5051A"/>
    <w:rsid w:val="00E6245E"/>
    <w:rsid w:val="00E6283A"/>
    <w:rsid w:val="00E715BA"/>
    <w:rsid w:val="00E73AC8"/>
    <w:rsid w:val="00E801A1"/>
    <w:rsid w:val="00E841D3"/>
    <w:rsid w:val="00E85073"/>
    <w:rsid w:val="00E86277"/>
    <w:rsid w:val="00E8679B"/>
    <w:rsid w:val="00E94EDB"/>
    <w:rsid w:val="00E9519C"/>
    <w:rsid w:val="00E953B3"/>
    <w:rsid w:val="00E958BA"/>
    <w:rsid w:val="00E97749"/>
    <w:rsid w:val="00EA0E49"/>
    <w:rsid w:val="00EA3224"/>
    <w:rsid w:val="00EA417A"/>
    <w:rsid w:val="00EA44AC"/>
    <w:rsid w:val="00EA648D"/>
    <w:rsid w:val="00EB09C7"/>
    <w:rsid w:val="00EC59A5"/>
    <w:rsid w:val="00EC5A6E"/>
    <w:rsid w:val="00ED57B8"/>
    <w:rsid w:val="00EE269B"/>
    <w:rsid w:val="00EF4FFB"/>
    <w:rsid w:val="00EF5602"/>
    <w:rsid w:val="00F00140"/>
    <w:rsid w:val="00F00BCA"/>
    <w:rsid w:val="00F04D0B"/>
    <w:rsid w:val="00F122F6"/>
    <w:rsid w:val="00F1477E"/>
    <w:rsid w:val="00F156CB"/>
    <w:rsid w:val="00F22C71"/>
    <w:rsid w:val="00F23D20"/>
    <w:rsid w:val="00F24EC1"/>
    <w:rsid w:val="00F3027A"/>
    <w:rsid w:val="00F33023"/>
    <w:rsid w:val="00F330F2"/>
    <w:rsid w:val="00F36140"/>
    <w:rsid w:val="00F5198C"/>
    <w:rsid w:val="00F51C36"/>
    <w:rsid w:val="00F636DD"/>
    <w:rsid w:val="00F650C9"/>
    <w:rsid w:val="00F73413"/>
    <w:rsid w:val="00F7548D"/>
    <w:rsid w:val="00F77788"/>
    <w:rsid w:val="00F8043B"/>
    <w:rsid w:val="00F84192"/>
    <w:rsid w:val="00F9061E"/>
    <w:rsid w:val="00F91E36"/>
    <w:rsid w:val="00F940DF"/>
    <w:rsid w:val="00F955ED"/>
    <w:rsid w:val="00F97423"/>
    <w:rsid w:val="00F97601"/>
    <w:rsid w:val="00FA5696"/>
    <w:rsid w:val="00FB1989"/>
    <w:rsid w:val="00FB394E"/>
    <w:rsid w:val="00FB5C58"/>
    <w:rsid w:val="00FC3A6B"/>
    <w:rsid w:val="00FC4DE6"/>
    <w:rsid w:val="00FD0A86"/>
    <w:rsid w:val="00FD5011"/>
    <w:rsid w:val="00FE1040"/>
    <w:rsid w:val="00FE2353"/>
    <w:rsid w:val="00FF0411"/>
    <w:rsid w:val="00FF06C1"/>
    <w:rsid w:val="00FF5FD0"/>
    <w:rsid w:val="00FF698C"/>
    <w:rsid w:val="00FF6E4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basedOn w:val="DefaultParagraphFont"/>
    <w:link w:val="CommentText"/>
    <w:semiHidden/>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semiHidden/>
    <w:unhideWhenUsed/>
    <w:rsid w:val="003A705C"/>
    <w:rPr>
      <w:sz w:val="16"/>
      <w:szCs w:val="16"/>
    </w:rPr>
  </w:style>
  <w:style w:type="paragraph" w:styleId="BodyText">
    <w:name w:val="Body Text"/>
    <w:basedOn w:val="Normal"/>
    <w:link w:val="BodyTextChar"/>
    <w:uiPriority w:val="99"/>
    <w:unhideWhenUsed/>
    <w:rsid w:val="00DD1181"/>
    <w:pPr>
      <w:spacing w:after="120"/>
    </w:pPr>
  </w:style>
  <w:style w:type="character" w:customStyle="1" w:styleId="BodyTextChar">
    <w:name w:val="Body Text Char"/>
    <w:basedOn w:val="DefaultParagraphFont"/>
    <w:link w:val="BodyText"/>
    <w:uiPriority w:val="99"/>
    <w:rsid w:val="00DD1181"/>
    <w:rPr>
      <w:sz w:val="22"/>
      <w:szCs w:val="22"/>
      <w:lang w:eastAsia="en-US"/>
    </w:rPr>
  </w:style>
  <w:style w:type="character" w:customStyle="1" w:styleId="spelle">
    <w:name w:val="spelle"/>
    <w:basedOn w:val="DefaultParagraphFont"/>
    <w:rsid w:val="00A47A62"/>
  </w:style>
  <w:style w:type="paragraph" w:customStyle="1" w:styleId="naisnod">
    <w:name w:val="naisnod"/>
    <w:basedOn w:val="Normal"/>
    <w:rsid w:val="00730046"/>
    <w:pPr>
      <w:spacing w:before="150" w:after="150" w:line="240" w:lineRule="auto"/>
      <w:jc w:val="center"/>
    </w:pPr>
    <w:rPr>
      <w:rFonts w:ascii="Times New Roman" w:eastAsia="Times New Roman" w:hAnsi="Times New Roman"/>
      <w:b/>
      <w:bCs/>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basedOn w:val="DefaultParagraphFont"/>
    <w:link w:val="CommentText"/>
    <w:semiHidden/>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semiHidden/>
    <w:unhideWhenUsed/>
    <w:rsid w:val="003A705C"/>
    <w:rPr>
      <w:sz w:val="16"/>
      <w:szCs w:val="16"/>
    </w:rPr>
  </w:style>
  <w:style w:type="paragraph" w:styleId="BodyText">
    <w:name w:val="Body Text"/>
    <w:basedOn w:val="Normal"/>
    <w:link w:val="BodyTextChar"/>
    <w:uiPriority w:val="99"/>
    <w:semiHidden/>
    <w:unhideWhenUsed/>
    <w:rsid w:val="00DD1181"/>
    <w:pPr>
      <w:spacing w:after="120"/>
    </w:pPr>
  </w:style>
  <w:style w:type="character" w:customStyle="1" w:styleId="BodyTextChar">
    <w:name w:val="Body Text Char"/>
    <w:basedOn w:val="DefaultParagraphFont"/>
    <w:link w:val="BodyText"/>
    <w:uiPriority w:val="99"/>
    <w:semiHidden/>
    <w:rsid w:val="00DD118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7017818">
      <w:bodyDiv w:val="1"/>
      <w:marLeft w:val="0"/>
      <w:marRight w:val="0"/>
      <w:marTop w:val="0"/>
      <w:marBottom w:val="0"/>
      <w:divBdr>
        <w:top w:val="none" w:sz="0" w:space="0" w:color="auto"/>
        <w:left w:val="none" w:sz="0" w:space="0" w:color="auto"/>
        <w:bottom w:val="none" w:sz="0" w:space="0" w:color="auto"/>
        <w:right w:val="none" w:sz="0" w:space="0" w:color="auto"/>
      </w:divBdr>
      <w:divsChild>
        <w:div w:id="1639727987">
          <w:marLeft w:val="734"/>
          <w:marRight w:val="0"/>
          <w:marTop w:val="96"/>
          <w:marBottom w:val="0"/>
          <w:divBdr>
            <w:top w:val="none" w:sz="0" w:space="0" w:color="auto"/>
            <w:left w:val="none" w:sz="0" w:space="0" w:color="auto"/>
            <w:bottom w:val="none" w:sz="0" w:space="0" w:color="auto"/>
            <w:right w:val="none" w:sz="0" w:space="0" w:color="auto"/>
          </w:divBdr>
        </w:div>
        <w:div w:id="1076972816">
          <w:marLeft w:val="734"/>
          <w:marRight w:val="0"/>
          <w:marTop w:val="96"/>
          <w:marBottom w:val="0"/>
          <w:divBdr>
            <w:top w:val="none" w:sz="0" w:space="0" w:color="auto"/>
            <w:left w:val="none" w:sz="0" w:space="0" w:color="auto"/>
            <w:bottom w:val="none" w:sz="0" w:space="0" w:color="auto"/>
            <w:right w:val="none" w:sz="0" w:space="0" w:color="auto"/>
          </w:divBdr>
        </w:div>
      </w:divsChild>
    </w:div>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951859193">
      <w:bodyDiv w:val="1"/>
      <w:marLeft w:val="0"/>
      <w:marRight w:val="0"/>
      <w:marTop w:val="0"/>
      <w:marBottom w:val="0"/>
      <w:divBdr>
        <w:top w:val="none" w:sz="0" w:space="0" w:color="auto"/>
        <w:left w:val="none" w:sz="0" w:space="0" w:color="auto"/>
        <w:bottom w:val="none" w:sz="0" w:space="0" w:color="auto"/>
        <w:right w:val="none" w:sz="0" w:space="0" w:color="auto"/>
      </w:divBdr>
      <w:divsChild>
        <w:div w:id="809790855">
          <w:marLeft w:val="562"/>
          <w:marRight w:val="0"/>
          <w:marTop w:val="115"/>
          <w:marBottom w:val="0"/>
          <w:divBdr>
            <w:top w:val="none" w:sz="0" w:space="0" w:color="auto"/>
            <w:left w:val="none" w:sz="0" w:space="0" w:color="auto"/>
            <w:bottom w:val="none" w:sz="0" w:space="0" w:color="auto"/>
            <w:right w:val="none" w:sz="0" w:space="0" w:color="auto"/>
          </w:divBdr>
        </w:div>
        <w:div w:id="2047412479">
          <w:marLeft w:val="562"/>
          <w:marRight w:val="0"/>
          <w:marTop w:val="115"/>
          <w:marBottom w:val="0"/>
          <w:divBdr>
            <w:top w:val="none" w:sz="0" w:space="0" w:color="auto"/>
            <w:left w:val="none" w:sz="0" w:space="0" w:color="auto"/>
            <w:bottom w:val="none" w:sz="0" w:space="0" w:color="auto"/>
            <w:right w:val="none" w:sz="0" w:space="0" w:color="auto"/>
          </w:divBdr>
        </w:div>
      </w:divsChild>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A01B8-1640-404A-ACD2-F01BE81F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4200</Words>
  <Characters>2394</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Ministru kabineta noteikumu projekta „EMAnot_020611_Juranod; Ministru kabineta noteikumu projekta „EMAnot_020611_Juranod; Ministru kabineta noteikumu projekta „Ministru kabineta noteikumu projekta „Noteikumi par nodevu atļaujas laukuma jūrā izmantošanai m</vt:lpstr>
    </vt:vector>
  </TitlesOfParts>
  <Company>LR Ekonomikas ministrija</Company>
  <LinksUpToDate>false</LinksUpToDate>
  <CharactersWithSpaces>6581</CharactersWithSpaces>
  <SharedDoc>false</SharedDoc>
  <HLinks>
    <vt:vector size="6" baseType="variant">
      <vt:variant>
        <vt:i4>1114151</vt:i4>
      </vt:variant>
      <vt:variant>
        <vt:i4>0</vt:i4>
      </vt:variant>
      <vt:variant>
        <vt:i4>0</vt:i4>
      </vt:variant>
      <vt:variant>
        <vt:i4>5</vt:i4>
      </vt:variant>
      <vt:variant>
        <vt:lpwstr>mailto:ilze.rusko@em.gov.lv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„EMAnot_020611_Juranod; Ministru kabineta noteikumu projekta „EMAnot_020611_Juranod; Ministru kabineta noteikumu projekta „Ministru kabineta noteikumu projekta „Noteikumi par nodevu atļaujas laukuma jūrā izmantošanai mākslīgo salu, būvju un iekārtu būvniecībai, ierīkošanai, ar to saistītai izpētei un ekspluatācijai” sākotnējās ietekmes novērtējuma ziņojums (anotācija)</dc:title>
  <dc:subject>sākotnējās ietekmes novērtējuma ziņojums (anotācija)</dc:subject>
  <dc:creator>Ilze Ruško</dc:creator>
  <dc:description>ilze.rusko@em.gov.lv
Tālr.: 67013173</dc:description>
  <cp:lastModifiedBy>Ilze Ruško</cp:lastModifiedBy>
  <cp:revision>4</cp:revision>
  <cp:lastPrinted>2011-06-06T14:16:00Z</cp:lastPrinted>
  <dcterms:created xsi:type="dcterms:W3CDTF">2011-06-06T10:37:00Z</dcterms:created>
  <dcterms:modified xsi:type="dcterms:W3CDTF">2011-06-06T14:26:00Z</dcterms:modified>
</cp:coreProperties>
</file>