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49" w:rsidRPr="002F658A" w:rsidRDefault="00A43A49" w:rsidP="00B953FD">
      <w:pPr>
        <w:pStyle w:val="naisc"/>
        <w:spacing w:before="0" w:beforeAutospacing="0" w:after="0" w:afterAutospacing="0"/>
      </w:pPr>
      <w:bookmarkStart w:id="0" w:name="OLE_LINK9"/>
      <w:bookmarkStart w:id="1" w:name="OLE_LINK10"/>
      <w:bookmarkStart w:id="2" w:name="OLE_LINK3"/>
      <w:bookmarkStart w:id="3" w:name="OLE_LINK4"/>
      <w:r w:rsidRPr="002F658A">
        <w:rPr>
          <w:bCs/>
        </w:rPr>
        <w:t>Ministru kabineta noteikumu projekta</w:t>
      </w:r>
    </w:p>
    <w:p w:rsidR="00E14FD1" w:rsidRPr="00B33188" w:rsidRDefault="00E14FD1" w:rsidP="00B953FD">
      <w:pPr>
        <w:pStyle w:val="NormalWeb"/>
        <w:spacing w:before="0" w:after="0"/>
        <w:rPr>
          <w:b/>
        </w:rPr>
      </w:pPr>
      <w:bookmarkStart w:id="4" w:name="OLE_LINK1"/>
      <w:bookmarkStart w:id="5" w:name="OLE_LINK2"/>
      <w:r w:rsidRPr="00B33188">
        <w:rPr>
          <w:b/>
          <w:bCs/>
        </w:rPr>
        <w:t xml:space="preserve"> </w:t>
      </w:r>
      <w:r w:rsidR="00C3514C" w:rsidRPr="00B33188">
        <w:rPr>
          <w:b/>
        </w:rPr>
        <w:t>„Grozījumi Ministru kabineta 2011.gada 19.oktobra noteikumos Nr.803 „Noteikumi par mājsaimniecības elektrisko veļas žāvēšanas mašīnu un kombinēto veļas mazgāšanas un žāvēšanas mašīnu marķēšanu un distances līgumā ietveramo informāciju””</w:t>
      </w:r>
    </w:p>
    <w:bookmarkEnd w:id="4"/>
    <w:bookmarkEnd w:id="5"/>
    <w:p w:rsidR="00A43A49" w:rsidRPr="00541F79" w:rsidRDefault="00B953FD" w:rsidP="00B953FD">
      <w:pPr>
        <w:tabs>
          <w:tab w:val="center" w:pos="4680"/>
          <w:tab w:val="left" w:pos="8535"/>
        </w:tabs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2F658A"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234DEC" w:rsidRPr="002F658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A43A49" w:rsidRPr="002F658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sākotnējās ietekmes novērtējuma ziņojums (anotācija)</w:t>
      </w:r>
      <w:bookmarkEnd w:id="0"/>
      <w:bookmarkEnd w:id="1"/>
      <w:r w:rsidRPr="00541F79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ab/>
      </w:r>
    </w:p>
    <w:bookmarkEnd w:id="2"/>
    <w:bookmarkEnd w:id="3"/>
    <w:p w:rsidR="007F1971" w:rsidRPr="00541F79" w:rsidRDefault="007F1971" w:rsidP="00B953FD">
      <w:pPr>
        <w:tabs>
          <w:tab w:val="center" w:pos="4680"/>
          <w:tab w:val="left" w:pos="8535"/>
        </w:tabs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"/>
        <w:gridCol w:w="1863"/>
        <w:gridCol w:w="6990"/>
      </w:tblGrid>
      <w:tr w:rsidR="007F1971" w:rsidRPr="00884C0C" w:rsidTr="00862556">
        <w:trPr>
          <w:trHeight w:val="29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7F1971" w:rsidRPr="00541F79" w:rsidRDefault="007F1971" w:rsidP="00862556">
            <w:pPr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I. Tiesību akta projekta izstrādes nepieciešamība</w:t>
            </w:r>
          </w:p>
        </w:tc>
      </w:tr>
      <w:tr w:rsidR="007F1971" w:rsidRPr="00884C0C" w:rsidTr="002F658A">
        <w:trPr>
          <w:trHeight w:val="2799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AE069F" w:rsidRDefault="002709F4" w:rsidP="00BD4080">
            <w:pPr>
              <w:ind w:firstLine="749"/>
              <w:jc w:val="both"/>
              <w:rPr>
                <w:b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Ministru kabineta n</w:t>
            </w:r>
            <w:r w:rsidR="007F1971"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oteikumu </w:t>
            </w:r>
            <w:r w:rsidR="007F1971" w:rsidRPr="00DE1C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</w:t>
            </w:r>
            <w:r w:rsidR="00DE1C6C" w:rsidRPr="00AE0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DE1C6C" w:rsidRPr="00AE06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„Grozījumi Ministru kabineta 2011.gada 19.oktobra noteikumos Nr.803 „Noteikumi par mājsaimniecības elektrisko veļas žāvēšanas mašīnu un kombinēto veļas mazgāšanas un žāvēšanas mašīnu marķēšanu un distances līgumā ietveramo informāciju””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EC4670" w:rsidRPr="00AE069F">
              <w:rPr>
                <w:rFonts w:ascii="Times New Roman" w:hAnsi="Times New Roman" w:cs="Times New Roman"/>
                <w:sz w:val="24"/>
                <w:lang w:val="lv-LV"/>
              </w:rPr>
              <w:t>izstrādāts</w:t>
            </w:r>
            <w:r w:rsidR="00B65E3A" w:rsidRPr="00AE069F">
              <w:rPr>
                <w:rFonts w:ascii="Times New Roman" w:hAnsi="Times New Roman" w:cs="Times New Roman"/>
                <w:sz w:val="24"/>
                <w:lang w:val="lv-LV"/>
              </w:rPr>
              <w:t xml:space="preserve">, </w:t>
            </w:r>
            <w:r w:rsidR="00BD4080" w:rsidRPr="00AE069F">
              <w:rPr>
                <w:rFonts w:ascii="Times New Roman" w:hAnsi="Times New Roman" w:cs="Times New Roman"/>
                <w:sz w:val="24"/>
                <w:lang w:val="lv-LV"/>
              </w:rPr>
              <w:t>lai novērstu tiesību aktu dublēšanos, ņemot vērā</w:t>
            </w:r>
            <w:r w:rsidR="00B65E3A" w:rsidRPr="00AE069F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B65E3A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Komisijas Deleģētā</w:t>
            </w:r>
            <w:r w:rsidR="00B65E3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="00B65E3A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regula</w:t>
            </w:r>
            <w:r w:rsidR="00B65E3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="00B65E3A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(ES) Nr.392/2012 </w:t>
            </w:r>
            <w:r w:rsidR="00B65E3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(2012.gada 1.marts) </w:t>
            </w:r>
            <w:r w:rsidR="00B65E3A" w:rsidRPr="00541F7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  <w:t>ar ko papildina Eiropas Parlamenta un Padomes Direktīvu 2010/30/ES attiecībā uz mājsaimniecības veļas žāvētāju energomarķējumu</w:t>
            </w:r>
            <w:r w:rsidR="00B65E3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  <w:t xml:space="preserve"> </w:t>
            </w:r>
            <w:r w:rsidR="00B65E3A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spēkā</w:t>
            </w:r>
            <w:r w:rsidR="006C0B21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stāšanos</w:t>
            </w:r>
            <w:r w:rsidR="00B65E3A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</w:tr>
      <w:tr w:rsidR="007F1971" w:rsidRPr="00884C0C" w:rsidTr="002F658A">
        <w:trPr>
          <w:trHeight w:val="4581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2EA" w:rsidRPr="00541F79" w:rsidRDefault="00B512EA" w:rsidP="000962E3">
            <w:pPr>
              <w:ind w:firstLine="693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Ministru kabineta 2011.gada 19.oktobra noteikumi Nr.803 </w:t>
            </w:r>
            <w:r w:rsidRPr="00541F79">
              <w:rPr>
                <w:rFonts w:ascii="Times New Roman" w:hAnsi="Times New Roman" w:cs="Times New Roman"/>
                <w:i/>
                <w:sz w:val="24"/>
                <w:lang w:val="lv-LV"/>
              </w:rPr>
              <w:t xml:space="preserve">„Noteikumi par mājsaimniecības elektrisko veļas žāvēšanas mašīnu un kombinēto veļas mazgāšanas un žāvēšanas mašīnu marķēšanu un distances līgumā ietveramo informāciju” </w:t>
            </w: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(turpmāk – MK noteikumi Nr.803) </w:t>
            </w:r>
            <w:r w:rsidR="00310A5D">
              <w:rPr>
                <w:rFonts w:ascii="Times New Roman" w:hAnsi="Times New Roman" w:cs="Times New Roman"/>
                <w:sz w:val="24"/>
                <w:lang w:val="lv-LV"/>
              </w:rPr>
              <w:t>izstrādāti, pamatojoties uz r</w:t>
            </w: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egulējumu, kas noteikts </w:t>
            </w:r>
            <w:r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Komisijas 1995.gada 23.maija Direktīvā 95/13/EEK, </w:t>
            </w:r>
            <w:r w:rsidRPr="00541F7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ar kuru īsteno Padomes Direktīvu 92/75/EEK attiecībā uz enerģijas etiķetēm mājsaimniecības elektriskajiem veļas žāvētājiem</w:t>
            </w:r>
            <w:r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(turpmāk - Direktīva 95/13/EEK) un Komisijas 1996.gada 19.septembra Direktīvā 96/60/EK, </w:t>
            </w:r>
            <w:r w:rsidRPr="00541F7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ar kuru īsteno Padomes Direktīvu 92/75/EEK attiecībā uz enerģijas etiķetēm mājsaimniecības kombinētajām veļas mazgājamām un žāvējamām mašīnām</w:t>
            </w:r>
            <w:r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(turpmāk – Direktīva 96/60/EK).</w:t>
            </w:r>
          </w:p>
          <w:p w:rsidR="00340E50" w:rsidRPr="00AE069F" w:rsidRDefault="000962E3" w:rsidP="00FB38E1">
            <w:pPr>
              <w:ind w:firstLine="660"/>
              <w:jc w:val="both"/>
              <w:rPr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2010.gada 18.jūnijā</w:t>
            </w:r>
            <w:r w:rsidR="00310A5D">
              <w:rPr>
                <w:rFonts w:ascii="Times New Roman" w:hAnsi="Times New Roman" w:cs="Times New Roman"/>
                <w:sz w:val="24"/>
                <w:lang w:val="lv-LV"/>
              </w:rPr>
              <w:t xml:space="preserve"> Eiropas Savienības Oficiālajā V</w:t>
            </w: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ēstnesī L153/1 publicēta </w:t>
            </w:r>
            <w:r w:rsidRPr="00541F79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Eiropas </w:t>
            </w:r>
            <w:r w:rsidR="006C0B21">
              <w:rPr>
                <w:rFonts w:ascii="Times New Roman" w:hAnsi="Times New Roman"/>
                <w:sz w:val="24"/>
                <w:szCs w:val="24"/>
                <w:lang w:val="lv-LV" w:eastAsia="lv-LV"/>
              </w:rPr>
              <w:t>Parlamenta un Padomes 2010.gada</w:t>
            </w:r>
            <w:r w:rsidRPr="00541F79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19.maija Direktīva 2010/30/ES </w:t>
            </w:r>
            <w:r w:rsidRPr="00C452EB"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  <w:t xml:space="preserve">par enerģijas un citu resursu patēriņu norādīšanu ražojumiem, kas saistīti ar energopatēriņu, izmantojot etiķetes un standarta informāciju par precēm </w:t>
            </w:r>
            <w:r w:rsidRPr="004A48D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(turpmāk – Direktīva 2010/30/ES)</w:t>
            </w:r>
            <w:r w:rsidR="004A48D4" w:rsidRPr="004A48D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kas ir pārņemta Latvijas Republikas normatīvajos aktos ar </w:t>
            </w:r>
            <w:bookmarkStart w:id="6" w:name="FIELD_LV"/>
            <w:r w:rsidR="004A48D4" w:rsidRPr="00AE06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Ministru kabineta </w:t>
            </w:r>
            <w:r w:rsidR="004A48D4" w:rsidRPr="00AE069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2011.gada 21.jūnija</w:t>
            </w:r>
            <w:r w:rsidR="004A48D4" w:rsidRPr="00AE06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noteikumiem Nr.480 </w:t>
            </w:r>
            <w:r w:rsidR="004A48D4" w:rsidRPr="00AE069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"Noteikumi par kārtību, kādā tiek marķētas preces, kas saistītas ar enerģijas un citu resursu patēriņu, kā arī to reklāmu un uzraudzību"</w:t>
            </w:r>
            <w:bookmarkEnd w:id="6"/>
            <w:r w:rsidR="004A48D4" w:rsidRPr="00AE069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. </w:t>
            </w:r>
            <w:r w:rsidR="00F946A0" w:rsidRPr="004A48D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Saskaņā ar </w:t>
            </w:r>
            <w:r w:rsidR="00703E60" w:rsidRPr="004A48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Direktīva</w:t>
            </w:r>
            <w:r w:rsidR="00F946A0" w:rsidRPr="004A48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703E60" w:rsidRPr="004A48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2010/30</w:t>
            </w:r>
            <w:r w:rsidR="00484DC4" w:rsidRPr="004A48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="00703E60" w:rsidRPr="004A48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 </w:t>
            </w:r>
            <w:r w:rsidR="00F946A0" w:rsidRPr="004A48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17.pantu </w:t>
            </w:r>
            <w:r w:rsidR="00703E60" w:rsidRPr="004A48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 2011.gada 21</w:t>
            </w:r>
            <w:r w:rsidR="00703E60" w:rsidRPr="00C452EB">
              <w:rPr>
                <w:rFonts w:ascii="Times New Roman" w:hAnsi="Times New Roman" w:cs="Times New Roman"/>
                <w:sz w:val="24"/>
                <w:lang w:val="lv-LV"/>
              </w:rPr>
              <w:t>.jūlija</w:t>
            </w:r>
            <w:r w:rsidR="007C2561">
              <w:rPr>
                <w:rFonts w:ascii="Times New Roman" w:hAnsi="Times New Roman" w:cs="Times New Roman"/>
                <w:sz w:val="24"/>
                <w:lang w:val="lv-LV"/>
              </w:rPr>
              <w:t xml:space="preserve"> tiek atcelta</w:t>
            </w:r>
            <w:r w:rsidR="00703E60" w:rsidRPr="00C452EB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7C2561">
              <w:rPr>
                <w:rFonts w:ascii="Times New Roman" w:hAnsi="Times New Roman" w:cs="Times New Roman"/>
                <w:sz w:val="24"/>
                <w:lang w:val="lv-LV"/>
              </w:rPr>
              <w:t>1992.gada 22.septembra Direktīva</w:t>
            </w:r>
            <w:r w:rsidR="00C452EB" w:rsidRPr="00C452EB">
              <w:rPr>
                <w:rFonts w:ascii="Times New Roman" w:hAnsi="Times New Roman" w:cs="Times New Roman"/>
                <w:sz w:val="24"/>
                <w:lang w:val="lv-LV"/>
              </w:rPr>
              <w:t xml:space="preserve"> 92/75/EEK </w:t>
            </w:r>
            <w:r w:rsidR="00C452EB" w:rsidRPr="00C452EB">
              <w:rPr>
                <w:rFonts w:ascii="Times New Roman" w:hAnsi="Times New Roman" w:cs="Times New Roman"/>
                <w:i/>
                <w:sz w:val="24"/>
                <w:lang w:val="lv-LV"/>
              </w:rPr>
              <w:t>par sadzīves tehnikas enerģijas un citu resursu patēriņa norādīšanu, izmantojot etiķetes un standarta informāciju par precēm</w:t>
            </w:r>
            <w:r w:rsidR="00703E60" w:rsidRPr="00C452EB">
              <w:rPr>
                <w:rFonts w:ascii="Times New Roman" w:hAnsi="Times New Roman" w:cs="Times New Roman"/>
                <w:sz w:val="24"/>
                <w:lang w:val="lv-LV"/>
              </w:rPr>
              <w:t>.</w:t>
            </w:r>
          </w:p>
          <w:p w:rsidR="000C445A" w:rsidRPr="00AE069F" w:rsidRDefault="00312CA4" w:rsidP="00891C73">
            <w:pPr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2012.gada 9.</w:t>
            </w:r>
            <w:r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maijā</w:t>
            </w:r>
            <w:r w:rsidR="007C2561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Eiropas Savienības Oficiālajā V</w:t>
            </w:r>
            <w:r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ēstnesī L123/1</w:t>
            </w:r>
            <w:r w:rsidR="00A10A2F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(ar labojumiem, kas publicēti 2012.gada 11.maija Eiropas Savienības Oficiālajā Vēstnesī L124</w:t>
            </w:r>
            <w:r w:rsidR="00122B04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, 56. lpp</w:t>
            </w:r>
            <w:r w:rsidR="00A10A2F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7C2561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tika </w:t>
            </w:r>
            <w:r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publicēta </w:t>
            </w:r>
            <w:r w:rsidR="000C445A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Komisijas Deleģētā regula</w:t>
            </w:r>
            <w:r w:rsidR="00484DC4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(ES) Nr.392/2012 </w:t>
            </w:r>
            <w:r w:rsidR="00B65E3A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(2012.gada</w:t>
            </w:r>
            <w:r w:rsidR="00B65E3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1.marts) </w:t>
            </w:r>
            <w:r w:rsidR="00484DC4" w:rsidRPr="00541F7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  <w:t>ar ko papildina Eiropas Parlamenta un Padomes Direktīvu 2010/30/ES attiecībā uz mājsaimniecības veļas žāvētāju energomarķējumu</w:t>
            </w:r>
            <w:r w:rsidR="00484DC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B512EA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(turpmāk – Regula (ES) Nr.392</w:t>
            </w:r>
            <w:r w:rsidR="007C256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/2012</w:t>
            </w:r>
            <w:r w:rsidR="00B512EA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="00891C7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r w:rsidR="00891C73" w:rsidRPr="00891C7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kura uzliek saistības kopumā un ir tieši </w:t>
            </w:r>
            <w:r w:rsidR="00891C73" w:rsidRPr="00891C7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piemērojama visās dalībvalstīs</w:t>
            </w:r>
            <w:r w:rsidR="000C445A" w:rsidRPr="00891C7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  <w:p w:rsidR="00484DC4" w:rsidRPr="00541F79" w:rsidRDefault="000C445A" w:rsidP="000C445A">
            <w:pPr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Ņemot vērā, ka ar Regulas (ES) Nr.392</w:t>
            </w:r>
            <w:r w:rsidR="007C256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/2012</w:t>
            </w:r>
            <w:r w:rsidR="00AE069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8.</w:t>
            </w:r>
            <w:r w:rsidR="00AE069F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pantu no 2013</w:t>
            </w:r>
            <w:r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. gada 29.</w:t>
            </w:r>
            <w:r w:rsidR="00AE069F"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</w:t>
            </w:r>
            <w:r w:rsidRPr="00122B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aija</w:t>
            </w:r>
            <w:r w:rsidR="00A10A2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484DC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tiek atcelta Komisijas Direktīva 95/13/EEK</w:t>
            </w:r>
            <w:r w:rsidR="00484DC4" w:rsidRPr="00541F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r w:rsidR="00484DC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un minētās</w:t>
            </w:r>
            <w:r w:rsidR="00484DC4" w:rsidRPr="00541F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r w:rsidR="00484DC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direktīvas prasības Latvijas normatīvajos aktos ir pārņemtas ar</w:t>
            </w:r>
            <w:r w:rsidR="00B512EA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MK</w:t>
            </w:r>
            <w:r w:rsidR="00340E50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noteikumiem Nr.803</w:t>
            </w:r>
            <w:r w:rsidR="00484DC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nepieciešams izstrādāt grozījumus MK noteikumos Nr.803, izslēdzot </w:t>
            </w:r>
            <w:r w:rsidR="007C256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tiesību </w:t>
            </w:r>
            <w:r w:rsidR="00484DC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normas, kas attie</w:t>
            </w:r>
            <w:r w:rsidR="007C256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cas</w:t>
            </w:r>
            <w:r w:rsidR="00484DC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uz mājsaimniecības elektriskajiem veļas žāvētājiem</w:t>
            </w:r>
            <w:r w:rsidR="00891C7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CB2647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izsakot citā redakcijā </w:t>
            </w:r>
            <w:r w:rsidR="007C256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tiesību </w:t>
            </w:r>
            <w:r w:rsidR="00CB2647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normas, kas iekļauj jēdzienu „mājsaimniecības elektriskie veļas žāvētāji”</w:t>
            </w:r>
            <w:r w:rsidR="00891C7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kā arī izslēdzot pielikumos noteikto informāciju, </w:t>
            </w:r>
            <w:r w:rsidR="007C256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attiecībā</w:t>
            </w:r>
            <w:r w:rsidR="00891C7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uz mājsaimniecības elektriskajiem veļas žāvētājiem</w:t>
            </w:r>
            <w:r w:rsidR="00484DC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  <w:p w:rsidR="00A77F02" w:rsidRPr="0094532A" w:rsidRDefault="00B512EA" w:rsidP="0094532A">
            <w:pPr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Saskaņā ar Regulas (ES) Nr.392</w:t>
            </w:r>
            <w:r w:rsidR="007C2561">
              <w:rPr>
                <w:rFonts w:ascii="Times New Roman" w:hAnsi="Times New Roman" w:cs="Times New Roman"/>
                <w:sz w:val="24"/>
                <w:lang w:val="lv-LV"/>
              </w:rPr>
              <w:t>/2012</w:t>
            </w: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312CA4" w:rsidRPr="00541F79">
              <w:rPr>
                <w:rFonts w:ascii="Times New Roman" w:hAnsi="Times New Roman" w:cs="Times New Roman"/>
                <w:sz w:val="24"/>
                <w:lang w:val="lv-LV"/>
              </w:rPr>
              <w:t>preambulas 5.punktu un 1.panta 2.punktu</w:t>
            </w:r>
            <w:r w:rsidR="00484DC4"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382E36"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uz </w:t>
            </w:r>
            <w:r w:rsidR="00484DC4" w:rsidRPr="00541F79">
              <w:rPr>
                <w:rFonts w:ascii="Times New Roman" w:hAnsi="Times New Roman" w:cs="Times New Roman"/>
                <w:sz w:val="24"/>
                <w:lang w:val="lv-LV"/>
              </w:rPr>
              <w:t>kombinēto veļas mazgāšanas un žāvēšanas mašīnu</w:t>
            </w:r>
            <w:r w:rsidR="002A1637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2A1637" w:rsidRPr="00541F79">
              <w:rPr>
                <w:rFonts w:ascii="Times New Roman" w:hAnsi="Times New Roman" w:cs="Times New Roman"/>
                <w:sz w:val="24"/>
                <w:lang w:val="lv-LV"/>
              </w:rPr>
              <w:t>(turpmāk – kombinētās iekārtas)</w:t>
            </w:r>
            <w:r w:rsidR="002A1637">
              <w:rPr>
                <w:rFonts w:ascii="Times New Roman" w:hAnsi="Times New Roman" w:cs="Times New Roman"/>
                <w:sz w:val="24"/>
                <w:lang w:val="lv-LV"/>
              </w:rPr>
              <w:t xml:space="preserve"> marķēšanu</w:t>
            </w:r>
            <w:r w:rsidR="00312CA4" w:rsidRPr="00541F7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484DC4" w:rsidRPr="00541F79">
              <w:rPr>
                <w:rFonts w:ascii="Times New Roman" w:hAnsi="Times New Roman" w:cs="Times New Roman"/>
                <w:sz w:val="24"/>
                <w:lang w:val="lv-LV"/>
              </w:rPr>
              <w:t>pašreiz tiek saglabāts līdzšinējais regulējums, kas noteikts</w:t>
            </w:r>
            <w:r w:rsidR="00312CA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Direktīvā 96/60/EK, tādēļ</w:t>
            </w:r>
            <w:r w:rsidR="00F946A0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attiecībā</w:t>
            </w:r>
            <w:r w:rsidR="007C43E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uz kombinēto iekārtu </w:t>
            </w:r>
            <w:r w:rsidR="007C43E9" w:rsidRPr="00AE069F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marķēšanu un distances līgumā ietveramo informāciju</w:t>
            </w:r>
            <w:r w:rsidR="00312CA4" w:rsidRPr="007C43E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7C256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tiek piemēroti</w:t>
            </w:r>
            <w:r w:rsidR="00312CA4" w:rsidRPr="007C43E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312CA4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MK noteikumi Nr.803</w:t>
            </w:r>
            <w:r w:rsidR="00382E36" w:rsidRPr="00541F7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7F1971" w:rsidRPr="00884C0C" w:rsidTr="002F658A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lastRenderedPageBreak/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862556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>Noteikumu projekts šo jomu neskar.</w:t>
            </w:r>
          </w:p>
        </w:tc>
      </w:tr>
      <w:tr w:rsidR="007F1971" w:rsidRPr="00884C0C" w:rsidTr="002F658A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862556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4A0" w:rsidRDefault="00F946A0" w:rsidP="002644A0">
            <w:pPr>
              <w:pStyle w:val="naiskr"/>
              <w:contextualSpacing/>
              <w:jc w:val="both"/>
            </w:pPr>
            <w:r w:rsidRPr="00541F79">
              <w:t>Noteikuma projekta mērķis ir no</w:t>
            </w:r>
            <w:r w:rsidR="0094532A">
              <w:t>vērst tiesību normu dublēšanos, ņemot vērā</w:t>
            </w:r>
            <w:r w:rsidR="00CB2647" w:rsidRPr="00541F79">
              <w:t xml:space="preserve"> </w:t>
            </w:r>
            <w:r w:rsidRPr="00541F79">
              <w:t>Regulas (ES) Nr.392</w:t>
            </w:r>
            <w:r w:rsidR="0094532A">
              <w:t>/2012</w:t>
            </w:r>
            <w:r w:rsidR="00CB2647" w:rsidRPr="00541F79">
              <w:t xml:space="preserve"> </w:t>
            </w:r>
            <w:r w:rsidR="0094532A">
              <w:t>spēkā stāšanos.</w:t>
            </w:r>
            <w:r w:rsidR="00CB2647" w:rsidRPr="00541F79">
              <w:t xml:space="preserve"> </w:t>
            </w:r>
            <w:r w:rsidR="0094532A">
              <w:t>Noteikumu projekts paredz precizē</w:t>
            </w:r>
            <w:r w:rsidR="00CB2647" w:rsidRPr="00541F79">
              <w:t>t</w:t>
            </w:r>
            <w:r w:rsidRPr="00541F79">
              <w:t xml:space="preserve"> spēkā esošo MK noteikumu Nr.803</w:t>
            </w:r>
            <w:r w:rsidR="00CB2647" w:rsidRPr="00541F79">
              <w:t xml:space="preserve"> regulējumu</w:t>
            </w:r>
            <w:r w:rsidR="002644A0">
              <w:t>:</w:t>
            </w:r>
          </w:p>
          <w:p w:rsidR="002644A0" w:rsidRDefault="002644A0" w:rsidP="002644A0">
            <w:pPr>
              <w:pStyle w:val="naiskr"/>
              <w:contextualSpacing/>
              <w:jc w:val="both"/>
            </w:pPr>
            <w:r>
              <w:t>- izslēdzot no tiem tiesību normas, kas attiecas uz mājsaimniecības elektriskajiem veļas žāvētājiem,</w:t>
            </w:r>
          </w:p>
          <w:p w:rsidR="002644A0" w:rsidRDefault="002644A0" w:rsidP="002644A0">
            <w:pPr>
              <w:pStyle w:val="naiskr"/>
              <w:contextualSpacing/>
              <w:jc w:val="both"/>
            </w:pPr>
            <w:r>
              <w:t xml:space="preserve">- </w:t>
            </w:r>
            <w:r w:rsidR="00F946A0" w:rsidRPr="00541F79">
              <w:t>izslēdzot no tiem</w:t>
            </w:r>
            <w:r w:rsidR="00356B6C">
              <w:t xml:space="preserve"> </w:t>
            </w:r>
            <w:r>
              <w:t xml:space="preserve">tiesību </w:t>
            </w:r>
            <w:r w:rsidR="00356B6C">
              <w:t>normas</w:t>
            </w:r>
            <w:r w:rsidR="00891C73">
              <w:t>,</w:t>
            </w:r>
            <w:r>
              <w:t xml:space="preserve"> kas iekļauj jēdzienu „mājsaimniecības elektriskie veļas žāvētāji”,</w:t>
            </w:r>
          </w:p>
          <w:p w:rsidR="00F946A0" w:rsidRPr="00541F79" w:rsidRDefault="002644A0" w:rsidP="002644A0">
            <w:pPr>
              <w:pStyle w:val="naiskr"/>
              <w:contextualSpacing/>
              <w:jc w:val="both"/>
            </w:pPr>
            <w:r>
              <w:t xml:space="preserve">- </w:t>
            </w:r>
            <w:r w:rsidR="00A06265">
              <w:t xml:space="preserve">izslēdzot pielikumos noteikto informāciju, </w:t>
            </w:r>
            <w:r>
              <w:t>attiecībā</w:t>
            </w:r>
            <w:r w:rsidR="00A06265">
              <w:t xml:space="preserve"> uz mājsaimniecības elektriskajiem veļas žāvētājiem</w:t>
            </w:r>
            <w:r w:rsidR="00A06265" w:rsidRPr="00541F79">
              <w:t>.</w:t>
            </w:r>
          </w:p>
        </w:tc>
      </w:tr>
      <w:tr w:rsidR="007F1971" w:rsidRPr="00884C0C" w:rsidTr="002F658A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862556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971" w:rsidRPr="00541F79" w:rsidRDefault="00496A39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>Noteikumu projekts šo jomu neskar</w:t>
            </w:r>
            <w:r w:rsidRPr="00541F79">
              <w:rPr>
                <w:rFonts w:ascii="Times New Roman" w:hAnsi="Times New Roman" w:cs="Times New Roman"/>
                <w:bCs/>
                <w:iCs/>
                <w:sz w:val="24"/>
                <w:lang w:val="lv-LV"/>
              </w:rPr>
              <w:t>.</w:t>
            </w:r>
          </w:p>
        </w:tc>
      </w:tr>
      <w:tr w:rsidR="007F1971" w:rsidRPr="00884C0C" w:rsidTr="002F658A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862556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5B0" w:rsidRDefault="007245B0" w:rsidP="007F1971">
            <w:pPr>
              <w:jc w:val="both"/>
              <w:rPr>
                <w:rFonts w:ascii="Times New Roman" w:hAnsi="Times New Roman" w:cs="Times New Roman"/>
                <w:iCs/>
                <w:sz w:val="24"/>
                <w:lang w:val="lv-LV"/>
              </w:rPr>
            </w:pPr>
          </w:p>
          <w:p w:rsidR="007F1971" w:rsidRPr="00541F79" w:rsidRDefault="007F1971" w:rsidP="007F1971">
            <w:pPr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>Noteikumu projekts šo jomu neskar</w:t>
            </w:r>
            <w:r w:rsidRPr="00541F79">
              <w:rPr>
                <w:rFonts w:ascii="Times New Roman" w:hAnsi="Times New Roman" w:cs="Times New Roman"/>
                <w:bCs/>
                <w:iCs/>
                <w:sz w:val="24"/>
                <w:lang w:val="lv-LV"/>
              </w:rPr>
              <w:t>.</w:t>
            </w:r>
          </w:p>
        </w:tc>
      </w:tr>
      <w:tr w:rsidR="007F1971" w:rsidRPr="00541F79" w:rsidTr="002F658A">
        <w:trPr>
          <w:trHeight w:hRule="exact" w:val="432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7F1971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2F658A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541F79" w:rsidRDefault="007F1971" w:rsidP="002F658A">
            <w:pPr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lang w:val="lv-LV"/>
              </w:rPr>
              <w:t>Nav.</w:t>
            </w:r>
          </w:p>
        </w:tc>
      </w:tr>
      <w:tr w:rsidR="002F658A" w:rsidRPr="00884C0C" w:rsidTr="002F658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pStyle w:val="naisc"/>
              <w:spacing w:before="0" w:beforeAutospacing="0" w:after="0" w:afterAutospacing="0"/>
            </w:pPr>
            <w:r w:rsidRPr="00541F79">
              <w:rPr>
                <w:b/>
                <w:bCs/>
              </w:rPr>
              <w:t>II. Tiesību akta projekta ietekme uz sabiedrību</w:t>
            </w:r>
          </w:p>
        </w:tc>
      </w:tr>
      <w:tr w:rsidR="002F658A" w:rsidRPr="00884C0C" w:rsidTr="002F658A">
        <w:tc>
          <w:tcPr>
            <w:tcW w:w="11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pStyle w:val="naiskr"/>
            </w:pPr>
            <w:r w:rsidRPr="00541F79">
              <w:t>1. Sabiedrības mērķgrupa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2F65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>Regulas (ES) Nr.392</w:t>
            </w:r>
            <w:r>
              <w:rPr>
                <w:rFonts w:ascii="Times New Roman" w:hAnsi="Times New Roman" w:cs="Times New Roman"/>
                <w:iCs/>
                <w:sz w:val="24"/>
                <w:lang w:val="lv-LV"/>
              </w:rPr>
              <w:t>/2012</w:t>
            </w: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 xml:space="preserve"> tiesiskais regulējums attiecas uz piegādātājiem, kuru komercdarbība ir saistīta ar mājsaimniecības elektrisko veļas žāvētāju ražošanu, kā arī uz izplatītājiem, kuri nodrošina šo iekārtu pieejamību tiešajiem lietotājiem.</w:t>
            </w:r>
          </w:p>
        </w:tc>
      </w:tr>
      <w:tr w:rsidR="002F658A" w:rsidRPr="00884C0C" w:rsidTr="002F658A">
        <w:tc>
          <w:tcPr>
            <w:tcW w:w="11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pStyle w:val="naiskr"/>
              <w:spacing w:before="0" w:beforeAutospacing="0" w:after="0" w:afterAutospacing="0"/>
            </w:pPr>
            <w:r w:rsidRPr="00541F79">
              <w:t xml:space="preserve">2. Citas sabiedrības grupas (bez mērķgrupas) kuras tiesiskais regulējums arī ietekmē vai </w:t>
            </w:r>
            <w:r w:rsidRPr="00541F79">
              <w:lastRenderedPageBreak/>
              <w:t xml:space="preserve">varētu ietekmēt 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lastRenderedPageBreak/>
              <w:t>Noteikumu projekts šo jomu neskar</w:t>
            </w:r>
            <w:r w:rsidRPr="00541F79">
              <w:rPr>
                <w:rFonts w:ascii="Times New Roman" w:hAnsi="Times New Roman" w:cs="Times New Roman"/>
                <w:bCs/>
                <w:iCs/>
                <w:sz w:val="24"/>
                <w:lang w:val="lv-LV"/>
              </w:rPr>
              <w:t>.</w:t>
            </w:r>
          </w:p>
        </w:tc>
      </w:tr>
      <w:tr w:rsidR="002F658A" w:rsidRPr="00884C0C" w:rsidTr="002F658A">
        <w:tc>
          <w:tcPr>
            <w:tcW w:w="11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pStyle w:val="NormalWeb"/>
              <w:spacing w:before="0" w:after="0"/>
            </w:pPr>
            <w:r w:rsidRPr="00541F79">
              <w:lastRenderedPageBreak/>
              <w:t>3. Tiesiskā regulējuma finansiālā ietekme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>Noteikumu projekts šo jomu neskar</w:t>
            </w:r>
            <w:r w:rsidRPr="00541F79">
              <w:rPr>
                <w:rFonts w:ascii="Times New Roman" w:hAnsi="Times New Roman" w:cs="Times New Roman"/>
                <w:bCs/>
                <w:iCs/>
                <w:sz w:val="24"/>
                <w:lang w:val="lv-LV"/>
              </w:rPr>
              <w:t>.</w:t>
            </w:r>
          </w:p>
        </w:tc>
      </w:tr>
      <w:tr w:rsidR="002F658A" w:rsidRPr="00884C0C" w:rsidTr="002F658A">
        <w:tc>
          <w:tcPr>
            <w:tcW w:w="11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pStyle w:val="NormalWeb"/>
              <w:spacing w:before="0" w:after="0"/>
            </w:pPr>
            <w:r w:rsidRPr="00541F79">
              <w:t>4. Tiesiskā regulējuma nefinansiālā ietekme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>Noteikumu projekts šo jomu neskar</w:t>
            </w:r>
            <w:r w:rsidRPr="00541F79">
              <w:rPr>
                <w:rFonts w:ascii="Times New Roman" w:hAnsi="Times New Roman" w:cs="Times New Roman"/>
                <w:bCs/>
                <w:iCs/>
                <w:sz w:val="24"/>
                <w:lang w:val="lv-LV"/>
              </w:rPr>
              <w:t>.</w:t>
            </w:r>
          </w:p>
        </w:tc>
      </w:tr>
      <w:tr w:rsidR="002F658A" w:rsidRPr="00884C0C" w:rsidTr="002F658A">
        <w:tc>
          <w:tcPr>
            <w:tcW w:w="11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pStyle w:val="NormalWeb"/>
              <w:spacing w:before="0" w:after="0"/>
            </w:pPr>
            <w:r w:rsidRPr="00541F79">
              <w:t>5. Administratīvās procedūras raksturojums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>Noteikumu projekts šo jomu neskar</w:t>
            </w:r>
            <w:r w:rsidRPr="00541F79">
              <w:rPr>
                <w:rFonts w:ascii="Times New Roman" w:hAnsi="Times New Roman" w:cs="Times New Roman"/>
                <w:bCs/>
                <w:iCs/>
                <w:sz w:val="24"/>
                <w:lang w:val="lv-LV"/>
              </w:rPr>
              <w:t>.</w:t>
            </w:r>
          </w:p>
        </w:tc>
      </w:tr>
      <w:tr w:rsidR="002F658A" w:rsidRPr="00884C0C" w:rsidTr="002F658A">
        <w:tc>
          <w:tcPr>
            <w:tcW w:w="11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pStyle w:val="naiskr"/>
              <w:spacing w:before="0" w:beforeAutospacing="0" w:after="0" w:afterAutospacing="0"/>
            </w:pPr>
            <w:r w:rsidRPr="00541F79">
              <w:t>6. Administratīvo izmaksu monetārs novērtējums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sz w:val="24"/>
                <w:lang w:val="lv-LV"/>
              </w:rPr>
              <w:t>Noteikumu projekts šo jomu neskar</w:t>
            </w:r>
            <w:r w:rsidRPr="00541F79">
              <w:rPr>
                <w:rFonts w:ascii="Times New Roman" w:hAnsi="Times New Roman" w:cs="Times New Roman"/>
                <w:bCs/>
                <w:iCs/>
                <w:sz w:val="24"/>
                <w:lang w:val="lv-LV"/>
              </w:rPr>
              <w:t>.</w:t>
            </w:r>
          </w:p>
        </w:tc>
      </w:tr>
      <w:tr w:rsidR="002F658A" w:rsidRPr="00541F79" w:rsidTr="002F658A">
        <w:trPr>
          <w:trHeight w:hRule="exact" w:val="432"/>
        </w:trPr>
        <w:tc>
          <w:tcPr>
            <w:tcW w:w="11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pStyle w:val="naiskr"/>
            </w:pPr>
            <w:r w:rsidRPr="00541F79">
              <w:t> 7. Cita ietekme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A" w:rsidRPr="00541F79" w:rsidRDefault="002F658A" w:rsidP="00F82E0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A77F02" w:rsidRPr="00541F79" w:rsidRDefault="00A77F02" w:rsidP="00A77F02">
      <w:pPr>
        <w:pStyle w:val="naisf"/>
        <w:tabs>
          <w:tab w:val="left" w:pos="5760"/>
        </w:tabs>
        <w:spacing w:before="0" w:after="0"/>
        <w:ind w:firstLine="0"/>
      </w:pPr>
    </w:p>
    <w:p w:rsidR="00AE069F" w:rsidRDefault="00AE069F" w:rsidP="00A77F02">
      <w:pPr>
        <w:pStyle w:val="naisf"/>
        <w:tabs>
          <w:tab w:val="left" w:pos="5760"/>
        </w:tabs>
        <w:spacing w:before="0" w:after="0"/>
        <w:ind w:firstLine="0"/>
      </w:pPr>
      <w:r>
        <w:t>Anotācijas III un IV sadaļa – noteikumu projekts šīs jomas neskar.</w:t>
      </w:r>
    </w:p>
    <w:p w:rsidR="00AE069F" w:rsidRDefault="00AE069F" w:rsidP="00A77F02">
      <w:pPr>
        <w:pStyle w:val="naisf"/>
        <w:tabs>
          <w:tab w:val="left" w:pos="5760"/>
        </w:tabs>
        <w:spacing w:before="0" w:after="0"/>
        <w:ind w:firstLine="0"/>
      </w:pPr>
    </w:p>
    <w:tbl>
      <w:tblPr>
        <w:tblW w:w="9471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1115"/>
        <w:gridCol w:w="586"/>
        <w:gridCol w:w="2079"/>
        <w:gridCol w:w="3390"/>
      </w:tblGrid>
      <w:tr w:rsidR="002F60B2" w:rsidRPr="00884C0C" w:rsidTr="00F82E0F">
        <w:trPr>
          <w:jc w:val="center"/>
        </w:trPr>
        <w:tc>
          <w:tcPr>
            <w:tcW w:w="9471" w:type="dxa"/>
            <w:gridSpan w:val="5"/>
          </w:tcPr>
          <w:p w:rsidR="002F60B2" w:rsidRPr="00862556" w:rsidRDefault="002F60B2" w:rsidP="002F60B2">
            <w:pPr>
              <w:pStyle w:val="naisc"/>
              <w:spacing w:before="0" w:beforeAutospacing="0" w:after="0" w:afterAutospacing="0"/>
            </w:pPr>
            <w:r w:rsidRPr="00862556">
              <w:rPr>
                <w:b/>
                <w:bCs/>
              </w:rPr>
              <w:t xml:space="preserve">V. </w:t>
            </w:r>
            <w:r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2F60B2" w:rsidRPr="00884C0C" w:rsidTr="00F82E0F">
        <w:trPr>
          <w:trHeight w:val="1153"/>
          <w:jc w:val="center"/>
        </w:trPr>
        <w:tc>
          <w:tcPr>
            <w:tcW w:w="3416" w:type="dxa"/>
            <w:gridSpan w:val="2"/>
          </w:tcPr>
          <w:p w:rsidR="002F60B2" w:rsidRPr="00862556" w:rsidRDefault="002F60B2" w:rsidP="00F82E0F">
            <w:pPr>
              <w:pStyle w:val="NormalWeb"/>
              <w:spacing w:before="0" w:after="0"/>
            </w:pPr>
            <w:r w:rsidRPr="00862556">
              <w:t>1. Saistības pret Eiropas Savienību</w:t>
            </w:r>
          </w:p>
        </w:tc>
        <w:tc>
          <w:tcPr>
            <w:tcW w:w="6055" w:type="dxa"/>
            <w:gridSpan w:val="3"/>
          </w:tcPr>
          <w:p w:rsidR="003101A9" w:rsidRPr="00B33188" w:rsidRDefault="003101A9" w:rsidP="00B3318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3188">
              <w:rPr>
                <w:rFonts w:ascii="Times New Roman" w:hAnsi="Times New Roman"/>
                <w:sz w:val="24"/>
                <w:szCs w:val="24"/>
                <w:lang w:val="lv-LV"/>
              </w:rPr>
              <w:t>Noteikumu projektā</w:t>
            </w:r>
            <w:r w:rsidR="002F60B2" w:rsidRPr="00B331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iekļautas tiesību normas, kas </w:t>
            </w:r>
            <w:r w:rsidR="00441F25">
              <w:rPr>
                <w:rFonts w:ascii="Times New Roman" w:hAnsi="Times New Roman"/>
                <w:sz w:val="24"/>
                <w:szCs w:val="24"/>
                <w:lang w:val="lv-LV"/>
              </w:rPr>
              <w:t>atsaucas uz</w:t>
            </w:r>
            <w:r w:rsidR="00B33188" w:rsidRPr="00B331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41F25">
              <w:rPr>
                <w:rFonts w:ascii="Times New Roman" w:hAnsi="Times New Roman"/>
                <w:sz w:val="24"/>
                <w:szCs w:val="24"/>
                <w:lang w:val="lv-LV"/>
              </w:rPr>
              <w:t>Komisijas 2012.gada 1.marta Deleģēto</w:t>
            </w:r>
            <w:r w:rsidR="004E13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</w:t>
            </w:r>
            <w:r w:rsidR="00441F25">
              <w:rPr>
                <w:rFonts w:ascii="Times New Roman" w:hAnsi="Times New Roman"/>
                <w:sz w:val="24"/>
                <w:szCs w:val="24"/>
                <w:lang w:val="lv-LV"/>
              </w:rPr>
              <w:t>egulu</w:t>
            </w:r>
            <w:r w:rsidR="000D31F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(ES) Nr. 392/2012</w:t>
            </w:r>
            <w:r w:rsidR="0041198D" w:rsidRPr="00B331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1198D" w:rsidRPr="00B3318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ar ko papildina Eiropas Parlamenta un Padomes Direktīvu 2010/30/ES attiecībā uz mājsaimniecības veļas žāvētāju energomarķējumu (</w:t>
            </w:r>
            <w:r w:rsidR="0041198D" w:rsidRPr="00B3318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OV L 123/1, 09.05.2012., 1. lpp.</w:t>
            </w:r>
            <w:r w:rsidR="003C30E9" w:rsidRPr="00B3318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 xml:space="preserve">, ar </w:t>
            </w:r>
            <w:r w:rsidR="00B3318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labojumiem</w:t>
            </w:r>
            <w:r w:rsidR="003C30E9" w:rsidRPr="00B3318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 xml:space="preserve"> OV L 124, 11.05.2012., 56 lpp.</w:t>
            </w:r>
            <w:r w:rsidR="007144CE" w:rsidRPr="00B3318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)</w:t>
            </w:r>
            <w:r w:rsidR="00DB66C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:rsidR="007144CE" w:rsidRPr="007144CE" w:rsidRDefault="007144CE" w:rsidP="007144CE">
            <w:pPr>
              <w:pStyle w:val="Default"/>
              <w:tabs>
                <w:tab w:val="left" w:pos="379"/>
              </w:tabs>
              <w:ind w:left="19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</w:p>
          <w:p w:rsidR="0041198D" w:rsidRPr="00290EF5" w:rsidRDefault="003101A9" w:rsidP="00DB66C0">
            <w:pPr>
              <w:pStyle w:val="Default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  <w:r w:rsidRPr="00541F79">
              <w:rPr>
                <w:rFonts w:ascii="Times New Roman" w:hAnsi="Times New Roman" w:cs="Times New Roman"/>
                <w:iCs/>
                <w:lang w:val="lv-LV"/>
              </w:rPr>
              <w:t>Regulas (ES) Nr.392</w:t>
            </w:r>
            <w:r>
              <w:rPr>
                <w:rFonts w:ascii="Times New Roman" w:hAnsi="Times New Roman" w:cs="Times New Roman"/>
                <w:iCs/>
                <w:lang w:val="lv-LV"/>
              </w:rPr>
              <w:t>/2012 prasības tiek piemērotas no 2013.gada 29.maija, t</w:t>
            </w:r>
            <w:r w:rsidRPr="003101A9">
              <w:rPr>
                <w:rFonts w:ascii="Times New Roman" w:hAnsi="Times New Roman" w:cs="Times New Roman"/>
                <w:iCs/>
                <w:lang w:val="lv-LV"/>
              </w:rPr>
              <w:t xml:space="preserve">aču </w:t>
            </w:r>
            <w:r w:rsidR="00441F25">
              <w:rPr>
                <w:rFonts w:ascii="Times New Roman" w:hAnsi="Times New Roman" w:cs="Times New Roman"/>
                <w:iCs/>
                <w:lang w:val="lv-LV"/>
              </w:rPr>
              <w:t xml:space="preserve">tās </w:t>
            </w:r>
            <w:r w:rsidRPr="003101A9">
              <w:rPr>
                <w:rFonts w:ascii="Times New Roman" w:hAnsi="Times New Roman" w:cs="Times New Roman"/>
                <w:iCs/>
                <w:lang w:val="lv-LV"/>
              </w:rPr>
              <w:t>3. panta d) un e) punktu un 4. panta b), c) un d) punktu piemēro no 2012. gada 29. septembra.</w:t>
            </w:r>
          </w:p>
        </w:tc>
      </w:tr>
      <w:tr w:rsidR="002F60B2" w:rsidRPr="00884C0C" w:rsidTr="00F82E0F">
        <w:trPr>
          <w:jc w:val="center"/>
        </w:trPr>
        <w:tc>
          <w:tcPr>
            <w:tcW w:w="3416" w:type="dxa"/>
            <w:gridSpan w:val="2"/>
          </w:tcPr>
          <w:p w:rsidR="002F60B2" w:rsidRPr="00862556" w:rsidRDefault="002F60B2" w:rsidP="00F82E0F">
            <w:pPr>
              <w:pStyle w:val="NormalWeb"/>
              <w:spacing w:before="0" w:after="0"/>
              <w:jc w:val="both"/>
            </w:pPr>
            <w:r w:rsidRPr="00862556">
              <w:t>2. Citas starptautiskās saistības</w:t>
            </w:r>
          </w:p>
        </w:tc>
        <w:tc>
          <w:tcPr>
            <w:tcW w:w="6055" w:type="dxa"/>
            <w:gridSpan w:val="3"/>
          </w:tcPr>
          <w:p w:rsidR="002F60B2" w:rsidRPr="00862556" w:rsidRDefault="002F60B2" w:rsidP="00F82E0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20E54">
              <w:rPr>
                <w:rFonts w:ascii="Times New Roman" w:hAnsi="Times New Roman"/>
                <w:iCs/>
                <w:sz w:val="24"/>
                <w:lang w:val="de-DE"/>
              </w:rPr>
              <w:t>Noteikumu projekts šo jomu neskar</w:t>
            </w:r>
            <w:r w:rsidRPr="00C20E54">
              <w:rPr>
                <w:rFonts w:ascii="Times New Roman" w:hAnsi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2F60B2" w:rsidRPr="00C20E54" w:rsidTr="00F82E0F">
        <w:trPr>
          <w:jc w:val="center"/>
        </w:trPr>
        <w:tc>
          <w:tcPr>
            <w:tcW w:w="3416" w:type="dxa"/>
            <w:gridSpan w:val="2"/>
          </w:tcPr>
          <w:p w:rsidR="002F60B2" w:rsidRPr="00862556" w:rsidRDefault="002F60B2" w:rsidP="00F82E0F">
            <w:pPr>
              <w:pStyle w:val="NormalWeb"/>
              <w:spacing w:before="0" w:after="0"/>
              <w:jc w:val="both"/>
            </w:pPr>
            <w:r w:rsidRPr="00862556">
              <w:t>3. Cita informācija</w:t>
            </w:r>
          </w:p>
        </w:tc>
        <w:tc>
          <w:tcPr>
            <w:tcW w:w="6055" w:type="dxa"/>
            <w:gridSpan w:val="3"/>
          </w:tcPr>
          <w:p w:rsidR="002F60B2" w:rsidRPr="00862556" w:rsidRDefault="002F60B2" w:rsidP="00F82E0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62556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  <w:tr w:rsidR="002F60B2" w:rsidRPr="00884C0C" w:rsidTr="00F82E0F">
        <w:trPr>
          <w:jc w:val="center"/>
        </w:trPr>
        <w:tc>
          <w:tcPr>
            <w:tcW w:w="9471" w:type="dxa"/>
            <w:gridSpan w:val="5"/>
          </w:tcPr>
          <w:p w:rsidR="002F60B2" w:rsidRDefault="002F60B2" w:rsidP="00F82E0F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6255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1.tabula </w:t>
            </w:r>
          </w:p>
          <w:p w:rsidR="002F60B2" w:rsidRPr="00862556" w:rsidRDefault="002F60B2" w:rsidP="00F82E0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6255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Tiesību akta projekta atbilstība ES tiesību aktiem</w:t>
            </w:r>
          </w:p>
        </w:tc>
      </w:tr>
      <w:tr w:rsidR="002F60B2" w:rsidRPr="00884C0C" w:rsidTr="00F82E0F">
        <w:trPr>
          <w:trHeight w:val="586"/>
          <w:jc w:val="center"/>
        </w:trPr>
        <w:tc>
          <w:tcPr>
            <w:tcW w:w="3416" w:type="dxa"/>
            <w:gridSpan w:val="2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 w:rsidRPr="00862556">
              <w:t>Attiecīgo Eiropas Savienības tiesību aktu datums, numurs un nosaukums</w:t>
            </w:r>
          </w:p>
        </w:tc>
        <w:tc>
          <w:tcPr>
            <w:tcW w:w="6055" w:type="dxa"/>
            <w:gridSpan w:val="3"/>
          </w:tcPr>
          <w:p w:rsidR="002F60B2" w:rsidRPr="0041198D" w:rsidRDefault="0041198D" w:rsidP="00F82E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1198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Komisijas Deleģētā regula (ES) Nr. 392/2012 (2012.gada 1.marts)</w:t>
            </w:r>
            <w:r w:rsidRPr="0041198D">
              <w:rPr>
                <w:rFonts w:ascii="Times New Roman" w:hAnsi="Times New Roman"/>
                <w:b/>
                <w:lang w:val="lv-LV"/>
              </w:rPr>
              <w:t>,</w:t>
            </w:r>
            <w:r w:rsidRPr="0041198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411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ar ko papildina Eiropas Parlamenta un Padomes Direktīvu 2010/30/ES attiecībā uz mājsaimniecības veļas žāvētāju energomarķējumu</w:t>
            </w:r>
          </w:p>
        </w:tc>
      </w:tr>
      <w:tr w:rsidR="002F60B2" w:rsidRPr="00884C0C" w:rsidTr="00F82E0F">
        <w:trPr>
          <w:jc w:val="center"/>
        </w:trPr>
        <w:tc>
          <w:tcPr>
            <w:tcW w:w="9471" w:type="dxa"/>
            <w:gridSpan w:val="5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right"/>
            </w:pP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</w:pPr>
            <w:r w:rsidRPr="00862556">
              <w:t>A</w:t>
            </w:r>
          </w:p>
        </w:tc>
        <w:tc>
          <w:tcPr>
            <w:tcW w:w="1701" w:type="dxa"/>
            <w:gridSpan w:val="2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</w:pPr>
            <w:r w:rsidRPr="00862556">
              <w:t>B</w:t>
            </w:r>
          </w:p>
        </w:tc>
        <w:tc>
          <w:tcPr>
            <w:tcW w:w="2079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</w:pPr>
            <w:r w:rsidRPr="00862556">
              <w:t>C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</w:pPr>
            <w:r w:rsidRPr="00862556">
              <w:t>D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9A0301" w:rsidRDefault="00FD4536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9A0301">
              <w:rPr>
                <w:bCs/>
              </w:rPr>
              <w:t>1.pants 1.punkts</w:t>
            </w:r>
          </w:p>
        </w:tc>
        <w:tc>
          <w:tcPr>
            <w:tcW w:w="1701" w:type="dxa"/>
            <w:gridSpan w:val="2"/>
          </w:tcPr>
          <w:p w:rsidR="002F60B2" w:rsidRPr="009A0301" w:rsidRDefault="008A785F" w:rsidP="00F82E0F">
            <w:pPr>
              <w:pStyle w:val="naisc"/>
              <w:spacing w:before="0" w:beforeAutospacing="0" w:after="0" w:afterAutospacing="0"/>
              <w:jc w:val="both"/>
            </w:pPr>
            <w:r w:rsidRPr="009A0301">
              <w:t>1.</w:t>
            </w:r>
            <w:r w:rsidR="00F82E0F" w:rsidRPr="009A0301">
              <w:t>2</w:t>
            </w:r>
            <w:r w:rsidR="002F60B2" w:rsidRPr="009A0301">
              <w:t>.punkts</w:t>
            </w:r>
          </w:p>
        </w:tc>
        <w:tc>
          <w:tcPr>
            <w:tcW w:w="2079" w:type="dxa"/>
          </w:tcPr>
          <w:p w:rsidR="002F60B2" w:rsidRPr="00862556" w:rsidRDefault="002F60B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D71A8B" w:rsidRPr="00C20E54" w:rsidTr="00F82E0F">
        <w:trPr>
          <w:jc w:val="center"/>
        </w:trPr>
        <w:tc>
          <w:tcPr>
            <w:tcW w:w="2301" w:type="dxa"/>
          </w:tcPr>
          <w:p w:rsidR="00D71A8B" w:rsidRPr="009A0301" w:rsidRDefault="00D71A8B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3.pants b) punkts</w:t>
            </w:r>
          </w:p>
        </w:tc>
        <w:tc>
          <w:tcPr>
            <w:tcW w:w="1701" w:type="dxa"/>
            <w:gridSpan w:val="2"/>
          </w:tcPr>
          <w:p w:rsidR="00D71A8B" w:rsidRPr="009A0301" w:rsidRDefault="00D71A8B" w:rsidP="00F82E0F">
            <w:pPr>
              <w:pStyle w:val="naisc"/>
              <w:spacing w:before="0" w:beforeAutospacing="0" w:after="0" w:afterAutospacing="0"/>
              <w:jc w:val="both"/>
            </w:pPr>
            <w:r>
              <w:t>1.3.punkts</w:t>
            </w:r>
          </w:p>
        </w:tc>
        <w:tc>
          <w:tcPr>
            <w:tcW w:w="2079" w:type="dxa"/>
          </w:tcPr>
          <w:p w:rsidR="00D71A8B" w:rsidRDefault="00D71A8B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D71A8B" w:rsidRDefault="00D71A8B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8755EF" w:rsidRDefault="008755EF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8755EF">
              <w:rPr>
                <w:bCs/>
              </w:rPr>
              <w:t>3</w:t>
            </w:r>
            <w:r w:rsidR="009C567A" w:rsidRPr="008755EF">
              <w:rPr>
                <w:bCs/>
              </w:rPr>
              <w:t>.pant</w:t>
            </w:r>
            <w:r w:rsidR="003C30E9" w:rsidRPr="008755EF">
              <w:rPr>
                <w:bCs/>
              </w:rPr>
              <w:t>s</w:t>
            </w:r>
            <w:r w:rsidR="009C567A" w:rsidRPr="008755EF">
              <w:rPr>
                <w:bCs/>
              </w:rPr>
              <w:t xml:space="preserve"> b) punkts</w:t>
            </w:r>
          </w:p>
        </w:tc>
        <w:tc>
          <w:tcPr>
            <w:tcW w:w="1701" w:type="dxa"/>
            <w:gridSpan w:val="2"/>
          </w:tcPr>
          <w:p w:rsidR="002F60B2" w:rsidRPr="008755EF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8755EF">
              <w:t>1.</w:t>
            </w:r>
            <w:r w:rsidR="00D71A8B">
              <w:t>4</w:t>
            </w:r>
            <w:r w:rsidR="002F60B2" w:rsidRPr="008755EF">
              <w:t>.</w:t>
            </w:r>
            <w:r w:rsidR="00F82E0F" w:rsidRPr="008755EF">
              <w:t>punkts</w:t>
            </w:r>
          </w:p>
        </w:tc>
        <w:tc>
          <w:tcPr>
            <w:tcW w:w="2079" w:type="dxa"/>
          </w:tcPr>
          <w:p w:rsidR="002F60B2" w:rsidRDefault="002F60B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2C2E53" w:rsidRDefault="003C30E9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2C2E53">
              <w:rPr>
                <w:bCs/>
              </w:rPr>
              <w:t>4.pants b) punkts</w:t>
            </w:r>
          </w:p>
        </w:tc>
        <w:tc>
          <w:tcPr>
            <w:tcW w:w="1701" w:type="dxa"/>
            <w:gridSpan w:val="2"/>
          </w:tcPr>
          <w:p w:rsidR="002F60B2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1.</w:t>
            </w:r>
            <w:r w:rsidR="00D71A8B">
              <w:t>5</w:t>
            </w:r>
            <w:r w:rsidR="002F60B2" w:rsidRPr="002C2E53">
              <w:t>.punkts</w:t>
            </w:r>
          </w:p>
        </w:tc>
        <w:tc>
          <w:tcPr>
            <w:tcW w:w="2079" w:type="dxa"/>
          </w:tcPr>
          <w:p w:rsidR="002F60B2" w:rsidRDefault="002F60B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2C2E53" w:rsidRDefault="008755EF" w:rsidP="003C30E9">
            <w:pPr>
              <w:pStyle w:val="naisc"/>
              <w:spacing w:before="0" w:beforeAutospacing="0" w:after="0" w:afterAutospacing="0"/>
              <w:rPr>
                <w:bCs/>
              </w:rPr>
            </w:pPr>
            <w:r w:rsidRPr="002C2E53">
              <w:rPr>
                <w:bCs/>
              </w:rPr>
              <w:t>4.pants b) punkts</w:t>
            </w:r>
          </w:p>
        </w:tc>
        <w:tc>
          <w:tcPr>
            <w:tcW w:w="1701" w:type="dxa"/>
            <w:gridSpan w:val="2"/>
          </w:tcPr>
          <w:p w:rsidR="002F60B2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1.</w:t>
            </w:r>
            <w:r w:rsidR="00D71A8B">
              <w:t>6</w:t>
            </w:r>
            <w:r w:rsidR="00F82E0F" w:rsidRPr="002C2E53">
              <w:t>.punkts</w:t>
            </w:r>
          </w:p>
        </w:tc>
        <w:tc>
          <w:tcPr>
            <w:tcW w:w="2079" w:type="dxa"/>
          </w:tcPr>
          <w:p w:rsidR="002F60B2" w:rsidRDefault="002F60B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2C2E53" w:rsidRDefault="008755EF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2C2E53">
              <w:rPr>
                <w:bCs/>
              </w:rPr>
              <w:t>4.pants b) punkts</w:t>
            </w:r>
          </w:p>
        </w:tc>
        <w:tc>
          <w:tcPr>
            <w:tcW w:w="1701" w:type="dxa"/>
            <w:gridSpan w:val="2"/>
          </w:tcPr>
          <w:p w:rsidR="002F60B2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1.</w:t>
            </w:r>
            <w:r w:rsidR="00D71A8B">
              <w:t>7</w:t>
            </w:r>
            <w:r w:rsidR="00F82E0F" w:rsidRPr="002C2E53">
              <w:t>.punkts</w:t>
            </w:r>
          </w:p>
        </w:tc>
        <w:tc>
          <w:tcPr>
            <w:tcW w:w="2079" w:type="dxa"/>
          </w:tcPr>
          <w:p w:rsidR="002F60B2" w:rsidRDefault="002F60B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2C2E53" w:rsidRDefault="008755EF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2C2E53">
              <w:rPr>
                <w:bCs/>
              </w:rPr>
              <w:t>4.pants b) punkts</w:t>
            </w:r>
          </w:p>
        </w:tc>
        <w:tc>
          <w:tcPr>
            <w:tcW w:w="1701" w:type="dxa"/>
            <w:gridSpan w:val="2"/>
          </w:tcPr>
          <w:p w:rsidR="002F60B2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1.</w:t>
            </w:r>
            <w:r w:rsidR="00D71A8B">
              <w:t>8</w:t>
            </w:r>
            <w:r w:rsidR="002F60B2" w:rsidRPr="002C2E53">
              <w:t>.punkts</w:t>
            </w:r>
          </w:p>
        </w:tc>
        <w:tc>
          <w:tcPr>
            <w:tcW w:w="2079" w:type="dxa"/>
          </w:tcPr>
          <w:p w:rsidR="002F60B2" w:rsidRDefault="002F60B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2C2E53" w:rsidRDefault="003C30E9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2C2E53">
              <w:rPr>
                <w:bCs/>
              </w:rPr>
              <w:t>8.pants</w:t>
            </w:r>
          </w:p>
        </w:tc>
        <w:tc>
          <w:tcPr>
            <w:tcW w:w="1701" w:type="dxa"/>
            <w:gridSpan w:val="2"/>
          </w:tcPr>
          <w:p w:rsidR="002F60B2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1.</w:t>
            </w:r>
            <w:r w:rsidR="00D71A8B">
              <w:t>9</w:t>
            </w:r>
            <w:r w:rsidR="002F60B2" w:rsidRPr="002C2E53">
              <w:t>.punkts</w:t>
            </w:r>
          </w:p>
        </w:tc>
        <w:tc>
          <w:tcPr>
            <w:tcW w:w="2079" w:type="dxa"/>
          </w:tcPr>
          <w:p w:rsidR="002F60B2" w:rsidRDefault="002F60B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2C2E53" w:rsidRDefault="00770092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2C2E53">
              <w:rPr>
                <w:bCs/>
              </w:rPr>
              <w:lastRenderedPageBreak/>
              <w:t>I pielikums 1.punkts, 2.punkts, 3.punkts</w:t>
            </w:r>
          </w:p>
        </w:tc>
        <w:tc>
          <w:tcPr>
            <w:tcW w:w="1701" w:type="dxa"/>
            <w:gridSpan w:val="2"/>
          </w:tcPr>
          <w:p w:rsidR="002F60B2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1.</w:t>
            </w:r>
            <w:r w:rsidR="00D71A8B">
              <w:t>10</w:t>
            </w:r>
            <w:r w:rsidR="002F60B2" w:rsidRPr="002C2E53">
              <w:t>.</w:t>
            </w:r>
            <w:r w:rsidR="00F82E0F" w:rsidRPr="002C2E53">
              <w:t>punkts</w:t>
            </w:r>
          </w:p>
        </w:tc>
        <w:tc>
          <w:tcPr>
            <w:tcW w:w="2079" w:type="dxa"/>
          </w:tcPr>
          <w:p w:rsidR="002F60B2" w:rsidRDefault="002F60B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F82E0F" w:rsidRPr="00C20E54" w:rsidTr="00F82E0F">
        <w:trPr>
          <w:jc w:val="center"/>
        </w:trPr>
        <w:tc>
          <w:tcPr>
            <w:tcW w:w="2301" w:type="dxa"/>
          </w:tcPr>
          <w:p w:rsidR="00F82E0F" w:rsidRPr="002C2E53" w:rsidRDefault="00770092" w:rsidP="00770092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2C2E53">
              <w:rPr>
                <w:bCs/>
              </w:rPr>
              <w:t xml:space="preserve">I pielikums </w:t>
            </w:r>
            <w:r w:rsidR="009C2F76" w:rsidRPr="002C2E53">
              <w:rPr>
                <w:bCs/>
              </w:rPr>
              <w:t>4.punkts</w:t>
            </w:r>
          </w:p>
        </w:tc>
        <w:tc>
          <w:tcPr>
            <w:tcW w:w="1701" w:type="dxa"/>
            <w:gridSpan w:val="2"/>
          </w:tcPr>
          <w:p w:rsidR="00F82E0F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1.</w:t>
            </w:r>
            <w:r w:rsidR="00D71A8B">
              <w:t>11</w:t>
            </w:r>
            <w:r w:rsidR="00F82E0F" w:rsidRPr="002C2E53">
              <w:t>.punkts</w:t>
            </w:r>
          </w:p>
        </w:tc>
        <w:tc>
          <w:tcPr>
            <w:tcW w:w="2079" w:type="dxa"/>
          </w:tcPr>
          <w:p w:rsidR="00F82E0F" w:rsidRDefault="00F82E0F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F82E0F" w:rsidRDefault="00F82E0F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770092" w:rsidRPr="00C20E54" w:rsidTr="00F82E0F">
        <w:trPr>
          <w:jc w:val="center"/>
        </w:trPr>
        <w:tc>
          <w:tcPr>
            <w:tcW w:w="2301" w:type="dxa"/>
          </w:tcPr>
          <w:p w:rsidR="00770092" w:rsidRPr="002C2E53" w:rsidRDefault="009C2F76" w:rsidP="00F82E0F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 w:rsidRPr="002C2E53">
              <w:rPr>
                <w:bCs/>
              </w:rPr>
              <w:t>VI pielikums</w:t>
            </w:r>
          </w:p>
        </w:tc>
        <w:tc>
          <w:tcPr>
            <w:tcW w:w="1701" w:type="dxa"/>
            <w:gridSpan w:val="2"/>
          </w:tcPr>
          <w:p w:rsidR="00770092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1.</w:t>
            </w:r>
            <w:r w:rsidR="00D71A8B">
              <w:t>12</w:t>
            </w:r>
            <w:r w:rsidR="009C2F76" w:rsidRPr="002C2E53">
              <w:t>.punkts</w:t>
            </w:r>
          </w:p>
        </w:tc>
        <w:tc>
          <w:tcPr>
            <w:tcW w:w="2079" w:type="dxa"/>
          </w:tcPr>
          <w:p w:rsidR="00770092" w:rsidRDefault="00770092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770092" w:rsidRDefault="00770092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9A0301" w:rsidRPr="00C20E54" w:rsidTr="00F82E0F">
        <w:trPr>
          <w:jc w:val="center"/>
        </w:trPr>
        <w:tc>
          <w:tcPr>
            <w:tcW w:w="2301" w:type="dxa"/>
          </w:tcPr>
          <w:p w:rsidR="009A0301" w:rsidRPr="002C2E53" w:rsidRDefault="008755EF" w:rsidP="008755EF">
            <w:pPr>
              <w:pStyle w:val="naisc"/>
              <w:spacing w:before="0" w:beforeAutospacing="0" w:after="0" w:afterAutospacing="0"/>
              <w:rPr>
                <w:bCs/>
              </w:rPr>
            </w:pPr>
            <w:r w:rsidRPr="002C2E53">
              <w:rPr>
                <w:bCs/>
              </w:rPr>
              <w:t>10.pants</w:t>
            </w:r>
          </w:p>
        </w:tc>
        <w:tc>
          <w:tcPr>
            <w:tcW w:w="1701" w:type="dxa"/>
            <w:gridSpan w:val="2"/>
          </w:tcPr>
          <w:p w:rsidR="009A0301" w:rsidRPr="002C2E53" w:rsidRDefault="009A0301" w:rsidP="00F82E0F">
            <w:pPr>
              <w:pStyle w:val="naisc"/>
              <w:spacing w:before="0" w:beforeAutospacing="0" w:after="0" w:afterAutospacing="0"/>
              <w:jc w:val="both"/>
            </w:pPr>
            <w:r w:rsidRPr="002C2E53">
              <w:t>2.punkts</w:t>
            </w:r>
          </w:p>
        </w:tc>
        <w:tc>
          <w:tcPr>
            <w:tcW w:w="2079" w:type="dxa"/>
          </w:tcPr>
          <w:p w:rsidR="009A0301" w:rsidRDefault="009A0301" w:rsidP="00F82E0F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9A0301" w:rsidRDefault="009A0301" w:rsidP="00F82E0F">
            <w:pPr>
              <w:pStyle w:val="naisc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2F60B2" w:rsidRPr="00C20E54" w:rsidTr="00F82E0F">
        <w:trPr>
          <w:jc w:val="center"/>
        </w:trPr>
        <w:tc>
          <w:tcPr>
            <w:tcW w:w="9471" w:type="dxa"/>
            <w:gridSpan w:val="5"/>
          </w:tcPr>
          <w:p w:rsidR="002F60B2" w:rsidRPr="00FF580E" w:rsidRDefault="002F60B2" w:rsidP="00F82E0F">
            <w:pPr>
              <w:pStyle w:val="naisc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F60B2" w:rsidRPr="00884C0C" w:rsidTr="00F82E0F">
        <w:trPr>
          <w:jc w:val="center"/>
        </w:trPr>
        <w:tc>
          <w:tcPr>
            <w:tcW w:w="2301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 w:rsidRPr="00862556">
              <w:t>Kā ir i</w:t>
            </w:r>
            <w:smartTag w:uri="urn:schemas-microsoft-com:office:smarttags" w:element="PersonName">
              <w:r w:rsidRPr="00862556">
                <w:t>zm</w:t>
              </w:r>
            </w:smartTag>
            <w:r w:rsidRPr="00862556">
              <w:t>antota ES tiesību aktā paredzētā rīcības brīvība dalībvalstij pārņemt vai ieviest noteiktas ES tiesību akta normas.</w:t>
            </w:r>
          </w:p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 w:rsidRPr="00862556">
              <w:t>Kādēļ?</w:t>
            </w:r>
          </w:p>
        </w:tc>
        <w:tc>
          <w:tcPr>
            <w:tcW w:w="7170" w:type="dxa"/>
            <w:gridSpan w:val="4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 w:rsidRPr="007F1971">
              <w:rPr>
                <w:iCs/>
                <w:lang w:val="de-DE"/>
              </w:rPr>
              <w:t>Noteikumu projekts šo jomu neskar</w:t>
            </w:r>
            <w:r w:rsidRPr="007F1971">
              <w:rPr>
                <w:bCs/>
                <w:iCs/>
                <w:lang w:val="de-DE"/>
              </w:rPr>
              <w:t>.</w:t>
            </w:r>
          </w:p>
        </w:tc>
      </w:tr>
      <w:tr w:rsidR="002F60B2" w:rsidRPr="00884C0C" w:rsidTr="00F82E0F">
        <w:trPr>
          <w:jc w:val="center"/>
        </w:trPr>
        <w:tc>
          <w:tcPr>
            <w:tcW w:w="2301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 w:rsidRPr="00862556"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7170" w:type="dxa"/>
            <w:gridSpan w:val="4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 w:rsidRPr="007F1971">
              <w:rPr>
                <w:iCs/>
                <w:lang w:val="de-DE"/>
              </w:rPr>
              <w:t>Noteikumu projekts šo jomu neskar</w:t>
            </w:r>
            <w:r w:rsidRPr="007F1971">
              <w:rPr>
                <w:bCs/>
                <w:iCs/>
                <w:lang w:val="de-DE"/>
              </w:rPr>
              <w:t>.</w:t>
            </w:r>
          </w:p>
        </w:tc>
      </w:tr>
      <w:tr w:rsidR="002F60B2" w:rsidRPr="00C20E54" w:rsidTr="00F82E0F">
        <w:trPr>
          <w:jc w:val="center"/>
        </w:trPr>
        <w:tc>
          <w:tcPr>
            <w:tcW w:w="2301" w:type="dxa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  <w:jc w:val="both"/>
            </w:pPr>
            <w:r w:rsidRPr="00862556">
              <w:t>Cita informācija</w:t>
            </w:r>
          </w:p>
        </w:tc>
        <w:tc>
          <w:tcPr>
            <w:tcW w:w="7170" w:type="dxa"/>
            <w:gridSpan w:val="4"/>
          </w:tcPr>
          <w:p w:rsidR="002F60B2" w:rsidRPr="00C74353" w:rsidRDefault="00C74353" w:rsidP="00F82E0F">
            <w:pPr>
              <w:pStyle w:val="naiskr"/>
              <w:spacing w:before="0" w:beforeAutospacing="0" w:after="0" w:afterAutospacing="0"/>
              <w:jc w:val="both"/>
            </w:pPr>
            <w:r w:rsidRPr="00C74353">
              <w:t>Nav</w:t>
            </w:r>
          </w:p>
          <w:p w:rsidR="002F60B2" w:rsidRPr="00C83A94" w:rsidRDefault="002F60B2" w:rsidP="00F82E0F">
            <w:pPr>
              <w:pStyle w:val="naiskr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F60B2" w:rsidRPr="00C20E54" w:rsidTr="00F82E0F">
        <w:trPr>
          <w:jc w:val="center"/>
        </w:trPr>
        <w:tc>
          <w:tcPr>
            <w:tcW w:w="9471" w:type="dxa"/>
            <w:gridSpan w:val="5"/>
          </w:tcPr>
          <w:p w:rsidR="002F60B2" w:rsidRPr="00862556" w:rsidRDefault="002F60B2" w:rsidP="00F82E0F">
            <w:pPr>
              <w:pStyle w:val="naisc"/>
              <w:spacing w:before="0" w:beforeAutospacing="0" w:after="0" w:afterAutospacing="0"/>
            </w:pPr>
            <w:r>
              <w:rPr>
                <w:i/>
              </w:rPr>
              <w:t>Anotācijas 2.tabula – nav attiecināms.</w:t>
            </w:r>
          </w:p>
        </w:tc>
      </w:tr>
    </w:tbl>
    <w:p w:rsidR="00AE069F" w:rsidRDefault="006C70A4" w:rsidP="00A77F02">
      <w:pPr>
        <w:pStyle w:val="naisf"/>
        <w:tabs>
          <w:tab w:val="left" w:pos="5760"/>
        </w:tabs>
        <w:spacing w:before="0" w:after="0"/>
        <w:ind w:firstLine="0"/>
      </w:pPr>
      <w:r>
        <w:t xml:space="preserve"> </w:t>
      </w:r>
    </w:p>
    <w:p w:rsidR="00A77F02" w:rsidRPr="00541F79" w:rsidRDefault="00AE069F" w:rsidP="00A77F02">
      <w:pPr>
        <w:pStyle w:val="naisf"/>
        <w:tabs>
          <w:tab w:val="left" w:pos="5760"/>
        </w:tabs>
        <w:spacing w:before="0" w:after="0"/>
        <w:ind w:firstLine="0"/>
      </w:pPr>
      <w:r>
        <w:t xml:space="preserve">Anotācijas </w:t>
      </w:r>
      <w:r w:rsidR="006C70A4">
        <w:t>VI</w:t>
      </w:r>
      <w:r w:rsidR="00A77F02" w:rsidRPr="00541F79">
        <w:t xml:space="preserve"> un VII sadaļa – n</w:t>
      </w:r>
      <w:r w:rsidR="00A77F02" w:rsidRPr="00541F79">
        <w:rPr>
          <w:iCs/>
        </w:rPr>
        <w:t>oteikumu projekts šīs jomas neskar</w:t>
      </w:r>
      <w:r w:rsidR="00A77F02" w:rsidRPr="00541F79">
        <w:t>.</w:t>
      </w:r>
    </w:p>
    <w:p w:rsidR="00A35BA1" w:rsidRDefault="00A35BA1" w:rsidP="005224C9">
      <w:pPr>
        <w:tabs>
          <w:tab w:val="center" w:pos="4680"/>
          <w:tab w:val="left" w:pos="853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:rsidR="00015858" w:rsidRPr="00541F79" w:rsidRDefault="00015858" w:rsidP="00B953FD">
      <w:pPr>
        <w:tabs>
          <w:tab w:val="center" w:pos="4680"/>
          <w:tab w:val="left" w:pos="8535"/>
        </w:tabs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730"/>
      </w:tblGrid>
      <w:tr w:rsidR="00A35BA1" w:rsidTr="00A35BA1">
        <w:tc>
          <w:tcPr>
            <w:tcW w:w="4810" w:type="dxa"/>
          </w:tcPr>
          <w:p w:rsidR="00A35BA1" w:rsidRDefault="00A35BA1" w:rsidP="0072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Ekonomikas ministrs                                           </w:t>
            </w:r>
          </w:p>
        </w:tc>
        <w:tc>
          <w:tcPr>
            <w:tcW w:w="4730" w:type="dxa"/>
          </w:tcPr>
          <w:p w:rsidR="00A35BA1" w:rsidRDefault="00A35BA1" w:rsidP="00A35BA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41F7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D.Pavļuts</w:t>
            </w:r>
          </w:p>
        </w:tc>
      </w:tr>
    </w:tbl>
    <w:p w:rsidR="002F658A" w:rsidRDefault="002F658A" w:rsidP="00B71B9C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35BA1" w:rsidRDefault="00A35BA1" w:rsidP="00B71B9C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15858" w:rsidRDefault="00015858" w:rsidP="00B71B9C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15858" w:rsidRDefault="00015858" w:rsidP="00B71B9C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588"/>
      </w:tblGrid>
      <w:tr w:rsidR="00A35BA1" w:rsidTr="00A35BA1">
        <w:tc>
          <w:tcPr>
            <w:tcW w:w="4810" w:type="dxa"/>
          </w:tcPr>
          <w:p w:rsidR="00A35BA1" w:rsidRDefault="00A35BA1" w:rsidP="00296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Vīza: Valsts sekretār</w:t>
            </w:r>
            <w:r w:rsidR="002969F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</w:p>
          <w:p w:rsidR="002969FB" w:rsidRDefault="002969FB" w:rsidP="00296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730" w:type="dxa"/>
          </w:tcPr>
          <w:p w:rsidR="00A35BA1" w:rsidRDefault="002969FB" w:rsidP="002969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</w:t>
            </w:r>
            <w:r w:rsidR="00A35BA1" w:rsidRPr="002644A0">
              <w:rPr>
                <w:rFonts w:ascii="Times New Roman" w:hAnsi="Times New Roman"/>
                <w:sz w:val="28"/>
                <w:szCs w:val="28"/>
              </w:rPr>
              <w:t>.</w:t>
            </w:r>
            <w:r w:rsidR="00A35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Pūce</w:t>
            </w:r>
            <w:proofErr w:type="spellEnd"/>
          </w:p>
        </w:tc>
      </w:tr>
    </w:tbl>
    <w:p w:rsidR="00A0006C" w:rsidRPr="00A0006C" w:rsidRDefault="00B71B9C" w:rsidP="00356B6C">
      <w:pPr>
        <w:jc w:val="both"/>
        <w:rPr>
          <w:rFonts w:ascii="Times New Roman" w:hAnsi="Times New Roman"/>
          <w:sz w:val="28"/>
          <w:szCs w:val="28"/>
        </w:rPr>
      </w:pPr>
      <w:r w:rsidRPr="002644A0">
        <w:rPr>
          <w:rFonts w:ascii="Times New Roman" w:hAnsi="Times New Roman"/>
          <w:sz w:val="28"/>
          <w:szCs w:val="28"/>
        </w:rPr>
        <w:t xml:space="preserve">     </w:t>
      </w:r>
      <w:r w:rsidRPr="002644A0">
        <w:rPr>
          <w:rFonts w:ascii="Times New Roman" w:hAnsi="Times New Roman"/>
          <w:sz w:val="28"/>
          <w:szCs w:val="28"/>
        </w:rPr>
        <w:tab/>
      </w:r>
      <w:r w:rsidRPr="002644A0">
        <w:rPr>
          <w:rFonts w:ascii="Times New Roman" w:hAnsi="Times New Roman"/>
          <w:sz w:val="28"/>
          <w:szCs w:val="28"/>
        </w:rPr>
        <w:tab/>
      </w:r>
    </w:p>
    <w:p w:rsidR="00B71B9C" w:rsidRPr="002644A0" w:rsidRDefault="00884C0C" w:rsidP="00B71B9C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07</w:t>
      </w:r>
      <w:bookmarkStart w:id="7" w:name="_GoBack"/>
      <w:bookmarkEnd w:id="7"/>
      <w:r>
        <w:rPr>
          <w:rFonts w:ascii="Times New Roman" w:hAnsi="Times New Roman" w:cs="Times New Roman"/>
          <w:sz w:val="20"/>
          <w:szCs w:val="20"/>
          <w:lang w:val="lv-LV"/>
        </w:rPr>
        <w:t>.09</w:t>
      </w:r>
      <w:r w:rsidR="001E6314" w:rsidRPr="002644A0">
        <w:rPr>
          <w:rFonts w:ascii="Times New Roman" w:hAnsi="Times New Roman" w:cs="Times New Roman"/>
          <w:sz w:val="20"/>
          <w:szCs w:val="20"/>
          <w:lang w:val="lv-LV"/>
        </w:rPr>
        <w:t>.201</w:t>
      </w:r>
      <w:r w:rsidR="00D71857" w:rsidRPr="002644A0">
        <w:rPr>
          <w:rFonts w:ascii="Times New Roman" w:hAnsi="Times New Roman" w:cs="Times New Roman"/>
          <w:sz w:val="20"/>
          <w:szCs w:val="20"/>
          <w:lang w:val="lv-LV"/>
        </w:rPr>
        <w:t>2</w:t>
      </w:r>
      <w:r w:rsidR="00AB697D">
        <w:rPr>
          <w:rFonts w:ascii="Times New Roman" w:hAnsi="Times New Roman" w:cs="Times New Roman"/>
          <w:sz w:val="20"/>
          <w:szCs w:val="20"/>
          <w:lang w:val="lv-LV"/>
        </w:rPr>
        <w:t>. 14</w:t>
      </w:r>
      <w:r w:rsidR="002644A0" w:rsidRPr="002644A0">
        <w:rPr>
          <w:rFonts w:ascii="Times New Roman" w:hAnsi="Times New Roman" w:cs="Times New Roman"/>
          <w:sz w:val="20"/>
          <w:szCs w:val="20"/>
          <w:lang w:val="lv-LV"/>
        </w:rPr>
        <w:t>:</w:t>
      </w:r>
      <w:r w:rsidR="00B33188">
        <w:rPr>
          <w:rFonts w:ascii="Times New Roman" w:hAnsi="Times New Roman" w:cs="Times New Roman"/>
          <w:sz w:val="20"/>
          <w:szCs w:val="20"/>
          <w:lang w:val="lv-LV"/>
        </w:rPr>
        <w:t>20</w:t>
      </w:r>
    </w:p>
    <w:p w:rsidR="003B4C3D" w:rsidRDefault="00AB697D" w:rsidP="00B71B9C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1,035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412"/>
      </w:tblGrid>
      <w:tr w:rsidR="00FA5643" w:rsidRPr="00884C0C" w:rsidTr="00FA5643">
        <w:tc>
          <w:tcPr>
            <w:tcW w:w="3978" w:type="dxa"/>
          </w:tcPr>
          <w:p w:rsidR="00FA5643" w:rsidRDefault="00FA5643" w:rsidP="00B71B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R.Bērziņš</w:t>
            </w:r>
          </w:p>
          <w:p w:rsidR="00FA5643" w:rsidRDefault="00FA5643" w:rsidP="00B71B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67013197, Reinis.Berzins@em.gov.lv</w:t>
            </w:r>
          </w:p>
        </w:tc>
        <w:tc>
          <w:tcPr>
            <w:tcW w:w="5643" w:type="dxa"/>
          </w:tcPr>
          <w:p w:rsidR="00FA5643" w:rsidRPr="002644A0" w:rsidRDefault="00FA5643" w:rsidP="00FA56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644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G.Jaunbērziņa - Beitika</w:t>
            </w:r>
          </w:p>
          <w:p w:rsidR="00FA5643" w:rsidRPr="00FA5643" w:rsidRDefault="00FA5643" w:rsidP="00B71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069F">
              <w:rPr>
                <w:rFonts w:ascii="Times New Roman" w:hAnsi="Times New Roman"/>
                <w:sz w:val="20"/>
                <w:szCs w:val="20"/>
                <w:lang w:val="de-DE"/>
              </w:rPr>
              <w:t>67013067, Gundega.Jaunberzina-Beitika@em.gov.lv</w:t>
            </w:r>
          </w:p>
        </w:tc>
      </w:tr>
    </w:tbl>
    <w:p w:rsidR="00B11552" w:rsidRPr="00541F79" w:rsidRDefault="00B11552" w:rsidP="00FA564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B11552" w:rsidRPr="00541F79" w:rsidSect="00BC2F7F">
      <w:headerReference w:type="default" r:id="rId9"/>
      <w:footerReference w:type="default" r:id="rId10"/>
      <w:footerReference w:type="first" r:id="rId11"/>
      <w:pgSz w:w="11907" w:h="16839" w:code="9"/>
      <w:pgMar w:top="1418" w:right="1134" w:bottom="1418" w:left="1701" w:header="720" w:footer="3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5F" w:rsidRDefault="0001255F" w:rsidP="00021083">
      <w:r>
        <w:separator/>
      </w:r>
    </w:p>
  </w:endnote>
  <w:endnote w:type="continuationSeparator" w:id="0">
    <w:p w:rsidR="0001255F" w:rsidRDefault="0001255F" w:rsidP="0002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0F" w:rsidRPr="00000587" w:rsidRDefault="00884C0C" w:rsidP="00000587">
    <w:pPr>
      <w:pStyle w:val="naisc"/>
      <w:spacing w:before="0" w:beforeAutospacing="0" w:after="0" w:afterAutospacing="0"/>
      <w:jc w:val="both"/>
      <w:rPr>
        <w:sz w:val="20"/>
        <w:szCs w:val="20"/>
        <w:highlight w:val="yellow"/>
      </w:rPr>
    </w:pPr>
    <w:r>
      <w:rPr>
        <w:sz w:val="20"/>
        <w:szCs w:val="20"/>
      </w:rPr>
      <w:t>EMAnot_0709</w:t>
    </w:r>
    <w:r w:rsidR="00F82E0F" w:rsidRPr="002644A0">
      <w:rPr>
        <w:sz w:val="20"/>
        <w:szCs w:val="20"/>
      </w:rPr>
      <w:t xml:space="preserve">12_groz803; </w:t>
    </w:r>
    <w:r w:rsidR="00F82E0F" w:rsidRPr="005C7A4A">
      <w:rPr>
        <w:bCs/>
        <w:sz w:val="20"/>
        <w:szCs w:val="20"/>
      </w:rPr>
      <w:t xml:space="preserve">Ministru kabineta noteikumu projekta </w:t>
    </w:r>
    <w:r w:rsidR="00F82E0F" w:rsidRPr="005C7A4A">
      <w:rPr>
        <w:sz w:val="20"/>
        <w:szCs w:val="20"/>
      </w:rPr>
      <w:t xml:space="preserve">„Grozījumi Ministru kabineta 2011.gada 19.oktobra noteikumos Nr.803 „Noteikumi par mājsaimniecības elektrisko veļas žāvēšanas mašīnu un kombinēto veļas mazgāšanas un žāvēšanas mašīnu marķēšanu un distances līgumā ietveramo informāciju”” </w:t>
    </w:r>
    <w:r w:rsidR="00F82E0F" w:rsidRPr="005C7A4A">
      <w:rPr>
        <w:bCs/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0F" w:rsidRPr="00000587" w:rsidRDefault="005224C9" w:rsidP="00000587">
    <w:pPr>
      <w:pStyle w:val="naisc"/>
      <w:spacing w:before="0" w:beforeAutospacing="0" w:after="0" w:afterAutospacing="0"/>
      <w:jc w:val="both"/>
      <w:rPr>
        <w:sz w:val="20"/>
        <w:szCs w:val="20"/>
        <w:highlight w:val="yellow"/>
      </w:rPr>
    </w:pPr>
    <w:r>
      <w:rPr>
        <w:sz w:val="20"/>
        <w:szCs w:val="20"/>
      </w:rPr>
      <w:t>EMAnot_0709</w:t>
    </w:r>
    <w:r w:rsidR="00F82E0F" w:rsidRPr="002644A0">
      <w:rPr>
        <w:sz w:val="20"/>
        <w:szCs w:val="20"/>
      </w:rPr>
      <w:t xml:space="preserve">12_groz803; </w:t>
    </w:r>
    <w:r w:rsidR="00F82E0F" w:rsidRPr="005C7A4A">
      <w:rPr>
        <w:bCs/>
        <w:sz w:val="20"/>
        <w:szCs w:val="20"/>
      </w:rPr>
      <w:t xml:space="preserve">Ministru kabineta noteikumu projekta </w:t>
    </w:r>
    <w:r w:rsidR="00F82E0F" w:rsidRPr="005C7A4A">
      <w:rPr>
        <w:sz w:val="20"/>
        <w:szCs w:val="20"/>
      </w:rPr>
      <w:t xml:space="preserve">„Grozījumi Ministru kabineta 2011.gada 19.oktobra noteikumos Nr.803 „Noteikumi par mājsaimniecības elektrisko veļas žāvēšanas mašīnu un kombinēto veļas mazgāšanas un žāvēšanas mašīnu marķēšanu un distances līgumā ietveramo informāciju”” </w:t>
    </w:r>
    <w:r w:rsidR="00F82E0F" w:rsidRPr="005C7A4A">
      <w:rPr>
        <w:bCs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5F" w:rsidRDefault="0001255F" w:rsidP="00021083">
      <w:r>
        <w:separator/>
      </w:r>
    </w:p>
  </w:footnote>
  <w:footnote w:type="continuationSeparator" w:id="0">
    <w:p w:rsidR="0001255F" w:rsidRDefault="0001255F" w:rsidP="0002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128"/>
      <w:docPartObj>
        <w:docPartGallery w:val="Page Numbers (Top of Page)"/>
        <w:docPartUnique/>
      </w:docPartObj>
    </w:sdtPr>
    <w:sdtEndPr/>
    <w:sdtContent>
      <w:p w:rsidR="00F82E0F" w:rsidRDefault="00D86286">
        <w:pPr>
          <w:pStyle w:val="Header"/>
        </w:pPr>
        <w:r w:rsidRPr="00B71B9C">
          <w:rPr>
            <w:rFonts w:ascii="Times New Roman" w:hAnsi="Times New Roman" w:cs="Times New Roman"/>
          </w:rPr>
          <w:fldChar w:fldCharType="begin"/>
        </w:r>
        <w:r w:rsidR="00F82E0F" w:rsidRPr="00B71B9C">
          <w:rPr>
            <w:rFonts w:ascii="Times New Roman" w:hAnsi="Times New Roman" w:cs="Times New Roman"/>
          </w:rPr>
          <w:instrText xml:space="preserve"> PAGE   \* MERGEFORMAT </w:instrText>
        </w:r>
        <w:r w:rsidRPr="00B71B9C">
          <w:rPr>
            <w:rFonts w:ascii="Times New Roman" w:hAnsi="Times New Roman" w:cs="Times New Roman"/>
          </w:rPr>
          <w:fldChar w:fldCharType="separate"/>
        </w:r>
        <w:r w:rsidR="00BC2F7F">
          <w:rPr>
            <w:rFonts w:ascii="Times New Roman" w:hAnsi="Times New Roman" w:cs="Times New Roman"/>
            <w:noProof/>
          </w:rPr>
          <w:t>2</w:t>
        </w:r>
        <w:r w:rsidRPr="00B71B9C">
          <w:rPr>
            <w:rFonts w:ascii="Times New Roman" w:hAnsi="Times New Roman" w:cs="Times New Roman"/>
          </w:rPr>
          <w:fldChar w:fldCharType="end"/>
        </w:r>
      </w:p>
    </w:sdtContent>
  </w:sdt>
  <w:p w:rsidR="00F82E0F" w:rsidRDefault="00F82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4F44"/>
    <w:multiLevelType w:val="multilevel"/>
    <w:tmpl w:val="37E0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7558C"/>
    <w:multiLevelType w:val="hybridMultilevel"/>
    <w:tmpl w:val="588C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641"/>
    <w:multiLevelType w:val="hybridMultilevel"/>
    <w:tmpl w:val="9C62FAD2"/>
    <w:lvl w:ilvl="0" w:tplc="42540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A352B0"/>
    <w:multiLevelType w:val="hybridMultilevel"/>
    <w:tmpl w:val="56186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5362"/>
    <w:multiLevelType w:val="hybridMultilevel"/>
    <w:tmpl w:val="D0B8DB64"/>
    <w:lvl w:ilvl="0" w:tplc="26A4C944">
      <w:start w:val="1"/>
      <w:numFmt w:val="decimal"/>
      <w:lvlText w:val="%1)"/>
      <w:lvlJc w:val="left"/>
      <w:pPr>
        <w:ind w:left="720" w:hanging="360"/>
      </w:pPr>
      <w:rPr>
        <w:rFonts w:cs="EUAlberti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5EED"/>
    <w:multiLevelType w:val="hybridMultilevel"/>
    <w:tmpl w:val="33D49E22"/>
    <w:lvl w:ilvl="0" w:tplc="5B7CFCF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DD0D28"/>
    <w:multiLevelType w:val="hybridMultilevel"/>
    <w:tmpl w:val="84706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B6250"/>
    <w:multiLevelType w:val="hybridMultilevel"/>
    <w:tmpl w:val="84181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6705"/>
    <w:multiLevelType w:val="hybridMultilevel"/>
    <w:tmpl w:val="A3C2B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478B"/>
    <w:multiLevelType w:val="hybridMultilevel"/>
    <w:tmpl w:val="E8E891BC"/>
    <w:lvl w:ilvl="0" w:tplc="CAC8D2E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9" w:hanging="360"/>
      </w:pPr>
    </w:lvl>
    <w:lvl w:ilvl="2" w:tplc="0426001B" w:tentative="1">
      <w:start w:val="1"/>
      <w:numFmt w:val="lowerRoman"/>
      <w:lvlText w:val="%3."/>
      <w:lvlJc w:val="right"/>
      <w:pPr>
        <w:ind w:left="2129" w:hanging="180"/>
      </w:pPr>
    </w:lvl>
    <w:lvl w:ilvl="3" w:tplc="0426000F" w:tentative="1">
      <w:start w:val="1"/>
      <w:numFmt w:val="decimal"/>
      <w:lvlText w:val="%4."/>
      <w:lvlJc w:val="left"/>
      <w:pPr>
        <w:ind w:left="2849" w:hanging="360"/>
      </w:pPr>
    </w:lvl>
    <w:lvl w:ilvl="4" w:tplc="04260019" w:tentative="1">
      <w:start w:val="1"/>
      <w:numFmt w:val="lowerLetter"/>
      <w:lvlText w:val="%5."/>
      <w:lvlJc w:val="left"/>
      <w:pPr>
        <w:ind w:left="3569" w:hanging="360"/>
      </w:pPr>
    </w:lvl>
    <w:lvl w:ilvl="5" w:tplc="0426001B" w:tentative="1">
      <w:start w:val="1"/>
      <w:numFmt w:val="lowerRoman"/>
      <w:lvlText w:val="%6."/>
      <w:lvlJc w:val="right"/>
      <w:pPr>
        <w:ind w:left="4289" w:hanging="180"/>
      </w:pPr>
    </w:lvl>
    <w:lvl w:ilvl="6" w:tplc="0426000F" w:tentative="1">
      <w:start w:val="1"/>
      <w:numFmt w:val="decimal"/>
      <w:lvlText w:val="%7."/>
      <w:lvlJc w:val="left"/>
      <w:pPr>
        <w:ind w:left="5009" w:hanging="360"/>
      </w:pPr>
    </w:lvl>
    <w:lvl w:ilvl="7" w:tplc="04260019" w:tentative="1">
      <w:start w:val="1"/>
      <w:numFmt w:val="lowerLetter"/>
      <w:lvlText w:val="%8."/>
      <w:lvlJc w:val="left"/>
      <w:pPr>
        <w:ind w:left="5729" w:hanging="360"/>
      </w:pPr>
    </w:lvl>
    <w:lvl w:ilvl="8" w:tplc="042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3B306AEE"/>
    <w:multiLevelType w:val="hybridMultilevel"/>
    <w:tmpl w:val="E702F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B44AA"/>
    <w:multiLevelType w:val="hybridMultilevel"/>
    <w:tmpl w:val="93D495D4"/>
    <w:lvl w:ilvl="0" w:tplc="329CD986">
      <w:start w:val="1"/>
      <w:numFmt w:val="decimal"/>
      <w:lvlText w:val="%1)"/>
      <w:lvlJc w:val="left"/>
      <w:pPr>
        <w:ind w:left="720" w:hanging="360"/>
      </w:pPr>
      <w:rPr>
        <w:rFonts w:cs="EUAlberti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B20FA"/>
    <w:multiLevelType w:val="hybridMultilevel"/>
    <w:tmpl w:val="17987A8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7285B"/>
    <w:multiLevelType w:val="hybridMultilevel"/>
    <w:tmpl w:val="33408478"/>
    <w:lvl w:ilvl="0" w:tplc="C7CC5A8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49"/>
    <w:rsid w:val="00000587"/>
    <w:rsid w:val="00000798"/>
    <w:rsid w:val="0000263E"/>
    <w:rsid w:val="0000337D"/>
    <w:rsid w:val="00005659"/>
    <w:rsid w:val="000102AA"/>
    <w:rsid w:val="00010AF4"/>
    <w:rsid w:val="0001255F"/>
    <w:rsid w:val="00015858"/>
    <w:rsid w:val="000202B4"/>
    <w:rsid w:val="00021083"/>
    <w:rsid w:val="00030567"/>
    <w:rsid w:val="000349E6"/>
    <w:rsid w:val="00037B68"/>
    <w:rsid w:val="000467EA"/>
    <w:rsid w:val="00051F8C"/>
    <w:rsid w:val="00052837"/>
    <w:rsid w:val="00061398"/>
    <w:rsid w:val="0007101D"/>
    <w:rsid w:val="00072AC0"/>
    <w:rsid w:val="00077653"/>
    <w:rsid w:val="00077B71"/>
    <w:rsid w:val="00090F9D"/>
    <w:rsid w:val="00091773"/>
    <w:rsid w:val="000962E3"/>
    <w:rsid w:val="000A174F"/>
    <w:rsid w:val="000A1F5B"/>
    <w:rsid w:val="000A5497"/>
    <w:rsid w:val="000A69D6"/>
    <w:rsid w:val="000B3B63"/>
    <w:rsid w:val="000B4410"/>
    <w:rsid w:val="000B47EE"/>
    <w:rsid w:val="000B5D8F"/>
    <w:rsid w:val="000C445A"/>
    <w:rsid w:val="000C4B9F"/>
    <w:rsid w:val="000C54BB"/>
    <w:rsid w:val="000D31FC"/>
    <w:rsid w:val="000D557E"/>
    <w:rsid w:val="000E716F"/>
    <w:rsid w:val="000F521D"/>
    <w:rsid w:val="000F7D0F"/>
    <w:rsid w:val="00100A41"/>
    <w:rsid w:val="00102772"/>
    <w:rsid w:val="0010544B"/>
    <w:rsid w:val="001079A8"/>
    <w:rsid w:val="00112FD2"/>
    <w:rsid w:val="0011598D"/>
    <w:rsid w:val="00120229"/>
    <w:rsid w:val="001216A5"/>
    <w:rsid w:val="00122B04"/>
    <w:rsid w:val="00132B59"/>
    <w:rsid w:val="00137613"/>
    <w:rsid w:val="00147D40"/>
    <w:rsid w:val="0015259D"/>
    <w:rsid w:val="00162AC9"/>
    <w:rsid w:val="00163B06"/>
    <w:rsid w:val="001709A0"/>
    <w:rsid w:val="0017102D"/>
    <w:rsid w:val="00180721"/>
    <w:rsid w:val="0018380A"/>
    <w:rsid w:val="00191807"/>
    <w:rsid w:val="00193E4E"/>
    <w:rsid w:val="00194B04"/>
    <w:rsid w:val="001A1547"/>
    <w:rsid w:val="001A677B"/>
    <w:rsid w:val="001B5EC4"/>
    <w:rsid w:val="001B6595"/>
    <w:rsid w:val="001B664A"/>
    <w:rsid w:val="001C1137"/>
    <w:rsid w:val="001C4C2C"/>
    <w:rsid w:val="001D069E"/>
    <w:rsid w:val="001E6314"/>
    <w:rsid w:val="001E6E1F"/>
    <w:rsid w:val="001F03FC"/>
    <w:rsid w:val="001F2F3F"/>
    <w:rsid w:val="00200D93"/>
    <w:rsid w:val="002016E9"/>
    <w:rsid w:val="00205184"/>
    <w:rsid w:val="002217E5"/>
    <w:rsid w:val="00226D6C"/>
    <w:rsid w:val="0023143A"/>
    <w:rsid w:val="00234DEC"/>
    <w:rsid w:val="00237A9E"/>
    <w:rsid w:val="002410EF"/>
    <w:rsid w:val="0024673F"/>
    <w:rsid w:val="00263632"/>
    <w:rsid w:val="002644A0"/>
    <w:rsid w:val="00267F21"/>
    <w:rsid w:val="002709F4"/>
    <w:rsid w:val="00271A42"/>
    <w:rsid w:val="0027227C"/>
    <w:rsid w:val="00283320"/>
    <w:rsid w:val="00290EF5"/>
    <w:rsid w:val="002969FB"/>
    <w:rsid w:val="002A0B93"/>
    <w:rsid w:val="002A0C07"/>
    <w:rsid w:val="002A1637"/>
    <w:rsid w:val="002A23CF"/>
    <w:rsid w:val="002A6B47"/>
    <w:rsid w:val="002B306C"/>
    <w:rsid w:val="002B6AA5"/>
    <w:rsid w:val="002C1B53"/>
    <w:rsid w:val="002C2E53"/>
    <w:rsid w:val="002C47F2"/>
    <w:rsid w:val="002C60C7"/>
    <w:rsid w:val="002D1C94"/>
    <w:rsid w:val="002E2120"/>
    <w:rsid w:val="002E255B"/>
    <w:rsid w:val="002E551B"/>
    <w:rsid w:val="002F48D8"/>
    <w:rsid w:val="002F60B2"/>
    <w:rsid w:val="002F658A"/>
    <w:rsid w:val="002F7416"/>
    <w:rsid w:val="0030204F"/>
    <w:rsid w:val="003101A9"/>
    <w:rsid w:val="00310A5D"/>
    <w:rsid w:val="00311EB5"/>
    <w:rsid w:val="00312CA4"/>
    <w:rsid w:val="00323136"/>
    <w:rsid w:val="00324858"/>
    <w:rsid w:val="00326160"/>
    <w:rsid w:val="00333538"/>
    <w:rsid w:val="00334E99"/>
    <w:rsid w:val="00335D8E"/>
    <w:rsid w:val="00340E50"/>
    <w:rsid w:val="00351425"/>
    <w:rsid w:val="00356B6C"/>
    <w:rsid w:val="0036039E"/>
    <w:rsid w:val="00360FE2"/>
    <w:rsid w:val="00365070"/>
    <w:rsid w:val="0036778E"/>
    <w:rsid w:val="0037254E"/>
    <w:rsid w:val="0037334C"/>
    <w:rsid w:val="0037537C"/>
    <w:rsid w:val="00375EE9"/>
    <w:rsid w:val="0037601C"/>
    <w:rsid w:val="003760B3"/>
    <w:rsid w:val="00380F73"/>
    <w:rsid w:val="00382E36"/>
    <w:rsid w:val="00384E01"/>
    <w:rsid w:val="0039004D"/>
    <w:rsid w:val="003906D7"/>
    <w:rsid w:val="00390C27"/>
    <w:rsid w:val="00394CD8"/>
    <w:rsid w:val="003A0B4C"/>
    <w:rsid w:val="003A0F75"/>
    <w:rsid w:val="003A6A00"/>
    <w:rsid w:val="003B4C3D"/>
    <w:rsid w:val="003B728A"/>
    <w:rsid w:val="003B788B"/>
    <w:rsid w:val="003C30E9"/>
    <w:rsid w:val="003C787E"/>
    <w:rsid w:val="003E5E5F"/>
    <w:rsid w:val="003E624B"/>
    <w:rsid w:val="003E7E1D"/>
    <w:rsid w:val="003F4C69"/>
    <w:rsid w:val="0040175E"/>
    <w:rsid w:val="00406020"/>
    <w:rsid w:val="0041198D"/>
    <w:rsid w:val="00411CF4"/>
    <w:rsid w:val="00417E81"/>
    <w:rsid w:val="00430F8B"/>
    <w:rsid w:val="00431832"/>
    <w:rsid w:val="00431C8D"/>
    <w:rsid w:val="0043662B"/>
    <w:rsid w:val="00436B02"/>
    <w:rsid w:val="00437BD7"/>
    <w:rsid w:val="004414E2"/>
    <w:rsid w:val="00441F25"/>
    <w:rsid w:val="00447F3B"/>
    <w:rsid w:val="00464003"/>
    <w:rsid w:val="004714AC"/>
    <w:rsid w:val="00474E7C"/>
    <w:rsid w:val="00484DC4"/>
    <w:rsid w:val="00487A70"/>
    <w:rsid w:val="00495174"/>
    <w:rsid w:val="00496A39"/>
    <w:rsid w:val="004A1854"/>
    <w:rsid w:val="004A48D4"/>
    <w:rsid w:val="004A5515"/>
    <w:rsid w:val="004B3C9F"/>
    <w:rsid w:val="004B5BFE"/>
    <w:rsid w:val="004C4EE6"/>
    <w:rsid w:val="004D0D35"/>
    <w:rsid w:val="004E136E"/>
    <w:rsid w:val="004E1499"/>
    <w:rsid w:val="004E4263"/>
    <w:rsid w:val="004F32CB"/>
    <w:rsid w:val="004F5200"/>
    <w:rsid w:val="004F635A"/>
    <w:rsid w:val="00506980"/>
    <w:rsid w:val="005224C9"/>
    <w:rsid w:val="00522B21"/>
    <w:rsid w:val="005362A7"/>
    <w:rsid w:val="00541F79"/>
    <w:rsid w:val="005649CC"/>
    <w:rsid w:val="00566555"/>
    <w:rsid w:val="00566882"/>
    <w:rsid w:val="00577A53"/>
    <w:rsid w:val="005821D9"/>
    <w:rsid w:val="005A047F"/>
    <w:rsid w:val="005A0990"/>
    <w:rsid w:val="005A285C"/>
    <w:rsid w:val="005A2EEA"/>
    <w:rsid w:val="005A477F"/>
    <w:rsid w:val="005A4CF9"/>
    <w:rsid w:val="005C06D7"/>
    <w:rsid w:val="005C7A4A"/>
    <w:rsid w:val="005D0452"/>
    <w:rsid w:val="005D7E29"/>
    <w:rsid w:val="005E7A26"/>
    <w:rsid w:val="005F224E"/>
    <w:rsid w:val="005F5344"/>
    <w:rsid w:val="00602656"/>
    <w:rsid w:val="00605633"/>
    <w:rsid w:val="00611A41"/>
    <w:rsid w:val="006168B6"/>
    <w:rsid w:val="00616E76"/>
    <w:rsid w:val="00624237"/>
    <w:rsid w:val="00627B38"/>
    <w:rsid w:val="00652236"/>
    <w:rsid w:val="006616C7"/>
    <w:rsid w:val="006619D1"/>
    <w:rsid w:val="006633DF"/>
    <w:rsid w:val="00667653"/>
    <w:rsid w:val="00672617"/>
    <w:rsid w:val="0068509B"/>
    <w:rsid w:val="0068591B"/>
    <w:rsid w:val="0069319E"/>
    <w:rsid w:val="006A23FA"/>
    <w:rsid w:val="006B2952"/>
    <w:rsid w:val="006B433C"/>
    <w:rsid w:val="006C0B21"/>
    <w:rsid w:val="006C37B5"/>
    <w:rsid w:val="006C42B0"/>
    <w:rsid w:val="006C70A4"/>
    <w:rsid w:val="006D2F8D"/>
    <w:rsid w:val="006D3342"/>
    <w:rsid w:val="00702278"/>
    <w:rsid w:val="00703E60"/>
    <w:rsid w:val="00707117"/>
    <w:rsid w:val="007144CE"/>
    <w:rsid w:val="00720DD4"/>
    <w:rsid w:val="007245B0"/>
    <w:rsid w:val="007247B4"/>
    <w:rsid w:val="00746422"/>
    <w:rsid w:val="0074657F"/>
    <w:rsid w:val="0076095D"/>
    <w:rsid w:val="00762F5C"/>
    <w:rsid w:val="00767844"/>
    <w:rsid w:val="00770092"/>
    <w:rsid w:val="007719C3"/>
    <w:rsid w:val="00773CFA"/>
    <w:rsid w:val="007744EF"/>
    <w:rsid w:val="00775D1E"/>
    <w:rsid w:val="007803FC"/>
    <w:rsid w:val="00785D35"/>
    <w:rsid w:val="00786A0F"/>
    <w:rsid w:val="00796456"/>
    <w:rsid w:val="007A1830"/>
    <w:rsid w:val="007A7BA8"/>
    <w:rsid w:val="007B1616"/>
    <w:rsid w:val="007B2923"/>
    <w:rsid w:val="007B3EDF"/>
    <w:rsid w:val="007B5C70"/>
    <w:rsid w:val="007C2561"/>
    <w:rsid w:val="007C43E9"/>
    <w:rsid w:val="007C629E"/>
    <w:rsid w:val="007C7317"/>
    <w:rsid w:val="007D01EE"/>
    <w:rsid w:val="007D1939"/>
    <w:rsid w:val="007D2DC6"/>
    <w:rsid w:val="007D5361"/>
    <w:rsid w:val="007F1971"/>
    <w:rsid w:val="007F2465"/>
    <w:rsid w:val="007F5D6A"/>
    <w:rsid w:val="008017AA"/>
    <w:rsid w:val="0080276E"/>
    <w:rsid w:val="00803DB4"/>
    <w:rsid w:val="00812C2F"/>
    <w:rsid w:val="00821121"/>
    <w:rsid w:val="00840CCC"/>
    <w:rsid w:val="00862556"/>
    <w:rsid w:val="008638F1"/>
    <w:rsid w:val="00866499"/>
    <w:rsid w:val="00874925"/>
    <w:rsid w:val="008755EF"/>
    <w:rsid w:val="00876EE1"/>
    <w:rsid w:val="00884C0C"/>
    <w:rsid w:val="008913F1"/>
    <w:rsid w:val="00891C73"/>
    <w:rsid w:val="00893B03"/>
    <w:rsid w:val="008A04E7"/>
    <w:rsid w:val="008A45AF"/>
    <w:rsid w:val="008A48FE"/>
    <w:rsid w:val="008A785F"/>
    <w:rsid w:val="008B6E7A"/>
    <w:rsid w:val="008C6E60"/>
    <w:rsid w:val="008F2C7F"/>
    <w:rsid w:val="00904C94"/>
    <w:rsid w:val="0090524E"/>
    <w:rsid w:val="00911BCC"/>
    <w:rsid w:val="00913509"/>
    <w:rsid w:val="009151AA"/>
    <w:rsid w:val="00932B77"/>
    <w:rsid w:val="00936042"/>
    <w:rsid w:val="0094532A"/>
    <w:rsid w:val="0094591F"/>
    <w:rsid w:val="009514AA"/>
    <w:rsid w:val="009517F0"/>
    <w:rsid w:val="0095781A"/>
    <w:rsid w:val="00961B65"/>
    <w:rsid w:val="009656D9"/>
    <w:rsid w:val="009669A5"/>
    <w:rsid w:val="0098131A"/>
    <w:rsid w:val="0098358E"/>
    <w:rsid w:val="00984984"/>
    <w:rsid w:val="009914FF"/>
    <w:rsid w:val="009A0301"/>
    <w:rsid w:val="009A26FA"/>
    <w:rsid w:val="009A28D1"/>
    <w:rsid w:val="009A4976"/>
    <w:rsid w:val="009A51AF"/>
    <w:rsid w:val="009B277C"/>
    <w:rsid w:val="009B5454"/>
    <w:rsid w:val="009B64C6"/>
    <w:rsid w:val="009C2F76"/>
    <w:rsid w:val="009C567A"/>
    <w:rsid w:val="009D0323"/>
    <w:rsid w:val="009D524E"/>
    <w:rsid w:val="009D6BA6"/>
    <w:rsid w:val="009E151E"/>
    <w:rsid w:val="009E6636"/>
    <w:rsid w:val="009E6DF1"/>
    <w:rsid w:val="009F3518"/>
    <w:rsid w:val="00A0006C"/>
    <w:rsid w:val="00A03E1A"/>
    <w:rsid w:val="00A04A80"/>
    <w:rsid w:val="00A06265"/>
    <w:rsid w:val="00A10A2F"/>
    <w:rsid w:val="00A12601"/>
    <w:rsid w:val="00A13D19"/>
    <w:rsid w:val="00A24389"/>
    <w:rsid w:val="00A25DAE"/>
    <w:rsid w:val="00A328AC"/>
    <w:rsid w:val="00A35BA1"/>
    <w:rsid w:val="00A430CB"/>
    <w:rsid w:val="00A43A49"/>
    <w:rsid w:val="00A47262"/>
    <w:rsid w:val="00A500BD"/>
    <w:rsid w:val="00A510AD"/>
    <w:rsid w:val="00A52743"/>
    <w:rsid w:val="00A52CF6"/>
    <w:rsid w:val="00A53819"/>
    <w:rsid w:val="00A55B51"/>
    <w:rsid w:val="00A7062C"/>
    <w:rsid w:val="00A755A8"/>
    <w:rsid w:val="00A77F02"/>
    <w:rsid w:val="00A83C14"/>
    <w:rsid w:val="00A93FE0"/>
    <w:rsid w:val="00AB0F7A"/>
    <w:rsid w:val="00AB1936"/>
    <w:rsid w:val="00AB1B92"/>
    <w:rsid w:val="00AB2840"/>
    <w:rsid w:val="00AB410B"/>
    <w:rsid w:val="00AB5177"/>
    <w:rsid w:val="00AB697D"/>
    <w:rsid w:val="00AB77C2"/>
    <w:rsid w:val="00AB7C20"/>
    <w:rsid w:val="00AC32C8"/>
    <w:rsid w:val="00AC7587"/>
    <w:rsid w:val="00AD666D"/>
    <w:rsid w:val="00AE069F"/>
    <w:rsid w:val="00AE3EC6"/>
    <w:rsid w:val="00B02A91"/>
    <w:rsid w:val="00B07810"/>
    <w:rsid w:val="00B07FCE"/>
    <w:rsid w:val="00B11552"/>
    <w:rsid w:val="00B121A7"/>
    <w:rsid w:val="00B13FDE"/>
    <w:rsid w:val="00B14C33"/>
    <w:rsid w:val="00B25063"/>
    <w:rsid w:val="00B2521D"/>
    <w:rsid w:val="00B30939"/>
    <w:rsid w:val="00B323EA"/>
    <w:rsid w:val="00B33188"/>
    <w:rsid w:val="00B335E3"/>
    <w:rsid w:val="00B4286A"/>
    <w:rsid w:val="00B512EA"/>
    <w:rsid w:val="00B5771C"/>
    <w:rsid w:val="00B5783A"/>
    <w:rsid w:val="00B60CE2"/>
    <w:rsid w:val="00B61C0F"/>
    <w:rsid w:val="00B62C1D"/>
    <w:rsid w:val="00B651E3"/>
    <w:rsid w:val="00B65E3A"/>
    <w:rsid w:val="00B71B9C"/>
    <w:rsid w:val="00B72B8C"/>
    <w:rsid w:val="00B77740"/>
    <w:rsid w:val="00B8187C"/>
    <w:rsid w:val="00B91902"/>
    <w:rsid w:val="00B91A97"/>
    <w:rsid w:val="00B91DCC"/>
    <w:rsid w:val="00B93265"/>
    <w:rsid w:val="00B93686"/>
    <w:rsid w:val="00B942F6"/>
    <w:rsid w:val="00B953FD"/>
    <w:rsid w:val="00B96E05"/>
    <w:rsid w:val="00BA0609"/>
    <w:rsid w:val="00BB4C35"/>
    <w:rsid w:val="00BC1F0A"/>
    <w:rsid w:val="00BC2C24"/>
    <w:rsid w:val="00BC2F7F"/>
    <w:rsid w:val="00BD0954"/>
    <w:rsid w:val="00BD4080"/>
    <w:rsid w:val="00BD5713"/>
    <w:rsid w:val="00BE0E2C"/>
    <w:rsid w:val="00BF1CCF"/>
    <w:rsid w:val="00C004AA"/>
    <w:rsid w:val="00C10B27"/>
    <w:rsid w:val="00C125C8"/>
    <w:rsid w:val="00C1792E"/>
    <w:rsid w:val="00C273B0"/>
    <w:rsid w:val="00C3514C"/>
    <w:rsid w:val="00C430CE"/>
    <w:rsid w:val="00C452EB"/>
    <w:rsid w:val="00C50542"/>
    <w:rsid w:val="00C576D5"/>
    <w:rsid w:val="00C709D8"/>
    <w:rsid w:val="00C74353"/>
    <w:rsid w:val="00C917B7"/>
    <w:rsid w:val="00C954E3"/>
    <w:rsid w:val="00C97760"/>
    <w:rsid w:val="00CA7133"/>
    <w:rsid w:val="00CB2647"/>
    <w:rsid w:val="00CC020D"/>
    <w:rsid w:val="00CD5039"/>
    <w:rsid w:val="00CE23C0"/>
    <w:rsid w:val="00CE5622"/>
    <w:rsid w:val="00CF6117"/>
    <w:rsid w:val="00CF724E"/>
    <w:rsid w:val="00CF72A6"/>
    <w:rsid w:val="00CF7C43"/>
    <w:rsid w:val="00D12827"/>
    <w:rsid w:val="00D14F73"/>
    <w:rsid w:val="00D5493C"/>
    <w:rsid w:val="00D60263"/>
    <w:rsid w:val="00D65452"/>
    <w:rsid w:val="00D654F8"/>
    <w:rsid w:val="00D71857"/>
    <w:rsid w:val="00D71A8B"/>
    <w:rsid w:val="00D7512A"/>
    <w:rsid w:val="00D77AB4"/>
    <w:rsid w:val="00D83380"/>
    <w:rsid w:val="00D86286"/>
    <w:rsid w:val="00D86A14"/>
    <w:rsid w:val="00D90BBB"/>
    <w:rsid w:val="00D92084"/>
    <w:rsid w:val="00DA29FF"/>
    <w:rsid w:val="00DA7D57"/>
    <w:rsid w:val="00DB66C0"/>
    <w:rsid w:val="00DB7EC3"/>
    <w:rsid w:val="00DD3BE0"/>
    <w:rsid w:val="00DE1C6C"/>
    <w:rsid w:val="00DE2B02"/>
    <w:rsid w:val="00DF6297"/>
    <w:rsid w:val="00DF6A94"/>
    <w:rsid w:val="00E11523"/>
    <w:rsid w:val="00E14FD1"/>
    <w:rsid w:val="00E3491E"/>
    <w:rsid w:val="00E35D41"/>
    <w:rsid w:val="00E444E1"/>
    <w:rsid w:val="00E46324"/>
    <w:rsid w:val="00E52AF1"/>
    <w:rsid w:val="00E60C46"/>
    <w:rsid w:val="00E61592"/>
    <w:rsid w:val="00E66380"/>
    <w:rsid w:val="00E74A1E"/>
    <w:rsid w:val="00E80981"/>
    <w:rsid w:val="00E811EE"/>
    <w:rsid w:val="00EA4372"/>
    <w:rsid w:val="00EB0AE9"/>
    <w:rsid w:val="00EB6C62"/>
    <w:rsid w:val="00EC0B65"/>
    <w:rsid w:val="00EC3E0B"/>
    <w:rsid w:val="00EC4670"/>
    <w:rsid w:val="00ED2C72"/>
    <w:rsid w:val="00ED4A57"/>
    <w:rsid w:val="00EE365E"/>
    <w:rsid w:val="00EE4C6C"/>
    <w:rsid w:val="00EF2659"/>
    <w:rsid w:val="00F077A8"/>
    <w:rsid w:val="00F17B85"/>
    <w:rsid w:val="00F326F6"/>
    <w:rsid w:val="00F352E9"/>
    <w:rsid w:val="00F35C6B"/>
    <w:rsid w:val="00F503EF"/>
    <w:rsid w:val="00F60C8C"/>
    <w:rsid w:val="00F61D0B"/>
    <w:rsid w:val="00F6297D"/>
    <w:rsid w:val="00F64F0D"/>
    <w:rsid w:val="00F73D32"/>
    <w:rsid w:val="00F77B11"/>
    <w:rsid w:val="00F82A8B"/>
    <w:rsid w:val="00F82E0F"/>
    <w:rsid w:val="00F946A0"/>
    <w:rsid w:val="00F95F36"/>
    <w:rsid w:val="00FA1171"/>
    <w:rsid w:val="00FA2105"/>
    <w:rsid w:val="00FA5643"/>
    <w:rsid w:val="00FA6E83"/>
    <w:rsid w:val="00FB2B63"/>
    <w:rsid w:val="00FB38E1"/>
    <w:rsid w:val="00FB3C22"/>
    <w:rsid w:val="00FC61E7"/>
    <w:rsid w:val="00FC7818"/>
    <w:rsid w:val="00FD01E0"/>
    <w:rsid w:val="00FD34E0"/>
    <w:rsid w:val="00FD4536"/>
    <w:rsid w:val="00FD4950"/>
    <w:rsid w:val="00FD4BA3"/>
    <w:rsid w:val="00FE5C68"/>
    <w:rsid w:val="00FE5F08"/>
    <w:rsid w:val="00FF23E9"/>
    <w:rsid w:val="00FF2B3D"/>
    <w:rsid w:val="00FF2FD4"/>
    <w:rsid w:val="00FF362C"/>
    <w:rsid w:val="00FF58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A43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21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83"/>
  </w:style>
  <w:style w:type="paragraph" w:styleId="Footer">
    <w:name w:val="footer"/>
    <w:basedOn w:val="Normal"/>
    <w:link w:val="FooterChar"/>
    <w:unhideWhenUsed/>
    <w:rsid w:val="00021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1083"/>
  </w:style>
  <w:style w:type="paragraph" w:customStyle="1" w:styleId="naiskr">
    <w:name w:val="naiskr"/>
    <w:basedOn w:val="Normal"/>
    <w:rsid w:val="003C78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271A42"/>
    <w:pPr>
      <w:ind w:left="720"/>
      <w:contextualSpacing/>
    </w:pPr>
    <w:rPr>
      <w:rFonts w:ascii="Calibri" w:eastAsia="Times New Roman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E14FD1"/>
    <w:pPr>
      <w:spacing w:before="75" w:after="75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3">
    <w:name w:val="Body Text 3"/>
    <w:basedOn w:val="Normal"/>
    <w:link w:val="BodyText3Char"/>
    <w:rsid w:val="00F64F0D"/>
    <w:pPr>
      <w:spacing w:after="120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character" w:customStyle="1" w:styleId="BodyText3Char">
    <w:name w:val="Body Text 3 Char"/>
    <w:basedOn w:val="DefaultParagraphFont"/>
    <w:link w:val="BodyText3"/>
    <w:rsid w:val="00F64F0D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71B9C"/>
    <w:rPr>
      <w:color w:val="0000FF" w:themeColor="hyperlink"/>
      <w:u w:val="single"/>
    </w:rPr>
  </w:style>
  <w:style w:type="paragraph" w:customStyle="1" w:styleId="naisf">
    <w:name w:val="naisf"/>
    <w:basedOn w:val="Normal"/>
    <w:rsid w:val="00FE5C68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FE5C68"/>
    <w:pPr>
      <w:spacing w:before="150" w:after="150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F7C43"/>
  </w:style>
  <w:style w:type="table" w:styleId="TableGrid">
    <w:name w:val="Table Grid"/>
    <w:basedOn w:val="TableNormal"/>
    <w:uiPriority w:val="59"/>
    <w:rsid w:val="00FA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98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198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1198D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97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83955959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6971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04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90467950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9114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7A5A-E84C-4BDB-B532-F73EDC89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2011.gada 19.oktobra noteikumu Nr.803 grozījumu projekta anotācija</vt:lpstr>
    </vt:vector>
  </TitlesOfParts>
  <Company>Veselības ministrija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2011.gada 19.oktobra noteikumu Nr.803 grozījumu projekta anotācija</dc:title>
  <dc:subject>Anotācija</dc:subject>
  <dc:creator>Reinis Bērziņš</dc:creator>
  <cp:keywords/>
  <dc:description>Reinis Bērziņš
67013197
Reinis.Berzins@em.gov.lv</dc:description>
  <cp:lastModifiedBy>Reinis Bērziņš</cp:lastModifiedBy>
  <cp:revision>91</cp:revision>
  <cp:lastPrinted>2012-09-10T09:47:00Z</cp:lastPrinted>
  <dcterms:created xsi:type="dcterms:W3CDTF">2011-03-21T15:49:00Z</dcterms:created>
  <dcterms:modified xsi:type="dcterms:W3CDTF">2012-09-10T09:49:00Z</dcterms:modified>
</cp:coreProperties>
</file>