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C21" w:rsidRPr="00563ADF" w:rsidRDefault="00962C21" w:rsidP="00962C21">
      <w:pPr>
        <w:jc w:val="center"/>
        <w:rPr>
          <w:b/>
          <w:bCs/>
          <w:sz w:val="28"/>
          <w:szCs w:val="28"/>
          <w:lang w:val="lv-LV" w:eastAsia="lv-LV"/>
        </w:rPr>
      </w:pPr>
      <w:bookmarkStart w:id="0" w:name="OLE_LINK5"/>
      <w:bookmarkStart w:id="1" w:name="OLE_LINK6"/>
      <w:r w:rsidRPr="00563ADF">
        <w:rPr>
          <w:b/>
          <w:bCs/>
          <w:sz w:val="28"/>
          <w:szCs w:val="28"/>
          <w:lang w:val="lv-LV" w:eastAsia="lv-LV"/>
        </w:rPr>
        <w:t>Ministru kabineta noteikumu projekta</w:t>
      </w:r>
    </w:p>
    <w:p w:rsidR="00962C21" w:rsidRPr="00563ADF" w:rsidRDefault="00962C21" w:rsidP="00962C21">
      <w:pPr>
        <w:tabs>
          <w:tab w:val="center" w:pos="4153"/>
          <w:tab w:val="right" w:pos="8306"/>
          <w:tab w:val="right" w:pos="8460"/>
        </w:tabs>
        <w:ind w:right="-154"/>
        <w:jc w:val="center"/>
        <w:rPr>
          <w:b/>
          <w:bCs/>
          <w:sz w:val="28"/>
          <w:szCs w:val="28"/>
          <w:lang w:val="lv-LV"/>
        </w:rPr>
      </w:pPr>
      <w:r w:rsidRPr="00563ADF">
        <w:rPr>
          <w:b/>
          <w:bCs/>
          <w:sz w:val="28"/>
          <w:szCs w:val="28"/>
          <w:lang w:val="lv-LV"/>
        </w:rPr>
        <w:t>„</w:t>
      </w:r>
      <w:bookmarkStart w:id="2" w:name="OLE_LINK1"/>
      <w:bookmarkStart w:id="3" w:name="OLE_LINK2"/>
      <w:r w:rsidRPr="00563ADF">
        <w:rPr>
          <w:b/>
          <w:bCs/>
          <w:sz w:val="28"/>
          <w:szCs w:val="28"/>
          <w:lang w:val="lv-LV"/>
        </w:rPr>
        <w:t>Grozījumi Ministru kabineta 2008.gada 8.aprīļa noteikumos Nr.246 „Noteikumi par Tautību klasifikatoru”</w:t>
      </w:r>
      <w:r w:rsidRPr="00563ADF">
        <w:rPr>
          <w:b/>
          <w:sz w:val="28"/>
          <w:szCs w:val="28"/>
          <w:lang w:val="lv-LV"/>
        </w:rPr>
        <w:t>”</w:t>
      </w:r>
      <w:bookmarkEnd w:id="0"/>
      <w:bookmarkEnd w:id="1"/>
      <w:bookmarkEnd w:id="2"/>
      <w:bookmarkEnd w:id="3"/>
      <w:r w:rsidRPr="00563ADF">
        <w:rPr>
          <w:b/>
          <w:sz w:val="28"/>
          <w:szCs w:val="28"/>
          <w:lang w:val="lv-LV"/>
        </w:rPr>
        <w:t xml:space="preserve"> sākotnējās ietekmes novērtējuma ziņojums (</w:t>
      </w:r>
      <w:r w:rsidRPr="00563ADF">
        <w:rPr>
          <w:b/>
          <w:bCs/>
          <w:sz w:val="28"/>
          <w:szCs w:val="28"/>
          <w:lang w:val="lv-LV"/>
        </w:rPr>
        <w:t>anotācija)</w:t>
      </w:r>
    </w:p>
    <w:p w:rsidR="00962C21" w:rsidRPr="00306455" w:rsidRDefault="00962C21" w:rsidP="00962C21">
      <w:pPr>
        <w:tabs>
          <w:tab w:val="center" w:pos="4153"/>
          <w:tab w:val="right" w:pos="8306"/>
          <w:tab w:val="right" w:pos="8460"/>
        </w:tabs>
        <w:ind w:right="-154"/>
        <w:jc w:val="center"/>
        <w:rPr>
          <w:b/>
          <w:sz w:val="20"/>
          <w:szCs w:val="28"/>
          <w:lang w:val="lv-LV"/>
        </w:rPr>
      </w:pPr>
    </w:p>
    <w:tbl>
      <w:tblPr>
        <w:tblW w:w="9240" w:type="dxa"/>
        <w:tblCellSpacing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6"/>
        <w:gridCol w:w="2288"/>
        <w:gridCol w:w="6426"/>
      </w:tblGrid>
      <w:tr w:rsidR="00962C21" w:rsidRPr="00563ADF" w:rsidTr="00A5192A">
        <w:trPr>
          <w:tblCellSpacing w:w="0" w:type="dxa"/>
        </w:trPr>
        <w:tc>
          <w:tcPr>
            <w:tcW w:w="9240" w:type="dxa"/>
            <w:gridSpan w:val="3"/>
            <w:tcBorders>
              <w:top w:val="outset" w:sz="6" w:space="0" w:color="auto"/>
              <w:left w:val="outset" w:sz="6" w:space="0" w:color="auto"/>
              <w:bottom w:val="outset" w:sz="6" w:space="0" w:color="auto"/>
              <w:right w:val="outset" w:sz="6" w:space="0" w:color="auto"/>
            </w:tcBorders>
            <w:vAlign w:val="center"/>
          </w:tcPr>
          <w:p w:rsidR="00962C21" w:rsidRPr="00563ADF" w:rsidRDefault="00962C21" w:rsidP="00962C21">
            <w:pPr>
              <w:spacing w:before="75" w:after="75"/>
              <w:jc w:val="center"/>
              <w:rPr>
                <w:sz w:val="28"/>
                <w:szCs w:val="28"/>
                <w:lang w:val="lv-LV" w:eastAsia="lv-LV"/>
              </w:rPr>
            </w:pPr>
            <w:r w:rsidRPr="00563ADF">
              <w:rPr>
                <w:b/>
                <w:bCs/>
                <w:sz w:val="28"/>
                <w:szCs w:val="28"/>
                <w:lang w:val="lv-LV" w:eastAsia="lv-LV"/>
              </w:rPr>
              <w:t> I. Tiesību akta projekta izstrādes nepieciešamība</w:t>
            </w:r>
          </w:p>
        </w:tc>
      </w:tr>
      <w:tr w:rsidR="00962C21" w:rsidRPr="00563ADF" w:rsidTr="00EE3E93">
        <w:trPr>
          <w:trHeight w:val="978"/>
          <w:tblCellSpacing w:w="0" w:type="dxa"/>
        </w:trPr>
        <w:tc>
          <w:tcPr>
            <w:tcW w:w="526" w:type="dxa"/>
            <w:tcBorders>
              <w:top w:val="outset" w:sz="6" w:space="0" w:color="auto"/>
              <w:left w:val="outset" w:sz="6" w:space="0" w:color="auto"/>
              <w:bottom w:val="outset" w:sz="6" w:space="0" w:color="auto"/>
              <w:right w:val="outset" w:sz="6" w:space="0" w:color="auto"/>
            </w:tcBorders>
          </w:tcPr>
          <w:p w:rsidR="00962C21" w:rsidRPr="00563ADF" w:rsidRDefault="00962C21" w:rsidP="00962C21">
            <w:pPr>
              <w:spacing w:before="75" w:after="75"/>
              <w:rPr>
                <w:sz w:val="28"/>
                <w:szCs w:val="28"/>
                <w:lang w:val="lv-LV" w:eastAsia="lv-LV"/>
              </w:rPr>
            </w:pPr>
            <w:r w:rsidRPr="00563ADF">
              <w:rPr>
                <w:sz w:val="28"/>
                <w:szCs w:val="28"/>
                <w:lang w:val="lv-LV" w:eastAsia="lv-LV"/>
              </w:rPr>
              <w:t> 1.</w:t>
            </w:r>
          </w:p>
        </w:tc>
        <w:tc>
          <w:tcPr>
            <w:tcW w:w="2288" w:type="dxa"/>
            <w:tcBorders>
              <w:top w:val="outset" w:sz="6" w:space="0" w:color="auto"/>
              <w:left w:val="outset" w:sz="6" w:space="0" w:color="auto"/>
              <w:bottom w:val="outset" w:sz="6" w:space="0" w:color="auto"/>
              <w:right w:val="outset" w:sz="6" w:space="0" w:color="auto"/>
            </w:tcBorders>
          </w:tcPr>
          <w:p w:rsidR="00962C21" w:rsidRPr="00563ADF" w:rsidRDefault="00962C21" w:rsidP="00962C21">
            <w:pPr>
              <w:spacing w:before="75" w:after="75"/>
              <w:rPr>
                <w:rFonts w:ascii="Verdana" w:hAnsi="Verdana"/>
                <w:color w:val="000000"/>
                <w:sz w:val="28"/>
                <w:szCs w:val="28"/>
                <w:lang w:val="lv-LV" w:eastAsia="lv-LV"/>
              </w:rPr>
            </w:pPr>
            <w:r w:rsidRPr="00563ADF">
              <w:rPr>
                <w:sz w:val="28"/>
                <w:szCs w:val="28"/>
                <w:lang w:val="lv-LV" w:eastAsia="lv-LV"/>
              </w:rPr>
              <w:t> Pamatojums</w:t>
            </w:r>
          </w:p>
          <w:p w:rsidR="00962C21" w:rsidRPr="00563ADF" w:rsidRDefault="00962C21" w:rsidP="00962C21">
            <w:pPr>
              <w:spacing w:before="75" w:after="75"/>
              <w:rPr>
                <w:sz w:val="28"/>
                <w:szCs w:val="28"/>
                <w:lang w:val="lv-LV" w:eastAsia="lv-LV"/>
              </w:rPr>
            </w:pPr>
          </w:p>
        </w:tc>
        <w:tc>
          <w:tcPr>
            <w:tcW w:w="6426" w:type="dxa"/>
            <w:tcBorders>
              <w:top w:val="outset" w:sz="6" w:space="0" w:color="auto"/>
              <w:left w:val="outset" w:sz="6" w:space="0" w:color="auto"/>
              <w:bottom w:val="outset" w:sz="6" w:space="0" w:color="auto"/>
              <w:right w:val="outset" w:sz="6" w:space="0" w:color="auto"/>
            </w:tcBorders>
          </w:tcPr>
          <w:p w:rsidR="00962C21" w:rsidRPr="00563ADF" w:rsidRDefault="00962C21" w:rsidP="00962C21">
            <w:pPr>
              <w:jc w:val="both"/>
              <w:rPr>
                <w:sz w:val="28"/>
                <w:szCs w:val="28"/>
                <w:lang w:val="lv-LV" w:eastAsia="lv-LV"/>
              </w:rPr>
            </w:pPr>
            <w:r w:rsidRPr="00563ADF">
              <w:rPr>
                <w:sz w:val="28"/>
                <w:szCs w:val="28"/>
                <w:lang w:val="lv-LV" w:eastAsia="lv-LV"/>
              </w:rPr>
              <w:t>Ministru kabineta noteikumu projekts “Grozījumi Ministru kabineta 2008.gada 8.aprīļa noteikumos Nr.246 „Noteikumi par Tautību klasifikatoru”” (turpmāk – noteikumu projekts) ir sagatavots, izpildot Valsts statistikas likuma 7.</w:t>
            </w:r>
            <w:r w:rsidRPr="00563ADF">
              <w:rPr>
                <w:sz w:val="28"/>
                <w:szCs w:val="28"/>
                <w:vertAlign w:val="superscript"/>
                <w:lang w:val="lv-LV" w:eastAsia="lv-LV"/>
              </w:rPr>
              <w:t>1</w:t>
            </w:r>
            <w:r w:rsidRPr="00563ADF">
              <w:rPr>
                <w:color w:val="FF0000"/>
                <w:sz w:val="28"/>
                <w:szCs w:val="28"/>
                <w:lang w:val="lv-LV" w:eastAsia="lv-LV"/>
              </w:rPr>
              <w:t xml:space="preserve"> </w:t>
            </w:r>
            <w:r w:rsidRPr="00563ADF">
              <w:rPr>
                <w:sz w:val="28"/>
                <w:szCs w:val="28"/>
                <w:lang w:val="lv-LV" w:eastAsia="lv-LV"/>
              </w:rPr>
              <w:t>panta prasības, ar mērķi nodrošināt vienotu iedzīvotāju tautības kodēšanu Latvijas Republikā.</w:t>
            </w:r>
          </w:p>
        </w:tc>
      </w:tr>
      <w:tr w:rsidR="004164B2" w:rsidRPr="00563ADF" w:rsidTr="00EE3E93">
        <w:trPr>
          <w:trHeight w:val="472"/>
          <w:tblCellSpacing w:w="0" w:type="dxa"/>
        </w:trPr>
        <w:tc>
          <w:tcPr>
            <w:tcW w:w="526" w:type="dxa"/>
            <w:tcBorders>
              <w:top w:val="outset" w:sz="6" w:space="0" w:color="auto"/>
              <w:left w:val="outset" w:sz="6" w:space="0" w:color="auto"/>
              <w:bottom w:val="outset" w:sz="6" w:space="0" w:color="auto"/>
              <w:right w:val="outset" w:sz="6" w:space="0" w:color="auto"/>
            </w:tcBorders>
          </w:tcPr>
          <w:p w:rsidR="00962C21" w:rsidRPr="00563ADF" w:rsidRDefault="00962C21" w:rsidP="00962C21">
            <w:pPr>
              <w:spacing w:before="75" w:after="75"/>
              <w:rPr>
                <w:sz w:val="28"/>
                <w:szCs w:val="28"/>
                <w:lang w:val="lv-LV" w:eastAsia="lv-LV"/>
              </w:rPr>
            </w:pPr>
            <w:r w:rsidRPr="00563ADF">
              <w:rPr>
                <w:sz w:val="28"/>
                <w:szCs w:val="28"/>
                <w:lang w:val="lv-LV" w:eastAsia="lv-LV"/>
              </w:rPr>
              <w:t> 2.</w:t>
            </w:r>
          </w:p>
        </w:tc>
        <w:tc>
          <w:tcPr>
            <w:tcW w:w="2288" w:type="dxa"/>
            <w:tcBorders>
              <w:top w:val="outset" w:sz="6" w:space="0" w:color="auto"/>
              <w:left w:val="outset" w:sz="6" w:space="0" w:color="auto"/>
              <w:bottom w:val="outset" w:sz="6" w:space="0" w:color="auto"/>
              <w:right w:val="outset" w:sz="6" w:space="0" w:color="auto"/>
            </w:tcBorders>
          </w:tcPr>
          <w:p w:rsidR="00962C21" w:rsidRPr="00563ADF" w:rsidRDefault="00962C21" w:rsidP="00962C21">
            <w:pPr>
              <w:spacing w:before="75" w:after="75"/>
              <w:rPr>
                <w:sz w:val="28"/>
                <w:szCs w:val="28"/>
                <w:lang w:val="lv-LV" w:eastAsia="lv-LV"/>
              </w:rPr>
            </w:pPr>
            <w:r w:rsidRPr="00563ADF">
              <w:rPr>
                <w:sz w:val="28"/>
                <w:szCs w:val="28"/>
                <w:lang w:val="lv-LV" w:eastAsia="lv-LV"/>
              </w:rPr>
              <w:t> Pašreizējā situācija un problēmas</w:t>
            </w:r>
          </w:p>
          <w:p w:rsidR="00962C21" w:rsidRPr="00563ADF" w:rsidRDefault="00962C21" w:rsidP="00962C21">
            <w:pPr>
              <w:spacing w:before="75" w:after="75"/>
              <w:rPr>
                <w:sz w:val="28"/>
                <w:szCs w:val="28"/>
                <w:lang w:val="lv-LV" w:eastAsia="lv-LV"/>
              </w:rPr>
            </w:pPr>
          </w:p>
        </w:tc>
        <w:tc>
          <w:tcPr>
            <w:tcW w:w="6426" w:type="dxa"/>
            <w:tcBorders>
              <w:top w:val="outset" w:sz="6" w:space="0" w:color="auto"/>
              <w:left w:val="outset" w:sz="6" w:space="0" w:color="auto"/>
              <w:bottom w:val="outset" w:sz="6" w:space="0" w:color="auto"/>
              <w:right w:val="outset" w:sz="6" w:space="0" w:color="auto"/>
            </w:tcBorders>
          </w:tcPr>
          <w:p w:rsidR="00962C21" w:rsidRPr="00563ADF" w:rsidRDefault="00962C21" w:rsidP="00962C21">
            <w:pPr>
              <w:tabs>
                <w:tab w:val="center" w:pos="0"/>
                <w:tab w:val="right" w:pos="142"/>
              </w:tabs>
              <w:ind w:right="34"/>
              <w:jc w:val="both"/>
              <w:rPr>
                <w:sz w:val="28"/>
                <w:szCs w:val="28"/>
                <w:lang w:val="lv-LV"/>
              </w:rPr>
            </w:pPr>
            <w:r w:rsidRPr="00563ADF">
              <w:rPr>
                <w:sz w:val="28"/>
                <w:szCs w:val="28"/>
                <w:lang w:val="lv-LV"/>
              </w:rPr>
              <w:t>Tautību klasifikatorā ir iekļautas visas tautības, kas tā veidošanas laikā bija reģistrētas Pilsonības un migrācijas lietu pārvaldes Iedzīvotāju reģistrā. Migrācijas ietekmē valstī tiek reģistrēti dažādu valstu iedzīvotāji, kuru tautība līdz šim nebija iekļauta klasifikatorā. Ir saņemti vairāki iesniegumi par jaunas tautības iekļaušanu klasifikatorā (marokānis, nepālietis). Bez tam, no Eiropas Savienības dalībvalstīm tikai Maltas pamattautība – maltieši – nav iekļauti klasifikatorā.</w:t>
            </w:r>
          </w:p>
          <w:p w:rsidR="00962C21" w:rsidRPr="00563ADF" w:rsidRDefault="00962C21" w:rsidP="00962C21">
            <w:pPr>
              <w:tabs>
                <w:tab w:val="center" w:pos="0"/>
                <w:tab w:val="right" w:pos="142"/>
              </w:tabs>
              <w:ind w:right="34"/>
              <w:jc w:val="both"/>
              <w:rPr>
                <w:sz w:val="28"/>
                <w:szCs w:val="28"/>
                <w:lang w:val="lv-LV"/>
              </w:rPr>
            </w:pPr>
            <w:r w:rsidRPr="00563ADF">
              <w:rPr>
                <w:sz w:val="28"/>
                <w:szCs w:val="28"/>
                <w:lang w:val="lv-LV"/>
              </w:rPr>
              <w:t>Ir saņemts iesniegums arī par tautības „latgalis” iekļaušanu klasifikatorā.</w:t>
            </w:r>
          </w:p>
          <w:p w:rsidR="0070689D" w:rsidRPr="00563ADF" w:rsidRDefault="00E43A65" w:rsidP="00306455">
            <w:pPr>
              <w:tabs>
                <w:tab w:val="center" w:pos="0"/>
                <w:tab w:val="right" w:pos="142"/>
              </w:tabs>
              <w:ind w:right="34"/>
              <w:jc w:val="both"/>
              <w:rPr>
                <w:sz w:val="28"/>
                <w:szCs w:val="28"/>
                <w:lang w:val="lv-LV"/>
              </w:rPr>
            </w:pPr>
            <w:r w:rsidRPr="00563ADF">
              <w:rPr>
                <w:sz w:val="28"/>
                <w:szCs w:val="28"/>
                <w:lang w:val="lv-LV"/>
              </w:rPr>
              <w:t>Pilsonības un migrācijas lietu pārvaldē ir reģistrētas arī 5 personas ar tautības nosaukumu „jezīds”.  Atbilstoši Valsts valodas centra norādījumam  291.kods ar tautības nosaukumu „jezīds/jezīdiete” nav tautības nosaukums, bet gan ticības apzīmējums.</w:t>
            </w:r>
          </w:p>
        </w:tc>
      </w:tr>
      <w:tr w:rsidR="00962C21" w:rsidRPr="00563ADF" w:rsidTr="00EE3E93">
        <w:trPr>
          <w:trHeight w:val="833"/>
          <w:tblCellSpacing w:w="0" w:type="dxa"/>
        </w:trPr>
        <w:tc>
          <w:tcPr>
            <w:tcW w:w="526" w:type="dxa"/>
            <w:tcBorders>
              <w:top w:val="outset" w:sz="6" w:space="0" w:color="auto"/>
              <w:left w:val="outset" w:sz="6" w:space="0" w:color="auto"/>
              <w:bottom w:val="outset" w:sz="6" w:space="0" w:color="auto"/>
              <w:right w:val="outset" w:sz="6" w:space="0" w:color="auto"/>
            </w:tcBorders>
          </w:tcPr>
          <w:p w:rsidR="00962C21" w:rsidRPr="00563ADF" w:rsidRDefault="00962C21" w:rsidP="00962C21">
            <w:pPr>
              <w:spacing w:before="75" w:after="75"/>
              <w:rPr>
                <w:sz w:val="28"/>
                <w:szCs w:val="28"/>
                <w:lang w:val="lv-LV" w:eastAsia="lv-LV"/>
              </w:rPr>
            </w:pPr>
            <w:r w:rsidRPr="00563ADF">
              <w:rPr>
                <w:sz w:val="28"/>
                <w:szCs w:val="28"/>
                <w:lang w:val="lv-LV" w:eastAsia="lv-LV"/>
              </w:rPr>
              <w:t> 3.</w:t>
            </w:r>
          </w:p>
        </w:tc>
        <w:tc>
          <w:tcPr>
            <w:tcW w:w="2288" w:type="dxa"/>
            <w:tcBorders>
              <w:top w:val="outset" w:sz="6" w:space="0" w:color="auto"/>
              <w:left w:val="outset" w:sz="6" w:space="0" w:color="auto"/>
              <w:bottom w:val="outset" w:sz="6" w:space="0" w:color="auto"/>
              <w:right w:val="outset" w:sz="6" w:space="0" w:color="auto"/>
            </w:tcBorders>
          </w:tcPr>
          <w:p w:rsidR="00962C21" w:rsidRPr="00563ADF" w:rsidRDefault="00962C21" w:rsidP="00962C21">
            <w:pPr>
              <w:spacing w:before="75" w:after="75"/>
              <w:rPr>
                <w:sz w:val="28"/>
                <w:szCs w:val="28"/>
                <w:lang w:val="lv-LV" w:eastAsia="lv-LV"/>
              </w:rPr>
            </w:pPr>
            <w:r w:rsidRPr="00563ADF">
              <w:rPr>
                <w:sz w:val="28"/>
                <w:szCs w:val="28"/>
                <w:lang w:val="lv-LV" w:eastAsia="lv-LV"/>
              </w:rPr>
              <w:t> Saistītie politikas ietekmes novērtējumi un pētījumi</w:t>
            </w:r>
          </w:p>
        </w:tc>
        <w:tc>
          <w:tcPr>
            <w:tcW w:w="6426" w:type="dxa"/>
            <w:tcBorders>
              <w:top w:val="outset" w:sz="6" w:space="0" w:color="auto"/>
              <w:left w:val="outset" w:sz="6" w:space="0" w:color="auto"/>
              <w:bottom w:val="outset" w:sz="6" w:space="0" w:color="auto"/>
              <w:right w:val="outset" w:sz="6" w:space="0" w:color="auto"/>
            </w:tcBorders>
          </w:tcPr>
          <w:p w:rsidR="00962C21" w:rsidRPr="00563ADF" w:rsidRDefault="00962C21" w:rsidP="00962C21">
            <w:pPr>
              <w:spacing w:before="75" w:after="75"/>
              <w:rPr>
                <w:sz w:val="28"/>
                <w:szCs w:val="28"/>
                <w:lang w:val="lv-LV" w:eastAsia="lv-LV"/>
              </w:rPr>
            </w:pPr>
            <w:r w:rsidRPr="00563ADF">
              <w:rPr>
                <w:sz w:val="28"/>
                <w:szCs w:val="28"/>
                <w:lang w:val="lv-LV" w:eastAsia="lv-LV"/>
              </w:rPr>
              <w:t>Projekts šo jomu neskar.</w:t>
            </w:r>
          </w:p>
        </w:tc>
      </w:tr>
      <w:tr w:rsidR="00962C21" w:rsidRPr="00563ADF" w:rsidTr="00EE3E93">
        <w:trPr>
          <w:trHeight w:val="384"/>
          <w:tblCellSpacing w:w="0" w:type="dxa"/>
        </w:trPr>
        <w:tc>
          <w:tcPr>
            <w:tcW w:w="526" w:type="dxa"/>
            <w:tcBorders>
              <w:top w:val="outset" w:sz="6" w:space="0" w:color="auto"/>
              <w:left w:val="outset" w:sz="6" w:space="0" w:color="auto"/>
              <w:bottom w:val="outset" w:sz="6" w:space="0" w:color="auto"/>
              <w:right w:val="outset" w:sz="6" w:space="0" w:color="auto"/>
            </w:tcBorders>
          </w:tcPr>
          <w:p w:rsidR="00962C21" w:rsidRPr="00563ADF" w:rsidRDefault="00962C21" w:rsidP="00962C21">
            <w:pPr>
              <w:spacing w:before="75" w:after="75"/>
              <w:rPr>
                <w:sz w:val="28"/>
                <w:szCs w:val="28"/>
                <w:lang w:val="lv-LV" w:eastAsia="lv-LV"/>
              </w:rPr>
            </w:pPr>
            <w:r w:rsidRPr="00563ADF">
              <w:rPr>
                <w:sz w:val="28"/>
                <w:szCs w:val="28"/>
                <w:lang w:val="lv-LV" w:eastAsia="lv-LV"/>
              </w:rPr>
              <w:t> 4.</w:t>
            </w:r>
          </w:p>
        </w:tc>
        <w:tc>
          <w:tcPr>
            <w:tcW w:w="2288" w:type="dxa"/>
            <w:tcBorders>
              <w:top w:val="outset" w:sz="6" w:space="0" w:color="auto"/>
              <w:left w:val="outset" w:sz="6" w:space="0" w:color="auto"/>
              <w:bottom w:val="outset" w:sz="6" w:space="0" w:color="auto"/>
              <w:right w:val="outset" w:sz="6" w:space="0" w:color="auto"/>
            </w:tcBorders>
          </w:tcPr>
          <w:p w:rsidR="00962C21" w:rsidRPr="00563ADF" w:rsidRDefault="00962C21" w:rsidP="00962C21">
            <w:pPr>
              <w:spacing w:before="75" w:after="75"/>
              <w:rPr>
                <w:sz w:val="28"/>
                <w:szCs w:val="28"/>
                <w:lang w:val="lv-LV" w:eastAsia="lv-LV"/>
              </w:rPr>
            </w:pPr>
            <w:r w:rsidRPr="00563ADF">
              <w:rPr>
                <w:sz w:val="28"/>
                <w:szCs w:val="28"/>
                <w:lang w:val="lv-LV" w:eastAsia="lv-LV"/>
              </w:rPr>
              <w:t> Tiesiskā regulējuma mērķis un būtība</w:t>
            </w:r>
          </w:p>
        </w:tc>
        <w:tc>
          <w:tcPr>
            <w:tcW w:w="6426" w:type="dxa"/>
            <w:tcBorders>
              <w:top w:val="outset" w:sz="6" w:space="0" w:color="auto"/>
              <w:left w:val="outset" w:sz="6" w:space="0" w:color="auto"/>
              <w:bottom w:val="outset" w:sz="6" w:space="0" w:color="auto"/>
              <w:right w:val="outset" w:sz="6" w:space="0" w:color="auto"/>
            </w:tcBorders>
          </w:tcPr>
          <w:p w:rsidR="00962C21" w:rsidRPr="00563ADF" w:rsidRDefault="00962C21" w:rsidP="00962C21">
            <w:pPr>
              <w:jc w:val="both"/>
              <w:rPr>
                <w:sz w:val="28"/>
                <w:szCs w:val="28"/>
                <w:lang w:val="lv-LV" w:eastAsia="lv-LV"/>
              </w:rPr>
            </w:pPr>
            <w:r w:rsidRPr="00563ADF">
              <w:rPr>
                <w:bCs/>
                <w:sz w:val="28"/>
                <w:szCs w:val="28"/>
                <w:lang w:val="lv-LV" w:eastAsia="lv-LV"/>
              </w:rPr>
              <w:t xml:space="preserve">Noteikumu projekts ir izstrādāts, lai nodrošinātu klasifikatora atbilstību visu Latvijā reģistrēto iedzīvotāju tautību nosaukumiem. Projektā paredzēta  regulāra klasifikatora aktualizēšana, ja ir saņemti jauni priekšlikumi, un to saturs pēc izvērtēšanas atbilst klasifikatora mērķim. </w:t>
            </w:r>
          </w:p>
        </w:tc>
      </w:tr>
      <w:tr w:rsidR="00962C21" w:rsidRPr="00563ADF" w:rsidTr="00EE3E93">
        <w:trPr>
          <w:trHeight w:val="476"/>
          <w:tblCellSpacing w:w="0" w:type="dxa"/>
        </w:trPr>
        <w:tc>
          <w:tcPr>
            <w:tcW w:w="526" w:type="dxa"/>
            <w:tcBorders>
              <w:top w:val="outset" w:sz="6" w:space="0" w:color="auto"/>
              <w:left w:val="outset" w:sz="6" w:space="0" w:color="auto"/>
              <w:bottom w:val="outset" w:sz="6" w:space="0" w:color="auto"/>
              <w:right w:val="outset" w:sz="6" w:space="0" w:color="auto"/>
            </w:tcBorders>
          </w:tcPr>
          <w:p w:rsidR="00962C21" w:rsidRPr="00563ADF" w:rsidRDefault="00962C21" w:rsidP="00962C21">
            <w:pPr>
              <w:spacing w:before="75" w:after="75"/>
              <w:rPr>
                <w:sz w:val="28"/>
                <w:szCs w:val="28"/>
                <w:lang w:val="lv-LV" w:eastAsia="lv-LV"/>
              </w:rPr>
            </w:pPr>
            <w:r w:rsidRPr="00563ADF">
              <w:rPr>
                <w:sz w:val="28"/>
                <w:szCs w:val="28"/>
                <w:lang w:val="lv-LV" w:eastAsia="lv-LV"/>
              </w:rPr>
              <w:t> 5.</w:t>
            </w:r>
          </w:p>
        </w:tc>
        <w:tc>
          <w:tcPr>
            <w:tcW w:w="2288" w:type="dxa"/>
            <w:tcBorders>
              <w:top w:val="outset" w:sz="6" w:space="0" w:color="auto"/>
              <w:left w:val="outset" w:sz="6" w:space="0" w:color="auto"/>
              <w:bottom w:val="outset" w:sz="6" w:space="0" w:color="auto"/>
              <w:right w:val="outset" w:sz="6" w:space="0" w:color="auto"/>
            </w:tcBorders>
          </w:tcPr>
          <w:p w:rsidR="00962C21" w:rsidRPr="00563ADF" w:rsidRDefault="00962C21" w:rsidP="00962C21">
            <w:pPr>
              <w:spacing w:before="75" w:after="75"/>
              <w:rPr>
                <w:sz w:val="28"/>
                <w:szCs w:val="28"/>
                <w:lang w:val="lv-LV" w:eastAsia="lv-LV"/>
              </w:rPr>
            </w:pPr>
            <w:r w:rsidRPr="00563ADF">
              <w:rPr>
                <w:sz w:val="28"/>
                <w:szCs w:val="28"/>
                <w:lang w:val="lv-LV" w:eastAsia="lv-LV"/>
              </w:rPr>
              <w:t xml:space="preserve"> Projekta izstrādē iesaistītās </w:t>
            </w:r>
            <w:r w:rsidRPr="00563ADF">
              <w:rPr>
                <w:sz w:val="28"/>
                <w:szCs w:val="28"/>
                <w:lang w:val="lv-LV" w:eastAsia="lv-LV"/>
              </w:rPr>
              <w:lastRenderedPageBreak/>
              <w:t>institūcijas</w:t>
            </w:r>
          </w:p>
        </w:tc>
        <w:tc>
          <w:tcPr>
            <w:tcW w:w="6426" w:type="dxa"/>
            <w:tcBorders>
              <w:top w:val="outset" w:sz="6" w:space="0" w:color="auto"/>
              <w:left w:val="outset" w:sz="6" w:space="0" w:color="auto"/>
              <w:bottom w:val="outset" w:sz="6" w:space="0" w:color="auto"/>
              <w:right w:val="outset" w:sz="6" w:space="0" w:color="auto"/>
            </w:tcBorders>
          </w:tcPr>
          <w:p w:rsidR="0017568B" w:rsidRPr="00563ADF" w:rsidRDefault="00962C21" w:rsidP="0017568B">
            <w:pPr>
              <w:spacing w:before="75" w:after="75"/>
              <w:jc w:val="both"/>
              <w:rPr>
                <w:sz w:val="28"/>
                <w:szCs w:val="28"/>
                <w:lang w:val="lv-LV" w:eastAsia="lv-LV"/>
              </w:rPr>
            </w:pPr>
            <w:r w:rsidRPr="00563ADF">
              <w:rPr>
                <w:sz w:val="28"/>
                <w:szCs w:val="28"/>
                <w:lang w:val="lv-LV" w:eastAsia="lv-LV"/>
              </w:rPr>
              <w:lastRenderedPageBreak/>
              <w:t xml:space="preserve">Tika izveidota darba grupa un organizēta viena darba grupas sanāksme par Tautību klasifikatora pārskatīšanu. </w:t>
            </w:r>
            <w:r w:rsidRPr="00563ADF">
              <w:rPr>
                <w:sz w:val="28"/>
                <w:szCs w:val="28"/>
                <w:lang w:val="lv-LV" w:eastAsia="lv-LV"/>
              </w:rPr>
              <w:lastRenderedPageBreak/>
              <w:t xml:space="preserve">Tika iesaistītas sekojošas institūcijas: Ekonomikas ministrija, Pilsonības un migrācijas lietu pārvalde, Izglītības un zinātnes ministrija, Valsts valodas centrs, Centrālā statistikas pārvalde. </w:t>
            </w:r>
          </w:p>
          <w:p w:rsidR="0017568B" w:rsidRPr="00563ADF" w:rsidRDefault="006C141A" w:rsidP="0017568B">
            <w:pPr>
              <w:spacing w:before="75" w:after="75"/>
              <w:jc w:val="both"/>
              <w:rPr>
                <w:sz w:val="28"/>
                <w:szCs w:val="28"/>
                <w:lang w:val="lv-LV" w:eastAsia="lv-LV"/>
              </w:rPr>
            </w:pPr>
            <w:r w:rsidRPr="00563ADF">
              <w:rPr>
                <w:sz w:val="28"/>
                <w:szCs w:val="28"/>
                <w:lang w:val="lv-LV" w:eastAsia="lv-LV"/>
              </w:rPr>
              <w:t>Darba grupa</w:t>
            </w:r>
            <w:r w:rsidR="0017568B" w:rsidRPr="00563ADF">
              <w:rPr>
                <w:sz w:val="28"/>
                <w:szCs w:val="28"/>
                <w:lang w:val="lv-LV" w:eastAsia="lv-LV"/>
              </w:rPr>
              <w:t xml:space="preserve"> sanāksmē vienojās par trīs jaunu tautību iekļaušanu klasifikatorā (marokānis/marokāniete, nepālietis/nepāliete, maltietis/maltiete). Tika arī precizēta dažu tautību nosaukumu pareizrakstība esošajā klasifikatora redakcijā. </w:t>
            </w:r>
          </w:p>
          <w:p w:rsidR="0017568B" w:rsidRPr="00563ADF" w:rsidRDefault="0017568B" w:rsidP="0017568B">
            <w:pPr>
              <w:spacing w:before="75" w:after="75"/>
              <w:jc w:val="both"/>
              <w:rPr>
                <w:sz w:val="28"/>
                <w:szCs w:val="28"/>
                <w:lang w:val="lv-LV" w:eastAsia="lv-LV"/>
              </w:rPr>
            </w:pPr>
            <w:r w:rsidRPr="00563ADF">
              <w:rPr>
                <w:sz w:val="28"/>
                <w:szCs w:val="28"/>
                <w:lang w:val="lv-LV" w:eastAsia="lv-LV"/>
              </w:rPr>
              <w:t>Darba grupa izskatīja viedokļus un vienojās, ka „latgalis” neatbilst Tautību klasifikatora prasībām (2008.gada 8.aprīļa M</w:t>
            </w:r>
            <w:r w:rsidR="00006FA0">
              <w:rPr>
                <w:sz w:val="28"/>
                <w:szCs w:val="28"/>
                <w:lang w:val="lv-LV" w:eastAsia="lv-LV"/>
              </w:rPr>
              <w:t>inistru kabineta</w:t>
            </w:r>
            <w:r w:rsidRPr="00563ADF">
              <w:rPr>
                <w:sz w:val="28"/>
                <w:szCs w:val="28"/>
                <w:lang w:val="lv-LV" w:eastAsia="lv-LV"/>
              </w:rPr>
              <w:t xml:space="preserve"> noteikumu Nr.246 „Noteikumi par Tautību klasifikatoru” 4.punkts) un nav iekļaujams klasifikatorā. </w:t>
            </w:r>
          </w:p>
          <w:p w:rsidR="003D03C0" w:rsidRPr="00563ADF" w:rsidRDefault="00AA5E02" w:rsidP="00563ADF">
            <w:pPr>
              <w:spacing w:before="75" w:after="75"/>
              <w:jc w:val="both"/>
              <w:rPr>
                <w:sz w:val="28"/>
                <w:szCs w:val="28"/>
                <w:lang w:val="lv-LV" w:eastAsia="lv-LV"/>
              </w:rPr>
            </w:pPr>
            <w:r w:rsidRPr="00563ADF">
              <w:rPr>
                <w:sz w:val="28"/>
                <w:szCs w:val="28"/>
                <w:lang w:val="lv-LV" w:eastAsia="lv-LV"/>
              </w:rPr>
              <w:t xml:space="preserve">Latvijā </w:t>
            </w:r>
            <w:r w:rsidR="0017568B" w:rsidRPr="00563ADF">
              <w:rPr>
                <w:sz w:val="28"/>
                <w:szCs w:val="28"/>
                <w:lang w:val="lv-LV" w:eastAsia="lv-LV"/>
              </w:rPr>
              <w:t>ir 5 personas, kuru tautības nosaukums jezīds/jezīdiete uzrādīts Iedzīvotāju reģistrā, tai skaitā arī pamatojoties uz šīm personām iepriekš izsniegtiem dokumentiem</w:t>
            </w:r>
            <w:r w:rsidR="00563ADF" w:rsidRPr="00563ADF">
              <w:rPr>
                <w:sz w:val="28"/>
                <w:szCs w:val="28"/>
                <w:lang w:val="lv-LV" w:eastAsia="lv-LV"/>
              </w:rPr>
              <w:t>, tāpēc tautības kods nav svītrojams no Tautību klasifikatora.</w:t>
            </w:r>
            <w:r w:rsidR="0017568B" w:rsidRPr="00563ADF">
              <w:rPr>
                <w:sz w:val="28"/>
                <w:szCs w:val="28"/>
                <w:lang w:val="lv-LV" w:eastAsia="lv-LV"/>
              </w:rPr>
              <w:t xml:space="preserve"> </w:t>
            </w:r>
          </w:p>
        </w:tc>
      </w:tr>
      <w:tr w:rsidR="00962C21" w:rsidRPr="00563ADF" w:rsidTr="00EE3E93">
        <w:trPr>
          <w:trHeight w:val="773"/>
          <w:tblCellSpacing w:w="0" w:type="dxa"/>
        </w:trPr>
        <w:tc>
          <w:tcPr>
            <w:tcW w:w="526" w:type="dxa"/>
            <w:tcBorders>
              <w:top w:val="outset" w:sz="6" w:space="0" w:color="auto"/>
              <w:left w:val="outset" w:sz="6" w:space="0" w:color="auto"/>
              <w:bottom w:val="outset" w:sz="6" w:space="0" w:color="auto"/>
              <w:right w:val="outset" w:sz="6" w:space="0" w:color="auto"/>
            </w:tcBorders>
          </w:tcPr>
          <w:p w:rsidR="00962C21" w:rsidRPr="00563ADF" w:rsidRDefault="00962C21" w:rsidP="00962C21">
            <w:pPr>
              <w:spacing w:before="75" w:after="75"/>
              <w:rPr>
                <w:sz w:val="28"/>
                <w:szCs w:val="28"/>
                <w:lang w:val="lv-LV" w:eastAsia="lv-LV"/>
              </w:rPr>
            </w:pPr>
            <w:r w:rsidRPr="00563ADF">
              <w:rPr>
                <w:sz w:val="28"/>
                <w:szCs w:val="28"/>
                <w:lang w:val="lv-LV" w:eastAsia="lv-LV"/>
              </w:rPr>
              <w:lastRenderedPageBreak/>
              <w:t> 6.</w:t>
            </w:r>
          </w:p>
        </w:tc>
        <w:tc>
          <w:tcPr>
            <w:tcW w:w="2288" w:type="dxa"/>
            <w:tcBorders>
              <w:top w:val="outset" w:sz="6" w:space="0" w:color="auto"/>
              <w:left w:val="outset" w:sz="6" w:space="0" w:color="auto"/>
              <w:bottom w:val="outset" w:sz="6" w:space="0" w:color="auto"/>
              <w:right w:val="outset" w:sz="6" w:space="0" w:color="auto"/>
            </w:tcBorders>
          </w:tcPr>
          <w:p w:rsidR="00962C21" w:rsidRPr="00563ADF" w:rsidRDefault="00962C21" w:rsidP="00962C21">
            <w:pPr>
              <w:spacing w:before="75" w:after="75"/>
              <w:rPr>
                <w:color w:val="000000" w:themeColor="text1"/>
                <w:sz w:val="28"/>
                <w:szCs w:val="28"/>
                <w:lang w:val="lv-LV" w:eastAsia="lv-LV"/>
              </w:rPr>
            </w:pPr>
            <w:r w:rsidRPr="00563ADF">
              <w:rPr>
                <w:color w:val="000000" w:themeColor="text1"/>
                <w:sz w:val="28"/>
                <w:szCs w:val="28"/>
                <w:lang w:val="lv-LV" w:eastAsia="lv-LV"/>
              </w:rPr>
              <w:t> Iemesli, kādēļ netika nodrošināta sabiedrības līdzdalība</w:t>
            </w:r>
          </w:p>
        </w:tc>
        <w:tc>
          <w:tcPr>
            <w:tcW w:w="6426" w:type="dxa"/>
            <w:tcBorders>
              <w:top w:val="outset" w:sz="6" w:space="0" w:color="auto"/>
              <w:left w:val="outset" w:sz="6" w:space="0" w:color="auto"/>
              <w:bottom w:val="outset" w:sz="6" w:space="0" w:color="auto"/>
              <w:right w:val="outset" w:sz="6" w:space="0" w:color="auto"/>
            </w:tcBorders>
          </w:tcPr>
          <w:p w:rsidR="00962C21" w:rsidRPr="00563ADF" w:rsidRDefault="00962C21" w:rsidP="00962C21">
            <w:pPr>
              <w:spacing w:before="75" w:after="75"/>
              <w:jc w:val="both"/>
              <w:rPr>
                <w:color w:val="000000" w:themeColor="text1"/>
                <w:sz w:val="28"/>
                <w:szCs w:val="28"/>
                <w:lang w:val="lv-LV" w:eastAsia="lv-LV"/>
              </w:rPr>
            </w:pPr>
            <w:r w:rsidRPr="00563ADF">
              <w:rPr>
                <w:color w:val="000000" w:themeColor="text1"/>
                <w:sz w:val="28"/>
                <w:szCs w:val="28"/>
                <w:lang w:val="lv-LV" w:eastAsia="lv-LV"/>
              </w:rPr>
              <w:t>Ņemot vērā, ka projekts pēc būtības paredz novērst regulējuma nepilnības, nemainot normatīvā akta būtību, sabiedrības līdzdalība projekta izstrādē netika nodrošināta.</w:t>
            </w:r>
          </w:p>
        </w:tc>
      </w:tr>
      <w:tr w:rsidR="00962C21" w:rsidRPr="00563ADF" w:rsidTr="00EE3E93">
        <w:trPr>
          <w:tblCellSpacing w:w="0" w:type="dxa"/>
        </w:trPr>
        <w:tc>
          <w:tcPr>
            <w:tcW w:w="526" w:type="dxa"/>
            <w:tcBorders>
              <w:top w:val="outset" w:sz="6" w:space="0" w:color="auto"/>
              <w:left w:val="outset" w:sz="6" w:space="0" w:color="auto"/>
              <w:bottom w:val="outset" w:sz="6" w:space="0" w:color="auto"/>
              <w:right w:val="outset" w:sz="6" w:space="0" w:color="auto"/>
            </w:tcBorders>
          </w:tcPr>
          <w:p w:rsidR="00962C21" w:rsidRPr="00563ADF" w:rsidRDefault="00962C21" w:rsidP="00962C21">
            <w:pPr>
              <w:spacing w:before="75" w:after="75"/>
              <w:rPr>
                <w:sz w:val="28"/>
                <w:szCs w:val="28"/>
                <w:lang w:val="lv-LV" w:eastAsia="lv-LV"/>
              </w:rPr>
            </w:pPr>
            <w:r w:rsidRPr="00563ADF">
              <w:rPr>
                <w:sz w:val="28"/>
                <w:szCs w:val="28"/>
                <w:lang w:val="lv-LV" w:eastAsia="lv-LV"/>
              </w:rPr>
              <w:t> 7.</w:t>
            </w:r>
          </w:p>
        </w:tc>
        <w:tc>
          <w:tcPr>
            <w:tcW w:w="2288" w:type="dxa"/>
            <w:tcBorders>
              <w:top w:val="outset" w:sz="6" w:space="0" w:color="auto"/>
              <w:left w:val="outset" w:sz="6" w:space="0" w:color="auto"/>
              <w:bottom w:val="outset" w:sz="6" w:space="0" w:color="auto"/>
              <w:right w:val="outset" w:sz="6" w:space="0" w:color="auto"/>
            </w:tcBorders>
          </w:tcPr>
          <w:p w:rsidR="00962C21" w:rsidRPr="00563ADF" w:rsidRDefault="00962C21" w:rsidP="00962C21">
            <w:pPr>
              <w:spacing w:before="75" w:after="75"/>
              <w:rPr>
                <w:sz w:val="28"/>
                <w:szCs w:val="28"/>
                <w:lang w:val="lv-LV" w:eastAsia="lv-LV"/>
              </w:rPr>
            </w:pPr>
            <w:r w:rsidRPr="00563ADF">
              <w:rPr>
                <w:sz w:val="28"/>
                <w:szCs w:val="28"/>
                <w:lang w:val="lv-LV" w:eastAsia="lv-LV"/>
              </w:rPr>
              <w:t> Cita informācija</w:t>
            </w:r>
          </w:p>
        </w:tc>
        <w:tc>
          <w:tcPr>
            <w:tcW w:w="6426" w:type="dxa"/>
            <w:tcBorders>
              <w:top w:val="outset" w:sz="6" w:space="0" w:color="auto"/>
              <w:left w:val="outset" w:sz="6" w:space="0" w:color="auto"/>
              <w:bottom w:val="outset" w:sz="6" w:space="0" w:color="auto"/>
              <w:right w:val="outset" w:sz="6" w:space="0" w:color="auto"/>
            </w:tcBorders>
          </w:tcPr>
          <w:p w:rsidR="00962C21" w:rsidRPr="00563ADF" w:rsidRDefault="00962C21" w:rsidP="00962C21">
            <w:pPr>
              <w:spacing w:before="75" w:after="75"/>
              <w:rPr>
                <w:sz w:val="28"/>
                <w:szCs w:val="28"/>
                <w:lang w:val="lv-LV" w:eastAsia="lv-LV"/>
              </w:rPr>
            </w:pPr>
            <w:r w:rsidRPr="00563ADF">
              <w:rPr>
                <w:sz w:val="28"/>
                <w:szCs w:val="28"/>
                <w:lang w:val="lv-LV" w:eastAsia="lv-LV"/>
              </w:rPr>
              <w:t>Nav.</w:t>
            </w:r>
          </w:p>
        </w:tc>
      </w:tr>
    </w:tbl>
    <w:p w:rsidR="00962C21" w:rsidRPr="00EE3E93" w:rsidRDefault="00962C21" w:rsidP="00962C21">
      <w:pPr>
        <w:tabs>
          <w:tab w:val="center" w:pos="0"/>
          <w:tab w:val="right" w:pos="142"/>
        </w:tabs>
        <w:ind w:right="-496" w:firstLine="851"/>
        <w:jc w:val="both"/>
        <w:rPr>
          <w:szCs w:val="28"/>
          <w:lang w:val="lv-LV"/>
        </w:rPr>
      </w:pPr>
    </w:p>
    <w:p w:rsidR="00962C21" w:rsidRPr="00563ADF" w:rsidRDefault="00962C21" w:rsidP="00962C21">
      <w:pPr>
        <w:tabs>
          <w:tab w:val="center" w:pos="0"/>
          <w:tab w:val="right" w:pos="142"/>
        </w:tabs>
        <w:ind w:right="-496"/>
        <w:jc w:val="both"/>
        <w:rPr>
          <w:sz w:val="28"/>
          <w:szCs w:val="28"/>
          <w:lang w:val="lv-LV"/>
        </w:rPr>
      </w:pPr>
      <w:r w:rsidRPr="00563ADF">
        <w:rPr>
          <w:sz w:val="28"/>
          <w:szCs w:val="28"/>
          <w:lang w:val="lv-LV"/>
        </w:rPr>
        <w:tab/>
      </w:r>
      <w:r w:rsidRPr="00563ADF">
        <w:rPr>
          <w:sz w:val="28"/>
          <w:szCs w:val="28"/>
          <w:lang w:val="lv-LV"/>
        </w:rPr>
        <w:tab/>
        <w:t>Anotācijas II, III, IV, V, VI un VII sadaļa – projekts šīs jomas neskar.</w:t>
      </w:r>
    </w:p>
    <w:p w:rsidR="00962C21" w:rsidRPr="00563ADF" w:rsidRDefault="00962C21" w:rsidP="00962C21">
      <w:pPr>
        <w:tabs>
          <w:tab w:val="center" w:pos="0"/>
          <w:tab w:val="right" w:pos="142"/>
        </w:tabs>
        <w:ind w:right="-153"/>
        <w:jc w:val="both"/>
        <w:rPr>
          <w:sz w:val="28"/>
          <w:szCs w:val="28"/>
          <w:lang w:val="lv-LV"/>
        </w:rPr>
      </w:pPr>
    </w:p>
    <w:p w:rsidR="00962C21" w:rsidRPr="00563ADF" w:rsidRDefault="00962C21" w:rsidP="00962C21">
      <w:pPr>
        <w:tabs>
          <w:tab w:val="center" w:pos="0"/>
          <w:tab w:val="right" w:pos="142"/>
        </w:tabs>
        <w:ind w:right="-153"/>
        <w:jc w:val="both"/>
        <w:rPr>
          <w:sz w:val="28"/>
          <w:szCs w:val="28"/>
          <w:lang w:val="lv-LV"/>
        </w:rPr>
      </w:pPr>
      <w:r w:rsidRPr="00563ADF">
        <w:rPr>
          <w:sz w:val="28"/>
          <w:szCs w:val="28"/>
          <w:lang w:val="lv-LV"/>
        </w:rPr>
        <w:t>Ekonomikas ministrs</w:t>
      </w:r>
      <w:r w:rsidRPr="00563ADF">
        <w:rPr>
          <w:sz w:val="28"/>
          <w:szCs w:val="28"/>
          <w:lang w:val="lv-LV"/>
        </w:rPr>
        <w:tab/>
      </w:r>
      <w:r w:rsidRPr="00563ADF">
        <w:rPr>
          <w:sz w:val="28"/>
          <w:szCs w:val="28"/>
          <w:lang w:val="lv-LV"/>
        </w:rPr>
        <w:tab/>
      </w:r>
      <w:r w:rsidRPr="00563ADF">
        <w:rPr>
          <w:sz w:val="28"/>
          <w:szCs w:val="28"/>
          <w:lang w:val="lv-LV"/>
        </w:rPr>
        <w:tab/>
      </w:r>
      <w:r w:rsidRPr="00563ADF">
        <w:rPr>
          <w:sz w:val="28"/>
          <w:szCs w:val="28"/>
          <w:lang w:val="lv-LV"/>
        </w:rPr>
        <w:tab/>
      </w:r>
      <w:r w:rsidRPr="00563ADF">
        <w:rPr>
          <w:sz w:val="28"/>
          <w:szCs w:val="28"/>
          <w:lang w:val="lv-LV"/>
        </w:rPr>
        <w:tab/>
      </w:r>
      <w:r w:rsidRPr="00563ADF">
        <w:rPr>
          <w:sz w:val="28"/>
          <w:szCs w:val="28"/>
          <w:lang w:val="lv-LV"/>
        </w:rPr>
        <w:tab/>
        <w:t>D.Pavļuts</w:t>
      </w:r>
    </w:p>
    <w:p w:rsidR="00E26EE3" w:rsidRDefault="00E26EE3" w:rsidP="00962C21">
      <w:pPr>
        <w:tabs>
          <w:tab w:val="center" w:pos="0"/>
          <w:tab w:val="right" w:pos="142"/>
        </w:tabs>
        <w:ind w:right="-153"/>
        <w:jc w:val="both"/>
        <w:rPr>
          <w:sz w:val="28"/>
          <w:szCs w:val="28"/>
          <w:lang w:val="lv-LV"/>
        </w:rPr>
      </w:pPr>
    </w:p>
    <w:p w:rsidR="00563ADF" w:rsidRPr="00EE3E93" w:rsidRDefault="00563ADF" w:rsidP="00962C21">
      <w:pPr>
        <w:tabs>
          <w:tab w:val="center" w:pos="0"/>
          <w:tab w:val="right" w:pos="142"/>
        </w:tabs>
        <w:ind w:right="-153"/>
        <w:jc w:val="both"/>
        <w:rPr>
          <w:sz w:val="2"/>
          <w:szCs w:val="28"/>
          <w:lang w:val="lv-LV"/>
        </w:rPr>
      </w:pPr>
    </w:p>
    <w:p w:rsidR="00962C21" w:rsidRPr="00563ADF" w:rsidRDefault="00962C21" w:rsidP="00962C21">
      <w:pPr>
        <w:tabs>
          <w:tab w:val="left" w:pos="6804"/>
        </w:tabs>
        <w:jc w:val="both"/>
        <w:rPr>
          <w:sz w:val="28"/>
          <w:szCs w:val="28"/>
          <w:lang w:val="lv-LV" w:eastAsia="lv-LV"/>
        </w:rPr>
      </w:pPr>
      <w:r w:rsidRPr="00563ADF">
        <w:rPr>
          <w:sz w:val="28"/>
          <w:szCs w:val="28"/>
          <w:lang w:val="lv-LV" w:eastAsia="lv-LV"/>
        </w:rPr>
        <w:t>Vīzē:</w:t>
      </w:r>
    </w:p>
    <w:p w:rsidR="00962C21" w:rsidRPr="00563ADF" w:rsidRDefault="00614CA9" w:rsidP="00787041">
      <w:pPr>
        <w:tabs>
          <w:tab w:val="left" w:pos="6521"/>
        </w:tabs>
        <w:jc w:val="both"/>
        <w:rPr>
          <w:sz w:val="28"/>
          <w:szCs w:val="28"/>
          <w:lang w:val="lv-LV"/>
        </w:rPr>
      </w:pPr>
      <w:r w:rsidRPr="00563ADF">
        <w:rPr>
          <w:sz w:val="28"/>
          <w:szCs w:val="28"/>
          <w:lang w:val="lv-LV" w:eastAsia="lv-LV"/>
        </w:rPr>
        <w:t>V</w:t>
      </w:r>
      <w:r w:rsidR="00962C21" w:rsidRPr="00563ADF">
        <w:rPr>
          <w:sz w:val="28"/>
          <w:szCs w:val="28"/>
          <w:lang w:val="lv-LV" w:eastAsia="lv-LV"/>
        </w:rPr>
        <w:t>alsts sekretār</w:t>
      </w:r>
      <w:r w:rsidR="00787041">
        <w:rPr>
          <w:sz w:val="28"/>
          <w:szCs w:val="28"/>
          <w:lang w:val="lv-LV" w:eastAsia="lv-LV"/>
        </w:rPr>
        <w:t>s</w:t>
      </w:r>
      <w:r w:rsidR="003C6A9B">
        <w:rPr>
          <w:sz w:val="28"/>
          <w:szCs w:val="28"/>
          <w:lang w:val="lv-LV"/>
        </w:rPr>
        <w:tab/>
      </w:r>
      <w:r w:rsidR="00787041">
        <w:rPr>
          <w:sz w:val="28"/>
          <w:szCs w:val="28"/>
          <w:lang w:val="lv-LV"/>
        </w:rPr>
        <w:t>J</w:t>
      </w:r>
      <w:r w:rsidR="00A51C5B" w:rsidRPr="00563ADF">
        <w:rPr>
          <w:sz w:val="28"/>
          <w:szCs w:val="28"/>
          <w:lang w:val="lv-LV"/>
        </w:rPr>
        <w:t>.</w:t>
      </w:r>
      <w:r w:rsidR="00787041">
        <w:rPr>
          <w:sz w:val="28"/>
          <w:szCs w:val="28"/>
          <w:lang w:val="lv-LV"/>
        </w:rPr>
        <w:t>Pūce</w:t>
      </w:r>
    </w:p>
    <w:p w:rsidR="00EE3E93" w:rsidRDefault="00EE3E93" w:rsidP="00962C21">
      <w:pPr>
        <w:ind w:right="40"/>
        <w:jc w:val="both"/>
        <w:rPr>
          <w:sz w:val="28"/>
          <w:szCs w:val="28"/>
          <w:lang w:val="lv-LV" w:eastAsia="lv-LV"/>
        </w:rPr>
      </w:pPr>
    </w:p>
    <w:p w:rsidR="00EE3E93" w:rsidRPr="00462D7F" w:rsidRDefault="00EE3E93" w:rsidP="00962C21">
      <w:pPr>
        <w:ind w:right="40"/>
        <w:jc w:val="both"/>
        <w:rPr>
          <w:sz w:val="2"/>
          <w:szCs w:val="28"/>
          <w:lang w:val="lv-LV" w:eastAsia="lv-LV"/>
        </w:rPr>
      </w:pPr>
    </w:p>
    <w:p w:rsidR="00A41A64" w:rsidRDefault="00202BB9" w:rsidP="00962C21">
      <w:pPr>
        <w:ind w:right="40"/>
        <w:jc w:val="both"/>
        <w:rPr>
          <w:sz w:val="28"/>
          <w:szCs w:val="28"/>
          <w:lang w:val="lv-LV" w:eastAsia="lv-LV"/>
        </w:rPr>
      </w:pPr>
      <w:r>
        <w:rPr>
          <w:sz w:val="28"/>
          <w:szCs w:val="28"/>
          <w:lang w:val="lv-LV" w:eastAsia="lv-LV"/>
        </w:rPr>
        <w:t>08</w:t>
      </w:r>
      <w:r w:rsidR="00A41A64">
        <w:rPr>
          <w:sz w:val="28"/>
          <w:szCs w:val="28"/>
          <w:lang w:val="lv-LV" w:eastAsia="lv-LV"/>
        </w:rPr>
        <w:t>.0</w:t>
      </w:r>
      <w:r w:rsidR="00787041">
        <w:rPr>
          <w:sz w:val="28"/>
          <w:szCs w:val="28"/>
          <w:lang w:val="lv-LV" w:eastAsia="lv-LV"/>
        </w:rPr>
        <w:t>3</w:t>
      </w:r>
      <w:r w:rsidR="00A41A64">
        <w:rPr>
          <w:sz w:val="28"/>
          <w:szCs w:val="28"/>
          <w:lang w:val="lv-LV" w:eastAsia="lv-LV"/>
        </w:rPr>
        <w:t xml:space="preserve">.2013 </w:t>
      </w:r>
      <w:r>
        <w:rPr>
          <w:sz w:val="28"/>
          <w:szCs w:val="28"/>
          <w:lang w:val="lv-LV" w:eastAsia="lv-LV"/>
        </w:rPr>
        <w:t>16:15</w:t>
      </w:r>
    </w:p>
    <w:p w:rsidR="00962C21" w:rsidRPr="00563ADF" w:rsidRDefault="00962C21" w:rsidP="00962C21">
      <w:pPr>
        <w:ind w:right="40"/>
        <w:jc w:val="both"/>
        <w:rPr>
          <w:sz w:val="28"/>
          <w:szCs w:val="28"/>
          <w:lang w:val="lv-LV" w:eastAsia="lv-LV"/>
        </w:rPr>
      </w:pPr>
      <w:r w:rsidRPr="00563ADF">
        <w:rPr>
          <w:sz w:val="28"/>
          <w:szCs w:val="28"/>
          <w:lang w:val="lv-LV" w:eastAsia="lv-LV"/>
        </w:rPr>
        <w:fldChar w:fldCharType="begin"/>
      </w:r>
      <w:r w:rsidRPr="00563ADF">
        <w:rPr>
          <w:sz w:val="28"/>
          <w:szCs w:val="28"/>
          <w:lang w:val="lv-LV" w:eastAsia="lv-LV"/>
        </w:rPr>
        <w:instrText xml:space="preserve"> NUMWORDS   \* MERGEFORMAT </w:instrText>
      </w:r>
      <w:r w:rsidRPr="00563ADF">
        <w:rPr>
          <w:sz w:val="28"/>
          <w:szCs w:val="28"/>
          <w:lang w:val="lv-LV" w:eastAsia="lv-LV"/>
        </w:rPr>
        <w:fldChar w:fldCharType="separate"/>
      </w:r>
      <w:r w:rsidR="00202BB9">
        <w:rPr>
          <w:noProof/>
          <w:sz w:val="28"/>
          <w:szCs w:val="28"/>
          <w:lang w:val="lv-LV" w:eastAsia="lv-LV"/>
        </w:rPr>
        <w:t>392</w:t>
      </w:r>
      <w:r w:rsidRPr="00563ADF">
        <w:rPr>
          <w:sz w:val="28"/>
          <w:szCs w:val="28"/>
          <w:lang w:val="lv-LV" w:eastAsia="lv-LV"/>
        </w:rPr>
        <w:fldChar w:fldCharType="end"/>
      </w:r>
      <w:bookmarkStart w:id="4" w:name="_GoBack"/>
      <w:bookmarkEnd w:id="4"/>
    </w:p>
    <w:p w:rsidR="00962C21" w:rsidRPr="00563ADF" w:rsidRDefault="00962C21" w:rsidP="00962C21">
      <w:pPr>
        <w:ind w:right="40"/>
        <w:jc w:val="both"/>
        <w:rPr>
          <w:sz w:val="28"/>
          <w:szCs w:val="28"/>
          <w:lang w:val="lv-LV" w:eastAsia="lv-LV"/>
        </w:rPr>
      </w:pPr>
      <w:proofErr w:type="spellStart"/>
      <w:r w:rsidRPr="00563ADF">
        <w:rPr>
          <w:sz w:val="28"/>
          <w:szCs w:val="28"/>
          <w:lang w:val="lv-LV" w:eastAsia="lv-LV"/>
        </w:rPr>
        <w:t>B.Zukula</w:t>
      </w:r>
      <w:proofErr w:type="spellEnd"/>
    </w:p>
    <w:p w:rsidR="00DD269E" w:rsidRPr="00563ADF" w:rsidRDefault="00F01B2C" w:rsidP="00306455">
      <w:pPr>
        <w:ind w:right="40"/>
        <w:jc w:val="both"/>
        <w:rPr>
          <w:sz w:val="28"/>
          <w:szCs w:val="28"/>
          <w:lang w:val="lv-LV"/>
        </w:rPr>
      </w:pPr>
      <w:r w:rsidRPr="00563ADF">
        <w:rPr>
          <w:sz w:val="28"/>
          <w:szCs w:val="28"/>
          <w:lang w:val="lv-LV" w:eastAsia="lv-LV"/>
        </w:rPr>
        <w:t xml:space="preserve">67366847, </w:t>
      </w:r>
      <w:hyperlink r:id="rId8" w:history="1">
        <w:r w:rsidR="00634349" w:rsidRPr="00563ADF">
          <w:rPr>
            <w:rStyle w:val="Hyperlink"/>
            <w:sz w:val="28"/>
            <w:szCs w:val="28"/>
            <w:lang w:val="lv-LV" w:eastAsia="lv-LV"/>
          </w:rPr>
          <w:t>Baiba.Zukula@csb.gov.lv</w:t>
        </w:r>
      </w:hyperlink>
    </w:p>
    <w:sectPr w:rsidR="00DD269E" w:rsidRPr="00563ADF" w:rsidSect="00962C21">
      <w:headerReference w:type="default" r:id="rId9"/>
      <w:footerReference w:type="default" r:id="rId10"/>
      <w:footerReference w:type="first" r:id="rId11"/>
      <w:pgSz w:w="11906" w:h="16838" w:code="9"/>
      <w:pgMar w:top="1440" w:right="2268" w:bottom="1440" w:left="1797" w:header="709"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1C4" w:rsidRDefault="00F071C4" w:rsidP="00C44FB2">
      <w:r>
        <w:separator/>
      </w:r>
    </w:p>
  </w:endnote>
  <w:endnote w:type="continuationSeparator" w:id="0">
    <w:p w:rsidR="00F071C4" w:rsidRDefault="00F071C4" w:rsidP="00C44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8B6" w:rsidRPr="00F658B1" w:rsidRDefault="000038B6" w:rsidP="005F04BD">
    <w:pPr>
      <w:pStyle w:val="Header"/>
      <w:tabs>
        <w:tab w:val="clear" w:pos="4153"/>
        <w:tab w:val="clear" w:pos="8306"/>
        <w:tab w:val="center" w:pos="0"/>
        <w:tab w:val="right" w:pos="142"/>
      </w:tabs>
      <w:spacing w:after="120"/>
      <w:ind w:right="36" w:firstLine="8"/>
      <w:rPr>
        <w:bCs/>
        <w:sz w:val="22"/>
        <w:szCs w:val="22"/>
        <w:lang w:val="lv-LV"/>
      </w:rPr>
    </w:pPr>
    <w:r w:rsidRPr="00F658B1">
      <w:rPr>
        <w:sz w:val="22"/>
        <w:szCs w:val="22"/>
        <w:lang w:val="lv-LV"/>
      </w:rPr>
      <w:fldChar w:fldCharType="begin"/>
    </w:r>
    <w:r w:rsidRPr="00F658B1">
      <w:rPr>
        <w:sz w:val="22"/>
        <w:szCs w:val="22"/>
        <w:lang w:val="lv-LV"/>
      </w:rPr>
      <w:instrText xml:space="preserve"> FILENAME   \* MERGEFORMAT </w:instrText>
    </w:r>
    <w:r w:rsidRPr="00F658B1">
      <w:rPr>
        <w:sz w:val="22"/>
        <w:szCs w:val="22"/>
        <w:lang w:val="lv-LV"/>
      </w:rPr>
      <w:fldChar w:fldCharType="separate"/>
    </w:r>
    <w:r w:rsidR="00202BB9">
      <w:rPr>
        <w:noProof/>
        <w:sz w:val="22"/>
        <w:szCs w:val="22"/>
        <w:lang w:val="lv-LV"/>
      </w:rPr>
      <w:t>EMAnot_08032013_TK</w:t>
    </w:r>
    <w:r w:rsidRPr="00F658B1">
      <w:rPr>
        <w:sz w:val="22"/>
        <w:szCs w:val="22"/>
        <w:lang w:val="lv-LV"/>
      </w:rPr>
      <w:fldChar w:fldCharType="end"/>
    </w:r>
    <w:r w:rsidRPr="00F658B1">
      <w:rPr>
        <w:sz w:val="22"/>
        <w:szCs w:val="22"/>
        <w:lang w:val="lv-LV"/>
      </w:rPr>
      <w:t xml:space="preserve">; </w:t>
    </w:r>
    <w:r w:rsidRPr="00F658B1">
      <w:rPr>
        <w:bCs/>
        <w:sz w:val="22"/>
        <w:szCs w:val="22"/>
        <w:lang w:val="lv-LV"/>
      </w:rPr>
      <w:t>Grozījumi Ministru kabineta 2008.gada 8.aprīļa noteikumos Nr.246 „Noteikumi par Tautību klasifikatoru”</w:t>
    </w:r>
  </w:p>
  <w:p w:rsidR="000038B6" w:rsidRDefault="000038B6">
    <w:pPr>
      <w:pStyle w:val="Footer"/>
      <w:rPr>
        <w:sz w:val="20"/>
        <w:szCs w:val="20"/>
      </w:rPr>
    </w:pPr>
  </w:p>
  <w:p w:rsidR="000038B6" w:rsidRPr="00F658B1" w:rsidRDefault="000038B6">
    <w:pPr>
      <w:pStyle w:val="Footer"/>
      <w:rPr>
        <w:sz w:val="20"/>
        <w:szCs w:val="20"/>
      </w:rPr>
    </w:pPr>
  </w:p>
  <w:p w:rsidR="000038B6" w:rsidRPr="00F658B1" w:rsidRDefault="000038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8B6" w:rsidRPr="00B351BB" w:rsidRDefault="000038B6">
    <w:pPr>
      <w:pStyle w:val="Footer"/>
      <w:rPr>
        <w:sz w:val="22"/>
        <w:szCs w:val="22"/>
      </w:rPr>
    </w:pPr>
    <w:r w:rsidRPr="00B351BB">
      <w:rPr>
        <w:sz w:val="22"/>
        <w:szCs w:val="22"/>
      </w:rPr>
      <w:fldChar w:fldCharType="begin"/>
    </w:r>
    <w:r w:rsidRPr="00B351BB">
      <w:rPr>
        <w:sz w:val="22"/>
        <w:szCs w:val="22"/>
      </w:rPr>
      <w:instrText xml:space="preserve"> FILENAME   \* MERGEFORMAT </w:instrText>
    </w:r>
    <w:r w:rsidRPr="00B351BB">
      <w:rPr>
        <w:sz w:val="22"/>
        <w:szCs w:val="22"/>
      </w:rPr>
      <w:fldChar w:fldCharType="separate"/>
    </w:r>
    <w:r w:rsidR="00202BB9">
      <w:rPr>
        <w:noProof/>
        <w:sz w:val="22"/>
        <w:szCs w:val="22"/>
      </w:rPr>
      <w:t>EMAnot_08032013_TK</w:t>
    </w:r>
    <w:r w:rsidRPr="00B351BB">
      <w:rPr>
        <w:sz w:val="22"/>
        <w:szCs w:val="22"/>
      </w:rPr>
      <w:fldChar w:fldCharType="end"/>
    </w:r>
    <w:r w:rsidRPr="00B351BB">
      <w:rPr>
        <w:sz w:val="22"/>
        <w:szCs w:val="22"/>
      </w:rPr>
      <w:t>; Grozījumi Ministru kabineta 20</w:t>
    </w:r>
    <w:r>
      <w:rPr>
        <w:sz w:val="22"/>
        <w:szCs w:val="22"/>
      </w:rPr>
      <w:t>08</w:t>
    </w:r>
    <w:r w:rsidRPr="00B351BB">
      <w:rPr>
        <w:sz w:val="22"/>
        <w:szCs w:val="22"/>
      </w:rPr>
      <w:t xml:space="preserve">.gada </w:t>
    </w:r>
    <w:r>
      <w:rPr>
        <w:sz w:val="22"/>
        <w:szCs w:val="22"/>
      </w:rPr>
      <w:t>8</w:t>
    </w:r>
    <w:r w:rsidRPr="00B351BB">
      <w:rPr>
        <w:sz w:val="22"/>
        <w:szCs w:val="22"/>
      </w:rPr>
      <w:t>.</w:t>
    </w:r>
    <w:r>
      <w:rPr>
        <w:sz w:val="22"/>
        <w:szCs w:val="22"/>
      </w:rPr>
      <w:t>aprīļa</w:t>
    </w:r>
    <w:r w:rsidRPr="00B351BB">
      <w:rPr>
        <w:sz w:val="22"/>
        <w:szCs w:val="22"/>
      </w:rPr>
      <w:t xml:space="preserve"> noteikumos Nr.</w:t>
    </w:r>
    <w:r>
      <w:rPr>
        <w:sz w:val="22"/>
        <w:szCs w:val="22"/>
      </w:rPr>
      <w:t>246</w:t>
    </w:r>
    <w:r w:rsidRPr="00B351BB">
      <w:rPr>
        <w:sz w:val="22"/>
        <w:szCs w:val="22"/>
      </w:rPr>
      <w:t xml:space="preserve"> „Noteikumi par </w:t>
    </w:r>
    <w:r>
      <w:rPr>
        <w:sz w:val="22"/>
        <w:szCs w:val="22"/>
      </w:rPr>
      <w:t>Tautību</w:t>
    </w:r>
    <w:r w:rsidRPr="00B351BB">
      <w:rPr>
        <w:sz w:val="22"/>
        <w:szCs w:val="22"/>
      </w:rPr>
      <w:t xml:space="preserve"> klasifikatoru”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1C4" w:rsidRDefault="00F071C4" w:rsidP="00C44FB2">
      <w:r>
        <w:separator/>
      </w:r>
    </w:p>
  </w:footnote>
  <w:footnote w:type="continuationSeparator" w:id="0">
    <w:p w:rsidR="00F071C4" w:rsidRDefault="00F071C4" w:rsidP="00C44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8B6" w:rsidRDefault="000038B6">
    <w:pPr>
      <w:pStyle w:val="Header"/>
      <w:jc w:val="center"/>
    </w:pPr>
    <w:r>
      <w:fldChar w:fldCharType="begin"/>
    </w:r>
    <w:r>
      <w:instrText xml:space="preserve"> PAGE   \* MERGEFORMAT </w:instrText>
    </w:r>
    <w:r>
      <w:fldChar w:fldCharType="separate"/>
    </w:r>
    <w:r w:rsidR="00202BB9">
      <w:rPr>
        <w:noProof/>
      </w:rPr>
      <w:t>2</w:t>
    </w:r>
    <w:r>
      <w:fldChar w:fldCharType="end"/>
    </w:r>
  </w:p>
  <w:p w:rsidR="000038B6" w:rsidRDefault="000038B6" w:rsidP="005F04B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C21"/>
    <w:rsid w:val="000038B6"/>
    <w:rsid w:val="00006FA0"/>
    <w:rsid w:val="00013E80"/>
    <w:rsid w:val="00051778"/>
    <w:rsid w:val="00080127"/>
    <w:rsid w:val="00082087"/>
    <w:rsid w:val="000A0977"/>
    <w:rsid w:val="000B3F60"/>
    <w:rsid w:val="0017568B"/>
    <w:rsid w:val="00191D0D"/>
    <w:rsid w:val="001971C0"/>
    <w:rsid w:val="001F5704"/>
    <w:rsid w:val="00202BB9"/>
    <w:rsid w:val="00207326"/>
    <w:rsid w:val="002120E8"/>
    <w:rsid w:val="0025201A"/>
    <w:rsid w:val="00306455"/>
    <w:rsid w:val="003873FC"/>
    <w:rsid w:val="003C6A9B"/>
    <w:rsid w:val="003D03C0"/>
    <w:rsid w:val="003D1996"/>
    <w:rsid w:val="00412F89"/>
    <w:rsid w:val="004164B2"/>
    <w:rsid w:val="004434FF"/>
    <w:rsid w:val="00462D7F"/>
    <w:rsid w:val="004A34CF"/>
    <w:rsid w:val="004D586C"/>
    <w:rsid w:val="004F3039"/>
    <w:rsid w:val="004F58E5"/>
    <w:rsid w:val="00516736"/>
    <w:rsid w:val="005318A5"/>
    <w:rsid w:val="00547406"/>
    <w:rsid w:val="005573FF"/>
    <w:rsid w:val="00563ADF"/>
    <w:rsid w:val="00571484"/>
    <w:rsid w:val="0057473A"/>
    <w:rsid w:val="005A4333"/>
    <w:rsid w:val="005A511C"/>
    <w:rsid w:val="005B34A8"/>
    <w:rsid w:val="005F04BD"/>
    <w:rsid w:val="00601B0F"/>
    <w:rsid w:val="00614CA9"/>
    <w:rsid w:val="0062387E"/>
    <w:rsid w:val="00634349"/>
    <w:rsid w:val="0063522E"/>
    <w:rsid w:val="00635F63"/>
    <w:rsid w:val="00644E3E"/>
    <w:rsid w:val="006763B8"/>
    <w:rsid w:val="006B2473"/>
    <w:rsid w:val="006C0B40"/>
    <w:rsid w:val="006C141A"/>
    <w:rsid w:val="0070689D"/>
    <w:rsid w:val="00764F32"/>
    <w:rsid w:val="0077577F"/>
    <w:rsid w:val="00787041"/>
    <w:rsid w:val="00797BCE"/>
    <w:rsid w:val="007C1ACC"/>
    <w:rsid w:val="007F680D"/>
    <w:rsid w:val="008516E1"/>
    <w:rsid w:val="0088194A"/>
    <w:rsid w:val="00895451"/>
    <w:rsid w:val="008D4AA2"/>
    <w:rsid w:val="00962C21"/>
    <w:rsid w:val="00980AFE"/>
    <w:rsid w:val="00A41A64"/>
    <w:rsid w:val="00A45F7D"/>
    <w:rsid w:val="00A5192A"/>
    <w:rsid w:val="00A51C5B"/>
    <w:rsid w:val="00A77A65"/>
    <w:rsid w:val="00AA5E02"/>
    <w:rsid w:val="00AB1849"/>
    <w:rsid w:val="00B03F61"/>
    <w:rsid w:val="00B76120"/>
    <w:rsid w:val="00C1431B"/>
    <w:rsid w:val="00C44FB2"/>
    <w:rsid w:val="00C653DC"/>
    <w:rsid w:val="00C80370"/>
    <w:rsid w:val="00CF6B99"/>
    <w:rsid w:val="00D15A64"/>
    <w:rsid w:val="00DA7C62"/>
    <w:rsid w:val="00DC6FC0"/>
    <w:rsid w:val="00DD269E"/>
    <w:rsid w:val="00DF4908"/>
    <w:rsid w:val="00E0325C"/>
    <w:rsid w:val="00E26EE3"/>
    <w:rsid w:val="00E32803"/>
    <w:rsid w:val="00E43A65"/>
    <w:rsid w:val="00E61E45"/>
    <w:rsid w:val="00E65E07"/>
    <w:rsid w:val="00E814EC"/>
    <w:rsid w:val="00EB7C05"/>
    <w:rsid w:val="00EE3E93"/>
    <w:rsid w:val="00F01B2C"/>
    <w:rsid w:val="00F041D2"/>
    <w:rsid w:val="00F071C4"/>
    <w:rsid w:val="00F31F40"/>
    <w:rsid w:val="00F658B1"/>
    <w:rsid w:val="00F831D7"/>
    <w:rsid w:val="00F83E8E"/>
    <w:rsid w:val="00FB0B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C21"/>
    <w:pPr>
      <w:tabs>
        <w:tab w:val="center" w:pos="4153"/>
        <w:tab w:val="right" w:pos="8306"/>
      </w:tabs>
    </w:pPr>
  </w:style>
  <w:style w:type="character" w:customStyle="1" w:styleId="HeaderChar">
    <w:name w:val="Header Char"/>
    <w:basedOn w:val="DefaultParagraphFont"/>
    <w:link w:val="Header"/>
    <w:uiPriority w:val="99"/>
    <w:rsid w:val="00962C21"/>
    <w:rPr>
      <w:sz w:val="24"/>
      <w:szCs w:val="24"/>
      <w:lang w:val="en-GB" w:eastAsia="en-US"/>
    </w:rPr>
  </w:style>
  <w:style w:type="paragraph" w:styleId="Footer">
    <w:name w:val="footer"/>
    <w:basedOn w:val="Normal"/>
    <w:link w:val="FooterChar"/>
    <w:uiPriority w:val="99"/>
    <w:unhideWhenUsed/>
    <w:rsid w:val="00962C21"/>
    <w:pPr>
      <w:tabs>
        <w:tab w:val="center" w:pos="4153"/>
        <w:tab w:val="right" w:pos="8306"/>
      </w:tabs>
    </w:pPr>
    <w:rPr>
      <w:lang w:val="lv-LV" w:eastAsia="lv-LV"/>
    </w:rPr>
  </w:style>
  <w:style w:type="character" w:customStyle="1" w:styleId="FooterChar">
    <w:name w:val="Footer Char"/>
    <w:basedOn w:val="DefaultParagraphFont"/>
    <w:link w:val="Footer"/>
    <w:uiPriority w:val="99"/>
    <w:rsid w:val="00962C21"/>
    <w:rPr>
      <w:sz w:val="24"/>
      <w:szCs w:val="24"/>
    </w:rPr>
  </w:style>
  <w:style w:type="character" w:styleId="Hyperlink">
    <w:name w:val="Hyperlink"/>
    <w:basedOn w:val="DefaultParagraphFont"/>
    <w:uiPriority w:val="99"/>
    <w:unhideWhenUsed/>
    <w:rsid w:val="00634349"/>
    <w:rPr>
      <w:color w:val="0000FF" w:themeColor="hyperlink"/>
      <w:u w:val="single"/>
    </w:rPr>
  </w:style>
  <w:style w:type="paragraph" w:styleId="BalloonText">
    <w:name w:val="Balloon Text"/>
    <w:basedOn w:val="Normal"/>
    <w:link w:val="BalloonTextChar"/>
    <w:uiPriority w:val="99"/>
    <w:semiHidden/>
    <w:unhideWhenUsed/>
    <w:rsid w:val="00634349"/>
    <w:rPr>
      <w:rFonts w:ascii="Tahoma" w:hAnsi="Tahoma" w:cs="Tahoma"/>
      <w:sz w:val="16"/>
      <w:szCs w:val="16"/>
    </w:rPr>
  </w:style>
  <w:style w:type="character" w:customStyle="1" w:styleId="BalloonTextChar">
    <w:name w:val="Balloon Text Char"/>
    <w:basedOn w:val="DefaultParagraphFont"/>
    <w:link w:val="BalloonText"/>
    <w:uiPriority w:val="99"/>
    <w:semiHidden/>
    <w:rsid w:val="00634349"/>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C21"/>
    <w:pPr>
      <w:tabs>
        <w:tab w:val="center" w:pos="4153"/>
        <w:tab w:val="right" w:pos="8306"/>
      </w:tabs>
    </w:pPr>
  </w:style>
  <w:style w:type="character" w:customStyle="1" w:styleId="HeaderChar">
    <w:name w:val="Header Char"/>
    <w:basedOn w:val="DefaultParagraphFont"/>
    <w:link w:val="Header"/>
    <w:uiPriority w:val="99"/>
    <w:rsid w:val="00962C21"/>
    <w:rPr>
      <w:sz w:val="24"/>
      <w:szCs w:val="24"/>
      <w:lang w:val="en-GB" w:eastAsia="en-US"/>
    </w:rPr>
  </w:style>
  <w:style w:type="paragraph" w:styleId="Footer">
    <w:name w:val="footer"/>
    <w:basedOn w:val="Normal"/>
    <w:link w:val="FooterChar"/>
    <w:uiPriority w:val="99"/>
    <w:unhideWhenUsed/>
    <w:rsid w:val="00962C21"/>
    <w:pPr>
      <w:tabs>
        <w:tab w:val="center" w:pos="4153"/>
        <w:tab w:val="right" w:pos="8306"/>
      </w:tabs>
    </w:pPr>
    <w:rPr>
      <w:lang w:val="lv-LV" w:eastAsia="lv-LV"/>
    </w:rPr>
  </w:style>
  <w:style w:type="character" w:customStyle="1" w:styleId="FooterChar">
    <w:name w:val="Footer Char"/>
    <w:basedOn w:val="DefaultParagraphFont"/>
    <w:link w:val="Footer"/>
    <w:uiPriority w:val="99"/>
    <w:rsid w:val="00962C21"/>
    <w:rPr>
      <w:sz w:val="24"/>
      <w:szCs w:val="24"/>
    </w:rPr>
  </w:style>
  <w:style w:type="character" w:styleId="Hyperlink">
    <w:name w:val="Hyperlink"/>
    <w:basedOn w:val="DefaultParagraphFont"/>
    <w:uiPriority w:val="99"/>
    <w:unhideWhenUsed/>
    <w:rsid w:val="00634349"/>
    <w:rPr>
      <w:color w:val="0000FF" w:themeColor="hyperlink"/>
      <w:u w:val="single"/>
    </w:rPr>
  </w:style>
  <w:style w:type="paragraph" w:styleId="BalloonText">
    <w:name w:val="Balloon Text"/>
    <w:basedOn w:val="Normal"/>
    <w:link w:val="BalloonTextChar"/>
    <w:uiPriority w:val="99"/>
    <w:semiHidden/>
    <w:unhideWhenUsed/>
    <w:rsid w:val="00634349"/>
    <w:rPr>
      <w:rFonts w:ascii="Tahoma" w:hAnsi="Tahoma" w:cs="Tahoma"/>
      <w:sz w:val="16"/>
      <w:szCs w:val="16"/>
    </w:rPr>
  </w:style>
  <w:style w:type="character" w:customStyle="1" w:styleId="BalloonTextChar">
    <w:name w:val="Balloon Text Char"/>
    <w:basedOn w:val="DefaultParagraphFont"/>
    <w:link w:val="BalloonText"/>
    <w:uiPriority w:val="99"/>
    <w:semiHidden/>
    <w:rsid w:val="00634349"/>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ba.Zukula@csb.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3EE55-021F-4D08-9478-8D50BBDF5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392</Words>
  <Characters>3069</Characters>
  <Application>Microsoft Office Word</Application>
  <DocSecurity>0</DocSecurity>
  <Lines>109</Lines>
  <Paragraphs>43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2008.gada 8.aprīļa noteikumos Nr.246 "Noteikumi par Tautību klasifikatoru"" sākotnējās ietekmes novērtējuma ziņojums (anotācija)</vt:lpstr>
    </vt:vector>
  </TitlesOfParts>
  <Company>LR CSP</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2008.gada 8.aprīļa noteikumos Nr.246 "Noteikumi par Tautību klasifikatoru"" sākotnējās ietekmes novērtējuma ziņojums (anotācija)</dc:title>
  <dc:subject>MK noteikumu projekta sākotnējās ietekmes novērtējuma ziņojums (anotācija)</dc:subject>
  <dc:creator>Baiba Zukula</dc:creator>
  <cp:keywords/>
  <dc:description>67366847, Baiba.Zukula@csb.gov.lv</dc:description>
  <cp:lastModifiedBy>Baiba Zukula</cp:lastModifiedBy>
  <cp:revision>19</cp:revision>
  <cp:lastPrinted>2012-12-12T09:59:00Z</cp:lastPrinted>
  <dcterms:created xsi:type="dcterms:W3CDTF">2013-01-21T08:58:00Z</dcterms:created>
  <dcterms:modified xsi:type="dcterms:W3CDTF">2013-03-08T14:15:00Z</dcterms:modified>
</cp:coreProperties>
</file>