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A5" w:rsidRPr="004B2431" w:rsidRDefault="004F2AA5" w:rsidP="004F2AA5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 w:rsidRPr="00D92592">
        <w:rPr>
          <w:b/>
          <w:sz w:val="28"/>
          <w:szCs w:val="28"/>
        </w:rPr>
        <w:t xml:space="preserve">Noteikumu projekta </w:t>
      </w:r>
      <w:bookmarkEnd w:id="0"/>
      <w:bookmarkEnd w:id="1"/>
      <w:r w:rsidR="00CB2174">
        <w:rPr>
          <w:b/>
          <w:sz w:val="28"/>
          <w:szCs w:val="28"/>
        </w:rPr>
        <w:t>„</w:t>
      </w:r>
      <w:r w:rsidR="00CB2174" w:rsidRPr="00CB2174">
        <w:rPr>
          <w:b/>
          <w:bCs/>
          <w:sz w:val="28"/>
          <w:szCs w:val="28"/>
        </w:rPr>
        <w:t>Grozījumi Ministru kabineta 2008.gada 29.septembra noteikumos Nr.796 „Kārtība, kādā nosakāms naudas sods par Konkurences likuma 11.panta pirmajā daļā un 13.pantā paredzētajiem pārkāpumiem”</w:t>
      </w:r>
      <w:r w:rsidRPr="00A64692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Pr="00D92592">
        <w:rPr>
          <w:b/>
          <w:sz w:val="28"/>
          <w:szCs w:val="28"/>
        </w:rPr>
        <w:t>sākotnējās ietekmes novērtējuma ziņojums</w:t>
      </w:r>
      <w:bookmarkEnd w:id="2"/>
      <w:bookmarkEnd w:id="3"/>
    </w:p>
    <w:p w:rsidR="002154D4" w:rsidRPr="007C0F2C" w:rsidRDefault="004F2AA5" w:rsidP="002154D4">
      <w:pPr>
        <w:jc w:val="center"/>
        <w:rPr>
          <w:b/>
          <w:sz w:val="28"/>
          <w:szCs w:val="28"/>
        </w:rPr>
      </w:pPr>
      <w:r w:rsidRPr="00D92592">
        <w:rPr>
          <w:b/>
          <w:sz w:val="28"/>
          <w:szCs w:val="28"/>
        </w:rPr>
        <w:t>(anotācija)</w:t>
      </w:r>
    </w:p>
    <w:tbl>
      <w:tblPr>
        <w:tblpPr w:leftFromText="180" w:rightFromText="180" w:vertAnchor="text" w:horzAnchor="margin" w:tblpXSpec="center" w:tblpY="149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141"/>
        <w:gridCol w:w="5953"/>
      </w:tblGrid>
      <w:tr w:rsidR="002154D4" w:rsidRPr="00ED439B" w:rsidTr="00C24635">
        <w:tc>
          <w:tcPr>
            <w:tcW w:w="9644" w:type="dxa"/>
            <w:gridSpan w:val="3"/>
            <w:vAlign w:val="center"/>
          </w:tcPr>
          <w:p w:rsidR="002154D4" w:rsidRPr="00ED439B" w:rsidRDefault="002154D4" w:rsidP="00C24635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2154D4" w:rsidRPr="00ED439B" w:rsidTr="00CC7914">
        <w:trPr>
          <w:trHeight w:val="630"/>
        </w:trPr>
        <w:tc>
          <w:tcPr>
            <w:tcW w:w="550" w:type="dxa"/>
          </w:tcPr>
          <w:p w:rsidR="002154D4" w:rsidRPr="00ED439B" w:rsidRDefault="002154D4" w:rsidP="00C24635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1.</w:t>
            </w:r>
          </w:p>
        </w:tc>
        <w:tc>
          <w:tcPr>
            <w:tcW w:w="3141" w:type="dxa"/>
          </w:tcPr>
          <w:p w:rsidR="002154D4" w:rsidRPr="00ED439B" w:rsidRDefault="002154D4" w:rsidP="00C24635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Pamatojums</w:t>
            </w:r>
          </w:p>
        </w:tc>
        <w:tc>
          <w:tcPr>
            <w:tcW w:w="5953" w:type="dxa"/>
            <w:shd w:val="clear" w:color="auto" w:fill="auto"/>
          </w:tcPr>
          <w:p w:rsidR="002154D4" w:rsidRPr="00ED439B" w:rsidRDefault="002154D4" w:rsidP="00DA68E4">
            <w:pPr>
              <w:pStyle w:val="naiskr"/>
              <w:spacing w:before="0" w:after="0"/>
              <w:ind w:hanging="5"/>
              <w:jc w:val="both"/>
              <w:rPr>
                <w:sz w:val="26"/>
                <w:szCs w:val="26"/>
              </w:rPr>
            </w:pPr>
            <w:proofErr w:type="spellStart"/>
            <w:r w:rsidRPr="00ED439B">
              <w:rPr>
                <w:i/>
                <w:sz w:val="26"/>
                <w:szCs w:val="26"/>
              </w:rPr>
              <w:t>Euro</w:t>
            </w:r>
            <w:proofErr w:type="spellEnd"/>
            <w:r w:rsidRPr="00ED439B">
              <w:rPr>
                <w:i/>
                <w:sz w:val="26"/>
                <w:szCs w:val="26"/>
              </w:rPr>
              <w:t xml:space="preserve"> </w:t>
            </w:r>
            <w:r w:rsidRPr="00ED439B">
              <w:rPr>
                <w:sz w:val="26"/>
                <w:szCs w:val="26"/>
              </w:rPr>
              <w:t xml:space="preserve">ieviešanas kārtības likuma 30.panta pirmā daļa un 32.panta otrās daļas 4.apakšpunkts, Ministru kabineta </w:t>
            </w:r>
            <w:r w:rsidR="00DA68E4" w:rsidRPr="00DA68E4">
              <w:rPr>
                <w:sz w:val="26"/>
                <w:szCs w:val="26"/>
              </w:rPr>
              <w:t>2013</w:t>
            </w:r>
            <w:r w:rsidR="00DA68E4">
              <w:rPr>
                <w:sz w:val="26"/>
                <w:szCs w:val="26"/>
              </w:rPr>
              <w:t xml:space="preserve">.gada 29.jūnija rīkojums </w:t>
            </w:r>
            <w:r w:rsidRPr="00ED439B">
              <w:rPr>
                <w:sz w:val="26"/>
                <w:szCs w:val="26"/>
              </w:rPr>
              <w:t>Nr.</w:t>
            </w:r>
            <w:r w:rsidR="00DA68E4">
              <w:rPr>
                <w:sz w:val="26"/>
                <w:szCs w:val="26"/>
              </w:rPr>
              <w:t>212</w:t>
            </w:r>
            <w:r w:rsidRPr="00ED439B">
              <w:rPr>
                <w:sz w:val="26"/>
                <w:szCs w:val="26"/>
              </w:rPr>
              <w:t xml:space="preserve"> </w:t>
            </w:r>
            <w:r w:rsidR="00DA68E4">
              <w:rPr>
                <w:sz w:val="26"/>
                <w:szCs w:val="26"/>
              </w:rPr>
              <w:t>„</w:t>
            </w:r>
            <w:r w:rsidR="00DA68E4" w:rsidRPr="00DA68E4">
              <w:rPr>
                <w:sz w:val="26"/>
                <w:szCs w:val="26"/>
              </w:rPr>
              <w:t xml:space="preserve">Par tiesību aktu grozījumu virzību saistībā ar </w:t>
            </w:r>
            <w:proofErr w:type="spellStart"/>
            <w:r w:rsidR="00DA68E4" w:rsidRPr="00DA68E4">
              <w:rPr>
                <w:sz w:val="26"/>
                <w:szCs w:val="26"/>
              </w:rPr>
              <w:t>euro</w:t>
            </w:r>
            <w:proofErr w:type="spellEnd"/>
            <w:r w:rsidR="00DA68E4" w:rsidRPr="00DA68E4">
              <w:rPr>
                <w:sz w:val="26"/>
                <w:szCs w:val="26"/>
              </w:rPr>
              <w:t xml:space="preserve"> ieviešanu Latvijā</w:t>
            </w:r>
            <w:r w:rsidR="00DA68E4">
              <w:rPr>
                <w:sz w:val="26"/>
                <w:szCs w:val="26"/>
              </w:rPr>
              <w:t>”.</w:t>
            </w:r>
          </w:p>
        </w:tc>
      </w:tr>
      <w:tr w:rsidR="002154D4" w:rsidRPr="00ED439B" w:rsidTr="00CC7914">
        <w:trPr>
          <w:trHeight w:val="472"/>
        </w:trPr>
        <w:tc>
          <w:tcPr>
            <w:tcW w:w="550" w:type="dxa"/>
          </w:tcPr>
          <w:p w:rsidR="002154D4" w:rsidRPr="00ED439B" w:rsidRDefault="002154D4" w:rsidP="00C24635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2.</w:t>
            </w:r>
          </w:p>
        </w:tc>
        <w:tc>
          <w:tcPr>
            <w:tcW w:w="3141" w:type="dxa"/>
          </w:tcPr>
          <w:p w:rsidR="002154D4" w:rsidRPr="00ED439B" w:rsidRDefault="002154D4" w:rsidP="00C24635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5953" w:type="dxa"/>
            <w:shd w:val="clear" w:color="auto" w:fill="auto"/>
          </w:tcPr>
          <w:p w:rsidR="00CC7914" w:rsidRPr="00ED439B" w:rsidRDefault="002154D4" w:rsidP="00CC791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 xml:space="preserve">Saskaņā ar </w:t>
            </w:r>
            <w:proofErr w:type="spellStart"/>
            <w:r w:rsidRPr="00ED439B">
              <w:rPr>
                <w:i/>
                <w:sz w:val="26"/>
                <w:szCs w:val="26"/>
              </w:rPr>
              <w:t>Euro</w:t>
            </w:r>
            <w:proofErr w:type="spellEnd"/>
            <w:r w:rsidRPr="00ED439B">
              <w:rPr>
                <w:i/>
                <w:sz w:val="26"/>
                <w:szCs w:val="26"/>
              </w:rPr>
              <w:t xml:space="preserve"> </w:t>
            </w:r>
            <w:r w:rsidRPr="00ED439B">
              <w:rPr>
                <w:sz w:val="26"/>
                <w:szCs w:val="26"/>
              </w:rPr>
              <w:t xml:space="preserve">ieviešanas kārtības likuma 30.panta pirmo daļu ministrijas, Valsts kanceleja, Finanšu un kapitāla tirgus komisija un Latvijas Banka sagatavo to tiesību aktu grozījumu projektus, kurus nepieciešams pielāgot </w:t>
            </w:r>
            <w:proofErr w:type="spellStart"/>
            <w:r w:rsidRPr="00ED439B">
              <w:rPr>
                <w:i/>
                <w:iCs/>
                <w:sz w:val="26"/>
                <w:szCs w:val="26"/>
              </w:rPr>
              <w:t>euro</w:t>
            </w:r>
            <w:proofErr w:type="spellEnd"/>
            <w:r w:rsidRPr="00ED439B">
              <w:rPr>
                <w:sz w:val="26"/>
                <w:szCs w:val="26"/>
              </w:rPr>
              <w:t xml:space="preserve"> ieviešanai. </w:t>
            </w:r>
          </w:p>
          <w:p w:rsidR="00CC7914" w:rsidRDefault="002154D4" w:rsidP="00CC791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 xml:space="preserve">Šobrīd </w:t>
            </w:r>
            <w:r w:rsidR="00CC7914" w:rsidRPr="00ED439B">
              <w:rPr>
                <w:sz w:val="26"/>
                <w:szCs w:val="26"/>
              </w:rPr>
              <w:t>Ministru kabineta 2008.gada 29.septembra noteikumos Nr.796 „Kārtība, kādā nosakāms naudas sods par Konkurences likuma 11.panta pirmajā daļā un 13.pantā paredzētajiem pārkāpumiem”</w:t>
            </w:r>
            <w:r w:rsidRPr="00ED439B">
              <w:rPr>
                <w:sz w:val="26"/>
                <w:szCs w:val="26"/>
              </w:rPr>
              <w:t xml:space="preserve"> (turpmāk – Ministru kabineta noteikumi Nr.</w:t>
            </w:r>
            <w:r w:rsidR="00CC7914" w:rsidRPr="00ED439B">
              <w:rPr>
                <w:sz w:val="26"/>
                <w:szCs w:val="26"/>
              </w:rPr>
              <w:t>796</w:t>
            </w:r>
            <w:r w:rsidRPr="00ED439B">
              <w:rPr>
                <w:sz w:val="26"/>
                <w:szCs w:val="26"/>
              </w:rPr>
              <w:t xml:space="preserve">) </w:t>
            </w:r>
            <w:r w:rsidR="00CC7914" w:rsidRPr="00ED439B">
              <w:rPr>
                <w:sz w:val="26"/>
                <w:szCs w:val="26"/>
              </w:rPr>
              <w:t xml:space="preserve">1.nodaļas 11.punkts un 2.nodaļas 26.punkts </w:t>
            </w:r>
            <w:r w:rsidRPr="00ED439B">
              <w:rPr>
                <w:sz w:val="26"/>
                <w:szCs w:val="26"/>
              </w:rPr>
              <w:t xml:space="preserve">paredz, ka </w:t>
            </w:r>
            <w:r w:rsidR="00CC7914" w:rsidRPr="00ED439B">
              <w:rPr>
                <w:sz w:val="26"/>
                <w:szCs w:val="26"/>
              </w:rPr>
              <w:t>kopējo naudas soda apmēru nosaka latos</w:t>
            </w:r>
            <w:r w:rsidR="00DA68E4">
              <w:t xml:space="preserve"> pēc </w:t>
            </w:r>
            <w:r w:rsidR="00DA68E4" w:rsidRPr="00DA68E4">
              <w:rPr>
                <w:sz w:val="26"/>
                <w:szCs w:val="26"/>
              </w:rPr>
              <w:t>Latvijas Bankas noteiktā valūtas kursa</w:t>
            </w:r>
            <w:r w:rsidR="00CC7914" w:rsidRPr="00ED439B">
              <w:rPr>
                <w:sz w:val="26"/>
                <w:szCs w:val="26"/>
              </w:rPr>
              <w:t xml:space="preserve">, savukārt, 2.nodaļas 26.punkts nosaka, ka Konkurences padome ir tiesīga uzlikt naudas sodu 250 latu apmērā. </w:t>
            </w:r>
          </w:p>
          <w:p w:rsidR="00897957" w:rsidRPr="00ED439B" w:rsidRDefault="00897957" w:rsidP="00CC7914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Summa pārveidota</w:t>
            </w:r>
            <w:r w:rsidRPr="00897957">
              <w:rPr>
                <w:sz w:val="26"/>
                <w:szCs w:val="26"/>
              </w:rPr>
              <w:t xml:space="preserve"> pēc iespējas noapaļoti, tā lai saglabātu viegli uztveramu sodu sistēmu un atvieglotu tiesību piemērotāja darbu.</w:t>
            </w:r>
          </w:p>
          <w:p w:rsidR="002154D4" w:rsidRPr="00ED439B" w:rsidRDefault="002154D4" w:rsidP="00CC791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 xml:space="preserve">Ņemot vērā, ka ar 2014.gada 1.janvāri Latvijā plānots ieviest </w:t>
            </w:r>
            <w:proofErr w:type="spellStart"/>
            <w:r w:rsidRPr="00ED439B">
              <w:rPr>
                <w:i/>
                <w:sz w:val="26"/>
                <w:szCs w:val="26"/>
              </w:rPr>
              <w:t>euro</w:t>
            </w:r>
            <w:proofErr w:type="spellEnd"/>
            <w:r w:rsidRPr="00ED439B">
              <w:rPr>
                <w:sz w:val="26"/>
                <w:szCs w:val="26"/>
              </w:rPr>
              <w:t>, ir nepieciešams veikt grozījumu  Ministru kabineta noteikumos Nr.</w:t>
            </w:r>
            <w:r w:rsidR="00CC7914" w:rsidRPr="00ED439B">
              <w:rPr>
                <w:sz w:val="26"/>
                <w:szCs w:val="26"/>
              </w:rPr>
              <w:t>796</w:t>
            </w:r>
            <w:r w:rsidRPr="00ED439B">
              <w:rPr>
                <w:sz w:val="26"/>
                <w:szCs w:val="26"/>
              </w:rPr>
              <w:t xml:space="preserve">, aizstājot noteikumu projektā minētās atsauces uz latiem pret </w:t>
            </w:r>
            <w:proofErr w:type="spellStart"/>
            <w:r w:rsidRPr="00ED439B">
              <w:rPr>
                <w:i/>
                <w:sz w:val="26"/>
                <w:szCs w:val="26"/>
              </w:rPr>
              <w:t>euro</w:t>
            </w:r>
            <w:proofErr w:type="spellEnd"/>
            <w:r w:rsidRPr="00ED439B">
              <w:rPr>
                <w:sz w:val="26"/>
                <w:szCs w:val="26"/>
              </w:rPr>
              <w:t>.</w:t>
            </w:r>
          </w:p>
        </w:tc>
      </w:tr>
      <w:tr w:rsidR="002154D4" w:rsidRPr="00ED439B" w:rsidTr="00865515">
        <w:trPr>
          <w:trHeight w:val="700"/>
        </w:trPr>
        <w:tc>
          <w:tcPr>
            <w:tcW w:w="550" w:type="dxa"/>
          </w:tcPr>
          <w:p w:rsidR="002154D4" w:rsidRPr="00ED439B" w:rsidRDefault="002154D4" w:rsidP="00C24635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3.</w:t>
            </w:r>
          </w:p>
        </w:tc>
        <w:tc>
          <w:tcPr>
            <w:tcW w:w="3141" w:type="dxa"/>
          </w:tcPr>
          <w:p w:rsidR="002154D4" w:rsidRPr="00ED439B" w:rsidRDefault="002154D4" w:rsidP="00C24635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5953" w:type="dxa"/>
            <w:shd w:val="clear" w:color="auto" w:fill="auto"/>
          </w:tcPr>
          <w:p w:rsidR="002154D4" w:rsidRPr="00ED439B" w:rsidRDefault="002154D4" w:rsidP="00CC7914">
            <w:pPr>
              <w:pStyle w:val="FootnoteText"/>
              <w:jc w:val="both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Projekts šo jomu neskar.</w:t>
            </w:r>
          </w:p>
        </w:tc>
      </w:tr>
      <w:tr w:rsidR="002154D4" w:rsidRPr="00ED439B" w:rsidTr="00CC7914">
        <w:trPr>
          <w:trHeight w:val="384"/>
        </w:trPr>
        <w:tc>
          <w:tcPr>
            <w:tcW w:w="550" w:type="dxa"/>
          </w:tcPr>
          <w:p w:rsidR="002154D4" w:rsidRPr="00ED439B" w:rsidRDefault="002154D4" w:rsidP="00C24635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4.</w:t>
            </w:r>
          </w:p>
        </w:tc>
        <w:tc>
          <w:tcPr>
            <w:tcW w:w="3141" w:type="dxa"/>
          </w:tcPr>
          <w:p w:rsidR="002154D4" w:rsidRPr="00ED439B" w:rsidRDefault="002154D4" w:rsidP="00C24635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5953" w:type="dxa"/>
            <w:shd w:val="clear" w:color="auto" w:fill="auto"/>
          </w:tcPr>
          <w:p w:rsidR="002154D4" w:rsidRPr="00ED439B" w:rsidRDefault="002154D4" w:rsidP="00CC7914">
            <w:pPr>
              <w:tabs>
                <w:tab w:val="left" w:pos="268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Noteikumu projekta mērķis ir pielāgot  Ministru kabineta noteikumus Nr.</w:t>
            </w:r>
            <w:r w:rsidR="00ED439B">
              <w:rPr>
                <w:sz w:val="26"/>
                <w:szCs w:val="26"/>
              </w:rPr>
              <w:t>796</w:t>
            </w:r>
            <w:r w:rsidRPr="00ED439B">
              <w:rPr>
                <w:sz w:val="26"/>
                <w:szCs w:val="26"/>
              </w:rPr>
              <w:t xml:space="preserve"> </w:t>
            </w:r>
            <w:proofErr w:type="spellStart"/>
            <w:r w:rsidRPr="00ED439B">
              <w:rPr>
                <w:i/>
                <w:sz w:val="26"/>
                <w:szCs w:val="26"/>
              </w:rPr>
              <w:t>euro</w:t>
            </w:r>
            <w:proofErr w:type="spellEnd"/>
            <w:r w:rsidRPr="00ED439B">
              <w:rPr>
                <w:sz w:val="26"/>
                <w:szCs w:val="26"/>
              </w:rPr>
              <w:t xml:space="preserve"> ieviešanai, svītrojot tajos atsauces uz latiem</w:t>
            </w:r>
            <w:r w:rsidR="00DA68E4">
              <w:rPr>
                <w:sz w:val="26"/>
                <w:szCs w:val="26"/>
              </w:rPr>
              <w:t xml:space="preserve"> un Latvijas Bankas noteikto valūtas kursu</w:t>
            </w:r>
            <w:r w:rsidRPr="00ED439B">
              <w:rPr>
                <w:sz w:val="26"/>
                <w:szCs w:val="26"/>
              </w:rPr>
              <w:t xml:space="preserve"> atbilstoši </w:t>
            </w:r>
            <w:proofErr w:type="spellStart"/>
            <w:r w:rsidRPr="00ED439B">
              <w:rPr>
                <w:i/>
                <w:sz w:val="26"/>
                <w:szCs w:val="26"/>
              </w:rPr>
              <w:t>Euro</w:t>
            </w:r>
            <w:proofErr w:type="spellEnd"/>
            <w:r w:rsidRPr="00ED439B">
              <w:rPr>
                <w:sz w:val="26"/>
                <w:szCs w:val="26"/>
              </w:rPr>
              <w:t xml:space="preserve"> ieviešanas kārtības likumā noteiktajam.</w:t>
            </w:r>
          </w:p>
          <w:p w:rsidR="002154D4" w:rsidRPr="00ED439B" w:rsidRDefault="002154D4" w:rsidP="00ED439B">
            <w:pPr>
              <w:tabs>
                <w:tab w:val="left" w:pos="268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 xml:space="preserve">Paredzēts, ka noteikumu projektā noteiktās normas par lata aizstāšanu ar </w:t>
            </w:r>
            <w:proofErr w:type="spellStart"/>
            <w:r w:rsidRPr="00ED439B">
              <w:rPr>
                <w:i/>
                <w:sz w:val="26"/>
                <w:szCs w:val="26"/>
              </w:rPr>
              <w:t>euro</w:t>
            </w:r>
            <w:proofErr w:type="spellEnd"/>
            <w:r w:rsidRPr="00ED439B">
              <w:rPr>
                <w:sz w:val="26"/>
                <w:szCs w:val="26"/>
              </w:rPr>
              <w:t xml:space="preserve"> stājas spēkā </w:t>
            </w:r>
            <w:proofErr w:type="spellStart"/>
            <w:r w:rsidRPr="00ED439B">
              <w:rPr>
                <w:i/>
                <w:sz w:val="26"/>
                <w:szCs w:val="26"/>
              </w:rPr>
              <w:t>euro</w:t>
            </w:r>
            <w:proofErr w:type="spellEnd"/>
            <w:r w:rsidRPr="00ED439B">
              <w:rPr>
                <w:sz w:val="26"/>
                <w:szCs w:val="26"/>
              </w:rPr>
              <w:t xml:space="preserve"> ieviešanas di</w:t>
            </w:r>
            <w:r w:rsidR="00ED439B">
              <w:rPr>
                <w:sz w:val="26"/>
                <w:szCs w:val="26"/>
              </w:rPr>
              <w:t xml:space="preserve">enā, </w:t>
            </w:r>
            <w:proofErr w:type="spellStart"/>
            <w:r w:rsidR="00ED439B">
              <w:rPr>
                <w:sz w:val="26"/>
                <w:szCs w:val="26"/>
              </w:rPr>
              <w:t>t.i</w:t>
            </w:r>
            <w:proofErr w:type="spellEnd"/>
            <w:r w:rsidR="00ED439B">
              <w:rPr>
                <w:sz w:val="26"/>
                <w:szCs w:val="26"/>
              </w:rPr>
              <w:t>., 2014.gada 1.janvārī.</w:t>
            </w:r>
          </w:p>
        </w:tc>
      </w:tr>
      <w:tr w:rsidR="002154D4" w:rsidRPr="00ED439B" w:rsidTr="00CC7914">
        <w:trPr>
          <w:trHeight w:val="476"/>
        </w:trPr>
        <w:tc>
          <w:tcPr>
            <w:tcW w:w="550" w:type="dxa"/>
          </w:tcPr>
          <w:p w:rsidR="002154D4" w:rsidRPr="00ED439B" w:rsidRDefault="002154D4" w:rsidP="00C24635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141" w:type="dxa"/>
          </w:tcPr>
          <w:p w:rsidR="002154D4" w:rsidRPr="00ED439B" w:rsidRDefault="002154D4" w:rsidP="00C24635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5953" w:type="dxa"/>
            <w:shd w:val="clear" w:color="auto" w:fill="auto"/>
          </w:tcPr>
          <w:p w:rsidR="002154D4" w:rsidRPr="00ED439B" w:rsidRDefault="002154D4" w:rsidP="00CC7914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Noteikumu projektu nepieciešams saskaņot ar Finanšu ministriju un Tieslietu ministriju.</w:t>
            </w:r>
          </w:p>
        </w:tc>
      </w:tr>
      <w:tr w:rsidR="002154D4" w:rsidRPr="00ED439B" w:rsidTr="00CC7914">
        <w:trPr>
          <w:trHeight w:val="1340"/>
        </w:trPr>
        <w:tc>
          <w:tcPr>
            <w:tcW w:w="550" w:type="dxa"/>
          </w:tcPr>
          <w:p w:rsidR="002154D4" w:rsidRPr="00ED439B" w:rsidRDefault="002154D4" w:rsidP="00C24635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6.</w:t>
            </w:r>
          </w:p>
        </w:tc>
        <w:tc>
          <w:tcPr>
            <w:tcW w:w="3141" w:type="dxa"/>
          </w:tcPr>
          <w:p w:rsidR="002154D4" w:rsidRPr="00ED439B" w:rsidRDefault="002154D4" w:rsidP="00C24635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ED439B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5953" w:type="dxa"/>
            <w:shd w:val="clear" w:color="auto" w:fill="auto"/>
          </w:tcPr>
          <w:p w:rsidR="002154D4" w:rsidRPr="00ED439B" w:rsidRDefault="002154D4" w:rsidP="00CC7914">
            <w:pPr>
              <w:pStyle w:val="FootnoteText"/>
              <w:jc w:val="both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 xml:space="preserve">Sabiedrības līdzdalība noteikumu projekta izstrādē netika nodrošināta, jo projekts nemaina pastāvošo tiesisko regulējumu pēc būtības, bet tikai aizstāj latus ar </w:t>
            </w:r>
            <w:proofErr w:type="spellStart"/>
            <w:r w:rsidRPr="00ED439B">
              <w:rPr>
                <w:i/>
                <w:sz w:val="26"/>
                <w:szCs w:val="26"/>
              </w:rPr>
              <w:t>euro</w:t>
            </w:r>
            <w:proofErr w:type="spellEnd"/>
            <w:r w:rsidRPr="00ED439B">
              <w:rPr>
                <w:sz w:val="26"/>
                <w:szCs w:val="26"/>
              </w:rPr>
              <w:t>.</w:t>
            </w:r>
          </w:p>
        </w:tc>
      </w:tr>
      <w:tr w:rsidR="002154D4" w:rsidRPr="00ED439B" w:rsidTr="00CC7914">
        <w:tc>
          <w:tcPr>
            <w:tcW w:w="550" w:type="dxa"/>
          </w:tcPr>
          <w:p w:rsidR="002154D4" w:rsidRPr="00ED439B" w:rsidRDefault="002154D4" w:rsidP="00C24635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7.</w:t>
            </w:r>
          </w:p>
        </w:tc>
        <w:tc>
          <w:tcPr>
            <w:tcW w:w="3141" w:type="dxa"/>
          </w:tcPr>
          <w:p w:rsidR="002154D4" w:rsidRPr="00ED439B" w:rsidRDefault="002154D4" w:rsidP="00C24635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Cita informācija</w:t>
            </w:r>
          </w:p>
        </w:tc>
        <w:tc>
          <w:tcPr>
            <w:tcW w:w="5953" w:type="dxa"/>
            <w:shd w:val="clear" w:color="auto" w:fill="auto"/>
          </w:tcPr>
          <w:p w:rsidR="002154D4" w:rsidRPr="00ED439B" w:rsidRDefault="00BE3C44" w:rsidP="00CC7914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Projekts šo jomu neskar. </w:t>
            </w:r>
          </w:p>
        </w:tc>
      </w:tr>
    </w:tbl>
    <w:p w:rsidR="002154D4" w:rsidRPr="00ED439B" w:rsidRDefault="002154D4" w:rsidP="002154D4">
      <w:pPr>
        <w:pStyle w:val="naisf"/>
        <w:spacing w:before="0" w:after="0"/>
        <w:rPr>
          <w:sz w:val="26"/>
          <w:szCs w:val="26"/>
        </w:rPr>
      </w:pPr>
    </w:p>
    <w:tbl>
      <w:tblPr>
        <w:tblW w:w="5279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"/>
        <w:gridCol w:w="2522"/>
        <w:gridCol w:w="6789"/>
      </w:tblGrid>
      <w:tr w:rsidR="00ED439B" w:rsidRPr="00ED439B" w:rsidTr="00ED439B">
        <w:trPr>
          <w:trHeight w:val="30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II. Tiesību akta projekta ietekme uz sabiedrību</w:t>
            </w:r>
          </w:p>
        </w:tc>
      </w:tr>
      <w:tr w:rsidR="00ED439B" w:rsidRPr="00ED439B" w:rsidTr="00ED439B">
        <w:trPr>
          <w:trHeight w:val="594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ED439B">
              <w:rPr>
                <w:rFonts w:eastAsia="Times New Roman"/>
                <w:sz w:val="26"/>
                <w:szCs w:val="26"/>
                <w:lang w:eastAsia="lv-LV"/>
              </w:rPr>
              <w:t>mērķgrupa</w:t>
            </w:r>
            <w:proofErr w:type="spellEnd"/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sz w:val="26"/>
                <w:szCs w:val="26"/>
                <w:lang w:eastAsia="lv-LV"/>
              </w:rPr>
              <w:t xml:space="preserve">Noteikumu projektā </w:t>
            </w:r>
            <w:r w:rsidRPr="00ED439B">
              <w:rPr>
                <w:rFonts w:eastAsia="Times New Roman"/>
                <w:sz w:val="26"/>
                <w:szCs w:val="26"/>
                <w:lang w:eastAsia="lv-LV"/>
              </w:rPr>
              <w:t xml:space="preserve">ietvertās normas attiecas uz komersantiem, uz kuriem attiecas Konkurences likuma tiesību normas. </w:t>
            </w:r>
          </w:p>
        </w:tc>
      </w:tr>
      <w:tr w:rsidR="00ED439B" w:rsidRPr="00ED439B" w:rsidTr="00ED439B">
        <w:trPr>
          <w:trHeight w:val="1476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 xml:space="preserve">Citas sabiedrības grupas (bez </w:t>
            </w:r>
            <w:proofErr w:type="spellStart"/>
            <w:r w:rsidRPr="00ED439B">
              <w:rPr>
                <w:rFonts w:eastAsia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ED439B">
              <w:rPr>
                <w:rFonts w:eastAsia="Times New Roman"/>
                <w:sz w:val="26"/>
                <w:szCs w:val="26"/>
                <w:lang w:eastAsia="lv-LV"/>
              </w:rPr>
              <w:t>), kuras tiesiskais regulējums arī ietekmē vai varētu ietekmēt</w:t>
            </w: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>Nav attiecināms.</w:t>
            </w:r>
          </w:p>
        </w:tc>
      </w:tr>
      <w:tr w:rsidR="00ED439B" w:rsidRPr="00ED439B" w:rsidTr="00ED439B">
        <w:trPr>
          <w:trHeight w:val="578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>Tiesiskā regulējuma finansiālā ietekme</w:t>
            </w: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ED439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>Projektā paredzētais regulējums, veicot naudas sod</w:t>
            </w:r>
            <w:r>
              <w:rPr>
                <w:rFonts w:eastAsia="Times New Roman"/>
                <w:sz w:val="26"/>
                <w:szCs w:val="26"/>
                <w:lang w:eastAsia="lv-LV"/>
              </w:rPr>
              <w:t xml:space="preserve">a noapaļošanu, </w:t>
            </w:r>
            <w:r w:rsidRPr="00ED439B">
              <w:rPr>
                <w:rFonts w:eastAsia="Times New Roman"/>
                <w:sz w:val="26"/>
                <w:szCs w:val="26"/>
                <w:lang w:eastAsia="lv-LV"/>
              </w:rPr>
              <w:t xml:space="preserve">ir labvēlīgāks  ietekmētajām sabiedrības grupām. </w:t>
            </w:r>
          </w:p>
        </w:tc>
      </w:tr>
      <w:tr w:rsidR="00ED439B" w:rsidRPr="00ED439B" w:rsidTr="00ED439B">
        <w:trPr>
          <w:trHeight w:val="594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>Tiesiskā regulējuma nefinansiālā ietekme</w:t>
            </w: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ED439B" w:rsidRPr="00ED439B" w:rsidTr="00ED439B">
        <w:trPr>
          <w:trHeight w:val="883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>Administratīvās procedūras raksturojums</w:t>
            </w: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u w:val="single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ED439B" w:rsidRPr="00ED439B" w:rsidTr="00ED439B">
        <w:trPr>
          <w:trHeight w:val="594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ED439B" w:rsidRPr="00ED439B" w:rsidTr="00ED439B">
        <w:trPr>
          <w:trHeight w:val="305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39B" w:rsidRPr="00ED439B" w:rsidRDefault="00ED439B" w:rsidP="00C246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ED439B">
              <w:rPr>
                <w:rFonts w:eastAsia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</w:tbl>
    <w:p w:rsidR="00ED439B" w:rsidRPr="00ED439B" w:rsidRDefault="00ED439B" w:rsidP="002154D4">
      <w:pPr>
        <w:pStyle w:val="naisf"/>
        <w:spacing w:before="0" w:after="0"/>
        <w:rPr>
          <w:sz w:val="26"/>
          <w:szCs w:val="26"/>
        </w:rPr>
      </w:pPr>
    </w:p>
    <w:tbl>
      <w:tblPr>
        <w:tblW w:w="9599" w:type="dxa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1298"/>
        <w:gridCol w:w="1333"/>
        <w:gridCol w:w="1333"/>
        <w:gridCol w:w="1334"/>
        <w:gridCol w:w="1227"/>
      </w:tblGrid>
      <w:tr w:rsidR="00ED439B" w:rsidRPr="00ED439B" w:rsidTr="00865515">
        <w:trPr>
          <w:trHeight w:val="652"/>
          <w:jc w:val="center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pStyle w:val="naisnod"/>
              <w:spacing w:before="0" w:after="0"/>
              <w:rPr>
                <w:b/>
                <w:i/>
                <w:sz w:val="26"/>
                <w:szCs w:val="26"/>
              </w:rPr>
            </w:pPr>
            <w:r w:rsidRPr="00ED439B">
              <w:rPr>
                <w:b/>
                <w:bCs/>
                <w:sz w:val="26"/>
                <w:szCs w:val="26"/>
              </w:rPr>
              <w:br w:type="page"/>
            </w:r>
            <w:r w:rsidRPr="00ED439B">
              <w:rPr>
                <w:b/>
                <w:sz w:val="26"/>
                <w:szCs w:val="26"/>
              </w:rPr>
              <w:t>III. Tiesību akta projekta ietekme uz valsts budžetu un pašvaldību budžetiem</w:t>
            </w: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ED439B">
              <w:rPr>
                <w:b/>
                <w:sz w:val="26"/>
                <w:szCs w:val="26"/>
              </w:rPr>
              <w:t>Rādītāji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ED439B">
              <w:rPr>
                <w:b/>
                <w:sz w:val="26"/>
                <w:szCs w:val="26"/>
              </w:rPr>
              <w:t>n-tais gads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Turpmākie trīs gadi (</w:t>
            </w:r>
            <w:proofErr w:type="spellStart"/>
            <w:r w:rsidRPr="00ED439B">
              <w:rPr>
                <w:sz w:val="26"/>
                <w:szCs w:val="26"/>
              </w:rPr>
              <w:t>tūkst</w:t>
            </w:r>
            <w:proofErr w:type="spellEnd"/>
            <w:r w:rsidRPr="00ED439B">
              <w:rPr>
                <w:sz w:val="26"/>
                <w:szCs w:val="26"/>
              </w:rPr>
              <w:t>. latu)</w:t>
            </w:r>
          </w:p>
        </w:tc>
      </w:tr>
      <w:tr w:rsidR="00ED439B" w:rsidRPr="00ED439B" w:rsidTr="00865515">
        <w:trPr>
          <w:trHeight w:val="5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rPr>
                <w:b/>
                <w:sz w:val="26"/>
                <w:szCs w:val="26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rPr>
                <w:b/>
                <w:sz w:val="26"/>
                <w:szCs w:val="26"/>
                <w:lang w:eastAsia="lv-LV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ED439B">
              <w:rPr>
                <w:b/>
                <w:bCs/>
                <w:sz w:val="26"/>
                <w:szCs w:val="26"/>
              </w:rPr>
              <w:t>n+1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ED439B">
              <w:rPr>
                <w:b/>
                <w:bCs/>
                <w:sz w:val="26"/>
                <w:szCs w:val="26"/>
              </w:rPr>
              <w:t>n+2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ED439B">
              <w:rPr>
                <w:b/>
                <w:bCs/>
                <w:sz w:val="26"/>
                <w:szCs w:val="26"/>
              </w:rPr>
              <w:t>n+3</w:t>
            </w:r>
          </w:p>
        </w:tc>
      </w:tr>
      <w:tr w:rsidR="00ED439B" w:rsidRPr="00ED439B" w:rsidTr="008655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rPr>
                <w:b/>
                <w:sz w:val="26"/>
                <w:szCs w:val="26"/>
                <w:lang w:eastAsia="lv-LV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Saskaņā ar valsts budžetu kārtējam gadam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Izmaiņas kārtējā gadā, salīdzinot ar budžetu kārtējam gadam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Izmaiņas, salīdzinot ar kārtējo (n) gadu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Izmaiņas, salīdzinot ar kārtējo (n) gadu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Izmaiņas, salīdzinot ar kārtējo (n) gadu</w:t>
            </w: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ED439B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ED439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ED439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ED439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ED439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ED439B">
              <w:rPr>
                <w:bCs/>
                <w:sz w:val="26"/>
                <w:szCs w:val="26"/>
              </w:rPr>
              <w:t>6</w:t>
            </w: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pStyle w:val="naisf"/>
              <w:spacing w:before="0" w:after="0"/>
              <w:rPr>
                <w:i/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1. Budžeta ieņēmumi: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pStyle w:val="naisf"/>
              <w:spacing w:before="0" w:after="0"/>
              <w:rPr>
                <w:i/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1.1. valsts pamatbudžets, tai skaitā ieņēmumi no maksas pakalpo-</w:t>
            </w:r>
            <w:proofErr w:type="spellStart"/>
            <w:r w:rsidRPr="00ED439B">
              <w:rPr>
                <w:sz w:val="26"/>
                <w:szCs w:val="26"/>
              </w:rPr>
              <w:t>jumiem</w:t>
            </w:r>
            <w:proofErr w:type="spellEnd"/>
            <w:r w:rsidRPr="00ED439B">
              <w:rPr>
                <w:sz w:val="26"/>
                <w:szCs w:val="26"/>
              </w:rPr>
              <w:t xml:space="preserve"> un citi pašu ieņēmumi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pStyle w:val="naisf"/>
              <w:spacing w:before="0" w:after="0"/>
              <w:rPr>
                <w:i/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1.2. valsts speciālais budžets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pStyle w:val="naisf"/>
              <w:spacing w:before="0" w:after="0"/>
              <w:rPr>
                <w:i/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1.3. pašvaldību budžets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jc w:val="both"/>
              <w:rPr>
                <w:sz w:val="26"/>
                <w:szCs w:val="26"/>
                <w:lang w:eastAsia="lv-LV"/>
              </w:rPr>
            </w:pPr>
            <w:r w:rsidRPr="00ED439B">
              <w:rPr>
                <w:sz w:val="26"/>
                <w:szCs w:val="26"/>
              </w:rPr>
              <w:t>2. Budžeta izdevumi: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jc w:val="both"/>
              <w:rPr>
                <w:sz w:val="26"/>
                <w:szCs w:val="26"/>
                <w:lang w:eastAsia="lv-LV"/>
              </w:rPr>
            </w:pPr>
            <w:r w:rsidRPr="00ED439B">
              <w:rPr>
                <w:sz w:val="26"/>
                <w:szCs w:val="26"/>
              </w:rPr>
              <w:t>2.1. valsts pamatbudžets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jc w:val="both"/>
              <w:rPr>
                <w:sz w:val="26"/>
                <w:szCs w:val="26"/>
                <w:lang w:eastAsia="lv-LV"/>
              </w:rPr>
            </w:pPr>
            <w:r w:rsidRPr="00ED439B">
              <w:rPr>
                <w:sz w:val="26"/>
                <w:szCs w:val="26"/>
              </w:rPr>
              <w:t>2.2. valsts speciālais budžets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jc w:val="both"/>
              <w:rPr>
                <w:sz w:val="26"/>
                <w:szCs w:val="26"/>
                <w:lang w:eastAsia="lv-LV"/>
              </w:rPr>
            </w:pPr>
            <w:r w:rsidRPr="00ED439B">
              <w:rPr>
                <w:sz w:val="26"/>
                <w:szCs w:val="26"/>
              </w:rPr>
              <w:t xml:space="preserve">2.3. pašvaldību budžets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jc w:val="both"/>
              <w:rPr>
                <w:sz w:val="26"/>
                <w:szCs w:val="26"/>
                <w:lang w:eastAsia="lv-LV"/>
              </w:rPr>
            </w:pPr>
            <w:r w:rsidRPr="00ED439B">
              <w:rPr>
                <w:sz w:val="26"/>
                <w:szCs w:val="26"/>
              </w:rPr>
              <w:t>3. Finansiālā ietekme: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jc w:val="both"/>
              <w:rPr>
                <w:sz w:val="26"/>
                <w:szCs w:val="26"/>
                <w:lang w:eastAsia="lv-LV"/>
              </w:rPr>
            </w:pPr>
            <w:r w:rsidRPr="00ED439B">
              <w:rPr>
                <w:sz w:val="26"/>
                <w:szCs w:val="26"/>
              </w:rPr>
              <w:t>3.1. valsts pamatbudžets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jc w:val="both"/>
              <w:rPr>
                <w:sz w:val="26"/>
                <w:szCs w:val="26"/>
                <w:lang w:eastAsia="lv-LV"/>
              </w:rPr>
            </w:pPr>
            <w:r w:rsidRPr="00ED439B">
              <w:rPr>
                <w:sz w:val="26"/>
                <w:szCs w:val="26"/>
              </w:rPr>
              <w:t>3.2. speciālais budžets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jc w:val="both"/>
              <w:rPr>
                <w:sz w:val="26"/>
                <w:szCs w:val="26"/>
                <w:lang w:eastAsia="lv-LV"/>
              </w:rPr>
            </w:pPr>
            <w:r w:rsidRPr="00ED439B">
              <w:rPr>
                <w:sz w:val="26"/>
                <w:szCs w:val="26"/>
              </w:rPr>
              <w:t xml:space="preserve">3.3. pašvaldību budžets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jc w:val="both"/>
              <w:rPr>
                <w:sz w:val="26"/>
                <w:szCs w:val="26"/>
                <w:lang w:eastAsia="lv-LV"/>
              </w:rPr>
            </w:pPr>
            <w:r w:rsidRPr="00ED439B">
              <w:rPr>
                <w:sz w:val="26"/>
                <w:szCs w:val="26"/>
              </w:rPr>
              <w:t>4. Finanšu līdzekļi papildu izde</w:t>
            </w:r>
            <w:r w:rsidRPr="00ED439B">
              <w:rPr>
                <w:sz w:val="26"/>
                <w:szCs w:val="26"/>
              </w:rPr>
              <w:softHyphen/>
              <w:t>vumu finansēšanai (kompensējošu izdevumu samazinājumu norāda ar "+" zīmi)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rPr>
                <w:sz w:val="26"/>
                <w:szCs w:val="26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rPr>
                <w:i/>
                <w:sz w:val="26"/>
                <w:szCs w:val="26"/>
                <w:lang w:eastAsia="lv-LV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rPr>
                <w:sz w:val="26"/>
                <w:szCs w:val="26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rPr>
                <w:i/>
                <w:sz w:val="26"/>
                <w:szCs w:val="26"/>
                <w:lang w:eastAsia="lv-LV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jc w:val="both"/>
              <w:rPr>
                <w:sz w:val="26"/>
                <w:szCs w:val="26"/>
                <w:lang w:eastAsia="lv-LV"/>
              </w:rPr>
            </w:pPr>
            <w:r w:rsidRPr="00ED439B">
              <w:rPr>
                <w:sz w:val="26"/>
                <w:szCs w:val="26"/>
              </w:rPr>
              <w:t>5. Precizēta finansiālā ietekme: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pStyle w:val="naisf"/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ED439B">
              <w:rPr>
                <w:sz w:val="26"/>
                <w:szCs w:val="26"/>
              </w:rPr>
              <w:t>X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jc w:val="both"/>
              <w:rPr>
                <w:sz w:val="26"/>
                <w:szCs w:val="26"/>
                <w:lang w:eastAsia="lv-LV"/>
              </w:rPr>
            </w:pPr>
            <w:r w:rsidRPr="00ED439B">
              <w:rPr>
                <w:sz w:val="26"/>
                <w:szCs w:val="26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rPr>
                <w:i/>
                <w:sz w:val="26"/>
                <w:szCs w:val="26"/>
                <w:lang w:eastAsia="lv-LV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jc w:val="both"/>
              <w:rPr>
                <w:sz w:val="26"/>
                <w:szCs w:val="26"/>
                <w:lang w:eastAsia="lv-LV"/>
              </w:rPr>
            </w:pPr>
            <w:r w:rsidRPr="00ED439B">
              <w:rPr>
                <w:sz w:val="26"/>
                <w:szCs w:val="26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rPr>
                <w:i/>
                <w:sz w:val="26"/>
                <w:szCs w:val="26"/>
                <w:lang w:eastAsia="lv-LV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jc w:val="both"/>
              <w:rPr>
                <w:sz w:val="26"/>
                <w:szCs w:val="26"/>
                <w:lang w:eastAsia="lv-LV"/>
              </w:rPr>
            </w:pPr>
            <w:r w:rsidRPr="00ED439B">
              <w:rPr>
                <w:sz w:val="26"/>
                <w:szCs w:val="26"/>
              </w:rPr>
              <w:t xml:space="preserve">5.3. pašvaldību budžets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rPr>
                <w:i/>
                <w:sz w:val="26"/>
                <w:szCs w:val="26"/>
                <w:lang w:eastAsia="lv-LV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jc w:val="both"/>
              <w:rPr>
                <w:sz w:val="26"/>
                <w:szCs w:val="26"/>
                <w:lang w:eastAsia="lv-LV"/>
              </w:rPr>
            </w:pPr>
            <w:r w:rsidRPr="00ED439B">
              <w:rPr>
                <w:sz w:val="26"/>
                <w:szCs w:val="26"/>
              </w:rPr>
              <w:t>6. Detalizēts ieņēmumu un izdevu</w:t>
            </w:r>
            <w:r w:rsidRPr="00ED439B">
              <w:rPr>
                <w:sz w:val="26"/>
                <w:szCs w:val="26"/>
              </w:rPr>
              <w:softHyphen/>
              <w:t xml:space="preserve">mu aprēķins (ja nepieciešams, detalizētu ieņēmumu un izdevumu aprēķinu var pievienot </w:t>
            </w:r>
            <w:r w:rsidRPr="00ED439B">
              <w:rPr>
                <w:sz w:val="26"/>
                <w:szCs w:val="26"/>
              </w:rPr>
              <w:lastRenderedPageBreak/>
              <w:t>anotācijas pielikumā):</w:t>
            </w:r>
          </w:p>
        </w:tc>
        <w:tc>
          <w:tcPr>
            <w:tcW w:w="6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9B" w:rsidRPr="00ED439B" w:rsidRDefault="00ED439B" w:rsidP="00C24635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jc w:val="both"/>
              <w:rPr>
                <w:sz w:val="26"/>
                <w:szCs w:val="26"/>
                <w:lang w:eastAsia="lv-LV"/>
              </w:rPr>
            </w:pPr>
            <w:r w:rsidRPr="00ED439B">
              <w:rPr>
                <w:sz w:val="26"/>
                <w:szCs w:val="26"/>
              </w:rPr>
              <w:lastRenderedPageBreak/>
              <w:t>6.1. detalizēts ieņēmumu aprēķins</w:t>
            </w:r>
          </w:p>
        </w:tc>
        <w:tc>
          <w:tcPr>
            <w:tcW w:w="6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rPr>
                <w:b/>
                <w:i/>
                <w:sz w:val="26"/>
                <w:szCs w:val="26"/>
                <w:lang w:eastAsia="lv-LV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jc w:val="both"/>
              <w:rPr>
                <w:sz w:val="26"/>
                <w:szCs w:val="26"/>
                <w:lang w:eastAsia="lv-LV"/>
              </w:rPr>
            </w:pPr>
            <w:r w:rsidRPr="00ED439B">
              <w:rPr>
                <w:sz w:val="26"/>
                <w:szCs w:val="26"/>
              </w:rPr>
              <w:t>6.2. detalizēts izdevumu aprēķins</w:t>
            </w:r>
          </w:p>
        </w:tc>
        <w:tc>
          <w:tcPr>
            <w:tcW w:w="6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9B" w:rsidRPr="00ED439B" w:rsidRDefault="00ED439B" w:rsidP="00C24635">
            <w:pPr>
              <w:rPr>
                <w:b/>
                <w:i/>
                <w:sz w:val="26"/>
                <w:szCs w:val="26"/>
                <w:lang w:eastAsia="lv-LV"/>
              </w:rPr>
            </w:pPr>
          </w:p>
        </w:tc>
      </w:tr>
      <w:tr w:rsidR="00ED439B" w:rsidRPr="00ED439B" w:rsidTr="00865515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9B" w:rsidRPr="00ED439B" w:rsidRDefault="00ED439B" w:rsidP="00C24635">
            <w:pPr>
              <w:jc w:val="both"/>
              <w:rPr>
                <w:sz w:val="26"/>
                <w:szCs w:val="26"/>
                <w:lang w:eastAsia="lv-LV"/>
              </w:rPr>
            </w:pPr>
            <w:r w:rsidRPr="00ED439B">
              <w:rPr>
                <w:sz w:val="26"/>
                <w:szCs w:val="26"/>
              </w:rPr>
              <w:t>7. Cita informācija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B" w:rsidRPr="00ED439B" w:rsidRDefault="00ED439B" w:rsidP="00ED439B">
            <w:pPr>
              <w:ind w:firstLine="639"/>
              <w:jc w:val="both"/>
              <w:rPr>
                <w:sz w:val="26"/>
                <w:szCs w:val="26"/>
                <w:lang w:eastAsia="lv-LV"/>
              </w:rPr>
            </w:pPr>
            <w:r w:rsidRPr="00ED439B">
              <w:rPr>
                <w:color w:val="000000"/>
                <w:sz w:val="26"/>
                <w:szCs w:val="26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</w:t>
            </w:r>
            <w:r w:rsidRPr="00ED439B">
              <w:rPr>
                <w:sz w:val="26"/>
                <w:szCs w:val="26"/>
                <w:lang w:eastAsia="lv-LV"/>
              </w:rPr>
              <w:t>.</w:t>
            </w:r>
          </w:p>
        </w:tc>
      </w:tr>
    </w:tbl>
    <w:p w:rsidR="00CC7914" w:rsidRPr="00865515" w:rsidRDefault="00CC7914" w:rsidP="00865515">
      <w:pPr>
        <w:pStyle w:val="NormalWeb"/>
        <w:rPr>
          <w:rFonts w:ascii="Times New Roman" w:hAnsi="Times New Roman" w:cs="Times New Roman"/>
          <w:i/>
          <w:sz w:val="26"/>
          <w:szCs w:val="26"/>
        </w:rPr>
      </w:pPr>
      <w:proofErr w:type="spellStart"/>
      <w:proofErr w:type="gramStart"/>
      <w:r w:rsidRPr="00CC5738">
        <w:rPr>
          <w:rFonts w:ascii="Times New Roman" w:hAnsi="Times New Roman" w:cs="Times New Roman"/>
          <w:i/>
          <w:sz w:val="26"/>
          <w:szCs w:val="26"/>
        </w:rPr>
        <w:t>Anotācijas</w:t>
      </w:r>
      <w:proofErr w:type="spellEnd"/>
      <w:r w:rsidRPr="00CC5738">
        <w:rPr>
          <w:rFonts w:ascii="Times New Roman" w:hAnsi="Times New Roman" w:cs="Times New Roman"/>
          <w:i/>
          <w:sz w:val="26"/>
          <w:szCs w:val="26"/>
        </w:rPr>
        <w:t xml:space="preserve"> IV., V., VI.</w:t>
      </w:r>
      <w:proofErr w:type="gramEnd"/>
      <w:r w:rsidRPr="00CC573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CC5738">
        <w:rPr>
          <w:rFonts w:ascii="Times New Roman" w:hAnsi="Times New Roman" w:cs="Times New Roman"/>
          <w:i/>
          <w:sz w:val="26"/>
          <w:szCs w:val="26"/>
        </w:rPr>
        <w:t>un</w:t>
      </w:r>
      <w:proofErr w:type="gramEnd"/>
      <w:r w:rsidRPr="00CC5738">
        <w:rPr>
          <w:rFonts w:ascii="Times New Roman" w:hAnsi="Times New Roman" w:cs="Times New Roman"/>
          <w:i/>
          <w:sz w:val="26"/>
          <w:szCs w:val="26"/>
        </w:rPr>
        <w:t xml:space="preserve"> VII. </w:t>
      </w:r>
      <w:proofErr w:type="spellStart"/>
      <w:proofErr w:type="gramStart"/>
      <w:r w:rsidRPr="00CC5738">
        <w:rPr>
          <w:rFonts w:ascii="Times New Roman" w:hAnsi="Times New Roman" w:cs="Times New Roman"/>
          <w:i/>
          <w:sz w:val="26"/>
          <w:szCs w:val="26"/>
        </w:rPr>
        <w:t>sadaļas</w:t>
      </w:r>
      <w:proofErr w:type="spellEnd"/>
      <w:proofErr w:type="gramEnd"/>
      <w:r w:rsidRPr="00CC5738"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 w:rsidRPr="00CC5738">
        <w:rPr>
          <w:rFonts w:ascii="Times New Roman" w:hAnsi="Times New Roman" w:cs="Times New Roman"/>
          <w:i/>
          <w:sz w:val="26"/>
          <w:szCs w:val="26"/>
        </w:rPr>
        <w:t>projekts</w:t>
      </w:r>
      <w:proofErr w:type="spellEnd"/>
      <w:r w:rsidRPr="00CC573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5738">
        <w:rPr>
          <w:rFonts w:ascii="Times New Roman" w:hAnsi="Times New Roman" w:cs="Times New Roman"/>
          <w:i/>
          <w:sz w:val="26"/>
          <w:szCs w:val="26"/>
        </w:rPr>
        <w:t>šīs</w:t>
      </w:r>
      <w:proofErr w:type="spellEnd"/>
      <w:r w:rsidRPr="00CC573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5738">
        <w:rPr>
          <w:rFonts w:ascii="Times New Roman" w:hAnsi="Times New Roman" w:cs="Times New Roman"/>
          <w:i/>
          <w:sz w:val="26"/>
          <w:szCs w:val="26"/>
        </w:rPr>
        <w:t>jomas</w:t>
      </w:r>
      <w:proofErr w:type="spellEnd"/>
      <w:r w:rsidRPr="00CC573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5738">
        <w:rPr>
          <w:rFonts w:ascii="Times New Roman" w:hAnsi="Times New Roman" w:cs="Times New Roman"/>
          <w:i/>
          <w:sz w:val="26"/>
          <w:szCs w:val="26"/>
        </w:rPr>
        <w:t>neskar</w:t>
      </w:r>
      <w:proofErr w:type="spellEnd"/>
      <w:r w:rsidRPr="00CC5738">
        <w:rPr>
          <w:rFonts w:ascii="Times New Roman" w:hAnsi="Times New Roman" w:cs="Times New Roman"/>
          <w:i/>
          <w:sz w:val="26"/>
          <w:szCs w:val="26"/>
        </w:rPr>
        <w:t>.</w:t>
      </w:r>
    </w:p>
    <w:p w:rsidR="00CC7914" w:rsidRPr="00CC5738" w:rsidRDefault="00CC7914" w:rsidP="00CC7914">
      <w:pPr>
        <w:tabs>
          <w:tab w:val="left" w:pos="7200"/>
        </w:tabs>
        <w:suppressAutoHyphens/>
        <w:spacing w:after="0" w:line="240" w:lineRule="auto"/>
        <w:outlineLvl w:val="4"/>
        <w:rPr>
          <w:rFonts w:eastAsia="Times New Roman"/>
          <w:bCs/>
          <w:iCs/>
          <w:kern w:val="1"/>
          <w:sz w:val="26"/>
          <w:szCs w:val="26"/>
          <w:lang w:eastAsia="ar-SA"/>
        </w:rPr>
      </w:pPr>
      <w:r w:rsidRPr="00CC5738">
        <w:rPr>
          <w:rFonts w:eastAsia="Times New Roman"/>
          <w:bCs/>
          <w:iCs/>
          <w:kern w:val="1"/>
          <w:sz w:val="26"/>
          <w:szCs w:val="26"/>
          <w:lang w:eastAsia="ar-SA"/>
        </w:rPr>
        <w:t xml:space="preserve">Pielikumā: MK noteikumu projektā ietvertā skaitļa pārrēķins no latiem uz </w:t>
      </w:r>
      <w:proofErr w:type="spellStart"/>
      <w:r w:rsidRPr="00CC5738">
        <w:rPr>
          <w:rFonts w:eastAsia="Times New Roman"/>
          <w:bCs/>
          <w:i/>
          <w:iCs/>
          <w:kern w:val="1"/>
          <w:sz w:val="26"/>
          <w:szCs w:val="26"/>
          <w:lang w:eastAsia="ar-SA"/>
        </w:rPr>
        <w:t>euro</w:t>
      </w:r>
      <w:proofErr w:type="spellEnd"/>
      <w:r w:rsidRPr="00CC5738">
        <w:rPr>
          <w:rFonts w:eastAsia="Times New Roman"/>
          <w:bCs/>
          <w:iCs/>
          <w:kern w:val="1"/>
          <w:sz w:val="26"/>
          <w:szCs w:val="26"/>
          <w:lang w:eastAsia="ar-SA"/>
        </w:rPr>
        <w:t xml:space="preserve"> uz 1</w:t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 xml:space="preserve"> lp</w:t>
      </w:r>
      <w:r w:rsidRPr="00CC5738">
        <w:rPr>
          <w:rFonts w:eastAsia="Times New Roman"/>
          <w:bCs/>
          <w:iCs/>
          <w:kern w:val="1"/>
          <w:sz w:val="26"/>
          <w:szCs w:val="26"/>
          <w:lang w:eastAsia="ar-SA"/>
        </w:rPr>
        <w:t>.</w:t>
      </w:r>
    </w:p>
    <w:p w:rsidR="004F2AA5" w:rsidRDefault="004F2AA5" w:rsidP="004F2AA5">
      <w:pPr>
        <w:tabs>
          <w:tab w:val="left" w:pos="7200"/>
        </w:tabs>
        <w:suppressAutoHyphens/>
        <w:spacing w:after="0" w:line="240" w:lineRule="auto"/>
        <w:outlineLvl w:val="4"/>
        <w:rPr>
          <w:rFonts w:eastAsia="Times New Roman"/>
          <w:bCs/>
          <w:iCs/>
          <w:kern w:val="1"/>
          <w:sz w:val="26"/>
          <w:szCs w:val="26"/>
          <w:lang w:eastAsia="ar-SA"/>
        </w:rPr>
      </w:pPr>
    </w:p>
    <w:p w:rsidR="00CC7914" w:rsidRPr="00CC5738" w:rsidRDefault="00CC7914" w:rsidP="004F2AA5">
      <w:pPr>
        <w:tabs>
          <w:tab w:val="left" w:pos="7200"/>
        </w:tabs>
        <w:suppressAutoHyphens/>
        <w:spacing w:after="0" w:line="240" w:lineRule="auto"/>
        <w:outlineLvl w:val="4"/>
        <w:rPr>
          <w:rFonts w:eastAsia="Times New Roman"/>
          <w:bCs/>
          <w:iCs/>
          <w:kern w:val="1"/>
          <w:sz w:val="26"/>
          <w:szCs w:val="26"/>
          <w:lang w:eastAsia="ar-SA"/>
        </w:rPr>
      </w:pPr>
    </w:p>
    <w:p w:rsidR="00865515" w:rsidRPr="00865515" w:rsidRDefault="00865515" w:rsidP="00865515">
      <w:pPr>
        <w:spacing w:after="0" w:line="240" w:lineRule="auto"/>
        <w:rPr>
          <w:rFonts w:eastAsia="Times New Roman"/>
          <w:bCs/>
          <w:iCs/>
          <w:kern w:val="1"/>
          <w:sz w:val="26"/>
          <w:szCs w:val="26"/>
          <w:lang w:eastAsia="ar-SA"/>
        </w:rPr>
      </w:pPr>
    </w:p>
    <w:p w:rsidR="00865515" w:rsidRPr="00865515" w:rsidRDefault="00865515" w:rsidP="00865515">
      <w:pPr>
        <w:spacing w:after="0" w:line="240" w:lineRule="auto"/>
        <w:rPr>
          <w:rFonts w:eastAsia="Times New Roman"/>
          <w:bCs/>
          <w:iCs/>
          <w:kern w:val="1"/>
          <w:sz w:val="26"/>
          <w:szCs w:val="26"/>
          <w:lang w:eastAsia="ar-SA"/>
        </w:rPr>
      </w:pPr>
      <w:r>
        <w:rPr>
          <w:rFonts w:eastAsia="Times New Roman"/>
          <w:bCs/>
          <w:iCs/>
          <w:kern w:val="1"/>
          <w:sz w:val="26"/>
          <w:szCs w:val="26"/>
          <w:lang w:eastAsia="ar-SA"/>
        </w:rPr>
        <w:t>Ekonomikas ministrs</w:t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proofErr w:type="spellStart"/>
      <w:r w:rsidRPr="00865515">
        <w:rPr>
          <w:rFonts w:eastAsia="Times New Roman"/>
          <w:bCs/>
          <w:iCs/>
          <w:kern w:val="1"/>
          <w:sz w:val="26"/>
          <w:szCs w:val="26"/>
          <w:lang w:eastAsia="ar-SA"/>
        </w:rPr>
        <w:t>D.Pavļuts</w:t>
      </w:r>
      <w:proofErr w:type="spellEnd"/>
    </w:p>
    <w:p w:rsidR="00865515" w:rsidRPr="00865515" w:rsidRDefault="00865515" w:rsidP="00865515">
      <w:pPr>
        <w:spacing w:after="0" w:line="240" w:lineRule="auto"/>
        <w:rPr>
          <w:rFonts w:eastAsia="Times New Roman"/>
          <w:bCs/>
          <w:iCs/>
          <w:kern w:val="1"/>
          <w:sz w:val="26"/>
          <w:szCs w:val="26"/>
          <w:lang w:eastAsia="ar-SA"/>
        </w:rPr>
      </w:pPr>
    </w:p>
    <w:p w:rsidR="00865515" w:rsidRPr="00865515" w:rsidRDefault="00865515" w:rsidP="00865515">
      <w:pPr>
        <w:spacing w:after="0" w:line="240" w:lineRule="auto"/>
        <w:rPr>
          <w:rFonts w:eastAsia="Times New Roman"/>
          <w:bCs/>
          <w:iCs/>
          <w:kern w:val="1"/>
          <w:sz w:val="26"/>
          <w:szCs w:val="26"/>
          <w:lang w:eastAsia="ar-SA"/>
        </w:rPr>
      </w:pPr>
    </w:p>
    <w:p w:rsidR="00865515" w:rsidRPr="00865515" w:rsidRDefault="00865515" w:rsidP="00865515">
      <w:pPr>
        <w:spacing w:after="0" w:line="240" w:lineRule="auto"/>
        <w:rPr>
          <w:rFonts w:eastAsia="Times New Roman"/>
          <w:bCs/>
          <w:iCs/>
          <w:kern w:val="1"/>
          <w:sz w:val="26"/>
          <w:szCs w:val="26"/>
          <w:lang w:eastAsia="ar-SA"/>
        </w:rPr>
      </w:pPr>
      <w:r w:rsidRPr="00865515">
        <w:rPr>
          <w:rFonts w:eastAsia="Times New Roman"/>
          <w:bCs/>
          <w:iCs/>
          <w:kern w:val="1"/>
          <w:sz w:val="26"/>
          <w:szCs w:val="26"/>
          <w:lang w:eastAsia="ar-SA"/>
        </w:rPr>
        <w:t>Iesniedzējs:</w:t>
      </w:r>
    </w:p>
    <w:p w:rsidR="00865515" w:rsidRPr="00865515" w:rsidRDefault="00865515" w:rsidP="00865515">
      <w:pPr>
        <w:spacing w:after="0" w:line="240" w:lineRule="auto"/>
        <w:rPr>
          <w:rFonts w:eastAsia="Times New Roman"/>
          <w:bCs/>
          <w:iCs/>
          <w:kern w:val="1"/>
          <w:sz w:val="26"/>
          <w:szCs w:val="26"/>
          <w:lang w:eastAsia="ar-SA"/>
        </w:rPr>
      </w:pPr>
    </w:p>
    <w:p w:rsidR="00865515" w:rsidRPr="00865515" w:rsidRDefault="00865515" w:rsidP="00865515">
      <w:pPr>
        <w:spacing w:after="0" w:line="240" w:lineRule="auto"/>
        <w:rPr>
          <w:rFonts w:eastAsia="Times New Roman"/>
          <w:bCs/>
          <w:iCs/>
          <w:kern w:val="1"/>
          <w:sz w:val="26"/>
          <w:szCs w:val="26"/>
          <w:lang w:eastAsia="ar-SA"/>
        </w:rPr>
      </w:pPr>
      <w:r>
        <w:rPr>
          <w:rFonts w:eastAsia="Times New Roman"/>
          <w:bCs/>
          <w:iCs/>
          <w:kern w:val="1"/>
          <w:sz w:val="26"/>
          <w:szCs w:val="26"/>
          <w:lang w:eastAsia="ar-SA"/>
        </w:rPr>
        <w:t>Ekonomikas ministrs</w:t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proofErr w:type="spellStart"/>
      <w:r w:rsidRPr="00865515">
        <w:rPr>
          <w:rFonts w:eastAsia="Times New Roman"/>
          <w:bCs/>
          <w:iCs/>
          <w:kern w:val="1"/>
          <w:sz w:val="26"/>
          <w:szCs w:val="26"/>
          <w:lang w:eastAsia="ar-SA"/>
        </w:rPr>
        <w:t>D.Pavļuts</w:t>
      </w:r>
      <w:proofErr w:type="spellEnd"/>
    </w:p>
    <w:p w:rsidR="00865515" w:rsidRPr="00865515" w:rsidRDefault="00865515" w:rsidP="00865515">
      <w:pPr>
        <w:spacing w:after="0" w:line="240" w:lineRule="auto"/>
        <w:rPr>
          <w:rFonts w:eastAsia="Times New Roman"/>
          <w:bCs/>
          <w:iCs/>
          <w:kern w:val="1"/>
          <w:sz w:val="26"/>
          <w:szCs w:val="26"/>
          <w:lang w:eastAsia="ar-SA"/>
        </w:rPr>
      </w:pPr>
    </w:p>
    <w:p w:rsidR="004F2AA5" w:rsidRDefault="00865515" w:rsidP="00865515">
      <w:pPr>
        <w:spacing w:after="0" w:line="240" w:lineRule="auto"/>
        <w:rPr>
          <w:sz w:val="20"/>
          <w:szCs w:val="20"/>
        </w:rPr>
      </w:pPr>
      <w:r>
        <w:rPr>
          <w:rFonts w:eastAsia="Times New Roman"/>
          <w:bCs/>
          <w:iCs/>
          <w:kern w:val="1"/>
          <w:sz w:val="26"/>
          <w:szCs w:val="26"/>
          <w:lang w:eastAsia="ar-SA"/>
        </w:rPr>
        <w:t>Vīza: Valsts sekretārs</w:t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>
        <w:rPr>
          <w:rFonts w:eastAsia="Times New Roman"/>
          <w:bCs/>
          <w:iCs/>
          <w:kern w:val="1"/>
          <w:sz w:val="26"/>
          <w:szCs w:val="26"/>
          <w:lang w:eastAsia="ar-SA"/>
        </w:rPr>
        <w:tab/>
      </w:r>
      <w:r w:rsidRPr="00865515">
        <w:rPr>
          <w:rFonts w:eastAsia="Times New Roman"/>
          <w:bCs/>
          <w:iCs/>
          <w:kern w:val="1"/>
          <w:sz w:val="26"/>
          <w:szCs w:val="26"/>
          <w:lang w:eastAsia="ar-SA"/>
        </w:rPr>
        <w:t>J.Pūce</w:t>
      </w:r>
    </w:p>
    <w:p w:rsidR="004F2AA5" w:rsidRDefault="004F2AA5" w:rsidP="004F2AA5">
      <w:pPr>
        <w:spacing w:after="0" w:line="240" w:lineRule="auto"/>
        <w:rPr>
          <w:sz w:val="20"/>
          <w:szCs w:val="20"/>
        </w:rPr>
      </w:pPr>
    </w:p>
    <w:p w:rsidR="004F2AA5" w:rsidRDefault="004F2AA5" w:rsidP="004F2AA5">
      <w:pPr>
        <w:spacing w:after="0" w:line="240" w:lineRule="auto"/>
        <w:rPr>
          <w:sz w:val="20"/>
          <w:szCs w:val="20"/>
        </w:rPr>
      </w:pPr>
      <w:bookmarkStart w:id="4" w:name="_GoBack"/>
      <w:bookmarkEnd w:id="4"/>
    </w:p>
    <w:p w:rsidR="004F2AA5" w:rsidRDefault="004F2AA5" w:rsidP="004F2AA5">
      <w:pPr>
        <w:spacing w:after="0" w:line="240" w:lineRule="auto"/>
        <w:rPr>
          <w:sz w:val="20"/>
          <w:szCs w:val="20"/>
        </w:rPr>
      </w:pPr>
    </w:p>
    <w:p w:rsidR="004F2AA5" w:rsidRDefault="004F2AA5" w:rsidP="004F2AA5">
      <w:pPr>
        <w:spacing w:after="0" w:line="240" w:lineRule="auto"/>
        <w:rPr>
          <w:sz w:val="20"/>
          <w:szCs w:val="20"/>
        </w:rPr>
      </w:pPr>
    </w:p>
    <w:p w:rsidR="009F5FAE" w:rsidRDefault="009F5FAE" w:rsidP="009F5FAE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9F5FAE" w:rsidRPr="00FD3D0D" w:rsidRDefault="00F73743" w:rsidP="009F5FAE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10</w:t>
      </w:r>
      <w:r w:rsidR="00DA68E4">
        <w:rPr>
          <w:rFonts w:ascii="Times New Roman" w:hAnsi="Times New Roman" w:cs="Times New Roman"/>
          <w:sz w:val="20"/>
          <w:szCs w:val="28"/>
        </w:rPr>
        <w:t>.09</w:t>
      </w:r>
      <w:r w:rsidR="004F2649">
        <w:rPr>
          <w:rFonts w:ascii="Times New Roman" w:hAnsi="Times New Roman" w:cs="Times New Roman"/>
          <w:sz w:val="20"/>
          <w:szCs w:val="28"/>
        </w:rPr>
        <w:t>.2013</w:t>
      </w:r>
      <w:r w:rsidR="00163936">
        <w:rPr>
          <w:rFonts w:ascii="Times New Roman" w:hAnsi="Times New Roman" w:cs="Times New Roman"/>
          <w:sz w:val="20"/>
          <w:szCs w:val="28"/>
        </w:rPr>
        <w:t xml:space="preserve"> 14:34</w:t>
      </w:r>
    </w:p>
    <w:p w:rsidR="009F5FAE" w:rsidRPr="00FD3D0D" w:rsidRDefault="009F5FAE" w:rsidP="009F5FAE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FD3D0D">
        <w:rPr>
          <w:rFonts w:ascii="Times New Roman" w:hAnsi="Times New Roman" w:cs="Times New Roman"/>
        </w:rPr>
        <w:fldChar w:fldCharType="begin"/>
      </w:r>
      <w:r w:rsidRPr="00FD3D0D">
        <w:rPr>
          <w:rFonts w:ascii="Times New Roman" w:hAnsi="Times New Roman" w:cs="Times New Roman"/>
        </w:rPr>
        <w:instrText xml:space="preserve"> NUMWORDS   \* MERGEFORMAT </w:instrText>
      </w:r>
      <w:r w:rsidRPr="00FD3D0D">
        <w:rPr>
          <w:rFonts w:ascii="Times New Roman" w:hAnsi="Times New Roman" w:cs="Times New Roman"/>
        </w:rPr>
        <w:fldChar w:fldCharType="separate"/>
      </w:r>
      <w:r w:rsidR="00163936" w:rsidRPr="00163936">
        <w:rPr>
          <w:rFonts w:ascii="Times New Roman" w:hAnsi="Times New Roman" w:cs="Times New Roman"/>
          <w:noProof/>
          <w:sz w:val="20"/>
          <w:szCs w:val="28"/>
        </w:rPr>
        <w:t>639</w:t>
      </w:r>
      <w:r w:rsidRPr="00FD3D0D">
        <w:rPr>
          <w:rFonts w:ascii="Times New Roman" w:hAnsi="Times New Roman" w:cs="Times New Roman"/>
          <w:noProof/>
          <w:sz w:val="20"/>
          <w:szCs w:val="28"/>
        </w:rPr>
        <w:fldChar w:fldCharType="end"/>
      </w:r>
    </w:p>
    <w:p w:rsidR="009F5FAE" w:rsidRPr="00FD3D0D" w:rsidRDefault="009F5FAE" w:rsidP="009F5FAE">
      <w:pPr>
        <w:spacing w:after="0"/>
        <w:rPr>
          <w:sz w:val="20"/>
        </w:rPr>
      </w:pPr>
      <w:r w:rsidRPr="00FD3D0D">
        <w:rPr>
          <w:sz w:val="20"/>
        </w:rPr>
        <w:t>I.Peipiņa, 67013146</w:t>
      </w:r>
    </w:p>
    <w:p w:rsidR="009F5FAE" w:rsidRPr="008F47B4" w:rsidRDefault="009F5FAE" w:rsidP="009F5FAE">
      <w:pPr>
        <w:spacing w:after="0"/>
      </w:pPr>
      <w:r w:rsidRPr="00FD3D0D">
        <w:rPr>
          <w:sz w:val="20"/>
        </w:rPr>
        <w:t>Ilze.Peipina@em.gov.lv</w:t>
      </w:r>
    </w:p>
    <w:p w:rsidR="00172556" w:rsidRDefault="002675FC"/>
    <w:sectPr w:rsidR="00172556" w:rsidSect="00865515">
      <w:headerReference w:type="default" r:id="rId8"/>
      <w:footerReference w:type="default" r:id="rId9"/>
      <w:footerReference w:type="first" r:id="rId10"/>
      <w:pgSz w:w="11906" w:h="16838" w:code="9"/>
      <w:pgMar w:top="519" w:right="1134" w:bottom="1560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FC" w:rsidRDefault="002675FC" w:rsidP="009F5FAE">
      <w:pPr>
        <w:spacing w:after="0" w:line="240" w:lineRule="auto"/>
      </w:pPr>
      <w:r>
        <w:separator/>
      </w:r>
    </w:p>
  </w:endnote>
  <w:endnote w:type="continuationSeparator" w:id="0">
    <w:p w:rsidR="002675FC" w:rsidRDefault="002675FC" w:rsidP="009F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4" w:rsidRPr="008261D8" w:rsidRDefault="009F5FAE" w:rsidP="00AB24C4">
    <w:pPr>
      <w:jc w:val="both"/>
      <w:rPr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FILENAME   \* MERGEFORMAT </w:instrText>
    </w:r>
    <w:r>
      <w:rPr>
        <w:bCs/>
        <w:sz w:val="20"/>
        <w:szCs w:val="20"/>
      </w:rPr>
      <w:fldChar w:fldCharType="separate"/>
    </w:r>
    <w:r w:rsidR="00163936">
      <w:rPr>
        <w:bCs/>
        <w:noProof/>
        <w:sz w:val="20"/>
        <w:szCs w:val="20"/>
      </w:rPr>
      <w:t>EMAnot_100913_grozMKnot_796</w:t>
    </w:r>
    <w:r>
      <w:rPr>
        <w:bCs/>
        <w:sz w:val="20"/>
        <w:szCs w:val="20"/>
      </w:rPr>
      <w:fldChar w:fldCharType="end"/>
    </w:r>
    <w:r w:rsidR="002006B3" w:rsidRPr="00AB24C4">
      <w:rPr>
        <w:bCs/>
        <w:sz w:val="20"/>
        <w:szCs w:val="20"/>
      </w:rPr>
      <w:t>;</w:t>
    </w:r>
    <w:r w:rsidR="002006B3" w:rsidRPr="00BE2B8E">
      <w:rPr>
        <w:b/>
        <w:bCs/>
        <w:sz w:val="20"/>
        <w:szCs w:val="20"/>
      </w:rPr>
      <w:t xml:space="preserve"> </w:t>
    </w:r>
    <w:r w:rsidRPr="009F5FAE">
      <w:rPr>
        <w:bCs/>
        <w:sz w:val="20"/>
        <w:szCs w:val="20"/>
      </w:rPr>
      <w:t>Grozījumi Ministru kabineta 2008.gada 29.septembra noteikumos Nr.796 „Kārtība, kādā nosakāms naudas sods par Konkurences likuma 11.panta pirmajā daļā un 13.pantā paredzētajiem pārkāpumiem”</w:t>
    </w:r>
  </w:p>
  <w:p w:rsidR="005F2B79" w:rsidRPr="00C91121" w:rsidRDefault="002675FC" w:rsidP="00AB24C4">
    <w:pPr>
      <w:pStyle w:val="Heading3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79" w:rsidRPr="00586A68" w:rsidRDefault="00586A68" w:rsidP="00586A68">
    <w:pPr>
      <w:jc w:val="both"/>
      <w:rPr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FILENAME   \* MERGEFORMAT </w:instrText>
    </w:r>
    <w:r>
      <w:rPr>
        <w:bCs/>
        <w:sz w:val="20"/>
        <w:szCs w:val="20"/>
      </w:rPr>
      <w:fldChar w:fldCharType="separate"/>
    </w:r>
    <w:r w:rsidR="00163936">
      <w:rPr>
        <w:bCs/>
        <w:noProof/>
        <w:sz w:val="20"/>
        <w:szCs w:val="20"/>
      </w:rPr>
      <w:t>EMAnot_100913_grozMKnot_796</w:t>
    </w:r>
    <w:r>
      <w:rPr>
        <w:bCs/>
        <w:sz w:val="20"/>
        <w:szCs w:val="20"/>
      </w:rPr>
      <w:fldChar w:fldCharType="end"/>
    </w:r>
    <w:r w:rsidRPr="00AB24C4">
      <w:rPr>
        <w:bCs/>
        <w:sz w:val="20"/>
        <w:szCs w:val="20"/>
      </w:rPr>
      <w:t>;</w:t>
    </w:r>
    <w:r w:rsidRPr="00BE2B8E">
      <w:rPr>
        <w:b/>
        <w:bCs/>
        <w:sz w:val="20"/>
        <w:szCs w:val="20"/>
      </w:rPr>
      <w:t xml:space="preserve"> </w:t>
    </w:r>
    <w:r w:rsidRPr="009F5FAE">
      <w:rPr>
        <w:bCs/>
        <w:sz w:val="20"/>
        <w:szCs w:val="20"/>
      </w:rPr>
      <w:t>Grozījumi Ministru kabineta 2008.gada 29.septembra noteikumos Nr.796 „Kārtība, kādā nosakāms naudas sods par Konkurences likuma 11.panta pirmajā daļā un 13.pantā paredzētajiem pārkāpumiem”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FC" w:rsidRDefault="002675FC" w:rsidP="009F5FAE">
      <w:pPr>
        <w:spacing w:after="0" w:line="240" w:lineRule="auto"/>
      </w:pPr>
      <w:r>
        <w:separator/>
      </w:r>
    </w:p>
  </w:footnote>
  <w:footnote w:type="continuationSeparator" w:id="0">
    <w:p w:rsidR="002675FC" w:rsidRDefault="002675FC" w:rsidP="009F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79" w:rsidRDefault="002006B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936">
      <w:rPr>
        <w:noProof/>
      </w:rPr>
      <w:t>4</w:t>
    </w:r>
    <w:r>
      <w:rPr>
        <w:noProof/>
      </w:rPr>
      <w:fldChar w:fldCharType="end"/>
    </w:r>
  </w:p>
  <w:p w:rsidR="005F2B79" w:rsidRDefault="002675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59F8"/>
    <w:multiLevelType w:val="hybridMultilevel"/>
    <w:tmpl w:val="B3508DA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A5"/>
    <w:rsid w:val="00163936"/>
    <w:rsid w:val="001C7737"/>
    <w:rsid w:val="002006B3"/>
    <w:rsid w:val="002154D4"/>
    <w:rsid w:val="002675FC"/>
    <w:rsid w:val="0036070F"/>
    <w:rsid w:val="00360BC1"/>
    <w:rsid w:val="00407EB3"/>
    <w:rsid w:val="004F2649"/>
    <w:rsid w:val="004F2AA5"/>
    <w:rsid w:val="00586A68"/>
    <w:rsid w:val="005C26CC"/>
    <w:rsid w:val="006B33B4"/>
    <w:rsid w:val="007A23B0"/>
    <w:rsid w:val="0083433B"/>
    <w:rsid w:val="00865515"/>
    <w:rsid w:val="00897957"/>
    <w:rsid w:val="008D74BE"/>
    <w:rsid w:val="009F5FAE"/>
    <w:rsid w:val="00A80337"/>
    <w:rsid w:val="00B719D9"/>
    <w:rsid w:val="00BE3C44"/>
    <w:rsid w:val="00BF5FAD"/>
    <w:rsid w:val="00C32C34"/>
    <w:rsid w:val="00CB2174"/>
    <w:rsid w:val="00CC7914"/>
    <w:rsid w:val="00DA68E4"/>
    <w:rsid w:val="00E22200"/>
    <w:rsid w:val="00EA2C71"/>
    <w:rsid w:val="00ED439B"/>
    <w:rsid w:val="00ED62B4"/>
    <w:rsid w:val="00F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A5"/>
    <w:rPr>
      <w:rFonts w:ascii="Times New Roman" w:eastAsia="Calibri" w:hAnsi="Times New Roman" w:cs="Times New Roman"/>
      <w:sz w:val="24"/>
      <w:lang w:val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2A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2AA5"/>
    <w:rPr>
      <w:rFonts w:ascii="Cambria" w:eastAsia="Times New Roman" w:hAnsi="Cambria" w:cs="Times New Roman"/>
      <w:b/>
      <w:bCs/>
      <w:sz w:val="26"/>
      <w:szCs w:val="26"/>
      <w:lang w:val="lv-LV"/>
    </w:rPr>
  </w:style>
  <w:style w:type="paragraph" w:customStyle="1" w:styleId="naisnod">
    <w:name w:val="naisnod"/>
    <w:basedOn w:val="Normal"/>
    <w:rsid w:val="004F2AA5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kr">
    <w:name w:val="naiskr"/>
    <w:basedOn w:val="Normal"/>
    <w:rsid w:val="004F2AA5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f">
    <w:name w:val="naisf"/>
    <w:basedOn w:val="Normal"/>
    <w:rsid w:val="004F2AA5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lab">
    <w:name w:val="naislab"/>
    <w:basedOn w:val="Normal"/>
    <w:rsid w:val="004F2AA5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F2A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AA5"/>
    <w:rPr>
      <w:rFonts w:ascii="Times New Roman" w:eastAsia="Calibri" w:hAnsi="Times New Roman" w:cs="Times New Roman"/>
      <w:sz w:val="24"/>
      <w:lang w:val="lv-LV"/>
    </w:rPr>
  </w:style>
  <w:style w:type="paragraph" w:styleId="NormalWeb">
    <w:name w:val="Normal (Web)"/>
    <w:basedOn w:val="Normal"/>
    <w:uiPriority w:val="99"/>
    <w:rsid w:val="004F2AA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2AA5"/>
    <w:pPr>
      <w:spacing w:after="0" w:line="240" w:lineRule="auto"/>
      <w:ind w:left="720"/>
    </w:pPr>
    <w:rPr>
      <w:rFonts w:ascii="Calibri" w:hAnsi="Calibri"/>
      <w:sz w:val="22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5FAE"/>
    <w:pPr>
      <w:spacing w:after="120"/>
      <w:ind w:left="283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5FAE"/>
  </w:style>
  <w:style w:type="paragraph" w:styleId="BalloonText">
    <w:name w:val="Balloon Text"/>
    <w:basedOn w:val="Normal"/>
    <w:link w:val="BalloonTextChar"/>
    <w:uiPriority w:val="99"/>
    <w:semiHidden/>
    <w:unhideWhenUsed/>
    <w:rsid w:val="009F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AE"/>
    <w:rPr>
      <w:rFonts w:ascii="Tahoma" w:eastAsia="Calibri" w:hAnsi="Tahoma" w:cs="Tahoma"/>
      <w:sz w:val="16"/>
      <w:szCs w:val="16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F5F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AE"/>
    <w:rPr>
      <w:rFonts w:ascii="Times New Roman" w:eastAsia="Calibri" w:hAnsi="Times New Roman" w:cs="Times New Roman"/>
      <w:sz w:val="24"/>
      <w:lang w:val="lv-LV"/>
    </w:rPr>
  </w:style>
  <w:style w:type="paragraph" w:styleId="FootnoteText">
    <w:name w:val="footnote text"/>
    <w:basedOn w:val="Normal"/>
    <w:link w:val="FootnoteTextChar"/>
    <w:semiHidden/>
    <w:rsid w:val="002154D4"/>
    <w:pPr>
      <w:spacing w:after="0" w:line="240" w:lineRule="auto"/>
    </w:pPr>
    <w:rPr>
      <w:rFonts w:eastAsia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2154D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tv2133">
    <w:name w:val="tv2133"/>
    <w:basedOn w:val="Normal"/>
    <w:rsid w:val="002154D4"/>
    <w:pPr>
      <w:spacing w:after="0" w:line="360" w:lineRule="auto"/>
      <w:ind w:firstLine="324"/>
    </w:pPr>
    <w:rPr>
      <w:rFonts w:eastAsia="Times New Roman"/>
      <w:color w:val="414142"/>
      <w:sz w:val="21"/>
      <w:szCs w:val="21"/>
      <w:lang w:eastAsia="lv-LV"/>
    </w:rPr>
  </w:style>
  <w:style w:type="paragraph" w:customStyle="1" w:styleId="naispant">
    <w:name w:val="naispant"/>
    <w:basedOn w:val="Normal"/>
    <w:rsid w:val="002154D4"/>
    <w:pPr>
      <w:spacing w:before="300" w:after="150" w:line="240" w:lineRule="auto"/>
      <w:ind w:left="375" w:firstLine="375"/>
      <w:jc w:val="both"/>
    </w:pPr>
    <w:rPr>
      <w:rFonts w:eastAsia="Times New Roman"/>
      <w:b/>
      <w:bCs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A5"/>
    <w:rPr>
      <w:rFonts w:ascii="Times New Roman" w:eastAsia="Calibri" w:hAnsi="Times New Roman" w:cs="Times New Roman"/>
      <w:sz w:val="24"/>
      <w:lang w:val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2A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2AA5"/>
    <w:rPr>
      <w:rFonts w:ascii="Cambria" w:eastAsia="Times New Roman" w:hAnsi="Cambria" w:cs="Times New Roman"/>
      <w:b/>
      <w:bCs/>
      <w:sz w:val="26"/>
      <w:szCs w:val="26"/>
      <w:lang w:val="lv-LV"/>
    </w:rPr>
  </w:style>
  <w:style w:type="paragraph" w:customStyle="1" w:styleId="naisnod">
    <w:name w:val="naisnod"/>
    <w:basedOn w:val="Normal"/>
    <w:rsid w:val="004F2AA5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kr">
    <w:name w:val="naiskr"/>
    <w:basedOn w:val="Normal"/>
    <w:rsid w:val="004F2AA5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f">
    <w:name w:val="naisf"/>
    <w:basedOn w:val="Normal"/>
    <w:rsid w:val="004F2AA5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lab">
    <w:name w:val="naislab"/>
    <w:basedOn w:val="Normal"/>
    <w:rsid w:val="004F2AA5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F2A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AA5"/>
    <w:rPr>
      <w:rFonts w:ascii="Times New Roman" w:eastAsia="Calibri" w:hAnsi="Times New Roman" w:cs="Times New Roman"/>
      <w:sz w:val="24"/>
      <w:lang w:val="lv-LV"/>
    </w:rPr>
  </w:style>
  <w:style w:type="paragraph" w:styleId="NormalWeb">
    <w:name w:val="Normal (Web)"/>
    <w:basedOn w:val="Normal"/>
    <w:uiPriority w:val="99"/>
    <w:rsid w:val="004F2AA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2AA5"/>
    <w:pPr>
      <w:spacing w:after="0" w:line="240" w:lineRule="auto"/>
      <w:ind w:left="720"/>
    </w:pPr>
    <w:rPr>
      <w:rFonts w:ascii="Calibri" w:hAnsi="Calibri"/>
      <w:sz w:val="22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5FAE"/>
    <w:pPr>
      <w:spacing w:after="120"/>
      <w:ind w:left="283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5FAE"/>
  </w:style>
  <w:style w:type="paragraph" w:styleId="BalloonText">
    <w:name w:val="Balloon Text"/>
    <w:basedOn w:val="Normal"/>
    <w:link w:val="BalloonTextChar"/>
    <w:uiPriority w:val="99"/>
    <w:semiHidden/>
    <w:unhideWhenUsed/>
    <w:rsid w:val="009F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AE"/>
    <w:rPr>
      <w:rFonts w:ascii="Tahoma" w:eastAsia="Calibri" w:hAnsi="Tahoma" w:cs="Tahoma"/>
      <w:sz w:val="16"/>
      <w:szCs w:val="16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F5F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AE"/>
    <w:rPr>
      <w:rFonts w:ascii="Times New Roman" w:eastAsia="Calibri" w:hAnsi="Times New Roman" w:cs="Times New Roman"/>
      <w:sz w:val="24"/>
      <w:lang w:val="lv-LV"/>
    </w:rPr>
  </w:style>
  <w:style w:type="paragraph" w:styleId="FootnoteText">
    <w:name w:val="footnote text"/>
    <w:basedOn w:val="Normal"/>
    <w:link w:val="FootnoteTextChar"/>
    <w:semiHidden/>
    <w:rsid w:val="002154D4"/>
    <w:pPr>
      <w:spacing w:after="0" w:line="240" w:lineRule="auto"/>
    </w:pPr>
    <w:rPr>
      <w:rFonts w:eastAsia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2154D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tv2133">
    <w:name w:val="tv2133"/>
    <w:basedOn w:val="Normal"/>
    <w:rsid w:val="002154D4"/>
    <w:pPr>
      <w:spacing w:after="0" w:line="360" w:lineRule="auto"/>
      <w:ind w:firstLine="324"/>
    </w:pPr>
    <w:rPr>
      <w:rFonts w:eastAsia="Times New Roman"/>
      <w:color w:val="414142"/>
      <w:sz w:val="21"/>
      <w:szCs w:val="21"/>
      <w:lang w:eastAsia="lv-LV"/>
    </w:rPr>
  </w:style>
  <w:style w:type="paragraph" w:customStyle="1" w:styleId="naispant">
    <w:name w:val="naispant"/>
    <w:basedOn w:val="Normal"/>
    <w:rsid w:val="002154D4"/>
    <w:pPr>
      <w:spacing w:before="300" w:after="150" w:line="240" w:lineRule="auto"/>
      <w:ind w:left="375" w:firstLine="375"/>
      <w:jc w:val="both"/>
    </w:pPr>
    <w:rPr>
      <w:rFonts w:eastAsia="Times New Roman"/>
      <w:b/>
      <w:bCs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4553</Characters>
  <Application>Microsoft Office Word</Application>
  <DocSecurity>0</DocSecurity>
  <Lines>325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„Grozījumi Ministru kabineta 2008.gada 29.septembra noteikumos Nr.796 „Kārtība, kādā nosakāms naudas sods par Konkurences likuma 11.panta pirmajā daļā un 13.pantā paredzētajiem pārkāpumiem”” sākotnējās ietekmes novērtējuma ziņojums</dc:title>
  <dc:creator>Ilze Peipiņa</dc:creator>
  <dc:description>Ilze Peipiņa, Ilze.Peipina@gmail.com, 67013146</dc:description>
  <cp:lastModifiedBy>Ilze Peipiņa</cp:lastModifiedBy>
  <cp:revision>4</cp:revision>
  <cp:lastPrinted>2013-09-10T11:32:00Z</cp:lastPrinted>
  <dcterms:created xsi:type="dcterms:W3CDTF">2013-09-09T13:20:00Z</dcterms:created>
  <dcterms:modified xsi:type="dcterms:W3CDTF">2013-09-10T11:32:00Z</dcterms:modified>
</cp:coreProperties>
</file>