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0" w:rsidRPr="00342158" w:rsidRDefault="001F5390" w:rsidP="001F5390">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342158">
        <w:rPr>
          <w:rFonts w:ascii="Times New Roman" w:eastAsia="Times New Roman" w:hAnsi="Times New Roman" w:cs="Times New Roman"/>
          <w:b/>
          <w:sz w:val="24"/>
          <w:szCs w:val="24"/>
          <w:lang w:eastAsia="lv-LV"/>
        </w:rPr>
        <w:t>Ministru kabineta noteikumu projekta „</w:t>
      </w:r>
      <w:bookmarkEnd w:id="0"/>
      <w:bookmarkEnd w:id="1"/>
      <w:r w:rsidR="00D06495" w:rsidRPr="00342158">
        <w:rPr>
          <w:rFonts w:ascii="Times New Roman" w:eastAsia="Times New Roman" w:hAnsi="Times New Roman" w:cs="Times New Roman"/>
          <w:b/>
          <w:sz w:val="24"/>
          <w:szCs w:val="24"/>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r w:rsidR="00FD2F61" w:rsidRPr="00342158">
        <w:rPr>
          <w:rFonts w:ascii="Times New Roman" w:eastAsia="Times New Roman" w:hAnsi="Times New Roman" w:cs="Times New Roman"/>
          <w:b/>
          <w:sz w:val="24"/>
          <w:szCs w:val="24"/>
          <w:lang w:eastAsia="lv-LV"/>
        </w:rPr>
        <w:t>”</w:t>
      </w:r>
      <w:r w:rsidRPr="00342158">
        <w:rPr>
          <w:rFonts w:ascii="Times New Roman" w:eastAsia="Times New Roman" w:hAnsi="Times New Roman" w:cs="Times New Roman"/>
          <w:b/>
          <w:sz w:val="24"/>
          <w:szCs w:val="24"/>
          <w:lang w:eastAsia="lv-LV"/>
        </w:rPr>
        <w:t xml:space="preserve"> sākotnējās ietekmes novērtējuma ziņojums (anotācija)</w:t>
      </w:r>
    </w:p>
    <w:bookmarkEnd w:id="2"/>
    <w:bookmarkEnd w:id="3"/>
    <w:bookmarkEnd w:id="4"/>
    <w:bookmarkEnd w:id="5"/>
    <w:bookmarkEnd w:id="6"/>
    <w:bookmarkEnd w:id="7"/>
    <w:p w:rsidR="001F5390" w:rsidRPr="00342158" w:rsidRDefault="001F5390" w:rsidP="001F5390">
      <w:pPr>
        <w:spacing w:after="0" w:line="240" w:lineRule="auto"/>
        <w:rPr>
          <w:rFonts w:ascii="Times New Roman" w:eastAsia="Calibri" w:hAnsi="Times New Roman" w:cs="Times New Roman"/>
          <w:b/>
          <w:sz w:val="24"/>
          <w:szCs w:val="24"/>
        </w:rPr>
      </w:pPr>
    </w:p>
    <w:p w:rsidR="007F70FB" w:rsidRPr="00342158" w:rsidRDefault="007F70FB" w:rsidP="001F5390">
      <w:pPr>
        <w:spacing w:after="0" w:line="240" w:lineRule="auto"/>
        <w:rPr>
          <w:rFonts w:ascii="Times New Roman" w:eastAsia="Calibri" w:hAnsi="Times New Roman" w:cs="Times New Roman"/>
          <w:b/>
          <w:sz w:val="24"/>
          <w:szCs w:val="24"/>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283"/>
        <w:gridCol w:w="6804"/>
      </w:tblGrid>
      <w:tr w:rsidR="00D40CFC" w:rsidRPr="00342158"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342158" w:rsidRDefault="00D40CFC" w:rsidP="007C357A">
            <w:pPr>
              <w:spacing w:after="0" w:line="240" w:lineRule="auto"/>
              <w:jc w:val="center"/>
              <w:rPr>
                <w:rFonts w:ascii="Times New Roman" w:eastAsia="Times New Roman" w:hAnsi="Times New Roman" w:cs="Times New Roman"/>
                <w:b/>
                <w:sz w:val="24"/>
                <w:szCs w:val="24"/>
                <w:lang w:eastAsia="lv-LV"/>
              </w:rPr>
            </w:pPr>
            <w:r w:rsidRPr="00342158">
              <w:rPr>
                <w:rFonts w:ascii="Times New Roman" w:eastAsia="Times New Roman" w:hAnsi="Times New Roman" w:cs="Times New Roman"/>
                <w:b/>
                <w:sz w:val="24"/>
                <w:szCs w:val="24"/>
                <w:lang w:eastAsia="lv-LV"/>
              </w:rPr>
              <w:t>I.Tiesību akta projekta izstrādes nepieciešamība</w:t>
            </w:r>
          </w:p>
        </w:tc>
      </w:tr>
      <w:tr w:rsidR="00D40CFC" w:rsidRPr="00342158"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1. Pamatojums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57A6D">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Noteikumu projekts sagatavots, pamatojoties uz Eiropas Savienības struktūrfondu un</w:t>
            </w:r>
            <w:r w:rsidR="00757A6D" w:rsidRPr="00342158">
              <w:rPr>
                <w:rFonts w:ascii="Times New Roman" w:eastAsia="Calibri" w:hAnsi="Times New Roman" w:cs="Times New Roman"/>
                <w:sz w:val="24"/>
                <w:szCs w:val="24"/>
              </w:rPr>
              <w:t xml:space="preserve"> </w:t>
            </w:r>
            <w:r w:rsidRPr="00342158">
              <w:rPr>
                <w:rFonts w:ascii="Times New Roman" w:eastAsia="Calibri" w:hAnsi="Times New Roman" w:cs="Times New Roman"/>
                <w:sz w:val="24"/>
                <w:szCs w:val="24"/>
              </w:rPr>
              <w:t xml:space="preserve">Kohēzijas fonda vadības likuma </w:t>
            </w:r>
            <w:r w:rsidRPr="00342158">
              <w:rPr>
                <w:rFonts w:ascii="Times New Roman" w:eastAsia="Calibri" w:hAnsi="Times New Roman" w:cs="Times New Roman"/>
                <w:sz w:val="24"/>
                <w:szCs w:val="24"/>
              </w:rPr>
              <w:br/>
              <w:t>18.panta 10.punktu.</w:t>
            </w:r>
          </w:p>
        </w:tc>
      </w:tr>
      <w:tr w:rsidR="00D40CFC" w:rsidRPr="00342158"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2. Pašreizējā situācija un problēmas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884529" w:rsidRPr="00342158" w:rsidRDefault="00884529" w:rsidP="00884529">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 xml:space="preserve">Finansējuma palielināšana un atlases 4.kārta </w:t>
            </w:r>
          </w:p>
          <w:p w:rsidR="009473ED" w:rsidRPr="00342158" w:rsidRDefault="00923E26" w:rsidP="009473ED">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 xml:space="preserve">Saskaņā ar šobrīd spēkā </w:t>
            </w:r>
            <w:r w:rsidR="00DB6F60" w:rsidRPr="00342158">
              <w:rPr>
                <w:rFonts w:ascii="Times New Roman" w:eastAsia="Calibri" w:hAnsi="Times New Roman" w:cs="Times New Roman"/>
                <w:sz w:val="24"/>
                <w:szCs w:val="24"/>
              </w:rPr>
              <w:t xml:space="preserve">esošo Ministru kabineta 2011.gada 19.oktobra noteikumu </w:t>
            </w:r>
            <w:r w:rsidRPr="00342158">
              <w:rPr>
                <w:rFonts w:ascii="Times New Roman" w:eastAsia="Calibri" w:hAnsi="Times New Roman" w:cs="Times New Roman"/>
                <w:sz w:val="24"/>
                <w:szCs w:val="24"/>
              </w:rPr>
              <w:t>Nr.817</w:t>
            </w:r>
            <w:r w:rsidR="00DB6F60" w:rsidRPr="00342158">
              <w:rPr>
                <w:rFonts w:ascii="Times New Roman" w:eastAsia="Calibri" w:hAnsi="Times New Roman" w:cs="Times New Roman"/>
                <w:sz w:val="24"/>
                <w:szCs w:val="24"/>
              </w:rPr>
              <w:t xml:space="preserve"> „</w:t>
            </w:r>
            <w:r w:rsidR="006105B8" w:rsidRPr="00342158">
              <w:rPr>
                <w:rFonts w:ascii="Times New Roman" w:eastAsia="Calibri" w:hAnsi="Times New Roman" w:cs="Times New Roman"/>
                <w:sz w:val="24"/>
                <w:szCs w:val="24"/>
              </w:rPr>
              <w:t>Noteikumi par darbības programmas „Uzņēmējdarbība un inovācijas” papildinājuma 2.1.2.4.aktivitātes „Augstas pievienotās vērtības investīcijas” projektu iesniegumu atlases otro un turpmākajām kārtām””</w:t>
            </w:r>
            <w:r w:rsidR="00DB6F60" w:rsidRPr="00342158">
              <w:rPr>
                <w:rFonts w:ascii="Times New Roman" w:eastAsia="Calibri" w:hAnsi="Times New Roman" w:cs="Times New Roman"/>
                <w:sz w:val="24"/>
                <w:szCs w:val="24"/>
              </w:rPr>
              <w:t xml:space="preserve"> (turpmāk – MK noteikumi Nr.817) redakciju aktivitātes</w:t>
            </w:r>
            <w:r w:rsidRPr="00342158">
              <w:rPr>
                <w:rFonts w:ascii="Times New Roman" w:eastAsia="Calibri" w:hAnsi="Times New Roman" w:cs="Times New Roman"/>
                <w:sz w:val="24"/>
                <w:szCs w:val="24"/>
              </w:rPr>
              <w:t xml:space="preserve"> 3.kārtas </w:t>
            </w:r>
            <w:r w:rsidR="00DB6F60" w:rsidRPr="00342158">
              <w:rPr>
                <w:rFonts w:ascii="Times New Roman" w:eastAsia="Calibri" w:hAnsi="Times New Roman" w:cs="Times New Roman"/>
                <w:sz w:val="24"/>
                <w:szCs w:val="24"/>
              </w:rPr>
              <w:t xml:space="preserve">ietvaros pieejamais </w:t>
            </w:r>
            <w:r w:rsidRPr="00342158">
              <w:rPr>
                <w:rFonts w:ascii="Times New Roman" w:eastAsia="Calibri" w:hAnsi="Times New Roman" w:cs="Times New Roman"/>
                <w:sz w:val="24"/>
                <w:szCs w:val="24"/>
              </w:rPr>
              <w:t xml:space="preserve">finansējums ir </w:t>
            </w:r>
            <w:r w:rsidR="00AB5CF4" w:rsidRPr="00342158">
              <w:rPr>
                <w:rFonts w:ascii="Times New Roman" w:eastAsia="Calibri" w:hAnsi="Times New Roman" w:cs="Times New Roman"/>
                <w:sz w:val="24"/>
                <w:szCs w:val="24"/>
              </w:rPr>
              <w:t>26 576 881 lati</w:t>
            </w:r>
            <w:r w:rsidR="008D236C" w:rsidRPr="00342158">
              <w:rPr>
                <w:rFonts w:ascii="Times New Roman" w:eastAsia="Calibri" w:hAnsi="Times New Roman" w:cs="Times New Roman"/>
                <w:sz w:val="24"/>
                <w:szCs w:val="24"/>
              </w:rPr>
              <w:t xml:space="preserve"> </w:t>
            </w:r>
            <w:r w:rsidR="008D236C" w:rsidRPr="00342158">
              <w:rPr>
                <w:rFonts w:ascii="Times New Roman" w:eastAsia="Calibri" w:hAnsi="Times New Roman" w:cs="Times New Roman"/>
                <w:b/>
                <w:sz w:val="24"/>
                <w:szCs w:val="24"/>
              </w:rPr>
              <w:t xml:space="preserve">(37 815 495 </w:t>
            </w:r>
            <w:proofErr w:type="spellStart"/>
            <w:r w:rsidR="00E176CA" w:rsidRPr="00342158">
              <w:rPr>
                <w:rFonts w:ascii="Times New Roman" w:eastAsia="Calibri" w:hAnsi="Times New Roman" w:cs="Times New Roman"/>
                <w:b/>
                <w:i/>
                <w:sz w:val="24"/>
                <w:szCs w:val="24"/>
              </w:rPr>
              <w:t>euro</w:t>
            </w:r>
            <w:proofErr w:type="spellEnd"/>
            <w:r w:rsidR="008D236C" w:rsidRPr="00342158">
              <w:rPr>
                <w:rFonts w:ascii="Times New Roman" w:eastAsia="Calibri" w:hAnsi="Times New Roman" w:cs="Times New Roman"/>
                <w:b/>
                <w:sz w:val="24"/>
                <w:szCs w:val="24"/>
              </w:rPr>
              <w:t>)</w:t>
            </w:r>
            <w:r w:rsidR="00AB5CF4" w:rsidRPr="00342158">
              <w:rPr>
                <w:rFonts w:ascii="Times New Roman" w:eastAsia="Calibri" w:hAnsi="Times New Roman" w:cs="Times New Roman"/>
                <w:sz w:val="24"/>
                <w:szCs w:val="24"/>
              </w:rPr>
              <w:t>.</w:t>
            </w:r>
          </w:p>
          <w:p w:rsidR="009473ED" w:rsidRPr="00342158" w:rsidRDefault="00DB6F60" w:rsidP="00C3627C">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sz w:val="24"/>
                <w:szCs w:val="24"/>
              </w:rPr>
              <w:t xml:space="preserve">2013.gada </w:t>
            </w:r>
            <w:r w:rsidR="00EC7909" w:rsidRPr="00342158">
              <w:rPr>
                <w:rFonts w:ascii="Times New Roman" w:eastAsia="Calibri" w:hAnsi="Times New Roman" w:cs="Times New Roman"/>
                <w:sz w:val="24"/>
                <w:szCs w:val="24"/>
              </w:rPr>
              <w:t>15.maija ES Struktūrfondu Uzraudzības komitejā</w:t>
            </w:r>
            <w:r w:rsidR="00757A6D" w:rsidRPr="00342158">
              <w:rPr>
                <w:rFonts w:ascii="Times New Roman" w:eastAsia="Calibri" w:hAnsi="Times New Roman" w:cs="Times New Roman"/>
                <w:sz w:val="24"/>
                <w:szCs w:val="24"/>
              </w:rPr>
              <w:t xml:space="preserve"> </w:t>
            </w:r>
            <w:r w:rsidRPr="00342158">
              <w:rPr>
                <w:rFonts w:ascii="Times New Roman" w:eastAsia="Calibri" w:hAnsi="Times New Roman" w:cs="Times New Roman"/>
                <w:sz w:val="24"/>
                <w:szCs w:val="24"/>
              </w:rPr>
              <w:t>tika pieņemts lēmums palielināt aktivitātes ietvaros pieejamo finansējumu. Pamatojoties uz augstāk minēto lēmumu</w:t>
            </w:r>
            <w:r w:rsidR="00757A6D"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Finanšu ministrija ir izstrādājusi grozījumus  </w:t>
            </w:r>
            <w:r w:rsidR="00AB5CF4" w:rsidRPr="00342158">
              <w:rPr>
                <w:rFonts w:ascii="Times New Roman" w:eastAsia="Calibri" w:hAnsi="Times New Roman" w:cs="Times New Roman"/>
                <w:sz w:val="24"/>
                <w:szCs w:val="24"/>
              </w:rPr>
              <w:t xml:space="preserve"> darbības programmā </w:t>
            </w:r>
            <w:r w:rsidR="00AB0900" w:rsidRPr="00342158">
              <w:rPr>
                <w:rFonts w:ascii="Times New Roman" w:eastAsia="Calibri" w:hAnsi="Times New Roman" w:cs="Times New Roman"/>
                <w:sz w:val="24"/>
                <w:szCs w:val="24"/>
              </w:rPr>
              <w:t>„Uzņēmējdarbība un inovācijas”</w:t>
            </w:r>
            <w:r w:rsidR="00841F86"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palielinot aktivitātē pieejamo finansējum</w:t>
            </w:r>
            <w:r w:rsidR="00841F86" w:rsidRPr="00342158">
              <w:rPr>
                <w:rFonts w:ascii="Times New Roman" w:eastAsia="Calibri" w:hAnsi="Times New Roman" w:cs="Times New Roman"/>
                <w:sz w:val="24"/>
                <w:szCs w:val="24"/>
              </w:rPr>
              <w:t>u</w:t>
            </w:r>
            <w:r w:rsidR="001F4641" w:rsidRPr="00342158">
              <w:rPr>
                <w:rFonts w:ascii="Times New Roman" w:eastAsia="Calibri" w:hAnsi="Times New Roman" w:cs="Times New Roman"/>
                <w:sz w:val="24"/>
                <w:szCs w:val="24"/>
              </w:rPr>
              <w:t xml:space="preserve"> un paredzot papildus finansējumu </w:t>
            </w:r>
            <w:r w:rsidR="0087325A" w:rsidRPr="00342158">
              <w:rPr>
                <w:rFonts w:ascii="Times New Roman" w:eastAsia="Calibri" w:hAnsi="Times New Roman" w:cs="Times New Roman"/>
                <w:sz w:val="24"/>
                <w:szCs w:val="24"/>
              </w:rPr>
              <w:t>13 336 </w:t>
            </w:r>
            <w:r w:rsidR="00705F85" w:rsidRPr="00342158">
              <w:rPr>
                <w:rFonts w:ascii="Times New Roman" w:eastAsia="Calibri" w:hAnsi="Times New Roman" w:cs="Times New Roman"/>
                <w:b/>
                <w:sz w:val="24"/>
                <w:szCs w:val="24"/>
              </w:rPr>
              <w:t>958</w:t>
            </w:r>
            <w:r w:rsidR="00705F85" w:rsidRPr="00342158">
              <w:rPr>
                <w:rFonts w:ascii="Times New Roman" w:eastAsia="Calibri" w:hAnsi="Times New Roman" w:cs="Times New Roman"/>
                <w:sz w:val="24"/>
                <w:szCs w:val="24"/>
              </w:rPr>
              <w:t xml:space="preserve"> </w:t>
            </w:r>
            <w:r w:rsidR="001F4641" w:rsidRPr="00342158">
              <w:rPr>
                <w:rFonts w:ascii="Times New Roman" w:eastAsia="Calibri" w:hAnsi="Times New Roman" w:cs="Times New Roman"/>
                <w:bCs/>
                <w:sz w:val="24"/>
                <w:szCs w:val="24"/>
              </w:rPr>
              <w:t xml:space="preserve">latu </w:t>
            </w:r>
            <w:r w:rsidR="00B213D6" w:rsidRPr="00342158">
              <w:rPr>
                <w:rFonts w:ascii="Times New Roman" w:eastAsia="Calibri" w:hAnsi="Times New Roman" w:cs="Times New Roman"/>
                <w:b/>
                <w:bCs/>
                <w:sz w:val="24"/>
                <w:szCs w:val="24"/>
              </w:rPr>
              <w:t xml:space="preserve">(18 976 782 </w:t>
            </w:r>
            <w:proofErr w:type="spellStart"/>
            <w:r w:rsidR="00E176CA" w:rsidRPr="00342158">
              <w:rPr>
                <w:rFonts w:ascii="Times New Roman" w:eastAsia="Calibri" w:hAnsi="Times New Roman" w:cs="Times New Roman"/>
                <w:b/>
                <w:bCs/>
                <w:i/>
                <w:sz w:val="24"/>
                <w:szCs w:val="24"/>
              </w:rPr>
              <w:t>euro</w:t>
            </w:r>
            <w:proofErr w:type="spellEnd"/>
            <w:r w:rsidR="00B213D6" w:rsidRPr="00342158">
              <w:rPr>
                <w:rFonts w:ascii="Times New Roman" w:eastAsia="Calibri" w:hAnsi="Times New Roman" w:cs="Times New Roman"/>
                <w:b/>
                <w:bCs/>
                <w:sz w:val="24"/>
                <w:szCs w:val="24"/>
              </w:rPr>
              <w:t>)</w:t>
            </w:r>
            <w:r w:rsidR="00B213D6" w:rsidRPr="00342158">
              <w:rPr>
                <w:rFonts w:ascii="Times New Roman" w:eastAsia="Calibri" w:hAnsi="Times New Roman" w:cs="Times New Roman"/>
                <w:bCs/>
                <w:sz w:val="24"/>
                <w:szCs w:val="24"/>
              </w:rPr>
              <w:t xml:space="preserve"> </w:t>
            </w:r>
            <w:r w:rsidR="001F4641" w:rsidRPr="00342158">
              <w:rPr>
                <w:rFonts w:ascii="Times New Roman" w:eastAsia="Calibri" w:hAnsi="Times New Roman" w:cs="Times New Roman"/>
                <w:bCs/>
                <w:sz w:val="24"/>
                <w:szCs w:val="24"/>
              </w:rPr>
              <w:t>apmērā</w:t>
            </w:r>
            <w:r w:rsidR="007D030B" w:rsidRPr="00342158">
              <w:rPr>
                <w:rFonts w:ascii="Times New Roman" w:eastAsia="Calibri" w:hAnsi="Times New Roman" w:cs="Times New Roman"/>
                <w:sz w:val="24"/>
                <w:szCs w:val="24"/>
              </w:rPr>
              <w:t>. L</w:t>
            </w:r>
            <w:r w:rsidR="00841F86" w:rsidRPr="00342158">
              <w:rPr>
                <w:rFonts w:ascii="Times New Roman" w:eastAsia="Calibri" w:hAnsi="Times New Roman" w:cs="Times New Roman"/>
                <w:sz w:val="24"/>
                <w:szCs w:val="24"/>
              </w:rPr>
              <w:t xml:space="preserve">īdz ar to </w:t>
            </w:r>
            <w:r w:rsidR="00AB0900" w:rsidRPr="00342158">
              <w:rPr>
                <w:rFonts w:ascii="Times New Roman" w:eastAsia="Calibri" w:hAnsi="Times New Roman" w:cs="Times New Roman"/>
                <w:sz w:val="24"/>
                <w:szCs w:val="24"/>
              </w:rPr>
              <w:t xml:space="preserve"> ir jāveic grozījumi MK noteikumos Nr.817, lai palielinātu 3.kārtas finansējumu līdz </w:t>
            </w:r>
            <w:r w:rsidR="00AB0900" w:rsidRPr="00342158">
              <w:rPr>
                <w:rFonts w:ascii="Times New Roman" w:eastAsia="Calibri" w:hAnsi="Times New Roman" w:cs="Times New Roman"/>
                <w:bCs/>
                <w:sz w:val="24"/>
                <w:szCs w:val="24"/>
              </w:rPr>
              <w:t>39 913 839 latiem</w:t>
            </w:r>
            <w:r w:rsidR="00B213D6" w:rsidRPr="00342158">
              <w:rPr>
                <w:rFonts w:ascii="Times New Roman" w:eastAsia="Calibri" w:hAnsi="Times New Roman" w:cs="Times New Roman"/>
                <w:bCs/>
                <w:sz w:val="24"/>
                <w:szCs w:val="24"/>
              </w:rPr>
              <w:t xml:space="preserve"> </w:t>
            </w:r>
            <w:r w:rsidR="00B213D6" w:rsidRPr="00342158">
              <w:rPr>
                <w:rFonts w:ascii="Times New Roman" w:eastAsia="Calibri" w:hAnsi="Times New Roman" w:cs="Times New Roman"/>
                <w:b/>
                <w:bCs/>
                <w:sz w:val="24"/>
                <w:szCs w:val="24"/>
              </w:rPr>
              <w:t xml:space="preserve">(56 792 276 </w:t>
            </w:r>
            <w:proofErr w:type="spellStart"/>
            <w:r w:rsidR="00E176CA" w:rsidRPr="00342158">
              <w:rPr>
                <w:rFonts w:ascii="Times New Roman" w:eastAsia="Calibri" w:hAnsi="Times New Roman" w:cs="Times New Roman"/>
                <w:b/>
                <w:bCs/>
                <w:i/>
                <w:sz w:val="24"/>
                <w:szCs w:val="24"/>
              </w:rPr>
              <w:t>euro</w:t>
            </w:r>
            <w:proofErr w:type="spellEnd"/>
            <w:r w:rsidR="00B213D6" w:rsidRPr="00342158">
              <w:rPr>
                <w:rFonts w:ascii="Times New Roman" w:eastAsia="Calibri" w:hAnsi="Times New Roman" w:cs="Times New Roman"/>
                <w:b/>
                <w:bCs/>
                <w:sz w:val="24"/>
                <w:szCs w:val="24"/>
              </w:rPr>
              <w:t>)</w:t>
            </w:r>
            <w:r w:rsidR="00841F86" w:rsidRPr="00342158">
              <w:rPr>
                <w:rFonts w:ascii="Times New Roman" w:eastAsia="Calibri" w:hAnsi="Times New Roman" w:cs="Times New Roman"/>
                <w:bCs/>
                <w:sz w:val="24"/>
                <w:szCs w:val="24"/>
              </w:rPr>
              <w:t>.</w:t>
            </w:r>
          </w:p>
          <w:p w:rsidR="009473ED" w:rsidRPr="00342158" w:rsidRDefault="00841F86" w:rsidP="00C3627C">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sz w:val="24"/>
                <w:szCs w:val="24"/>
              </w:rPr>
              <w:t>2013.gada</w:t>
            </w:r>
            <w:r w:rsidR="001B465E" w:rsidRPr="00342158">
              <w:rPr>
                <w:rFonts w:ascii="Times New Roman" w:eastAsia="Calibri" w:hAnsi="Times New Roman" w:cs="Times New Roman"/>
                <w:sz w:val="24"/>
                <w:szCs w:val="24"/>
              </w:rPr>
              <w:t xml:space="preserve"> 12.septembra sadarbības padom</w:t>
            </w:r>
            <w:r w:rsidR="00884529" w:rsidRPr="00342158">
              <w:rPr>
                <w:rFonts w:ascii="Times New Roman" w:eastAsia="Calibri" w:hAnsi="Times New Roman" w:cs="Times New Roman"/>
                <w:sz w:val="24"/>
                <w:szCs w:val="24"/>
              </w:rPr>
              <w:t>ē</w:t>
            </w:r>
            <w:r w:rsidR="001B465E" w:rsidRPr="00342158">
              <w:rPr>
                <w:rFonts w:ascii="Times New Roman" w:eastAsia="Calibri" w:hAnsi="Times New Roman" w:cs="Times New Roman"/>
                <w:sz w:val="24"/>
                <w:szCs w:val="24"/>
              </w:rPr>
              <w:t xml:space="preserve"> </w:t>
            </w:r>
            <w:r w:rsidR="009473ED" w:rsidRPr="00342158">
              <w:rPr>
                <w:rFonts w:ascii="Times New Roman" w:eastAsia="Calibri" w:hAnsi="Times New Roman" w:cs="Times New Roman"/>
                <w:sz w:val="24"/>
                <w:szCs w:val="24"/>
              </w:rPr>
              <w:t xml:space="preserve">tika pieņemts </w:t>
            </w:r>
            <w:r w:rsidR="001B465E" w:rsidRPr="00342158">
              <w:rPr>
                <w:rFonts w:ascii="Times New Roman" w:eastAsia="Calibri" w:hAnsi="Times New Roman" w:cs="Times New Roman"/>
                <w:sz w:val="24"/>
                <w:szCs w:val="24"/>
              </w:rPr>
              <w:t>lēmum</w:t>
            </w:r>
            <w:r w:rsidR="00884529" w:rsidRPr="00342158">
              <w:rPr>
                <w:rFonts w:ascii="Times New Roman" w:eastAsia="Calibri" w:hAnsi="Times New Roman" w:cs="Times New Roman"/>
                <w:sz w:val="24"/>
                <w:szCs w:val="24"/>
              </w:rPr>
              <w:t>s</w:t>
            </w:r>
            <w:r w:rsidR="006B26A6" w:rsidRPr="00342158">
              <w:rPr>
                <w:rFonts w:ascii="Times New Roman" w:eastAsia="Calibri" w:hAnsi="Times New Roman" w:cs="Times New Roman"/>
                <w:sz w:val="24"/>
                <w:szCs w:val="24"/>
              </w:rPr>
              <w:t xml:space="preserve"> </w:t>
            </w:r>
            <w:r w:rsidR="001B465E" w:rsidRPr="00342158">
              <w:rPr>
                <w:rFonts w:ascii="Times New Roman" w:eastAsia="Calibri" w:hAnsi="Times New Roman" w:cs="Times New Roman"/>
                <w:sz w:val="24"/>
                <w:szCs w:val="24"/>
              </w:rPr>
              <w:t>2.1.2.4.aktivitāt</w:t>
            </w:r>
            <w:r w:rsidR="007A30AE" w:rsidRPr="00342158">
              <w:rPr>
                <w:rFonts w:ascii="Times New Roman" w:eastAsia="Calibri" w:hAnsi="Times New Roman" w:cs="Times New Roman"/>
                <w:sz w:val="24"/>
                <w:szCs w:val="24"/>
              </w:rPr>
              <w:t>ei</w:t>
            </w:r>
            <w:r w:rsidR="001B465E" w:rsidRPr="00342158">
              <w:rPr>
                <w:rFonts w:ascii="Times New Roman" w:eastAsia="Calibri" w:hAnsi="Times New Roman" w:cs="Times New Roman"/>
                <w:sz w:val="24"/>
                <w:szCs w:val="24"/>
              </w:rPr>
              <w:t xml:space="preserve"> „Augstas pievienotās vērtības investīcijas” piešķirt papildus </w:t>
            </w:r>
            <w:proofErr w:type="spellStart"/>
            <w:r w:rsidR="001B465E" w:rsidRPr="00342158">
              <w:rPr>
                <w:rFonts w:ascii="Times New Roman" w:eastAsia="Calibri" w:hAnsi="Times New Roman" w:cs="Times New Roman"/>
                <w:sz w:val="24"/>
                <w:szCs w:val="24"/>
              </w:rPr>
              <w:t>virssaistību</w:t>
            </w:r>
            <w:proofErr w:type="spellEnd"/>
            <w:r w:rsidR="001B465E" w:rsidRPr="00342158">
              <w:rPr>
                <w:rFonts w:ascii="Times New Roman" w:eastAsia="Calibri" w:hAnsi="Times New Roman" w:cs="Times New Roman"/>
                <w:sz w:val="24"/>
                <w:szCs w:val="24"/>
              </w:rPr>
              <w:t xml:space="preserve"> finansējumu </w:t>
            </w:r>
            <w:r w:rsidR="001B465E" w:rsidRPr="00342158">
              <w:rPr>
                <w:rFonts w:ascii="Times New Roman" w:eastAsia="Calibri" w:hAnsi="Times New Roman" w:cs="Times New Roman"/>
                <w:bCs/>
                <w:sz w:val="24"/>
                <w:szCs w:val="24"/>
              </w:rPr>
              <w:t xml:space="preserve">24 738 454 latu </w:t>
            </w:r>
            <w:r w:rsidR="00A86D82" w:rsidRPr="00342158">
              <w:rPr>
                <w:rFonts w:ascii="Times New Roman" w:eastAsia="Calibri" w:hAnsi="Times New Roman" w:cs="Times New Roman"/>
                <w:b/>
                <w:bCs/>
                <w:sz w:val="24"/>
                <w:szCs w:val="24"/>
              </w:rPr>
              <w:t xml:space="preserve">(35 199 649 </w:t>
            </w:r>
            <w:proofErr w:type="spellStart"/>
            <w:r w:rsidR="002D20ED" w:rsidRPr="00342158">
              <w:rPr>
                <w:rFonts w:ascii="Times New Roman" w:eastAsia="Calibri" w:hAnsi="Times New Roman" w:cs="Times New Roman"/>
                <w:b/>
                <w:bCs/>
                <w:i/>
                <w:sz w:val="24"/>
                <w:szCs w:val="24"/>
              </w:rPr>
              <w:t>euro</w:t>
            </w:r>
            <w:proofErr w:type="spellEnd"/>
            <w:r w:rsidR="00A86D82" w:rsidRPr="00342158">
              <w:rPr>
                <w:rFonts w:ascii="Times New Roman" w:eastAsia="Calibri" w:hAnsi="Times New Roman" w:cs="Times New Roman"/>
                <w:b/>
                <w:bCs/>
                <w:sz w:val="24"/>
                <w:szCs w:val="24"/>
              </w:rPr>
              <w:t>)</w:t>
            </w:r>
            <w:r w:rsidR="00A86D82" w:rsidRPr="00342158">
              <w:rPr>
                <w:rFonts w:ascii="Times New Roman" w:eastAsia="Calibri" w:hAnsi="Times New Roman" w:cs="Times New Roman"/>
                <w:bCs/>
                <w:sz w:val="24"/>
                <w:szCs w:val="24"/>
              </w:rPr>
              <w:t xml:space="preserve"> </w:t>
            </w:r>
            <w:r w:rsidR="001B465E" w:rsidRPr="00342158">
              <w:rPr>
                <w:rFonts w:ascii="Times New Roman" w:eastAsia="Calibri" w:hAnsi="Times New Roman" w:cs="Times New Roman"/>
                <w:bCs/>
                <w:sz w:val="24"/>
                <w:szCs w:val="24"/>
              </w:rPr>
              <w:t>apjomā</w:t>
            </w:r>
            <w:r w:rsidRPr="00342158">
              <w:rPr>
                <w:rFonts w:ascii="Times New Roman" w:eastAsia="Calibri" w:hAnsi="Times New Roman" w:cs="Times New Roman"/>
                <w:bCs/>
                <w:sz w:val="24"/>
                <w:szCs w:val="24"/>
              </w:rPr>
              <w:t xml:space="preserve">, līdz ar to ir jāveic grozījumi MK noteikumos Nr.817. </w:t>
            </w:r>
          </w:p>
          <w:p w:rsidR="008F5E0D" w:rsidRPr="00342158" w:rsidRDefault="008F5E0D" w:rsidP="00C3627C">
            <w:pPr>
              <w:spacing w:after="0" w:line="240" w:lineRule="auto"/>
              <w:ind w:firstLine="567"/>
              <w:jc w:val="both"/>
              <w:rPr>
                <w:rFonts w:ascii="Times New Roman" w:eastAsia="Calibri" w:hAnsi="Times New Roman" w:cs="Times New Roman"/>
                <w:b/>
                <w:bCs/>
                <w:sz w:val="24"/>
                <w:szCs w:val="24"/>
              </w:rPr>
            </w:pPr>
            <w:r w:rsidRPr="00342158">
              <w:rPr>
                <w:rFonts w:ascii="Times New Roman" w:eastAsia="Calibri" w:hAnsi="Times New Roman" w:cs="Times New Roman"/>
                <w:b/>
                <w:bCs/>
                <w:sz w:val="24"/>
                <w:szCs w:val="24"/>
              </w:rPr>
              <w:t>Ar 2013.gada 30.septembra rīkojumu Nr.447 ir apstiprinātas finansējuma pārdales, to starpā par neatbilstību un lauzto līgumu summām. Līdz ar to nepieciešams precizēt aktivitātē pieejamā finansējuma summu</w:t>
            </w:r>
            <w:r w:rsidR="00FC387E" w:rsidRPr="00342158">
              <w:rPr>
                <w:rFonts w:ascii="Times New Roman" w:eastAsia="Calibri" w:hAnsi="Times New Roman" w:cs="Times New Roman"/>
                <w:b/>
                <w:bCs/>
                <w:sz w:val="24"/>
                <w:szCs w:val="24"/>
              </w:rPr>
              <w:t>.</w:t>
            </w:r>
            <w:r w:rsidRPr="00342158">
              <w:rPr>
                <w:rFonts w:ascii="Times New Roman" w:eastAsia="Calibri" w:hAnsi="Times New Roman" w:cs="Times New Roman"/>
                <w:b/>
                <w:bCs/>
                <w:sz w:val="24"/>
                <w:szCs w:val="24"/>
              </w:rPr>
              <w:t xml:space="preserve"> </w:t>
            </w:r>
            <w:r w:rsidR="00FC387E" w:rsidRPr="00342158">
              <w:rPr>
                <w:rFonts w:ascii="Times New Roman" w:eastAsia="Calibri" w:hAnsi="Times New Roman" w:cs="Times New Roman"/>
                <w:b/>
                <w:bCs/>
                <w:sz w:val="24"/>
                <w:szCs w:val="24"/>
              </w:rPr>
              <w:t xml:space="preserve">Aktivitātes </w:t>
            </w:r>
            <w:r w:rsidRPr="00342158">
              <w:rPr>
                <w:rFonts w:ascii="Times New Roman" w:eastAsia="Calibri" w:hAnsi="Times New Roman" w:cs="Times New Roman"/>
                <w:b/>
                <w:bCs/>
                <w:sz w:val="24"/>
                <w:szCs w:val="24"/>
              </w:rPr>
              <w:t xml:space="preserve">2.kārtā neatbilstību un lauzto līgumu </w:t>
            </w:r>
            <w:r w:rsidR="00FC387E" w:rsidRPr="00342158">
              <w:rPr>
                <w:rFonts w:ascii="Times New Roman" w:eastAsia="Calibri" w:hAnsi="Times New Roman" w:cs="Times New Roman"/>
                <w:b/>
                <w:bCs/>
                <w:sz w:val="24"/>
                <w:szCs w:val="24"/>
              </w:rPr>
              <w:t>rezultātā atbrīvotais</w:t>
            </w:r>
            <w:r w:rsidRPr="00342158">
              <w:rPr>
                <w:rFonts w:ascii="Times New Roman" w:eastAsia="Calibri" w:hAnsi="Times New Roman" w:cs="Times New Roman"/>
                <w:b/>
                <w:bCs/>
                <w:sz w:val="24"/>
                <w:szCs w:val="24"/>
              </w:rPr>
              <w:t xml:space="preserve"> </w:t>
            </w:r>
            <w:r w:rsidR="00FC387E" w:rsidRPr="00342158">
              <w:rPr>
                <w:rFonts w:ascii="Times New Roman" w:eastAsia="Calibri" w:hAnsi="Times New Roman" w:cs="Times New Roman"/>
                <w:b/>
                <w:bCs/>
                <w:sz w:val="24"/>
                <w:szCs w:val="24"/>
              </w:rPr>
              <w:t xml:space="preserve">ERAF līdzfinansējums ir </w:t>
            </w:r>
            <w:r w:rsidRPr="00342158">
              <w:rPr>
                <w:rFonts w:ascii="Times New Roman" w:eastAsia="Calibri" w:hAnsi="Times New Roman" w:cs="Times New Roman"/>
                <w:b/>
                <w:bCs/>
                <w:sz w:val="24"/>
                <w:szCs w:val="24"/>
              </w:rPr>
              <w:t>2 516 640 latu un valsts budžeta līdzfi</w:t>
            </w:r>
            <w:r w:rsidR="00FC387E" w:rsidRPr="00342158">
              <w:rPr>
                <w:rFonts w:ascii="Times New Roman" w:eastAsia="Calibri" w:hAnsi="Times New Roman" w:cs="Times New Roman"/>
                <w:b/>
                <w:bCs/>
                <w:sz w:val="24"/>
                <w:szCs w:val="24"/>
              </w:rPr>
              <w:t xml:space="preserve">nansējums ir </w:t>
            </w:r>
            <w:r w:rsidRPr="00342158">
              <w:rPr>
                <w:rFonts w:ascii="Times New Roman" w:eastAsia="Calibri" w:hAnsi="Times New Roman" w:cs="Times New Roman"/>
                <w:b/>
                <w:bCs/>
                <w:sz w:val="24"/>
                <w:szCs w:val="24"/>
              </w:rPr>
              <w:t>530 003 latu</w:t>
            </w:r>
            <w:r w:rsidR="00FC387E" w:rsidRPr="00342158">
              <w:rPr>
                <w:rFonts w:ascii="Times New Roman" w:eastAsia="Calibri" w:hAnsi="Times New Roman" w:cs="Times New Roman"/>
                <w:b/>
                <w:bCs/>
                <w:sz w:val="24"/>
                <w:szCs w:val="24"/>
              </w:rPr>
              <w:t xml:space="preserve">. </w:t>
            </w:r>
          </w:p>
          <w:p w:rsidR="00DD7EEB" w:rsidRPr="00342158" w:rsidRDefault="00DD7EEB" w:rsidP="00DD7EEB">
            <w:pPr>
              <w:spacing w:before="120" w:after="0" w:line="240" w:lineRule="auto"/>
              <w:jc w:val="both"/>
              <w:rPr>
                <w:rFonts w:ascii="Times New Roman" w:eastAsia="Calibri" w:hAnsi="Times New Roman" w:cs="Times New Roman"/>
                <w:i/>
                <w:sz w:val="24"/>
                <w:szCs w:val="24"/>
              </w:rPr>
            </w:pPr>
            <w:proofErr w:type="spellStart"/>
            <w:r w:rsidRPr="00342158">
              <w:rPr>
                <w:rFonts w:ascii="Times New Roman" w:eastAsia="Calibri" w:hAnsi="Times New Roman" w:cs="Times New Roman"/>
                <w:i/>
                <w:sz w:val="24"/>
                <w:szCs w:val="24"/>
              </w:rPr>
              <w:t>Euro</w:t>
            </w:r>
            <w:proofErr w:type="spellEnd"/>
            <w:r w:rsidRPr="00342158">
              <w:rPr>
                <w:rFonts w:ascii="Times New Roman" w:eastAsia="Calibri" w:hAnsi="Times New Roman" w:cs="Times New Roman"/>
                <w:i/>
                <w:sz w:val="24"/>
                <w:szCs w:val="24"/>
              </w:rPr>
              <w:t xml:space="preserve"> ieviešana</w:t>
            </w:r>
          </w:p>
          <w:p w:rsidR="00DD7EEB" w:rsidRPr="00342158" w:rsidRDefault="00DD7EEB" w:rsidP="00DD7EEB">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 xml:space="preserve">Ņemot vērā </w:t>
            </w:r>
            <w:proofErr w:type="spellStart"/>
            <w:r w:rsidRPr="00342158">
              <w:rPr>
                <w:rFonts w:ascii="Times New Roman" w:eastAsia="Calibri" w:hAnsi="Times New Roman" w:cs="Times New Roman"/>
                <w:bCs/>
                <w:i/>
                <w:sz w:val="24"/>
                <w:szCs w:val="24"/>
              </w:rPr>
              <w:t>euro</w:t>
            </w:r>
            <w:proofErr w:type="spellEnd"/>
            <w:r w:rsidRPr="00342158">
              <w:rPr>
                <w:rFonts w:ascii="Times New Roman" w:eastAsia="Calibri" w:hAnsi="Times New Roman" w:cs="Times New Roman"/>
                <w:bCs/>
                <w:sz w:val="24"/>
                <w:szCs w:val="24"/>
              </w:rPr>
              <w:t xml:space="preserve"> ieviešanu no 2014.gada 1.janvāra, MK noteikumos minētās summas latos ir nepieciešams konvertēt </w:t>
            </w:r>
            <w:proofErr w:type="spellStart"/>
            <w:r w:rsidRPr="00342158">
              <w:rPr>
                <w:rFonts w:ascii="Times New Roman" w:eastAsia="Calibri" w:hAnsi="Times New Roman" w:cs="Times New Roman"/>
                <w:bCs/>
                <w:i/>
                <w:sz w:val="24"/>
                <w:szCs w:val="24"/>
              </w:rPr>
              <w:t>euro</w:t>
            </w:r>
            <w:proofErr w:type="spellEnd"/>
            <w:r w:rsidRPr="00342158">
              <w:rPr>
                <w:rFonts w:ascii="Times New Roman" w:eastAsia="Calibri" w:hAnsi="Times New Roman" w:cs="Times New Roman"/>
                <w:bCs/>
                <w:sz w:val="24"/>
                <w:szCs w:val="24"/>
              </w:rPr>
              <w:t xml:space="preserve"> pēc oficiālās kursa 1 EUR = 0,702804 LVL.</w:t>
            </w:r>
          </w:p>
          <w:p w:rsidR="00785F80" w:rsidRPr="00342158" w:rsidRDefault="009473ED">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Intensitātes palielināšana</w:t>
            </w:r>
          </w:p>
          <w:p w:rsidR="00785F80" w:rsidRPr="00342158" w:rsidRDefault="00D62557" w:rsidP="009D293B">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sz w:val="24"/>
                <w:szCs w:val="24"/>
              </w:rPr>
              <w:t>Ministru kabineta noteikum</w:t>
            </w:r>
            <w:r w:rsidR="000672DC" w:rsidRPr="00342158">
              <w:rPr>
                <w:rFonts w:ascii="Times New Roman" w:eastAsia="Calibri" w:hAnsi="Times New Roman" w:cs="Times New Roman"/>
                <w:sz w:val="24"/>
                <w:szCs w:val="24"/>
              </w:rPr>
              <w:t>u</w:t>
            </w:r>
            <w:r w:rsidRPr="00342158">
              <w:rPr>
                <w:rFonts w:ascii="Times New Roman" w:eastAsia="Calibri" w:hAnsi="Times New Roman" w:cs="Times New Roman"/>
                <w:sz w:val="24"/>
                <w:szCs w:val="24"/>
              </w:rPr>
              <w:t xml:space="preserve"> projekt</w:t>
            </w:r>
            <w:r w:rsidR="000672DC" w:rsidRPr="00342158">
              <w:rPr>
                <w:rFonts w:ascii="Times New Roman" w:eastAsia="Calibri" w:hAnsi="Times New Roman" w:cs="Times New Roman"/>
                <w:sz w:val="24"/>
                <w:szCs w:val="24"/>
              </w:rPr>
              <w:t>s</w:t>
            </w:r>
            <w:r w:rsidRPr="00342158">
              <w:rPr>
                <w:rFonts w:ascii="Times New Roman" w:eastAsia="Calibri" w:hAnsi="Times New Roman" w:cs="Times New Roman"/>
                <w:sz w:val="24"/>
                <w:szCs w:val="24"/>
              </w:rPr>
              <w:t xml:space="preserve"> paredz palielināt maksimāli pieejamā finansējuma intensitāti no 35% uz 45%. </w:t>
            </w:r>
          </w:p>
          <w:p w:rsidR="00E37889" w:rsidRPr="00342158" w:rsidRDefault="000672DC" w:rsidP="00C3627C">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lastRenderedPageBreak/>
              <w:t>A</w:t>
            </w:r>
            <w:r w:rsidR="002E6FB2" w:rsidRPr="00342158">
              <w:rPr>
                <w:rFonts w:ascii="Times New Roman" w:eastAsia="Calibri" w:hAnsi="Times New Roman" w:cs="Times New Roman"/>
                <w:bCs/>
                <w:sz w:val="24"/>
                <w:szCs w:val="24"/>
              </w:rPr>
              <w:t>ugstāka finansējuma intensitāte</w:t>
            </w:r>
            <w:r w:rsidR="002123A6" w:rsidRPr="00342158">
              <w:rPr>
                <w:rFonts w:ascii="Times New Roman" w:eastAsia="Calibri" w:hAnsi="Times New Roman" w:cs="Times New Roman"/>
                <w:bCs/>
                <w:sz w:val="24"/>
                <w:szCs w:val="24"/>
              </w:rPr>
              <w:t>, ņemot vērā, ka ir atklāta projektu iesniegumu atlase,</w:t>
            </w:r>
            <w:r w:rsidR="002E6FB2" w:rsidRPr="00342158">
              <w:rPr>
                <w:rFonts w:ascii="Times New Roman" w:eastAsia="Calibri" w:hAnsi="Times New Roman" w:cs="Times New Roman"/>
                <w:bCs/>
                <w:sz w:val="24"/>
                <w:szCs w:val="24"/>
              </w:rPr>
              <w:t xml:space="preserve"> palielinās projektu iesniedzēju </w:t>
            </w:r>
            <w:r w:rsidR="0043799A" w:rsidRPr="00342158">
              <w:rPr>
                <w:rFonts w:ascii="Times New Roman" w:eastAsia="Calibri" w:hAnsi="Times New Roman" w:cs="Times New Roman"/>
                <w:bCs/>
                <w:sz w:val="24"/>
                <w:szCs w:val="24"/>
              </w:rPr>
              <w:t xml:space="preserve">savstarpējo </w:t>
            </w:r>
            <w:r w:rsidR="002E6FB2" w:rsidRPr="00342158">
              <w:rPr>
                <w:rFonts w:ascii="Times New Roman" w:eastAsia="Calibri" w:hAnsi="Times New Roman" w:cs="Times New Roman"/>
                <w:bCs/>
                <w:sz w:val="24"/>
                <w:szCs w:val="24"/>
              </w:rPr>
              <w:t>konkurenci</w:t>
            </w:r>
            <w:r w:rsidRPr="00342158">
              <w:rPr>
                <w:rFonts w:ascii="Times New Roman" w:eastAsia="Calibri" w:hAnsi="Times New Roman" w:cs="Times New Roman"/>
                <w:bCs/>
                <w:sz w:val="24"/>
                <w:szCs w:val="24"/>
              </w:rPr>
              <w:t>,</w:t>
            </w:r>
            <w:r w:rsidR="001F4641" w:rsidRPr="00342158">
              <w:rPr>
                <w:rFonts w:ascii="Times New Roman" w:eastAsia="Calibri" w:hAnsi="Times New Roman" w:cs="Times New Roman"/>
                <w:bCs/>
                <w:sz w:val="24"/>
                <w:szCs w:val="24"/>
              </w:rPr>
              <w:t xml:space="preserve"> </w:t>
            </w:r>
            <w:r w:rsidR="00EA3219" w:rsidRPr="00342158">
              <w:rPr>
                <w:rFonts w:ascii="Times New Roman" w:eastAsia="Calibri" w:hAnsi="Times New Roman" w:cs="Times New Roman"/>
                <w:bCs/>
                <w:sz w:val="24"/>
                <w:szCs w:val="24"/>
              </w:rPr>
              <w:t>t</w:t>
            </w:r>
            <w:r w:rsidR="001F4641" w:rsidRPr="00342158">
              <w:rPr>
                <w:rFonts w:ascii="Times New Roman" w:eastAsia="Calibri" w:hAnsi="Times New Roman" w:cs="Times New Roman"/>
                <w:bCs/>
                <w:sz w:val="24"/>
                <w:szCs w:val="24"/>
              </w:rPr>
              <w:t xml:space="preserve">ādejādi tiks nodrošināta Eiropas Savienības struktūrfondu un Kohēzijas fonda vadības likuma 6.panta pirmajā daļā iekļautā mērķa sasniegšana – nodrošināt vienlīdzīgu sacensību par projekta iesniegumu apstiprināšanu un Eiropas Savienības fonda finansējuma piešķiršanu. </w:t>
            </w:r>
            <w:r w:rsidR="002123A6" w:rsidRPr="00342158">
              <w:rPr>
                <w:rFonts w:ascii="Times New Roman" w:eastAsia="Calibri" w:hAnsi="Times New Roman" w:cs="Times New Roman"/>
                <w:bCs/>
                <w:sz w:val="24"/>
                <w:szCs w:val="24"/>
              </w:rPr>
              <w:t xml:space="preserve">Lielākas konkurences esamība veicinās, to ka finansējumu </w:t>
            </w:r>
            <w:r w:rsidR="0043799A" w:rsidRPr="00342158">
              <w:rPr>
                <w:rFonts w:ascii="Times New Roman" w:eastAsia="Calibri" w:hAnsi="Times New Roman" w:cs="Times New Roman"/>
                <w:bCs/>
                <w:sz w:val="24"/>
                <w:szCs w:val="24"/>
              </w:rPr>
              <w:t xml:space="preserve"> </w:t>
            </w:r>
            <w:r w:rsidR="002123A6" w:rsidRPr="00342158">
              <w:rPr>
                <w:rFonts w:ascii="Times New Roman" w:eastAsia="Calibri" w:hAnsi="Times New Roman" w:cs="Times New Roman"/>
                <w:bCs/>
                <w:sz w:val="24"/>
                <w:szCs w:val="24"/>
              </w:rPr>
              <w:t xml:space="preserve">saņem tie projektu iesniedzēji, kas kvalitātes kritērijos ieguvuši </w:t>
            </w:r>
            <w:r w:rsidR="001F4641" w:rsidRPr="00342158">
              <w:rPr>
                <w:rFonts w:ascii="Times New Roman" w:eastAsia="Calibri" w:hAnsi="Times New Roman" w:cs="Times New Roman"/>
                <w:bCs/>
                <w:sz w:val="24"/>
                <w:szCs w:val="24"/>
              </w:rPr>
              <w:t>augstāku novērtējumu (augstāku punktu skaitu)</w:t>
            </w:r>
            <w:r w:rsidR="002123A6" w:rsidRPr="00342158">
              <w:rPr>
                <w:rFonts w:ascii="Times New Roman" w:eastAsia="Calibri" w:hAnsi="Times New Roman" w:cs="Times New Roman"/>
                <w:bCs/>
                <w:sz w:val="24"/>
                <w:szCs w:val="24"/>
              </w:rPr>
              <w:t xml:space="preserve">, cita starpā tie projekta iesniedzēji, kuru projektam ir augstāki pievienotās vērtības rādītāji. </w:t>
            </w:r>
          </w:p>
          <w:p w:rsidR="00EA3219" w:rsidRPr="00342158" w:rsidRDefault="009E2DD2" w:rsidP="00EA3219">
            <w:pPr>
              <w:spacing w:after="0" w:line="240" w:lineRule="auto"/>
              <w:ind w:firstLine="567"/>
              <w:jc w:val="both"/>
              <w:rPr>
                <w:rFonts w:ascii="Times New Roman" w:eastAsia="Calibri" w:hAnsi="Times New Roman" w:cs="Times New Roman"/>
                <w:b/>
                <w:bCs/>
                <w:sz w:val="24"/>
                <w:szCs w:val="24"/>
              </w:rPr>
            </w:pPr>
            <w:r w:rsidRPr="00342158">
              <w:rPr>
                <w:rFonts w:ascii="Times New Roman" w:hAnsi="Times New Roman"/>
                <w:b/>
                <w:sz w:val="24"/>
                <w:szCs w:val="24"/>
              </w:rPr>
              <w:t xml:space="preserve">Papildus norādām, ka ņemot vērā, ka 3.kārtas un turpmāko kārtu ietvaros nav atbalstāma atbalsta apvienošana, tad atbalsta intensitātes palielināšana novērsīs iespējamo projektu iesniegumu skaita samazināšanos atbalsta apvienošanas ierobežojumu dēļ. </w:t>
            </w:r>
          </w:p>
          <w:p w:rsidR="00390A7A" w:rsidRPr="00342158" w:rsidRDefault="00E008BE" w:rsidP="00694D79">
            <w:pPr>
              <w:spacing w:after="0" w:line="240" w:lineRule="auto"/>
              <w:ind w:firstLine="567"/>
              <w:jc w:val="both"/>
              <w:rPr>
                <w:rFonts w:ascii="Times New Roman" w:eastAsia="Calibri" w:hAnsi="Times New Roman" w:cs="Times New Roman"/>
                <w:b/>
                <w:bCs/>
                <w:sz w:val="24"/>
                <w:szCs w:val="24"/>
              </w:rPr>
            </w:pPr>
            <w:r w:rsidRPr="00342158">
              <w:rPr>
                <w:rFonts w:ascii="Times New Roman" w:eastAsia="Calibri" w:hAnsi="Times New Roman" w:cs="Times New Roman"/>
                <w:b/>
                <w:bCs/>
                <w:sz w:val="24"/>
                <w:szCs w:val="24"/>
              </w:rPr>
              <w:t xml:space="preserve">Skaidrojam, ka </w:t>
            </w:r>
            <w:r w:rsidR="00361081" w:rsidRPr="00342158">
              <w:rPr>
                <w:rFonts w:ascii="Times New Roman" w:eastAsia="Calibri" w:hAnsi="Times New Roman" w:cs="Times New Roman"/>
                <w:b/>
                <w:bCs/>
                <w:sz w:val="24"/>
                <w:szCs w:val="24"/>
              </w:rPr>
              <w:t xml:space="preserve">maksimāli pieejamās finansējuma intensitātes paaugstināšana no 35% uz 45% ir pieļaujama, jo Komisijas 2008. gada 6. augusta Regulas (EK) Nr. 800/2008, kas atzīst noteiktas atbalsta kategorijas par saderīgām ar kopējo tirgu, piemērojot Līguma 87. un 88. pantu (vispārējā grupu atbrīvojumu regula) (turpmāk – Regula Nr. 800/2008) 13. panta 3. punktā noteikts, ka </w:t>
            </w:r>
            <w:r w:rsidR="00373BAC" w:rsidRPr="00342158">
              <w:rPr>
                <w:rFonts w:ascii="Times New Roman" w:eastAsia="Calibri" w:hAnsi="Times New Roman" w:cs="Times New Roman"/>
                <w:b/>
                <w:bCs/>
                <w:sz w:val="24"/>
                <w:szCs w:val="24"/>
              </w:rPr>
              <w:t xml:space="preserve">atbalsta intensitāte pēc pastāvošā bruto dotācijas ekvivalenta nedrīkst pārsniegt reģionālā atbalsta robežvērtību, kas ir spēkā atbalsta piešķiršanas laikā attiecīgajam atbalstāmajam reģionam. Latvijas 2007-2013.gada Valsts reģionālā atbalsta karte nosaka </w:t>
            </w:r>
            <w:r w:rsidR="00694D79" w:rsidRPr="00342158">
              <w:rPr>
                <w:rFonts w:ascii="Times New Roman" w:eastAsia="Calibri" w:hAnsi="Times New Roman" w:cs="Times New Roman"/>
                <w:b/>
                <w:bCs/>
                <w:sz w:val="24"/>
                <w:szCs w:val="24"/>
              </w:rPr>
              <w:t xml:space="preserve">Reģionālā ieguldījumu atbalsta maksimālo robežu lieliem uzņēmumiem 50%. Līdz ar to arī pēc finansējuma intensitātes paaugstināšanas tā ir zemākā nekā maksimāli pieļaujamā. </w:t>
            </w:r>
          </w:p>
          <w:p w:rsidR="00785F80" w:rsidRPr="00342158" w:rsidRDefault="00E37889">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Attiecināmo izmaksu apjoma izmaiņas</w:t>
            </w:r>
            <w:r w:rsidR="00D62557" w:rsidRPr="00342158">
              <w:rPr>
                <w:rFonts w:ascii="Times New Roman" w:eastAsia="Calibri" w:hAnsi="Times New Roman" w:cs="Times New Roman"/>
                <w:i/>
                <w:sz w:val="24"/>
                <w:szCs w:val="24"/>
              </w:rPr>
              <w:t xml:space="preserve"> </w:t>
            </w:r>
          </w:p>
          <w:p w:rsidR="00544422" w:rsidRPr="00342158" w:rsidRDefault="000672DC" w:rsidP="002D3DF5">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M</w:t>
            </w:r>
            <w:r w:rsidR="008B349C" w:rsidRPr="00342158">
              <w:rPr>
                <w:rFonts w:ascii="Times New Roman" w:eastAsia="Calibri" w:hAnsi="Times New Roman" w:cs="Times New Roman"/>
                <w:bCs/>
                <w:sz w:val="24"/>
                <w:szCs w:val="24"/>
              </w:rPr>
              <w:t>aksimālās intensitātes paaugstināšan</w:t>
            </w:r>
            <w:r w:rsidRPr="00342158">
              <w:rPr>
                <w:rFonts w:ascii="Times New Roman" w:eastAsia="Calibri" w:hAnsi="Times New Roman" w:cs="Times New Roman"/>
                <w:bCs/>
                <w:sz w:val="24"/>
                <w:szCs w:val="24"/>
              </w:rPr>
              <w:t>as dēļ</w:t>
            </w:r>
            <w:r w:rsidR="008B349C" w:rsidRPr="00342158">
              <w:rPr>
                <w:rFonts w:ascii="Times New Roman" w:eastAsia="Calibri" w:hAnsi="Times New Roman" w:cs="Times New Roman"/>
                <w:bCs/>
                <w:sz w:val="24"/>
                <w:szCs w:val="24"/>
              </w:rPr>
              <w:t xml:space="preserve"> trešajā un ceturtajā </w:t>
            </w:r>
            <w:r w:rsidR="001E0AF5" w:rsidRPr="00342158">
              <w:rPr>
                <w:rFonts w:ascii="Times New Roman" w:eastAsia="Calibri" w:hAnsi="Times New Roman" w:cs="Times New Roman"/>
                <w:bCs/>
                <w:sz w:val="24"/>
                <w:szCs w:val="24"/>
              </w:rPr>
              <w:t xml:space="preserve">atlases kārtā </w:t>
            </w:r>
            <w:r w:rsidR="008B349C" w:rsidRPr="00342158">
              <w:rPr>
                <w:rFonts w:ascii="Times New Roman" w:eastAsia="Calibri" w:hAnsi="Times New Roman" w:cs="Times New Roman"/>
                <w:bCs/>
                <w:sz w:val="24"/>
                <w:szCs w:val="24"/>
              </w:rPr>
              <w:t>ir jāpalielina arī maksimāli pieļaujamais publiskā finansējuma apjoms</w:t>
            </w:r>
            <w:r w:rsidR="001E0AF5" w:rsidRPr="00342158">
              <w:rPr>
                <w:rFonts w:ascii="Times New Roman" w:eastAsia="Calibri" w:hAnsi="Times New Roman" w:cs="Times New Roman"/>
                <w:bCs/>
                <w:sz w:val="24"/>
                <w:szCs w:val="24"/>
              </w:rPr>
              <w:t xml:space="preserve"> līdz 900</w:t>
            </w:r>
            <w:r w:rsidR="0080317E" w:rsidRPr="00342158">
              <w:rPr>
                <w:rFonts w:ascii="Times New Roman" w:eastAsia="Calibri" w:hAnsi="Times New Roman" w:cs="Times New Roman"/>
                <w:bCs/>
                <w:sz w:val="24"/>
                <w:szCs w:val="24"/>
              </w:rPr>
              <w:t> </w:t>
            </w:r>
            <w:r w:rsidR="001E0AF5" w:rsidRPr="00342158">
              <w:rPr>
                <w:rFonts w:ascii="Times New Roman" w:eastAsia="Calibri" w:hAnsi="Times New Roman" w:cs="Times New Roman"/>
                <w:bCs/>
                <w:sz w:val="24"/>
                <w:szCs w:val="24"/>
              </w:rPr>
              <w:t>000</w:t>
            </w:r>
            <w:r w:rsidR="0080317E" w:rsidRPr="00342158">
              <w:rPr>
                <w:rFonts w:ascii="Times New Roman" w:eastAsia="Calibri" w:hAnsi="Times New Roman" w:cs="Times New Roman"/>
                <w:bCs/>
                <w:sz w:val="24"/>
                <w:szCs w:val="24"/>
              </w:rPr>
              <w:t xml:space="preserve"> latiem</w:t>
            </w:r>
            <w:r w:rsidR="008D236C" w:rsidRPr="00342158">
              <w:rPr>
                <w:rFonts w:ascii="Times New Roman" w:eastAsia="Calibri" w:hAnsi="Times New Roman" w:cs="Times New Roman"/>
                <w:bCs/>
                <w:sz w:val="24"/>
                <w:szCs w:val="24"/>
              </w:rPr>
              <w:t xml:space="preserve"> </w:t>
            </w:r>
            <w:r w:rsidR="008D236C" w:rsidRPr="00342158">
              <w:rPr>
                <w:rFonts w:ascii="Times New Roman" w:eastAsia="Calibri" w:hAnsi="Times New Roman" w:cs="Times New Roman"/>
                <w:b/>
                <w:bCs/>
                <w:sz w:val="24"/>
                <w:szCs w:val="24"/>
              </w:rPr>
              <w:t xml:space="preserve">(1 280 585 </w:t>
            </w:r>
            <w:proofErr w:type="spellStart"/>
            <w:r w:rsidR="00E176CA" w:rsidRPr="00342158">
              <w:rPr>
                <w:rFonts w:ascii="Times New Roman" w:eastAsia="Calibri" w:hAnsi="Times New Roman" w:cs="Times New Roman"/>
                <w:b/>
                <w:bCs/>
                <w:i/>
                <w:sz w:val="24"/>
                <w:szCs w:val="24"/>
              </w:rPr>
              <w:t>euro</w:t>
            </w:r>
            <w:proofErr w:type="spellEnd"/>
            <w:r w:rsidR="008D236C" w:rsidRPr="00342158">
              <w:rPr>
                <w:rFonts w:ascii="Times New Roman" w:eastAsia="Calibri" w:hAnsi="Times New Roman" w:cs="Times New Roman"/>
                <w:b/>
                <w:bCs/>
                <w:sz w:val="24"/>
                <w:szCs w:val="24"/>
              </w:rPr>
              <w:t>)</w:t>
            </w:r>
            <w:r w:rsidR="001E0AF5" w:rsidRPr="00342158">
              <w:rPr>
                <w:rFonts w:ascii="Times New Roman" w:eastAsia="Calibri" w:hAnsi="Times New Roman" w:cs="Times New Roman"/>
                <w:bCs/>
                <w:sz w:val="24"/>
                <w:szCs w:val="24"/>
              </w:rPr>
              <w:t xml:space="preserve">, ņemot vērā </w:t>
            </w:r>
            <w:r w:rsidR="002217E8" w:rsidRPr="00342158">
              <w:rPr>
                <w:rFonts w:ascii="Times New Roman" w:eastAsia="Calibri" w:hAnsi="Times New Roman" w:cs="Times New Roman"/>
                <w:bCs/>
                <w:sz w:val="24"/>
                <w:szCs w:val="24"/>
              </w:rPr>
              <w:t>šādu tālāk norādīto</w:t>
            </w:r>
            <w:r w:rsidR="001E0AF5" w:rsidRPr="00342158">
              <w:rPr>
                <w:rFonts w:ascii="Times New Roman" w:eastAsia="Calibri" w:hAnsi="Times New Roman" w:cs="Times New Roman"/>
                <w:bCs/>
                <w:sz w:val="24"/>
                <w:szCs w:val="24"/>
              </w:rPr>
              <w:t xml:space="preserve"> piemēru</w:t>
            </w:r>
            <w:r w:rsidR="008B349C" w:rsidRPr="00342158">
              <w:rPr>
                <w:rFonts w:ascii="Times New Roman" w:eastAsia="Calibri" w:hAnsi="Times New Roman" w:cs="Times New Roman"/>
                <w:bCs/>
                <w:sz w:val="24"/>
                <w:szCs w:val="24"/>
              </w:rPr>
              <w:t xml:space="preserve">. </w:t>
            </w:r>
            <w:r w:rsidR="001E0AF5" w:rsidRPr="00342158">
              <w:rPr>
                <w:rFonts w:ascii="Times New Roman" w:eastAsia="Calibri" w:hAnsi="Times New Roman" w:cs="Times New Roman"/>
                <w:bCs/>
                <w:sz w:val="24"/>
                <w:szCs w:val="24"/>
              </w:rPr>
              <w:t xml:space="preserve">Projekts ar </w:t>
            </w:r>
            <w:r w:rsidR="008B349C" w:rsidRPr="00342158">
              <w:rPr>
                <w:rFonts w:ascii="Times New Roman" w:eastAsia="Calibri" w:hAnsi="Times New Roman" w:cs="Times New Roman"/>
                <w:bCs/>
                <w:sz w:val="24"/>
                <w:szCs w:val="24"/>
              </w:rPr>
              <w:t>2 milj.</w:t>
            </w:r>
            <w:r w:rsidR="0080317E" w:rsidRPr="00342158">
              <w:rPr>
                <w:rFonts w:ascii="Times New Roman" w:eastAsia="Calibri" w:hAnsi="Times New Roman" w:cs="Times New Roman"/>
                <w:bCs/>
                <w:sz w:val="24"/>
                <w:szCs w:val="24"/>
              </w:rPr>
              <w:t xml:space="preserve"> lati </w:t>
            </w:r>
            <w:r w:rsidR="001E0AF5" w:rsidRPr="00342158">
              <w:rPr>
                <w:rFonts w:ascii="Times New Roman" w:eastAsia="Calibri" w:hAnsi="Times New Roman" w:cs="Times New Roman"/>
                <w:bCs/>
                <w:sz w:val="24"/>
                <w:szCs w:val="24"/>
              </w:rPr>
              <w:t xml:space="preserve">attiecināmajām izmaksām </w:t>
            </w:r>
            <w:r w:rsidR="008B349C" w:rsidRPr="00342158">
              <w:rPr>
                <w:rFonts w:ascii="Times New Roman" w:eastAsia="Calibri" w:hAnsi="Times New Roman" w:cs="Times New Roman"/>
                <w:bCs/>
                <w:sz w:val="24"/>
                <w:szCs w:val="24"/>
              </w:rPr>
              <w:t>35% intensitāt</w:t>
            </w:r>
            <w:r w:rsidR="001E0AF5" w:rsidRPr="00342158">
              <w:rPr>
                <w:rFonts w:ascii="Times New Roman" w:eastAsia="Calibri" w:hAnsi="Times New Roman" w:cs="Times New Roman"/>
                <w:bCs/>
                <w:sz w:val="24"/>
                <w:szCs w:val="24"/>
              </w:rPr>
              <w:t>es gadījumā</w:t>
            </w:r>
            <w:r w:rsidR="008B349C" w:rsidRPr="00342158">
              <w:rPr>
                <w:rFonts w:ascii="Times New Roman" w:eastAsia="Calibri" w:hAnsi="Times New Roman" w:cs="Times New Roman"/>
                <w:bCs/>
                <w:sz w:val="24"/>
                <w:szCs w:val="24"/>
              </w:rPr>
              <w:t xml:space="preserve"> saņem</w:t>
            </w:r>
            <w:r w:rsidR="001E0AF5" w:rsidRPr="00342158">
              <w:rPr>
                <w:rFonts w:ascii="Times New Roman" w:eastAsia="Calibri" w:hAnsi="Times New Roman" w:cs="Times New Roman"/>
                <w:bCs/>
                <w:sz w:val="24"/>
                <w:szCs w:val="24"/>
              </w:rPr>
              <w:t xml:space="preserve">tu līdz šim noteikto maksimālo </w:t>
            </w:r>
            <w:r w:rsidR="008B349C" w:rsidRPr="00342158">
              <w:rPr>
                <w:rFonts w:ascii="Times New Roman" w:eastAsia="Calibri" w:hAnsi="Times New Roman" w:cs="Times New Roman"/>
                <w:bCs/>
                <w:sz w:val="24"/>
                <w:szCs w:val="24"/>
              </w:rPr>
              <w:t>atbalstu 0,7 milj.</w:t>
            </w:r>
            <w:r w:rsidR="0080317E" w:rsidRPr="00342158">
              <w:rPr>
                <w:rFonts w:ascii="Times New Roman" w:eastAsia="Calibri" w:hAnsi="Times New Roman" w:cs="Times New Roman"/>
                <w:bCs/>
                <w:sz w:val="24"/>
                <w:szCs w:val="24"/>
              </w:rPr>
              <w:t xml:space="preserve"> lati</w:t>
            </w:r>
            <w:r w:rsidR="001E0AF5" w:rsidRPr="00342158">
              <w:rPr>
                <w:rFonts w:ascii="Times New Roman" w:eastAsia="Calibri" w:hAnsi="Times New Roman" w:cs="Times New Roman"/>
                <w:bCs/>
                <w:sz w:val="24"/>
                <w:szCs w:val="24"/>
              </w:rPr>
              <w:t>. Pieaugot intensitātei, šāds projekts saņemtu 0,9 milj.</w:t>
            </w:r>
            <w:r w:rsidR="0080317E" w:rsidRPr="00342158">
              <w:rPr>
                <w:rFonts w:ascii="Times New Roman" w:eastAsia="Calibri" w:hAnsi="Times New Roman" w:cs="Times New Roman"/>
                <w:bCs/>
                <w:sz w:val="24"/>
                <w:szCs w:val="24"/>
              </w:rPr>
              <w:t xml:space="preserve"> latu</w:t>
            </w:r>
            <w:r w:rsidR="001E0AF5" w:rsidRPr="00342158">
              <w:rPr>
                <w:rFonts w:ascii="Times New Roman" w:eastAsia="Calibri" w:hAnsi="Times New Roman" w:cs="Times New Roman"/>
                <w:bCs/>
                <w:sz w:val="24"/>
                <w:szCs w:val="24"/>
              </w:rPr>
              <w:t>, līdz ar to līdz šādam apjomam arī jāpalielina maksimālais atbalsta apjoms</w:t>
            </w:r>
            <w:r w:rsidR="008B349C" w:rsidRPr="00342158">
              <w:rPr>
                <w:rFonts w:ascii="Times New Roman" w:eastAsia="Calibri" w:hAnsi="Times New Roman" w:cs="Times New Roman"/>
                <w:bCs/>
                <w:sz w:val="24"/>
                <w:szCs w:val="24"/>
              </w:rPr>
              <w:t>.</w:t>
            </w:r>
          </w:p>
          <w:p w:rsidR="00785F80" w:rsidRPr="00342158" w:rsidRDefault="000672DC">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 xml:space="preserve">Lielo komersantu tiesības uzsākt projekta īstenošanu </w:t>
            </w:r>
          </w:p>
          <w:p w:rsidR="00FE339D" w:rsidRPr="00342158" w:rsidRDefault="00162B56">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bCs/>
                <w:sz w:val="24"/>
                <w:szCs w:val="24"/>
              </w:rPr>
              <w:t xml:space="preserve">Šobrīd spēkā </w:t>
            </w:r>
            <w:r w:rsidR="0043799A" w:rsidRPr="00342158">
              <w:rPr>
                <w:rFonts w:ascii="Times New Roman" w:eastAsia="Calibri" w:hAnsi="Times New Roman" w:cs="Times New Roman"/>
                <w:bCs/>
                <w:sz w:val="24"/>
                <w:szCs w:val="24"/>
              </w:rPr>
              <w:t xml:space="preserve">esošo </w:t>
            </w:r>
            <w:r w:rsidR="00030807" w:rsidRPr="00342158">
              <w:rPr>
                <w:rFonts w:ascii="Times New Roman" w:eastAsia="Calibri" w:hAnsi="Times New Roman" w:cs="Times New Roman"/>
                <w:sz w:val="24"/>
                <w:szCs w:val="24"/>
              </w:rPr>
              <w:t xml:space="preserve">MK </w:t>
            </w:r>
            <w:r w:rsidR="0043799A" w:rsidRPr="00342158">
              <w:rPr>
                <w:rFonts w:ascii="Times New Roman" w:eastAsia="Calibri" w:hAnsi="Times New Roman" w:cs="Times New Roman"/>
                <w:sz w:val="24"/>
                <w:szCs w:val="24"/>
              </w:rPr>
              <w:t xml:space="preserve">noteikumu </w:t>
            </w:r>
            <w:r w:rsidR="00030807" w:rsidRPr="00342158">
              <w:rPr>
                <w:rFonts w:ascii="Times New Roman" w:eastAsia="Calibri" w:hAnsi="Times New Roman" w:cs="Times New Roman"/>
                <w:sz w:val="24"/>
                <w:szCs w:val="24"/>
              </w:rPr>
              <w:t>Nr.817</w:t>
            </w:r>
            <w:r w:rsidR="0043799A" w:rsidRPr="00342158">
              <w:rPr>
                <w:rFonts w:ascii="Times New Roman" w:eastAsia="Calibri" w:hAnsi="Times New Roman" w:cs="Times New Roman"/>
                <w:sz w:val="24"/>
                <w:szCs w:val="24"/>
              </w:rPr>
              <w:t xml:space="preserve"> redakcija</w:t>
            </w:r>
            <w:r w:rsidR="00030807" w:rsidRPr="00342158">
              <w:rPr>
                <w:rFonts w:ascii="Times New Roman" w:eastAsia="Calibri" w:hAnsi="Times New Roman" w:cs="Times New Roman"/>
                <w:sz w:val="24"/>
                <w:szCs w:val="24"/>
              </w:rPr>
              <w:t xml:space="preserve"> </w:t>
            </w:r>
            <w:r w:rsidR="0043799A" w:rsidRPr="00342158">
              <w:rPr>
                <w:rFonts w:ascii="Times New Roman" w:eastAsia="Calibri" w:hAnsi="Times New Roman" w:cs="Times New Roman"/>
                <w:sz w:val="24"/>
                <w:szCs w:val="24"/>
              </w:rPr>
              <w:t xml:space="preserve">ierobežo </w:t>
            </w:r>
            <w:r w:rsidR="00030807" w:rsidRPr="00342158">
              <w:rPr>
                <w:rFonts w:ascii="Times New Roman" w:eastAsia="Calibri" w:hAnsi="Times New Roman" w:cs="Times New Roman"/>
                <w:sz w:val="24"/>
                <w:szCs w:val="24"/>
              </w:rPr>
              <w:t>lielos komersantus</w:t>
            </w:r>
            <w:r w:rsidR="0043799A" w:rsidRPr="00342158">
              <w:rPr>
                <w:rFonts w:ascii="Times New Roman" w:eastAsia="Calibri" w:hAnsi="Times New Roman" w:cs="Times New Roman"/>
                <w:sz w:val="24"/>
                <w:szCs w:val="24"/>
              </w:rPr>
              <w:t xml:space="preserve"> uzsākt projekta īstenošu līdz ar projekta iesnieguma iesniegšanu sadarbības iestādē</w:t>
            </w:r>
            <w:r w:rsidR="002217E8" w:rsidRPr="00342158">
              <w:rPr>
                <w:rFonts w:ascii="Times New Roman" w:eastAsia="Calibri" w:hAnsi="Times New Roman" w:cs="Times New Roman"/>
                <w:sz w:val="24"/>
                <w:szCs w:val="24"/>
              </w:rPr>
              <w:t>.</w:t>
            </w:r>
            <w:r w:rsidR="0043799A" w:rsidRPr="00342158">
              <w:rPr>
                <w:rFonts w:ascii="Times New Roman" w:eastAsia="Calibri" w:hAnsi="Times New Roman" w:cs="Times New Roman"/>
                <w:sz w:val="24"/>
                <w:szCs w:val="24"/>
              </w:rPr>
              <w:t xml:space="preserve"> </w:t>
            </w:r>
            <w:r w:rsidR="002217E8" w:rsidRPr="00342158">
              <w:rPr>
                <w:rFonts w:ascii="Times New Roman" w:eastAsia="Calibri" w:hAnsi="Times New Roman" w:cs="Times New Roman"/>
                <w:sz w:val="24"/>
                <w:szCs w:val="24"/>
              </w:rPr>
              <w:t>P</w:t>
            </w:r>
            <w:r w:rsidR="0043799A" w:rsidRPr="00342158">
              <w:rPr>
                <w:rFonts w:ascii="Times New Roman" w:eastAsia="Calibri" w:hAnsi="Times New Roman" w:cs="Times New Roman"/>
                <w:sz w:val="24"/>
                <w:szCs w:val="24"/>
              </w:rPr>
              <w:t>roti, mazie un vidējie komersanti var uzsākt projekta īstenošanu tūlīt pēc projekta iesnieguma iesniegšanas sadarbības iestādē, savukārt lielie</w:t>
            </w:r>
            <w:r w:rsidR="00030807" w:rsidRPr="00342158">
              <w:rPr>
                <w:rFonts w:ascii="Times New Roman" w:eastAsia="Calibri" w:hAnsi="Times New Roman" w:cs="Times New Roman"/>
                <w:sz w:val="24"/>
                <w:szCs w:val="24"/>
              </w:rPr>
              <w:t xml:space="preserve"> komersanti var uzsākt projektu īstenošanu tikai pēc tam, kad sadarbības iestāde ir izvērtējusi projektu un </w:t>
            </w:r>
            <w:r w:rsidR="002217E8" w:rsidRPr="00342158">
              <w:rPr>
                <w:rFonts w:ascii="Times New Roman" w:eastAsia="Calibri" w:hAnsi="Times New Roman" w:cs="Times New Roman"/>
                <w:sz w:val="24"/>
                <w:szCs w:val="24"/>
              </w:rPr>
              <w:t xml:space="preserve">pieņēmusi </w:t>
            </w:r>
            <w:r w:rsidR="00030807" w:rsidRPr="00342158">
              <w:rPr>
                <w:rFonts w:ascii="Times New Roman" w:eastAsia="Calibri" w:hAnsi="Times New Roman" w:cs="Times New Roman"/>
                <w:sz w:val="24"/>
                <w:szCs w:val="24"/>
              </w:rPr>
              <w:t>lēmumu par projekta apstiprināšanu.</w:t>
            </w:r>
            <w:r w:rsidR="004630E5" w:rsidRPr="00342158">
              <w:rPr>
                <w:rFonts w:ascii="Times New Roman" w:eastAsia="Calibri" w:hAnsi="Times New Roman" w:cs="Times New Roman"/>
                <w:sz w:val="24"/>
                <w:szCs w:val="24"/>
              </w:rPr>
              <w:t xml:space="preserve"> Attiecīgā prasība MK noteikumos Nr.817 iekļauta</w:t>
            </w:r>
            <w:r w:rsidR="00FE339D" w:rsidRPr="00342158">
              <w:rPr>
                <w:rFonts w:ascii="Times New Roman" w:eastAsia="Calibri" w:hAnsi="Times New Roman" w:cs="Times New Roman"/>
                <w:sz w:val="24"/>
                <w:szCs w:val="24"/>
              </w:rPr>
              <w:t>,</w:t>
            </w:r>
            <w:r w:rsidR="004630E5" w:rsidRPr="00342158">
              <w:rPr>
                <w:rFonts w:ascii="Times New Roman" w:eastAsia="Calibri" w:hAnsi="Times New Roman" w:cs="Times New Roman"/>
                <w:sz w:val="24"/>
                <w:szCs w:val="24"/>
              </w:rPr>
              <w:t xml:space="preserve"> ņemot vērā </w:t>
            </w:r>
            <w:r w:rsidR="006105B8" w:rsidRPr="00342158">
              <w:rPr>
                <w:rFonts w:ascii="Times New Roman" w:eastAsia="Calibri" w:hAnsi="Times New Roman" w:cs="Times New Roman"/>
                <w:sz w:val="24"/>
                <w:szCs w:val="24"/>
              </w:rPr>
              <w:t xml:space="preserve">Komisijas 2008.gada 6.augusta Regulu (EK) </w:t>
            </w:r>
            <w:r w:rsidR="006105B8" w:rsidRPr="00342158">
              <w:rPr>
                <w:rFonts w:ascii="Times New Roman" w:eastAsia="Calibri" w:hAnsi="Times New Roman" w:cs="Times New Roman"/>
                <w:sz w:val="24"/>
                <w:szCs w:val="24"/>
              </w:rPr>
              <w:lastRenderedPageBreak/>
              <w:t>Nr. </w:t>
            </w:r>
            <w:hyperlink r:id="rId8" w:tgtFrame="_blank" w:history="1">
              <w:r w:rsidR="006105B8" w:rsidRPr="00342158">
                <w:rPr>
                  <w:rFonts w:ascii="Times New Roman" w:eastAsia="Calibri" w:hAnsi="Times New Roman" w:cs="Times New Roman"/>
                  <w:sz w:val="24"/>
                  <w:szCs w:val="24"/>
                </w:rPr>
                <w:t>800/2008</w:t>
              </w:r>
            </w:hyperlink>
            <w:r w:rsidR="006105B8" w:rsidRPr="00342158">
              <w:rPr>
                <w:rFonts w:ascii="Times New Roman" w:eastAsia="Calibri" w:hAnsi="Times New Roman" w:cs="Times New Roman"/>
                <w:sz w:val="24"/>
                <w:szCs w:val="24"/>
              </w:rPr>
              <w:t xml:space="preserve">, kas atzīst noteiktas atbalsta kategorijas par saderīgām ar kopējo tirgu, piemērojot Līguma 87. un 88.pantu (vispārējā grupu atbrīvojuma regula) (Eiropas Savienības Oficiālais Vēstnesis, 2008.gada 9.augusts, L 214) (turpmāk – </w:t>
            </w:r>
            <w:bookmarkStart w:id="8" w:name="OLE_LINK9"/>
            <w:bookmarkStart w:id="9" w:name="OLE_LINK10"/>
            <w:r w:rsidR="006105B8" w:rsidRPr="00342158">
              <w:rPr>
                <w:rFonts w:ascii="Times New Roman" w:eastAsia="Calibri" w:hAnsi="Times New Roman" w:cs="Times New Roman"/>
                <w:sz w:val="24"/>
                <w:szCs w:val="24"/>
              </w:rPr>
              <w:t>Komisijas regula Nr. </w:t>
            </w:r>
            <w:hyperlink r:id="rId9" w:tgtFrame="_blank" w:history="1">
              <w:r w:rsidR="006105B8" w:rsidRPr="00342158">
                <w:rPr>
                  <w:rFonts w:ascii="Times New Roman" w:eastAsia="Calibri" w:hAnsi="Times New Roman" w:cs="Times New Roman"/>
                  <w:sz w:val="24"/>
                  <w:szCs w:val="24"/>
                </w:rPr>
                <w:t>800/2008</w:t>
              </w:r>
            </w:hyperlink>
            <w:bookmarkEnd w:id="8"/>
            <w:bookmarkEnd w:id="9"/>
            <w:r w:rsidR="006105B8" w:rsidRPr="00342158">
              <w:rPr>
                <w:rFonts w:ascii="Times New Roman" w:eastAsia="Calibri" w:hAnsi="Times New Roman" w:cs="Times New Roman"/>
                <w:sz w:val="24"/>
                <w:szCs w:val="24"/>
              </w:rPr>
              <w:t>)</w:t>
            </w:r>
            <w:r w:rsidR="004630E5" w:rsidRPr="00342158">
              <w:rPr>
                <w:rFonts w:ascii="Times New Roman" w:eastAsia="Calibri" w:hAnsi="Times New Roman" w:cs="Times New Roman"/>
                <w:sz w:val="24"/>
                <w:szCs w:val="24"/>
              </w:rPr>
              <w:t xml:space="preserve"> 8.panta prasības, kas nosaka, ka ar šo regulu piešķir atbrīvojumu tikai tādam atbalstam, kam ir stimulējošā ietekme. Saskaņā ar Komisijas regulas Nr.800/2008 8.pantra otro punktu stimulējošā ietekme </w:t>
            </w:r>
            <w:r w:rsidR="00563AD0" w:rsidRPr="00342158">
              <w:rPr>
                <w:rFonts w:ascii="Times New Roman" w:eastAsia="Calibri" w:hAnsi="Times New Roman" w:cs="Times New Roman"/>
                <w:sz w:val="24"/>
                <w:szCs w:val="24"/>
              </w:rPr>
              <w:t>pastāv, ja projekta iesniedzējs pirms projekta īstenošanas uzsākšanas ir iesniedzis sadarbības iestādē pieteikumu atbalsta saņemšanai. Attiecībā uz lielajiem komersantiem šīs pašas regulas 8.panta 3.punktā noteikts, ka papildus 8.panta 2.punktā minētaj</w:t>
            </w:r>
            <w:r w:rsidR="008211B5" w:rsidRPr="00342158">
              <w:rPr>
                <w:rFonts w:ascii="Times New Roman" w:eastAsia="Calibri" w:hAnsi="Times New Roman" w:cs="Times New Roman"/>
                <w:sz w:val="24"/>
                <w:szCs w:val="24"/>
              </w:rPr>
              <w:t>a</w:t>
            </w:r>
            <w:r w:rsidR="00563AD0" w:rsidRPr="00342158">
              <w:rPr>
                <w:rFonts w:ascii="Times New Roman" w:eastAsia="Calibri" w:hAnsi="Times New Roman" w:cs="Times New Roman"/>
                <w:sz w:val="24"/>
                <w:szCs w:val="24"/>
              </w:rPr>
              <w:t xml:space="preserve">m </w:t>
            </w:r>
            <w:r w:rsidR="00F85052" w:rsidRPr="00342158">
              <w:rPr>
                <w:rFonts w:ascii="Times New Roman" w:eastAsia="Calibri" w:hAnsi="Times New Roman" w:cs="Times New Roman"/>
                <w:sz w:val="24"/>
                <w:szCs w:val="24"/>
              </w:rPr>
              <w:t>dalībvalstij</w:t>
            </w:r>
            <w:r w:rsidR="00563AD0" w:rsidRPr="00342158">
              <w:rPr>
                <w:rFonts w:ascii="Times New Roman" w:eastAsia="Calibri" w:hAnsi="Times New Roman" w:cs="Times New Roman"/>
                <w:sz w:val="24"/>
                <w:szCs w:val="24"/>
              </w:rPr>
              <w:t>, proti, sadarbības iestādei</w:t>
            </w:r>
            <w:r w:rsidR="002217E8" w:rsidRPr="00342158">
              <w:rPr>
                <w:rFonts w:ascii="Times New Roman" w:eastAsia="Calibri" w:hAnsi="Times New Roman" w:cs="Times New Roman"/>
                <w:sz w:val="24"/>
                <w:szCs w:val="24"/>
              </w:rPr>
              <w:t>,</w:t>
            </w:r>
            <w:r w:rsidR="00563AD0" w:rsidRPr="00342158">
              <w:rPr>
                <w:rFonts w:ascii="Times New Roman" w:eastAsia="Calibri" w:hAnsi="Times New Roman" w:cs="Times New Roman"/>
                <w:sz w:val="24"/>
                <w:szCs w:val="24"/>
              </w:rPr>
              <w:t xml:space="preserve"> ir jāpārbauda finansējuma saņēmēja sagatavotā dokumentācija un jāpārliecinās, ka projekta iesniedzējs ir pierādījis</w:t>
            </w:r>
            <w:r w:rsidR="001F4641" w:rsidRPr="00342158">
              <w:rPr>
                <w:rFonts w:ascii="Times New Roman" w:eastAsia="Calibri" w:hAnsi="Times New Roman" w:cs="Times New Roman"/>
                <w:sz w:val="24"/>
                <w:szCs w:val="24"/>
              </w:rPr>
              <w:t xml:space="preserve"> Komisijas Regulas 8.panta 3.punktā</w:t>
            </w:r>
            <w:r w:rsidR="00563AD0" w:rsidRPr="00342158">
              <w:rPr>
                <w:rFonts w:ascii="Times New Roman" w:eastAsia="Calibri" w:hAnsi="Times New Roman" w:cs="Times New Roman"/>
                <w:sz w:val="24"/>
                <w:szCs w:val="24"/>
              </w:rPr>
              <w:t xml:space="preserve"> iekļauto kritēriju izpildi.</w:t>
            </w:r>
            <w:r w:rsidR="0080317E" w:rsidRPr="00342158">
              <w:rPr>
                <w:rFonts w:ascii="Times New Roman" w:eastAsia="Calibri" w:hAnsi="Times New Roman" w:cs="Times New Roman"/>
                <w:sz w:val="24"/>
                <w:szCs w:val="24"/>
              </w:rPr>
              <w:t xml:space="preserve"> Attiecīgajai pārbaudei jābūt veiktai līdz lēmuma pieņemšanai par projekta iesnieguma apstiprināšanu.</w:t>
            </w:r>
            <w:r w:rsidR="00563AD0" w:rsidRPr="00342158">
              <w:rPr>
                <w:rFonts w:ascii="Times New Roman" w:eastAsia="Calibri" w:hAnsi="Times New Roman" w:cs="Times New Roman"/>
                <w:sz w:val="24"/>
                <w:szCs w:val="24"/>
              </w:rPr>
              <w:t xml:space="preserve"> </w:t>
            </w:r>
          </w:p>
          <w:p w:rsidR="00F66DAA" w:rsidRPr="00342158" w:rsidRDefault="00563AD0">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Līdz ar to Ekonomikas ministrija secina, ka izšķiroši ir pārliecināties, ka gan projekta iesniedzējs, kas ir mazais vai vidējais komersants, gan projekta iesniedzējs, kas ir lielais komersants</w:t>
            </w:r>
            <w:r w:rsidR="00FE339D"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nav uzsācis projekta īstenošu pirms projekta iesnieguma iesniegšanas sadarbības iestādē. Savukārt dokumentācijas pārbaudi var veikt vienlaikus ar sadarbības iestādes vērtējumu par projekta iesnieguma atbilstību vērtēšanas kritēriju prasībām. MK noteikumu Nr.817 71.6.punkts nosaka, ka sadarbības iestāde</w:t>
            </w:r>
            <w:r w:rsidR="008211B5" w:rsidRPr="00342158">
              <w:rPr>
                <w:rFonts w:ascii="Times New Roman" w:eastAsia="Calibri" w:hAnsi="Times New Roman" w:cs="Times New Roman"/>
                <w:sz w:val="24"/>
                <w:szCs w:val="24"/>
              </w:rPr>
              <w:t>i</w:t>
            </w:r>
            <w:r w:rsidRPr="00342158">
              <w:rPr>
                <w:rFonts w:ascii="Times New Roman" w:eastAsia="Calibri" w:hAnsi="Times New Roman" w:cs="Times New Roman"/>
                <w:sz w:val="24"/>
                <w:szCs w:val="24"/>
              </w:rPr>
              <w:t xml:space="preserve"> pārbaudes projekta īstenošanas vietā ir tiesības veikt jau līdz ar projekta </w:t>
            </w:r>
            <w:r w:rsidR="00F66DAA" w:rsidRPr="00342158">
              <w:rPr>
                <w:rFonts w:ascii="Times New Roman" w:eastAsia="Calibri" w:hAnsi="Times New Roman" w:cs="Times New Roman"/>
                <w:sz w:val="24"/>
                <w:szCs w:val="24"/>
              </w:rPr>
              <w:t xml:space="preserve">iesnieguma </w:t>
            </w:r>
            <w:r w:rsidRPr="00342158">
              <w:rPr>
                <w:rFonts w:ascii="Times New Roman" w:eastAsia="Calibri" w:hAnsi="Times New Roman" w:cs="Times New Roman"/>
                <w:sz w:val="24"/>
                <w:szCs w:val="24"/>
              </w:rPr>
              <w:t>iesniegšanas brīdi. Sadarbības iestāde</w:t>
            </w:r>
            <w:r w:rsidR="00F66DAA" w:rsidRPr="00342158">
              <w:rPr>
                <w:rFonts w:ascii="Times New Roman" w:eastAsia="Calibri" w:hAnsi="Times New Roman" w:cs="Times New Roman"/>
                <w:sz w:val="24"/>
                <w:szCs w:val="24"/>
              </w:rPr>
              <w:t>s</w:t>
            </w:r>
            <w:r w:rsidRPr="00342158">
              <w:rPr>
                <w:rFonts w:ascii="Times New Roman" w:eastAsia="Calibri" w:hAnsi="Times New Roman" w:cs="Times New Roman"/>
                <w:sz w:val="24"/>
                <w:szCs w:val="24"/>
              </w:rPr>
              <w:t>, proti, Latvijas Investīciju un attīstības aģentūra</w:t>
            </w:r>
            <w:r w:rsidR="002217E8" w:rsidRPr="00342158">
              <w:rPr>
                <w:rFonts w:ascii="Times New Roman" w:eastAsia="Calibri" w:hAnsi="Times New Roman" w:cs="Times New Roman"/>
                <w:sz w:val="24"/>
                <w:szCs w:val="24"/>
              </w:rPr>
              <w:t>s</w:t>
            </w:r>
            <w:r w:rsidR="00F85052" w:rsidRPr="00342158">
              <w:rPr>
                <w:rFonts w:ascii="Times New Roman" w:eastAsia="Calibri" w:hAnsi="Times New Roman" w:cs="Times New Roman"/>
                <w:sz w:val="24"/>
                <w:szCs w:val="24"/>
              </w:rPr>
              <w:t xml:space="preserve"> (turpmāk – LIAA)</w:t>
            </w:r>
            <w:r w:rsidRPr="00342158">
              <w:rPr>
                <w:rFonts w:ascii="Times New Roman" w:eastAsia="Calibri" w:hAnsi="Times New Roman" w:cs="Times New Roman"/>
                <w:sz w:val="24"/>
                <w:szCs w:val="24"/>
              </w:rPr>
              <w:t xml:space="preserve"> iekšēj</w:t>
            </w:r>
            <w:r w:rsidR="00F66DAA" w:rsidRPr="00342158">
              <w:rPr>
                <w:rFonts w:ascii="Times New Roman" w:eastAsia="Calibri" w:hAnsi="Times New Roman" w:cs="Times New Roman"/>
                <w:sz w:val="24"/>
                <w:szCs w:val="24"/>
              </w:rPr>
              <w:t>ie</w:t>
            </w:r>
            <w:r w:rsidRPr="00342158">
              <w:rPr>
                <w:rFonts w:ascii="Times New Roman" w:eastAsia="Calibri" w:hAnsi="Times New Roman" w:cs="Times New Roman"/>
                <w:sz w:val="24"/>
                <w:szCs w:val="24"/>
              </w:rPr>
              <w:t xml:space="preserve"> normatīv</w:t>
            </w:r>
            <w:r w:rsidR="00F66DAA" w:rsidRPr="00342158">
              <w:rPr>
                <w:rFonts w:ascii="Times New Roman" w:eastAsia="Calibri" w:hAnsi="Times New Roman" w:cs="Times New Roman"/>
                <w:sz w:val="24"/>
                <w:szCs w:val="24"/>
              </w:rPr>
              <w:t>ie</w:t>
            </w:r>
            <w:r w:rsidRPr="00342158">
              <w:rPr>
                <w:rFonts w:ascii="Times New Roman" w:eastAsia="Calibri" w:hAnsi="Times New Roman" w:cs="Times New Roman"/>
                <w:sz w:val="24"/>
                <w:szCs w:val="24"/>
              </w:rPr>
              <w:t xml:space="preserve"> akt</w:t>
            </w:r>
            <w:r w:rsidR="00F66DAA" w:rsidRPr="00342158">
              <w:rPr>
                <w:rFonts w:ascii="Times New Roman" w:eastAsia="Calibri" w:hAnsi="Times New Roman" w:cs="Times New Roman"/>
                <w:sz w:val="24"/>
                <w:szCs w:val="24"/>
              </w:rPr>
              <w:t>i nosaka</w:t>
            </w:r>
            <w:r w:rsidR="00F85052" w:rsidRPr="00342158">
              <w:rPr>
                <w:rFonts w:ascii="Times New Roman" w:eastAsia="Calibri" w:hAnsi="Times New Roman" w:cs="Times New Roman"/>
                <w:sz w:val="24"/>
                <w:szCs w:val="24"/>
              </w:rPr>
              <w:t xml:space="preserve">, </w:t>
            </w:r>
            <w:r w:rsidR="00F66DAA" w:rsidRPr="00342158">
              <w:rPr>
                <w:rFonts w:ascii="Times New Roman" w:eastAsia="Calibri" w:hAnsi="Times New Roman" w:cs="Times New Roman"/>
                <w:sz w:val="24"/>
                <w:szCs w:val="24"/>
              </w:rPr>
              <w:t xml:space="preserve">ka </w:t>
            </w:r>
            <w:r w:rsidR="00B37B88" w:rsidRPr="00342158">
              <w:rPr>
                <w:rFonts w:ascii="Times New Roman" w:eastAsia="Calibri" w:hAnsi="Times New Roman" w:cs="Times New Roman"/>
                <w:sz w:val="24"/>
                <w:szCs w:val="24"/>
              </w:rPr>
              <w:t>LIAA ir pienākums pārliecināties par projekta faktisko ieviešanu vai faktiskajiem apstākļiem projekta īstenošanas vietā, proti, LIAA darbinieks 10 darba dienu laikā no projekta iesnieguma iesniegšanas brīža veic pārbaudi projekta īstenošanas vietā ar mērķi pārliecināties</w:t>
            </w:r>
            <w:r w:rsidR="002217E8" w:rsidRPr="00342158">
              <w:rPr>
                <w:rFonts w:ascii="Times New Roman" w:eastAsia="Calibri" w:hAnsi="Times New Roman" w:cs="Times New Roman"/>
                <w:sz w:val="24"/>
                <w:szCs w:val="24"/>
              </w:rPr>
              <w:t>,</w:t>
            </w:r>
            <w:r w:rsidR="00B37B88" w:rsidRPr="00342158">
              <w:rPr>
                <w:rFonts w:ascii="Times New Roman" w:eastAsia="Calibri" w:hAnsi="Times New Roman" w:cs="Times New Roman"/>
                <w:sz w:val="24"/>
                <w:szCs w:val="24"/>
              </w:rPr>
              <w:t xml:space="preserve"> vai </w:t>
            </w:r>
            <w:r w:rsidR="007A701E" w:rsidRPr="00342158">
              <w:rPr>
                <w:rFonts w:ascii="Times New Roman" w:eastAsia="Calibri" w:hAnsi="Times New Roman" w:cs="Times New Roman"/>
                <w:sz w:val="24"/>
                <w:szCs w:val="24"/>
              </w:rPr>
              <w:t>nav uzsākta projekta īstenošana pirms iesniegts pieteikums.</w:t>
            </w:r>
          </w:p>
          <w:p w:rsidR="00AF25B3" w:rsidRPr="00342158" w:rsidRDefault="007A701E">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Pamatojoties uz augstāk norādīto, kā arī ņemot vērā Komisijas regula</w:t>
            </w:r>
            <w:r w:rsidR="008211B5" w:rsidRPr="00342158">
              <w:rPr>
                <w:rFonts w:ascii="Times New Roman" w:eastAsia="Calibri" w:hAnsi="Times New Roman" w:cs="Times New Roman"/>
                <w:sz w:val="24"/>
                <w:szCs w:val="24"/>
              </w:rPr>
              <w:t>s</w:t>
            </w:r>
            <w:r w:rsidRPr="00342158">
              <w:rPr>
                <w:rFonts w:ascii="Times New Roman" w:eastAsia="Calibri" w:hAnsi="Times New Roman" w:cs="Times New Roman"/>
                <w:sz w:val="24"/>
                <w:szCs w:val="24"/>
              </w:rPr>
              <w:t xml:space="preserve"> Nr. </w:t>
            </w:r>
            <w:hyperlink r:id="rId10" w:tgtFrame="_blank" w:history="1">
              <w:r w:rsidRPr="00342158">
                <w:rPr>
                  <w:rFonts w:ascii="Times New Roman" w:eastAsia="Calibri" w:hAnsi="Times New Roman" w:cs="Times New Roman"/>
                  <w:sz w:val="24"/>
                  <w:szCs w:val="24"/>
                </w:rPr>
                <w:t>800/2008</w:t>
              </w:r>
            </w:hyperlink>
            <w:r w:rsidRPr="00342158">
              <w:rPr>
                <w:rFonts w:ascii="Times New Roman" w:eastAsia="Calibri" w:hAnsi="Times New Roman" w:cs="Times New Roman"/>
                <w:sz w:val="24"/>
                <w:szCs w:val="24"/>
              </w:rPr>
              <w:t xml:space="preserve"> prasības</w:t>
            </w:r>
            <w:r w:rsidR="00F66DAA"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Ministru kabineta noteikumu projektā ir p</w:t>
            </w:r>
            <w:r w:rsidR="00662863" w:rsidRPr="00342158">
              <w:rPr>
                <w:rFonts w:ascii="Times New Roman" w:eastAsia="Calibri" w:hAnsi="Times New Roman" w:cs="Times New Roman"/>
                <w:sz w:val="24"/>
                <w:szCs w:val="24"/>
              </w:rPr>
              <w:t xml:space="preserve">recizēts projekta īstenošanas uzsākšanas brīdis, nosakot, ka finansējuma saņēmējs saņem finansējumu, ja projekta iesniegums iesniegts sadarbības iestādē pirms finansējuma saņēmējs ir uzsācis projekta atbalstāmās darbības un </w:t>
            </w:r>
            <w:r w:rsidR="00E176CA" w:rsidRPr="00342158">
              <w:rPr>
                <w:rFonts w:ascii="Times New Roman" w:eastAsia="Calibri" w:hAnsi="Times New Roman" w:cs="Times New Roman"/>
                <w:b/>
                <w:sz w:val="24"/>
                <w:szCs w:val="24"/>
              </w:rPr>
              <w:t>sadarbības iestāde ir veikusi pirmslīguma pārbaudi projekta īstenošanas vietā un izvērtējusi, vai lielais komersants izpilda šo noteikumu 27.punktā minētos nosacījumus, aizpildot pārbaudes lapu un informējot projekta iesniedzēju</w:t>
            </w:r>
            <w:r w:rsidR="00AF25B3" w:rsidRPr="00342158">
              <w:rPr>
                <w:rFonts w:ascii="Times New Roman" w:eastAsia="Calibri" w:hAnsi="Times New Roman" w:cs="Times New Roman"/>
                <w:sz w:val="24"/>
                <w:szCs w:val="24"/>
              </w:rPr>
              <w:t>.</w:t>
            </w:r>
          </w:p>
          <w:p w:rsidR="00F66DAA" w:rsidRPr="00342158" w:rsidRDefault="00AF25B3">
            <w:pPr>
              <w:spacing w:after="0" w:line="240" w:lineRule="auto"/>
              <w:ind w:firstLine="567"/>
              <w:jc w:val="both"/>
              <w:rPr>
                <w:rFonts w:ascii="Times New Roman" w:eastAsia="Calibri" w:hAnsi="Times New Roman" w:cs="Times New Roman"/>
                <w:sz w:val="24"/>
                <w:szCs w:val="24"/>
              </w:rPr>
            </w:pPr>
            <w:r w:rsidRPr="00342158" w:rsidDel="00AF25B3">
              <w:rPr>
                <w:rFonts w:ascii="Times New Roman" w:eastAsia="Calibri" w:hAnsi="Times New Roman" w:cs="Times New Roman"/>
                <w:sz w:val="24"/>
                <w:szCs w:val="24"/>
              </w:rPr>
              <w:t xml:space="preserve"> </w:t>
            </w:r>
            <w:r w:rsidR="008211B5" w:rsidRPr="00342158">
              <w:rPr>
                <w:rFonts w:ascii="Times New Roman" w:eastAsia="Calibri" w:hAnsi="Times New Roman" w:cs="Times New Roman"/>
                <w:sz w:val="24"/>
                <w:szCs w:val="24"/>
              </w:rPr>
              <w:t>G</w:t>
            </w:r>
            <w:r w:rsidR="00662863" w:rsidRPr="00342158">
              <w:rPr>
                <w:rFonts w:ascii="Times New Roman" w:eastAsia="Calibri" w:hAnsi="Times New Roman" w:cs="Times New Roman"/>
                <w:sz w:val="24"/>
                <w:szCs w:val="24"/>
              </w:rPr>
              <w:t>adījumā, ja projekta iesniegumu ir iesniedzis lielais komersants un tas ir uzsācis projekta īstenošanu, LIAA, vērtējot projekta iesnieguma atbilstību vērtēšanas kritēriju prasībām, ir pienākums izvērtēt tā atbilstību Komisijas Regulas Nr.800/2008 8.panta 3.punkta prasībām un</w:t>
            </w:r>
            <w:r w:rsidR="00BD2B48" w:rsidRPr="00342158">
              <w:rPr>
                <w:rFonts w:ascii="Times New Roman" w:eastAsia="Calibri" w:hAnsi="Times New Roman" w:cs="Times New Roman"/>
                <w:sz w:val="24"/>
                <w:szCs w:val="24"/>
              </w:rPr>
              <w:t>,</w:t>
            </w:r>
            <w:r w:rsidR="00662863" w:rsidRPr="00342158">
              <w:rPr>
                <w:rFonts w:ascii="Times New Roman" w:eastAsia="Calibri" w:hAnsi="Times New Roman" w:cs="Times New Roman"/>
                <w:sz w:val="24"/>
                <w:szCs w:val="24"/>
              </w:rPr>
              <w:t xml:space="preserve"> cita starpā</w:t>
            </w:r>
            <w:r w:rsidR="00BD2B48" w:rsidRPr="00342158">
              <w:rPr>
                <w:rFonts w:ascii="Times New Roman" w:eastAsia="Calibri" w:hAnsi="Times New Roman" w:cs="Times New Roman"/>
                <w:sz w:val="24"/>
                <w:szCs w:val="24"/>
              </w:rPr>
              <w:t>,</w:t>
            </w:r>
            <w:r w:rsidR="00662863" w:rsidRPr="00342158">
              <w:rPr>
                <w:rFonts w:ascii="Times New Roman" w:eastAsia="Calibri" w:hAnsi="Times New Roman" w:cs="Times New Roman"/>
                <w:sz w:val="24"/>
                <w:szCs w:val="24"/>
              </w:rPr>
              <w:t xml:space="preserve"> LIAA ir tiesības pieņemt lēmumu, ka projekta iesniedzējs nav pierādījis Eiropas Savienības </w:t>
            </w:r>
            <w:r w:rsidR="00662863" w:rsidRPr="00342158">
              <w:rPr>
                <w:rFonts w:ascii="Times New Roman" w:eastAsia="Calibri" w:hAnsi="Times New Roman" w:cs="Times New Roman"/>
                <w:sz w:val="24"/>
                <w:szCs w:val="24"/>
              </w:rPr>
              <w:lastRenderedPageBreak/>
              <w:t xml:space="preserve">fondu finansējuma stimulējošo ietekmi. </w:t>
            </w:r>
            <w:r w:rsidR="00BD2B48" w:rsidRPr="00342158">
              <w:rPr>
                <w:rFonts w:ascii="Times New Roman" w:eastAsia="Calibri" w:hAnsi="Times New Roman" w:cs="Times New Roman"/>
                <w:sz w:val="24"/>
                <w:szCs w:val="24"/>
              </w:rPr>
              <w:t>Tādā veidā tiek nodrošināts</w:t>
            </w:r>
            <w:r w:rsidR="00662863" w:rsidRPr="00342158">
              <w:rPr>
                <w:rFonts w:ascii="Times New Roman" w:eastAsia="Calibri" w:hAnsi="Times New Roman" w:cs="Times New Roman"/>
                <w:sz w:val="24"/>
                <w:szCs w:val="24"/>
              </w:rPr>
              <w:t xml:space="preserve"> , ka atbalstu saņem tikai tas projekta iesniedzējs, kas atbilst Komisijas Regulas Nr.800/2006 prasībām.</w:t>
            </w:r>
          </w:p>
          <w:p w:rsidR="00785F80" w:rsidRPr="00342158" w:rsidRDefault="008211B5">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Atbalsta apvienošana</w:t>
            </w:r>
            <w:r w:rsidR="00F66DAA" w:rsidRPr="00342158">
              <w:rPr>
                <w:rFonts w:ascii="Times New Roman" w:eastAsia="Calibri" w:hAnsi="Times New Roman" w:cs="Times New Roman"/>
                <w:i/>
                <w:sz w:val="24"/>
                <w:szCs w:val="24"/>
              </w:rPr>
              <w:t xml:space="preserve"> </w:t>
            </w:r>
          </w:p>
          <w:p w:rsidR="00544422" w:rsidRPr="00342158" w:rsidRDefault="006105B8">
            <w:pPr>
              <w:spacing w:after="0" w:line="240" w:lineRule="auto"/>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Lai arī saskaņā ar Eiropas Savienības fondu ieviešanas regulām atbalsta savienošana nav aizliegta, tomēr, ņemot vērā Eiropas Komisijas pausto viedokli (Eiropas Komisijas 2012.gada 29.marta vēstule „</w:t>
            </w:r>
            <w:proofErr w:type="spellStart"/>
            <w:r w:rsidRPr="00342158">
              <w:rPr>
                <w:rFonts w:ascii="Times New Roman" w:eastAsia="Calibri" w:hAnsi="Times New Roman" w:cs="Times New Roman"/>
                <w:sz w:val="24"/>
                <w:szCs w:val="24"/>
              </w:rPr>
              <w:t>Irregularly</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issued</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loan</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and</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guarantee</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return</w:t>
            </w:r>
            <w:proofErr w:type="spellEnd"/>
            <w:r w:rsidRPr="00342158">
              <w:rPr>
                <w:rFonts w:ascii="Times New Roman" w:eastAsia="Calibri" w:hAnsi="Times New Roman" w:cs="Times New Roman"/>
                <w:sz w:val="24"/>
                <w:szCs w:val="24"/>
              </w:rPr>
              <w:t xml:space="preserve"> to </w:t>
            </w:r>
            <w:proofErr w:type="spellStart"/>
            <w:r w:rsidRPr="00342158">
              <w:rPr>
                <w:rFonts w:ascii="Times New Roman" w:eastAsia="Calibri" w:hAnsi="Times New Roman" w:cs="Times New Roman"/>
                <w:sz w:val="24"/>
                <w:szCs w:val="24"/>
              </w:rPr>
              <w:t>European</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Regional</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Development</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Fund</w:t>
            </w:r>
            <w:proofErr w:type="spellEnd"/>
            <w:r w:rsidRPr="00342158">
              <w:rPr>
                <w:rFonts w:ascii="Times New Roman" w:eastAsia="Calibri" w:hAnsi="Times New Roman" w:cs="Times New Roman"/>
                <w:sz w:val="24"/>
                <w:szCs w:val="24"/>
              </w:rPr>
              <w:t xml:space="preserve"> (ERDF) / </w:t>
            </w:r>
            <w:proofErr w:type="spellStart"/>
            <w:r w:rsidRPr="00342158">
              <w:rPr>
                <w:rFonts w:ascii="Times New Roman" w:eastAsia="Calibri" w:hAnsi="Times New Roman" w:cs="Times New Roman"/>
                <w:sz w:val="24"/>
                <w:szCs w:val="24"/>
              </w:rPr>
              <w:t>Combination</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of</w:t>
            </w:r>
            <w:proofErr w:type="spellEnd"/>
            <w:r w:rsidRPr="00342158">
              <w:rPr>
                <w:rFonts w:ascii="Times New Roman" w:eastAsia="Calibri" w:hAnsi="Times New Roman" w:cs="Times New Roman"/>
                <w:sz w:val="24"/>
                <w:szCs w:val="24"/>
              </w:rPr>
              <w:t xml:space="preserve"> grants </w:t>
            </w:r>
            <w:proofErr w:type="spellStart"/>
            <w:r w:rsidRPr="00342158">
              <w:rPr>
                <w:rFonts w:ascii="Times New Roman" w:eastAsia="Calibri" w:hAnsi="Times New Roman" w:cs="Times New Roman"/>
                <w:sz w:val="24"/>
                <w:szCs w:val="24"/>
              </w:rPr>
              <w:t>with</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financial</w:t>
            </w:r>
            <w:proofErr w:type="spellEnd"/>
            <w:r w:rsidRPr="00342158">
              <w:rPr>
                <w:rFonts w:ascii="Times New Roman" w:eastAsia="Calibri" w:hAnsi="Times New Roman" w:cs="Times New Roman"/>
                <w:sz w:val="24"/>
                <w:szCs w:val="24"/>
              </w:rPr>
              <w:t xml:space="preserve"> </w:t>
            </w:r>
            <w:proofErr w:type="spellStart"/>
            <w:r w:rsidRPr="00342158">
              <w:rPr>
                <w:rFonts w:ascii="Times New Roman" w:eastAsia="Calibri" w:hAnsi="Times New Roman" w:cs="Times New Roman"/>
                <w:sz w:val="24"/>
                <w:szCs w:val="24"/>
              </w:rPr>
              <w:t>engineering</w:t>
            </w:r>
            <w:proofErr w:type="spellEnd"/>
            <w:r w:rsidRPr="00342158">
              <w:rPr>
                <w:rFonts w:ascii="Times New Roman" w:eastAsia="Calibri" w:hAnsi="Times New Roman" w:cs="Times New Roman"/>
                <w:sz w:val="24"/>
                <w:szCs w:val="24"/>
              </w:rPr>
              <w:t xml:space="preserve"> instruments”) par Eiropas Savienības fondu līdzfinansēto aktivitāšu ieviešanu, </w:t>
            </w:r>
            <w:r w:rsidR="00BD2B48" w:rsidRPr="00342158">
              <w:rPr>
                <w:rFonts w:ascii="Times New Roman" w:eastAsia="Calibri" w:hAnsi="Times New Roman" w:cs="Times New Roman"/>
                <w:sz w:val="24"/>
                <w:szCs w:val="24"/>
              </w:rPr>
              <w:t>saskaņā ar kuru</w:t>
            </w:r>
            <w:r w:rsidRPr="00342158">
              <w:rPr>
                <w:rFonts w:ascii="Times New Roman" w:eastAsia="Calibri" w:hAnsi="Times New Roman" w:cs="Times New Roman"/>
                <w:sz w:val="24"/>
                <w:szCs w:val="24"/>
              </w:rPr>
              <w:t xml:space="preserve"> nav atbalstāma atbalsta apvienošana, kas sniegta dažādu </w:t>
            </w:r>
            <w:r w:rsidR="008F7893" w:rsidRPr="00342158">
              <w:rPr>
                <w:rFonts w:ascii="Times New Roman" w:eastAsia="Calibri" w:hAnsi="Times New Roman" w:cs="Times New Roman"/>
                <w:sz w:val="24"/>
                <w:szCs w:val="24"/>
              </w:rPr>
              <w:t>Eiropas Savienības</w:t>
            </w:r>
            <w:r w:rsidRPr="00342158">
              <w:rPr>
                <w:rFonts w:ascii="Times New Roman" w:eastAsia="Calibri" w:hAnsi="Times New Roman" w:cs="Times New Roman"/>
                <w:sz w:val="24"/>
                <w:szCs w:val="24"/>
              </w:rPr>
              <w:t xml:space="preserve"> fondu atbalsta programmu ietvaros vienām un tām pašām attiecināmajām izmaksām un lai mazinātu neatbilstoši veiktu izdevumu riskus nākotnē, kamēr nav saņemta vienota Eiropas Komisijas nostāja šajā jautājumā, Ekonomikas ministrija ierosina veikt grozījumus MK noteikumos Nr.</w:t>
            </w:r>
            <w:r w:rsidR="008F7893" w:rsidRPr="00342158">
              <w:rPr>
                <w:rFonts w:ascii="Times New Roman" w:eastAsia="Calibri" w:hAnsi="Times New Roman" w:cs="Times New Roman"/>
                <w:sz w:val="24"/>
                <w:szCs w:val="24"/>
              </w:rPr>
              <w:t>817</w:t>
            </w:r>
            <w:r w:rsidRPr="00342158">
              <w:rPr>
                <w:rFonts w:ascii="Times New Roman" w:eastAsia="Calibri" w:hAnsi="Times New Roman" w:cs="Times New Roman"/>
                <w:sz w:val="24"/>
                <w:szCs w:val="24"/>
              </w:rPr>
              <w:t xml:space="preserve">, nosakot, ka </w:t>
            </w:r>
            <w:r w:rsidR="008F7893" w:rsidRPr="00342158">
              <w:rPr>
                <w:rFonts w:ascii="Times New Roman" w:eastAsia="Calibri" w:hAnsi="Times New Roman" w:cs="Times New Roman"/>
                <w:sz w:val="24"/>
                <w:szCs w:val="24"/>
              </w:rPr>
              <w:t>finansējumu</w:t>
            </w:r>
            <w:r w:rsidRPr="00342158">
              <w:rPr>
                <w:rFonts w:ascii="Times New Roman" w:eastAsia="Calibri" w:hAnsi="Times New Roman" w:cs="Times New Roman"/>
                <w:sz w:val="24"/>
                <w:szCs w:val="24"/>
              </w:rPr>
              <w:t xml:space="preserve"> par tām pašām attiecināmajām izmaksām nedrīkst apvienot ar atbalstu citu programmu ietvaros, ja šāds atbalsts tiek finansēts no Eiropas Savienības fondu līdzekļiem. Ņemot vērā, ka Eiropas Savienības valsts atbalsta regulējums neaizliedz atbalsta savienošanu, ja tas finansēts no valsts vai citiem līdzekļiem, </w:t>
            </w:r>
            <w:r w:rsidR="008F7893" w:rsidRPr="00342158">
              <w:rPr>
                <w:rFonts w:ascii="Times New Roman" w:eastAsia="Calibri" w:hAnsi="Times New Roman" w:cs="Times New Roman"/>
                <w:sz w:val="24"/>
                <w:szCs w:val="24"/>
              </w:rPr>
              <w:t>aktivitātes ietvaros ir atbalstāma atbalsta apvienošana ar citām atbalsta programmām, kas nav finansētas no Eiropas Savienības fondu līdzekļiem, ievērojot Komisijas Regulas Nr.800/2008 valsts atbalsta prasības.</w:t>
            </w:r>
          </w:p>
          <w:p w:rsidR="00727A6D" w:rsidRPr="00342158" w:rsidRDefault="00727A6D" w:rsidP="00727A6D">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 xml:space="preserve">Lēmuma pieņemšanas termiņš </w:t>
            </w:r>
          </w:p>
          <w:p w:rsidR="00544422" w:rsidRPr="00342158" w:rsidRDefault="00434F48" w:rsidP="002D3DF5">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 xml:space="preserve">Šobrīd spēkā esošā </w:t>
            </w:r>
            <w:r w:rsidR="008F7893" w:rsidRPr="00342158">
              <w:rPr>
                <w:rFonts w:ascii="Times New Roman" w:eastAsia="Calibri" w:hAnsi="Times New Roman" w:cs="Times New Roman"/>
                <w:sz w:val="24"/>
                <w:szCs w:val="24"/>
              </w:rPr>
              <w:t>MK noteikum</w:t>
            </w:r>
            <w:r w:rsidRPr="00342158">
              <w:rPr>
                <w:rFonts w:ascii="Times New Roman" w:eastAsia="Calibri" w:hAnsi="Times New Roman" w:cs="Times New Roman"/>
                <w:sz w:val="24"/>
                <w:szCs w:val="24"/>
              </w:rPr>
              <w:t>u</w:t>
            </w:r>
            <w:r w:rsidR="008F7893" w:rsidRPr="00342158">
              <w:rPr>
                <w:rFonts w:ascii="Times New Roman" w:eastAsia="Calibri" w:hAnsi="Times New Roman" w:cs="Times New Roman"/>
                <w:sz w:val="24"/>
                <w:szCs w:val="24"/>
              </w:rPr>
              <w:t xml:space="preserve"> Nr.817</w:t>
            </w:r>
            <w:r w:rsidRPr="00342158">
              <w:rPr>
                <w:rFonts w:ascii="Times New Roman" w:eastAsia="Calibri" w:hAnsi="Times New Roman" w:cs="Times New Roman"/>
                <w:sz w:val="24"/>
                <w:szCs w:val="24"/>
              </w:rPr>
              <w:t xml:space="preserve"> redakcija nosaka, ka lēmumu par projekta iesniegumu apstiprināšanu vai noraidīšanu ir jāpieņem līdz 2013.gada 31.decembrim</w:t>
            </w:r>
            <w:r w:rsidR="00BD2B48"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attiecīgā prasība </w:t>
            </w:r>
            <w:r w:rsidR="00BD2B48" w:rsidRPr="00342158">
              <w:rPr>
                <w:rFonts w:ascii="Times New Roman" w:eastAsia="Calibri" w:hAnsi="Times New Roman" w:cs="Times New Roman"/>
                <w:sz w:val="24"/>
                <w:szCs w:val="24"/>
              </w:rPr>
              <w:t xml:space="preserve">noteikumos ir </w:t>
            </w:r>
            <w:r w:rsidRPr="00342158">
              <w:rPr>
                <w:rFonts w:ascii="Times New Roman" w:eastAsia="Calibri" w:hAnsi="Times New Roman" w:cs="Times New Roman"/>
                <w:sz w:val="24"/>
                <w:szCs w:val="24"/>
              </w:rPr>
              <w:t>iekļauta</w:t>
            </w:r>
            <w:r w:rsidR="00BD2B48"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ņemot vērā valsts atbalsta regulējumu. Ar mērķi nodrošināt atbalsta piešķiršanu atbilstoši Komisija Regulas Nr.800/2008 prasībām Eiropas Komisija </w:t>
            </w:r>
            <w:r w:rsidR="00F15E5A" w:rsidRPr="00342158">
              <w:rPr>
                <w:rFonts w:ascii="Times New Roman" w:eastAsia="Calibri" w:hAnsi="Times New Roman" w:cs="Times New Roman"/>
                <w:sz w:val="24"/>
                <w:szCs w:val="24"/>
              </w:rPr>
              <w:t>apstiprinot Valsts reģionālā atbalsta pamatnostādnes 2014.-2020.gadam</w:t>
            </w:r>
            <w:r w:rsidRPr="00342158">
              <w:rPr>
                <w:rFonts w:ascii="Times New Roman" w:eastAsia="Calibri" w:hAnsi="Times New Roman" w:cs="Times New Roman"/>
                <w:sz w:val="24"/>
                <w:szCs w:val="24"/>
              </w:rPr>
              <w:t xml:space="preserve"> ir pagarinājusi lēmum</w:t>
            </w:r>
            <w:r w:rsidR="00292358" w:rsidRPr="00342158">
              <w:rPr>
                <w:rFonts w:ascii="Times New Roman" w:eastAsia="Calibri" w:hAnsi="Times New Roman" w:cs="Times New Roman"/>
                <w:sz w:val="24"/>
                <w:szCs w:val="24"/>
              </w:rPr>
              <w:t>u par projekta iesnieguma apstiprināšanu vai noraidīšanu</w:t>
            </w:r>
            <w:r w:rsidRPr="00342158">
              <w:rPr>
                <w:rFonts w:ascii="Times New Roman" w:eastAsia="Calibri" w:hAnsi="Times New Roman" w:cs="Times New Roman"/>
                <w:sz w:val="24"/>
                <w:szCs w:val="24"/>
              </w:rPr>
              <w:t xml:space="preserve"> pieņemšanas termiņu par sešiem mēnešiem, proti, lēmumus ir iespējams pieņemt līdz 2014.gada 30.jūnijam. Līdz ar to ir nepieciešams veikt grozījumus MK noteikumos Nr.817, paredzot, ka lēmumus par projekt</w:t>
            </w:r>
            <w:r w:rsidR="001561E8" w:rsidRPr="00342158">
              <w:rPr>
                <w:rFonts w:ascii="Times New Roman" w:eastAsia="Calibri" w:hAnsi="Times New Roman" w:cs="Times New Roman"/>
                <w:sz w:val="24"/>
                <w:szCs w:val="24"/>
              </w:rPr>
              <w:t>u</w:t>
            </w:r>
            <w:r w:rsidRPr="00342158">
              <w:rPr>
                <w:rFonts w:ascii="Times New Roman" w:eastAsia="Calibri" w:hAnsi="Times New Roman" w:cs="Times New Roman"/>
                <w:sz w:val="24"/>
                <w:szCs w:val="24"/>
              </w:rPr>
              <w:t xml:space="preserve"> iesniegumu apstiprināšanu vai noraidīšanu ir iespējams pieņemt ne vēlāk kā līdz 2014.gada 30.jūnijam.</w:t>
            </w:r>
            <w:r w:rsidR="00770202" w:rsidRPr="00342158">
              <w:rPr>
                <w:rFonts w:ascii="Times New Roman" w:eastAsia="Calibri" w:hAnsi="Times New Roman" w:cs="Times New Roman"/>
                <w:sz w:val="24"/>
                <w:szCs w:val="24"/>
              </w:rPr>
              <w:t xml:space="preserve"> </w:t>
            </w:r>
            <w:r w:rsidR="00770202" w:rsidRPr="00342158">
              <w:rPr>
                <w:rFonts w:ascii="Times New Roman" w:eastAsia="Calibri" w:hAnsi="Times New Roman" w:cs="Times New Roman"/>
                <w:b/>
                <w:sz w:val="24"/>
                <w:szCs w:val="24"/>
              </w:rPr>
              <w:t xml:space="preserve">Šobrīd Eiropas Komisija vēl nav apstiprinājusi reģionālās valsts atbalsta kartes pagarinājumu līdz 30.06.2014 (provizoriski, apstiprinājums sagaidāms šī gada novembrī), tāpēc </w:t>
            </w:r>
            <w:r w:rsidR="00F75288" w:rsidRPr="00342158">
              <w:rPr>
                <w:rFonts w:ascii="Times New Roman" w:eastAsia="Calibri" w:hAnsi="Times New Roman" w:cs="Times New Roman"/>
                <w:b/>
                <w:sz w:val="24"/>
                <w:szCs w:val="24"/>
              </w:rPr>
              <w:t>grozījums</w:t>
            </w:r>
            <w:r w:rsidR="00EA5EEB" w:rsidRPr="00342158">
              <w:rPr>
                <w:rFonts w:ascii="Times New Roman" w:eastAsia="Calibri" w:hAnsi="Times New Roman" w:cs="Times New Roman"/>
                <w:b/>
                <w:sz w:val="24"/>
                <w:szCs w:val="24"/>
              </w:rPr>
              <w:t xml:space="preserve"> MK noteikumos Nr.817 </w:t>
            </w:r>
            <w:r w:rsidR="00F75288" w:rsidRPr="00342158">
              <w:rPr>
                <w:rFonts w:ascii="Times New Roman" w:eastAsia="Calibri" w:hAnsi="Times New Roman" w:cs="Times New Roman"/>
                <w:b/>
                <w:sz w:val="24"/>
                <w:szCs w:val="24"/>
              </w:rPr>
              <w:t xml:space="preserve">par lēmuma pieņemšanas termiņa pagarinājumu </w:t>
            </w:r>
            <w:r w:rsidR="00A02EE7" w:rsidRPr="00342158">
              <w:rPr>
                <w:rFonts w:ascii="Times New Roman" w:eastAsia="Calibri" w:hAnsi="Times New Roman" w:cs="Times New Roman"/>
                <w:b/>
                <w:sz w:val="24"/>
                <w:szCs w:val="24"/>
              </w:rPr>
              <w:t>stāsies spēkā 2013</w:t>
            </w:r>
            <w:r w:rsidR="00F75288" w:rsidRPr="00342158">
              <w:rPr>
                <w:rFonts w:ascii="Times New Roman" w:eastAsia="Calibri" w:hAnsi="Times New Roman" w:cs="Times New Roman"/>
                <w:b/>
                <w:sz w:val="24"/>
                <w:szCs w:val="24"/>
              </w:rPr>
              <w:t xml:space="preserve">.gada </w:t>
            </w:r>
            <w:r w:rsidR="00A02EE7" w:rsidRPr="00342158">
              <w:rPr>
                <w:rFonts w:ascii="Times New Roman" w:eastAsia="Calibri" w:hAnsi="Times New Roman" w:cs="Times New Roman"/>
                <w:b/>
                <w:sz w:val="24"/>
                <w:szCs w:val="24"/>
              </w:rPr>
              <w:t>3</w:t>
            </w:r>
            <w:r w:rsidR="00F75288" w:rsidRPr="00342158">
              <w:rPr>
                <w:rFonts w:ascii="Times New Roman" w:eastAsia="Calibri" w:hAnsi="Times New Roman" w:cs="Times New Roman"/>
                <w:b/>
                <w:sz w:val="24"/>
                <w:szCs w:val="24"/>
              </w:rPr>
              <w:t>1.</w:t>
            </w:r>
            <w:r w:rsidR="00A02EE7" w:rsidRPr="00342158">
              <w:rPr>
                <w:rFonts w:ascii="Times New Roman" w:eastAsia="Calibri" w:hAnsi="Times New Roman" w:cs="Times New Roman"/>
                <w:b/>
                <w:sz w:val="24"/>
                <w:szCs w:val="24"/>
              </w:rPr>
              <w:t>decembrī</w:t>
            </w:r>
            <w:r w:rsidR="00F75288" w:rsidRPr="00342158">
              <w:rPr>
                <w:rFonts w:ascii="Times New Roman" w:eastAsia="Calibri" w:hAnsi="Times New Roman" w:cs="Times New Roman"/>
                <w:b/>
                <w:sz w:val="24"/>
                <w:szCs w:val="24"/>
              </w:rPr>
              <w:t>.</w:t>
            </w:r>
            <w:r w:rsidR="00F75288" w:rsidRPr="00342158">
              <w:rPr>
                <w:rFonts w:ascii="Times New Roman" w:eastAsia="Calibri" w:hAnsi="Times New Roman" w:cs="Times New Roman"/>
                <w:sz w:val="24"/>
                <w:szCs w:val="24"/>
              </w:rPr>
              <w:t xml:space="preserve"> </w:t>
            </w:r>
          </w:p>
          <w:p w:rsidR="001561E8" w:rsidRPr="00342158" w:rsidRDefault="001561E8" w:rsidP="001561E8">
            <w:pPr>
              <w:spacing w:before="120" w:after="0" w:line="240" w:lineRule="auto"/>
              <w:jc w:val="both"/>
              <w:rPr>
                <w:rFonts w:ascii="Times New Roman" w:eastAsia="Calibri" w:hAnsi="Times New Roman" w:cs="Times New Roman"/>
                <w:i/>
                <w:sz w:val="24"/>
                <w:szCs w:val="24"/>
              </w:rPr>
            </w:pPr>
            <w:r w:rsidRPr="00342158">
              <w:rPr>
                <w:rFonts w:ascii="Times New Roman" w:eastAsia="Calibri" w:hAnsi="Times New Roman" w:cs="Times New Roman"/>
                <w:i/>
                <w:sz w:val="24"/>
                <w:szCs w:val="24"/>
              </w:rPr>
              <w:t>Vienlīdzī</w:t>
            </w:r>
            <w:r w:rsidR="00AF25B3" w:rsidRPr="00342158">
              <w:rPr>
                <w:rFonts w:ascii="Times New Roman" w:eastAsia="Calibri" w:hAnsi="Times New Roman" w:cs="Times New Roman"/>
                <w:i/>
                <w:sz w:val="24"/>
                <w:szCs w:val="24"/>
              </w:rPr>
              <w:t>g</w:t>
            </w:r>
            <w:r w:rsidRPr="00342158">
              <w:rPr>
                <w:rFonts w:ascii="Times New Roman" w:eastAsia="Calibri" w:hAnsi="Times New Roman" w:cs="Times New Roman"/>
                <w:i/>
                <w:sz w:val="24"/>
                <w:szCs w:val="24"/>
              </w:rPr>
              <w:t xml:space="preserve">as pieejas nodrošināšana </w:t>
            </w:r>
          </w:p>
          <w:p w:rsidR="001561E8" w:rsidRPr="00342158" w:rsidRDefault="00434F48" w:rsidP="002D3DF5">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 xml:space="preserve">2013.gada 3.septembrī tika </w:t>
            </w:r>
            <w:r w:rsidR="009A6B12" w:rsidRPr="00342158">
              <w:rPr>
                <w:rFonts w:ascii="Times New Roman" w:eastAsia="Calibri" w:hAnsi="Times New Roman" w:cs="Times New Roman"/>
                <w:sz w:val="24"/>
                <w:szCs w:val="24"/>
              </w:rPr>
              <w:t xml:space="preserve">izsludināta aktivitātes trešā projekta iesnieguma atlases kārta, saskaņā ar kuru komersanti </w:t>
            </w:r>
            <w:r w:rsidR="001561E8" w:rsidRPr="00342158">
              <w:rPr>
                <w:rFonts w:ascii="Times New Roman" w:eastAsia="Calibri" w:hAnsi="Times New Roman" w:cs="Times New Roman"/>
                <w:sz w:val="24"/>
                <w:szCs w:val="24"/>
              </w:rPr>
              <w:t xml:space="preserve">var </w:t>
            </w:r>
            <w:r w:rsidR="009A6B12" w:rsidRPr="00342158">
              <w:rPr>
                <w:rFonts w:ascii="Times New Roman" w:eastAsia="Calibri" w:hAnsi="Times New Roman" w:cs="Times New Roman"/>
                <w:sz w:val="24"/>
                <w:szCs w:val="24"/>
              </w:rPr>
              <w:t>iesniegt projekt</w:t>
            </w:r>
            <w:r w:rsidR="001561E8" w:rsidRPr="00342158">
              <w:rPr>
                <w:rFonts w:ascii="Times New Roman" w:eastAsia="Calibri" w:hAnsi="Times New Roman" w:cs="Times New Roman"/>
                <w:sz w:val="24"/>
                <w:szCs w:val="24"/>
              </w:rPr>
              <w:t>u</w:t>
            </w:r>
            <w:r w:rsidR="009A6B12" w:rsidRPr="00342158">
              <w:rPr>
                <w:rFonts w:ascii="Times New Roman" w:eastAsia="Calibri" w:hAnsi="Times New Roman" w:cs="Times New Roman"/>
                <w:sz w:val="24"/>
                <w:szCs w:val="24"/>
              </w:rPr>
              <w:t xml:space="preserve"> iesniegumus līdz 2013.gada 31.oktobrim. Ņemot vērā, ka </w:t>
            </w:r>
            <w:r w:rsidR="009A6B12" w:rsidRPr="00342158">
              <w:rPr>
                <w:rFonts w:ascii="Times New Roman" w:eastAsia="Calibri" w:hAnsi="Times New Roman" w:cs="Times New Roman"/>
                <w:sz w:val="24"/>
                <w:szCs w:val="24"/>
              </w:rPr>
              <w:lastRenderedPageBreak/>
              <w:t>MK noteikumu Nr.817 grozījumu projekts attiecas arī uz trešās kārtas projektu iesniegumiem</w:t>
            </w:r>
            <w:r w:rsidR="00727A6D" w:rsidRPr="00342158">
              <w:rPr>
                <w:rFonts w:ascii="Times New Roman" w:eastAsia="Calibri" w:hAnsi="Times New Roman" w:cs="Times New Roman"/>
                <w:sz w:val="24"/>
                <w:szCs w:val="24"/>
              </w:rPr>
              <w:t>,</w:t>
            </w:r>
            <w:r w:rsidR="009A6B12" w:rsidRPr="00342158">
              <w:rPr>
                <w:rFonts w:ascii="Times New Roman" w:eastAsia="Calibri" w:hAnsi="Times New Roman" w:cs="Times New Roman"/>
                <w:sz w:val="24"/>
                <w:szCs w:val="24"/>
              </w:rPr>
              <w:t xml:space="preserve"> ir jāpagarina projektu iesniegumu pieņemšanas termiņš par mēnesi no MK noteikumu projekta spēkā stāšanās dienas</w:t>
            </w:r>
            <w:r w:rsidR="001561E8" w:rsidRPr="00342158">
              <w:rPr>
                <w:rFonts w:ascii="Times New Roman" w:eastAsia="Calibri" w:hAnsi="Times New Roman" w:cs="Times New Roman"/>
                <w:sz w:val="24"/>
                <w:szCs w:val="24"/>
              </w:rPr>
              <w:t xml:space="preserve">, LIAA publicējot sludinājumu Latvijas vēstnesī un </w:t>
            </w:r>
            <w:r w:rsidR="00292358" w:rsidRPr="00342158">
              <w:rPr>
                <w:rFonts w:ascii="Times New Roman" w:eastAsia="Calibri" w:hAnsi="Times New Roman" w:cs="Times New Roman"/>
                <w:sz w:val="24"/>
                <w:szCs w:val="24"/>
              </w:rPr>
              <w:t xml:space="preserve">iestādes </w:t>
            </w:r>
            <w:r w:rsidR="001561E8" w:rsidRPr="00342158">
              <w:rPr>
                <w:rFonts w:ascii="Times New Roman" w:eastAsia="Calibri" w:hAnsi="Times New Roman" w:cs="Times New Roman"/>
                <w:sz w:val="24"/>
                <w:szCs w:val="24"/>
              </w:rPr>
              <w:t>mājas lapā</w:t>
            </w:r>
            <w:r w:rsidR="009A6B12" w:rsidRPr="00342158">
              <w:rPr>
                <w:rFonts w:ascii="Times New Roman" w:eastAsia="Calibri" w:hAnsi="Times New Roman" w:cs="Times New Roman"/>
                <w:sz w:val="24"/>
                <w:szCs w:val="24"/>
              </w:rPr>
              <w:t xml:space="preserve">. </w:t>
            </w:r>
          </w:p>
          <w:p w:rsidR="001E0086" w:rsidRPr="00342158" w:rsidRDefault="009A6B12" w:rsidP="002D3DF5">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Savukārt t</w:t>
            </w:r>
            <w:r w:rsidR="001561E8" w:rsidRPr="00342158">
              <w:rPr>
                <w:rFonts w:ascii="Times New Roman" w:eastAsia="Calibri" w:hAnsi="Times New Roman" w:cs="Times New Roman"/>
                <w:sz w:val="24"/>
                <w:szCs w:val="24"/>
              </w:rPr>
              <w:t>os</w:t>
            </w:r>
            <w:r w:rsidRPr="00342158">
              <w:rPr>
                <w:rFonts w:ascii="Times New Roman" w:eastAsia="Calibri" w:hAnsi="Times New Roman" w:cs="Times New Roman"/>
                <w:sz w:val="24"/>
                <w:szCs w:val="24"/>
              </w:rPr>
              <w:t xml:space="preserve"> projekt</w:t>
            </w:r>
            <w:r w:rsidR="001561E8" w:rsidRPr="00342158">
              <w:rPr>
                <w:rFonts w:ascii="Times New Roman" w:eastAsia="Calibri" w:hAnsi="Times New Roman" w:cs="Times New Roman"/>
                <w:sz w:val="24"/>
                <w:szCs w:val="24"/>
              </w:rPr>
              <w:t>u</w:t>
            </w:r>
            <w:r w:rsidRPr="00342158">
              <w:rPr>
                <w:rFonts w:ascii="Times New Roman" w:eastAsia="Calibri" w:hAnsi="Times New Roman" w:cs="Times New Roman"/>
                <w:sz w:val="24"/>
                <w:szCs w:val="24"/>
              </w:rPr>
              <w:t xml:space="preserve"> iesniedzēj</w:t>
            </w:r>
            <w:r w:rsidR="001561E8" w:rsidRPr="00342158">
              <w:rPr>
                <w:rFonts w:ascii="Times New Roman" w:eastAsia="Calibri" w:hAnsi="Times New Roman" w:cs="Times New Roman"/>
                <w:sz w:val="24"/>
                <w:szCs w:val="24"/>
              </w:rPr>
              <w:t>us</w:t>
            </w:r>
            <w:r w:rsidRPr="00342158">
              <w:rPr>
                <w:rFonts w:ascii="Times New Roman" w:eastAsia="Calibri" w:hAnsi="Times New Roman" w:cs="Times New Roman"/>
                <w:sz w:val="24"/>
                <w:szCs w:val="24"/>
              </w:rPr>
              <w:t>, k</w:t>
            </w:r>
            <w:r w:rsidR="00292358" w:rsidRPr="00342158">
              <w:rPr>
                <w:rFonts w:ascii="Times New Roman" w:eastAsia="Calibri" w:hAnsi="Times New Roman" w:cs="Times New Roman"/>
                <w:sz w:val="24"/>
                <w:szCs w:val="24"/>
              </w:rPr>
              <w:t>uri</w:t>
            </w:r>
            <w:r w:rsidRPr="00342158">
              <w:rPr>
                <w:rFonts w:ascii="Times New Roman" w:eastAsia="Calibri" w:hAnsi="Times New Roman" w:cs="Times New Roman"/>
                <w:sz w:val="24"/>
                <w:szCs w:val="24"/>
              </w:rPr>
              <w:t xml:space="preserve"> </w:t>
            </w:r>
            <w:r w:rsidR="001561E8" w:rsidRPr="00342158">
              <w:rPr>
                <w:rFonts w:ascii="Times New Roman" w:eastAsia="Calibri" w:hAnsi="Times New Roman" w:cs="Times New Roman"/>
                <w:sz w:val="24"/>
                <w:szCs w:val="24"/>
              </w:rPr>
              <w:t xml:space="preserve">līdz noteikumu spēkā stāšanās dienai </w:t>
            </w:r>
            <w:r w:rsidRPr="00342158">
              <w:rPr>
                <w:rFonts w:ascii="Times New Roman" w:eastAsia="Calibri" w:hAnsi="Times New Roman" w:cs="Times New Roman"/>
                <w:sz w:val="24"/>
                <w:szCs w:val="24"/>
              </w:rPr>
              <w:t>jau būs iesnieguši projektu iesniegumus</w:t>
            </w:r>
            <w:r w:rsidR="00727A6D" w:rsidRPr="00342158">
              <w:rPr>
                <w:rFonts w:ascii="Times New Roman" w:eastAsia="Calibri" w:hAnsi="Times New Roman" w:cs="Times New Roman"/>
                <w:sz w:val="24"/>
                <w:szCs w:val="24"/>
              </w:rPr>
              <w:t>,</w:t>
            </w:r>
            <w:r w:rsidRPr="00342158">
              <w:rPr>
                <w:rFonts w:ascii="Times New Roman" w:eastAsia="Calibri" w:hAnsi="Times New Roman" w:cs="Times New Roman"/>
                <w:sz w:val="24"/>
                <w:szCs w:val="24"/>
              </w:rPr>
              <w:t xml:space="preserve"> </w:t>
            </w:r>
            <w:r w:rsidR="001561E8" w:rsidRPr="00342158">
              <w:rPr>
                <w:rFonts w:ascii="Times New Roman" w:eastAsia="Calibri" w:hAnsi="Times New Roman" w:cs="Times New Roman"/>
                <w:sz w:val="24"/>
                <w:szCs w:val="24"/>
              </w:rPr>
              <w:t xml:space="preserve">LIAA informēs par </w:t>
            </w:r>
            <w:r w:rsidRPr="00342158">
              <w:rPr>
                <w:rFonts w:ascii="Times New Roman" w:eastAsia="Calibri" w:hAnsi="Times New Roman" w:cs="Times New Roman"/>
                <w:sz w:val="24"/>
                <w:szCs w:val="24"/>
              </w:rPr>
              <w:t>iespēj</w:t>
            </w:r>
            <w:r w:rsidR="001561E8" w:rsidRPr="00342158">
              <w:rPr>
                <w:rFonts w:ascii="Times New Roman" w:eastAsia="Calibri" w:hAnsi="Times New Roman" w:cs="Times New Roman"/>
                <w:sz w:val="24"/>
                <w:szCs w:val="24"/>
              </w:rPr>
              <w:t>u</w:t>
            </w:r>
            <w:r w:rsidRPr="00342158">
              <w:rPr>
                <w:rFonts w:ascii="Times New Roman" w:eastAsia="Calibri" w:hAnsi="Times New Roman" w:cs="Times New Roman"/>
                <w:sz w:val="24"/>
                <w:szCs w:val="24"/>
              </w:rPr>
              <w:t xml:space="preserve"> atsaukt iesniegtos projektu iesniegumus un veikt nepieciešamos labojumus projekta iesniegumā atbilstoši spēkā esošajai MK noteikumu Nr.817 redakcijai. </w:t>
            </w:r>
          </w:p>
          <w:p w:rsidR="00544422" w:rsidRPr="00342158" w:rsidRDefault="009A6B12" w:rsidP="002D3DF5">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 xml:space="preserve">MK noteikumu Nr.817 </w:t>
            </w:r>
            <w:r w:rsidR="001E0086" w:rsidRPr="00342158">
              <w:rPr>
                <w:rFonts w:ascii="Times New Roman" w:eastAsia="Calibri" w:hAnsi="Times New Roman" w:cs="Times New Roman"/>
                <w:sz w:val="24"/>
                <w:szCs w:val="24"/>
              </w:rPr>
              <w:t xml:space="preserve">grozījumu </w:t>
            </w:r>
            <w:r w:rsidRPr="00342158">
              <w:rPr>
                <w:rFonts w:ascii="Times New Roman" w:eastAsia="Calibri" w:hAnsi="Times New Roman" w:cs="Times New Roman"/>
                <w:sz w:val="24"/>
                <w:szCs w:val="24"/>
              </w:rPr>
              <w:t xml:space="preserve">projekts paredz projekta iesniedzējiem labvēlīgākus nosacījumus, līdz ar to netiek ietekmēta </w:t>
            </w:r>
            <w:r w:rsidR="00292358" w:rsidRPr="00342158">
              <w:rPr>
                <w:rFonts w:ascii="Times New Roman" w:eastAsia="Calibri" w:hAnsi="Times New Roman" w:cs="Times New Roman"/>
                <w:sz w:val="24"/>
                <w:szCs w:val="24"/>
              </w:rPr>
              <w:t>š projekta iesniegumu iesniedzēju</w:t>
            </w:r>
            <w:r w:rsidRPr="00342158">
              <w:rPr>
                <w:rFonts w:ascii="Times New Roman" w:eastAsia="Calibri" w:hAnsi="Times New Roman" w:cs="Times New Roman"/>
                <w:sz w:val="24"/>
                <w:szCs w:val="24"/>
              </w:rPr>
              <w:t xml:space="preserve"> tiesiskā paļāvība</w:t>
            </w:r>
            <w:r w:rsidR="00292358" w:rsidRPr="00342158">
              <w:rPr>
                <w:rFonts w:ascii="Times New Roman" w:eastAsia="Calibri" w:hAnsi="Times New Roman" w:cs="Times New Roman"/>
                <w:sz w:val="24"/>
                <w:szCs w:val="24"/>
              </w:rPr>
              <w:t>; turklāt</w:t>
            </w:r>
            <w:r w:rsidR="002D3DF5" w:rsidRPr="00342158">
              <w:rPr>
                <w:rFonts w:ascii="Times New Roman" w:eastAsia="Calibri" w:hAnsi="Times New Roman" w:cs="Times New Roman"/>
                <w:sz w:val="24"/>
                <w:szCs w:val="24"/>
              </w:rPr>
              <w:t xml:space="preserve"> </w:t>
            </w:r>
            <w:r w:rsidRPr="00342158">
              <w:rPr>
                <w:rFonts w:ascii="Times New Roman" w:eastAsia="Calibri" w:hAnsi="Times New Roman" w:cs="Times New Roman"/>
                <w:sz w:val="24"/>
                <w:szCs w:val="24"/>
              </w:rPr>
              <w:t xml:space="preserve">ir paredzēts projekta iesniegumu iesniegšanas termiņa pagarinājums. </w:t>
            </w:r>
          </w:p>
          <w:p w:rsidR="00544422" w:rsidRPr="00342158" w:rsidRDefault="00544422">
            <w:pPr>
              <w:spacing w:after="0" w:line="240" w:lineRule="auto"/>
              <w:ind w:firstLine="567"/>
              <w:jc w:val="both"/>
              <w:rPr>
                <w:rFonts w:ascii="Times New Roman" w:eastAsia="Calibri" w:hAnsi="Times New Roman" w:cs="Times New Roman"/>
                <w:bCs/>
                <w:sz w:val="24"/>
                <w:szCs w:val="24"/>
              </w:rPr>
            </w:pPr>
          </w:p>
          <w:p w:rsidR="001C004B" w:rsidRPr="00342158" w:rsidRDefault="00910482" w:rsidP="001C004B">
            <w:pPr>
              <w:spacing w:before="120" w:after="0" w:line="240" w:lineRule="auto"/>
              <w:jc w:val="both"/>
              <w:rPr>
                <w:rFonts w:ascii="Times New Roman" w:eastAsia="Calibri" w:hAnsi="Times New Roman" w:cs="Times New Roman"/>
                <w:b/>
                <w:i/>
                <w:sz w:val="24"/>
                <w:szCs w:val="24"/>
              </w:rPr>
            </w:pPr>
            <w:r w:rsidRPr="00342158">
              <w:rPr>
                <w:rFonts w:ascii="Times New Roman" w:eastAsia="Calibri" w:hAnsi="Times New Roman" w:cs="Times New Roman"/>
                <w:b/>
                <w:i/>
                <w:sz w:val="24"/>
                <w:szCs w:val="24"/>
              </w:rPr>
              <w:t>Neatbalstāmās nozares</w:t>
            </w:r>
          </w:p>
          <w:p w:rsidR="00A504CE" w:rsidRPr="00342158" w:rsidRDefault="002D20ED" w:rsidP="00A504CE">
            <w:pPr>
              <w:spacing w:after="0" w:line="240" w:lineRule="auto"/>
              <w:ind w:firstLine="567"/>
              <w:jc w:val="both"/>
              <w:rPr>
                <w:rFonts w:ascii="Times New Roman" w:eastAsia="Calibri" w:hAnsi="Times New Roman" w:cs="Times New Roman"/>
                <w:b/>
                <w:sz w:val="24"/>
                <w:szCs w:val="24"/>
              </w:rPr>
            </w:pPr>
            <w:r w:rsidRPr="00342158">
              <w:rPr>
                <w:rFonts w:ascii="Times New Roman" w:eastAsia="Calibri" w:hAnsi="Times New Roman" w:cs="Times New Roman"/>
                <w:b/>
                <w:sz w:val="24"/>
                <w:szCs w:val="24"/>
              </w:rPr>
              <w:t>MK noteikumu Nr.817 3.pielikumā ir noteiktas neatbalstāmās nozares. Tai skai</w:t>
            </w:r>
            <w:r w:rsidR="00E176CA" w:rsidRPr="00342158">
              <w:rPr>
                <w:rFonts w:ascii="Times New Roman" w:eastAsia="Calibri" w:hAnsi="Times New Roman" w:cs="Times New Roman"/>
                <w:b/>
                <w:sz w:val="24"/>
                <w:szCs w:val="24"/>
              </w:rPr>
              <w:t xml:space="preserve">tā kā neatbalstāmas ir noteikta apstrādājošās rūpniecības nozares: </w:t>
            </w:r>
            <w:r w:rsidRPr="00342158">
              <w:rPr>
                <w:rFonts w:ascii="Times New Roman" w:eastAsia="Calibri" w:hAnsi="Times New Roman" w:cs="Times New Roman"/>
                <w:b/>
                <w:sz w:val="24"/>
                <w:szCs w:val="24"/>
              </w:rPr>
              <w:t>alus</w:t>
            </w:r>
            <w:r w:rsidR="00CD0297" w:rsidRPr="00342158">
              <w:rPr>
                <w:rFonts w:ascii="Times New Roman" w:eastAsia="Calibri" w:hAnsi="Times New Roman" w:cs="Times New Roman"/>
                <w:b/>
                <w:sz w:val="24"/>
                <w:szCs w:val="24"/>
              </w:rPr>
              <w:t xml:space="preserve"> </w:t>
            </w:r>
            <w:r w:rsidRPr="00342158">
              <w:rPr>
                <w:rFonts w:ascii="Times New Roman" w:eastAsia="Calibri" w:hAnsi="Times New Roman" w:cs="Times New Roman"/>
                <w:b/>
                <w:sz w:val="24"/>
                <w:szCs w:val="24"/>
              </w:rPr>
              <w:t>ražošana, lai gan šīs nozare nav noteikta kā neatbalstāmas regulas Nr. 800/2008 1.panta 3.punktā</w:t>
            </w:r>
            <w:r w:rsidR="00837FE6" w:rsidRPr="00342158">
              <w:rPr>
                <w:rFonts w:ascii="Times New Roman" w:eastAsia="Calibri" w:hAnsi="Times New Roman" w:cs="Times New Roman"/>
                <w:b/>
                <w:sz w:val="24"/>
                <w:szCs w:val="24"/>
              </w:rPr>
              <w:t xml:space="preserve"> un ir noteikta kā atbalstāma uzņēmuma ienākuma nodokļa atlaižu saņemšanai</w:t>
            </w:r>
            <w:r w:rsidR="00D70D1A" w:rsidRPr="00342158">
              <w:rPr>
                <w:rFonts w:ascii="Times New Roman" w:eastAsia="Calibri" w:hAnsi="Times New Roman" w:cs="Times New Roman"/>
                <w:b/>
                <w:sz w:val="24"/>
                <w:szCs w:val="24"/>
              </w:rPr>
              <w:t xml:space="preserve"> par veiktajiem ieguldījumiem</w:t>
            </w:r>
            <w:r w:rsidRPr="00342158">
              <w:rPr>
                <w:rFonts w:ascii="Times New Roman" w:eastAsia="Calibri" w:hAnsi="Times New Roman" w:cs="Times New Roman"/>
                <w:b/>
                <w:sz w:val="24"/>
                <w:szCs w:val="24"/>
              </w:rPr>
              <w:t xml:space="preserve">. Skaidrojam, ka projektu vērtēšanas 4.kritērijā apstrādes rūpniecība ir noteikta kā šīs </w:t>
            </w:r>
            <w:r w:rsidR="00453DEA" w:rsidRPr="00342158">
              <w:rPr>
                <w:rFonts w:ascii="Times New Roman" w:eastAsia="Calibri" w:hAnsi="Times New Roman" w:cs="Times New Roman"/>
                <w:b/>
                <w:sz w:val="24"/>
                <w:szCs w:val="24"/>
              </w:rPr>
              <w:t>aktivitātes</w:t>
            </w:r>
            <w:r w:rsidRPr="00342158">
              <w:rPr>
                <w:rFonts w:ascii="Times New Roman" w:eastAsia="Calibri" w:hAnsi="Times New Roman" w:cs="Times New Roman"/>
                <w:b/>
                <w:sz w:val="24"/>
                <w:szCs w:val="24"/>
              </w:rPr>
              <w:t xml:space="preserve"> mērķa nozare. Tāpēc ir </w:t>
            </w:r>
            <w:r w:rsidR="00E176CA" w:rsidRPr="00342158">
              <w:rPr>
                <w:rFonts w:ascii="Times New Roman" w:eastAsia="Calibri" w:hAnsi="Times New Roman" w:cs="Times New Roman"/>
                <w:b/>
                <w:sz w:val="24"/>
                <w:szCs w:val="24"/>
              </w:rPr>
              <w:t>nepieciešams svītrot minēt</w:t>
            </w:r>
            <w:r w:rsidR="00CD0297" w:rsidRPr="00342158">
              <w:rPr>
                <w:rFonts w:ascii="Times New Roman" w:eastAsia="Calibri" w:hAnsi="Times New Roman" w:cs="Times New Roman"/>
                <w:b/>
                <w:sz w:val="24"/>
                <w:szCs w:val="24"/>
              </w:rPr>
              <w:t>o</w:t>
            </w:r>
            <w:r w:rsidR="00E176CA" w:rsidRPr="00342158">
              <w:rPr>
                <w:rFonts w:ascii="Times New Roman" w:eastAsia="Calibri" w:hAnsi="Times New Roman" w:cs="Times New Roman"/>
                <w:b/>
                <w:sz w:val="24"/>
                <w:szCs w:val="24"/>
              </w:rPr>
              <w:t xml:space="preserve"> nozar</w:t>
            </w:r>
            <w:r w:rsidR="00CD0297" w:rsidRPr="00342158">
              <w:rPr>
                <w:rFonts w:ascii="Times New Roman" w:eastAsia="Calibri" w:hAnsi="Times New Roman" w:cs="Times New Roman"/>
                <w:b/>
                <w:sz w:val="24"/>
                <w:szCs w:val="24"/>
              </w:rPr>
              <w:t>i</w:t>
            </w:r>
            <w:r w:rsidR="00E176CA" w:rsidRPr="00342158">
              <w:rPr>
                <w:rFonts w:ascii="Times New Roman" w:eastAsia="Calibri" w:hAnsi="Times New Roman" w:cs="Times New Roman"/>
                <w:b/>
                <w:sz w:val="24"/>
                <w:szCs w:val="24"/>
              </w:rPr>
              <w:t xml:space="preserve"> no neatbalstāmo nozaru saraksta, ļaujot pieteikties plašākam apstrādājošās rūpniecības komersantu lokam.</w:t>
            </w:r>
            <w:r w:rsidRPr="00342158">
              <w:rPr>
                <w:rFonts w:ascii="Times New Roman" w:eastAsia="Calibri" w:hAnsi="Times New Roman" w:cs="Times New Roman"/>
                <w:b/>
                <w:sz w:val="24"/>
                <w:szCs w:val="24"/>
              </w:rPr>
              <w:t xml:space="preserve"> </w:t>
            </w:r>
          </w:p>
          <w:p w:rsidR="00BE3B44" w:rsidRPr="00342158" w:rsidRDefault="00E176CA" w:rsidP="00BE3B44">
            <w:pPr>
              <w:spacing w:after="0" w:line="240" w:lineRule="auto"/>
              <w:ind w:firstLine="567"/>
              <w:jc w:val="both"/>
              <w:rPr>
                <w:rFonts w:ascii="Times New Roman" w:eastAsia="Calibri" w:hAnsi="Times New Roman" w:cs="Times New Roman"/>
                <w:b/>
                <w:sz w:val="24"/>
                <w:szCs w:val="24"/>
              </w:rPr>
            </w:pPr>
            <w:r w:rsidRPr="00342158">
              <w:rPr>
                <w:rFonts w:ascii="Times New Roman" w:eastAsia="Calibri" w:hAnsi="Times New Roman" w:cs="Times New Roman"/>
                <w:b/>
                <w:sz w:val="24"/>
                <w:szCs w:val="24"/>
              </w:rPr>
              <w:t xml:space="preserve">2009.gadā, nosakot prioritārās nozares informatīvajā ziņojumā „Par ekonomikas atveseļošanas politikas virzieniem vidēja termiņa periodā”, tika ņemta vērā nozaru analīze, kas bija balstīta uz ekonomiskās krīzes dziļumu, nozaru attīstības iespējām vidējā termiņā, ekonomikas paradigmas maiņu, nozares salīdzinošām priekšrocībām, pieejamajiem cilvēkresursiem un infrastruktūru, kā arī citiem ietekmējošiem faktoriem, tādējādi izkristalizējot tās nozares, kurām tika prognozēts vislielākais ieguldījums ekonomikas atveseļošanā. Vienlaikus par galveno izaugsmes stimulu vidējā termiņā (līdz 2013.gadam) tika noteikta eksporta iespēju paplašināšanās, koncentrējot valsts sniegto atbalstu apstrādes rūpniecības nozarēm ar nozīmīgu ieguldījumu pievienotās vērtības un eksporta pieaugumā, kā arī ar augstu izaugsmes un eksporta potenciālu nākotnē, un uz eksportu orientētām pakalpojumu nozarēm. Saskaņā ar Centrālās statistikas pārvaldes (CSP) datiem kopš 2009.gada 3.ceturkšņa iekšzemes kopprodukts (IKP) apjomi sāka pieaugt un 2010.gadā ik ceturksni palielinājās caurmērā par 0,9%. 2011.gadā IKP turpināja stabili pieaugt un par 5,5% pārsniedza 2010.gada līmeni. 2011.gadā Latvijā bija viena no straujākajām ekonomikas </w:t>
            </w:r>
            <w:proofErr w:type="spellStart"/>
            <w:r w:rsidRPr="00342158">
              <w:rPr>
                <w:rFonts w:ascii="Times New Roman" w:eastAsia="Calibri" w:hAnsi="Times New Roman" w:cs="Times New Roman"/>
                <w:b/>
                <w:sz w:val="24"/>
                <w:szCs w:val="24"/>
              </w:rPr>
              <w:t>izaugsmēm</w:t>
            </w:r>
            <w:proofErr w:type="spellEnd"/>
            <w:r w:rsidRPr="00342158">
              <w:rPr>
                <w:rFonts w:ascii="Times New Roman" w:eastAsia="Calibri" w:hAnsi="Times New Roman" w:cs="Times New Roman"/>
                <w:b/>
                <w:sz w:val="24"/>
                <w:szCs w:val="24"/>
              </w:rPr>
              <w:t xml:space="preserve"> Eiropas Savienībā, kas ļauj secināt, ka ekonomikas atveseļošanas politika tika sekmīgi īstenota. 2012.gada </w:t>
            </w:r>
            <w:r w:rsidRPr="00342158">
              <w:rPr>
                <w:rFonts w:ascii="Times New Roman" w:eastAsia="Calibri" w:hAnsi="Times New Roman" w:cs="Times New Roman"/>
                <w:b/>
                <w:sz w:val="24"/>
                <w:szCs w:val="24"/>
              </w:rPr>
              <w:lastRenderedPageBreak/>
              <w:t>1.ceturksnī, salīdzinot ar 2011.gada 1.ceturksni, IKP pieauga par 6,9%. Līdz ar to šobrīd ir jāturpina īstenot valsts vidējā termiņā noteiktais mērķis koncentrēt valsts sniegto atbalstu nozarēs ar nozīmīgu ieguldījumu pievienotās vērtības un eksporta pieaugumā, kā arī augstu tehnoloģiju nozarēs ar augstu pievienoto vērtību.</w:t>
            </w:r>
          </w:p>
          <w:p w:rsidR="00BE3B44" w:rsidRPr="00342158" w:rsidRDefault="00E176CA" w:rsidP="00BE3B44">
            <w:pPr>
              <w:spacing w:after="0" w:line="240" w:lineRule="auto"/>
              <w:ind w:firstLine="567"/>
              <w:jc w:val="both"/>
              <w:rPr>
                <w:rFonts w:ascii="Times New Roman" w:eastAsia="Calibri" w:hAnsi="Times New Roman" w:cs="Times New Roman"/>
                <w:b/>
                <w:sz w:val="24"/>
                <w:szCs w:val="24"/>
              </w:rPr>
            </w:pPr>
            <w:r w:rsidRPr="00342158">
              <w:rPr>
                <w:rFonts w:ascii="Times New Roman" w:eastAsia="Calibri" w:hAnsi="Times New Roman" w:cs="Times New Roman"/>
                <w:b/>
                <w:sz w:val="24"/>
                <w:szCs w:val="24"/>
              </w:rPr>
              <w:t>2012. gada 1. ceturksnī, neraugoties uz saspringto ekonomisko situāciju Eiropas Savienībā, eksporta apjomi salīdzināmās cenās pieauga par 9,9%, salīdzinot ar iepriekšējā gada atbilstošo ceturksni. Preču un pakalpojumu eksporta apjomi pieaug jau kopš 2009. gada 2. ceturkšņa un kopš tā laika ir palielinājušies par gandrīz 40%.</w:t>
            </w:r>
          </w:p>
          <w:p w:rsidR="00BE3B44" w:rsidRPr="00342158" w:rsidRDefault="00E176CA" w:rsidP="00BE3B44">
            <w:pPr>
              <w:spacing w:after="0" w:line="240" w:lineRule="auto"/>
              <w:ind w:firstLine="567"/>
              <w:jc w:val="both"/>
              <w:rPr>
                <w:rFonts w:ascii="Times New Roman" w:eastAsia="Calibri" w:hAnsi="Times New Roman" w:cs="Times New Roman"/>
                <w:b/>
                <w:sz w:val="24"/>
                <w:szCs w:val="24"/>
              </w:rPr>
            </w:pPr>
            <w:r w:rsidRPr="00342158">
              <w:rPr>
                <w:rFonts w:ascii="Times New Roman" w:eastAsia="Calibri" w:hAnsi="Times New Roman" w:cs="Times New Roman"/>
                <w:b/>
                <w:sz w:val="24"/>
                <w:szCs w:val="24"/>
              </w:rPr>
              <w:t>Lielākais eksporta apjoms un potenciāls ir apstrādes rūpniecībai, kuras eksporta īpatsvars 2011.gadā kopējā eksporta apjomā veidoja vairāk nekā 40%. Laika periodā no 2009.gada līdz 2012.gadam eksporta apjomu pieaugums bija vērojams lielākajā daļā apstrādes rūpniecības nozaru, kopumā apstrādes rūpniecības eksporta apjomiem pieaugot par 37,3%. Eksporta īpatsvars apstrādes rūpniecības kopējā apgrozījumā ir pieaudzis no 54,1% 2009.gadā līdz 60,8% 2011.gadā. 2012.gada pirmajā pusgadā eksporta īpatsvars apstrādes rūpniecībā ir sasniedzis 64%, lielu daļu no eksporta apjoma veidojot apstrādes rūpniecības nozarēm, kuras šobrīd nav noteiktas kā atbalstāmās prioritārās nozares.</w:t>
            </w:r>
          </w:p>
          <w:p w:rsidR="009D293B" w:rsidRPr="00342158" w:rsidRDefault="00E176CA" w:rsidP="00BE3B44">
            <w:pPr>
              <w:spacing w:after="0" w:line="240" w:lineRule="auto"/>
              <w:ind w:firstLine="567"/>
              <w:jc w:val="both"/>
              <w:rPr>
                <w:rFonts w:ascii="Times New Roman" w:eastAsia="Calibri" w:hAnsi="Times New Roman" w:cs="Times New Roman"/>
                <w:bCs/>
                <w:sz w:val="24"/>
                <w:szCs w:val="24"/>
              </w:rPr>
            </w:pPr>
            <w:r w:rsidRPr="00342158">
              <w:rPr>
                <w:rFonts w:ascii="Times New Roman" w:eastAsia="Calibri" w:hAnsi="Times New Roman" w:cs="Times New Roman"/>
                <w:b/>
                <w:sz w:val="24"/>
                <w:szCs w:val="24"/>
              </w:rPr>
              <w:t xml:space="preserve">Eksporta turpmākās attīstības iespējas ietekmēs ne tikai ārējā pieprasījuma izmaiņas, bet arī Latvijas ražotāju spēja uzturēt konkurētspēju. Jāņem vērā, ka līdz šim Latvijas konkurētspējas uzlabošanos pamatā noteica darbaspēka izmaksu samazināšana, bet turpmāk izšķiroša loma būs spējai palielināt produktivitāti. Ņemot vērā iepriekš minēto, kā arī stabilo ekonomikas atveseļošanos, šobrīd vairāku apstrādes rūpniecības nozaru ierobežošana saņemt </w:t>
            </w:r>
            <w:r w:rsidR="00BE3B44" w:rsidRPr="00342158">
              <w:rPr>
                <w:rFonts w:ascii="Times New Roman" w:eastAsia="Calibri" w:hAnsi="Times New Roman" w:cs="Times New Roman"/>
                <w:b/>
                <w:sz w:val="24"/>
                <w:szCs w:val="24"/>
              </w:rPr>
              <w:t>atbalstu</w:t>
            </w:r>
            <w:r w:rsidRPr="00342158">
              <w:rPr>
                <w:rFonts w:ascii="Times New Roman" w:eastAsia="Calibri" w:hAnsi="Times New Roman" w:cs="Times New Roman"/>
                <w:b/>
                <w:sz w:val="24"/>
                <w:szCs w:val="24"/>
              </w:rPr>
              <w:t>, nav pamatota.</w:t>
            </w:r>
          </w:p>
        </w:tc>
      </w:tr>
      <w:tr w:rsidR="00D40CFC" w:rsidRPr="00342158" w:rsidTr="002774E4">
        <w:trPr>
          <w:trHeight w:val="360"/>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lastRenderedPageBreak/>
              <w:t>3. Saistītie politikas ietekmes novērtējumi un pētījumi</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722173" w:rsidP="007C357A">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Projekts šo jomu neskar.</w:t>
            </w:r>
          </w:p>
        </w:tc>
      </w:tr>
      <w:tr w:rsidR="00D40CFC" w:rsidRPr="00342158" w:rsidTr="002774E4">
        <w:trPr>
          <w:trHeight w:val="24"/>
        </w:trPr>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4. Tiesiskā regulējuma mērķis un būtība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4F067D" w:rsidRPr="00342158" w:rsidRDefault="004F067D" w:rsidP="007C357A">
            <w:pPr>
              <w:spacing w:after="0" w:line="240" w:lineRule="auto"/>
              <w:ind w:firstLine="709"/>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 xml:space="preserve">Noteikumu </w:t>
            </w:r>
            <w:r w:rsidR="003F69FC" w:rsidRPr="00342158">
              <w:rPr>
                <w:rFonts w:ascii="Times New Roman" w:eastAsia="Calibri" w:hAnsi="Times New Roman" w:cs="Times New Roman"/>
                <w:bCs/>
                <w:sz w:val="24"/>
                <w:szCs w:val="24"/>
              </w:rPr>
              <w:t>projekts paredz veikt grozījumu</w:t>
            </w:r>
            <w:r w:rsidRPr="00342158">
              <w:rPr>
                <w:rFonts w:ascii="Times New Roman" w:eastAsia="Calibri" w:hAnsi="Times New Roman" w:cs="Times New Roman"/>
                <w:bCs/>
                <w:sz w:val="24"/>
                <w:szCs w:val="24"/>
              </w:rPr>
              <w:t xml:space="preserve"> M</w:t>
            </w:r>
            <w:r w:rsidR="003F69FC" w:rsidRPr="00342158">
              <w:rPr>
                <w:rFonts w:ascii="Times New Roman" w:eastAsia="Calibri" w:hAnsi="Times New Roman" w:cs="Times New Roman"/>
                <w:bCs/>
                <w:sz w:val="24"/>
                <w:szCs w:val="24"/>
              </w:rPr>
              <w:t>inistru kabineta</w:t>
            </w:r>
            <w:r w:rsidRPr="00342158">
              <w:rPr>
                <w:rFonts w:ascii="Times New Roman" w:eastAsia="Calibri" w:hAnsi="Times New Roman" w:cs="Times New Roman"/>
                <w:bCs/>
                <w:sz w:val="24"/>
                <w:szCs w:val="24"/>
              </w:rPr>
              <w:t xml:space="preserve"> noteikumos Nr.</w:t>
            </w:r>
            <w:r w:rsidR="005A6E7B" w:rsidRPr="00342158">
              <w:rPr>
                <w:rFonts w:ascii="Times New Roman" w:eastAsia="Calibri" w:hAnsi="Times New Roman" w:cs="Times New Roman"/>
                <w:bCs/>
                <w:sz w:val="24"/>
                <w:szCs w:val="24"/>
              </w:rPr>
              <w:t>817</w:t>
            </w:r>
            <w:r w:rsidRPr="00342158">
              <w:rPr>
                <w:rFonts w:ascii="Times New Roman" w:eastAsia="Calibri" w:hAnsi="Times New Roman" w:cs="Times New Roman"/>
                <w:bCs/>
                <w:sz w:val="24"/>
                <w:szCs w:val="24"/>
              </w:rPr>
              <w:t>, izdarot šād</w:t>
            </w:r>
            <w:r w:rsidR="0063663C" w:rsidRPr="00342158">
              <w:rPr>
                <w:rFonts w:ascii="Times New Roman" w:eastAsia="Calibri" w:hAnsi="Times New Roman" w:cs="Times New Roman"/>
                <w:bCs/>
                <w:sz w:val="24"/>
                <w:szCs w:val="24"/>
              </w:rPr>
              <w:t>as</w:t>
            </w:r>
            <w:r w:rsidR="003F69FC" w:rsidRPr="00342158">
              <w:rPr>
                <w:rFonts w:ascii="Times New Roman" w:eastAsia="Calibri" w:hAnsi="Times New Roman" w:cs="Times New Roman"/>
                <w:bCs/>
                <w:sz w:val="24"/>
                <w:szCs w:val="24"/>
              </w:rPr>
              <w:t xml:space="preserve"> </w:t>
            </w:r>
            <w:r w:rsidRPr="00342158">
              <w:rPr>
                <w:rFonts w:ascii="Times New Roman" w:eastAsia="Calibri" w:hAnsi="Times New Roman" w:cs="Times New Roman"/>
                <w:bCs/>
                <w:sz w:val="24"/>
                <w:szCs w:val="24"/>
              </w:rPr>
              <w:t>izmaiņ</w:t>
            </w:r>
            <w:r w:rsidR="0063663C" w:rsidRPr="00342158">
              <w:rPr>
                <w:rFonts w:ascii="Times New Roman" w:eastAsia="Calibri" w:hAnsi="Times New Roman" w:cs="Times New Roman"/>
                <w:bCs/>
                <w:sz w:val="24"/>
                <w:szCs w:val="24"/>
              </w:rPr>
              <w:t>as</w:t>
            </w:r>
            <w:r w:rsidRPr="00342158">
              <w:rPr>
                <w:rFonts w:ascii="Times New Roman" w:eastAsia="Calibri" w:hAnsi="Times New Roman" w:cs="Times New Roman"/>
                <w:bCs/>
                <w:sz w:val="24"/>
                <w:szCs w:val="24"/>
              </w:rPr>
              <w:t>:</w:t>
            </w:r>
          </w:p>
          <w:p w:rsidR="00C57BD3" w:rsidRPr="00342158" w:rsidRDefault="00333C32" w:rsidP="007C357A">
            <w:pPr>
              <w:pStyle w:val="ListParagraph"/>
              <w:numPr>
                <w:ilvl w:val="0"/>
                <w:numId w:val="4"/>
              </w:numPr>
              <w:spacing w:after="0" w:line="240" w:lineRule="auto"/>
              <w:jc w:val="both"/>
              <w:rPr>
                <w:rFonts w:ascii="Times New Roman" w:eastAsia="Calibri" w:hAnsi="Times New Roman" w:cs="Times New Roman"/>
                <w:b/>
                <w:bCs/>
                <w:sz w:val="24"/>
                <w:szCs w:val="24"/>
              </w:rPr>
            </w:pPr>
            <w:r w:rsidRPr="00342158">
              <w:rPr>
                <w:rFonts w:ascii="Times New Roman" w:eastAsia="Calibri" w:hAnsi="Times New Roman" w:cs="Times New Roman"/>
                <w:bCs/>
                <w:sz w:val="24"/>
                <w:szCs w:val="24"/>
              </w:rPr>
              <w:t>p</w:t>
            </w:r>
            <w:r w:rsidR="008E3D20" w:rsidRPr="00342158">
              <w:rPr>
                <w:rFonts w:ascii="Times New Roman" w:eastAsia="Calibri" w:hAnsi="Times New Roman" w:cs="Times New Roman"/>
                <w:bCs/>
                <w:sz w:val="24"/>
                <w:szCs w:val="24"/>
              </w:rPr>
              <w:t xml:space="preserve">recizēts </w:t>
            </w:r>
            <w:r w:rsidR="0040550D" w:rsidRPr="00342158">
              <w:rPr>
                <w:rFonts w:ascii="Times New Roman" w:eastAsia="Calibri" w:hAnsi="Times New Roman" w:cs="Times New Roman"/>
                <w:b/>
                <w:bCs/>
                <w:sz w:val="24"/>
                <w:szCs w:val="24"/>
              </w:rPr>
              <w:t>kopējais</w:t>
            </w:r>
            <w:r w:rsidR="0040550D" w:rsidRPr="00342158">
              <w:rPr>
                <w:rFonts w:ascii="Times New Roman" w:eastAsia="Calibri" w:hAnsi="Times New Roman" w:cs="Times New Roman"/>
                <w:bCs/>
                <w:sz w:val="24"/>
                <w:szCs w:val="24"/>
              </w:rPr>
              <w:t xml:space="preserve"> </w:t>
            </w:r>
            <w:r w:rsidR="008E3D20" w:rsidRPr="00342158">
              <w:rPr>
                <w:rFonts w:ascii="Times New Roman" w:eastAsia="Calibri" w:hAnsi="Times New Roman" w:cs="Times New Roman"/>
                <w:bCs/>
                <w:sz w:val="24"/>
                <w:szCs w:val="24"/>
              </w:rPr>
              <w:t>pieejamais finansējuma apmērs</w:t>
            </w:r>
            <w:r w:rsidR="008F5E0D" w:rsidRPr="00342158">
              <w:rPr>
                <w:rFonts w:ascii="Times New Roman" w:eastAsia="Calibri" w:hAnsi="Times New Roman" w:cs="Times New Roman"/>
                <w:bCs/>
                <w:sz w:val="24"/>
                <w:szCs w:val="24"/>
              </w:rPr>
              <w:t xml:space="preserve"> </w:t>
            </w:r>
            <w:r w:rsidR="008F5E0D" w:rsidRPr="00342158">
              <w:rPr>
                <w:rFonts w:ascii="Times New Roman" w:eastAsia="Calibri" w:hAnsi="Times New Roman" w:cs="Times New Roman"/>
                <w:b/>
                <w:bCs/>
                <w:sz w:val="24"/>
                <w:szCs w:val="24"/>
              </w:rPr>
              <w:t xml:space="preserve">– kopējais aktivitātē pieejamais ERAF finansējuma apmērs ir 69 314 849 </w:t>
            </w:r>
            <w:proofErr w:type="spellStart"/>
            <w:r w:rsidR="008F5E0D" w:rsidRPr="00342158">
              <w:rPr>
                <w:rFonts w:ascii="Times New Roman" w:eastAsia="Calibri" w:hAnsi="Times New Roman" w:cs="Times New Roman"/>
                <w:b/>
                <w:bCs/>
                <w:sz w:val="24"/>
                <w:szCs w:val="24"/>
              </w:rPr>
              <w:t>euro</w:t>
            </w:r>
            <w:proofErr w:type="spellEnd"/>
            <w:r w:rsidR="008F5E0D" w:rsidRPr="00342158">
              <w:rPr>
                <w:rFonts w:ascii="Times New Roman" w:eastAsia="Calibri" w:hAnsi="Times New Roman" w:cs="Times New Roman"/>
                <w:b/>
                <w:bCs/>
                <w:sz w:val="24"/>
                <w:szCs w:val="24"/>
              </w:rPr>
              <w:t xml:space="preserve"> un valsts budžeta līdzfinansējums ir 9 101 018 </w:t>
            </w:r>
            <w:proofErr w:type="spellStart"/>
            <w:r w:rsidR="008F5E0D" w:rsidRPr="00342158">
              <w:rPr>
                <w:rFonts w:ascii="Times New Roman" w:eastAsia="Calibri" w:hAnsi="Times New Roman" w:cs="Times New Roman"/>
                <w:b/>
                <w:bCs/>
                <w:sz w:val="24"/>
                <w:szCs w:val="24"/>
              </w:rPr>
              <w:t>euro</w:t>
            </w:r>
            <w:proofErr w:type="spellEnd"/>
            <w:r w:rsidR="00C62FC4" w:rsidRPr="00342158">
              <w:rPr>
                <w:rFonts w:ascii="Times New Roman" w:eastAsia="Calibri" w:hAnsi="Times New Roman" w:cs="Times New Roman"/>
                <w:b/>
                <w:bCs/>
                <w:sz w:val="24"/>
                <w:szCs w:val="24"/>
              </w:rPr>
              <w:t xml:space="preserve">. </w:t>
            </w:r>
            <w:r w:rsidR="00C62FC4" w:rsidRPr="00342158">
              <w:rPr>
                <w:rFonts w:ascii="Times New Roman" w:eastAsia="Times New Roman" w:hAnsi="Times New Roman" w:cs="Times New Roman"/>
                <w:b/>
                <w:sz w:val="24"/>
                <w:szCs w:val="24"/>
                <w:lang w:eastAsia="lv-LV"/>
              </w:rPr>
              <w:t xml:space="preserve">Aktivitātei pieejamais saistību apjoms, kas pārsniedz šo Eiropas Reģionālās attīstības fonda finansējumu (turpmāk – </w:t>
            </w:r>
            <w:proofErr w:type="spellStart"/>
            <w:r w:rsidR="00C62FC4" w:rsidRPr="00342158">
              <w:rPr>
                <w:rFonts w:ascii="Times New Roman" w:eastAsia="Times New Roman" w:hAnsi="Times New Roman" w:cs="Times New Roman"/>
                <w:b/>
                <w:sz w:val="24"/>
                <w:szCs w:val="24"/>
                <w:lang w:eastAsia="lv-LV"/>
              </w:rPr>
              <w:t>virssaistību</w:t>
            </w:r>
            <w:proofErr w:type="spellEnd"/>
            <w:r w:rsidR="00C62FC4" w:rsidRPr="00342158">
              <w:rPr>
                <w:rFonts w:ascii="Times New Roman" w:eastAsia="Times New Roman" w:hAnsi="Times New Roman" w:cs="Times New Roman"/>
                <w:b/>
                <w:sz w:val="24"/>
                <w:szCs w:val="24"/>
                <w:lang w:eastAsia="lv-LV"/>
              </w:rPr>
              <w:t xml:space="preserve"> finansējums), ir </w:t>
            </w:r>
            <w:r w:rsidR="00E176CA" w:rsidRPr="00342158">
              <w:rPr>
                <w:rFonts w:ascii="Times New Roman" w:eastAsia="Times New Roman" w:hAnsi="Times New Roman" w:cs="Times New Roman"/>
                <w:b/>
                <w:sz w:val="24"/>
                <w:szCs w:val="24"/>
                <w:lang w:eastAsia="lv-LV"/>
              </w:rPr>
              <w:t xml:space="preserve">58 066 164 </w:t>
            </w:r>
            <w:proofErr w:type="spellStart"/>
            <w:r w:rsidR="00E176CA" w:rsidRPr="00342158">
              <w:rPr>
                <w:rFonts w:ascii="Times New Roman" w:eastAsia="Times New Roman" w:hAnsi="Times New Roman" w:cs="Times New Roman"/>
                <w:b/>
                <w:i/>
                <w:sz w:val="24"/>
                <w:szCs w:val="24"/>
                <w:lang w:eastAsia="lv-LV"/>
              </w:rPr>
              <w:t>euro</w:t>
            </w:r>
            <w:proofErr w:type="spellEnd"/>
            <w:r w:rsidR="0040550D" w:rsidRPr="00342158">
              <w:rPr>
                <w:rFonts w:ascii="Times New Roman" w:eastAsia="Calibri" w:hAnsi="Times New Roman" w:cs="Times New Roman"/>
                <w:b/>
                <w:bCs/>
                <w:sz w:val="24"/>
                <w:szCs w:val="24"/>
              </w:rPr>
              <w:t xml:space="preserve"> vienlaikus nosakot, ka atlases kārtas ietvaros pieejamo finansējumu norāda paziņojumā par projektu iesniegumu iesniegšanu</w:t>
            </w:r>
            <w:r w:rsidR="00C46BC1" w:rsidRPr="00342158">
              <w:rPr>
                <w:rFonts w:ascii="Times New Roman" w:eastAsia="Calibri" w:hAnsi="Times New Roman" w:cs="Times New Roman"/>
                <w:b/>
                <w:bCs/>
                <w:sz w:val="24"/>
                <w:szCs w:val="24"/>
              </w:rPr>
              <w:t xml:space="preserve">. </w:t>
            </w:r>
            <w:r w:rsidR="00E176CA" w:rsidRPr="00342158">
              <w:rPr>
                <w:rFonts w:ascii="Times New Roman" w:eastAsia="Calibri" w:hAnsi="Times New Roman" w:cs="Times New Roman"/>
                <w:b/>
                <w:bCs/>
                <w:sz w:val="24"/>
                <w:szCs w:val="24"/>
              </w:rPr>
              <w:t>Sludinājumu sadarbības iestāde (Latvijas Investīciju un attīstības aģentūra) saskaņo ar atbildīgo iestādi (Ekonomikas ministriju) un vadošo iestādi (Finanšu ministriju).</w:t>
            </w:r>
            <w:r w:rsidR="0040550D" w:rsidRPr="00342158">
              <w:rPr>
                <w:rFonts w:ascii="Times New Roman" w:eastAsia="Calibri" w:hAnsi="Times New Roman" w:cs="Times New Roman"/>
                <w:b/>
                <w:bCs/>
                <w:sz w:val="24"/>
                <w:szCs w:val="24"/>
              </w:rPr>
              <w:t xml:space="preserve"> </w:t>
            </w:r>
          </w:p>
          <w:p w:rsidR="00E74AE3" w:rsidRPr="00342158" w:rsidRDefault="00E74AE3" w:rsidP="007C357A">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 xml:space="preserve">ņemot vērā </w:t>
            </w:r>
            <w:proofErr w:type="spellStart"/>
            <w:r w:rsidRPr="00342158">
              <w:rPr>
                <w:rFonts w:ascii="Times New Roman" w:eastAsia="Calibri" w:hAnsi="Times New Roman" w:cs="Times New Roman"/>
                <w:bCs/>
                <w:sz w:val="24"/>
                <w:szCs w:val="24"/>
              </w:rPr>
              <w:t>euro</w:t>
            </w:r>
            <w:proofErr w:type="spellEnd"/>
            <w:r w:rsidRPr="00342158">
              <w:rPr>
                <w:rFonts w:ascii="Times New Roman" w:eastAsia="Calibri" w:hAnsi="Times New Roman" w:cs="Times New Roman"/>
                <w:bCs/>
                <w:sz w:val="24"/>
                <w:szCs w:val="24"/>
              </w:rPr>
              <w:t xml:space="preserve"> ieviešanu no 2014.gada 1.janvāra, MK </w:t>
            </w:r>
            <w:r w:rsidRPr="00342158">
              <w:rPr>
                <w:rFonts w:ascii="Times New Roman" w:eastAsia="Calibri" w:hAnsi="Times New Roman" w:cs="Times New Roman"/>
                <w:bCs/>
                <w:sz w:val="24"/>
                <w:szCs w:val="24"/>
              </w:rPr>
              <w:lastRenderedPageBreak/>
              <w:t>not</w:t>
            </w:r>
            <w:r w:rsidR="00886FF4" w:rsidRPr="00342158">
              <w:rPr>
                <w:rFonts w:ascii="Times New Roman" w:eastAsia="Calibri" w:hAnsi="Times New Roman" w:cs="Times New Roman"/>
                <w:bCs/>
                <w:sz w:val="24"/>
                <w:szCs w:val="24"/>
              </w:rPr>
              <w:t xml:space="preserve">eikumos minētās summas latos ir konvertētas </w:t>
            </w:r>
            <w:proofErr w:type="spellStart"/>
            <w:r w:rsidR="00886FF4" w:rsidRPr="00342158">
              <w:rPr>
                <w:rFonts w:ascii="Times New Roman" w:eastAsia="Calibri" w:hAnsi="Times New Roman" w:cs="Times New Roman"/>
                <w:bCs/>
                <w:sz w:val="24"/>
                <w:szCs w:val="24"/>
              </w:rPr>
              <w:t>euro</w:t>
            </w:r>
            <w:proofErr w:type="spellEnd"/>
            <w:r w:rsidR="00886FF4" w:rsidRPr="00342158">
              <w:rPr>
                <w:rFonts w:ascii="Times New Roman" w:eastAsia="Calibri" w:hAnsi="Times New Roman" w:cs="Times New Roman"/>
                <w:bCs/>
                <w:sz w:val="24"/>
                <w:szCs w:val="24"/>
              </w:rPr>
              <w:t xml:space="preserve"> pēc oficiālās kursa 1 EUR = 0,702804 LVL;</w:t>
            </w:r>
          </w:p>
          <w:p w:rsidR="00927F7E" w:rsidRPr="00342158" w:rsidRDefault="00927F7E"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precizēta maksimāli pieļaujamā finansējuma intensitāte: projektu iesniegumu atlases otrās kārtas ietvaros maksimāli pieļaujamā finansējuma intensitāte ir 35 % no projekta kopējām attiecināmajām izmaksām. Projektu iesniegumu atlases trešās un turpmāko kārtu ietvaros maksimāli pieļaujamā finansējuma intensitāte ir 45 % no projekta kopējām attiecināmajām izmaksām;</w:t>
            </w:r>
          </w:p>
          <w:p w:rsidR="00927F7E" w:rsidRPr="00342158" w:rsidRDefault="00927F7E"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 xml:space="preserve">līdz ar maksimālās intensitātes paaugstināšanu trešajā un ceturtajā kārtā ir jāpalielina arī </w:t>
            </w:r>
            <w:r w:rsidR="008A30BC" w:rsidRPr="00342158">
              <w:rPr>
                <w:rFonts w:ascii="Times New Roman" w:eastAsia="Calibri" w:hAnsi="Times New Roman" w:cs="Times New Roman"/>
                <w:bCs/>
                <w:sz w:val="24"/>
                <w:szCs w:val="24"/>
              </w:rPr>
              <w:t xml:space="preserve">maksimāli pieļaujamais publiskā finansējuma apjoms. Skaidrojam, ka </w:t>
            </w:r>
            <w:r w:rsidR="00B8181E" w:rsidRPr="00342158">
              <w:rPr>
                <w:rFonts w:ascii="Times New Roman" w:eastAsia="Calibri" w:hAnsi="Times New Roman" w:cs="Times New Roman"/>
                <w:bCs/>
                <w:sz w:val="24"/>
                <w:szCs w:val="24"/>
              </w:rPr>
              <w:t xml:space="preserve">2 </w:t>
            </w:r>
            <w:proofErr w:type="spellStart"/>
            <w:r w:rsidR="00B8181E" w:rsidRPr="00342158">
              <w:rPr>
                <w:rFonts w:ascii="Times New Roman" w:eastAsia="Calibri" w:hAnsi="Times New Roman" w:cs="Times New Roman"/>
                <w:bCs/>
                <w:sz w:val="24"/>
                <w:szCs w:val="24"/>
              </w:rPr>
              <w:t>milj.LVL</w:t>
            </w:r>
            <w:proofErr w:type="spellEnd"/>
            <w:r w:rsidR="00B8181E" w:rsidRPr="00342158">
              <w:rPr>
                <w:rFonts w:ascii="Times New Roman" w:eastAsia="Calibri" w:hAnsi="Times New Roman" w:cs="Times New Roman"/>
                <w:bCs/>
                <w:sz w:val="24"/>
                <w:szCs w:val="24"/>
              </w:rPr>
              <w:t xml:space="preserve"> projekts ar 35% intensitāti saņem atbalstu 0,7 </w:t>
            </w:r>
            <w:proofErr w:type="spellStart"/>
            <w:r w:rsidR="00B8181E" w:rsidRPr="00342158">
              <w:rPr>
                <w:rFonts w:ascii="Times New Roman" w:eastAsia="Calibri" w:hAnsi="Times New Roman" w:cs="Times New Roman"/>
                <w:bCs/>
                <w:sz w:val="24"/>
                <w:szCs w:val="24"/>
              </w:rPr>
              <w:t>milj.LVL</w:t>
            </w:r>
            <w:proofErr w:type="spellEnd"/>
            <w:r w:rsidR="00B8181E" w:rsidRPr="00342158">
              <w:rPr>
                <w:rFonts w:ascii="Times New Roman" w:eastAsia="Calibri" w:hAnsi="Times New Roman" w:cs="Times New Roman"/>
                <w:bCs/>
                <w:sz w:val="24"/>
                <w:szCs w:val="24"/>
              </w:rPr>
              <w:t xml:space="preserve">. Tāds pats projekts ar 45% intensitāti saņem atbalstu </w:t>
            </w:r>
            <w:r w:rsidR="00806221" w:rsidRPr="00342158">
              <w:rPr>
                <w:rFonts w:ascii="Times New Roman" w:eastAsia="Calibri" w:hAnsi="Times New Roman" w:cs="Times New Roman"/>
                <w:bCs/>
                <w:sz w:val="24"/>
                <w:szCs w:val="24"/>
              </w:rPr>
              <w:t xml:space="preserve">0,9 </w:t>
            </w:r>
            <w:proofErr w:type="spellStart"/>
            <w:r w:rsidR="00806221" w:rsidRPr="00342158">
              <w:rPr>
                <w:rFonts w:ascii="Times New Roman" w:eastAsia="Calibri" w:hAnsi="Times New Roman" w:cs="Times New Roman"/>
                <w:bCs/>
                <w:sz w:val="24"/>
                <w:szCs w:val="24"/>
              </w:rPr>
              <w:t>milj.LVL</w:t>
            </w:r>
            <w:proofErr w:type="spellEnd"/>
            <w:r w:rsidR="0040550D" w:rsidRPr="00342158">
              <w:rPr>
                <w:rFonts w:ascii="Times New Roman" w:eastAsia="Calibri" w:hAnsi="Times New Roman" w:cs="Times New Roman"/>
                <w:bCs/>
                <w:sz w:val="24"/>
                <w:szCs w:val="24"/>
              </w:rPr>
              <w:t xml:space="preserve"> </w:t>
            </w:r>
            <w:r w:rsidR="0040550D" w:rsidRPr="00342158">
              <w:rPr>
                <w:rFonts w:ascii="Times New Roman" w:eastAsia="Calibri" w:hAnsi="Times New Roman" w:cs="Times New Roman"/>
                <w:b/>
                <w:bCs/>
                <w:sz w:val="24"/>
                <w:szCs w:val="24"/>
              </w:rPr>
              <w:t xml:space="preserve">(1 280 585 </w:t>
            </w:r>
            <w:proofErr w:type="spellStart"/>
            <w:r w:rsidR="00E176CA" w:rsidRPr="00342158">
              <w:rPr>
                <w:rFonts w:ascii="Times New Roman" w:eastAsia="Calibri" w:hAnsi="Times New Roman" w:cs="Times New Roman"/>
                <w:b/>
                <w:bCs/>
                <w:i/>
                <w:sz w:val="24"/>
                <w:szCs w:val="24"/>
              </w:rPr>
              <w:t>euro</w:t>
            </w:r>
            <w:proofErr w:type="spellEnd"/>
            <w:r w:rsidR="0040550D" w:rsidRPr="00342158">
              <w:rPr>
                <w:rFonts w:ascii="Times New Roman" w:eastAsia="Calibri" w:hAnsi="Times New Roman" w:cs="Times New Roman"/>
                <w:b/>
                <w:bCs/>
                <w:sz w:val="24"/>
                <w:szCs w:val="24"/>
              </w:rPr>
              <w:t>)</w:t>
            </w:r>
            <w:r w:rsidR="00806221" w:rsidRPr="00342158">
              <w:rPr>
                <w:rFonts w:ascii="Times New Roman" w:eastAsia="Calibri" w:hAnsi="Times New Roman" w:cs="Times New Roman"/>
                <w:bCs/>
                <w:sz w:val="24"/>
                <w:szCs w:val="24"/>
              </w:rPr>
              <w:t>;</w:t>
            </w:r>
          </w:p>
          <w:p w:rsidR="00806221" w:rsidRPr="00342158" w:rsidRDefault="00806221"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precizēts projekta uzsākšanas brīdis – visi projektu iesniedzēji, gan MVK, gan arī lielie komersanti, var uzsākt projektu pēc projekta iesniegumu iesniegšanas sadarbības iestādē un negaidot sadarbības iestādes lēmumu</w:t>
            </w:r>
            <w:r w:rsidR="00EA7336" w:rsidRPr="00342158">
              <w:rPr>
                <w:rFonts w:ascii="Times New Roman" w:eastAsia="Calibri" w:hAnsi="Times New Roman" w:cs="Times New Roman"/>
                <w:bCs/>
                <w:sz w:val="24"/>
                <w:szCs w:val="24"/>
              </w:rPr>
              <w:t xml:space="preserve">, bet sagaidot sadarbības iestādes veikto </w:t>
            </w:r>
            <w:r w:rsidR="00E176CA" w:rsidRPr="00342158">
              <w:rPr>
                <w:rFonts w:ascii="Times New Roman" w:eastAsia="Calibri" w:hAnsi="Times New Roman" w:cs="Times New Roman"/>
                <w:b/>
                <w:bCs/>
                <w:sz w:val="24"/>
                <w:szCs w:val="24"/>
              </w:rPr>
              <w:t>pirmslīguma pārbaudi projekta īstenošanas vietā un izvērtējusi, vai lielais komersants izpilda šo noteikumu 27.punktā minētos nosacījumus, aizpildot pārbaudes lapu un informējot projekta iesniedzēju</w:t>
            </w:r>
            <w:r w:rsidR="00B875D6" w:rsidRPr="00342158">
              <w:rPr>
                <w:rFonts w:ascii="Times New Roman" w:eastAsia="Calibri" w:hAnsi="Times New Roman" w:cs="Times New Roman"/>
                <w:b/>
                <w:bCs/>
                <w:sz w:val="24"/>
                <w:szCs w:val="24"/>
              </w:rPr>
              <w:t>. Papildus tam precizēts, ka finansējuma saņēmējs nevar pabeigt projektu pirms projekta apstiprināšanas</w:t>
            </w:r>
            <w:r w:rsidRPr="00342158">
              <w:rPr>
                <w:rFonts w:ascii="Times New Roman" w:eastAsia="Calibri" w:hAnsi="Times New Roman" w:cs="Times New Roman"/>
                <w:bCs/>
                <w:sz w:val="24"/>
                <w:szCs w:val="24"/>
              </w:rPr>
              <w:t>;</w:t>
            </w:r>
          </w:p>
          <w:p w:rsidR="00806221" w:rsidRPr="00342158" w:rsidRDefault="007B28D4"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 xml:space="preserve">precizēti atbalsta apvienošanas nosacījumi, nosakot, ka šo noteikumu ietvaros saņemto atbalstu nedrīkst apvienot ar citu </w:t>
            </w:r>
            <w:r w:rsidR="00EA7336" w:rsidRPr="00342158">
              <w:rPr>
                <w:rFonts w:ascii="Times New Roman" w:eastAsia="Calibri" w:hAnsi="Times New Roman" w:cs="Times New Roman"/>
                <w:bCs/>
                <w:sz w:val="24"/>
                <w:szCs w:val="24"/>
              </w:rPr>
              <w:t xml:space="preserve">Eiropas Savienības </w:t>
            </w:r>
            <w:r w:rsidRPr="00342158">
              <w:rPr>
                <w:rFonts w:ascii="Times New Roman" w:eastAsia="Calibri" w:hAnsi="Times New Roman" w:cs="Times New Roman"/>
                <w:bCs/>
                <w:sz w:val="24"/>
                <w:szCs w:val="24"/>
              </w:rPr>
              <w:t xml:space="preserve">atbalsta programmas vai individuālā atbalsta projekta ietvaros piešķirto finansējumu par vienām un tām pašām izmaksām. Vienlaikus skaidrojam, ka </w:t>
            </w:r>
            <w:r w:rsidR="009751EF" w:rsidRPr="00342158">
              <w:rPr>
                <w:rFonts w:ascii="Times New Roman" w:eastAsia="Calibri" w:hAnsi="Times New Roman" w:cs="Times New Roman"/>
                <w:bCs/>
                <w:sz w:val="24"/>
                <w:szCs w:val="24"/>
              </w:rPr>
              <w:t>par vienām un tām pašām izmaksām var apvienot atbalstu ar citām programmām, piemēram, atbalstu</w:t>
            </w:r>
            <w:r w:rsidR="00727A6D" w:rsidRPr="00342158">
              <w:rPr>
                <w:rFonts w:ascii="Times New Roman" w:eastAsia="Calibri" w:hAnsi="Times New Roman" w:cs="Times New Roman"/>
                <w:bCs/>
                <w:sz w:val="24"/>
                <w:szCs w:val="24"/>
              </w:rPr>
              <w:t>,</w:t>
            </w:r>
            <w:r w:rsidR="009751EF" w:rsidRPr="00342158">
              <w:rPr>
                <w:rFonts w:ascii="Times New Roman" w:eastAsia="Calibri" w:hAnsi="Times New Roman" w:cs="Times New Roman"/>
                <w:bCs/>
                <w:sz w:val="24"/>
                <w:szCs w:val="24"/>
              </w:rPr>
              <w:t xml:space="preserve"> kuru piešķir brīvostas un Baltijas Investīciju fonds</w:t>
            </w:r>
            <w:r w:rsidRPr="00342158">
              <w:rPr>
                <w:rFonts w:ascii="Times New Roman" w:eastAsia="Calibri" w:hAnsi="Times New Roman" w:cs="Times New Roman"/>
                <w:bCs/>
                <w:sz w:val="24"/>
                <w:szCs w:val="24"/>
              </w:rPr>
              <w:t xml:space="preserve">; </w:t>
            </w:r>
          </w:p>
          <w:p w:rsidR="009751EF" w:rsidRPr="00342158" w:rsidRDefault="00305C53" w:rsidP="00C021CD">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p</w:t>
            </w:r>
            <w:r w:rsidR="009751EF" w:rsidRPr="00342158">
              <w:rPr>
                <w:rFonts w:ascii="Times New Roman" w:eastAsia="Calibri" w:hAnsi="Times New Roman" w:cs="Times New Roman"/>
                <w:bCs/>
                <w:sz w:val="24"/>
                <w:szCs w:val="24"/>
              </w:rPr>
              <w:t xml:space="preserve">recizēts datums, līdz kuram </w:t>
            </w:r>
            <w:r w:rsidR="00EC7C20" w:rsidRPr="00342158">
              <w:rPr>
                <w:rFonts w:ascii="Times New Roman" w:eastAsia="Calibri" w:hAnsi="Times New Roman" w:cs="Times New Roman"/>
                <w:bCs/>
                <w:sz w:val="24"/>
                <w:szCs w:val="24"/>
              </w:rPr>
              <w:t>sadarbības iestādei ir jāpieņem lēmumi par projektu apstiprināšanu (2014.gada 30.jūnijs);</w:t>
            </w:r>
          </w:p>
          <w:p w:rsidR="008E7215" w:rsidRPr="00342158" w:rsidRDefault="00305C53" w:rsidP="00EC7C20">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Cs/>
                <w:sz w:val="24"/>
                <w:szCs w:val="24"/>
              </w:rPr>
              <w:t>ņ</w:t>
            </w:r>
            <w:r w:rsidR="00EC7C20" w:rsidRPr="00342158">
              <w:rPr>
                <w:rFonts w:ascii="Times New Roman" w:eastAsia="Calibri" w:hAnsi="Times New Roman" w:cs="Times New Roman"/>
                <w:bCs/>
                <w:sz w:val="24"/>
                <w:szCs w:val="24"/>
              </w:rPr>
              <w:t>emot vērā to, ka ir palielināts maksimālais atbalsta apjoms</w:t>
            </w:r>
            <w:r w:rsidR="0022076F" w:rsidRPr="00342158">
              <w:rPr>
                <w:rFonts w:ascii="Times New Roman" w:eastAsia="Calibri" w:hAnsi="Times New Roman" w:cs="Times New Roman"/>
                <w:bCs/>
                <w:sz w:val="24"/>
                <w:szCs w:val="24"/>
              </w:rPr>
              <w:t xml:space="preserve">,  intensitāte un no 2014.gada 1.janvāra ieviests </w:t>
            </w:r>
            <w:proofErr w:type="spellStart"/>
            <w:r w:rsidR="0022076F" w:rsidRPr="00342158">
              <w:rPr>
                <w:rFonts w:ascii="Times New Roman" w:eastAsia="Calibri" w:hAnsi="Times New Roman" w:cs="Times New Roman"/>
                <w:bCs/>
                <w:i/>
                <w:sz w:val="24"/>
                <w:szCs w:val="24"/>
              </w:rPr>
              <w:t>euro</w:t>
            </w:r>
            <w:proofErr w:type="spellEnd"/>
            <w:r w:rsidR="0022076F" w:rsidRPr="00342158">
              <w:rPr>
                <w:rFonts w:ascii="Times New Roman" w:eastAsia="Calibri" w:hAnsi="Times New Roman" w:cs="Times New Roman"/>
                <w:bCs/>
                <w:sz w:val="24"/>
                <w:szCs w:val="24"/>
              </w:rPr>
              <w:t xml:space="preserve"> </w:t>
            </w:r>
            <w:r w:rsidR="00EC7C20" w:rsidRPr="00342158">
              <w:rPr>
                <w:rFonts w:ascii="Times New Roman" w:eastAsia="Calibri" w:hAnsi="Times New Roman" w:cs="Times New Roman"/>
                <w:sz w:val="24"/>
                <w:szCs w:val="24"/>
              </w:rPr>
              <w:t>jāveic grozījumi MK noteikumu Nr.817 1.pielikumā (projekta iesnieguma veidlapa)</w:t>
            </w:r>
            <w:r w:rsidR="0022076F" w:rsidRPr="00342158">
              <w:rPr>
                <w:rFonts w:ascii="Times New Roman" w:eastAsia="Calibri" w:hAnsi="Times New Roman" w:cs="Times New Roman"/>
                <w:sz w:val="24"/>
                <w:szCs w:val="24"/>
              </w:rPr>
              <w:t xml:space="preserve">, </w:t>
            </w:r>
            <w:r w:rsidR="00783D1B" w:rsidRPr="00342158">
              <w:rPr>
                <w:rFonts w:ascii="Times New Roman" w:eastAsia="Calibri" w:hAnsi="Times New Roman" w:cs="Times New Roman"/>
                <w:sz w:val="24"/>
                <w:szCs w:val="24"/>
              </w:rPr>
              <w:t>2.pielikumā (biznesa plāna forma) un 4.pielikumā (projektu iesniegumu vērtēšanas kritēriji)</w:t>
            </w:r>
            <w:r w:rsidR="008E7215" w:rsidRPr="00342158">
              <w:rPr>
                <w:rFonts w:ascii="Times New Roman" w:eastAsia="Calibri" w:hAnsi="Times New Roman" w:cs="Times New Roman"/>
                <w:sz w:val="24"/>
                <w:szCs w:val="24"/>
              </w:rPr>
              <w:t>;</w:t>
            </w:r>
          </w:p>
          <w:p w:rsidR="00940D8C" w:rsidRPr="00342158" w:rsidRDefault="00E176CA" w:rsidP="00EC7C20">
            <w:pPr>
              <w:pStyle w:val="ListParagraph"/>
              <w:numPr>
                <w:ilvl w:val="0"/>
                <w:numId w:val="4"/>
              </w:numPr>
              <w:spacing w:after="0" w:line="240" w:lineRule="auto"/>
              <w:jc w:val="both"/>
              <w:rPr>
                <w:rFonts w:ascii="Times New Roman" w:eastAsia="Calibri" w:hAnsi="Times New Roman" w:cs="Times New Roman"/>
                <w:bCs/>
                <w:sz w:val="24"/>
                <w:szCs w:val="24"/>
              </w:rPr>
            </w:pPr>
            <w:r w:rsidRPr="00342158">
              <w:rPr>
                <w:rFonts w:ascii="Times New Roman" w:eastAsia="Calibri" w:hAnsi="Times New Roman" w:cs="Times New Roman"/>
                <w:b/>
                <w:sz w:val="24"/>
                <w:szCs w:val="24"/>
              </w:rPr>
              <w:t>Precizēt 3.pielikuma (neatbalstāmās nozares)</w:t>
            </w:r>
            <w:r w:rsidR="0061436B">
              <w:rPr>
                <w:rFonts w:ascii="Times New Roman" w:eastAsia="Calibri" w:hAnsi="Times New Roman" w:cs="Times New Roman"/>
                <w:b/>
                <w:sz w:val="24"/>
                <w:szCs w:val="24"/>
              </w:rPr>
              <w:t>, t</w:t>
            </w:r>
            <w:r w:rsidRPr="00342158">
              <w:rPr>
                <w:rFonts w:ascii="Times New Roman" w:eastAsia="Calibri" w:hAnsi="Times New Roman" w:cs="Times New Roman"/>
                <w:b/>
                <w:sz w:val="24"/>
                <w:szCs w:val="24"/>
              </w:rPr>
              <w:t>ādējādi ļaujot pieteikties alus</w:t>
            </w:r>
            <w:r w:rsidR="00CD0297" w:rsidRPr="00342158">
              <w:rPr>
                <w:rFonts w:ascii="Times New Roman" w:eastAsia="Calibri" w:hAnsi="Times New Roman" w:cs="Times New Roman"/>
                <w:b/>
                <w:sz w:val="24"/>
                <w:szCs w:val="24"/>
              </w:rPr>
              <w:t xml:space="preserve"> </w:t>
            </w:r>
            <w:r w:rsidRPr="00342158">
              <w:rPr>
                <w:rFonts w:ascii="Times New Roman" w:eastAsia="Calibri" w:hAnsi="Times New Roman" w:cs="Times New Roman"/>
                <w:b/>
                <w:sz w:val="24"/>
                <w:szCs w:val="24"/>
              </w:rPr>
              <w:t>ražošanas nozar</w:t>
            </w:r>
            <w:r w:rsidR="00CD0297" w:rsidRPr="00342158">
              <w:rPr>
                <w:rFonts w:ascii="Times New Roman" w:eastAsia="Calibri" w:hAnsi="Times New Roman" w:cs="Times New Roman"/>
                <w:b/>
                <w:sz w:val="24"/>
                <w:szCs w:val="24"/>
              </w:rPr>
              <w:t>es</w:t>
            </w:r>
            <w:r w:rsidRPr="00342158">
              <w:rPr>
                <w:rFonts w:ascii="Times New Roman" w:eastAsia="Calibri" w:hAnsi="Times New Roman" w:cs="Times New Roman"/>
                <w:b/>
                <w:sz w:val="24"/>
                <w:szCs w:val="24"/>
              </w:rPr>
              <w:t xml:space="preserve"> komersantiem</w:t>
            </w:r>
            <w:r w:rsidRPr="00342158">
              <w:rPr>
                <w:rFonts w:ascii="Times New Roman" w:eastAsia="Calibri" w:hAnsi="Times New Roman" w:cs="Times New Roman"/>
                <w:sz w:val="24"/>
                <w:szCs w:val="24"/>
              </w:rPr>
              <w:t>.</w:t>
            </w:r>
            <w:r w:rsidRPr="00342158">
              <w:rPr>
                <w:rFonts w:ascii="Times New Roman" w:eastAsia="Calibri" w:hAnsi="Times New Roman" w:cs="Times New Roman"/>
                <w:bCs/>
                <w:sz w:val="24"/>
                <w:szCs w:val="24"/>
              </w:rPr>
              <w:t xml:space="preserve"> </w:t>
            </w:r>
          </w:p>
          <w:p w:rsidR="00E176CA" w:rsidRPr="00342158" w:rsidRDefault="00E176CA" w:rsidP="00E176CA">
            <w:pPr>
              <w:pStyle w:val="ListParagraph"/>
              <w:spacing w:after="0" w:line="240" w:lineRule="auto"/>
              <w:ind w:left="360"/>
              <w:jc w:val="both"/>
              <w:rPr>
                <w:rFonts w:ascii="Times New Roman" w:eastAsia="Calibri" w:hAnsi="Times New Roman" w:cs="Times New Roman"/>
                <w:bCs/>
                <w:sz w:val="24"/>
                <w:szCs w:val="24"/>
              </w:rPr>
            </w:pPr>
          </w:p>
        </w:tc>
      </w:tr>
      <w:tr w:rsidR="00D40CFC" w:rsidRPr="00342158"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lastRenderedPageBreak/>
              <w:t>5. Projekta izstrādē iesaistītās institūcijas</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C32925" w:rsidP="00EA7336">
            <w:pPr>
              <w:spacing w:after="0" w:line="240" w:lineRule="auto"/>
              <w:ind w:right="142" w:firstLine="567"/>
              <w:jc w:val="both"/>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Noteikumu projekta izpildē ir iesaistīta Latvijas Investīciju un attīstības aģentūra.</w:t>
            </w:r>
          </w:p>
        </w:tc>
      </w:tr>
      <w:tr w:rsidR="00D40CFC" w:rsidRPr="00342158"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6. Iemesli, kādēļ netika nodrošināta sabiedrības līdzdalība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B63942" w:rsidP="001225B0">
            <w:pPr>
              <w:spacing w:after="0" w:line="240" w:lineRule="auto"/>
              <w:ind w:right="142" w:firstLine="567"/>
              <w:jc w:val="both"/>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Grozījumi ir labvēlīgāki potenciālajiem projektu iesniedzējiem salīdzinājumā ar spēkā esošajiem noteikumiem, tāpēc konsultācijas nebija nepieciešams rīkot.</w:t>
            </w:r>
          </w:p>
        </w:tc>
      </w:tr>
      <w:tr w:rsidR="00D40CFC" w:rsidRPr="00342158" w:rsidTr="002774E4">
        <w:tc>
          <w:tcPr>
            <w:tcW w:w="228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D40CFC" w:rsidP="007C357A">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 7. Cita informācija</w:t>
            </w:r>
          </w:p>
        </w:tc>
        <w:tc>
          <w:tcPr>
            <w:tcW w:w="680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342158" w:rsidRDefault="008D678E" w:rsidP="007C357A">
            <w:pPr>
              <w:spacing w:after="0" w:line="240" w:lineRule="auto"/>
              <w:ind w:firstLine="567"/>
              <w:jc w:val="both"/>
              <w:rPr>
                <w:rFonts w:ascii="Times New Roman" w:eastAsia="Calibri" w:hAnsi="Times New Roman" w:cs="Times New Roman"/>
                <w:sz w:val="24"/>
                <w:szCs w:val="24"/>
              </w:rPr>
            </w:pPr>
            <w:r w:rsidRPr="00342158">
              <w:rPr>
                <w:rFonts w:ascii="Times New Roman" w:eastAsia="Calibri" w:hAnsi="Times New Roman" w:cs="Times New Roman"/>
                <w:sz w:val="24"/>
                <w:szCs w:val="24"/>
              </w:rPr>
              <w:t>Projekts šo jomu neskar.</w:t>
            </w:r>
          </w:p>
        </w:tc>
      </w:tr>
    </w:tbl>
    <w:p w:rsidR="00D40CFC" w:rsidRPr="00342158" w:rsidRDefault="00D40CFC" w:rsidP="00D40CFC">
      <w:pPr>
        <w:spacing w:after="0" w:line="240" w:lineRule="auto"/>
        <w:jc w:val="center"/>
        <w:rPr>
          <w:rFonts w:ascii="Times New Roman" w:eastAsia="Arial Unicode MS" w:hAnsi="Times New Roman" w:cs="Times New Roman"/>
          <w:b/>
          <w:sz w:val="24"/>
          <w:szCs w:val="24"/>
        </w:rPr>
      </w:pPr>
    </w:p>
    <w:p w:rsidR="007F70FB" w:rsidRPr="00342158" w:rsidRDefault="007F70FB" w:rsidP="00D40CFC">
      <w:pPr>
        <w:spacing w:after="0" w:line="240" w:lineRule="auto"/>
        <w:jc w:val="center"/>
        <w:rPr>
          <w:rFonts w:ascii="Times New Roman" w:eastAsia="Arial Unicode MS" w:hAnsi="Times New Roman" w:cs="Times New Roman"/>
          <w:b/>
          <w:sz w:val="24"/>
          <w:szCs w:val="24"/>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456"/>
        <w:gridCol w:w="3543"/>
        <w:gridCol w:w="5357"/>
      </w:tblGrid>
      <w:tr w:rsidR="00D40CFC" w:rsidRPr="00342158" w:rsidTr="00FD2F61">
        <w:tc>
          <w:tcPr>
            <w:tcW w:w="9356" w:type="dxa"/>
            <w:gridSpan w:val="3"/>
            <w:vAlign w:val="center"/>
          </w:tcPr>
          <w:p w:rsidR="00D40CFC" w:rsidRPr="00342158" w:rsidRDefault="00D40CFC" w:rsidP="00D40CFC">
            <w:pPr>
              <w:spacing w:after="0" w:line="240" w:lineRule="auto"/>
              <w:jc w:val="center"/>
              <w:rPr>
                <w:rFonts w:ascii="Times New Roman" w:eastAsia="Times New Roman" w:hAnsi="Times New Roman" w:cs="Times New Roman"/>
                <w:b/>
                <w:bCs/>
                <w:sz w:val="24"/>
                <w:szCs w:val="24"/>
                <w:lang w:eastAsia="lv-LV"/>
              </w:rPr>
            </w:pPr>
            <w:r w:rsidRPr="00342158">
              <w:rPr>
                <w:rFonts w:ascii="Times New Roman" w:eastAsia="Times New Roman" w:hAnsi="Times New Roman" w:cs="Times New Roman"/>
                <w:b/>
                <w:bCs/>
                <w:sz w:val="24"/>
                <w:szCs w:val="24"/>
                <w:lang w:eastAsia="lv-LV"/>
              </w:rPr>
              <w:t>II. Tiesību akta projekta ietekme uz sabiedrību</w:t>
            </w:r>
          </w:p>
        </w:tc>
      </w:tr>
      <w:tr w:rsidR="00D40CFC" w:rsidRPr="00342158" w:rsidTr="0078211F">
        <w:trPr>
          <w:trHeight w:val="467"/>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1.</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Sabiedrības mērķgrupa</w:t>
            </w:r>
          </w:p>
        </w:tc>
        <w:tc>
          <w:tcPr>
            <w:tcW w:w="5357" w:type="dxa"/>
          </w:tcPr>
          <w:p w:rsidR="00382775" w:rsidRPr="00342158" w:rsidRDefault="005A5F0D" w:rsidP="008379B1">
            <w:pPr>
              <w:spacing w:before="75" w:after="75" w:line="240" w:lineRule="auto"/>
              <w:ind w:firstLine="450"/>
              <w:jc w:val="both"/>
              <w:rPr>
                <w:rFonts w:ascii="Times New Roman" w:eastAsia="Times New Roman" w:hAnsi="Times New Roman" w:cs="Times New Roman"/>
                <w:iCs/>
                <w:sz w:val="24"/>
                <w:szCs w:val="24"/>
                <w:lang w:eastAsia="lv-LV"/>
              </w:rPr>
            </w:pPr>
            <w:r w:rsidRPr="00342158">
              <w:rPr>
                <w:rFonts w:ascii="Times New Roman" w:eastAsia="Times New Roman" w:hAnsi="Times New Roman" w:cs="Times New Roman"/>
                <w:iCs/>
                <w:sz w:val="24"/>
                <w:szCs w:val="24"/>
                <w:lang w:eastAsia="lv-LV"/>
              </w:rPr>
              <w:t>K</w:t>
            </w:r>
            <w:r w:rsidR="008379B1" w:rsidRPr="00342158">
              <w:rPr>
                <w:rFonts w:ascii="Times New Roman" w:eastAsia="Times New Roman" w:hAnsi="Times New Roman" w:cs="Times New Roman"/>
                <w:iCs/>
                <w:sz w:val="24"/>
                <w:szCs w:val="24"/>
                <w:lang w:eastAsia="lv-LV"/>
              </w:rPr>
              <w:t>omersanti.</w:t>
            </w:r>
          </w:p>
        </w:tc>
      </w:tr>
      <w:tr w:rsidR="00D40CFC" w:rsidRPr="00342158" w:rsidTr="0078211F">
        <w:trPr>
          <w:trHeight w:val="523"/>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2.</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Citas sabiedrības grupas (bez mērķgrupas), kuras tiesiskais regulējums arī ietekmē vai varētu ietekmēt</w:t>
            </w:r>
          </w:p>
        </w:tc>
        <w:tc>
          <w:tcPr>
            <w:tcW w:w="5357" w:type="dxa"/>
          </w:tcPr>
          <w:p w:rsidR="00D40CFC" w:rsidRPr="00342158" w:rsidRDefault="003067EB" w:rsidP="00382775">
            <w:pPr>
              <w:spacing w:after="0" w:line="240" w:lineRule="auto"/>
              <w:ind w:firstLine="450"/>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iCs/>
                <w:sz w:val="24"/>
                <w:szCs w:val="24"/>
                <w:lang w:eastAsia="lv-LV"/>
              </w:rPr>
              <w:t>Projekts šo jomu neskar.</w:t>
            </w:r>
          </w:p>
        </w:tc>
      </w:tr>
      <w:tr w:rsidR="00D40CFC" w:rsidRPr="00342158" w:rsidTr="0078211F">
        <w:trPr>
          <w:trHeight w:val="517"/>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3.</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Tiesiskā regulējuma finansiālā ietekme</w:t>
            </w:r>
          </w:p>
        </w:tc>
        <w:tc>
          <w:tcPr>
            <w:tcW w:w="5357" w:type="dxa"/>
          </w:tcPr>
          <w:p w:rsidR="00D40CFC" w:rsidRPr="00342158" w:rsidRDefault="00C021CD" w:rsidP="00AE49A9">
            <w:pPr>
              <w:spacing w:after="0" w:line="240" w:lineRule="auto"/>
              <w:ind w:firstLine="450"/>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 xml:space="preserve">Trešās </w:t>
            </w:r>
            <w:r w:rsidR="00AE49A9" w:rsidRPr="00342158">
              <w:rPr>
                <w:rFonts w:ascii="Times New Roman" w:eastAsia="Times New Roman" w:hAnsi="Times New Roman" w:cs="Times New Roman"/>
                <w:sz w:val="24"/>
                <w:szCs w:val="24"/>
                <w:lang w:eastAsia="lv-LV"/>
              </w:rPr>
              <w:t xml:space="preserve">un ceturtās </w:t>
            </w:r>
            <w:r w:rsidRPr="00342158">
              <w:rPr>
                <w:rFonts w:ascii="Times New Roman" w:eastAsia="Times New Roman" w:hAnsi="Times New Roman" w:cs="Times New Roman"/>
                <w:sz w:val="24"/>
                <w:szCs w:val="24"/>
                <w:lang w:eastAsia="lv-LV"/>
              </w:rPr>
              <w:t xml:space="preserve">kārtas ietvaros </w:t>
            </w:r>
            <w:r w:rsidR="00AE49A9" w:rsidRPr="00342158">
              <w:rPr>
                <w:rFonts w:ascii="Times New Roman" w:eastAsia="Times New Roman" w:hAnsi="Times New Roman" w:cs="Times New Roman"/>
                <w:sz w:val="24"/>
                <w:szCs w:val="24"/>
                <w:lang w:eastAsia="lv-LV"/>
              </w:rPr>
              <w:t>maksimālā finansējuma intensitāte tiek palielināta no 35% uz 45%</w:t>
            </w:r>
            <w:r w:rsidRPr="00342158">
              <w:rPr>
                <w:rFonts w:ascii="Times New Roman" w:eastAsia="Times New Roman" w:hAnsi="Times New Roman" w:cs="Times New Roman"/>
                <w:sz w:val="24"/>
                <w:szCs w:val="24"/>
                <w:lang w:eastAsia="lv-LV"/>
              </w:rPr>
              <w:t>.</w:t>
            </w:r>
            <w:r w:rsidR="00352F8D" w:rsidRPr="00342158">
              <w:rPr>
                <w:rFonts w:ascii="Times New Roman" w:eastAsia="Times New Roman" w:hAnsi="Times New Roman" w:cs="Times New Roman"/>
                <w:sz w:val="24"/>
                <w:szCs w:val="24"/>
                <w:lang w:eastAsia="lv-LV"/>
              </w:rPr>
              <w:t xml:space="preserve"> Tādējādi tiks veicināta pieeja finansējumam lielākam komersantu skaitam – it īpaši mazajiem un vidējiem komersantiem.</w:t>
            </w:r>
          </w:p>
        </w:tc>
      </w:tr>
      <w:tr w:rsidR="00D40CFC" w:rsidRPr="00342158" w:rsidTr="0078211F">
        <w:trPr>
          <w:trHeight w:val="517"/>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4.</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Tiesiskā regulējuma nefinansiālā ietekme</w:t>
            </w:r>
          </w:p>
        </w:tc>
        <w:tc>
          <w:tcPr>
            <w:tcW w:w="5357" w:type="dxa"/>
          </w:tcPr>
          <w:p w:rsidR="00D40CFC" w:rsidRPr="00342158" w:rsidRDefault="00352F8D" w:rsidP="00EA7336">
            <w:pPr>
              <w:spacing w:after="0" w:line="240" w:lineRule="auto"/>
              <w:ind w:firstLine="450"/>
              <w:jc w:val="both"/>
              <w:rPr>
                <w:rFonts w:ascii="Times New Roman" w:eastAsia="Times New Roman" w:hAnsi="Times New Roman" w:cs="Times New Roman"/>
                <w:iCs/>
                <w:sz w:val="24"/>
                <w:szCs w:val="24"/>
                <w:lang w:eastAsia="lv-LV"/>
              </w:rPr>
            </w:pPr>
            <w:r w:rsidRPr="00342158">
              <w:rPr>
                <w:rFonts w:ascii="Times New Roman" w:eastAsia="Times New Roman" w:hAnsi="Times New Roman" w:cs="Times New Roman"/>
                <w:sz w:val="24"/>
                <w:szCs w:val="24"/>
                <w:lang w:eastAsia="lv-LV"/>
              </w:rPr>
              <w:t xml:space="preserve">Piešķirot </w:t>
            </w:r>
            <w:r w:rsidR="00AE49A9" w:rsidRPr="00342158">
              <w:rPr>
                <w:rFonts w:ascii="Times New Roman" w:eastAsia="Times New Roman" w:hAnsi="Times New Roman" w:cs="Times New Roman"/>
                <w:sz w:val="24"/>
                <w:szCs w:val="24"/>
                <w:lang w:eastAsia="lv-LV"/>
              </w:rPr>
              <w:t>lielāku atbalsta intensitāti</w:t>
            </w:r>
            <w:r w:rsidRPr="00342158">
              <w:rPr>
                <w:rFonts w:ascii="Times New Roman" w:eastAsia="Times New Roman" w:hAnsi="Times New Roman" w:cs="Times New Roman"/>
                <w:sz w:val="24"/>
                <w:szCs w:val="24"/>
                <w:lang w:eastAsia="lv-LV"/>
              </w:rPr>
              <w:t>, tiks palielināts</w:t>
            </w:r>
            <w:r w:rsidR="00AF7E9D" w:rsidRPr="00342158">
              <w:rPr>
                <w:rFonts w:ascii="Times New Roman" w:eastAsia="Times New Roman" w:hAnsi="Times New Roman" w:cs="Times New Roman"/>
                <w:sz w:val="24"/>
                <w:szCs w:val="24"/>
                <w:lang w:eastAsia="lv-LV"/>
              </w:rPr>
              <w:t xml:space="preserve"> </w:t>
            </w:r>
            <w:r w:rsidR="00EA7336" w:rsidRPr="00342158">
              <w:rPr>
                <w:rFonts w:ascii="Times New Roman" w:eastAsia="Times New Roman" w:hAnsi="Times New Roman" w:cs="Times New Roman"/>
                <w:sz w:val="24"/>
                <w:szCs w:val="24"/>
                <w:lang w:eastAsia="lv-LV"/>
              </w:rPr>
              <w:t xml:space="preserve">atbalsta </w:t>
            </w:r>
            <w:r w:rsidR="00AF7E9D" w:rsidRPr="00342158">
              <w:rPr>
                <w:rFonts w:ascii="Times New Roman" w:eastAsia="Times New Roman" w:hAnsi="Times New Roman" w:cs="Times New Roman"/>
                <w:sz w:val="24"/>
                <w:szCs w:val="24"/>
                <w:lang w:eastAsia="lv-LV"/>
              </w:rPr>
              <w:t xml:space="preserve">saņēmēju skaits, tādējādi tiks veicināta  ekonomiskā aktivitāte valstī, radītas jaunas darba vietas, līdz ar to tiks sekmēta Latvijas tautsaimniecības attīstība un risinātas tirgus nepilnības, kas saistītas ar </w:t>
            </w:r>
            <w:r w:rsidR="00704C03" w:rsidRPr="00342158">
              <w:rPr>
                <w:rFonts w:ascii="Times New Roman" w:eastAsia="Times New Roman" w:hAnsi="Times New Roman" w:cs="Times New Roman"/>
                <w:sz w:val="24"/>
                <w:szCs w:val="24"/>
                <w:lang w:eastAsia="lv-LV"/>
              </w:rPr>
              <w:t>mazo un vidējo</w:t>
            </w:r>
            <w:r w:rsidR="00AF7E9D" w:rsidRPr="00342158">
              <w:rPr>
                <w:rFonts w:ascii="Times New Roman" w:eastAsia="Times New Roman" w:hAnsi="Times New Roman" w:cs="Times New Roman"/>
                <w:sz w:val="24"/>
                <w:szCs w:val="24"/>
                <w:lang w:eastAsia="lv-LV"/>
              </w:rPr>
              <w:t xml:space="preserve"> komersantu pieeju finansējumam.</w:t>
            </w:r>
          </w:p>
        </w:tc>
      </w:tr>
      <w:tr w:rsidR="00D40CFC" w:rsidRPr="00342158" w:rsidTr="0078211F">
        <w:trPr>
          <w:trHeight w:val="531"/>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5.</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Administratīvās procedūras raksturojums</w:t>
            </w:r>
          </w:p>
        </w:tc>
        <w:tc>
          <w:tcPr>
            <w:tcW w:w="5357" w:type="dxa"/>
          </w:tcPr>
          <w:p w:rsidR="00D40CFC" w:rsidRPr="00342158" w:rsidRDefault="00D40CFC" w:rsidP="00D40CFC">
            <w:pPr>
              <w:spacing w:after="0" w:line="240" w:lineRule="auto"/>
              <w:ind w:firstLine="450"/>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Projekts šo jomu neskar.</w:t>
            </w:r>
          </w:p>
        </w:tc>
      </w:tr>
      <w:tr w:rsidR="00D40CFC" w:rsidRPr="00342158" w:rsidTr="0078211F">
        <w:trPr>
          <w:trHeight w:val="357"/>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6.</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Administratīvo izmaksu monetārs novērtējums</w:t>
            </w:r>
          </w:p>
        </w:tc>
        <w:tc>
          <w:tcPr>
            <w:tcW w:w="5357" w:type="dxa"/>
          </w:tcPr>
          <w:p w:rsidR="00D40CFC" w:rsidRPr="00342158" w:rsidRDefault="00D40CFC" w:rsidP="00D40CFC">
            <w:pPr>
              <w:spacing w:after="0" w:line="240" w:lineRule="auto"/>
              <w:ind w:firstLine="450"/>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Projekts šo jomu neskar.</w:t>
            </w:r>
          </w:p>
        </w:tc>
      </w:tr>
      <w:tr w:rsidR="00D40CFC" w:rsidRPr="00342158" w:rsidTr="0078211F">
        <w:trPr>
          <w:trHeight w:val="489"/>
        </w:trPr>
        <w:tc>
          <w:tcPr>
            <w:tcW w:w="456"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7.</w:t>
            </w:r>
          </w:p>
        </w:tc>
        <w:tc>
          <w:tcPr>
            <w:tcW w:w="3543" w:type="dxa"/>
          </w:tcPr>
          <w:p w:rsidR="00D40CFC" w:rsidRPr="00342158" w:rsidRDefault="00D40CFC" w:rsidP="00D40CFC">
            <w:pPr>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Cita informācija</w:t>
            </w:r>
          </w:p>
        </w:tc>
        <w:tc>
          <w:tcPr>
            <w:tcW w:w="5357" w:type="dxa"/>
          </w:tcPr>
          <w:p w:rsidR="00D40CFC" w:rsidRPr="00342158" w:rsidRDefault="00D40CFC" w:rsidP="00D40CFC">
            <w:pPr>
              <w:spacing w:after="0" w:line="240" w:lineRule="auto"/>
              <w:ind w:firstLine="450"/>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Nav.</w:t>
            </w:r>
          </w:p>
        </w:tc>
      </w:tr>
    </w:tbl>
    <w:p w:rsidR="00D40CFC" w:rsidRPr="00342158" w:rsidRDefault="00D40CFC" w:rsidP="0036646C">
      <w:pPr>
        <w:spacing w:after="0" w:line="240" w:lineRule="auto"/>
        <w:rPr>
          <w:rFonts w:ascii="Times New Roman" w:eastAsia="Arial Unicode MS" w:hAnsi="Times New Roman" w:cs="Times New Roman"/>
          <w:b/>
          <w:sz w:val="24"/>
          <w:szCs w:val="24"/>
        </w:rPr>
      </w:pPr>
    </w:p>
    <w:p w:rsidR="007F70FB" w:rsidRPr="00342158" w:rsidRDefault="007F70FB" w:rsidP="0036646C">
      <w:pPr>
        <w:spacing w:after="0" w:line="240" w:lineRule="auto"/>
        <w:rPr>
          <w:rFonts w:ascii="Times New Roman" w:eastAsia="Arial Unicode MS" w:hAnsi="Times New Roman" w:cs="Times New Roman"/>
          <w:b/>
          <w:sz w:val="24"/>
          <w:szCs w:val="24"/>
        </w:rPr>
      </w:pPr>
    </w:p>
    <w:p w:rsidR="00D94F0C" w:rsidRPr="00342158" w:rsidRDefault="00D94F0C" w:rsidP="00D94F0C">
      <w:pPr>
        <w:tabs>
          <w:tab w:val="left" w:pos="6710"/>
        </w:tabs>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Anotācijas III. sadaļa - projekts šīs jomas neskar.</w:t>
      </w:r>
    </w:p>
    <w:p w:rsidR="00D94F0C" w:rsidRPr="00342158" w:rsidRDefault="00D94F0C" w:rsidP="0036646C">
      <w:pPr>
        <w:spacing w:after="0" w:line="240" w:lineRule="auto"/>
        <w:rPr>
          <w:rFonts w:ascii="Times New Roman" w:eastAsia="Arial Unicode MS" w:hAnsi="Times New Roman" w:cs="Times New Roman"/>
          <w:b/>
          <w:sz w:val="24"/>
          <w:szCs w:val="24"/>
        </w:rPr>
      </w:pPr>
    </w:p>
    <w:p w:rsidR="007F70FB" w:rsidRPr="00342158" w:rsidRDefault="007F70FB" w:rsidP="0036646C">
      <w:pPr>
        <w:spacing w:after="0" w:line="240" w:lineRule="auto"/>
        <w:rPr>
          <w:rFonts w:ascii="Times New Roman" w:eastAsia="Arial Unicode MS" w:hAnsi="Times New Roman" w:cs="Times New Roman"/>
          <w:b/>
          <w:sz w:val="24"/>
          <w:szCs w:val="24"/>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568"/>
        <w:gridCol w:w="1842"/>
        <w:gridCol w:w="6819"/>
      </w:tblGrid>
      <w:tr w:rsidR="00D40CFC" w:rsidRPr="00342158" w:rsidTr="0036646C">
        <w:tc>
          <w:tcPr>
            <w:tcW w:w="568" w:type="dxa"/>
            <w:tcBorders>
              <w:top w:val="thickThinLargeGap" w:sz="6" w:space="0" w:color="C0C0C0"/>
              <w:bottom w:val="thickThinLargeGap" w:sz="6" w:space="0" w:color="C0C0C0"/>
            </w:tcBorders>
          </w:tcPr>
          <w:p w:rsidR="00D40CFC" w:rsidRPr="00342158" w:rsidRDefault="00D40CFC" w:rsidP="00D40CFC">
            <w:pPr>
              <w:spacing w:after="0" w:line="240" w:lineRule="auto"/>
              <w:ind w:firstLine="720"/>
              <w:jc w:val="center"/>
              <w:rPr>
                <w:rFonts w:ascii="Times New Roman" w:eastAsia="Calibri" w:hAnsi="Times New Roman" w:cs="Times New Roman"/>
                <w:b/>
                <w:sz w:val="24"/>
                <w:szCs w:val="24"/>
                <w:lang w:eastAsia="lv-LV"/>
              </w:rPr>
            </w:pPr>
          </w:p>
        </w:tc>
        <w:tc>
          <w:tcPr>
            <w:tcW w:w="8661" w:type="dxa"/>
            <w:gridSpan w:val="2"/>
            <w:tcBorders>
              <w:top w:val="thickThinLargeGap" w:sz="6" w:space="0" w:color="C0C0C0"/>
              <w:bottom w:val="thickThinLargeGap" w:sz="6" w:space="0" w:color="C0C0C0"/>
            </w:tcBorders>
          </w:tcPr>
          <w:p w:rsidR="00D40CFC" w:rsidRPr="00342158" w:rsidRDefault="00D40CFC" w:rsidP="00D40CFC">
            <w:pPr>
              <w:spacing w:after="0" w:line="240" w:lineRule="auto"/>
              <w:rPr>
                <w:rFonts w:ascii="Times New Roman" w:eastAsia="Calibri" w:hAnsi="Times New Roman" w:cs="Times New Roman"/>
                <w:b/>
                <w:sz w:val="24"/>
                <w:szCs w:val="24"/>
                <w:lang w:eastAsia="lv-LV"/>
              </w:rPr>
            </w:pPr>
            <w:r w:rsidRPr="00342158">
              <w:rPr>
                <w:rFonts w:ascii="Times New Roman" w:eastAsia="Calibri" w:hAnsi="Times New Roman" w:cs="Times New Roman"/>
                <w:b/>
                <w:sz w:val="24"/>
                <w:szCs w:val="24"/>
                <w:lang w:eastAsia="lv-LV"/>
              </w:rPr>
              <w:t>IV. Tiesību akta projekta ietekme uz spēkā esošo tiesību normu sistēmu</w:t>
            </w:r>
          </w:p>
        </w:tc>
      </w:tr>
      <w:tr w:rsidR="00D40CFC" w:rsidRPr="00342158" w:rsidTr="0036646C">
        <w:tc>
          <w:tcPr>
            <w:tcW w:w="568" w:type="dxa"/>
            <w:tcBorders>
              <w:top w:val="thickThinLargeGap" w:sz="6" w:space="0" w:color="C0C0C0"/>
              <w:bottom w:val="thickThinLargeGap" w:sz="6" w:space="0" w:color="C0C0C0"/>
              <w:right w:val="thickThinLargeGap" w:sz="6" w:space="0" w:color="C0C0C0"/>
            </w:tcBorders>
          </w:tcPr>
          <w:p w:rsidR="00D40CFC" w:rsidRPr="00342158" w:rsidRDefault="00D40CFC" w:rsidP="00D40CFC">
            <w:pPr>
              <w:spacing w:after="0" w:line="240" w:lineRule="auto"/>
              <w:jc w:val="both"/>
              <w:rPr>
                <w:rFonts w:ascii="Times New Roman" w:eastAsia="Calibri" w:hAnsi="Times New Roman" w:cs="Times New Roman"/>
                <w:sz w:val="24"/>
                <w:szCs w:val="24"/>
                <w:lang w:eastAsia="lv-LV"/>
              </w:rPr>
            </w:pPr>
            <w:r w:rsidRPr="00342158">
              <w:rPr>
                <w:rFonts w:ascii="Times New Roman" w:eastAsia="Calibri" w:hAnsi="Times New Roman" w:cs="Times New Roman"/>
                <w:sz w:val="24"/>
                <w:szCs w:val="24"/>
                <w:lang w:eastAsia="lv-LV"/>
              </w:rPr>
              <w:t>1.</w:t>
            </w:r>
          </w:p>
        </w:tc>
        <w:tc>
          <w:tcPr>
            <w:tcW w:w="1842" w:type="dxa"/>
            <w:tcBorders>
              <w:top w:val="thickThinLargeGap" w:sz="6" w:space="0" w:color="C0C0C0"/>
              <w:bottom w:val="thickThinLargeGap" w:sz="6" w:space="0" w:color="C0C0C0"/>
              <w:right w:val="thickThinLargeGap" w:sz="6" w:space="0" w:color="C0C0C0"/>
            </w:tcBorders>
          </w:tcPr>
          <w:p w:rsidR="00D40CFC" w:rsidRPr="00342158" w:rsidRDefault="00D40CFC" w:rsidP="00D40CFC">
            <w:pPr>
              <w:spacing w:after="0" w:line="240" w:lineRule="auto"/>
              <w:jc w:val="both"/>
              <w:rPr>
                <w:rFonts w:ascii="Times New Roman" w:eastAsia="Calibri" w:hAnsi="Times New Roman" w:cs="Times New Roman"/>
                <w:sz w:val="24"/>
                <w:szCs w:val="24"/>
                <w:lang w:eastAsia="lv-LV"/>
              </w:rPr>
            </w:pPr>
            <w:r w:rsidRPr="00342158">
              <w:rPr>
                <w:rFonts w:ascii="Times New Roman" w:eastAsia="Calibri" w:hAnsi="Times New Roman" w:cs="Times New Roman"/>
                <w:sz w:val="24"/>
                <w:szCs w:val="24"/>
                <w:lang w:eastAsia="lv-LV"/>
              </w:rPr>
              <w:t>Nepieciešamie saistītie tiesību aktu projekti</w:t>
            </w:r>
          </w:p>
        </w:tc>
        <w:tc>
          <w:tcPr>
            <w:tcW w:w="6819" w:type="dxa"/>
            <w:tcBorders>
              <w:top w:val="thickThinLargeGap" w:sz="6" w:space="0" w:color="C0C0C0"/>
              <w:left w:val="thickThinLargeGap" w:sz="6" w:space="0" w:color="C0C0C0"/>
              <w:bottom w:val="thickThinLargeGap" w:sz="6" w:space="0" w:color="C0C0C0"/>
            </w:tcBorders>
          </w:tcPr>
          <w:p w:rsidR="00C127AA" w:rsidRPr="00342158" w:rsidRDefault="00BE7BE1" w:rsidP="001960F3">
            <w:pPr>
              <w:spacing w:after="0" w:line="240" w:lineRule="auto"/>
              <w:ind w:firstLine="426"/>
              <w:jc w:val="both"/>
              <w:rPr>
                <w:rFonts w:ascii="Times New Roman" w:eastAsia="Calibri" w:hAnsi="Times New Roman" w:cs="Times New Roman"/>
                <w:bCs/>
                <w:sz w:val="24"/>
                <w:szCs w:val="24"/>
              </w:rPr>
            </w:pPr>
            <w:r w:rsidRPr="00342158">
              <w:rPr>
                <w:rFonts w:ascii="Times New Roman" w:eastAsia="Calibri" w:hAnsi="Times New Roman" w:cs="Times New Roman"/>
                <w:sz w:val="24"/>
                <w:szCs w:val="24"/>
                <w:lang w:eastAsia="lv-LV"/>
              </w:rPr>
              <w:t>Nav.</w:t>
            </w:r>
          </w:p>
        </w:tc>
      </w:tr>
      <w:tr w:rsidR="00D40CFC" w:rsidRPr="00342158" w:rsidTr="0036646C">
        <w:tc>
          <w:tcPr>
            <w:tcW w:w="568" w:type="dxa"/>
            <w:tcBorders>
              <w:top w:val="thickThinLargeGap" w:sz="6" w:space="0" w:color="C0C0C0"/>
              <w:bottom w:val="thickThinLargeGap" w:sz="6" w:space="0" w:color="C0C0C0"/>
              <w:right w:val="thickThinLargeGap" w:sz="6" w:space="0" w:color="C0C0C0"/>
            </w:tcBorders>
          </w:tcPr>
          <w:p w:rsidR="00D40CFC" w:rsidRPr="00342158" w:rsidRDefault="00D40CFC" w:rsidP="00D40CFC">
            <w:pPr>
              <w:spacing w:after="0" w:line="240" w:lineRule="auto"/>
              <w:jc w:val="both"/>
              <w:rPr>
                <w:rFonts w:ascii="Times New Roman" w:eastAsia="Calibri" w:hAnsi="Times New Roman" w:cs="Times New Roman"/>
                <w:sz w:val="24"/>
                <w:szCs w:val="24"/>
                <w:lang w:eastAsia="lv-LV"/>
              </w:rPr>
            </w:pPr>
            <w:r w:rsidRPr="00342158">
              <w:rPr>
                <w:rFonts w:ascii="Times New Roman" w:eastAsia="Calibri" w:hAnsi="Times New Roman" w:cs="Times New Roman"/>
                <w:sz w:val="24"/>
                <w:szCs w:val="24"/>
                <w:lang w:eastAsia="lv-LV"/>
              </w:rPr>
              <w:t>2.</w:t>
            </w:r>
          </w:p>
        </w:tc>
        <w:tc>
          <w:tcPr>
            <w:tcW w:w="1842" w:type="dxa"/>
            <w:tcBorders>
              <w:top w:val="thickThinLargeGap" w:sz="6" w:space="0" w:color="C0C0C0"/>
              <w:bottom w:val="thickThinLargeGap" w:sz="6" w:space="0" w:color="C0C0C0"/>
              <w:right w:val="thickThinLargeGap" w:sz="6" w:space="0" w:color="C0C0C0"/>
            </w:tcBorders>
          </w:tcPr>
          <w:p w:rsidR="00D40CFC" w:rsidRPr="00342158" w:rsidRDefault="00D40CFC" w:rsidP="00D40CFC">
            <w:pPr>
              <w:spacing w:after="0" w:line="240" w:lineRule="auto"/>
              <w:jc w:val="both"/>
              <w:rPr>
                <w:rFonts w:ascii="Times New Roman" w:eastAsia="Calibri" w:hAnsi="Times New Roman" w:cs="Times New Roman"/>
                <w:sz w:val="24"/>
                <w:szCs w:val="24"/>
                <w:lang w:eastAsia="lv-LV"/>
              </w:rPr>
            </w:pPr>
            <w:r w:rsidRPr="00342158">
              <w:rPr>
                <w:rFonts w:ascii="Times New Roman" w:eastAsia="Calibri" w:hAnsi="Times New Roman" w:cs="Times New Roman"/>
                <w:sz w:val="24"/>
                <w:szCs w:val="24"/>
                <w:lang w:eastAsia="lv-LV"/>
              </w:rPr>
              <w:t>Cita informācija</w:t>
            </w:r>
          </w:p>
        </w:tc>
        <w:tc>
          <w:tcPr>
            <w:tcW w:w="6819" w:type="dxa"/>
            <w:tcBorders>
              <w:top w:val="thickThinLargeGap" w:sz="6" w:space="0" w:color="C0C0C0"/>
              <w:left w:val="thickThinLargeGap" w:sz="6" w:space="0" w:color="C0C0C0"/>
              <w:bottom w:val="thickThinLargeGap" w:sz="6" w:space="0" w:color="C0C0C0"/>
            </w:tcBorders>
          </w:tcPr>
          <w:p w:rsidR="00D40CFC" w:rsidRPr="00342158" w:rsidRDefault="00D40CFC" w:rsidP="00D40CFC">
            <w:pPr>
              <w:spacing w:after="0" w:line="240" w:lineRule="auto"/>
              <w:ind w:firstLine="426"/>
              <w:jc w:val="both"/>
              <w:rPr>
                <w:rFonts w:ascii="Times New Roman" w:eastAsia="Calibri" w:hAnsi="Times New Roman" w:cs="Times New Roman"/>
                <w:sz w:val="24"/>
                <w:szCs w:val="24"/>
                <w:lang w:eastAsia="lv-LV"/>
              </w:rPr>
            </w:pPr>
            <w:r w:rsidRPr="00342158">
              <w:rPr>
                <w:rFonts w:ascii="Times New Roman" w:eastAsia="Calibri" w:hAnsi="Times New Roman" w:cs="Times New Roman"/>
                <w:sz w:val="24"/>
                <w:szCs w:val="24"/>
                <w:lang w:eastAsia="lv-LV"/>
              </w:rPr>
              <w:t>Nav.</w:t>
            </w:r>
          </w:p>
        </w:tc>
      </w:tr>
    </w:tbl>
    <w:p w:rsidR="005153F8" w:rsidRPr="00342158" w:rsidRDefault="005153F8" w:rsidP="005153F8">
      <w:pPr>
        <w:tabs>
          <w:tab w:val="left" w:pos="6710"/>
        </w:tabs>
        <w:spacing w:after="0" w:line="240" w:lineRule="auto"/>
        <w:rPr>
          <w:rFonts w:ascii="Times New Roman" w:eastAsia="Times New Roman" w:hAnsi="Times New Roman" w:cs="Times New Roman"/>
          <w:sz w:val="24"/>
          <w:szCs w:val="24"/>
          <w:lang w:eastAsia="lv-LV"/>
        </w:rPr>
      </w:pPr>
    </w:p>
    <w:p w:rsidR="007F70FB" w:rsidRPr="00342158" w:rsidRDefault="007F70FB" w:rsidP="005153F8">
      <w:pPr>
        <w:tabs>
          <w:tab w:val="left" w:pos="6710"/>
        </w:tabs>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60"/>
        <w:gridCol w:w="1756"/>
        <w:gridCol w:w="6905"/>
      </w:tblGrid>
      <w:tr w:rsidR="004B3EE8" w:rsidRPr="00342158" w:rsidTr="00806221">
        <w:trPr>
          <w:tblCellSpacing w:w="15" w:type="dxa"/>
        </w:trPr>
        <w:tc>
          <w:tcPr>
            <w:tcW w:w="0" w:type="auto"/>
            <w:gridSpan w:val="3"/>
            <w:shd w:val="clear" w:color="auto" w:fill="auto"/>
            <w:hideMark/>
          </w:tcPr>
          <w:p w:rsidR="004B3EE8" w:rsidRPr="00342158" w:rsidRDefault="004B3EE8" w:rsidP="00806221">
            <w:pPr>
              <w:jc w:val="center"/>
              <w:rPr>
                <w:rFonts w:ascii="Times New Roman" w:eastAsia="Times New Roman" w:hAnsi="Times New Roman" w:cs="Times New Roman"/>
                <w:b/>
                <w:bCs/>
                <w:sz w:val="24"/>
                <w:szCs w:val="24"/>
                <w:lang w:eastAsia="lv-LV"/>
              </w:rPr>
            </w:pPr>
            <w:r w:rsidRPr="00342158">
              <w:rPr>
                <w:rFonts w:ascii="Times New Roman" w:eastAsia="Times New Roman" w:hAnsi="Times New Roman" w:cs="Times New Roman"/>
                <w:b/>
                <w:bCs/>
                <w:sz w:val="24"/>
                <w:szCs w:val="24"/>
                <w:lang w:eastAsia="lv-LV"/>
              </w:rPr>
              <w:t>V. Tiesību akta projekta atbilstība Latvijas Republikas starptautiskajām saistībām</w:t>
            </w:r>
          </w:p>
        </w:tc>
      </w:tr>
      <w:tr w:rsidR="004B3EE8" w:rsidRPr="00342158" w:rsidTr="004B3EE8">
        <w:trPr>
          <w:tblCellSpacing w:w="15" w:type="dxa"/>
        </w:trPr>
        <w:tc>
          <w:tcPr>
            <w:tcW w:w="0" w:type="auto"/>
            <w:shd w:val="clear" w:color="auto" w:fill="auto"/>
            <w:hideMark/>
          </w:tcPr>
          <w:p w:rsidR="004B3EE8" w:rsidRPr="00342158" w:rsidRDefault="004B3EE8"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1.</w:t>
            </w:r>
          </w:p>
        </w:tc>
        <w:tc>
          <w:tcPr>
            <w:tcW w:w="948" w:type="pct"/>
            <w:shd w:val="clear" w:color="auto" w:fill="auto"/>
            <w:hideMark/>
          </w:tcPr>
          <w:p w:rsidR="004B3EE8" w:rsidRPr="00342158" w:rsidRDefault="004B3EE8"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Saistības pret Eiropas Savienību</w:t>
            </w:r>
          </w:p>
        </w:tc>
        <w:tc>
          <w:tcPr>
            <w:tcW w:w="3769" w:type="pct"/>
            <w:shd w:val="clear" w:color="auto" w:fill="auto"/>
            <w:hideMark/>
          </w:tcPr>
          <w:p w:rsidR="004B3EE8" w:rsidRPr="00342158" w:rsidRDefault="00923C0B" w:rsidP="00923C0B">
            <w:pPr>
              <w:pStyle w:val="naiskr"/>
              <w:spacing w:before="0" w:after="0"/>
              <w:jc w:val="both"/>
            </w:pPr>
            <w:r w:rsidRPr="00342158">
              <w:t>Komisijas 2008.gada 6.augusta Regula (EK) Nr.800/2008, kas atzīst noteiktas atbalsta kategorijas par saderīgām ar kopējo tirgu, piemērojot Līguma 87. un 88.pantu (vispārējā grupu atbrīvojuma regula);</w:t>
            </w:r>
          </w:p>
          <w:p w:rsidR="00B34415" w:rsidRPr="00342158" w:rsidRDefault="00B34415" w:rsidP="00923C0B">
            <w:pPr>
              <w:pStyle w:val="naiskr"/>
              <w:spacing w:before="0" w:after="0"/>
              <w:jc w:val="both"/>
            </w:pPr>
          </w:p>
          <w:p w:rsidR="00B34415" w:rsidRPr="00342158" w:rsidRDefault="00B34415" w:rsidP="00923C0B">
            <w:pPr>
              <w:pStyle w:val="naiskr"/>
              <w:spacing w:before="0" w:after="0"/>
              <w:jc w:val="both"/>
            </w:pPr>
            <w:r w:rsidRPr="00342158">
              <w:t>Valsts reģionālā atbalsta pamatnostādnes 2014.-2020.gadam.</w:t>
            </w:r>
          </w:p>
        </w:tc>
      </w:tr>
      <w:tr w:rsidR="004B3EE8" w:rsidRPr="00342158" w:rsidTr="004B3EE8">
        <w:trPr>
          <w:tblCellSpacing w:w="15" w:type="dxa"/>
        </w:trPr>
        <w:tc>
          <w:tcPr>
            <w:tcW w:w="0" w:type="auto"/>
            <w:shd w:val="clear" w:color="auto" w:fill="auto"/>
            <w:hideMark/>
          </w:tcPr>
          <w:p w:rsidR="004B3EE8" w:rsidRPr="00342158" w:rsidRDefault="004B3EE8"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lastRenderedPageBreak/>
              <w:t>2.</w:t>
            </w:r>
          </w:p>
        </w:tc>
        <w:tc>
          <w:tcPr>
            <w:tcW w:w="948" w:type="pct"/>
            <w:shd w:val="clear" w:color="auto" w:fill="auto"/>
            <w:hideMark/>
          </w:tcPr>
          <w:p w:rsidR="004B3EE8" w:rsidRPr="00342158" w:rsidRDefault="004B3EE8"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Citas starptautiskās saistības</w:t>
            </w:r>
          </w:p>
        </w:tc>
        <w:tc>
          <w:tcPr>
            <w:tcW w:w="3769" w:type="pct"/>
            <w:shd w:val="clear" w:color="auto" w:fill="auto"/>
            <w:hideMark/>
          </w:tcPr>
          <w:p w:rsidR="004B3EE8" w:rsidRPr="00342158" w:rsidRDefault="004B3EE8"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Noteikumu projekts šo jomu neskar.</w:t>
            </w:r>
          </w:p>
        </w:tc>
      </w:tr>
      <w:tr w:rsidR="004B3EE8" w:rsidRPr="00342158" w:rsidTr="004B3EE8">
        <w:trPr>
          <w:tblCellSpacing w:w="15" w:type="dxa"/>
        </w:trPr>
        <w:tc>
          <w:tcPr>
            <w:tcW w:w="0" w:type="auto"/>
            <w:shd w:val="clear" w:color="auto" w:fill="auto"/>
            <w:hideMark/>
          </w:tcPr>
          <w:p w:rsidR="004B3EE8" w:rsidRPr="00342158" w:rsidRDefault="004B3EE8"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3.</w:t>
            </w:r>
          </w:p>
        </w:tc>
        <w:tc>
          <w:tcPr>
            <w:tcW w:w="948" w:type="pct"/>
            <w:shd w:val="clear" w:color="auto" w:fill="auto"/>
            <w:hideMark/>
          </w:tcPr>
          <w:p w:rsidR="004B3EE8" w:rsidRPr="00342158" w:rsidRDefault="004B3EE8"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Cita informācija</w:t>
            </w:r>
          </w:p>
        </w:tc>
        <w:tc>
          <w:tcPr>
            <w:tcW w:w="3769" w:type="pct"/>
            <w:shd w:val="clear" w:color="auto" w:fill="auto"/>
            <w:hideMark/>
          </w:tcPr>
          <w:p w:rsidR="004B3EE8" w:rsidRPr="00342158" w:rsidRDefault="004B3EE8" w:rsidP="00806221">
            <w:pPr>
              <w:jc w:val="both"/>
              <w:rPr>
                <w:rFonts w:ascii="Times New Roman" w:eastAsia="Times New Roman" w:hAnsi="Times New Roman" w:cs="Times New Roman"/>
                <w:sz w:val="24"/>
                <w:szCs w:val="24"/>
                <w:lang w:eastAsia="lv-LV"/>
              </w:rPr>
            </w:pPr>
          </w:p>
        </w:tc>
      </w:tr>
    </w:tbl>
    <w:p w:rsidR="004B3EE8" w:rsidRPr="00342158" w:rsidRDefault="004B3EE8" w:rsidP="004B3EE8">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 </w:t>
      </w:r>
    </w:p>
    <w:p w:rsidR="007F70FB" w:rsidRPr="00342158" w:rsidRDefault="007F70FB" w:rsidP="004B3EE8">
      <w:pPr>
        <w:rPr>
          <w:rFonts w:ascii="Times New Roman" w:eastAsia="Times New Roman" w:hAnsi="Times New Roman" w:cs="Times New Roman"/>
          <w:sz w:val="24"/>
          <w:szCs w:val="24"/>
          <w:lang w:eastAsia="lv-LV"/>
        </w:rPr>
      </w:pPr>
    </w:p>
    <w:tbl>
      <w:tblPr>
        <w:tblW w:w="0" w:type="auto"/>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76"/>
        <w:gridCol w:w="1199"/>
        <w:gridCol w:w="92"/>
        <w:gridCol w:w="2551"/>
        <w:gridCol w:w="3694"/>
      </w:tblGrid>
      <w:tr w:rsidR="004B3EE8" w:rsidRPr="00342158" w:rsidTr="00FC30F7">
        <w:trPr>
          <w:tblCellSpacing w:w="15" w:type="dxa"/>
        </w:trPr>
        <w:tc>
          <w:tcPr>
            <w:tcW w:w="915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center"/>
              <w:rPr>
                <w:rFonts w:ascii="Times New Roman" w:eastAsia="Times New Roman" w:hAnsi="Times New Roman" w:cs="Times New Roman"/>
                <w:b/>
                <w:bCs/>
                <w:sz w:val="24"/>
                <w:szCs w:val="24"/>
                <w:lang w:eastAsia="lv-LV"/>
              </w:rPr>
            </w:pPr>
            <w:r w:rsidRPr="00342158">
              <w:rPr>
                <w:rFonts w:ascii="Times New Roman" w:eastAsia="Times New Roman" w:hAnsi="Times New Roman" w:cs="Times New Roman"/>
                <w:b/>
                <w:bCs/>
                <w:sz w:val="24"/>
                <w:szCs w:val="24"/>
                <w:lang w:eastAsia="lv-LV"/>
              </w:rPr>
              <w:t>1.tabula</w:t>
            </w:r>
            <w:r w:rsidRPr="00342158">
              <w:rPr>
                <w:rFonts w:ascii="Times New Roman" w:eastAsia="Times New Roman" w:hAnsi="Times New Roman" w:cs="Times New Roman"/>
                <w:b/>
                <w:bCs/>
                <w:sz w:val="24"/>
                <w:szCs w:val="24"/>
                <w:lang w:eastAsia="lv-LV"/>
              </w:rPr>
              <w:br/>
              <w:t>Tiesību akta projekta atbilstība ES tiesību aktiem</w:t>
            </w:r>
          </w:p>
        </w:tc>
      </w:tr>
      <w:tr w:rsidR="004B3EE8"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Attiecīgā ES tiesību akta datums, numurs un nosaukums</w:t>
            </w:r>
          </w:p>
        </w:tc>
        <w:tc>
          <w:tcPr>
            <w:tcW w:w="749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923C0B">
            <w:pPr>
              <w:pStyle w:val="naiskr"/>
              <w:spacing w:before="0" w:after="0"/>
              <w:jc w:val="both"/>
            </w:pPr>
            <w:r w:rsidRPr="00342158">
              <w:t>Komisijas 2008.gada 6.augusta Regula (EK) Nr.800/2008, kas atzīst noteiktas atbalsta kategorijas par saderīgām ar kopējo tirgu, piemērojot Līguma 87. un 88.pantu (vispārējā grupu atbrīvojuma regula) (turpmāk – Komisijas Regula Nr.800/2008);</w:t>
            </w:r>
          </w:p>
          <w:p w:rsidR="00B34415" w:rsidRPr="00342158" w:rsidRDefault="00B34415" w:rsidP="00923C0B">
            <w:pPr>
              <w:pStyle w:val="naiskr"/>
              <w:spacing w:before="0" w:after="0"/>
              <w:jc w:val="both"/>
            </w:pPr>
          </w:p>
          <w:p w:rsidR="00B34415" w:rsidRPr="00342158" w:rsidRDefault="00B34415" w:rsidP="00923C0B">
            <w:pPr>
              <w:pStyle w:val="naiskr"/>
              <w:spacing w:before="0" w:after="0"/>
              <w:jc w:val="both"/>
            </w:pPr>
            <w:r w:rsidRPr="00342158">
              <w:t>Valsts reģionālā atbalsta pamatnostādnes 2014.-2020.gadam (turpmāk – VRAP).</w:t>
            </w:r>
          </w:p>
        </w:tc>
      </w:tr>
      <w:tr w:rsidR="004B3EE8"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cente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A</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cente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B</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cente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B3EE8" w:rsidRPr="00342158" w:rsidRDefault="004B3EE8" w:rsidP="00806221">
            <w:pPr>
              <w:jc w:val="cente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D</w:t>
            </w:r>
          </w:p>
        </w:tc>
      </w:tr>
      <w:tr w:rsidR="004B3EE8"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hideMark/>
          </w:tcPr>
          <w:p w:rsidR="004B3EE8" w:rsidRPr="00342158" w:rsidRDefault="004B3EE8" w:rsidP="00806221">
            <w:pPr>
              <w:pStyle w:val="naiskr"/>
              <w:spacing w:before="0" w:after="0"/>
              <w:jc w:val="both"/>
            </w:pPr>
            <w:r w:rsidRPr="00342158">
              <w:t xml:space="preserve">Attiecīgā ES tiesību akta panta numurs (uzskaitot katru tiesību akta </w:t>
            </w:r>
            <w:r w:rsidRPr="00342158">
              <w:br/>
              <w:t>vienību – pantu, daļu, punktu, apakšpunktu)</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hideMark/>
          </w:tcPr>
          <w:p w:rsidR="004B3EE8" w:rsidRPr="00342158" w:rsidRDefault="004B3EE8" w:rsidP="00806221">
            <w:pPr>
              <w:pStyle w:val="naiskr"/>
              <w:spacing w:before="0" w:after="0"/>
              <w:jc w:val="both"/>
            </w:pPr>
            <w:r w:rsidRPr="00342158">
              <w:t>Projekta vienība, kas pārņem vai ievieš katru šīs tabulas A ailē minēto ES tiesību akta vienību</w:t>
            </w:r>
          </w:p>
        </w:tc>
        <w:tc>
          <w:tcPr>
            <w:tcW w:w="2521" w:type="dxa"/>
            <w:tcBorders>
              <w:top w:val="outset" w:sz="6" w:space="0" w:color="auto"/>
              <w:left w:val="outset" w:sz="6" w:space="0" w:color="auto"/>
              <w:bottom w:val="outset" w:sz="6" w:space="0" w:color="auto"/>
              <w:right w:val="outset" w:sz="6" w:space="0" w:color="auto"/>
            </w:tcBorders>
            <w:shd w:val="clear" w:color="auto" w:fill="auto"/>
            <w:hideMark/>
          </w:tcPr>
          <w:p w:rsidR="004B3EE8" w:rsidRPr="00342158" w:rsidRDefault="004B3EE8" w:rsidP="00806221">
            <w:pPr>
              <w:pStyle w:val="naiskr"/>
              <w:spacing w:before="0" w:after="0"/>
              <w:jc w:val="both"/>
            </w:pPr>
            <w:r w:rsidRPr="00342158">
              <w:t>Informācija par to, vai šīs tabulas A ailē minētās ES tiesību akta vienības tiek pārņemtas vai ieviestas pilnībā vai daļēji.</w:t>
            </w:r>
          </w:p>
          <w:p w:rsidR="004B3EE8" w:rsidRPr="00342158" w:rsidRDefault="004B3EE8" w:rsidP="00806221">
            <w:pPr>
              <w:pStyle w:val="naiskr"/>
              <w:spacing w:before="0" w:after="0"/>
              <w:jc w:val="both"/>
            </w:pPr>
            <w:r w:rsidRPr="00342158">
              <w:t>Ja attiecīgā ES tiesību akta vienība tiek pārņemta vai ieviesta daļēji, – sniedz attiecīgu skaidrojumu, kā arī precīzi norāda, kad un kādā veidā ES tiesību akta vienība tiks pārņemta vai ieviesta pilnībā.</w:t>
            </w:r>
          </w:p>
          <w:p w:rsidR="004B3EE8" w:rsidRPr="00342158" w:rsidRDefault="004B3EE8" w:rsidP="00806221">
            <w:pPr>
              <w:pStyle w:val="naiskr"/>
              <w:spacing w:before="0" w:after="0"/>
              <w:jc w:val="both"/>
            </w:pPr>
            <w:r w:rsidRPr="00342158">
              <w:t>Norāda institūciju, kas ir atbildīga par šo saistību izpildi pilnībā</w:t>
            </w:r>
          </w:p>
        </w:tc>
        <w:tc>
          <w:tcPr>
            <w:tcW w:w="3649" w:type="dxa"/>
            <w:tcBorders>
              <w:top w:val="outset" w:sz="6" w:space="0" w:color="auto"/>
              <w:left w:val="outset" w:sz="6" w:space="0" w:color="auto"/>
              <w:bottom w:val="outset" w:sz="6" w:space="0" w:color="auto"/>
              <w:right w:val="outset" w:sz="6" w:space="0" w:color="auto"/>
            </w:tcBorders>
            <w:shd w:val="clear" w:color="auto" w:fill="auto"/>
            <w:hideMark/>
          </w:tcPr>
          <w:p w:rsidR="004B3EE8" w:rsidRPr="00342158" w:rsidRDefault="004B3EE8" w:rsidP="00806221">
            <w:pPr>
              <w:pStyle w:val="naiskr"/>
              <w:spacing w:before="0" w:after="0"/>
              <w:jc w:val="both"/>
            </w:pPr>
            <w:r w:rsidRPr="00342158">
              <w:t>Informācija par to, vai šīs tabulas B ailē minētās projekta vienības paredz stingrākas prasības nekā šīs tabulas A ailē minētās ES tiesību akta vienības.</w:t>
            </w:r>
          </w:p>
          <w:p w:rsidR="004B3EE8" w:rsidRPr="00342158" w:rsidRDefault="004B3EE8" w:rsidP="00806221">
            <w:pPr>
              <w:pStyle w:val="naiskr"/>
              <w:spacing w:before="0" w:after="0"/>
              <w:jc w:val="both"/>
            </w:pPr>
            <w:r w:rsidRPr="00342158">
              <w:t xml:space="preserve">Ja projekts satur stingrākas prasības nekā attiecīgais ES tiesību </w:t>
            </w:r>
            <w:smartTag w:uri="schemas-tilde-lv/tildestengine" w:element="veidnes">
              <w:smartTagPr>
                <w:attr w:name="id" w:val="-1"/>
                <w:attr w:name="baseform" w:val="akts"/>
                <w:attr w:name="text" w:val="akts"/>
              </w:smartTagPr>
              <w:r w:rsidRPr="00342158">
                <w:t>akts</w:t>
              </w:r>
            </w:smartTag>
            <w:r w:rsidRPr="00342158">
              <w:t>, – norāda pamatojumu un samērīgumu.</w:t>
            </w:r>
          </w:p>
          <w:p w:rsidR="004B3EE8" w:rsidRPr="00342158" w:rsidRDefault="004B3EE8" w:rsidP="00806221">
            <w:pPr>
              <w:pStyle w:val="naiskr"/>
              <w:spacing w:before="0" w:after="0"/>
              <w:jc w:val="both"/>
            </w:pPr>
            <w:r w:rsidRPr="00342158">
              <w:t>Norāda iespējamās alternatīvas (t.sk. alternatīvas, kas neparedz tiesiskā regulējuma izstrādi) – kādos gadījumos būtu iespējams izvairīties no stingrāku prasību noteikšanas, nekā paredzēts attiecīgajos ES tiesību aktos.</w:t>
            </w:r>
          </w:p>
        </w:tc>
      </w:tr>
      <w:tr w:rsidR="003D47EE"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F40DBB" w:rsidP="002A2A79">
            <w:pPr>
              <w:pStyle w:val="naiskr"/>
              <w:spacing w:before="0" w:after="0"/>
              <w:jc w:val="both"/>
              <w:rPr>
                <w:i/>
                <w:sz w:val="20"/>
                <w:szCs w:val="20"/>
              </w:rPr>
            </w:pPr>
            <w:r w:rsidRPr="00342158">
              <w:rPr>
                <w:i/>
                <w:sz w:val="20"/>
                <w:szCs w:val="20"/>
              </w:rPr>
              <w:t>Komisijas Regulas Nr.800/2008 13.panta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9544E8">
            <w:pPr>
              <w:pStyle w:val="naiskr"/>
              <w:spacing w:before="0" w:after="0"/>
              <w:jc w:val="both"/>
              <w:rPr>
                <w:i/>
                <w:sz w:val="20"/>
                <w:szCs w:val="20"/>
              </w:rPr>
            </w:pPr>
            <w:r w:rsidRPr="00342158">
              <w:rPr>
                <w:i/>
                <w:sz w:val="20"/>
                <w:szCs w:val="20"/>
              </w:rPr>
              <w:t xml:space="preserve">Noteikumu </w:t>
            </w:r>
            <w:r w:rsidR="000D2855" w:rsidRPr="00342158">
              <w:rPr>
                <w:i/>
                <w:sz w:val="20"/>
                <w:szCs w:val="20"/>
              </w:rPr>
              <w:t>projekta 1.</w:t>
            </w:r>
            <w:r w:rsidR="00E176CA" w:rsidRPr="00342158">
              <w:rPr>
                <w:b/>
                <w:i/>
                <w:sz w:val="20"/>
                <w:szCs w:val="20"/>
              </w:rPr>
              <w:t>4</w:t>
            </w:r>
            <w:r w:rsidR="000D2855" w:rsidRPr="00342158">
              <w:rPr>
                <w:i/>
                <w:sz w:val="20"/>
                <w:szCs w:val="20"/>
              </w:rPr>
              <w:t>.apakšpunkts(23.punkts)</w:t>
            </w:r>
            <w:r w:rsidR="00E176CA" w:rsidRPr="00342158">
              <w:rPr>
                <w:i/>
                <w:sz w:val="20"/>
                <w:szCs w:val="20"/>
              </w:rPr>
              <w:t>;</w:t>
            </w:r>
          </w:p>
          <w:p w:rsidR="00F22677" w:rsidRPr="00342158" w:rsidRDefault="00F22677" w:rsidP="009544E8">
            <w:pPr>
              <w:pStyle w:val="naiskr"/>
              <w:spacing w:before="0" w:after="0"/>
              <w:jc w:val="both"/>
              <w:rPr>
                <w:i/>
                <w:sz w:val="20"/>
                <w:szCs w:val="20"/>
              </w:rPr>
            </w:pPr>
          </w:p>
          <w:p w:rsidR="00F22677" w:rsidRPr="00342158" w:rsidRDefault="00E176CA" w:rsidP="009544E8">
            <w:pPr>
              <w:pStyle w:val="naiskr"/>
              <w:spacing w:before="0" w:after="0"/>
              <w:jc w:val="both"/>
              <w:rPr>
                <w:b/>
                <w:i/>
                <w:sz w:val="20"/>
                <w:szCs w:val="20"/>
              </w:rPr>
            </w:pPr>
            <w:r w:rsidRPr="00342158">
              <w:rPr>
                <w:b/>
                <w:i/>
                <w:sz w:val="20"/>
                <w:szCs w:val="20"/>
              </w:rPr>
              <w:t xml:space="preserve">Noteikumu projekta </w:t>
            </w:r>
            <w:r w:rsidRPr="00342158">
              <w:rPr>
                <w:b/>
                <w:i/>
                <w:sz w:val="20"/>
                <w:szCs w:val="20"/>
              </w:rPr>
              <w:lastRenderedPageBreak/>
              <w:t>1.1</w:t>
            </w:r>
            <w:r w:rsidR="00246897" w:rsidRPr="00342158">
              <w:rPr>
                <w:b/>
                <w:i/>
                <w:sz w:val="20"/>
                <w:szCs w:val="20"/>
              </w:rPr>
              <w:t>5</w:t>
            </w:r>
            <w:r w:rsidRPr="00342158">
              <w:rPr>
                <w:b/>
                <w:i/>
                <w:sz w:val="20"/>
                <w:szCs w:val="20"/>
              </w:rPr>
              <w:t>.apakšpunkts (MK noteikumu 1.pielikuma 6.1. apakšpunkta piezīme (*));</w:t>
            </w:r>
          </w:p>
          <w:p w:rsidR="00F22677" w:rsidRPr="00342158" w:rsidRDefault="00F22677" w:rsidP="009544E8">
            <w:pPr>
              <w:pStyle w:val="naiskr"/>
              <w:spacing w:before="0" w:after="0"/>
              <w:jc w:val="both"/>
              <w:rPr>
                <w:b/>
                <w:i/>
                <w:sz w:val="20"/>
                <w:szCs w:val="20"/>
              </w:rPr>
            </w:pPr>
          </w:p>
          <w:p w:rsidR="00F22677" w:rsidRPr="00342158" w:rsidRDefault="00E176CA" w:rsidP="00246897">
            <w:pPr>
              <w:pStyle w:val="naiskr"/>
              <w:spacing w:before="0" w:after="0"/>
              <w:jc w:val="both"/>
              <w:rPr>
                <w:i/>
                <w:sz w:val="20"/>
                <w:szCs w:val="20"/>
              </w:rPr>
            </w:pPr>
            <w:r w:rsidRPr="00342158">
              <w:rPr>
                <w:b/>
                <w:i/>
                <w:sz w:val="20"/>
                <w:szCs w:val="20"/>
              </w:rPr>
              <w:t>Noteikumu projekta 1.1</w:t>
            </w:r>
            <w:r w:rsidR="00246897" w:rsidRPr="00342158">
              <w:rPr>
                <w:b/>
                <w:i/>
                <w:sz w:val="20"/>
                <w:szCs w:val="20"/>
              </w:rPr>
              <w:t>6</w:t>
            </w:r>
            <w:r w:rsidRPr="00342158">
              <w:rPr>
                <w:b/>
                <w:i/>
                <w:sz w:val="20"/>
                <w:szCs w:val="20"/>
              </w:rPr>
              <w:t xml:space="preserve">.apakšpunkts (MK noteikumu 1.pielikuma </w:t>
            </w:r>
            <w:r w:rsidR="000D2855" w:rsidRPr="00342158">
              <w:rPr>
                <w:b/>
                <w:i/>
                <w:sz w:val="20"/>
                <w:szCs w:val="20"/>
              </w:rPr>
              <w:t>6.1. apakšpunkta piezīme (*))</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lastRenderedPageBreak/>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neparedz stingrākas prasības</w:t>
            </w:r>
          </w:p>
        </w:tc>
      </w:tr>
      <w:tr w:rsidR="003D47EE"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2E68B2" w:rsidP="002E68B2">
            <w:pPr>
              <w:pStyle w:val="naiskr"/>
              <w:spacing w:before="0" w:after="0"/>
              <w:jc w:val="both"/>
              <w:rPr>
                <w:i/>
                <w:sz w:val="20"/>
                <w:szCs w:val="20"/>
              </w:rPr>
            </w:pPr>
            <w:r w:rsidRPr="00342158">
              <w:rPr>
                <w:i/>
                <w:sz w:val="20"/>
                <w:szCs w:val="20"/>
              </w:rPr>
              <w:lastRenderedPageBreak/>
              <w:t>Komisijas Regulas Nr.800/2008 8.panta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9544E8">
            <w:pPr>
              <w:pStyle w:val="naiskr"/>
              <w:spacing w:before="0" w:after="0"/>
              <w:jc w:val="both"/>
              <w:rPr>
                <w:i/>
                <w:sz w:val="20"/>
                <w:szCs w:val="20"/>
              </w:rPr>
            </w:pPr>
            <w:r w:rsidRPr="00342158">
              <w:rPr>
                <w:i/>
                <w:sz w:val="20"/>
                <w:szCs w:val="20"/>
              </w:rPr>
              <w:t>Noteikumu projekta 1.5.apakšpunkts(27.punkts)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neparedz stingrākas prasības</w:t>
            </w:r>
          </w:p>
        </w:tc>
      </w:tr>
      <w:tr w:rsidR="003D47EE"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2E68B2" w:rsidP="002E68B2">
            <w:pPr>
              <w:pStyle w:val="naiskr"/>
              <w:spacing w:before="0" w:after="0"/>
              <w:jc w:val="both"/>
              <w:rPr>
                <w:i/>
                <w:sz w:val="20"/>
                <w:szCs w:val="20"/>
              </w:rPr>
            </w:pPr>
            <w:r w:rsidRPr="00342158">
              <w:rPr>
                <w:i/>
                <w:sz w:val="20"/>
                <w:szCs w:val="20"/>
              </w:rPr>
              <w:t>Komisijas Regulas Nr.800/2008 7.pants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9544E8">
            <w:pPr>
              <w:pStyle w:val="naiskr"/>
              <w:spacing w:before="0" w:after="0"/>
              <w:jc w:val="both"/>
              <w:rPr>
                <w:i/>
                <w:sz w:val="20"/>
                <w:szCs w:val="20"/>
              </w:rPr>
            </w:pPr>
            <w:r w:rsidRPr="00342158">
              <w:rPr>
                <w:i/>
                <w:sz w:val="20"/>
                <w:szCs w:val="20"/>
              </w:rPr>
              <w:t>Noteikumu projekta 1.5.apakšpunkts(28.-29.punkts)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neparedz stingrākas prasības</w:t>
            </w:r>
          </w:p>
        </w:tc>
      </w:tr>
      <w:tr w:rsidR="003D47EE"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B34415" w:rsidP="00806221">
            <w:pPr>
              <w:pStyle w:val="naiskr"/>
              <w:spacing w:before="0" w:after="0"/>
              <w:jc w:val="both"/>
              <w:rPr>
                <w:i/>
                <w:sz w:val="20"/>
                <w:szCs w:val="20"/>
              </w:rPr>
            </w:pPr>
            <w:r w:rsidRPr="00342158">
              <w:rPr>
                <w:i/>
                <w:sz w:val="20"/>
                <w:szCs w:val="20"/>
              </w:rPr>
              <w:t xml:space="preserve">VRAP </w:t>
            </w:r>
            <w:r w:rsidR="00305C53" w:rsidRPr="00342158">
              <w:rPr>
                <w:i/>
                <w:sz w:val="20"/>
                <w:szCs w:val="20"/>
              </w:rPr>
              <w:t>186.punkts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162FAC">
            <w:pPr>
              <w:pStyle w:val="naiskr"/>
              <w:spacing w:before="0" w:after="0"/>
              <w:jc w:val="both"/>
              <w:rPr>
                <w:i/>
                <w:sz w:val="20"/>
                <w:szCs w:val="20"/>
              </w:rPr>
            </w:pPr>
            <w:r w:rsidRPr="00342158">
              <w:rPr>
                <w:i/>
                <w:sz w:val="20"/>
                <w:szCs w:val="20"/>
              </w:rPr>
              <w:t xml:space="preserve">Noteikumu </w:t>
            </w:r>
            <w:r w:rsidR="000D2855" w:rsidRPr="00342158">
              <w:rPr>
                <w:i/>
                <w:sz w:val="20"/>
                <w:szCs w:val="20"/>
              </w:rPr>
              <w:t>projekta 1.</w:t>
            </w:r>
            <w:r w:rsidR="00E176CA" w:rsidRPr="00342158">
              <w:rPr>
                <w:b/>
                <w:i/>
                <w:sz w:val="20"/>
                <w:szCs w:val="20"/>
              </w:rPr>
              <w:t>9</w:t>
            </w:r>
            <w:r w:rsidR="000D2855" w:rsidRPr="00342158">
              <w:rPr>
                <w:i/>
                <w:sz w:val="20"/>
                <w:szCs w:val="20"/>
              </w:rPr>
              <w:t>.apakšpunkts(57.punkts)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neparedz stingrākas prasības</w:t>
            </w:r>
          </w:p>
        </w:tc>
      </w:tr>
      <w:tr w:rsidR="003D47EE" w:rsidRPr="00342158" w:rsidTr="00FC30F7">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2E68B2" w:rsidP="002E68B2">
            <w:pPr>
              <w:pStyle w:val="naiskr"/>
              <w:spacing w:before="0" w:after="0"/>
              <w:jc w:val="both"/>
              <w:rPr>
                <w:i/>
                <w:sz w:val="20"/>
                <w:szCs w:val="20"/>
              </w:rPr>
            </w:pPr>
            <w:r w:rsidRPr="00342158">
              <w:rPr>
                <w:i/>
                <w:sz w:val="20"/>
                <w:szCs w:val="20"/>
              </w:rPr>
              <w:t>Komisijas Regulas Nr.800/2008 8.panta 2.punkts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162FAC">
            <w:pPr>
              <w:pStyle w:val="naiskr"/>
              <w:spacing w:before="0" w:after="0"/>
              <w:jc w:val="both"/>
              <w:rPr>
                <w:i/>
                <w:sz w:val="20"/>
                <w:szCs w:val="20"/>
              </w:rPr>
            </w:pPr>
            <w:r w:rsidRPr="00342158">
              <w:rPr>
                <w:i/>
                <w:sz w:val="20"/>
                <w:szCs w:val="20"/>
              </w:rPr>
              <w:t xml:space="preserve">Noteikumu projekta </w:t>
            </w:r>
            <w:r w:rsidRPr="00342158">
              <w:rPr>
                <w:b/>
                <w:i/>
                <w:sz w:val="20"/>
                <w:szCs w:val="20"/>
              </w:rPr>
              <w:t>1.</w:t>
            </w:r>
            <w:r w:rsidR="00E176CA" w:rsidRPr="00342158">
              <w:rPr>
                <w:b/>
                <w:i/>
                <w:sz w:val="20"/>
                <w:szCs w:val="20"/>
              </w:rPr>
              <w:t>10</w:t>
            </w:r>
            <w:r w:rsidR="000D2855" w:rsidRPr="00342158">
              <w:rPr>
                <w:b/>
                <w:i/>
                <w:sz w:val="20"/>
                <w:szCs w:val="20"/>
              </w:rPr>
              <w:t>.apakš</w:t>
            </w:r>
            <w:r w:rsidR="000D2855" w:rsidRPr="00342158">
              <w:rPr>
                <w:i/>
                <w:sz w:val="20"/>
                <w:szCs w:val="20"/>
              </w:rPr>
              <w:t>punkts(71.2.apakšpunkts)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D47EE" w:rsidRPr="00342158" w:rsidRDefault="00DA6D17" w:rsidP="00841F86">
            <w:pPr>
              <w:pStyle w:val="naiskr"/>
              <w:spacing w:before="0" w:after="0"/>
              <w:jc w:val="both"/>
              <w:rPr>
                <w:i/>
                <w:sz w:val="20"/>
                <w:szCs w:val="20"/>
              </w:rPr>
            </w:pPr>
            <w:r w:rsidRPr="00342158">
              <w:rPr>
                <w:i/>
                <w:sz w:val="20"/>
                <w:szCs w:val="20"/>
              </w:rPr>
              <w:t>neparedz stingrākas prasības</w:t>
            </w:r>
          </w:p>
        </w:tc>
      </w:tr>
      <w:tr w:rsidR="00962E39" w:rsidRPr="00342158" w:rsidTr="00C62FC4">
        <w:trPr>
          <w:tblCellSpacing w:w="15" w:type="dxa"/>
        </w:trPr>
        <w:tc>
          <w:tcPr>
            <w:tcW w:w="1631" w:type="dxa"/>
            <w:tcBorders>
              <w:top w:val="outset" w:sz="6" w:space="0" w:color="auto"/>
              <w:left w:val="outset" w:sz="6" w:space="0" w:color="auto"/>
              <w:bottom w:val="outset" w:sz="6" w:space="0" w:color="auto"/>
              <w:right w:val="outset" w:sz="6" w:space="0" w:color="auto"/>
            </w:tcBorders>
            <w:shd w:val="clear" w:color="auto" w:fill="auto"/>
            <w:vAlign w:val="center"/>
          </w:tcPr>
          <w:p w:rsidR="00962E39" w:rsidRPr="00342158" w:rsidRDefault="00E176CA" w:rsidP="00962E39">
            <w:pPr>
              <w:pStyle w:val="naiskr"/>
              <w:spacing w:before="0" w:after="0"/>
              <w:jc w:val="both"/>
              <w:rPr>
                <w:b/>
                <w:i/>
                <w:sz w:val="20"/>
                <w:szCs w:val="20"/>
              </w:rPr>
            </w:pPr>
            <w:r w:rsidRPr="00342158">
              <w:rPr>
                <w:b/>
                <w:i/>
                <w:sz w:val="20"/>
                <w:szCs w:val="20"/>
              </w:rPr>
              <w:t>Komisijas Regulas Nr.800/2008 1.panta 3.punkts</w:t>
            </w:r>
          </w:p>
        </w:tc>
        <w:tc>
          <w:tcPr>
            <w:tcW w:w="12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962E39" w:rsidRPr="00342158" w:rsidRDefault="00097944" w:rsidP="00246897">
            <w:pPr>
              <w:pStyle w:val="naiskr"/>
              <w:spacing w:before="0" w:after="0"/>
              <w:jc w:val="both"/>
              <w:rPr>
                <w:b/>
                <w:i/>
                <w:sz w:val="20"/>
                <w:szCs w:val="20"/>
              </w:rPr>
            </w:pPr>
            <w:r w:rsidRPr="00342158">
              <w:rPr>
                <w:b/>
                <w:i/>
                <w:sz w:val="20"/>
                <w:szCs w:val="20"/>
              </w:rPr>
              <w:t>Noteikumu projekta 1.17.apakšpunkts (3.pielikuma 5.</w:t>
            </w:r>
            <w:r w:rsidR="00246897" w:rsidRPr="00342158">
              <w:rPr>
                <w:b/>
                <w:i/>
                <w:sz w:val="20"/>
                <w:szCs w:val="20"/>
              </w:rPr>
              <w:t xml:space="preserve"> </w:t>
            </w:r>
            <w:r w:rsidRPr="00342158">
              <w:rPr>
                <w:b/>
                <w:i/>
                <w:sz w:val="20"/>
                <w:szCs w:val="20"/>
              </w:rPr>
              <w:t>punkts)</w:t>
            </w:r>
          </w:p>
        </w:tc>
        <w:tc>
          <w:tcPr>
            <w:tcW w:w="2521" w:type="dxa"/>
            <w:tcBorders>
              <w:top w:val="outset" w:sz="6" w:space="0" w:color="auto"/>
              <w:left w:val="outset" w:sz="6" w:space="0" w:color="auto"/>
              <w:bottom w:val="outset" w:sz="6" w:space="0" w:color="auto"/>
              <w:right w:val="outset" w:sz="6" w:space="0" w:color="auto"/>
            </w:tcBorders>
            <w:shd w:val="clear" w:color="auto" w:fill="auto"/>
            <w:vAlign w:val="center"/>
          </w:tcPr>
          <w:p w:rsidR="00962E39" w:rsidRPr="00342158" w:rsidRDefault="00E176CA" w:rsidP="00841F86">
            <w:pPr>
              <w:pStyle w:val="naiskr"/>
              <w:spacing w:before="0" w:after="0"/>
              <w:jc w:val="both"/>
              <w:rPr>
                <w:b/>
                <w:i/>
                <w:sz w:val="20"/>
                <w:szCs w:val="20"/>
              </w:rPr>
            </w:pPr>
            <w:r w:rsidRPr="00342158">
              <w:rPr>
                <w:b/>
                <w:i/>
                <w:sz w:val="20"/>
                <w:szCs w:val="20"/>
              </w:rPr>
              <w:t>ieviesta pilnībā</w:t>
            </w:r>
          </w:p>
        </w:tc>
        <w:tc>
          <w:tcPr>
            <w:tcW w:w="3649" w:type="dxa"/>
            <w:tcBorders>
              <w:top w:val="outset" w:sz="6" w:space="0" w:color="auto"/>
              <w:left w:val="outset" w:sz="6" w:space="0" w:color="auto"/>
              <w:bottom w:val="outset" w:sz="6" w:space="0" w:color="auto"/>
              <w:right w:val="outset" w:sz="6" w:space="0" w:color="auto"/>
            </w:tcBorders>
            <w:shd w:val="clear" w:color="auto" w:fill="auto"/>
            <w:vAlign w:val="center"/>
          </w:tcPr>
          <w:p w:rsidR="00962E39" w:rsidRPr="00342158" w:rsidRDefault="00E176CA" w:rsidP="00841F86">
            <w:pPr>
              <w:pStyle w:val="naiskr"/>
              <w:spacing w:before="0" w:after="0"/>
              <w:jc w:val="both"/>
              <w:rPr>
                <w:b/>
                <w:i/>
                <w:sz w:val="20"/>
                <w:szCs w:val="20"/>
              </w:rPr>
            </w:pPr>
            <w:r w:rsidRPr="00342158">
              <w:rPr>
                <w:b/>
                <w:i/>
                <w:sz w:val="20"/>
                <w:szCs w:val="20"/>
              </w:rPr>
              <w:t>neparedz stingrākas prasības</w:t>
            </w:r>
          </w:p>
        </w:tc>
      </w:tr>
      <w:tr w:rsidR="00246897" w:rsidRPr="00342158"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Nav attiecināms.</w:t>
            </w:r>
          </w:p>
        </w:tc>
      </w:tr>
      <w:tr w:rsidR="00246897" w:rsidRPr="00342158"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 xml:space="preserve">Saistības sniegt paziņojumu ES institūcijām un ES dalībvalstīm atbilstoši normatīvajiem aktiem, kas </w:t>
            </w:r>
            <w:r w:rsidRPr="00342158">
              <w:rPr>
                <w:rFonts w:ascii="Times New Roman" w:eastAsia="Times New Roman" w:hAnsi="Times New Roman" w:cs="Times New Roman"/>
                <w:sz w:val="24"/>
                <w:szCs w:val="24"/>
                <w:lang w:eastAsia="lv-LV"/>
              </w:rPr>
              <w:lastRenderedPageBreak/>
              <w:t>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lastRenderedPageBreak/>
              <w:t>Par atbalsta programmas grozījumiem saskaņā ar Komisijas Regulas Nr.800/2008 9.pantu EK ir jānosūta kopsavilkuma informācija 20 darbdienu laikā pēc MK noteikumu spēkā stāšanās.</w:t>
            </w:r>
          </w:p>
        </w:tc>
      </w:tr>
      <w:tr w:rsidR="00246897" w:rsidRPr="00342158" w:rsidTr="00FC30F7">
        <w:trPr>
          <w:tblCellSpacing w:w="15" w:type="dxa"/>
        </w:trPr>
        <w:tc>
          <w:tcPr>
            <w:tcW w:w="2830" w:type="dxa"/>
            <w:gridSpan w:val="2"/>
            <w:tcBorders>
              <w:top w:val="outset" w:sz="6" w:space="0" w:color="auto"/>
              <w:left w:val="outset" w:sz="6" w:space="0" w:color="auto"/>
              <w:bottom w:val="outset" w:sz="6" w:space="0" w:color="auto"/>
              <w:right w:val="outset" w:sz="6" w:space="0" w:color="auto"/>
            </w:tcBorders>
            <w:shd w:val="clear" w:color="auto" w:fill="auto"/>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lastRenderedPageBreak/>
              <w:t>Cita informācija</w:t>
            </w:r>
          </w:p>
        </w:tc>
        <w:tc>
          <w:tcPr>
            <w:tcW w:w="6292" w:type="dxa"/>
            <w:gridSpan w:val="3"/>
            <w:tcBorders>
              <w:top w:val="outset" w:sz="6" w:space="0" w:color="auto"/>
              <w:left w:val="outset" w:sz="6" w:space="0" w:color="auto"/>
              <w:bottom w:val="outset" w:sz="6" w:space="0" w:color="auto"/>
              <w:right w:val="outset" w:sz="6" w:space="0" w:color="auto"/>
            </w:tcBorders>
            <w:shd w:val="clear" w:color="auto" w:fill="auto"/>
            <w:hideMark/>
          </w:tcPr>
          <w:p w:rsidR="00246897" w:rsidRPr="00342158" w:rsidRDefault="00246897" w:rsidP="00806221">
            <w:pPr>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Nav</w:t>
            </w:r>
          </w:p>
        </w:tc>
      </w:tr>
    </w:tbl>
    <w:p w:rsidR="0020180D" w:rsidRPr="00342158" w:rsidRDefault="004B3EE8" w:rsidP="0020180D">
      <w:pPr>
        <w:tabs>
          <w:tab w:val="left" w:pos="7655"/>
        </w:tabs>
        <w:jc w:val="both"/>
        <w:rPr>
          <w:rFonts w:ascii="Times New Roman" w:hAnsi="Times New Roman" w:cs="Times New Roman"/>
          <w:bCs/>
          <w:sz w:val="24"/>
          <w:szCs w:val="24"/>
        </w:rPr>
      </w:pPr>
      <w:r w:rsidRPr="00342158">
        <w:rPr>
          <w:rFonts w:ascii="Times New Roman" w:hAnsi="Times New Roman" w:cs="Times New Roman"/>
          <w:bCs/>
          <w:sz w:val="24"/>
          <w:szCs w:val="24"/>
        </w:rPr>
        <w:t xml:space="preserve"> </w:t>
      </w:r>
    </w:p>
    <w:p w:rsidR="007F70FB" w:rsidRPr="00342158" w:rsidRDefault="007F70FB" w:rsidP="0020180D">
      <w:pPr>
        <w:tabs>
          <w:tab w:val="left" w:pos="7655"/>
        </w:tabs>
        <w:jc w:val="both"/>
        <w:rPr>
          <w:rFonts w:ascii="Times New Roman" w:hAnsi="Times New Roman" w:cs="Times New Roman"/>
          <w:bCs/>
          <w:sz w:val="24"/>
          <w:szCs w:val="24"/>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3827"/>
        <w:gridCol w:w="4536"/>
      </w:tblGrid>
      <w:tr w:rsidR="0020180D" w:rsidRPr="00342158" w:rsidTr="00806221">
        <w:tc>
          <w:tcPr>
            <w:tcW w:w="9214" w:type="dxa"/>
            <w:gridSpan w:val="3"/>
          </w:tcPr>
          <w:p w:rsidR="0020180D" w:rsidRPr="00342158" w:rsidRDefault="0020180D" w:rsidP="00806221">
            <w:pPr>
              <w:jc w:val="center"/>
              <w:rPr>
                <w:rFonts w:ascii="Times New Roman" w:eastAsia="Times New Roman" w:hAnsi="Times New Roman" w:cs="Times New Roman"/>
                <w:b/>
                <w:sz w:val="24"/>
                <w:szCs w:val="24"/>
                <w:lang w:eastAsia="lv-LV"/>
              </w:rPr>
            </w:pPr>
            <w:r w:rsidRPr="00342158">
              <w:rPr>
                <w:rFonts w:ascii="Times New Roman" w:hAnsi="Times New Roman" w:cs="Times New Roman"/>
                <w:b/>
                <w:bCs/>
                <w:sz w:val="24"/>
                <w:szCs w:val="24"/>
              </w:rPr>
              <w:t>VI. Sabiedrības līdzdalība un šīs līdzdalības rezultāti</w:t>
            </w:r>
          </w:p>
        </w:tc>
      </w:tr>
      <w:tr w:rsidR="0020180D" w:rsidRPr="00342158" w:rsidTr="00806221">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1.</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Sabiedrības informēšana par projekta izstrādes uzsākšanu</w:t>
            </w:r>
          </w:p>
        </w:tc>
        <w:tc>
          <w:tcPr>
            <w:tcW w:w="4536" w:type="dxa"/>
            <w:hideMark/>
          </w:tcPr>
          <w:p w:rsidR="0020180D" w:rsidRPr="00342158" w:rsidRDefault="00B63942" w:rsidP="00EA7336">
            <w:pPr>
              <w:ind w:left="124"/>
              <w:jc w:val="both"/>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Grozījumi ir labvēlīgāki potenciālajiem projektu iesniedzējiem salīdzinājumā ar spēkā esošajiem noteikumiem, tāpēc k</w:t>
            </w:r>
            <w:r w:rsidR="008104C8" w:rsidRPr="00342158">
              <w:rPr>
                <w:rFonts w:ascii="Times New Roman" w:hAnsi="Times New Roman" w:cs="Times New Roman"/>
                <w:sz w:val="24"/>
                <w:szCs w:val="24"/>
              </w:rPr>
              <w:t>onsultācijas nebija nepieciešams rīkot.</w:t>
            </w:r>
          </w:p>
        </w:tc>
      </w:tr>
      <w:tr w:rsidR="00B63942" w:rsidRPr="00342158" w:rsidTr="00806221">
        <w:tc>
          <w:tcPr>
            <w:tcW w:w="851" w:type="dxa"/>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2.</w:t>
            </w:r>
          </w:p>
        </w:tc>
        <w:tc>
          <w:tcPr>
            <w:tcW w:w="3827" w:type="dxa"/>
            <w:hideMark/>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Sabiedrības līdzdalība projekta izstrādē</w:t>
            </w:r>
          </w:p>
        </w:tc>
        <w:tc>
          <w:tcPr>
            <w:tcW w:w="4536" w:type="dxa"/>
            <w:hideMark/>
          </w:tcPr>
          <w:p w:rsidR="00544422" w:rsidRPr="00342158" w:rsidRDefault="00B63942">
            <w:pPr>
              <w:jc w:val="both"/>
            </w:pPr>
            <w:r w:rsidRPr="00342158">
              <w:rPr>
                <w:rFonts w:ascii="Times New Roman" w:hAnsi="Times New Roman" w:cs="Times New Roman"/>
                <w:sz w:val="24"/>
                <w:szCs w:val="24"/>
              </w:rPr>
              <w:t>Grozījumi ir labvēlīgāki potenciālajiem projektu iesniedzējiem salīdzinājumā ar spēkā esošajiem noteikumiem, tāpēc konsultācijas nebija nepieciešams rīkot.</w:t>
            </w:r>
          </w:p>
        </w:tc>
      </w:tr>
      <w:tr w:rsidR="00B63942" w:rsidRPr="00342158" w:rsidTr="00806221">
        <w:trPr>
          <w:trHeight w:val="930"/>
        </w:trPr>
        <w:tc>
          <w:tcPr>
            <w:tcW w:w="851" w:type="dxa"/>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3.</w:t>
            </w:r>
          </w:p>
        </w:tc>
        <w:tc>
          <w:tcPr>
            <w:tcW w:w="3827" w:type="dxa"/>
            <w:hideMark/>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Sabiedrības līdzdalības rezultāti</w:t>
            </w:r>
          </w:p>
        </w:tc>
        <w:tc>
          <w:tcPr>
            <w:tcW w:w="4536" w:type="dxa"/>
            <w:hideMark/>
          </w:tcPr>
          <w:p w:rsidR="00544422" w:rsidRPr="00342158" w:rsidRDefault="00B63942">
            <w:pPr>
              <w:jc w:val="both"/>
            </w:pPr>
            <w:r w:rsidRPr="00342158">
              <w:rPr>
                <w:rFonts w:ascii="Times New Roman" w:hAnsi="Times New Roman" w:cs="Times New Roman"/>
                <w:sz w:val="24"/>
                <w:szCs w:val="24"/>
              </w:rPr>
              <w:t>Grozījumi ir labvēlīgāki potenciālajiem projektu iesniedzējiem salīdzinājumā ar spēkā esošajiem noteikumiem, tāpēc konsultācijas nebija nepieciešams rīkot.</w:t>
            </w:r>
          </w:p>
        </w:tc>
      </w:tr>
      <w:tr w:rsidR="00B63942" w:rsidRPr="00342158" w:rsidTr="00806221">
        <w:trPr>
          <w:trHeight w:val="927"/>
        </w:trPr>
        <w:tc>
          <w:tcPr>
            <w:tcW w:w="851" w:type="dxa"/>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4.</w:t>
            </w:r>
          </w:p>
        </w:tc>
        <w:tc>
          <w:tcPr>
            <w:tcW w:w="3827" w:type="dxa"/>
            <w:hideMark/>
          </w:tcPr>
          <w:p w:rsidR="00B63942" w:rsidRPr="00342158" w:rsidRDefault="00B63942" w:rsidP="00806221">
            <w:pPr>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Saeimas un ekspertu līdzdalība</w:t>
            </w:r>
          </w:p>
        </w:tc>
        <w:tc>
          <w:tcPr>
            <w:tcW w:w="4536" w:type="dxa"/>
            <w:hideMark/>
          </w:tcPr>
          <w:p w:rsidR="00544422" w:rsidRPr="00342158" w:rsidRDefault="00B63942">
            <w:pPr>
              <w:jc w:val="both"/>
            </w:pPr>
            <w:r w:rsidRPr="00342158">
              <w:rPr>
                <w:rFonts w:ascii="Times New Roman" w:hAnsi="Times New Roman" w:cs="Times New Roman"/>
                <w:sz w:val="24"/>
                <w:szCs w:val="24"/>
              </w:rPr>
              <w:t>Grozījumi ir labvēlīgāki potenciālajiem projektu iesniedzējiem salīdzinājumā ar spēkā esošajiem noteikumiem, tāpēc konsultācijas nebija nepieciešams rīkot.</w:t>
            </w:r>
          </w:p>
        </w:tc>
      </w:tr>
      <w:tr w:rsidR="0020180D" w:rsidRPr="00342158" w:rsidTr="00806221">
        <w:trPr>
          <w:trHeight w:val="912"/>
        </w:trPr>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5.</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hAnsi="Times New Roman" w:cs="Times New Roman"/>
                <w:sz w:val="24"/>
                <w:szCs w:val="24"/>
              </w:rPr>
              <w:t>Cita informācija</w:t>
            </w:r>
          </w:p>
        </w:tc>
        <w:tc>
          <w:tcPr>
            <w:tcW w:w="4536" w:type="dxa"/>
            <w:hideMark/>
          </w:tcPr>
          <w:p w:rsidR="0020180D" w:rsidRPr="00342158" w:rsidRDefault="0020180D" w:rsidP="00806221">
            <w:pPr>
              <w:ind w:firstLine="284"/>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iCs/>
                <w:sz w:val="24"/>
                <w:szCs w:val="24"/>
                <w:lang w:eastAsia="lv-LV"/>
              </w:rPr>
              <w:t>Nav. </w:t>
            </w:r>
          </w:p>
        </w:tc>
      </w:tr>
    </w:tbl>
    <w:p w:rsidR="0020180D" w:rsidRPr="00342158" w:rsidRDefault="0020180D" w:rsidP="0020180D">
      <w:pPr>
        <w:tabs>
          <w:tab w:val="left" w:pos="7655"/>
        </w:tabs>
        <w:jc w:val="both"/>
        <w:rPr>
          <w:rFonts w:ascii="Times New Roman" w:hAnsi="Times New Roman" w:cs="Times New Roman"/>
          <w:bCs/>
          <w:sz w:val="24"/>
          <w:szCs w:val="24"/>
        </w:rPr>
      </w:pPr>
    </w:p>
    <w:p w:rsidR="007F70FB" w:rsidRPr="00342158" w:rsidRDefault="007F70FB" w:rsidP="0020180D">
      <w:pPr>
        <w:tabs>
          <w:tab w:val="left" w:pos="7655"/>
        </w:tabs>
        <w:jc w:val="both"/>
        <w:rPr>
          <w:rFonts w:ascii="Times New Roman" w:hAnsi="Times New Roman" w:cs="Times New Roman"/>
          <w:bCs/>
          <w:sz w:val="24"/>
          <w:szCs w:val="24"/>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3827"/>
        <w:gridCol w:w="4536"/>
      </w:tblGrid>
      <w:tr w:rsidR="0020180D" w:rsidRPr="00342158" w:rsidTr="00806221">
        <w:tc>
          <w:tcPr>
            <w:tcW w:w="9214" w:type="dxa"/>
            <w:gridSpan w:val="3"/>
          </w:tcPr>
          <w:p w:rsidR="0020180D" w:rsidRPr="00342158" w:rsidRDefault="0020180D" w:rsidP="00806221">
            <w:pPr>
              <w:jc w:val="center"/>
              <w:rPr>
                <w:rFonts w:ascii="Times New Roman" w:eastAsia="Times New Roman" w:hAnsi="Times New Roman" w:cs="Times New Roman"/>
                <w:b/>
                <w:sz w:val="24"/>
                <w:szCs w:val="24"/>
                <w:lang w:eastAsia="lv-LV"/>
              </w:rPr>
            </w:pPr>
            <w:r w:rsidRPr="00342158">
              <w:rPr>
                <w:rFonts w:ascii="Times New Roman" w:eastAsia="Times New Roman" w:hAnsi="Times New Roman" w:cs="Times New Roman"/>
                <w:b/>
                <w:sz w:val="24"/>
                <w:szCs w:val="24"/>
                <w:lang w:eastAsia="lv-LV"/>
              </w:rPr>
              <w:t>VII. Tiesību akta projekta izpildes nodrošināšana un tās ietekme uz institūcijām</w:t>
            </w:r>
          </w:p>
        </w:tc>
      </w:tr>
      <w:tr w:rsidR="0020180D" w:rsidRPr="00342158" w:rsidTr="00806221">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lastRenderedPageBreak/>
              <w:t>1.</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Projekta izpildē iesaistītās institūcijas</w:t>
            </w:r>
          </w:p>
        </w:tc>
        <w:tc>
          <w:tcPr>
            <w:tcW w:w="4536" w:type="dxa"/>
            <w:hideMark/>
          </w:tcPr>
          <w:p w:rsidR="0020180D" w:rsidRPr="00342158" w:rsidRDefault="00D91FD4" w:rsidP="00806221">
            <w:pPr>
              <w:ind w:left="142"/>
              <w:jc w:val="both"/>
              <w:rPr>
                <w:rFonts w:ascii="Times New Roman" w:hAnsi="Times New Roman" w:cs="Times New Roman"/>
                <w:sz w:val="24"/>
                <w:szCs w:val="24"/>
                <w:lang w:eastAsia="lv-LV"/>
              </w:rPr>
            </w:pPr>
            <w:r w:rsidRPr="00342158">
              <w:rPr>
                <w:rFonts w:ascii="Times New Roman" w:hAnsi="Times New Roman" w:cs="Times New Roman"/>
                <w:sz w:val="24"/>
                <w:szCs w:val="24"/>
              </w:rPr>
              <w:t>Noteikumu projekta izpildē ir iesaistīta valsts aģentūra „Latvijas Investīciju un attīstības aģentūra”.</w:t>
            </w:r>
          </w:p>
        </w:tc>
      </w:tr>
      <w:tr w:rsidR="0020180D" w:rsidRPr="00342158" w:rsidTr="00806221">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2.</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Projekta izpildes ietekme uz pārvaldes funkcijā</w:t>
            </w:r>
          </w:p>
        </w:tc>
        <w:tc>
          <w:tcPr>
            <w:tcW w:w="4536" w:type="dxa"/>
            <w:hideMark/>
          </w:tcPr>
          <w:p w:rsidR="0020180D" w:rsidRPr="00342158" w:rsidRDefault="00D91FD4" w:rsidP="00806221">
            <w:pPr>
              <w:ind w:left="142"/>
              <w:jc w:val="both"/>
              <w:rPr>
                <w:rFonts w:ascii="Times New Roman" w:hAnsi="Times New Roman" w:cs="Times New Roman"/>
                <w:sz w:val="24"/>
                <w:szCs w:val="24"/>
              </w:rPr>
            </w:pPr>
            <w:r w:rsidRPr="00342158">
              <w:rPr>
                <w:rFonts w:ascii="Times New Roman" w:hAnsi="Times New Roman" w:cs="Times New Roman"/>
                <w:sz w:val="24"/>
                <w:szCs w:val="24"/>
              </w:rPr>
              <w:t>Noteikumu projekta izpildi nodrošinās valsts aģentūras „Latvijas Investīciju un attīstības aģentūra” darbības ietvaros.</w:t>
            </w:r>
          </w:p>
        </w:tc>
      </w:tr>
      <w:tr w:rsidR="0020180D" w:rsidRPr="00342158" w:rsidTr="00806221">
        <w:trPr>
          <w:trHeight w:val="930"/>
        </w:trPr>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3.</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Projekta izpildes ietekme uz pārvaldes institucionālo struktūru. Jaunu institūciju izveide</w:t>
            </w:r>
          </w:p>
        </w:tc>
        <w:tc>
          <w:tcPr>
            <w:tcW w:w="4536" w:type="dxa"/>
            <w:hideMark/>
          </w:tcPr>
          <w:p w:rsidR="0020180D" w:rsidRPr="00342158" w:rsidRDefault="0020180D" w:rsidP="00806221">
            <w:pPr>
              <w:ind w:left="142"/>
              <w:jc w:val="both"/>
              <w:rPr>
                <w:rFonts w:ascii="Times New Roman" w:hAnsi="Times New Roman" w:cs="Times New Roman"/>
                <w:sz w:val="24"/>
                <w:szCs w:val="24"/>
                <w:lang w:eastAsia="lv-LV"/>
              </w:rPr>
            </w:pPr>
            <w:r w:rsidRPr="00342158">
              <w:rPr>
                <w:rFonts w:ascii="Times New Roman" w:hAnsi="Times New Roman" w:cs="Times New Roman"/>
                <w:sz w:val="24"/>
                <w:szCs w:val="24"/>
              </w:rPr>
              <w:t>Noteikumu projekta izpildei nav nepieciešams radīt jaunas institūcijas.</w:t>
            </w:r>
          </w:p>
        </w:tc>
      </w:tr>
      <w:tr w:rsidR="0020180D" w:rsidRPr="00342158" w:rsidTr="00806221">
        <w:trPr>
          <w:trHeight w:val="927"/>
        </w:trPr>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4.</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Projekta izpildes ietekmes uz pārvaldes institucionālo struktūru. Esošu institūciju likvidācija</w:t>
            </w:r>
          </w:p>
        </w:tc>
        <w:tc>
          <w:tcPr>
            <w:tcW w:w="4536" w:type="dxa"/>
            <w:hideMark/>
          </w:tcPr>
          <w:p w:rsidR="0020180D" w:rsidRPr="00342158" w:rsidRDefault="0020180D" w:rsidP="00806221">
            <w:pPr>
              <w:ind w:left="142"/>
              <w:jc w:val="both"/>
              <w:rPr>
                <w:rFonts w:ascii="Times New Roman" w:hAnsi="Times New Roman" w:cs="Times New Roman"/>
                <w:sz w:val="24"/>
                <w:szCs w:val="24"/>
                <w:lang w:eastAsia="lv-LV"/>
              </w:rPr>
            </w:pPr>
            <w:r w:rsidRPr="00342158">
              <w:rPr>
                <w:rFonts w:ascii="Times New Roman" w:hAnsi="Times New Roman" w:cs="Times New Roman"/>
                <w:sz w:val="24"/>
                <w:szCs w:val="24"/>
              </w:rPr>
              <w:t>Noteikumu projekta izpildei nav nepieciešams likvidēt esošās institūcijas.</w:t>
            </w:r>
          </w:p>
        </w:tc>
      </w:tr>
      <w:tr w:rsidR="0020180D" w:rsidRPr="00342158" w:rsidTr="00806221">
        <w:trPr>
          <w:trHeight w:val="912"/>
        </w:trPr>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5.</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Projekta izpildes ietekmes uz pārvaldes institucionālo struktūru. Esošu institūciju reorganizācija</w:t>
            </w:r>
          </w:p>
        </w:tc>
        <w:tc>
          <w:tcPr>
            <w:tcW w:w="4536" w:type="dxa"/>
            <w:hideMark/>
          </w:tcPr>
          <w:p w:rsidR="0020180D" w:rsidRPr="00342158" w:rsidRDefault="0020180D" w:rsidP="00806221">
            <w:pPr>
              <w:ind w:left="142"/>
              <w:jc w:val="both"/>
              <w:rPr>
                <w:rFonts w:ascii="Times New Roman" w:hAnsi="Times New Roman" w:cs="Times New Roman"/>
                <w:sz w:val="24"/>
                <w:szCs w:val="24"/>
                <w:lang w:eastAsia="lv-LV"/>
              </w:rPr>
            </w:pPr>
            <w:r w:rsidRPr="00342158">
              <w:rPr>
                <w:rFonts w:ascii="Times New Roman" w:hAnsi="Times New Roman" w:cs="Times New Roman"/>
                <w:sz w:val="24"/>
                <w:szCs w:val="24"/>
              </w:rPr>
              <w:t>Noteikumu projekta izpildei nav nepieciešams reorganizēt esošās institūcijas.</w:t>
            </w:r>
          </w:p>
        </w:tc>
      </w:tr>
      <w:tr w:rsidR="0020180D" w:rsidRPr="00342158" w:rsidTr="00806221">
        <w:tc>
          <w:tcPr>
            <w:tcW w:w="851" w:type="dxa"/>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6.</w:t>
            </w:r>
          </w:p>
        </w:tc>
        <w:tc>
          <w:tcPr>
            <w:tcW w:w="3827" w:type="dxa"/>
            <w:hideMark/>
          </w:tcPr>
          <w:p w:rsidR="0020180D" w:rsidRPr="00342158" w:rsidRDefault="0020180D" w:rsidP="00806221">
            <w:pPr>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Cita informācija</w:t>
            </w:r>
          </w:p>
        </w:tc>
        <w:tc>
          <w:tcPr>
            <w:tcW w:w="4536" w:type="dxa"/>
            <w:hideMark/>
          </w:tcPr>
          <w:p w:rsidR="0020180D" w:rsidRPr="00342158" w:rsidRDefault="0020180D" w:rsidP="00806221">
            <w:pPr>
              <w:ind w:firstLine="284"/>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Nav.</w:t>
            </w:r>
          </w:p>
        </w:tc>
      </w:tr>
    </w:tbl>
    <w:p w:rsidR="00F16CEA" w:rsidRPr="00342158" w:rsidRDefault="00F16CEA" w:rsidP="0029091D">
      <w:pPr>
        <w:tabs>
          <w:tab w:val="right" w:pos="9071"/>
        </w:tabs>
        <w:spacing w:after="0" w:line="240" w:lineRule="auto"/>
        <w:jc w:val="both"/>
        <w:rPr>
          <w:rFonts w:ascii="Times New Roman" w:eastAsia="Times New Roman" w:hAnsi="Times New Roman" w:cs="Times New Roman"/>
          <w:sz w:val="24"/>
          <w:szCs w:val="24"/>
          <w:lang w:eastAsia="lv-LV"/>
        </w:rPr>
      </w:pPr>
    </w:p>
    <w:p w:rsidR="000862E6" w:rsidRPr="00342158" w:rsidRDefault="009D0A29" w:rsidP="0029091D">
      <w:pPr>
        <w:tabs>
          <w:tab w:val="right" w:pos="9071"/>
        </w:tabs>
        <w:spacing w:after="0" w:line="240" w:lineRule="auto"/>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Ministru prezidents</w:t>
      </w:r>
      <w:r w:rsidR="00830152" w:rsidRPr="00342158">
        <w:rPr>
          <w:rFonts w:ascii="Times New Roman" w:eastAsia="Times New Roman" w:hAnsi="Times New Roman" w:cs="Times New Roman"/>
          <w:sz w:val="24"/>
          <w:szCs w:val="24"/>
          <w:lang w:eastAsia="lv-LV"/>
        </w:rPr>
        <w:tab/>
      </w:r>
      <w:proofErr w:type="spellStart"/>
      <w:r w:rsidRPr="00342158">
        <w:rPr>
          <w:rFonts w:ascii="Times New Roman" w:eastAsia="Times New Roman" w:hAnsi="Times New Roman" w:cs="Times New Roman"/>
          <w:sz w:val="24"/>
          <w:szCs w:val="24"/>
          <w:lang w:eastAsia="lv-LV"/>
        </w:rPr>
        <w:t>V.Dombrovskis</w:t>
      </w:r>
      <w:proofErr w:type="spellEnd"/>
    </w:p>
    <w:p w:rsidR="000262E5" w:rsidRPr="00342158" w:rsidRDefault="000262E5" w:rsidP="0029091D">
      <w:pPr>
        <w:tabs>
          <w:tab w:val="right" w:pos="9071"/>
        </w:tabs>
        <w:spacing w:after="0" w:line="240" w:lineRule="auto"/>
        <w:jc w:val="both"/>
        <w:rPr>
          <w:rFonts w:ascii="Times New Roman" w:eastAsia="Times New Roman" w:hAnsi="Times New Roman" w:cs="Times New Roman"/>
          <w:sz w:val="24"/>
          <w:szCs w:val="24"/>
          <w:lang w:eastAsia="lv-LV"/>
        </w:rPr>
      </w:pPr>
    </w:p>
    <w:p w:rsidR="00F16CEA" w:rsidRPr="00342158" w:rsidRDefault="00F16CEA" w:rsidP="0029091D">
      <w:pPr>
        <w:tabs>
          <w:tab w:val="right" w:pos="9071"/>
        </w:tabs>
        <w:spacing w:after="0" w:line="240" w:lineRule="auto"/>
        <w:jc w:val="both"/>
        <w:rPr>
          <w:rFonts w:ascii="Times New Roman" w:eastAsia="Times New Roman" w:hAnsi="Times New Roman" w:cs="Times New Roman"/>
          <w:sz w:val="24"/>
          <w:szCs w:val="24"/>
          <w:lang w:eastAsia="lv-LV"/>
        </w:rPr>
      </w:pPr>
    </w:p>
    <w:p w:rsidR="00F16CEA" w:rsidRPr="00342158" w:rsidRDefault="00F16CEA" w:rsidP="00F16CEA">
      <w:pPr>
        <w:pStyle w:val="EnvelopeReturn"/>
        <w:tabs>
          <w:tab w:val="left" w:pos="7797"/>
        </w:tabs>
        <w:spacing w:before="0"/>
        <w:jc w:val="both"/>
        <w:rPr>
          <w:sz w:val="24"/>
          <w:szCs w:val="24"/>
          <w:lang w:val="lv-LV" w:eastAsia="lv-LV"/>
        </w:rPr>
      </w:pPr>
      <w:r w:rsidRPr="00342158">
        <w:rPr>
          <w:sz w:val="24"/>
          <w:szCs w:val="24"/>
          <w:lang w:val="lv-LV" w:eastAsia="lv-LV"/>
        </w:rPr>
        <w:t xml:space="preserve">Ekonomikas ministrs </w:t>
      </w:r>
      <w:r w:rsidRPr="00342158">
        <w:rPr>
          <w:sz w:val="24"/>
          <w:szCs w:val="24"/>
          <w:lang w:val="lv-LV" w:eastAsia="lv-LV"/>
        </w:rPr>
        <w:tab/>
      </w:r>
      <w:r w:rsidR="003333BD" w:rsidRPr="00342158">
        <w:rPr>
          <w:sz w:val="24"/>
          <w:szCs w:val="24"/>
          <w:lang w:val="lv-LV" w:eastAsia="lv-LV"/>
        </w:rPr>
        <w:t>D.Pavļuts</w:t>
      </w:r>
    </w:p>
    <w:p w:rsidR="002774E4" w:rsidRPr="00342158" w:rsidRDefault="002774E4"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Pr="00342158"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F16CEA" w:rsidRPr="00342158" w:rsidRDefault="00F16CEA"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9D0A29" w:rsidRPr="00342158" w:rsidRDefault="009D0A29" w:rsidP="0029091D">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Iesniedzējs:</w:t>
      </w:r>
    </w:p>
    <w:p w:rsidR="00DE21C0" w:rsidRPr="00342158" w:rsidRDefault="00DE21C0" w:rsidP="00DE21C0">
      <w:pPr>
        <w:pStyle w:val="EnvelopeReturn"/>
        <w:tabs>
          <w:tab w:val="left" w:pos="7797"/>
        </w:tabs>
        <w:spacing w:before="0"/>
        <w:jc w:val="both"/>
        <w:rPr>
          <w:sz w:val="24"/>
          <w:szCs w:val="24"/>
          <w:lang w:val="lv-LV" w:eastAsia="lv-LV"/>
        </w:rPr>
      </w:pPr>
      <w:r w:rsidRPr="00342158">
        <w:rPr>
          <w:sz w:val="24"/>
          <w:szCs w:val="24"/>
          <w:lang w:val="lv-LV" w:eastAsia="lv-LV"/>
        </w:rPr>
        <w:t xml:space="preserve">Ekonomikas ministrs </w:t>
      </w:r>
      <w:r w:rsidRPr="00342158">
        <w:rPr>
          <w:sz w:val="24"/>
          <w:szCs w:val="24"/>
          <w:lang w:val="lv-LV" w:eastAsia="lv-LV"/>
        </w:rPr>
        <w:tab/>
      </w:r>
      <w:r w:rsidR="003333BD" w:rsidRPr="00342158">
        <w:rPr>
          <w:sz w:val="24"/>
          <w:szCs w:val="24"/>
          <w:lang w:val="lv-LV" w:eastAsia="lv-LV"/>
        </w:rPr>
        <w:t>D.Pavļuts</w:t>
      </w:r>
    </w:p>
    <w:p w:rsidR="002774E4" w:rsidRPr="00342158" w:rsidRDefault="002774E4"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16CEA" w:rsidRPr="00342158" w:rsidRDefault="00F16CEA"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DF060F" w:rsidRPr="00342158" w:rsidRDefault="00DF060F" w:rsidP="0029091D">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570ABB" w:rsidRPr="00342158" w:rsidRDefault="00570ABB" w:rsidP="00570ABB">
      <w:pPr>
        <w:widowControl w:val="0"/>
        <w:spacing w:after="0" w:line="240" w:lineRule="auto"/>
        <w:jc w:val="both"/>
        <w:rPr>
          <w:rFonts w:ascii="Times New Roman" w:eastAsia="Times New Roman" w:hAnsi="Times New Roman" w:cs="Times New Roman"/>
          <w:sz w:val="24"/>
          <w:szCs w:val="24"/>
          <w:lang w:eastAsia="lv-LV"/>
        </w:rPr>
      </w:pPr>
      <w:r w:rsidRPr="00342158">
        <w:rPr>
          <w:rFonts w:ascii="Times New Roman" w:eastAsia="Times New Roman" w:hAnsi="Times New Roman" w:cs="Times New Roman"/>
          <w:sz w:val="24"/>
          <w:szCs w:val="24"/>
          <w:lang w:eastAsia="lv-LV"/>
        </w:rPr>
        <w:t>Vīza: Valsts sekretāra pienākumu izpildītājs,</w:t>
      </w:r>
    </w:p>
    <w:p w:rsidR="00DF060F" w:rsidRPr="00342158" w:rsidRDefault="00570ABB" w:rsidP="00570ABB">
      <w:pPr>
        <w:widowControl w:val="0"/>
        <w:spacing w:after="0" w:line="240" w:lineRule="auto"/>
        <w:jc w:val="both"/>
        <w:rPr>
          <w:rFonts w:ascii="Times New Roman" w:eastAsia="Times New Roman" w:hAnsi="Times New Roman" w:cs="Times New Roman"/>
          <w:sz w:val="20"/>
          <w:szCs w:val="20"/>
        </w:rPr>
      </w:pPr>
      <w:r w:rsidRPr="00342158">
        <w:rPr>
          <w:rFonts w:ascii="Times New Roman" w:eastAsia="Times New Roman" w:hAnsi="Times New Roman" w:cs="Times New Roman"/>
          <w:sz w:val="24"/>
          <w:szCs w:val="24"/>
          <w:lang w:eastAsia="lv-LV"/>
        </w:rPr>
        <w:t>valsts sekretāra vietnieks</w:t>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r>
      <w:r w:rsidRPr="00342158">
        <w:rPr>
          <w:rFonts w:ascii="Times New Roman" w:eastAsia="Times New Roman" w:hAnsi="Times New Roman" w:cs="Times New Roman"/>
          <w:sz w:val="24"/>
          <w:szCs w:val="24"/>
          <w:lang w:eastAsia="lv-LV"/>
        </w:rPr>
        <w:tab/>
        <w:t>A.Liepiņš</w:t>
      </w:r>
    </w:p>
    <w:p w:rsidR="00BE7BE1" w:rsidRPr="00342158" w:rsidRDefault="00BE7BE1" w:rsidP="0029091D">
      <w:pPr>
        <w:widowControl w:val="0"/>
        <w:spacing w:after="0" w:line="240" w:lineRule="auto"/>
        <w:jc w:val="both"/>
        <w:rPr>
          <w:rFonts w:ascii="Times New Roman" w:eastAsia="Times New Roman" w:hAnsi="Times New Roman" w:cs="Times New Roman"/>
          <w:sz w:val="20"/>
          <w:szCs w:val="20"/>
        </w:rPr>
      </w:pPr>
    </w:p>
    <w:p w:rsidR="00F16CEA" w:rsidRPr="00342158" w:rsidRDefault="00F16CEA" w:rsidP="0029091D">
      <w:pPr>
        <w:widowControl w:val="0"/>
        <w:spacing w:after="0" w:line="240" w:lineRule="auto"/>
        <w:jc w:val="both"/>
        <w:rPr>
          <w:rFonts w:ascii="Times New Roman" w:eastAsia="Times New Roman" w:hAnsi="Times New Roman" w:cs="Times New Roman"/>
          <w:sz w:val="20"/>
          <w:szCs w:val="20"/>
        </w:rPr>
      </w:pPr>
    </w:p>
    <w:p w:rsidR="00F16CEA" w:rsidRPr="00342158" w:rsidRDefault="00F16CEA" w:rsidP="0029091D">
      <w:pPr>
        <w:widowControl w:val="0"/>
        <w:spacing w:after="0" w:line="240" w:lineRule="auto"/>
        <w:jc w:val="both"/>
        <w:rPr>
          <w:rFonts w:ascii="Times New Roman" w:eastAsia="Times New Roman" w:hAnsi="Times New Roman" w:cs="Times New Roman"/>
          <w:sz w:val="20"/>
          <w:szCs w:val="20"/>
        </w:rPr>
      </w:pPr>
    </w:p>
    <w:p w:rsidR="005E50AB" w:rsidRPr="00342158" w:rsidRDefault="003D2102" w:rsidP="0029091D">
      <w:pPr>
        <w:widowControl w:val="0"/>
        <w:spacing w:after="0" w:line="240" w:lineRule="auto"/>
        <w:jc w:val="both"/>
        <w:rPr>
          <w:rFonts w:ascii="Times New Roman" w:eastAsia="Times New Roman" w:hAnsi="Times New Roman" w:cs="Times New Roman"/>
          <w:sz w:val="20"/>
          <w:szCs w:val="20"/>
        </w:rPr>
      </w:pPr>
      <w:r w:rsidRPr="00342158">
        <w:rPr>
          <w:rFonts w:ascii="Times New Roman" w:eastAsia="Times New Roman" w:hAnsi="Times New Roman" w:cs="Times New Roman"/>
          <w:sz w:val="20"/>
          <w:szCs w:val="20"/>
        </w:rPr>
        <w:fldChar w:fldCharType="begin"/>
      </w:r>
      <w:r w:rsidR="00AF4D2F" w:rsidRPr="00342158">
        <w:rPr>
          <w:rFonts w:ascii="Times New Roman" w:eastAsia="Times New Roman" w:hAnsi="Times New Roman" w:cs="Times New Roman"/>
          <w:sz w:val="20"/>
          <w:szCs w:val="20"/>
        </w:rPr>
        <w:instrText xml:space="preserve"> TIME \@ "dd.MM.yyyy HH:mm" </w:instrText>
      </w:r>
      <w:r w:rsidRPr="00342158">
        <w:rPr>
          <w:rFonts w:ascii="Times New Roman" w:eastAsia="Times New Roman" w:hAnsi="Times New Roman" w:cs="Times New Roman"/>
          <w:sz w:val="20"/>
          <w:szCs w:val="20"/>
        </w:rPr>
        <w:fldChar w:fldCharType="separate"/>
      </w:r>
      <w:r w:rsidR="00626093">
        <w:rPr>
          <w:rFonts w:ascii="Times New Roman" w:eastAsia="Times New Roman" w:hAnsi="Times New Roman" w:cs="Times New Roman"/>
          <w:noProof/>
          <w:sz w:val="20"/>
          <w:szCs w:val="20"/>
        </w:rPr>
        <w:t>11.10.2013 11:22</w:t>
      </w:r>
      <w:r w:rsidRPr="00342158">
        <w:rPr>
          <w:rFonts w:ascii="Times New Roman" w:eastAsia="Times New Roman" w:hAnsi="Times New Roman" w:cs="Times New Roman"/>
          <w:sz w:val="20"/>
          <w:szCs w:val="20"/>
        </w:rPr>
        <w:fldChar w:fldCharType="end"/>
      </w:r>
    </w:p>
    <w:p w:rsidR="00AE550C" w:rsidRPr="00342158" w:rsidRDefault="003D2102" w:rsidP="0029091D">
      <w:pPr>
        <w:widowControl w:val="0"/>
        <w:spacing w:after="0" w:line="240" w:lineRule="auto"/>
        <w:jc w:val="both"/>
        <w:rPr>
          <w:rFonts w:ascii="Times New Roman" w:eastAsia="Times New Roman" w:hAnsi="Times New Roman" w:cs="Times New Roman"/>
          <w:sz w:val="20"/>
          <w:szCs w:val="20"/>
        </w:rPr>
      </w:pPr>
      <w:fldSimple w:instr=" NUMWORDS   \* MERGEFORMAT ">
        <w:r w:rsidR="00CD13AA" w:rsidRPr="00CD13AA">
          <w:rPr>
            <w:rFonts w:ascii="Times New Roman" w:eastAsia="Times New Roman" w:hAnsi="Times New Roman" w:cs="Times New Roman"/>
            <w:noProof/>
            <w:sz w:val="20"/>
            <w:szCs w:val="20"/>
          </w:rPr>
          <w:t>3249</w:t>
        </w:r>
      </w:fldSimple>
    </w:p>
    <w:p w:rsidR="00AE550C" w:rsidRPr="00342158" w:rsidRDefault="00AE550C" w:rsidP="0029091D">
      <w:pPr>
        <w:widowControl w:val="0"/>
        <w:spacing w:after="0" w:line="240" w:lineRule="auto"/>
        <w:jc w:val="both"/>
        <w:rPr>
          <w:rFonts w:ascii="Times New Roman" w:eastAsia="Times New Roman" w:hAnsi="Times New Roman" w:cs="Times New Roman"/>
          <w:sz w:val="20"/>
          <w:szCs w:val="20"/>
        </w:rPr>
      </w:pPr>
      <w:r w:rsidRPr="00342158">
        <w:rPr>
          <w:rFonts w:ascii="Times New Roman" w:eastAsia="Times New Roman" w:hAnsi="Times New Roman" w:cs="Times New Roman"/>
          <w:sz w:val="20"/>
          <w:szCs w:val="20"/>
        </w:rPr>
        <w:t>Gatis Silovs</w:t>
      </w:r>
    </w:p>
    <w:p w:rsidR="003A2F6D" w:rsidRPr="00342158" w:rsidRDefault="00AE550C">
      <w:pPr>
        <w:widowControl w:val="0"/>
        <w:spacing w:after="0" w:line="240" w:lineRule="auto"/>
        <w:jc w:val="both"/>
        <w:rPr>
          <w:rFonts w:ascii="Times New Roman" w:eastAsia="Times New Roman" w:hAnsi="Times New Roman" w:cs="Times New Roman"/>
          <w:sz w:val="20"/>
          <w:szCs w:val="20"/>
        </w:rPr>
      </w:pPr>
      <w:r w:rsidRPr="00342158">
        <w:rPr>
          <w:rFonts w:ascii="Times New Roman" w:eastAsia="Times New Roman" w:hAnsi="Times New Roman" w:cs="Times New Roman"/>
          <w:sz w:val="20"/>
          <w:szCs w:val="20"/>
        </w:rPr>
        <w:t>67013209, Gatis.Silovs@em.gov.lv</w:t>
      </w:r>
    </w:p>
    <w:sectPr w:rsidR="003A2F6D" w:rsidRPr="00342158" w:rsidSect="00D40CF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06E5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6BC" w:rsidRDefault="00AB16BC" w:rsidP="002A617A">
      <w:pPr>
        <w:spacing w:after="0" w:line="240" w:lineRule="auto"/>
      </w:pPr>
      <w:r>
        <w:separator/>
      </w:r>
    </w:p>
  </w:endnote>
  <w:endnote w:type="continuationSeparator" w:id="0">
    <w:p w:rsidR="00AB16BC" w:rsidRDefault="00AB16BC"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0C" w:rsidRDefault="008236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47" w:rsidRDefault="003D2102" w:rsidP="002A617A">
    <w:pPr>
      <w:spacing w:after="0" w:line="240" w:lineRule="auto"/>
      <w:jc w:val="both"/>
      <w:outlineLvl w:val="0"/>
    </w:pPr>
    <w:fldSimple w:instr=" FILENAME   \* MERGEFORMAT ">
      <w:r w:rsidR="0082360C" w:rsidRPr="0082360C">
        <w:rPr>
          <w:rFonts w:ascii="Times New Roman" w:eastAsia="Calibri" w:hAnsi="Times New Roman" w:cs="Times New Roman"/>
          <w:noProof/>
          <w:sz w:val="20"/>
          <w:szCs w:val="20"/>
          <w:lang w:val="en-AU"/>
        </w:rPr>
        <w:t>EMAnot_111013_GROZ817</w:t>
      </w:r>
    </w:fldSimple>
    <w:r w:rsidR="00021A47" w:rsidRPr="002A617A">
      <w:rPr>
        <w:rFonts w:ascii="Times New Roman" w:eastAsia="Calibri" w:hAnsi="Times New Roman" w:cs="Times New Roman"/>
        <w:sz w:val="20"/>
        <w:szCs w:val="20"/>
        <w:lang w:val="en-AU"/>
      </w:rPr>
      <w:t xml:space="preserve">; </w:t>
    </w:r>
    <w:r w:rsidR="00021A47" w:rsidRPr="00FB6BDC">
      <w:rPr>
        <w:rFonts w:ascii="Times New Roman" w:eastAsia="Times New Roman" w:hAnsi="Times New Roman" w:cs="Times New Roman"/>
        <w:sz w:val="20"/>
        <w:szCs w:val="20"/>
        <w:lang w:eastAsia="lv-LV"/>
      </w:rPr>
      <w:t>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0C" w:rsidRDefault="008236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6BC" w:rsidRDefault="00AB16BC" w:rsidP="002A617A">
      <w:pPr>
        <w:spacing w:after="0" w:line="240" w:lineRule="auto"/>
      </w:pPr>
      <w:r>
        <w:separator/>
      </w:r>
    </w:p>
  </w:footnote>
  <w:footnote w:type="continuationSeparator" w:id="0">
    <w:p w:rsidR="00AB16BC" w:rsidRDefault="00AB16BC" w:rsidP="002A61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0C" w:rsidRDefault="008236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392"/>
      <w:docPartObj>
        <w:docPartGallery w:val="Page Numbers (Top of Page)"/>
        <w:docPartUnique/>
      </w:docPartObj>
    </w:sdtPr>
    <w:sdtContent>
      <w:p w:rsidR="00021A47" w:rsidRDefault="003D2102">
        <w:pPr>
          <w:pStyle w:val="Header"/>
          <w:jc w:val="center"/>
        </w:pPr>
        <w:r>
          <w:fldChar w:fldCharType="begin"/>
        </w:r>
        <w:r w:rsidR="00A83438">
          <w:instrText xml:space="preserve"> PAGE   \* MERGEFORMAT </w:instrText>
        </w:r>
        <w:r>
          <w:fldChar w:fldCharType="separate"/>
        </w:r>
        <w:r w:rsidR="00CD13AA">
          <w:rPr>
            <w:noProof/>
          </w:rPr>
          <w:t>12</w:t>
        </w:r>
        <w:r>
          <w:rPr>
            <w:noProof/>
          </w:rPr>
          <w:fldChar w:fldCharType="end"/>
        </w:r>
      </w:p>
    </w:sdtContent>
  </w:sdt>
  <w:p w:rsidR="00021A47" w:rsidRDefault="00021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0C" w:rsidRDefault="008236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7CA2"/>
    <w:multiLevelType w:val="multilevel"/>
    <w:tmpl w:val="2D9C00D4"/>
    <w:lvl w:ilvl="0">
      <w:start w:val="1"/>
      <w:numFmt w:val="decimal"/>
      <w:lvlText w:val="%1."/>
      <w:lvlJc w:val="left"/>
      <w:pPr>
        <w:ind w:left="360" w:hanging="360"/>
      </w:pPr>
      <w:rPr>
        <w:color w:val="000000"/>
      </w:rPr>
    </w:lvl>
    <w:lvl w:ilvl="1">
      <w:start w:val="1"/>
      <w:numFmt w:val="decimal"/>
      <w:lvlText w:val="%1.%2."/>
      <w:lvlJc w:val="left"/>
      <w:pPr>
        <w:ind w:left="792" w:hanging="432"/>
      </w:pPr>
      <w:rPr>
        <w:b w:val="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F77B7A"/>
    <w:multiLevelType w:val="hybridMultilevel"/>
    <w:tmpl w:val="B8AE9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4">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68A25D30"/>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48197A"/>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8"/>
  </w:num>
  <w:num w:numId="2">
    <w:abstractNumId w:val="2"/>
  </w:num>
  <w:num w:numId="3">
    <w:abstractNumId w:val="4"/>
  </w:num>
  <w:num w:numId="4">
    <w:abstractNumId w:val="7"/>
  </w:num>
  <w:num w:numId="5">
    <w:abstractNumId w:val="3"/>
  </w:num>
  <w:num w:numId="6">
    <w:abstractNumId w:val="5"/>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ere Dita">
    <w15:presenceInfo w15:providerId="None" w15:userId="Tetere D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1F5390"/>
    <w:rsid w:val="0000052F"/>
    <w:rsid w:val="000068AE"/>
    <w:rsid w:val="00007E31"/>
    <w:rsid w:val="0001681F"/>
    <w:rsid w:val="00021A47"/>
    <w:rsid w:val="000262E5"/>
    <w:rsid w:val="00030807"/>
    <w:rsid w:val="000337D4"/>
    <w:rsid w:val="00033990"/>
    <w:rsid w:val="00034B86"/>
    <w:rsid w:val="000376C5"/>
    <w:rsid w:val="00042859"/>
    <w:rsid w:val="00046A6B"/>
    <w:rsid w:val="000515D4"/>
    <w:rsid w:val="000564A9"/>
    <w:rsid w:val="000672DC"/>
    <w:rsid w:val="00070933"/>
    <w:rsid w:val="00070EB1"/>
    <w:rsid w:val="00071F6F"/>
    <w:rsid w:val="000862E6"/>
    <w:rsid w:val="0008674C"/>
    <w:rsid w:val="0008690B"/>
    <w:rsid w:val="0009297D"/>
    <w:rsid w:val="000977B7"/>
    <w:rsid w:val="000977E2"/>
    <w:rsid w:val="00097944"/>
    <w:rsid w:val="000B207F"/>
    <w:rsid w:val="000B65D2"/>
    <w:rsid w:val="000B7237"/>
    <w:rsid w:val="000C5EDA"/>
    <w:rsid w:val="000D2855"/>
    <w:rsid w:val="000D5C6A"/>
    <w:rsid w:val="000E37B4"/>
    <w:rsid w:val="000E6306"/>
    <w:rsid w:val="000F5D19"/>
    <w:rsid w:val="000F620F"/>
    <w:rsid w:val="000F742A"/>
    <w:rsid w:val="001021EE"/>
    <w:rsid w:val="00113B76"/>
    <w:rsid w:val="001143B0"/>
    <w:rsid w:val="001225B0"/>
    <w:rsid w:val="00126A6B"/>
    <w:rsid w:val="00131075"/>
    <w:rsid w:val="00132AD0"/>
    <w:rsid w:val="001424CB"/>
    <w:rsid w:val="00147BF4"/>
    <w:rsid w:val="00153FF9"/>
    <w:rsid w:val="001561E8"/>
    <w:rsid w:val="00162B56"/>
    <w:rsid w:val="00162FAC"/>
    <w:rsid w:val="00166E66"/>
    <w:rsid w:val="001676B2"/>
    <w:rsid w:val="001752F1"/>
    <w:rsid w:val="001820ED"/>
    <w:rsid w:val="00183E7C"/>
    <w:rsid w:val="001874D7"/>
    <w:rsid w:val="001917B8"/>
    <w:rsid w:val="001960F3"/>
    <w:rsid w:val="001A35B8"/>
    <w:rsid w:val="001A4BE3"/>
    <w:rsid w:val="001A75F1"/>
    <w:rsid w:val="001B159D"/>
    <w:rsid w:val="001B1ADF"/>
    <w:rsid w:val="001B4263"/>
    <w:rsid w:val="001B465E"/>
    <w:rsid w:val="001C004B"/>
    <w:rsid w:val="001E0086"/>
    <w:rsid w:val="001E0AF5"/>
    <w:rsid w:val="001F23DA"/>
    <w:rsid w:val="001F4641"/>
    <w:rsid w:val="001F5390"/>
    <w:rsid w:val="001F6D22"/>
    <w:rsid w:val="0020180D"/>
    <w:rsid w:val="002123A6"/>
    <w:rsid w:val="0021287E"/>
    <w:rsid w:val="002151F3"/>
    <w:rsid w:val="0022076F"/>
    <w:rsid w:val="00220D9B"/>
    <w:rsid w:val="002217E8"/>
    <w:rsid w:val="00233A9E"/>
    <w:rsid w:val="002352C2"/>
    <w:rsid w:val="0024444D"/>
    <w:rsid w:val="00244B2F"/>
    <w:rsid w:val="0024586B"/>
    <w:rsid w:val="00246720"/>
    <w:rsid w:val="00246897"/>
    <w:rsid w:val="00246C17"/>
    <w:rsid w:val="00252BAC"/>
    <w:rsid w:val="0026516C"/>
    <w:rsid w:val="002659E9"/>
    <w:rsid w:val="002751A8"/>
    <w:rsid w:val="002765BD"/>
    <w:rsid w:val="0027722F"/>
    <w:rsid w:val="002774E4"/>
    <w:rsid w:val="00281EE5"/>
    <w:rsid w:val="0029091D"/>
    <w:rsid w:val="00291A01"/>
    <w:rsid w:val="00292358"/>
    <w:rsid w:val="002A0283"/>
    <w:rsid w:val="002A2A79"/>
    <w:rsid w:val="002A44AC"/>
    <w:rsid w:val="002A617A"/>
    <w:rsid w:val="002B2589"/>
    <w:rsid w:val="002B5727"/>
    <w:rsid w:val="002B644D"/>
    <w:rsid w:val="002C0370"/>
    <w:rsid w:val="002D1538"/>
    <w:rsid w:val="002D20ED"/>
    <w:rsid w:val="002D3DF5"/>
    <w:rsid w:val="002E01CC"/>
    <w:rsid w:val="002E5340"/>
    <w:rsid w:val="002E68B2"/>
    <w:rsid w:val="002E6FB2"/>
    <w:rsid w:val="002F6185"/>
    <w:rsid w:val="00302933"/>
    <w:rsid w:val="00305C53"/>
    <w:rsid w:val="0030677C"/>
    <w:rsid w:val="003067EB"/>
    <w:rsid w:val="003136C3"/>
    <w:rsid w:val="00315015"/>
    <w:rsid w:val="003206CF"/>
    <w:rsid w:val="00327FA0"/>
    <w:rsid w:val="003333BD"/>
    <w:rsid w:val="00333C32"/>
    <w:rsid w:val="0034089F"/>
    <w:rsid w:val="00342158"/>
    <w:rsid w:val="003446F8"/>
    <w:rsid w:val="0034704C"/>
    <w:rsid w:val="00350C1D"/>
    <w:rsid w:val="00352F8D"/>
    <w:rsid w:val="003541B9"/>
    <w:rsid w:val="003574EE"/>
    <w:rsid w:val="00361081"/>
    <w:rsid w:val="00361F9A"/>
    <w:rsid w:val="00362ABE"/>
    <w:rsid w:val="0036646C"/>
    <w:rsid w:val="003730BC"/>
    <w:rsid w:val="00373BAC"/>
    <w:rsid w:val="00373D86"/>
    <w:rsid w:val="003810E9"/>
    <w:rsid w:val="00382775"/>
    <w:rsid w:val="00390A7A"/>
    <w:rsid w:val="003910FC"/>
    <w:rsid w:val="003A1B1A"/>
    <w:rsid w:val="003A2278"/>
    <w:rsid w:val="003A2F6D"/>
    <w:rsid w:val="003A5FD4"/>
    <w:rsid w:val="003B7EEB"/>
    <w:rsid w:val="003C5C1C"/>
    <w:rsid w:val="003D2102"/>
    <w:rsid w:val="003D47EE"/>
    <w:rsid w:val="003E0C9A"/>
    <w:rsid w:val="003F2DBC"/>
    <w:rsid w:val="003F69FC"/>
    <w:rsid w:val="0040550D"/>
    <w:rsid w:val="00405802"/>
    <w:rsid w:val="004108C8"/>
    <w:rsid w:val="00412E94"/>
    <w:rsid w:val="004131A2"/>
    <w:rsid w:val="0041641C"/>
    <w:rsid w:val="0043130A"/>
    <w:rsid w:val="00434F48"/>
    <w:rsid w:val="0043799A"/>
    <w:rsid w:val="00453DEA"/>
    <w:rsid w:val="00460783"/>
    <w:rsid w:val="0046140D"/>
    <w:rsid w:val="004630E5"/>
    <w:rsid w:val="00467F25"/>
    <w:rsid w:val="00484508"/>
    <w:rsid w:val="0048552A"/>
    <w:rsid w:val="00485BB4"/>
    <w:rsid w:val="00497B5E"/>
    <w:rsid w:val="004A47C1"/>
    <w:rsid w:val="004A5901"/>
    <w:rsid w:val="004A5ADD"/>
    <w:rsid w:val="004B03AE"/>
    <w:rsid w:val="004B2782"/>
    <w:rsid w:val="004B3EE8"/>
    <w:rsid w:val="004B59BE"/>
    <w:rsid w:val="004C5E61"/>
    <w:rsid w:val="004D2E1A"/>
    <w:rsid w:val="004D31BD"/>
    <w:rsid w:val="004E21F4"/>
    <w:rsid w:val="004F067D"/>
    <w:rsid w:val="004F3C75"/>
    <w:rsid w:val="005064A2"/>
    <w:rsid w:val="00514376"/>
    <w:rsid w:val="005147D4"/>
    <w:rsid w:val="005153F8"/>
    <w:rsid w:val="00523B93"/>
    <w:rsid w:val="00544422"/>
    <w:rsid w:val="00546190"/>
    <w:rsid w:val="00547844"/>
    <w:rsid w:val="0056109D"/>
    <w:rsid w:val="00563AD0"/>
    <w:rsid w:val="005651BA"/>
    <w:rsid w:val="00565695"/>
    <w:rsid w:val="005677DE"/>
    <w:rsid w:val="00570ABB"/>
    <w:rsid w:val="0058210A"/>
    <w:rsid w:val="005879A7"/>
    <w:rsid w:val="005938DB"/>
    <w:rsid w:val="00593999"/>
    <w:rsid w:val="005A1363"/>
    <w:rsid w:val="005A5F0D"/>
    <w:rsid w:val="005A6E7B"/>
    <w:rsid w:val="005B505D"/>
    <w:rsid w:val="005B6E7E"/>
    <w:rsid w:val="005C1260"/>
    <w:rsid w:val="005C4461"/>
    <w:rsid w:val="005D1064"/>
    <w:rsid w:val="005D31FE"/>
    <w:rsid w:val="005D51F4"/>
    <w:rsid w:val="005D6192"/>
    <w:rsid w:val="005E2E9A"/>
    <w:rsid w:val="005E50AB"/>
    <w:rsid w:val="005E59DB"/>
    <w:rsid w:val="005E6AF0"/>
    <w:rsid w:val="0060428B"/>
    <w:rsid w:val="00607320"/>
    <w:rsid w:val="006105B8"/>
    <w:rsid w:val="0061436B"/>
    <w:rsid w:val="006154E2"/>
    <w:rsid w:val="0062194B"/>
    <w:rsid w:val="006225BC"/>
    <w:rsid w:val="00626093"/>
    <w:rsid w:val="006332E5"/>
    <w:rsid w:val="0063511C"/>
    <w:rsid w:val="0063663C"/>
    <w:rsid w:val="00637967"/>
    <w:rsid w:val="00646AAE"/>
    <w:rsid w:val="00650DFC"/>
    <w:rsid w:val="00657F4E"/>
    <w:rsid w:val="00662863"/>
    <w:rsid w:val="00662E5B"/>
    <w:rsid w:val="0066425C"/>
    <w:rsid w:val="00664470"/>
    <w:rsid w:val="00665317"/>
    <w:rsid w:val="006655DA"/>
    <w:rsid w:val="006755F8"/>
    <w:rsid w:val="006801CF"/>
    <w:rsid w:val="006870DF"/>
    <w:rsid w:val="00694D79"/>
    <w:rsid w:val="006A555B"/>
    <w:rsid w:val="006A7647"/>
    <w:rsid w:val="006B26A6"/>
    <w:rsid w:val="006B4C76"/>
    <w:rsid w:val="006B7500"/>
    <w:rsid w:val="006C1350"/>
    <w:rsid w:val="006C7599"/>
    <w:rsid w:val="006D2FFC"/>
    <w:rsid w:val="006D73D0"/>
    <w:rsid w:val="006E1218"/>
    <w:rsid w:val="006E24E5"/>
    <w:rsid w:val="006F0900"/>
    <w:rsid w:val="006F20B3"/>
    <w:rsid w:val="006F6973"/>
    <w:rsid w:val="007036B4"/>
    <w:rsid w:val="00704C03"/>
    <w:rsid w:val="00705523"/>
    <w:rsid w:val="00705F85"/>
    <w:rsid w:val="007075A1"/>
    <w:rsid w:val="007109E2"/>
    <w:rsid w:val="00711233"/>
    <w:rsid w:val="00712CFB"/>
    <w:rsid w:val="007143EE"/>
    <w:rsid w:val="00716129"/>
    <w:rsid w:val="00717E31"/>
    <w:rsid w:val="00722173"/>
    <w:rsid w:val="00727A6D"/>
    <w:rsid w:val="0073121D"/>
    <w:rsid w:val="00732ED7"/>
    <w:rsid w:val="00737898"/>
    <w:rsid w:val="00740F70"/>
    <w:rsid w:val="00744A95"/>
    <w:rsid w:val="00754BE6"/>
    <w:rsid w:val="00757A6D"/>
    <w:rsid w:val="00770202"/>
    <w:rsid w:val="00771BF6"/>
    <w:rsid w:val="00772ABA"/>
    <w:rsid w:val="007746B8"/>
    <w:rsid w:val="0078211F"/>
    <w:rsid w:val="007835EF"/>
    <w:rsid w:val="007836DD"/>
    <w:rsid w:val="00783D1B"/>
    <w:rsid w:val="00785F80"/>
    <w:rsid w:val="00792D78"/>
    <w:rsid w:val="007A30AE"/>
    <w:rsid w:val="007A311D"/>
    <w:rsid w:val="007A35BF"/>
    <w:rsid w:val="007A6F5B"/>
    <w:rsid w:val="007A701E"/>
    <w:rsid w:val="007B08DD"/>
    <w:rsid w:val="007B0979"/>
    <w:rsid w:val="007B28D4"/>
    <w:rsid w:val="007B4EDD"/>
    <w:rsid w:val="007C357A"/>
    <w:rsid w:val="007C6A0E"/>
    <w:rsid w:val="007D030B"/>
    <w:rsid w:val="007E04C5"/>
    <w:rsid w:val="007E48F6"/>
    <w:rsid w:val="007E5B40"/>
    <w:rsid w:val="007E6800"/>
    <w:rsid w:val="007F60E2"/>
    <w:rsid w:val="007F70FB"/>
    <w:rsid w:val="008018DE"/>
    <w:rsid w:val="0080299B"/>
    <w:rsid w:val="0080317E"/>
    <w:rsid w:val="008044F8"/>
    <w:rsid w:val="00806221"/>
    <w:rsid w:val="008104C8"/>
    <w:rsid w:val="00813DD9"/>
    <w:rsid w:val="00814D1A"/>
    <w:rsid w:val="0081784F"/>
    <w:rsid w:val="00817F69"/>
    <w:rsid w:val="008211B5"/>
    <w:rsid w:val="0082360C"/>
    <w:rsid w:val="00823E5E"/>
    <w:rsid w:val="00827B38"/>
    <w:rsid w:val="00830152"/>
    <w:rsid w:val="008379B1"/>
    <w:rsid w:val="00837FE6"/>
    <w:rsid w:val="00840469"/>
    <w:rsid w:val="00840664"/>
    <w:rsid w:val="00841F86"/>
    <w:rsid w:val="0084705A"/>
    <w:rsid w:val="00850E4D"/>
    <w:rsid w:val="00853732"/>
    <w:rsid w:val="008552E0"/>
    <w:rsid w:val="00856473"/>
    <w:rsid w:val="008637AB"/>
    <w:rsid w:val="008716FE"/>
    <w:rsid w:val="0087325A"/>
    <w:rsid w:val="0087687D"/>
    <w:rsid w:val="008811C8"/>
    <w:rsid w:val="00881F0A"/>
    <w:rsid w:val="00884529"/>
    <w:rsid w:val="008854B0"/>
    <w:rsid w:val="00886FF4"/>
    <w:rsid w:val="00893042"/>
    <w:rsid w:val="00893CAE"/>
    <w:rsid w:val="008962C5"/>
    <w:rsid w:val="00896A34"/>
    <w:rsid w:val="008A30BC"/>
    <w:rsid w:val="008A4C46"/>
    <w:rsid w:val="008B349C"/>
    <w:rsid w:val="008C34E8"/>
    <w:rsid w:val="008C44AD"/>
    <w:rsid w:val="008C6730"/>
    <w:rsid w:val="008C6E6A"/>
    <w:rsid w:val="008D098C"/>
    <w:rsid w:val="008D236C"/>
    <w:rsid w:val="008D46A0"/>
    <w:rsid w:val="008D4B3C"/>
    <w:rsid w:val="008D678E"/>
    <w:rsid w:val="008E3D20"/>
    <w:rsid w:val="008E7215"/>
    <w:rsid w:val="008F5745"/>
    <w:rsid w:val="008F5E0D"/>
    <w:rsid w:val="008F7893"/>
    <w:rsid w:val="009017CC"/>
    <w:rsid w:val="00910482"/>
    <w:rsid w:val="009104A5"/>
    <w:rsid w:val="0091261D"/>
    <w:rsid w:val="009167E6"/>
    <w:rsid w:val="00923C0B"/>
    <w:rsid w:val="00923E26"/>
    <w:rsid w:val="00927F7E"/>
    <w:rsid w:val="00940D8C"/>
    <w:rsid w:val="00941873"/>
    <w:rsid w:val="009473ED"/>
    <w:rsid w:val="009544E8"/>
    <w:rsid w:val="00960235"/>
    <w:rsid w:val="0096232C"/>
    <w:rsid w:val="00962E39"/>
    <w:rsid w:val="00964A74"/>
    <w:rsid w:val="00966111"/>
    <w:rsid w:val="009751EF"/>
    <w:rsid w:val="00976284"/>
    <w:rsid w:val="009A6B12"/>
    <w:rsid w:val="009A78BE"/>
    <w:rsid w:val="009B30C4"/>
    <w:rsid w:val="009C4581"/>
    <w:rsid w:val="009D0A29"/>
    <w:rsid w:val="009D293B"/>
    <w:rsid w:val="009E09DF"/>
    <w:rsid w:val="009E2DD2"/>
    <w:rsid w:val="009E5260"/>
    <w:rsid w:val="009F6989"/>
    <w:rsid w:val="009F737A"/>
    <w:rsid w:val="00A00AC9"/>
    <w:rsid w:val="00A02EE7"/>
    <w:rsid w:val="00A11A29"/>
    <w:rsid w:val="00A14257"/>
    <w:rsid w:val="00A15F01"/>
    <w:rsid w:val="00A17225"/>
    <w:rsid w:val="00A206CE"/>
    <w:rsid w:val="00A21CF1"/>
    <w:rsid w:val="00A3157F"/>
    <w:rsid w:val="00A4013A"/>
    <w:rsid w:val="00A40914"/>
    <w:rsid w:val="00A40BE7"/>
    <w:rsid w:val="00A504CE"/>
    <w:rsid w:val="00A56D36"/>
    <w:rsid w:val="00A64AA6"/>
    <w:rsid w:val="00A64D1B"/>
    <w:rsid w:val="00A654F1"/>
    <w:rsid w:val="00A71CCF"/>
    <w:rsid w:val="00A748D8"/>
    <w:rsid w:val="00A756CB"/>
    <w:rsid w:val="00A83438"/>
    <w:rsid w:val="00A8416E"/>
    <w:rsid w:val="00A86D82"/>
    <w:rsid w:val="00A9389B"/>
    <w:rsid w:val="00AA100B"/>
    <w:rsid w:val="00AA334B"/>
    <w:rsid w:val="00AA5991"/>
    <w:rsid w:val="00AB0900"/>
    <w:rsid w:val="00AB16BC"/>
    <w:rsid w:val="00AB16FC"/>
    <w:rsid w:val="00AB5CF4"/>
    <w:rsid w:val="00AC4A10"/>
    <w:rsid w:val="00AD1D29"/>
    <w:rsid w:val="00AD4ACC"/>
    <w:rsid w:val="00AE4387"/>
    <w:rsid w:val="00AE49A9"/>
    <w:rsid w:val="00AE550C"/>
    <w:rsid w:val="00AE594C"/>
    <w:rsid w:val="00AE6F1A"/>
    <w:rsid w:val="00AF0B8B"/>
    <w:rsid w:val="00AF25B3"/>
    <w:rsid w:val="00AF40C3"/>
    <w:rsid w:val="00AF4D2F"/>
    <w:rsid w:val="00AF7E9D"/>
    <w:rsid w:val="00B02030"/>
    <w:rsid w:val="00B02156"/>
    <w:rsid w:val="00B02E9B"/>
    <w:rsid w:val="00B05635"/>
    <w:rsid w:val="00B07928"/>
    <w:rsid w:val="00B13222"/>
    <w:rsid w:val="00B14A9C"/>
    <w:rsid w:val="00B213D6"/>
    <w:rsid w:val="00B23043"/>
    <w:rsid w:val="00B2406B"/>
    <w:rsid w:val="00B262B8"/>
    <w:rsid w:val="00B26D11"/>
    <w:rsid w:val="00B34415"/>
    <w:rsid w:val="00B37B88"/>
    <w:rsid w:val="00B4117F"/>
    <w:rsid w:val="00B424B3"/>
    <w:rsid w:val="00B4562C"/>
    <w:rsid w:val="00B56B6A"/>
    <w:rsid w:val="00B63942"/>
    <w:rsid w:val="00B639DE"/>
    <w:rsid w:val="00B65824"/>
    <w:rsid w:val="00B66168"/>
    <w:rsid w:val="00B7224D"/>
    <w:rsid w:val="00B7450E"/>
    <w:rsid w:val="00B74B30"/>
    <w:rsid w:val="00B75A36"/>
    <w:rsid w:val="00B8181E"/>
    <w:rsid w:val="00B875D6"/>
    <w:rsid w:val="00B97F46"/>
    <w:rsid w:val="00BB0181"/>
    <w:rsid w:val="00BB4BE5"/>
    <w:rsid w:val="00BC13E6"/>
    <w:rsid w:val="00BC1569"/>
    <w:rsid w:val="00BC1D51"/>
    <w:rsid w:val="00BD2B48"/>
    <w:rsid w:val="00BD6B4D"/>
    <w:rsid w:val="00BE000C"/>
    <w:rsid w:val="00BE19A5"/>
    <w:rsid w:val="00BE3B44"/>
    <w:rsid w:val="00BE7BE1"/>
    <w:rsid w:val="00BF08CA"/>
    <w:rsid w:val="00BF48FA"/>
    <w:rsid w:val="00C021CD"/>
    <w:rsid w:val="00C043DF"/>
    <w:rsid w:val="00C127AA"/>
    <w:rsid w:val="00C12993"/>
    <w:rsid w:val="00C156BA"/>
    <w:rsid w:val="00C32925"/>
    <w:rsid w:val="00C3627C"/>
    <w:rsid w:val="00C3735F"/>
    <w:rsid w:val="00C4280A"/>
    <w:rsid w:val="00C46BC1"/>
    <w:rsid w:val="00C50B3B"/>
    <w:rsid w:val="00C51041"/>
    <w:rsid w:val="00C51DED"/>
    <w:rsid w:val="00C54AAB"/>
    <w:rsid w:val="00C55EF3"/>
    <w:rsid w:val="00C561BD"/>
    <w:rsid w:val="00C561D9"/>
    <w:rsid w:val="00C57BD3"/>
    <w:rsid w:val="00C601D0"/>
    <w:rsid w:val="00C62697"/>
    <w:rsid w:val="00C62FC4"/>
    <w:rsid w:val="00C63F7A"/>
    <w:rsid w:val="00C65BC8"/>
    <w:rsid w:val="00C675E8"/>
    <w:rsid w:val="00C67DDB"/>
    <w:rsid w:val="00C75E10"/>
    <w:rsid w:val="00C76832"/>
    <w:rsid w:val="00C837BE"/>
    <w:rsid w:val="00C9179E"/>
    <w:rsid w:val="00CA07ED"/>
    <w:rsid w:val="00CA0CB4"/>
    <w:rsid w:val="00CA3395"/>
    <w:rsid w:val="00CA41D5"/>
    <w:rsid w:val="00CB24D5"/>
    <w:rsid w:val="00CC3A2B"/>
    <w:rsid w:val="00CC77FE"/>
    <w:rsid w:val="00CD0297"/>
    <w:rsid w:val="00CD1083"/>
    <w:rsid w:val="00CD13AA"/>
    <w:rsid w:val="00CD43DA"/>
    <w:rsid w:val="00CD48A1"/>
    <w:rsid w:val="00CD556C"/>
    <w:rsid w:val="00CD6D5E"/>
    <w:rsid w:val="00CE0BBE"/>
    <w:rsid w:val="00CE3C90"/>
    <w:rsid w:val="00CE4B9F"/>
    <w:rsid w:val="00CF368F"/>
    <w:rsid w:val="00D05016"/>
    <w:rsid w:val="00D05AB0"/>
    <w:rsid w:val="00D06495"/>
    <w:rsid w:val="00D0796F"/>
    <w:rsid w:val="00D11FD8"/>
    <w:rsid w:val="00D16B1C"/>
    <w:rsid w:val="00D25BDB"/>
    <w:rsid w:val="00D32788"/>
    <w:rsid w:val="00D40CFC"/>
    <w:rsid w:val="00D4361E"/>
    <w:rsid w:val="00D43F4B"/>
    <w:rsid w:val="00D52BAD"/>
    <w:rsid w:val="00D5361F"/>
    <w:rsid w:val="00D55BC5"/>
    <w:rsid w:val="00D57D89"/>
    <w:rsid w:val="00D600AF"/>
    <w:rsid w:val="00D61469"/>
    <w:rsid w:val="00D62557"/>
    <w:rsid w:val="00D677CB"/>
    <w:rsid w:val="00D70D1A"/>
    <w:rsid w:val="00D74770"/>
    <w:rsid w:val="00D77AB1"/>
    <w:rsid w:val="00D86E88"/>
    <w:rsid w:val="00D91FD4"/>
    <w:rsid w:val="00D928E0"/>
    <w:rsid w:val="00D92E2E"/>
    <w:rsid w:val="00D94F0C"/>
    <w:rsid w:val="00DA3A6E"/>
    <w:rsid w:val="00DA5656"/>
    <w:rsid w:val="00DA6D17"/>
    <w:rsid w:val="00DB1FFF"/>
    <w:rsid w:val="00DB2702"/>
    <w:rsid w:val="00DB3421"/>
    <w:rsid w:val="00DB6F60"/>
    <w:rsid w:val="00DC2588"/>
    <w:rsid w:val="00DD0554"/>
    <w:rsid w:val="00DD3B50"/>
    <w:rsid w:val="00DD7EEB"/>
    <w:rsid w:val="00DE21C0"/>
    <w:rsid w:val="00DE34B1"/>
    <w:rsid w:val="00DF060F"/>
    <w:rsid w:val="00DF235F"/>
    <w:rsid w:val="00DF3101"/>
    <w:rsid w:val="00DF635D"/>
    <w:rsid w:val="00E008BE"/>
    <w:rsid w:val="00E0184B"/>
    <w:rsid w:val="00E01AC4"/>
    <w:rsid w:val="00E1027D"/>
    <w:rsid w:val="00E176CA"/>
    <w:rsid w:val="00E272AE"/>
    <w:rsid w:val="00E27DE8"/>
    <w:rsid w:val="00E306A4"/>
    <w:rsid w:val="00E30FE4"/>
    <w:rsid w:val="00E37889"/>
    <w:rsid w:val="00E431CA"/>
    <w:rsid w:val="00E4531E"/>
    <w:rsid w:val="00E50FD4"/>
    <w:rsid w:val="00E557BF"/>
    <w:rsid w:val="00E62E9F"/>
    <w:rsid w:val="00E642F4"/>
    <w:rsid w:val="00E6609E"/>
    <w:rsid w:val="00E67374"/>
    <w:rsid w:val="00E716CE"/>
    <w:rsid w:val="00E74AE3"/>
    <w:rsid w:val="00E83306"/>
    <w:rsid w:val="00E83E3F"/>
    <w:rsid w:val="00E85846"/>
    <w:rsid w:val="00E92A51"/>
    <w:rsid w:val="00EA3219"/>
    <w:rsid w:val="00EA5EEB"/>
    <w:rsid w:val="00EA6403"/>
    <w:rsid w:val="00EA7336"/>
    <w:rsid w:val="00EB59C2"/>
    <w:rsid w:val="00EC0216"/>
    <w:rsid w:val="00EC71BD"/>
    <w:rsid w:val="00EC7909"/>
    <w:rsid w:val="00EC7C20"/>
    <w:rsid w:val="00ED5D6D"/>
    <w:rsid w:val="00EE08F6"/>
    <w:rsid w:val="00EE495B"/>
    <w:rsid w:val="00EF0B6F"/>
    <w:rsid w:val="00EF49A3"/>
    <w:rsid w:val="00EF6ACE"/>
    <w:rsid w:val="00F05BEB"/>
    <w:rsid w:val="00F07DF3"/>
    <w:rsid w:val="00F11C4B"/>
    <w:rsid w:val="00F12A75"/>
    <w:rsid w:val="00F15E5A"/>
    <w:rsid w:val="00F16CEA"/>
    <w:rsid w:val="00F225A3"/>
    <w:rsid w:val="00F22677"/>
    <w:rsid w:val="00F30C1B"/>
    <w:rsid w:val="00F40DBB"/>
    <w:rsid w:val="00F417C7"/>
    <w:rsid w:val="00F44813"/>
    <w:rsid w:val="00F44F19"/>
    <w:rsid w:val="00F4531A"/>
    <w:rsid w:val="00F46845"/>
    <w:rsid w:val="00F508C0"/>
    <w:rsid w:val="00F62FCC"/>
    <w:rsid w:val="00F660CA"/>
    <w:rsid w:val="00F66D31"/>
    <w:rsid w:val="00F66DAA"/>
    <w:rsid w:val="00F75288"/>
    <w:rsid w:val="00F83D82"/>
    <w:rsid w:val="00F84F92"/>
    <w:rsid w:val="00F85052"/>
    <w:rsid w:val="00F9482F"/>
    <w:rsid w:val="00F960C1"/>
    <w:rsid w:val="00F96F88"/>
    <w:rsid w:val="00FA5FFE"/>
    <w:rsid w:val="00FB371E"/>
    <w:rsid w:val="00FB6BDC"/>
    <w:rsid w:val="00FC1B6A"/>
    <w:rsid w:val="00FC30F7"/>
    <w:rsid w:val="00FC387E"/>
    <w:rsid w:val="00FD2F61"/>
    <w:rsid w:val="00FD43F4"/>
    <w:rsid w:val="00FE1AFA"/>
    <w:rsid w:val="00FE339D"/>
    <w:rsid w:val="00FE4EA5"/>
    <w:rsid w:val="00FE5AFF"/>
    <w:rsid w:val="00FE6C49"/>
    <w:rsid w:val="00FF527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C57BD3"/>
    <w:rPr>
      <w:sz w:val="16"/>
      <w:szCs w:val="16"/>
    </w:rPr>
  </w:style>
  <w:style w:type="paragraph" w:styleId="CommentText">
    <w:name w:val="annotation text"/>
    <w:basedOn w:val="Normal"/>
    <w:link w:val="CommentTextChar"/>
    <w:uiPriority w:val="99"/>
    <w:semiHidden/>
    <w:unhideWhenUsed/>
    <w:rsid w:val="00C57BD3"/>
    <w:pPr>
      <w:spacing w:line="240" w:lineRule="auto"/>
    </w:pPr>
    <w:rPr>
      <w:sz w:val="20"/>
      <w:szCs w:val="20"/>
    </w:rPr>
  </w:style>
  <w:style w:type="character" w:customStyle="1" w:styleId="CommentTextChar">
    <w:name w:val="Comment Text Char"/>
    <w:basedOn w:val="DefaultParagraphFont"/>
    <w:link w:val="CommentText"/>
    <w:uiPriority w:val="99"/>
    <w:semiHidden/>
    <w:rsid w:val="00C57BD3"/>
    <w:rPr>
      <w:sz w:val="20"/>
      <w:szCs w:val="20"/>
    </w:rPr>
  </w:style>
  <w:style w:type="paragraph" w:styleId="CommentSubject">
    <w:name w:val="annotation subject"/>
    <w:basedOn w:val="CommentText"/>
    <w:next w:val="CommentText"/>
    <w:link w:val="CommentSubjectChar"/>
    <w:uiPriority w:val="99"/>
    <w:semiHidden/>
    <w:unhideWhenUsed/>
    <w:rsid w:val="00C57BD3"/>
    <w:rPr>
      <w:b/>
      <w:bCs/>
    </w:rPr>
  </w:style>
  <w:style w:type="character" w:customStyle="1" w:styleId="CommentSubjectChar">
    <w:name w:val="Comment Subject Char"/>
    <w:basedOn w:val="CommentTextChar"/>
    <w:link w:val="CommentSubject"/>
    <w:uiPriority w:val="99"/>
    <w:semiHidden/>
    <w:rsid w:val="00C57BD3"/>
    <w:rPr>
      <w:b/>
      <w:bCs/>
      <w:sz w:val="20"/>
      <w:szCs w:val="20"/>
    </w:rPr>
  </w:style>
  <w:style w:type="paragraph" w:customStyle="1" w:styleId="naiskr">
    <w:name w:val="naiskr"/>
    <w:basedOn w:val="Normal"/>
    <w:rsid w:val="004B3EE8"/>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417C7"/>
    <w:rPr>
      <w:color w:val="0000FF" w:themeColor="hyperlink"/>
      <w:u w:val="single"/>
    </w:rPr>
  </w:style>
  <w:style w:type="paragraph" w:styleId="FootnoteText">
    <w:name w:val="footnote text"/>
    <w:basedOn w:val="Normal"/>
    <w:link w:val="FootnoteTextChar"/>
    <w:unhideWhenUsed/>
    <w:rsid w:val="00C65BC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C65BC8"/>
    <w:rPr>
      <w:rFonts w:ascii="Times New Roman" w:eastAsia="Times New Roman" w:hAnsi="Times New Roman" w:cs="Times New Roman"/>
      <w:sz w:val="20"/>
      <w:szCs w:val="20"/>
      <w:lang w:eastAsia="lv-LV"/>
    </w:rPr>
  </w:style>
  <w:style w:type="character" w:styleId="FootnoteReference">
    <w:name w:val="footnote reference"/>
    <w:unhideWhenUsed/>
    <w:rsid w:val="00C65BC8"/>
    <w:rPr>
      <w:vertAlign w:val="superscript"/>
    </w:rPr>
  </w:style>
  <w:style w:type="paragraph" w:styleId="EnvelopeReturn">
    <w:name w:val="envelope return"/>
    <w:basedOn w:val="Normal"/>
    <w:uiPriority w:val="99"/>
    <w:rsid w:val="00DE21C0"/>
    <w:pPr>
      <w:keepLines/>
      <w:widowControl w:val="0"/>
      <w:spacing w:before="600" w:after="0" w:line="240" w:lineRule="auto"/>
    </w:pPr>
    <w:rPr>
      <w:rFonts w:ascii="Times New Roman" w:eastAsia="Times New Roman" w:hAnsi="Times New Roman" w:cs="Times New Roman"/>
      <w:sz w:val="26"/>
      <w:szCs w:val="20"/>
      <w:lang w:val="en-AU"/>
    </w:rPr>
  </w:style>
  <w:style w:type="paragraph" w:styleId="BodyText">
    <w:name w:val="Body Text"/>
    <w:basedOn w:val="Normal"/>
    <w:link w:val="BodyTextChar"/>
    <w:uiPriority w:val="99"/>
    <w:semiHidden/>
    <w:unhideWhenUsed/>
    <w:rsid w:val="00A17225"/>
    <w:pPr>
      <w:spacing w:after="0" w:line="240" w:lineRule="auto"/>
      <w:jc w:val="both"/>
    </w:pPr>
    <w:rPr>
      <w:rFonts w:ascii="Times New Roman" w:hAnsi="Times New Roman" w:cs="Times New Roman"/>
      <w:sz w:val="26"/>
      <w:szCs w:val="26"/>
      <w:lang w:eastAsia="lv-LV"/>
    </w:rPr>
  </w:style>
  <w:style w:type="character" w:customStyle="1" w:styleId="BodyTextChar">
    <w:name w:val="Body Text Char"/>
    <w:basedOn w:val="DefaultParagraphFont"/>
    <w:link w:val="BodyText"/>
    <w:uiPriority w:val="99"/>
    <w:semiHidden/>
    <w:rsid w:val="00A17225"/>
    <w:rPr>
      <w:rFonts w:ascii="Times New Roman" w:hAnsi="Times New Roman" w:cs="Times New Roman"/>
      <w:sz w:val="26"/>
      <w:szCs w:val="26"/>
      <w:lang w:eastAsia="lv-LV"/>
    </w:rPr>
  </w:style>
  <w:style w:type="character" w:customStyle="1" w:styleId="apple-converted-space">
    <w:name w:val="apple-converted-space"/>
    <w:basedOn w:val="DefaultParagraphFont"/>
    <w:rsid w:val="0046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2218">
      <w:bodyDiv w:val="1"/>
      <w:marLeft w:val="0"/>
      <w:marRight w:val="0"/>
      <w:marTop w:val="0"/>
      <w:marBottom w:val="0"/>
      <w:divBdr>
        <w:top w:val="none" w:sz="0" w:space="0" w:color="auto"/>
        <w:left w:val="none" w:sz="0" w:space="0" w:color="auto"/>
        <w:bottom w:val="none" w:sz="0" w:space="0" w:color="auto"/>
        <w:right w:val="none" w:sz="0" w:space="0" w:color="auto"/>
      </w:divBdr>
    </w:div>
    <w:div w:id="124321821">
      <w:bodyDiv w:val="1"/>
      <w:marLeft w:val="0"/>
      <w:marRight w:val="0"/>
      <w:marTop w:val="0"/>
      <w:marBottom w:val="0"/>
      <w:divBdr>
        <w:top w:val="none" w:sz="0" w:space="0" w:color="auto"/>
        <w:left w:val="none" w:sz="0" w:space="0" w:color="auto"/>
        <w:bottom w:val="none" w:sz="0" w:space="0" w:color="auto"/>
        <w:right w:val="none" w:sz="0" w:space="0" w:color="auto"/>
      </w:divBdr>
    </w:div>
    <w:div w:id="263850939">
      <w:bodyDiv w:val="1"/>
      <w:marLeft w:val="0"/>
      <w:marRight w:val="0"/>
      <w:marTop w:val="0"/>
      <w:marBottom w:val="0"/>
      <w:divBdr>
        <w:top w:val="none" w:sz="0" w:space="0" w:color="auto"/>
        <w:left w:val="none" w:sz="0" w:space="0" w:color="auto"/>
        <w:bottom w:val="none" w:sz="0" w:space="0" w:color="auto"/>
        <w:right w:val="none" w:sz="0" w:space="0" w:color="auto"/>
      </w:divBdr>
    </w:div>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 w:id="682242842">
      <w:bodyDiv w:val="1"/>
      <w:marLeft w:val="45"/>
      <w:marRight w:val="45"/>
      <w:marTop w:val="90"/>
      <w:marBottom w:val="90"/>
      <w:divBdr>
        <w:top w:val="none" w:sz="0" w:space="0" w:color="auto"/>
        <w:left w:val="none" w:sz="0" w:space="0" w:color="auto"/>
        <w:bottom w:val="none" w:sz="0" w:space="0" w:color="auto"/>
        <w:right w:val="none" w:sz="0" w:space="0" w:color="auto"/>
      </w:divBdr>
      <w:divsChild>
        <w:div w:id="110364267">
          <w:marLeft w:val="0"/>
          <w:marRight w:val="0"/>
          <w:marTop w:val="0"/>
          <w:marBottom w:val="567"/>
          <w:divBdr>
            <w:top w:val="none" w:sz="0" w:space="0" w:color="auto"/>
            <w:left w:val="none" w:sz="0" w:space="0" w:color="auto"/>
            <w:bottom w:val="none" w:sz="0" w:space="0" w:color="auto"/>
            <w:right w:val="none" w:sz="0" w:space="0" w:color="auto"/>
          </w:divBdr>
        </w:div>
      </w:divsChild>
    </w:div>
    <w:div w:id="1715735737">
      <w:bodyDiv w:val="1"/>
      <w:marLeft w:val="0"/>
      <w:marRight w:val="0"/>
      <w:marTop w:val="0"/>
      <w:marBottom w:val="0"/>
      <w:divBdr>
        <w:top w:val="none" w:sz="0" w:space="0" w:color="auto"/>
        <w:left w:val="none" w:sz="0" w:space="0" w:color="auto"/>
        <w:bottom w:val="none" w:sz="0" w:space="0" w:color="auto"/>
        <w:right w:val="none" w:sz="0" w:space="0" w:color="auto"/>
      </w:divBdr>
    </w:div>
    <w:div w:id="1805998836">
      <w:bodyDiv w:val="1"/>
      <w:marLeft w:val="0"/>
      <w:marRight w:val="0"/>
      <w:marTop w:val="0"/>
      <w:marBottom w:val="0"/>
      <w:divBdr>
        <w:top w:val="none" w:sz="0" w:space="0" w:color="auto"/>
        <w:left w:val="none" w:sz="0" w:space="0" w:color="auto"/>
        <w:bottom w:val="none" w:sz="0" w:space="0" w:color="auto"/>
        <w:right w:val="none" w:sz="0" w:space="0" w:color="auto"/>
      </w:divBdr>
    </w:div>
    <w:div w:id="1892308293">
      <w:bodyDiv w:val="1"/>
      <w:marLeft w:val="0"/>
      <w:marRight w:val="0"/>
      <w:marTop w:val="0"/>
      <w:marBottom w:val="0"/>
      <w:divBdr>
        <w:top w:val="none" w:sz="0" w:space="0" w:color="auto"/>
        <w:left w:val="none" w:sz="0" w:space="0" w:color="auto"/>
        <w:bottom w:val="none" w:sz="0" w:space="0" w:color="auto"/>
        <w:right w:val="none" w:sz="0" w:space="0" w:color="auto"/>
      </w:divBdr>
    </w:div>
    <w:div w:id="20345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LexUriServ/LexUriServ.do?uri=OJ:L:2008:214:0003:01:LV: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ur-lex.europa.eu/LexUriServ/LexUriServ.do?uri=OJ:L:2008:214:0003: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CD0C-FA52-4398-A443-88A44355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3312</Words>
  <Characters>23622</Characters>
  <Application>Microsoft Office Word</Application>
  <DocSecurity>0</DocSecurity>
  <Lines>715</Lines>
  <Paragraphs>220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Anotācijas</dc:subject>
  <dc:creator>Gatis Silovs</dc:creator>
  <dc:description>67013209, Gatis.Silovs@em.gov.lv</dc:description>
  <cp:lastModifiedBy>Gatis Silovs</cp:lastModifiedBy>
  <cp:revision>46</cp:revision>
  <cp:lastPrinted>2013-06-13T15:04:00Z</cp:lastPrinted>
  <dcterms:created xsi:type="dcterms:W3CDTF">2013-10-09T10:15:00Z</dcterms:created>
  <dcterms:modified xsi:type="dcterms:W3CDTF">2013-10-11T08:22:00Z</dcterms:modified>
</cp:coreProperties>
</file>