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D5" w:rsidRPr="00C4653E" w:rsidRDefault="00A00CD5" w:rsidP="00C4653E">
      <w:pPr>
        <w:jc w:val="center"/>
        <w:rPr>
          <w:b/>
          <w:sz w:val="28"/>
          <w:szCs w:val="28"/>
        </w:rPr>
      </w:pPr>
      <w:r w:rsidRPr="00A00CD5">
        <w:rPr>
          <w:b/>
          <w:sz w:val="28"/>
          <w:szCs w:val="28"/>
        </w:rPr>
        <w:t>Ministru kabineta noteikumu projekta „</w:t>
      </w:r>
      <w:r w:rsidR="009D2755" w:rsidRPr="009D2755">
        <w:rPr>
          <w:b/>
          <w:sz w:val="28"/>
          <w:szCs w:val="28"/>
        </w:rPr>
        <w:t>Grozījumi Ministru kabineta 2012.gada 24.janvāra noteikumos Nr.78 „Atbalstāmo investīciju projekta apstiprināšanas un īstenošanas kārtība”</w:t>
      </w:r>
      <w:r w:rsidRPr="00A00CD5">
        <w:rPr>
          <w:b/>
          <w:sz w:val="28"/>
          <w:szCs w:val="28"/>
        </w:rPr>
        <w:t>”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18"/>
        <w:gridCol w:w="6176"/>
      </w:tblGrid>
      <w:tr w:rsidR="006F48A7" w:rsidRPr="006F48A7" w:rsidTr="00D75AAB">
        <w:tc>
          <w:tcPr>
            <w:tcW w:w="9725" w:type="dxa"/>
            <w:gridSpan w:val="3"/>
            <w:vAlign w:val="center"/>
          </w:tcPr>
          <w:p w:rsidR="006F48A7" w:rsidRPr="006F48A7" w:rsidRDefault="006F48A7" w:rsidP="001756D2">
            <w:pPr>
              <w:pStyle w:val="naisnod"/>
              <w:spacing w:before="60" w:after="60"/>
            </w:pPr>
            <w:r w:rsidRPr="006F48A7">
              <w:t>I. Tiesību akta projekta izstrādes nepieciešamība</w:t>
            </w:r>
          </w:p>
        </w:tc>
      </w:tr>
      <w:tr w:rsidR="006F48A7" w:rsidRPr="006F48A7" w:rsidTr="002161F7">
        <w:trPr>
          <w:trHeight w:val="630"/>
        </w:trPr>
        <w:tc>
          <w:tcPr>
            <w:tcW w:w="431" w:type="dxa"/>
          </w:tcPr>
          <w:p w:rsidR="006F48A7" w:rsidRPr="006F48A7" w:rsidRDefault="006F48A7" w:rsidP="00D01A33">
            <w:pPr>
              <w:pStyle w:val="naiskr"/>
              <w:spacing w:before="0" w:after="0"/>
              <w:jc w:val="center"/>
            </w:pPr>
            <w:r w:rsidRPr="006F48A7">
              <w:t>1.</w:t>
            </w:r>
          </w:p>
        </w:tc>
        <w:tc>
          <w:tcPr>
            <w:tcW w:w="3118" w:type="dxa"/>
          </w:tcPr>
          <w:p w:rsidR="006F48A7" w:rsidRPr="006F48A7" w:rsidRDefault="006F48A7" w:rsidP="00D01A33">
            <w:pPr>
              <w:pStyle w:val="naiskr"/>
              <w:spacing w:before="0" w:after="0"/>
              <w:ind w:left="141" w:right="142" w:hanging="10"/>
            </w:pPr>
            <w:r w:rsidRPr="006F48A7">
              <w:t>Pamatojums</w:t>
            </w:r>
          </w:p>
        </w:tc>
        <w:tc>
          <w:tcPr>
            <w:tcW w:w="6176" w:type="dxa"/>
          </w:tcPr>
          <w:p w:rsidR="006F48A7" w:rsidRDefault="00E103B8" w:rsidP="004553ED">
            <w:pPr>
              <w:pStyle w:val="naiskr"/>
              <w:spacing w:before="60" w:after="0"/>
              <w:ind w:left="136" w:right="79" w:firstLine="721"/>
              <w:jc w:val="both"/>
            </w:pPr>
            <w:r>
              <w:t>201</w:t>
            </w:r>
            <w:r w:rsidR="009D2755">
              <w:t>3</w:t>
            </w:r>
            <w:r>
              <w:t xml:space="preserve">.gada </w:t>
            </w:r>
            <w:r w:rsidR="009D2755">
              <w:t>6</w:t>
            </w:r>
            <w:r w:rsidRPr="002A2D1F">
              <w:t>.</w:t>
            </w:r>
            <w:r w:rsidR="009D2755">
              <w:t>jūnija</w:t>
            </w:r>
            <w:r w:rsidRPr="002A2D1F">
              <w:t xml:space="preserve"> </w:t>
            </w:r>
            <w:r w:rsidR="00A35A05">
              <w:t xml:space="preserve">likums </w:t>
            </w:r>
            <w:r>
              <w:t>„Grozījumi likumā</w:t>
            </w:r>
            <w:r w:rsidR="00D01A33">
              <w:t xml:space="preserve"> „Par uzņēmumu ienākuma nodokli”</w:t>
            </w:r>
            <w:r>
              <w:t>”</w:t>
            </w:r>
            <w:r w:rsidR="00B264A2">
              <w:t>.</w:t>
            </w:r>
          </w:p>
          <w:p w:rsidR="00401FDE" w:rsidRPr="005779F4" w:rsidRDefault="009B5339" w:rsidP="009B5339">
            <w:pPr>
              <w:pStyle w:val="naiskr"/>
              <w:spacing w:before="60" w:after="0"/>
              <w:ind w:left="136" w:right="79" w:firstLine="721"/>
              <w:jc w:val="both"/>
            </w:pPr>
            <w:proofErr w:type="spellStart"/>
            <w:r w:rsidRPr="005779F4">
              <w:rPr>
                <w:i/>
              </w:rPr>
              <w:t>Euro</w:t>
            </w:r>
            <w:proofErr w:type="spellEnd"/>
            <w:r w:rsidR="00D4769E" w:rsidRPr="005779F4">
              <w:t xml:space="preserve"> ieviešanas kārtības likuma </w:t>
            </w:r>
            <w:r w:rsidRPr="005779F4">
              <w:t>30.panta pirmā daļa, Ministru kabineta 2012.gada 27.jūnija rīkojuma Nr.282 „Par „Koncepciju par normatīvo aktu sakārtošanu saistībā ar eiro ieviešanu Latvijā”” 7.2.apakšpunkts.</w:t>
            </w:r>
          </w:p>
          <w:p w:rsidR="00A35193" w:rsidRPr="005779F4" w:rsidRDefault="00A35193" w:rsidP="009B5339">
            <w:pPr>
              <w:pStyle w:val="naiskr"/>
              <w:spacing w:before="60" w:after="0"/>
              <w:ind w:left="136" w:right="79" w:firstLine="721"/>
              <w:jc w:val="both"/>
            </w:pPr>
            <w:r w:rsidRPr="005779F4">
              <w:t>2013.gada 19.septembra likums „Grozījumi likumā „Par uzņēmumu ienākuma nodokli””.</w:t>
            </w:r>
          </w:p>
          <w:p w:rsidR="009B5339" w:rsidRPr="00A35193" w:rsidRDefault="00A35193" w:rsidP="00D4769E">
            <w:pPr>
              <w:pStyle w:val="naiskr"/>
              <w:spacing w:before="60" w:after="0"/>
              <w:ind w:left="136" w:right="79" w:firstLine="721"/>
              <w:jc w:val="both"/>
              <w:rPr>
                <w:b/>
              </w:rPr>
            </w:pPr>
            <w:r w:rsidRPr="00D4769E">
              <w:t xml:space="preserve">2013.gada 6.novembrī Saeimas 2.lasījumā </w:t>
            </w:r>
            <w:r w:rsidR="00D4769E" w:rsidRPr="005779F4">
              <w:t>pieņemtie</w:t>
            </w:r>
            <w:r w:rsidRPr="00D4769E">
              <w:t xml:space="preserve"> grozījumi likumā „Par uzņēmumu ienākuma nodokli”.</w:t>
            </w:r>
          </w:p>
        </w:tc>
      </w:tr>
      <w:tr w:rsidR="006F48A7" w:rsidRPr="006F48A7" w:rsidTr="002161F7">
        <w:trPr>
          <w:trHeight w:val="472"/>
        </w:trPr>
        <w:tc>
          <w:tcPr>
            <w:tcW w:w="431" w:type="dxa"/>
          </w:tcPr>
          <w:p w:rsidR="006F48A7" w:rsidRPr="006F48A7" w:rsidRDefault="006F48A7" w:rsidP="00D01A33">
            <w:pPr>
              <w:pStyle w:val="naiskr"/>
              <w:spacing w:before="0" w:after="0"/>
              <w:jc w:val="center"/>
            </w:pPr>
            <w:r w:rsidRPr="006F48A7">
              <w:t>2.</w:t>
            </w:r>
          </w:p>
        </w:tc>
        <w:tc>
          <w:tcPr>
            <w:tcW w:w="3118" w:type="dxa"/>
          </w:tcPr>
          <w:p w:rsidR="006F48A7" w:rsidRPr="006F48A7" w:rsidRDefault="006F48A7" w:rsidP="00D01A33">
            <w:pPr>
              <w:pStyle w:val="naiskr"/>
              <w:tabs>
                <w:tab w:val="left" w:pos="170"/>
              </w:tabs>
              <w:spacing w:before="60" w:after="60"/>
              <w:ind w:left="142" w:right="142"/>
            </w:pPr>
            <w:r w:rsidRPr="006F48A7">
              <w:t>Pašreizējā situācija un problēmas</w:t>
            </w:r>
          </w:p>
        </w:tc>
        <w:tc>
          <w:tcPr>
            <w:tcW w:w="6176" w:type="dxa"/>
          </w:tcPr>
          <w:p w:rsidR="009C4843" w:rsidRPr="005779F4" w:rsidRDefault="009C4843" w:rsidP="009C4843">
            <w:pPr>
              <w:spacing w:after="60"/>
              <w:ind w:left="142" w:right="222" w:firstLine="709"/>
              <w:jc w:val="both"/>
            </w:pPr>
            <w:r w:rsidRPr="005779F4">
              <w:t>Ministru kabineta 2012.gada 24.janvāra noteikumu Nr.78 „Atbalstāmo investīciju projekta apstiprināšanas un īstenošanas kārtība” (turpmāk – Ministru kabineta noteikumi Nr.78) 1.pielikuma 3.sadaļā „Projekta pieteikuma apliecinājums” ir iekļauts apliecinājums, kuru parakstot, projekta iesniedzējs cita starpā apliecina, ka tas neatbilst  nevienai no grūtībās nonākuša saimnieciskās darbības veicēja pazīmēm, kas noteiktas likuma „Par uzņēmumu ienākuma nodokli” 17.</w:t>
            </w:r>
            <w:r w:rsidRPr="005779F4">
              <w:rPr>
                <w:vertAlign w:val="superscript"/>
              </w:rPr>
              <w:t>2</w:t>
            </w:r>
            <w:r w:rsidRPr="005779F4">
              <w:t xml:space="preserve"> sestās daļas 2.punktā (redakcijā, kas bija spēkā līdz 2013.gada 5.jūlijam), kā arī uz to neattiecas neviens no likuma „Par uzņēmumu ienākuma nodokli” 17.</w:t>
            </w:r>
            <w:r w:rsidRPr="005779F4">
              <w:rPr>
                <w:vertAlign w:val="superscript"/>
              </w:rPr>
              <w:t>2</w:t>
            </w:r>
            <w:r w:rsidRPr="005779F4">
              <w:t xml:space="preserve"> panta sestajā daļā noteiktajiem UIN atlaides piemērošanas ierobežojumiem. Tāpat projekta iesniedzējs apliecina, ka investīciju projekta ietvaros ieguldījumi tiks veikti atbilstoši likumā „Par uzņēmumu ienākuma nodokli” 1.pantā divdesmit septītajā daļā ietvertajai sākotnējo ilgtermiņa ieguldījumu definīcijai.</w:t>
            </w:r>
          </w:p>
          <w:p w:rsidR="009C4843" w:rsidRPr="005779F4" w:rsidRDefault="009C4843" w:rsidP="009C4843">
            <w:pPr>
              <w:spacing w:after="60"/>
              <w:ind w:left="142" w:right="222" w:firstLine="709"/>
              <w:jc w:val="both"/>
            </w:pPr>
            <w:r w:rsidRPr="005779F4">
              <w:t xml:space="preserve">Savukārt Ministru kabineta noteikumu Nr.78 </w:t>
            </w:r>
            <w:r w:rsidR="00676EF6" w:rsidRPr="005779F4">
              <w:t>3</w:t>
            </w:r>
            <w:r w:rsidRPr="005779F4">
              <w:t>.pielikumā ir noteikti investīciju projektu vērtēšanas kritēriji, tai skaitā atbilstības kritēriji, kas ietver likuma „Par uzņēmuma ienākuma nodokli” 17.</w:t>
            </w:r>
            <w:r w:rsidRPr="005779F4">
              <w:rPr>
                <w:vertAlign w:val="superscript"/>
              </w:rPr>
              <w:t>2</w:t>
            </w:r>
            <w:r w:rsidRPr="005779F4">
              <w:t xml:space="preserve"> pantā ietvertos UIN atlaides saņemšanas un piemērošanas nosacījumus.</w:t>
            </w:r>
          </w:p>
          <w:p w:rsidR="009D2755" w:rsidRPr="005779F4" w:rsidRDefault="009C4843" w:rsidP="008319A5">
            <w:pPr>
              <w:pStyle w:val="Heading4"/>
              <w:spacing w:before="60" w:after="60"/>
              <w:ind w:left="142" w:right="221" w:firstLine="692"/>
              <w:contextualSpacing/>
              <w:jc w:val="both"/>
              <w:rPr>
                <w:rFonts w:ascii="Times New Roman" w:hAnsi="Times New Roman" w:cs="Times New Roman"/>
                <w:b w:val="0"/>
                <w:i w:val="0"/>
                <w:color w:val="auto"/>
              </w:rPr>
            </w:pPr>
            <w:r w:rsidRPr="005779F4">
              <w:rPr>
                <w:rFonts w:ascii="Times New Roman" w:hAnsi="Times New Roman" w:cs="Times New Roman"/>
                <w:b w:val="0"/>
                <w:i w:val="0"/>
                <w:color w:val="auto"/>
              </w:rPr>
              <w:t>2</w:t>
            </w:r>
            <w:r w:rsidR="009D2755" w:rsidRPr="005779F4">
              <w:rPr>
                <w:rFonts w:ascii="Times New Roman" w:hAnsi="Times New Roman" w:cs="Times New Roman"/>
                <w:b w:val="0"/>
                <w:i w:val="0"/>
                <w:color w:val="auto"/>
              </w:rPr>
              <w:t>013.gada 5.jūlijā stājās spēkā grozījumi likumā „Par uzņēmumu ienākuma nodokli”, kas paredz vairākas izmaiņas likuma „Par uzņēmumu ienākuma nodokli” 17.</w:t>
            </w:r>
            <w:r w:rsidR="009D2755" w:rsidRPr="005779F4">
              <w:rPr>
                <w:rFonts w:ascii="Times New Roman" w:hAnsi="Times New Roman" w:cs="Times New Roman"/>
                <w:b w:val="0"/>
                <w:i w:val="0"/>
                <w:color w:val="auto"/>
                <w:vertAlign w:val="superscript"/>
              </w:rPr>
              <w:t>2</w:t>
            </w:r>
            <w:r w:rsidR="009D2755" w:rsidRPr="005779F4">
              <w:rPr>
                <w:rFonts w:ascii="Times New Roman" w:hAnsi="Times New Roman" w:cs="Times New Roman"/>
                <w:b w:val="0"/>
                <w:i w:val="0"/>
                <w:color w:val="auto"/>
              </w:rPr>
              <w:t xml:space="preserve"> pantā noteiktās uzņēmumu ienākuma nodokļa (turp</w:t>
            </w:r>
            <w:r w:rsidR="008319A5" w:rsidRPr="005779F4">
              <w:rPr>
                <w:rFonts w:ascii="Times New Roman" w:hAnsi="Times New Roman" w:cs="Times New Roman"/>
                <w:b w:val="0"/>
                <w:i w:val="0"/>
                <w:color w:val="auto"/>
              </w:rPr>
              <w:t>māk – UIN) atlaides piemērošanā, citu starpā:</w:t>
            </w:r>
          </w:p>
          <w:p w:rsidR="008319A5" w:rsidRPr="005779F4" w:rsidRDefault="008319A5" w:rsidP="00A20C85">
            <w:pPr>
              <w:spacing w:after="60"/>
              <w:ind w:left="142" w:right="81"/>
              <w:jc w:val="both"/>
            </w:pPr>
            <w:r w:rsidRPr="005779F4">
              <w:t>1. g</w:t>
            </w:r>
            <w:r w:rsidR="009C4843" w:rsidRPr="005779F4">
              <w:t>rozījumi likumā „</w:t>
            </w:r>
            <w:r w:rsidRPr="005779F4">
              <w:t>Par uzņēmumu ienākuma nodokli</w:t>
            </w:r>
            <w:r w:rsidR="009C4843" w:rsidRPr="005779F4">
              <w:t>”</w:t>
            </w:r>
            <w:r w:rsidRPr="005779F4">
              <w:t xml:space="preserve"> precizē sākotnējo ilgtermiņa ieguldījumu definīciju, nosakot, ka par sākotnējiem ilgtermiņa ieguldījumiem uzskata arī jaunu ražošanas tehnoloģisko iekārtu un telekomunikāciju un </w:t>
            </w:r>
            <w:proofErr w:type="spellStart"/>
            <w:r w:rsidRPr="005779F4">
              <w:t>datorprogrammēšanas</w:t>
            </w:r>
            <w:proofErr w:type="spellEnd"/>
            <w:r w:rsidRPr="005779F4">
              <w:t xml:space="preserve"> iekārtu, cauruļvadi, sakaru un </w:t>
            </w:r>
            <w:r w:rsidRPr="005779F4">
              <w:lastRenderedPageBreak/>
              <w:t xml:space="preserve">elektropārvades līniju (būvju klasifikācijas kods 22) </w:t>
            </w:r>
            <w:proofErr w:type="spellStart"/>
            <w:r w:rsidRPr="005779F4">
              <w:t>palīgiekārtas</w:t>
            </w:r>
            <w:proofErr w:type="spellEnd"/>
            <w:r w:rsidRPr="005779F4">
              <w:t>, kas nodrošina to pilna ražošanas vai pakalpojumu sniegšanas cikla tehnoloģisko operāciju kopumu, ja minētie ilgtermiņa ieguldījumi izmantojami nodokļa maksātāja saimnieciskās darbības veikšanai likuma „Par uzņēmumu ienākuma nodokli” 17.</w:t>
            </w:r>
            <w:r w:rsidRPr="005779F4">
              <w:rPr>
                <w:vertAlign w:val="superscript"/>
              </w:rPr>
              <w:t>2</w:t>
            </w:r>
            <w:r w:rsidRPr="005779F4">
              <w:t xml:space="preserve"> panta astotajā daļā norādītajās atbalstāmajās prioritārajās nozarēs un ir izpildītas šā likuma 17.</w:t>
            </w:r>
            <w:r w:rsidRPr="005779F4">
              <w:rPr>
                <w:vertAlign w:val="superscript"/>
              </w:rPr>
              <w:t>2</w:t>
            </w:r>
            <w:r w:rsidRPr="005779F4">
              <w:t xml:space="preserve"> panta ceturtās daļas 4.punktā minētās prasības.</w:t>
            </w:r>
          </w:p>
          <w:p w:rsidR="008319A5" w:rsidRPr="005779F4" w:rsidRDefault="008319A5" w:rsidP="00A20C85">
            <w:pPr>
              <w:spacing w:after="60"/>
              <w:ind w:left="142" w:right="81"/>
              <w:jc w:val="both"/>
            </w:pPr>
            <w:r w:rsidRPr="005779F4">
              <w:t>2. Tāpat grozījumi likumā „Par uzņēmumu ienākuma nodokli” precizē grūtībās nonākuša saimnieciskās darbības veicēja pazīmes, kurām izpildoties, komersantam nav tiesību piemērot likuma „Par uzņēmumu ienākuma nodokli” 17.</w:t>
            </w:r>
            <w:r w:rsidRPr="005779F4">
              <w:rPr>
                <w:vertAlign w:val="superscript"/>
              </w:rPr>
              <w:t>2</w:t>
            </w:r>
            <w:r w:rsidRPr="005779F4">
              <w:t xml:space="preserve"> pantā noteikto UIN atlaidi</w:t>
            </w:r>
            <w:r w:rsidR="00A21E4F" w:rsidRPr="005779F4">
              <w:t>, kā arī citus ierobežojumus UIN atlaides piemērošanai.</w:t>
            </w:r>
          </w:p>
          <w:p w:rsidR="008319A5" w:rsidRPr="005779F4" w:rsidRDefault="008319A5" w:rsidP="00A20C85">
            <w:pPr>
              <w:spacing w:after="60"/>
              <w:ind w:left="142" w:right="81"/>
              <w:jc w:val="both"/>
            </w:pPr>
            <w:r w:rsidRPr="005779F4">
              <w:t xml:space="preserve">3. </w:t>
            </w:r>
            <w:r w:rsidR="004553ED" w:rsidRPr="005779F4">
              <w:t xml:space="preserve">veiktie grozījumi likumā „Par uzņēmumu ienākuma nodokli” </w:t>
            </w:r>
            <w:r w:rsidRPr="005779F4">
              <w:t>nosaka, ka ieguldījumi ēkās un būvēs nedrīkst pārsniegt 40 procentus no kopējās sākotnējo ilgtermiņa ieguldījumu summas;</w:t>
            </w:r>
          </w:p>
          <w:p w:rsidR="008319A5" w:rsidRPr="005779F4" w:rsidRDefault="008319A5" w:rsidP="00A20C85">
            <w:pPr>
              <w:spacing w:after="120"/>
              <w:ind w:left="142" w:right="81"/>
              <w:jc w:val="both"/>
            </w:pPr>
            <w:r w:rsidRPr="005779F4">
              <w:t xml:space="preserve">4. </w:t>
            </w:r>
            <w:r w:rsidR="00A21E4F" w:rsidRPr="005779F4">
              <w:t>grozījumos noteikts</w:t>
            </w:r>
            <w:r w:rsidRPr="005779F4">
              <w:t>, ka gadījumā, ja nekustamais īpašums, kurā tiek veikti sākotnējie ilgtermiņa ieguldījumi, tiek nomāts no valsts vai pašvaldības, projekta iesniedzējam uz to ir jābūt ilgtermiņa nomas tiesībām vēl vismaz uz 12 gadiem pēc projekta uzsākšanas.</w:t>
            </w:r>
          </w:p>
          <w:p w:rsidR="00482908" w:rsidRPr="005779F4" w:rsidRDefault="009C4843" w:rsidP="00A20C85">
            <w:pPr>
              <w:spacing w:after="60"/>
              <w:ind w:left="142" w:right="81" w:firstLine="709"/>
              <w:jc w:val="both"/>
            </w:pPr>
            <w:r w:rsidRPr="005779F4">
              <w:t xml:space="preserve">Šobrīd Ministru kabineta noteikumu Nr.78 1.pielikuma 3.sadaļa „Projekta pieteikuma apliecinājums” un 3.pielikumā iekļautie atbilstības kritēriji </w:t>
            </w:r>
            <w:r w:rsidR="00CF73FE" w:rsidRPr="005779F4">
              <w:t xml:space="preserve">ietver normas, kas izriet no likuma „Par uzņēmumu ienākuma nodokli” redakcijas, kas bija spēkā līdz 2013.gada 5.jūlijam. </w:t>
            </w:r>
            <w:r w:rsidR="00FE3442" w:rsidRPr="005779F4">
              <w:t>Ņemot vērā veiktos grozījumus likumā „Par uzņēmumu ienākuma nodokli”, nepieciešams redakcionāli precizēt Ministru kabineta noteikumu</w:t>
            </w:r>
            <w:r w:rsidR="009D2755" w:rsidRPr="005779F4">
              <w:t xml:space="preserve"> Nr.78</w:t>
            </w:r>
            <w:r w:rsidR="00FE3442" w:rsidRPr="005779F4">
              <w:t xml:space="preserve"> 1.pielikuma 3.sadaļu „Projekta pieteikuma apliecinājums” un 3.pielikuma atbilstības kritērijus.</w:t>
            </w:r>
          </w:p>
          <w:p w:rsidR="00925750" w:rsidRPr="005779F4" w:rsidRDefault="00925750" w:rsidP="00A20C85">
            <w:pPr>
              <w:spacing w:after="60"/>
              <w:ind w:left="142" w:right="81" w:firstLine="709"/>
              <w:jc w:val="both"/>
            </w:pPr>
            <w:r w:rsidRPr="005779F4">
              <w:t xml:space="preserve">2013.gada 19.septembrī tika pieņemti grozījumi likumā „Par uzņēmumu ienākuma nodokli” (stāsies spēkā 2014.gada 1.janvārī), kas </w:t>
            </w:r>
            <w:r w:rsidR="00B74228" w:rsidRPr="005779F4">
              <w:t xml:space="preserve">paredz izteikt </w:t>
            </w:r>
            <w:proofErr w:type="spellStart"/>
            <w:r w:rsidR="00B74228" w:rsidRPr="005779F4">
              <w:rPr>
                <w:i/>
              </w:rPr>
              <w:t>euro</w:t>
            </w:r>
            <w:proofErr w:type="spellEnd"/>
            <w:r w:rsidR="00B74228" w:rsidRPr="005779F4">
              <w:t xml:space="preserve"> tās summas, kas šobrīd likumā noteiktas latos, cita starpā:</w:t>
            </w:r>
          </w:p>
          <w:p w:rsidR="00925750" w:rsidRPr="005779F4" w:rsidRDefault="00925750" w:rsidP="00A20C85">
            <w:pPr>
              <w:spacing w:after="60"/>
              <w:ind w:left="142" w:right="81" w:firstLine="709"/>
              <w:jc w:val="both"/>
            </w:pPr>
            <w:r w:rsidRPr="005779F4">
              <w:t xml:space="preserve">1) </w:t>
            </w:r>
            <w:r w:rsidR="009A4A40" w:rsidRPr="005779F4">
              <w:t>likuma „Par uzņēmumu ienākuma nodokli” 17.</w:t>
            </w:r>
            <w:r w:rsidR="009A4A40" w:rsidRPr="005779F4">
              <w:rPr>
                <w:vertAlign w:val="superscript"/>
              </w:rPr>
              <w:t>2</w:t>
            </w:r>
            <w:r w:rsidR="009A4A40" w:rsidRPr="005779F4">
              <w:t xml:space="preserve"> panta pirmās daļas 1. un 2.punktā, kā arī ceturtās daļas 6.punktā aizstāt skaitli un vārdus „35 miljoni latu” ar skaitli un vārdiem „50 miljoni </w:t>
            </w:r>
            <w:proofErr w:type="spellStart"/>
            <w:r w:rsidR="009A4A40" w:rsidRPr="005779F4">
              <w:rPr>
                <w:i/>
              </w:rPr>
              <w:t>euro</w:t>
            </w:r>
            <w:proofErr w:type="spellEnd"/>
            <w:r w:rsidR="009A4A40" w:rsidRPr="005779F4">
              <w:t>”, tādējādi nosakot</w:t>
            </w:r>
            <w:r w:rsidRPr="005779F4">
              <w:t xml:space="preserve">, ka nodokļa maksātājam ir tiesības par atbalstāmo investīciju projekta ietvaros veiktajiem sākotnējiem ilgtermiņa ieguldījumiem piemērot </w:t>
            </w:r>
            <w:r w:rsidR="00B74228" w:rsidRPr="005779F4">
              <w:t>UIN</w:t>
            </w:r>
            <w:r w:rsidRPr="005779F4">
              <w:t xml:space="preserve"> atlaidi 25 procentu apmērā no kopējās sākotnējās ilgtermiņa ieguldījumu summas līdz 50 miljoniem </w:t>
            </w:r>
            <w:proofErr w:type="spellStart"/>
            <w:r w:rsidRPr="005779F4">
              <w:rPr>
                <w:i/>
              </w:rPr>
              <w:t>euro</w:t>
            </w:r>
            <w:proofErr w:type="spellEnd"/>
            <w:r w:rsidRPr="005779F4">
              <w:rPr>
                <w:i/>
              </w:rPr>
              <w:t xml:space="preserve"> </w:t>
            </w:r>
            <w:r w:rsidR="00B74228" w:rsidRPr="005779F4">
              <w:rPr>
                <w:i/>
              </w:rPr>
              <w:t>(</w:t>
            </w:r>
            <w:r w:rsidR="00B74228" w:rsidRPr="005779F4">
              <w:t>iepriekš 35 miljoni latu</w:t>
            </w:r>
            <w:r w:rsidR="00B74228" w:rsidRPr="005779F4">
              <w:rPr>
                <w:i/>
              </w:rPr>
              <w:t xml:space="preserve">) </w:t>
            </w:r>
            <w:r w:rsidRPr="005779F4">
              <w:t xml:space="preserve">un 15 procentu apmērā no kopējās sākotnējās ilgtermiņa ieguldījumu summas daļai, kas pārsniedz 50 miljonus </w:t>
            </w:r>
            <w:proofErr w:type="spellStart"/>
            <w:r w:rsidRPr="005779F4">
              <w:rPr>
                <w:i/>
              </w:rPr>
              <w:t>euro</w:t>
            </w:r>
            <w:proofErr w:type="spellEnd"/>
            <w:r w:rsidR="00B74228" w:rsidRPr="005779F4">
              <w:rPr>
                <w:i/>
              </w:rPr>
              <w:t xml:space="preserve"> </w:t>
            </w:r>
            <w:r w:rsidR="00B74228" w:rsidRPr="005779F4">
              <w:t>(iepriekš 35 miljoni latu)</w:t>
            </w:r>
            <w:r w:rsidRPr="005779F4">
              <w:t>;</w:t>
            </w:r>
          </w:p>
          <w:p w:rsidR="00925750" w:rsidRPr="005779F4" w:rsidRDefault="009A4A40" w:rsidP="00A20C85">
            <w:pPr>
              <w:spacing w:after="60"/>
              <w:ind w:left="142" w:right="81" w:firstLine="709"/>
              <w:jc w:val="both"/>
            </w:pPr>
            <w:r w:rsidRPr="005779F4">
              <w:lastRenderedPageBreak/>
              <w:t>2</w:t>
            </w:r>
            <w:r w:rsidR="00925750" w:rsidRPr="005779F4">
              <w:t xml:space="preserve">) </w:t>
            </w:r>
            <w:r w:rsidRPr="005779F4">
              <w:t>likumā „Par uzņēmumu ienākuma nodokli” 17.</w:t>
            </w:r>
            <w:r w:rsidRPr="005779F4">
              <w:rPr>
                <w:vertAlign w:val="superscript"/>
              </w:rPr>
              <w:t xml:space="preserve">2 </w:t>
            </w:r>
            <w:r w:rsidRPr="005779F4">
              <w:t xml:space="preserve">panta sestās daļas 4.punktā aizstāt skaitli un vārdu „100 latus” ar skaitli un vārdu „150 </w:t>
            </w:r>
            <w:proofErr w:type="spellStart"/>
            <w:r w:rsidRPr="005779F4">
              <w:rPr>
                <w:i/>
              </w:rPr>
              <w:t>euro</w:t>
            </w:r>
            <w:proofErr w:type="spellEnd"/>
            <w:r w:rsidRPr="005779F4">
              <w:t xml:space="preserve">”, tādējādi </w:t>
            </w:r>
            <w:r w:rsidR="00B74228" w:rsidRPr="005779F4">
              <w:t>no</w:t>
            </w:r>
            <w:r w:rsidRPr="005779F4">
              <w:t>sakot</w:t>
            </w:r>
            <w:r w:rsidR="00B74228" w:rsidRPr="005779F4">
              <w:t xml:space="preserve">, ka UIN atlaidi nevar piemēro nodokļa maksātājs, kuram nodokļu parāda kopsumma pārsniedz 150 </w:t>
            </w:r>
            <w:proofErr w:type="spellStart"/>
            <w:r w:rsidR="00B74228" w:rsidRPr="005779F4">
              <w:rPr>
                <w:i/>
              </w:rPr>
              <w:t>euro</w:t>
            </w:r>
            <w:proofErr w:type="spellEnd"/>
            <w:r w:rsidR="00B74228" w:rsidRPr="005779F4">
              <w:t xml:space="preserve"> (iepriekš 100 lati), izņemot nodokļu maksājumus, kuru maksāšanas termiņi ir pagarināti saskaņā ar likumu „Par nodokļiem un nodevām”.</w:t>
            </w:r>
          </w:p>
          <w:p w:rsidR="0047348C" w:rsidRPr="005779F4" w:rsidRDefault="0047348C" w:rsidP="00A20C85">
            <w:pPr>
              <w:spacing w:after="60"/>
              <w:ind w:left="142" w:right="81" w:firstLine="709"/>
              <w:jc w:val="both"/>
            </w:pPr>
            <w:r w:rsidRPr="005779F4">
              <w:t xml:space="preserve">Šobrīd Ministru kabineta noteikumu Nr.78 19.punkta un 20.punkta ievaddaļa, 21.punkts un 37.punkts satur atsauces uz latiem, šo noteikumu 1.pielikumā un 2.pielikumā ir lietots saīsinājums „LVL”, kā arī 3.pielikuma 1.3., 2.6. un 3.1.apakšpunktos </w:t>
            </w:r>
            <w:r w:rsidR="00D759B0" w:rsidRPr="005779F4">
              <w:t xml:space="preserve">naudas summas ir noteiktas latos, līdz ar to, ņemot vērā pieņemtos grozījumus likumā „Par uzņēmumu ienākuma nodokli”, kā arī </w:t>
            </w:r>
            <w:proofErr w:type="spellStart"/>
            <w:r w:rsidR="00D759B0" w:rsidRPr="005779F4">
              <w:rPr>
                <w:i/>
              </w:rPr>
              <w:t>Euro</w:t>
            </w:r>
            <w:proofErr w:type="spellEnd"/>
            <w:r w:rsidR="00D759B0" w:rsidRPr="005779F4">
              <w:t xml:space="preserve"> ieviešanas kārtības likuma 30.panta pirmajā daļā un Ministru kabineta 2012.gada 27.jūnija rīkojuma Nr.282 „Par „Koncepciju par normatīvo aktu sakārtošanu saistībā ar eiro ieviešanu Latvijā”” 7.2.apakšpunktā noteikto, nepieciešams Ministru kabineta noteikumos Nr.78 izteikt </w:t>
            </w:r>
            <w:proofErr w:type="spellStart"/>
            <w:r w:rsidR="00D759B0" w:rsidRPr="005779F4">
              <w:rPr>
                <w:i/>
              </w:rPr>
              <w:t>euro</w:t>
            </w:r>
            <w:proofErr w:type="spellEnd"/>
            <w:r w:rsidR="00D759B0" w:rsidRPr="005779F4">
              <w:t xml:space="preserve"> tās summas, kas šobrīd ir noteiktas latos.</w:t>
            </w:r>
          </w:p>
          <w:p w:rsidR="00B74228" w:rsidRPr="005779F4" w:rsidRDefault="00B74228" w:rsidP="00A20C85">
            <w:pPr>
              <w:spacing w:after="60"/>
              <w:ind w:left="142" w:right="81" w:firstLine="709"/>
              <w:jc w:val="both"/>
            </w:pPr>
            <w:r w:rsidRPr="005779F4">
              <w:t xml:space="preserve">Tāpat 2013.gada 6.novembrī Saeima 2.lasījumā </w:t>
            </w:r>
            <w:r w:rsidR="005A3C77" w:rsidRPr="005779F4">
              <w:t>pieņēma</w:t>
            </w:r>
            <w:r w:rsidRPr="005779F4">
              <w:t xml:space="preserve"> grozījumus likumā „Par uzņēmumu ienākuma nodokli”</w:t>
            </w:r>
            <w:r w:rsidR="00B71D93" w:rsidRPr="005779F4">
              <w:t xml:space="preserve"> (stāsies spēkā 2014.gada 1.janvārī)</w:t>
            </w:r>
            <w:r w:rsidRPr="005779F4">
              <w:t>, kas cita starpā paredz:</w:t>
            </w:r>
          </w:p>
          <w:p w:rsidR="004D642E" w:rsidRPr="005779F4" w:rsidRDefault="004D642E" w:rsidP="00A20C85">
            <w:pPr>
              <w:pStyle w:val="ListParagraph0"/>
              <w:numPr>
                <w:ilvl w:val="0"/>
                <w:numId w:val="6"/>
              </w:numPr>
              <w:spacing w:after="60"/>
              <w:ind w:right="81"/>
              <w:jc w:val="both"/>
              <w:rPr>
                <w:sz w:val="24"/>
                <w:szCs w:val="24"/>
              </w:rPr>
            </w:pPr>
            <w:r w:rsidRPr="005779F4">
              <w:rPr>
                <w:sz w:val="24"/>
                <w:szCs w:val="24"/>
              </w:rPr>
              <w:t>likuma „Par uzņēmumu ienākuma nodokli” 17.</w:t>
            </w:r>
            <w:r w:rsidRPr="005779F4">
              <w:rPr>
                <w:sz w:val="24"/>
                <w:szCs w:val="24"/>
                <w:vertAlign w:val="superscript"/>
              </w:rPr>
              <w:t>2</w:t>
            </w:r>
            <w:r w:rsidRPr="005779F4">
              <w:rPr>
                <w:sz w:val="24"/>
                <w:szCs w:val="24"/>
              </w:rPr>
              <w:t xml:space="preserve"> panta ceturtās daļas 1.punktā noteikt, ka minimālais sākotnējo ilgtermiņu slieksnis no 2014.gada 1.janvāra tiek paaugstināts līdz 10 miljoniem </w:t>
            </w:r>
            <w:proofErr w:type="spellStart"/>
            <w:r w:rsidRPr="005779F4">
              <w:rPr>
                <w:i/>
                <w:sz w:val="24"/>
                <w:szCs w:val="24"/>
              </w:rPr>
              <w:t>euro</w:t>
            </w:r>
            <w:proofErr w:type="spellEnd"/>
            <w:r w:rsidRPr="005779F4">
              <w:rPr>
                <w:sz w:val="24"/>
                <w:szCs w:val="24"/>
              </w:rPr>
              <w:t>, līdzšinējo 3 miljonu latu vietā;</w:t>
            </w:r>
          </w:p>
          <w:p w:rsidR="004D642E" w:rsidRPr="005779F4" w:rsidRDefault="00A20C85" w:rsidP="00A20C85">
            <w:pPr>
              <w:pStyle w:val="ListParagraph0"/>
              <w:numPr>
                <w:ilvl w:val="0"/>
                <w:numId w:val="6"/>
              </w:numPr>
              <w:spacing w:after="60"/>
              <w:ind w:right="81"/>
              <w:jc w:val="both"/>
              <w:rPr>
                <w:sz w:val="24"/>
                <w:szCs w:val="24"/>
              </w:rPr>
            </w:pPr>
            <w:r w:rsidRPr="005779F4">
              <w:rPr>
                <w:sz w:val="24"/>
                <w:szCs w:val="24"/>
              </w:rPr>
              <w:t>likuma „Par uzņēmumu ienākuma nodokli” pārejas noteikumu 99.punktā noteikt, ka šā likuma 17.</w:t>
            </w:r>
            <w:r w:rsidRPr="005779F4">
              <w:rPr>
                <w:sz w:val="24"/>
                <w:szCs w:val="24"/>
                <w:vertAlign w:val="superscript"/>
              </w:rPr>
              <w:t>2</w:t>
            </w:r>
            <w:r w:rsidRPr="005779F4">
              <w:rPr>
                <w:sz w:val="24"/>
                <w:szCs w:val="24"/>
              </w:rPr>
              <w:t xml:space="preserve"> panta normas piemērojamas atbalstāmo investīciju projektiem, par kuriem Ministru kabinets ir pieņēmis lēmumu līdz 2014.gada 30.jūnijam </w:t>
            </w:r>
            <w:r w:rsidR="00A43C6C" w:rsidRPr="005779F4">
              <w:rPr>
                <w:sz w:val="24"/>
                <w:szCs w:val="24"/>
              </w:rPr>
              <w:t xml:space="preserve">(iepriekš 2013.gada 31.decembrim) </w:t>
            </w:r>
            <w:r w:rsidRPr="005779F4">
              <w:rPr>
                <w:sz w:val="24"/>
                <w:szCs w:val="24"/>
              </w:rPr>
              <w:t>un kuri pabeigti līdz 2019.gada 30.jūnijam</w:t>
            </w:r>
            <w:r w:rsidR="00A43C6C" w:rsidRPr="005779F4">
              <w:rPr>
                <w:sz w:val="24"/>
                <w:szCs w:val="24"/>
              </w:rPr>
              <w:t xml:space="preserve"> (iepriekš 2018.gada 31.decembrim)</w:t>
            </w:r>
            <w:r w:rsidRPr="005779F4">
              <w:rPr>
                <w:sz w:val="24"/>
                <w:szCs w:val="24"/>
              </w:rPr>
              <w:t>, ievērojot Komisijas 2008.gada 6.augusta regulu (EK) Nr.800/2008, kas atzīst noteiktas atbalsta kategorijas par saderīgām ar kopējo tirgu, piemērojot Līguma 87. un 88.pantu (vispārējā grupu atbrīvojuma regula)</w:t>
            </w:r>
            <w:r w:rsidR="00796584" w:rsidRPr="005779F4">
              <w:rPr>
                <w:sz w:val="24"/>
                <w:szCs w:val="24"/>
              </w:rPr>
              <w:t xml:space="preserve"> (turpmāk – EK regula Nr.800)</w:t>
            </w:r>
            <w:r w:rsidRPr="005779F4">
              <w:rPr>
                <w:sz w:val="24"/>
                <w:szCs w:val="24"/>
              </w:rPr>
              <w:t>.</w:t>
            </w:r>
          </w:p>
          <w:p w:rsidR="00796584" w:rsidRPr="005779F4" w:rsidRDefault="00796584" w:rsidP="00796584">
            <w:pPr>
              <w:spacing w:after="60"/>
              <w:ind w:left="142" w:right="79" w:firstLine="720"/>
              <w:jc w:val="both"/>
            </w:pPr>
            <w:r w:rsidRPr="005779F4">
              <w:t xml:space="preserve">Paskaidrojam, ka </w:t>
            </w:r>
            <w:r w:rsidR="00A43C6C" w:rsidRPr="005779F4">
              <w:t xml:space="preserve">valsts atbalsta programma  „Uzņēmuma ienākuma nodokļa atlaide par veiktajiem sākotnējiem ilgtermiņa ieguldījumiem” ir izstrādāta saskaņā ar EK regulu Nr.800, kuras </w:t>
            </w:r>
            <w:r w:rsidR="00A5647B" w:rsidRPr="005779F4">
              <w:t xml:space="preserve">45.pantā tika noteikts, ka minēto regulu piemēro līdz 2013.gada 31.decembrim. Informējam, ka </w:t>
            </w:r>
            <w:r w:rsidRPr="005779F4">
              <w:t xml:space="preserve">2013.gada 29.novembrī </w:t>
            </w:r>
            <w:r w:rsidR="00A43C6C" w:rsidRPr="005779F4">
              <w:t xml:space="preserve">Eiropas Komisija ir pieņēmusi Komisijas 2013.gada 29.novembra regulu (ES) Nr.1224/2013 ar ko groza Regulu (EK) Nr.800/2008 attiecībā uz tās </w:t>
            </w:r>
            <w:r w:rsidR="00A43C6C" w:rsidRPr="005779F4">
              <w:lastRenderedPageBreak/>
              <w:t>piemērošanas termiņu, saskaņā ar kuru, EK regulas Nr.800 piemērošanas termiņš ir pagarināts līdz 2014.gada 30.jūnijam.</w:t>
            </w:r>
          </w:p>
          <w:p w:rsidR="00A12E0F" w:rsidRPr="005779F4" w:rsidRDefault="006F1B44" w:rsidP="00A20C85">
            <w:pPr>
              <w:spacing w:after="60"/>
              <w:ind w:left="142" w:right="81" w:firstLine="709"/>
              <w:jc w:val="both"/>
            </w:pPr>
            <w:r w:rsidRPr="005779F4">
              <w:t>Ņ</w:t>
            </w:r>
            <w:r w:rsidR="004A7889" w:rsidRPr="005779F4">
              <w:t xml:space="preserve">emot vērā, ka </w:t>
            </w:r>
            <w:r w:rsidR="00A5647B" w:rsidRPr="005779F4">
              <w:t>ar 2013.gada 6.novembra grozījumiem likumā „Par uzņēmumu ienākuma nodokli”, kas stāsies spēkā 2014.gada 1.janvārī, Ministru kabineta lēmumu par atbalstāmo investīciju projekta statusa piešķiršanu termiņš tiek pagarināts līdz 2014.gada 30.jūnijam</w:t>
            </w:r>
            <w:r w:rsidR="004A7889" w:rsidRPr="005779F4">
              <w:t xml:space="preserve">, Ministru kabineta noteikumos Nr.78 nepieciešams </w:t>
            </w:r>
            <w:r w:rsidR="00A12E0F" w:rsidRPr="005779F4">
              <w:t>noteikt, ka atbalstāmo investīciju projektu pieteikumus var iesniegt Ekonomikas ministrijā līdz 2014.gada 31.martam (ņemot vērā, ka atbilstoši likuma „Par uzņēmumu ienākuma nodokli” 17.</w:t>
            </w:r>
            <w:r w:rsidR="00A12E0F" w:rsidRPr="005779F4">
              <w:rPr>
                <w:vertAlign w:val="superscript"/>
              </w:rPr>
              <w:t>2</w:t>
            </w:r>
            <w:r w:rsidR="00A12E0F" w:rsidRPr="005779F4">
              <w:t xml:space="preserve"> panta ceturtās daļas 6.punktam Ministru kabinets lēmumu par atbalstāmo investīciju projekta atbalstīšanu vai atteikumu pieņem triju mēnešu laikā no dienas, kad atbalstāmo investīciju projekts ir saņemts Ekonomikas ministrijā).</w:t>
            </w:r>
          </w:p>
          <w:p w:rsidR="00A12E0F" w:rsidRPr="005779F4" w:rsidRDefault="00A12E0F" w:rsidP="00A20C85">
            <w:pPr>
              <w:spacing w:after="60"/>
              <w:ind w:left="142" w:right="81" w:firstLine="709"/>
              <w:jc w:val="both"/>
            </w:pPr>
            <w:r w:rsidRPr="005779F4">
              <w:t>Tāpat</w:t>
            </w:r>
            <w:r w:rsidR="005A3C77" w:rsidRPr="005779F4">
              <w:t>,</w:t>
            </w:r>
            <w:r w:rsidRPr="005779F4">
              <w:t xml:space="preserve"> </w:t>
            </w:r>
            <w:r w:rsidR="005A3C77" w:rsidRPr="005779F4">
              <w:t xml:space="preserve">ņemot vērā Saeimas 2013.gada 6.novembrī pieņemtos grozījumus likumā „Par uzņēmumu ienākuma nodokli”, </w:t>
            </w:r>
            <w:r w:rsidRPr="005779F4">
              <w:t xml:space="preserve">nepieciešams veikt </w:t>
            </w:r>
            <w:r w:rsidR="005A3C77" w:rsidRPr="005779F4">
              <w:t xml:space="preserve">attiecīgus </w:t>
            </w:r>
            <w:r w:rsidRPr="005779F4">
              <w:t>grozījumus Ministru kabineta noteikumu Nr.78 3.pielikuma 1.3., 1.4. un 3.1.apakšpunktos</w:t>
            </w:r>
            <w:r w:rsidR="005A3C77" w:rsidRPr="005779F4">
              <w:t>.</w:t>
            </w:r>
          </w:p>
          <w:p w:rsidR="00A35193" w:rsidRPr="005779F4" w:rsidRDefault="006F1B44" w:rsidP="00A20C85">
            <w:pPr>
              <w:spacing w:after="60"/>
              <w:ind w:left="142" w:right="81" w:firstLine="709"/>
              <w:jc w:val="both"/>
            </w:pPr>
            <w:r w:rsidRPr="005779F4">
              <w:t xml:space="preserve">Investīciju projektu vērtēšanas komisija praksē ir saskārusies ar gadījumiem, kad tās rīcībā nav pietiekoši daudz informācijas, lai pilnvērtīgi izvērtētu iesniegto investīciju projektu atbilstību Ministru kabineta noteikumu Nr.78 3.pielikumā iekļautajiem projektu vērtēšanas kritērijiem, piemēram, nav sniegts pietiekami detalizēts </w:t>
            </w:r>
            <w:r w:rsidR="00BE1788" w:rsidRPr="005779F4">
              <w:t>projekta ietvaros ražoto produktu raksturojums</w:t>
            </w:r>
            <w:r w:rsidRPr="005779F4">
              <w:t xml:space="preserve">, kas </w:t>
            </w:r>
            <w:r w:rsidR="00BE1788" w:rsidRPr="005779F4">
              <w:t>komisijai ļautu pārliecināties, ka minētais produkts uzskatāms par jaunu produktu.</w:t>
            </w:r>
            <w:r w:rsidRPr="005779F4">
              <w:t xml:space="preserve"> Komisijas ieskatā nav samērīgi noraidīt projektu pieteikumu gadījumos, kad projekta iesniedzējs sākotnēji nav nodrošinājis visu nepieciešamo informāciju projekta pilnvērtīgai izvērtē</w:t>
            </w:r>
            <w:r w:rsidR="00BE1788" w:rsidRPr="005779F4">
              <w:t>šanai. Turklāt Ministru kabineta noteikumi Nr.78 paredz arī negatīvi novērtētu projektu virzīšanu lēmumu pieņemšanai Ministru kabinetā, kas noved pie nelietderīga resursu patēriņa, ņemot vērā, ka negatīva lēmuma gadījumā, projekta iesniedzējam atbilstoši likuma „Par uzņēmumu ienākuma nodokli” normām nav aizliegts atkārtoti iesniegt projektu izvērtēšanai Ekonomikas ministrijā. Ievērojot iepriekš minēto, nepieciešams Ministru kabineta noteikumus Nr.78 papildināt ar normu, kas paredz tiesības komisijai lūgt projekta iesniedzēju iesniegt papildus informāciju par projektu.</w:t>
            </w:r>
          </w:p>
        </w:tc>
      </w:tr>
      <w:tr w:rsidR="006F48A7" w:rsidRPr="006F48A7" w:rsidTr="006D7E5F">
        <w:trPr>
          <w:trHeight w:val="717"/>
        </w:trPr>
        <w:tc>
          <w:tcPr>
            <w:tcW w:w="431" w:type="dxa"/>
          </w:tcPr>
          <w:p w:rsidR="006F48A7" w:rsidRPr="006F48A7" w:rsidRDefault="006F48A7" w:rsidP="00D01A33">
            <w:pPr>
              <w:pStyle w:val="naiskr"/>
              <w:spacing w:before="0" w:after="0"/>
              <w:jc w:val="center"/>
            </w:pPr>
            <w:r w:rsidRPr="006F48A7">
              <w:lastRenderedPageBreak/>
              <w:t>3.</w:t>
            </w:r>
          </w:p>
        </w:tc>
        <w:tc>
          <w:tcPr>
            <w:tcW w:w="3118" w:type="dxa"/>
          </w:tcPr>
          <w:p w:rsidR="006F48A7" w:rsidRPr="006F48A7" w:rsidRDefault="006F48A7" w:rsidP="00D01A33">
            <w:pPr>
              <w:pStyle w:val="naiskr"/>
              <w:spacing w:before="60" w:after="60"/>
              <w:ind w:left="142" w:right="142"/>
            </w:pPr>
            <w:r w:rsidRPr="006F48A7">
              <w:t>Saistītie politikas ietekmes novērtējumi un pētījumi</w:t>
            </w:r>
          </w:p>
        </w:tc>
        <w:tc>
          <w:tcPr>
            <w:tcW w:w="6176" w:type="dxa"/>
          </w:tcPr>
          <w:p w:rsidR="006F48A7" w:rsidRPr="005779F4" w:rsidRDefault="00E47844" w:rsidP="00D01A33">
            <w:pPr>
              <w:pStyle w:val="FootnoteText"/>
              <w:spacing w:before="60"/>
              <w:ind w:left="142" w:right="79"/>
              <w:rPr>
                <w:sz w:val="24"/>
                <w:szCs w:val="24"/>
              </w:rPr>
            </w:pPr>
            <w:r w:rsidRPr="005779F4">
              <w:rPr>
                <w:sz w:val="24"/>
                <w:szCs w:val="24"/>
              </w:rPr>
              <w:t>Projekts šo jomu neskar</w:t>
            </w:r>
            <w:r w:rsidR="00B04FD8" w:rsidRPr="005779F4">
              <w:rPr>
                <w:sz w:val="24"/>
                <w:szCs w:val="24"/>
              </w:rPr>
              <w:t>.</w:t>
            </w:r>
          </w:p>
        </w:tc>
      </w:tr>
      <w:tr w:rsidR="006F48A7" w:rsidRPr="006F48A7" w:rsidTr="002161F7">
        <w:trPr>
          <w:trHeight w:val="384"/>
        </w:trPr>
        <w:tc>
          <w:tcPr>
            <w:tcW w:w="431" w:type="dxa"/>
          </w:tcPr>
          <w:p w:rsidR="006F48A7" w:rsidRPr="006F48A7" w:rsidRDefault="006F48A7" w:rsidP="00D01A33">
            <w:pPr>
              <w:pStyle w:val="naiskr"/>
              <w:spacing w:before="0" w:after="0"/>
              <w:jc w:val="center"/>
            </w:pPr>
            <w:r w:rsidRPr="006F48A7">
              <w:t>4.</w:t>
            </w:r>
          </w:p>
        </w:tc>
        <w:tc>
          <w:tcPr>
            <w:tcW w:w="3118" w:type="dxa"/>
          </w:tcPr>
          <w:p w:rsidR="006F48A7" w:rsidRPr="006F48A7" w:rsidRDefault="006F48A7" w:rsidP="00D01A33">
            <w:pPr>
              <w:pStyle w:val="naiskr"/>
              <w:spacing w:before="60" w:after="60"/>
              <w:ind w:left="142" w:right="142"/>
            </w:pPr>
            <w:r w:rsidRPr="006F48A7">
              <w:t>Tiesiskā regulējuma mērķis un būtība</w:t>
            </w:r>
          </w:p>
        </w:tc>
        <w:tc>
          <w:tcPr>
            <w:tcW w:w="6176" w:type="dxa"/>
          </w:tcPr>
          <w:p w:rsidR="006F48A7" w:rsidRPr="005779F4" w:rsidRDefault="009D2755" w:rsidP="00B04FD8">
            <w:pPr>
              <w:pStyle w:val="naiskr"/>
              <w:spacing w:before="60" w:after="0"/>
              <w:ind w:left="142" w:right="222" w:firstLine="720"/>
              <w:jc w:val="both"/>
            </w:pPr>
            <w:r w:rsidRPr="005779F4">
              <w:t xml:space="preserve">Ministru kabineta noteikumu projekta „Grozījumi Ministru kabineta 2012.gada 24.janvāra noteikumos Nr.78 </w:t>
            </w:r>
            <w:r w:rsidRPr="005779F4">
              <w:lastRenderedPageBreak/>
              <w:t xml:space="preserve">„Atbalstāmo investīciju projekta apstiprināšanas un īstenošanas kārtība”” (turpmāk – noteikumu projekts) mērķis ir saskaņot Ministru kabineta noteikumos Nr.78 iekļauto regulējumu ar </w:t>
            </w:r>
            <w:r w:rsidR="00E47A22" w:rsidRPr="005779F4">
              <w:t>veiktajiem grozījumiem likumā „Par uzņēmumu ienākuma nodokli”</w:t>
            </w:r>
            <w:r w:rsidRPr="005779F4">
              <w:t xml:space="preserve">, </w:t>
            </w:r>
            <w:r w:rsidR="00271FF7" w:rsidRPr="005779F4">
              <w:t xml:space="preserve">tādējādi </w:t>
            </w:r>
            <w:r w:rsidR="006451F2" w:rsidRPr="005779F4">
              <w:t xml:space="preserve">nodrošinot pāreju uz </w:t>
            </w:r>
            <w:proofErr w:type="spellStart"/>
            <w:r w:rsidR="006451F2" w:rsidRPr="005779F4">
              <w:rPr>
                <w:i/>
              </w:rPr>
              <w:t>euro</w:t>
            </w:r>
            <w:proofErr w:type="spellEnd"/>
            <w:r w:rsidR="006451F2" w:rsidRPr="005779F4">
              <w:t xml:space="preserve">, </w:t>
            </w:r>
            <w:r w:rsidR="00293ABB" w:rsidRPr="005779F4">
              <w:t xml:space="preserve">nodokļu maksātājiem </w:t>
            </w:r>
            <w:r w:rsidR="006451F2" w:rsidRPr="005779F4">
              <w:t xml:space="preserve">iespēju iesniegt investīciju projektus pēc 2014.gada 1.janvāra, kā arī </w:t>
            </w:r>
            <w:r w:rsidR="00293ABB" w:rsidRPr="005779F4">
              <w:t>skaidrus iesniegto investīciju projektu vērtēšanas kritērijus.</w:t>
            </w:r>
          </w:p>
          <w:p w:rsidR="004C6442" w:rsidRPr="005779F4" w:rsidRDefault="004C6442" w:rsidP="00B04FD8">
            <w:pPr>
              <w:pStyle w:val="naiskr"/>
              <w:spacing w:before="60" w:after="0"/>
              <w:ind w:left="142" w:right="222" w:firstLine="720"/>
              <w:jc w:val="both"/>
            </w:pPr>
            <w:r w:rsidRPr="005779F4">
              <w:t>Ņemot vērā 2013.gada 6.novembrī veiktos grozījumus likuma „Par uzņēmumu ienākuma nodokli” pārejas noteikumu 99.punktā, kas paredz pagarināt Ministru kabineta lēmumu par atbalstāmo investīciju projekta statusu piešķiršanu pieņemšanas termiņu līdz 2014.gada 30.jūnijam, noteikumu projekts paredz veikt grozījumus Ministru kabineta noteikumu Nr.78 17.punktā, pagarinot investīciju projektu iesniegšanas termiņu līdz 2014.gada 31.martam.</w:t>
            </w:r>
          </w:p>
          <w:p w:rsidR="004C6442" w:rsidRPr="005779F4" w:rsidRDefault="004C6442" w:rsidP="00B04FD8">
            <w:pPr>
              <w:pStyle w:val="naiskr"/>
              <w:spacing w:before="60" w:after="0"/>
              <w:ind w:left="142" w:right="222" w:firstLine="720"/>
              <w:jc w:val="both"/>
            </w:pPr>
            <w:r w:rsidRPr="005779F4">
              <w:t xml:space="preserve">Tāpat noteikumu projekts paredz svītrot no Ministru kabineta noteikumu Nr.78 </w:t>
            </w:r>
            <w:r w:rsidR="00CD149B" w:rsidRPr="005779F4">
              <w:t>19., 20., 21. un 37.punkta vārdus „ekvivalentu latos”.</w:t>
            </w:r>
          </w:p>
          <w:p w:rsidR="004C6442" w:rsidRPr="005779F4" w:rsidRDefault="00CD149B" w:rsidP="004C6442">
            <w:pPr>
              <w:pStyle w:val="naiskr"/>
              <w:spacing w:before="60" w:after="0"/>
              <w:ind w:left="142" w:right="222" w:firstLine="720"/>
              <w:jc w:val="both"/>
            </w:pPr>
            <w:r w:rsidRPr="005779F4">
              <w:t>Noteikumu projekts paredz papildināt Ministru kabineta noteikumus Nr.78 ar jaunu 32.6.apakšpunktu, nosakot</w:t>
            </w:r>
            <w:r w:rsidR="004C6442" w:rsidRPr="005779F4">
              <w:t xml:space="preserve"> iespēju komisijai lūgt projekta iesniedzējam iesniegt papildus informāciju par projektu, ja komisijas rīcībā nav pietiekami daudz informācijas projekta izvērtēšanai atbilstoši noteikumu 3.pielikumā minētajiem atbilstības, administratīvajiem un kvalitātes kritērijiem.</w:t>
            </w:r>
          </w:p>
          <w:p w:rsidR="004C6442" w:rsidRPr="005779F4" w:rsidRDefault="00CD149B" w:rsidP="00B04FD8">
            <w:pPr>
              <w:pStyle w:val="naiskr"/>
              <w:spacing w:before="60" w:after="0"/>
              <w:ind w:left="142" w:right="222" w:firstLine="720"/>
              <w:jc w:val="both"/>
            </w:pPr>
            <w:r w:rsidRPr="005779F4">
              <w:t>Noteikumu projekts paredz aizstāt Ministru kabineta noteikumu Nr.78 1.pielikumā saīsinājumu „LVL” uz vārdu „</w:t>
            </w:r>
            <w:proofErr w:type="spellStart"/>
            <w:r w:rsidRPr="005779F4">
              <w:t>euro</w:t>
            </w:r>
            <w:proofErr w:type="spellEnd"/>
            <w:r w:rsidRPr="005779F4">
              <w:t>”.</w:t>
            </w:r>
          </w:p>
          <w:p w:rsidR="00725D9D" w:rsidRPr="005779F4" w:rsidRDefault="00CD149B" w:rsidP="00B04FD8">
            <w:pPr>
              <w:pStyle w:val="naiskr"/>
              <w:spacing w:before="60" w:after="0"/>
              <w:ind w:left="142" w:right="222" w:firstLine="720"/>
              <w:jc w:val="both"/>
            </w:pPr>
            <w:r w:rsidRPr="005779F4">
              <w:t>Lai saskaņotu Ministru kabineta noteikumu Nr.78 normas ar 2013.gada 5.jūlijā veiktajām izmaiņām likumā „Par uzņēmumu ienākuma nodokli” (2013.gada 6.jūnija likuma „Grozījumi likumā „Par uzņēmumu ienākuma nodokli””). n</w:t>
            </w:r>
            <w:r w:rsidR="00E47A22" w:rsidRPr="005779F4">
              <w:t xml:space="preserve">oteikumu projekts </w:t>
            </w:r>
            <w:r w:rsidR="00725D9D" w:rsidRPr="005779F4">
              <w:t>paredz veikt sekojošas izmaiņas</w:t>
            </w:r>
            <w:r w:rsidR="006451F2" w:rsidRPr="005779F4">
              <w:t xml:space="preserve"> Ministru kabineta noteikumu Nr.78 1.pielikuma 3.sadaļā „Projekta pieteikuma apliecinājums”</w:t>
            </w:r>
            <w:r w:rsidR="00725D9D" w:rsidRPr="005779F4">
              <w:t>:</w:t>
            </w:r>
          </w:p>
          <w:p w:rsidR="00725D9D" w:rsidRPr="005779F4" w:rsidRDefault="00725D9D" w:rsidP="00725D9D">
            <w:pPr>
              <w:pStyle w:val="naiskr"/>
              <w:numPr>
                <w:ilvl w:val="0"/>
                <w:numId w:val="3"/>
              </w:numPr>
              <w:spacing w:before="60" w:after="0"/>
              <w:ind w:left="709" w:right="222"/>
              <w:jc w:val="both"/>
            </w:pPr>
            <w:r w:rsidRPr="005779F4">
              <w:t>precizēt 3.1.apakšpunktu, redakcionāli saskaņojot ar likuma „Par uzņēmumu ienākuma nodokli” 17.</w:t>
            </w:r>
            <w:r w:rsidRPr="005779F4">
              <w:rPr>
                <w:vertAlign w:val="superscript"/>
              </w:rPr>
              <w:t>2</w:t>
            </w:r>
            <w:r w:rsidRPr="005779F4">
              <w:t xml:space="preserve"> panta sestās daļas 1.punktā noteikto ierobežojumu UIN atlaides piemērošanā;</w:t>
            </w:r>
          </w:p>
          <w:p w:rsidR="00725D9D" w:rsidRPr="005779F4" w:rsidRDefault="00725D9D" w:rsidP="00725D9D">
            <w:pPr>
              <w:pStyle w:val="naiskr"/>
              <w:numPr>
                <w:ilvl w:val="0"/>
                <w:numId w:val="3"/>
              </w:numPr>
              <w:spacing w:before="60" w:after="0"/>
              <w:ind w:left="709" w:right="222"/>
              <w:jc w:val="both"/>
            </w:pPr>
            <w:r w:rsidRPr="005779F4">
              <w:t>papildināt ar jaunu punktu (3.3.apakšpunkts), kas ietver likuma „Par uzņēmumu ienākuma nodokli” 17.</w:t>
            </w:r>
            <w:r w:rsidRPr="005779F4">
              <w:rPr>
                <w:vertAlign w:val="superscript"/>
              </w:rPr>
              <w:t>2</w:t>
            </w:r>
            <w:r w:rsidRPr="005779F4">
              <w:t xml:space="preserve"> panta sestās daļas 3.punktā noteiktās grūtībās nonākuša saimnieciskās darbības veicēja pazīmes</w:t>
            </w:r>
            <w:r w:rsidR="0062648B" w:rsidRPr="005779F4">
              <w:t>;</w:t>
            </w:r>
          </w:p>
          <w:p w:rsidR="0062648B" w:rsidRPr="005779F4" w:rsidRDefault="0062648B" w:rsidP="00725D9D">
            <w:pPr>
              <w:pStyle w:val="naiskr"/>
              <w:numPr>
                <w:ilvl w:val="0"/>
                <w:numId w:val="3"/>
              </w:numPr>
              <w:spacing w:before="60" w:after="0"/>
              <w:ind w:left="709" w:right="222"/>
              <w:jc w:val="both"/>
            </w:pPr>
            <w:r w:rsidRPr="005779F4">
              <w:t>precizēt 3.4.apakšpunktu atbilstoši likuma „Par uzņēmumu ienākuma nodokļa” 17.</w:t>
            </w:r>
            <w:r w:rsidRPr="005779F4">
              <w:rPr>
                <w:vertAlign w:val="superscript"/>
              </w:rPr>
              <w:t>2</w:t>
            </w:r>
            <w:r w:rsidRPr="005779F4">
              <w:t xml:space="preserve"> panta sestās daļas 4.punktam;</w:t>
            </w:r>
          </w:p>
          <w:p w:rsidR="0062648B" w:rsidRPr="005779F4" w:rsidRDefault="0062648B" w:rsidP="00725D9D">
            <w:pPr>
              <w:pStyle w:val="naiskr"/>
              <w:numPr>
                <w:ilvl w:val="0"/>
                <w:numId w:val="3"/>
              </w:numPr>
              <w:spacing w:before="60" w:after="0"/>
              <w:ind w:left="709" w:right="222"/>
              <w:jc w:val="both"/>
            </w:pPr>
            <w:r w:rsidRPr="005779F4">
              <w:lastRenderedPageBreak/>
              <w:t>mainīt 1.pielikuma 3.sadaļas punktu numerāciju;</w:t>
            </w:r>
          </w:p>
          <w:p w:rsidR="0062648B" w:rsidRPr="005779F4" w:rsidRDefault="0062648B" w:rsidP="00725D9D">
            <w:pPr>
              <w:pStyle w:val="naiskr"/>
              <w:numPr>
                <w:ilvl w:val="0"/>
                <w:numId w:val="3"/>
              </w:numPr>
              <w:spacing w:before="60" w:after="0"/>
              <w:ind w:left="709" w:right="222"/>
              <w:jc w:val="both"/>
            </w:pPr>
            <w:r w:rsidRPr="005779F4">
              <w:t xml:space="preserve">atbilstoši veiktajām izmaiņām likuma „Par uzņēmumu ienākuma nodokli” 1.panta </w:t>
            </w:r>
            <w:r w:rsidR="00924844" w:rsidRPr="005779F4">
              <w:t xml:space="preserve">divdesmit septītajā </w:t>
            </w:r>
            <w:r w:rsidRPr="005779F4">
              <w:t xml:space="preserve">daļā ietvertajā sākotnējo ilgtermiņa ieguldījumu definīcijā, redakcionāli precizēt 1.pielikuma 3.sadaļas </w:t>
            </w:r>
            <w:r w:rsidR="00924844" w:rsidRPr="005779F4">
              <w:t>devītās rindkopas apliecinājumu;</w:t>
            </w:r>
          </w:p>
          <w:p w:rsidR="00034FA7" w:rsidRPr="005779F4" w:rsidRDefault="00034FA7" w:rsidP="00034FA7">
            <w:pPr>
              <w:pStyle w:val="naiskr"/>
              <w:numPr>
                <w:ilvl w:val="0"/>
                <w:numId w:val="3"/>
              </w:numPr>
              <w:spacing w:before="60" w:after="0"/>
              <w:ind w:left="709" w:right="222"/>
              <w:jc w:val="both"/>
            </w:pPr>
            <w:r w:rsidRPr="005779F4">
              <w:t>Lai nodrošinātu skaidrāku un pārskatāmāku Ministru kabineta noteikumu Nr.78 1.pielikuma 3.sadaļas apliecinājumu, noteikumu projekts papildināts ar 1.pielikuma 3.sadaļas desmito rindkopu, kurā iekļautas atsevišķas normas, kas ietvertas likuma „Par uzņēmumu ienākuma nodokli” 1.panta divdesmit septītajā daļā, proti, projekta iesniedzējam ir jānodrošina, ka projekta ietvaros sākotnējie ilgtermiņa tiks izmantoti projekta iesniedzēja saimnieciskās darbības veikšanai likuma „Par uzņēmumu ienākuma nodokli” 17.</w:t>
            </w:r>
            <w:r w:rsidRPr="005779F4">
              <w:rPr>
                <w:vertAlign w:val="superscript"/>
              </w:rPr>
              <w:t>2</w:t>
            </w:r>
            <w:r w:rsidRPr="005779F4">
              <w:t xml:space="preserve"> panta astotajā daļā norādītajās atbalstāmajās prioritārajās nozarēs, vienlaikus izpildot likuma „Par uzņēmumu ienākuma nodokli” 17.</w:t>
            </w:r>
            <w:r w:rsidRPr="005779F4">
              <w:rPr>
                <w:vertAlign w:val="superscript"/>
              </w:rPr>
              <w:t>2</w:t>
            </w:r>
            <w:r w:rsidRPr="005779F4">
              <w:t xml:space="preserve"> panta ceturtās daļas 4.punktā minētās prasības.</w:t>
            </w:r>
          </w:p>
          <w:p w:rsidR="00CD149B" w:rsidRPr="005779F4" w:rsidRDefault="00CD149B" w:rsidP="00CD149B">
            <w:pPr>
              <w:pStyle w:val="naiskr"/>
              <w:spacing w:before="60" w:after="0"/>
              <w:ind w:left="352" w:right="221" w:firstLine="720"/>
              <w:jc w:val="both"/>
            </w:pPr>
            <w:r w:rsidRPr="005779F4">
              <w:t xml:space="preserve">Noteikumu projekts paredz </w:t>
            </w:r>
            <w:r w:rsidR="00F90DAB" w:rsidRPr="005779F4">
              <w:t>Ministru kabineta noteikumu Nr.78 2.pielikumā aizstāt saīsinājumu „LVL” ar vārdu „</w:t>
            </w:r>
            <w:proofErr w:type="spellStart"/>
            <w:r w:rsidR="00F90DAB" w:rsidRPr="005779F4">
              <w:t>euro</w:t>
            </w:r>
            <w:proofErr w:type="spellEnd"/>
            <w:r w:rsidR="00F90DAB" w:rsidRPr="005779F4">
              <w:t>”.</w:t>
            </w:r>
          </w:p>
          <w:p w:rsidR="00725D9D" w:rsidRPr="005779F4" w:rsidRDefault="002D64A2" w:rsidP="002D64A2">
            <w:pPr>
              <w:pStyle w:val="naiskr"/>
              <w:spacing w:before="60" w:after="60"/>
              <w:ind w:left="142" w:right="221" w:firstLine="720"/>
              <w:jc w:val="both"/>
            </w:pPr>
            <w:r w:rsidRPr="005779F4">
              <w:t>Ministru kabineta noteikumu Nr.78 3.pielikumā paredzēts veikt sekojošas izmaiņas:</w:t>
            </w:r>
          </w:p>
          <w:p w:rsidR="002D64A2" w:rsidRPr="005779F4" w:rsidRDefault="002D64A2" w:rsidP="002D64A2">
            <w:pPr>
              <w:pStyle w:val="naiskr"/>
              <w:numPr>
                <w:ilvl w:val="0"/>
                <w:numId w:val="4"/>
              </w:numPr>
              <w:spacing w:before="60" w:after="0"/>
              <w:ind w:left="709" w:right="222"/>
              <w:jc w:val="both"/>
            </w:pPr>
            <w:r w:rsidRPr="005779F4">
              <w:t>atbilstoši veiktajām izmaiņām likuma „Par uzņēmumu ienākuma nodokli” 1.panta 27.daļā ietvertajā sākotnējo ilgtermiņa ieguldījumu definīcijā, redakcionāli precizēts 1.2.kritērijs;</w:t>
            </w:r>
          </w:p>
          <w:p w:rsidR="006451F2" w:rsidRPr="005779F4" w:rsidRDefault="006451F2" w:rsidP="006451F2">
            <w:pPr>
              <w:pStyle w:val="naiskr"/>
              <w:numPr>
                <w:ilvl w:val="0"/>
                <w:numId w:val="4"/>
              </w:numPr>
              <w:spacing w:before="60" w:after="0"/>
              <w:ind w:left="709" w:right="222"/>
              <w:jc w:val="both"/>
            </w:pPr>
            <w:r w:rsidRPr="005779F4">
              <w:t xml:space="preserve">atbilstoši 2013.gada 6.novembrī </w:t>
            </w:r>
            <w:r w:rsidR="004C6442" w:rsidRPr="005779F4">
              <w:t xml:space="preserve">pieņemtajiem </w:t>
            </w:r>
            <w:r w:rsidRPr="005779F4">
              <w:t xml:space="preserve">grozījumiem likumā „Par uzņēmumu ienākuma nodokli”, </w:t>
            </w:r>
            <w:r w:rsidR="0023419F" w:rsidRPr="005779F4">
              <w:t xml:space="preserve">redakcionāli precizēts 1.3.kritērijs - </w:t>
            </w:r>
            <w:r w:rsidRPr="005779F4">
              <w:t xml:space="preserve">no 2014.gada 1.janvāra </w:t>
            </w:r>
            <w:r w:rsidR="0023419F" w:rsidRPr="005779F4">
              <w:t>kopējai sākotnējo</w:t>
            </w:r>
            <w:r w:rsidRPr="005779F4">
              <w:t xml:space="preserve"> ilgtermiņa ieguldījum</w:t>
            </w:r>
            <w:r w:rsidR="0023419F" w:rsidRPr="005779F4">
              <w:t xml:space="preserve">u summai ir jāpārsniedz </w:t>
            </w:r>
            <w:r w:rsidRPr="005779F4">
              <w:t xml:space="preserve">10 miljonus </w:t>
            </w:r>
            <w:proofErr w:type="spellStart"/>
            <w:r w:rsidRPr="005779F4">
              <w:rPr>
                <w:i/>
              </w:rPr>
              <w:t>euro</w:t>
            </w:r>
            <w:proofErr w:type="spellEnd"/>
            <w:r w:rsidR="0023419F" w:rsidRPr="005779F4">
              <w:t>, līdzšinējo 3 miljonu latu vietā;</w:t>
            </w:r>
          </w:p>
          <w:p w:rsidR="002D64A2" w:rsidRPr="005779F4" w:rsidRDefault="002D64A2" w:rsidP="002D64A2">
            <w:pPr>
              <w:pStyle w:val="naiskr"/>
              <w:numPr>
                <w:ilvl w:val="0"/>
                <w:numId w:val="4"/>
              </w:numPr>
              <w:spacing w:before="60" w:after="0"/>
              <w:ind w:left="709" w:right="222"/>
              <w:jc w:val="both"/>
            </w:pPr>
            <w:r w:rsidRPr="005779F4">
              <w:t>ņemot vērā, ka likuma „Par uzņēmumu ienākuma nodokli” 17.</w:t>
            </w:r>
            <w:r w:rsidRPr="005779F4">
              <w:rPr>
                <w:vertAlign w:val="superscript"/>
              </w:rPr>
              <w:t>2</w:t>
            </w:r>
            <w:r w:rsidRPr="005779F4">
              <w:t xml:space="preserve"> panta ceturtā daļa papildināta ar jaunu ierobežojumu UIN atlaides piemērošanai, proti,  ieguldījumi ēkās un būvēs nedrīkst pārsniegt 40 procentus no kopējās sākotnējo ilgtermiņa ieguldījumu summas, atbilstības kritēriji attiecīgi papildināti ar jaunu 1.4.kritēriju;</w:t>
            </w:r>
          </w:p>
          <w:p w:rsidR="0023419F" w:rsidRPr="005779F4" w:rsidRDefault="0023419F" w:rsidP="002D64A2">
            <w:pPr>
              <w:pStyle w:val="naiskr"/>
              <w:numPr>
                <w:ilvl w:val="0"/>
                <w:numId w:val="4"/>
              </w:numPr>
              <w:spacing w:before="60" w:after="0"/>
              <w:ind w:left="709" w:right="222"/>
              <w:jc w:val="both"/>
            </w:pPr>
            <w:r w:rsidRPr="005779F4">
              <w:t xml:space="preserve">atbilstoši 2013.gada 6.novembrī </w:t>
            </w:r>
            <w:r w:rsidR="004C6442" w:rsidRPr="005779F4">
              <w:t>pieņemtajiem</w:t>
            </w:r>
            <w:r w:rsidRPr="005779F4">
              <w:t xml:space="preserve"> grozījumiem likumā „Par uzņēmumu ienākuma nodokli”, redakcionāli precizēts esošais 1.4.kritērijs (jaunais 1.5.kritērijs</w:t>
            </w:r>
            <w:r w:rsidR="007F5CE4" w:rsidRPr="005779F4">
              <w:t>)</w:t>
            </w:r>
            <w:r w:rsidRPr="005779F4">
              <w:t xml:space="preserve"> – noteikts, ka sākotnējo ilgtermiņa ieguldījumu summa ir jāiegulda piecu gadu laikā, sākot no dienas, kurā Ministru kabinets ir </w:t>
            </w:r>
            <w:r w:rsidRPr="005779F4">
              <w:lastRenderedPageBreak/>
              <w:t>pieņēmis lēmumu par projekta atbalstīšanu, bet ne vēlāk kā līdz 2019.gada 30.jūnijam (līdz šim – 2018.gada 31.decembris);</w:t>
            </w:r>
          </w:p>
          <w:p w:rsidR="002D64A2" w:rsidRPr="005779F4" w:rsidRDefault="0084367D" w:rsidP="002D64A2">
            <w:pPr>
              <w:pStyle w:val="naiskr"/>
              <w:numPr>
                <w:ilvl w:val="0"/>
                <w:numId w:val="4"/>
              </w:numPr>
              <w:spacing w:before="60" w:after="0"/>
              <w:ind w:left="709" w:right="222"/>
              <w:jc w:val="both"/>
            </w:pPr>
            <w:r w:rsidRPr="005779F4">
              <w:t>atbilstoši veiktajiem grozījumiem likuma „Par uzņēmumu ienākuma nodokli” 17.</w:t>
            </w:r>
            <w:r w:rsidRPr="005779F4">
              <w:rPr>
                <w:vertAlign w:val="superscript"/>
              </w:rPr>
              <w:t>2</w:t>
            </w:r>
            <w:r w:rsidRPr="005779F4">
              <w:t xml:space="preserve"> panta ceturtās daļas 5.punktā, </w:t>
            </w:r>
            <w:r w:rsidR="002D64A2" w:rsidRPr="005779F4">
              <w:t xml:space="preserve">precizēts esošais 1.6.kritērijs (jaunais 1.7.kritērijs), nosakot, ka </w:t>
            </w:r>
            <w:r w:rsidRPr="005779F4">
              <w:t>gadījumā, ja nekustamais īpašums, kurā tiek veikti sākotnējie ilgtermiņa ieguldījumi, tiek nomāts no valsts vai pašvaldības, projekta iesniedzējam uz to ir jābūt ilgtermiņa nomas tiesībām vēl vismaz uz 12 gadiem pēc projekta uzsākšanas (iepriekšējo 13 gadu vietā);</w:t>
            </w:r>
          </w:p>
          <w:p w:rsidR="0084367D" w:rsidRPr="005779F4" w:rsidRDefault="0084367D" w:rsidP="0084367D">
            <w:pPr>
              <w:pStyle w:val="naiskr"/>
              <w:numPr>
                <w:ilvl w:val="0"/>
                <w:numId w:val="4"/>
              </w:numPr>
              <w:spacing w:before="60" w:after="0"/>
              <w:ind w:left="709" w:right="222"/>
              <w:jc w:val="both"/>
            </w:pPr>
            <w:r w:rsidRPr="005779F4">
              <w:t>atbilstoši veiktajiem grozījumiem likuma „Par uzņēmumu ienākuma nodokli” 17.</w:t>
            </w:r>
            <w:r w:rsidRPr="005779F4">
              <w:rPr>
                <w:vertAlign w:val="superscript"/>
              </w:rPr>
              <w:t>2</w:t>
            </w:r>
            <w:r w:rsidRPr="005779F4">
              <w:t xml:space="preserve"> panta sestās daļas 1.punktā, redakcionāli precizēts esošais 1.7.kritērijs (jaunais 1.8.kritērijs);</w:t>
            </w:r>
          </w:p>
          <w:p w:rsidR="0084367D" w:rsidRPr="005779F4" w:rsidRDefault="0084367D" w:rsidP="0084367D">
            <w:pPr>
              <w:pStyle w:val="naiskr"/>
              <w:numPr>
                <w:ilvl w:val="0"/>
                <w:numId w:val="4"/>
              </w:numPr>
              <w:spacing w:before="60" w:after="0"/>
              <w:ind w:left="709" w:right="222"/>
              <w:jc w:val="both"/>
            </w:pPr>
            <w:r w:rsidRPr="005779F4">
              <w:t>atbilstoši veiktajiem grozījumiem likuma „Par uzņēmumu ienākuma nodokli” 17.</w:t>
            </w:r>
            <w:r w:rsidRPr="005779F4">
              <w:rPr>
                <w:vertAlign w:val="superscript"/>
              </w:rPr>
              <w:t>2</w:t>
            </w:r>
            <w:r w:rsidRPr="005779F4">
              <w:t xml:space="preserve"> panta sestās daļas 3.punktā, atbilstības kritēriji papildināti ar jaunu 1.10.kritēriju, kas paredz turpmāk vērtēt projekta iesniedzēja atbilstību/neatbilstību grūtībās nonākuša saimnieciskās darbības veicēja pazīmēm;</w:t>
            </w:r>
          </w:p>
          <w:p w:rsidR="002F2098" w:rsidRPr="005779F4" w:rsidRDefault="0084367D" w:rsidP="004833F9">
            <w:pPr>
              <w:pStyle w:val="naiskr"/>
              <w:numPr>
                <w:ilvl w:val="0"/>
                <w:numId w:val="4"/>
              </w:numPr>
              <w:spacing w:before="60" w:after="0"/>
              <w:ind w:left="709" w:right="221" w:hanging="357"/>
              <w:jc w:val="both"/>
            </w:pPr>
            <w:r w:rsidRPr="005779F4">
              <w:t>atbilstoši veiktajiem grozījumiem likuma „Par uzņēmumu ienākuma nodokli” 17.</w:t>
            </w:r>
            <w:r w:rsidRPr="005779F4">
              <w:rPr>
                <w:vertAlign w:val="superscript"/>
              </w:rPr>
              <w:t>2</w:t>
            </w:r>
            <w:r w:rsidRPr="005779F4">
              <w:t xml:space="preserve"> panta sestās daļas 4.punktā, redakcionāli precizēts esošais 1.9.kri</w:t>
            </w:r>
            <w:r w:rsidR="0023419F" w:rsidRPr="005779F4">
              <w:t>tērijs (jaunais 1.11.kritērijs);</w:t>
            </w:r>
          </w:p>
          <w:p w:rsidR="0023419F" w:rsidRPr="005779F4" w:rsidRDefault="0023419F" w:rsidP="004833F9">
            <w:pPr>
              <w:pStyle w:val="naiskr"/>
              <w:numPr>
                <w:ilvl w:val="0"/>
                <w:numId w:val="4"/>
              </w:numPr>
              <w:spacing w:before="60" w:after="0"/>
              <w:ind w:left="709" w:right="221" w:hanging="357"/>
              <w:jc w:val="both"/>
            </w:pPr>
            <w:r w:rsidRPr="005779F4">
              <w:t>atbilstoši apstiprinātajiem grozījumiem likumā „Par uzņēmumu ienākuma nodokli”, precizēts 3.1.krit</w:t>
            </w:r>
            <w:r w:rsidR="007F5CE4" w:rsidRPr="005779F4">
              <w:t xml:space="preserve">ērijs - ieguldījumu summas latos aizstātas ar </w:t>
            </w:r>
            <w:proofErr w:type="spellStart"/>
            <w:r w:rsidR="007F5CE4" w:rsidRPr="005779F4">
              <w:rPr>
                <w:i/>
              </w:rPr>
              <w:t>euro</w:t>
            </w:r>
            <w:proofErr w:type="spellEnd"/>
            <w:r w:rsidR="007F5CE4" w:rsidRPr="005779F4">
              <w:rPr>
                <w:i/>
              </w:rPr>
              <w:t>,</w:t>
            </w:r>
            <w:r w:rsidR="007F5CE4" w:rsidRPr="005779F4">
              <w:t xml:space="preserve"> vienlaikus, ņemot vērā, ka no 2014.gada 1.janvāra minimālais ieguldījumu slieksnis būs 10 miljoni </w:t>
            </w:r>
            <w:proofErr w:type="spellStart"/>
            <w:r w:rsidR="007F5CE4" w:rsidRPr="005779F4">
              <w:rPr>
                <w:i/>
              </w:rPr>
              <w:t>euro</w:t>
            </w:r>
            <w:proofErr w:type="spellEnd"/>
            <w:r w:rsidR="007F5CE4" w:rsidRPr="005779F4">
              <w:t xml:space="preserve"> līdzšinējo 3 miljonu latu vietā, mainītas ir arī vērtēšanas skalas.</w:t>
            </w:r>
          </w:p>
          <w:p w:rsidR="00FB3BE7" w:rsidRPr="005779F4" w:rsidRDefault="00FB3BE7" w:rsidP="00CD149B">
            <w:pPr>
              <w:pStyle w:val="naiskr"/>
              <w:spacing w:before="60" w:after="60"/>
              <w:ind w:left="142" w:right="221" w:firstLine="720"/>
              <w:jc w:val="both"/>
            </w:pPr>
            <w:r w:rsidRPr="005779F4">
              <w:t>Likuma „Par uzņēmumu ienākuma nodokli” 27.panta desmitajā punktā iekļauts deleģējums Ministru kabinetam izdot kārtību, kādā iesniedzams un vērtējams investīciju projekta pieteikums atbalstāmo investīciju projekta statusa iegūšanai, piemērojami nosacījumi nodokļa atlaides apvienošanai ar citu atbalstu, kā arī tiek sniegta informācija Ekonomikas ministrijai par projekta īstenošanu. Minētā kārtība ir iestrādāta Ministru kabineta noteikumos Nr.78, kas cita starpā ietver likuma „Par uzņēmumu ienākuma n</w:t>
            </w:r>
            <w:r w:rsidR="00271FF7" w:rsidRPr="005779F4">
              <w:t>odokli</w:t>
            </w:r>
            <w:r w:rsidRPr="005779F4">
              <w:t xml:space="preserve">” </w:t>
            </w:r>
            <w:r w:rsidR="00271FF7" w:rsidRPr="005779F4">
              <w:t>1.panta divdesmit septītajā daļā un 17.</w:t>
            </w:r>
            <w:r w:rsidR="00271FF7" w:rsidRPr="005779F4">
              <w:rPr>
                <w:vertAlign w:val="superscript"/>
              </w:rPr>
              <w:t>2</w:t>
            </w:r>
            <w:r w:rsidR="00271FF7" w:rsidRPr="005779F4">
              <w:t xml:space="preserve"> pantā iekļautās normas. Mainoties likumā iekļautajam regulējumam, vienīgais veids kā sasniegt noteikumu projekta mērķi</w:t>
            </w:r>
            <w:r w:rsidR="00293ABB" w:rsidRPr="005779F4">
              <w:t>,</w:t>
            </w:r>
            <w:r w:rsidR="00271FF7" w:rsidRPr="005779F4">
              <w:t xml:space="preserve"> </w:t>
            </w:r>
            <w:r w:rsidR="00293ABB" w:rsidRPr="005779F4">
              <w:t>ir veikt atbilstošus grozījumus Ministru kabineta noteikumos Nr.78.</w:t>
            </w:r>
          </w:p>
          <w:p w:rsidR="00FB3BE7" w:rsidRPr="005779F4" w:rsidRDefault="00293ABB" w:rsidP="00CD149B">
            <w:pPr>
              <w:pStyle w:val="naiskr"/>
              <w:spacing w:before="60" w:after="60"/>
              <w:ind w:left="142" w:right="221" w:firstLine="720"/>
              <w:jc w:val="both"/>
            </w:pPr>
            <w:r w:rsidRPr="005779F4">
              <w:t xml:space="preserve">Noteikumu projekts pilnībā atrisinās anotācijas I sadaļas 2.punktā minēto problēmu, saskaņojot Ministru </w:t>
            </w:r>
            <w:r w:rsidRPr="005779F4">
              <w:lastRenderedPageBreak/>
              <w:t>kabineta noteikumu Nr.78 normu redakcijas ar aktuālāko likuma „Par uzņēmumu ienākuma nodokli” regulējumu.</w:t>
            </w:r>
          </w:p>
        </w:tc>
      </w:tr>
      <w:tr w:rsidR="006F48A7" w:rsidRPr="006F48A7" w:rsidTr="002161F7">
        <w:trPr>
          <w:trHeight w:val="476"/>
        </w:trPr>
        <w:tc>
          <w:tcPr>
            <w:tcW w:w="431" w:type="dxa"/>
          </w:tcPr>
          <w:p w:rsidR="006F48A7" w:rsidRPr="006F48A7" w:rsidRDefault="006F48A7" w:rsidP="00D01A33">
            <w:pPr>
              <w:pStyle w:val="naiskr"/>
              <w:spacing w:before="0" w:after="0"/>
              <w:jc w:val="center"/>
            </w:pPr>
            <w:r w:rsidRPr="006F48A7">
              <w:lastRenderedPageBreak/>
              <w:t>5.</w:t>
            </w:r>
          </w:p>
        </w:tc>
        <w:tc>
          <w:tcPr>
            <w:tcW w:w="3118" w:type="dxa"/>
          </w:tcPr>
          <w:p w:rsidR="006F48A7" w:rsidRPr="006F48A7" w:rsidRDefault="006F48A7" w:rsidP="00D01A33">
            <w:pPr>
              <w:pStyle w:val="naiskr"/>
              <w:spacing w:before="60" w:after="60"/>
              <w:ind w:left="142" w:right="142"/>
            </w:pPr>
            <w:r w:rsidRPr="006F48A7">
              <w:t>Projekta izstrādē iesaistītās institūcijas</w:t>
            </w:r>
          </w:p>
        </w:tc>
        <w:tc>
          <w:tcPr>
            <w:tcW w:w="6176" w:type="dxa"/>
          </w:tcPr>
          <w:p w:rsidR="006F48A7" w:rsidRPr="00C3425F" w:rsidRDefault="003703C3" w:rsidP="00D01A33">
            <w:pPr>
              <w:pStyle w:val="naiskr"/>
              <w:spacing w:before="60" w:after="0"/>
              <w:ind w:left="142" w:right="79"/>
            </w:pPr>
            <w:r w:rsidRPr="00C3425F">
              <w:t>Projekts šo jomu neskar</w:t>
            </w:r>
            <w:r w:rsidR="00B04FD8" w:rsidRPr="00C3425F">
              <w:t>.</w:t>
            </w:r>
          </w:p>
        </w:tc>
      </w:tr>
      <w:tr w:rsidR="006F48A7" w:rsidRPr="006F48A7" w:rsidTr="006D7E5F">
        <w:trPr>
          <w:trHeight w:val="958"/>
        </w:trPr>
        <w:tc>
          <w:tcPr>
            <w:tcW w:w="431" w:type="dxa"/>
          </w:tcPr>
          <w:p w:rsidR="006F48A7" w:rsidRPr="006F48A7" w:rsidRDefault="006F48A7" w:rsidP="00D01A33">
            <w:pPr>
              <w:pStyle w:val="naiskr"/>
              <w:spacing w:before="0" w:after="0"/>
              <w:jc w:val="center"/>
            </w:pPr>
            <w:r w:rsidRPr="006F48A7">
              <w:t>6.</w:t>
            </w:r>
          </w:p>
        </w:tc>
        <w:tc>
          <w:tcPr>
            <w:tcW w:w="3118" w:type="dxa"/>
          </w:tcPr>
          <w:p w:rsidR="006F48A7" w:rsidRPr="006F48A7" w:rsidRDefault="006F48A7" w:rsidP="006D7E5F">
            <w:pPr>
              <w:pStyle w:val="naiskr"/>
              <w:spacing w:before="60" w:after="60"/>
              <w:ind w:left="142" w:right="142"/>
              <w:rPr>
                <w:i/>
                <w:highlight w:val="yellow"/>
              </w:rPr>
            </w:pPr>
            <w:r w:rsidRPr="006F48A7">
              <w:t>Iemesli, kādēļ netika nodrošināta sabiedrības līdzdalība</w:t>
            </w:r>
          </w:p>
        </w:tc>
        <w:tc>
          <w:tcPr>
            <w:tcW w:w="6176" w:type="dxa"/>
          </w:tcPr>
          <w:p w:rsidR="006F48A7" w:rsidRPr="006D7E5F" w:rsidRDefault="00833B74" w:rsidP="0072066D">
            <w:pPr>
              <w:pStyle w:val="FootnoteText"/>
              <w:spacing w:before="60" w:after="60"/>
              <w:ind w:left="142" w:right="221" w:firstLine="720"/>
              <w:jc w:val="both"/>
              <w:rPr>
                <w:sz w:val="24"/>
                <w:szCs w:val="24"/>
              </w:rPr>
            </w:pPr>
            <w:r w:rsidRPr="006D7E5F">
              <w:rPr>
                <w:sz w:val="24"/>
                <w:szCs w:val="24"/>
              </w:rPr>
              <w:t xml:space="preserve">Noteikumu projekta </w:t>
            </w:r>
            <w:r w:rsidR="006D7E5F" w:rsidRPr="006D7E5F">
              <w:rPr>
                <w:sz w:val="24"/>
                <w:szCs w:val="24"/>
              </w:rPr>
              <w:t>izstrādē netika nodrošināta sabiedrības līdzdalība, jo tā regulējums neierobežo un nesašaurina sabiedrības intereses vai indivīda tiesības</w:t>
            </w:r>
            <w:r w:rsidR="006D7E5F">
              <w:rPr>
                <w:sz w:val="24"/>
                <w:szCs w:val="24"/>
              </w:rPr>
              <w:t>.</w:t>
            </w:r>
          </w:p>
        </w:tc>
      </w:tr>
      <w:tr w:rsidR="006F48A7" w:rsidRPr="006F48A7" w:rsidTr="002161F7">
        <w:tc>
          <w:tcPr>
            <w:tcW w:w="431" w:type="dxa"/>
          </w:tcPr>
          <w:p w:rsidR="006F48A7" w:rsidRPr="006F48A7" w:rsidRDefault="006F48A7" w:rsidP="00D01A33">
            <w:pPr>
              <w:pStyle w:val="naiskr"/>
              <w:spacing w:before="0" w:after="0"/>
              <w:jc w:val="center"/>
            </w:pPr>
            <w:r w:rsidRPr="006F48A7">
              <w:t>7.</w:t>
            </w:r>
          </w:p>
        </w:tc>
        <w:tc>
          <w:tcPr>
            <w:tcW w:w="3118" w:type="dxa"/>
          </w:tcPr>
          <w:p w:rsidR="006F48A7" w:rsidRPr="006F48A7" w:rsidRDefault="006F48A7" w:rsidP="00D01A33">
            <w:pPr>
              <w:pStyle w:val="naiskr"/>
              <w:spacing w:before="60" w:after="60"/>
              <w:ind w:left="142" w:right="142"/>
            </w:pPr>
            <w:r w:rsidRPr="006F48A7">
              <w:t>Cita informācija</w:t>
            </w:r>
          </w:p>
        </w:tc>
        <w:tc>
          <w:tcPr>
            <w:tcW w:w="6176" w:type="dxa"/>
          </w:tcPr>
          <w:p w:rsidR="006F48A7" w:rsidRPr="005779F4" w:rsidRDefault="004A7889" w:rsidP="00F90DAB">
            <w:pPr>
              <w:pStyle w:val="naiskr"/>
              <w:spacing w:before="60" w:after="60"/>
              <w:ind w:left="142" w:right="221" w:firstLine="720"/>
              <w:jc w:val="both"/>
            </w:pPr>
            <w:r w:rsidRPr="005779F4">
              <w:t>Pēc valsts atbalsta normu, kas aizstāj Eiropas Komisijas 2008.gada 6.augusta Regulu (EK) Nr.800/2008, kas atzīst noteiktas atbalsta kategorijas par saderīgām ar kopējo tirgu, piemērojot Līguma 87. un 88.pantu, spēkā stāšanās, tiks atkārtoti veikti grozījumi Ministru kabineta noteikumos Nr.78, saskaņojot noteikumu normas ar jaunajām valsts atbalsta normām, pārskatot investīciju projektu vērtēšanas kritērijus, kā arī pilnveidojot citas Ministru kabineta noteikumu Nr.78 normas.</w:t>
            </w:r>
          </w:p>
        </w:tc>
      </w:tr>
    </w:tbl>
    <w:p w:rsidR="00A00CD5" w:rsidRDefault="00A00CD5" w:rsidP="00A00CD5">
      <w:pPr>
        <w:jc w:val="both"/>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18"/>
        <w:gridCol w:w="6209"/>
      </w:tblGrid>
      <w:tr w:rsidR="000B4D12" w:rsidRPr="007C0F2C" w:rsidTr="000B4D12">
        <w:tc>
          <w:tcPr>
            <w:tcW w:w="9758" w:type="dxa"/>
            <w:gridSpan w:val="3"/>
            <w:vAlign w:val="center"/>
          </w:tcPr>
          <w:p w:rsidR="000B4D12" w:rsidRPr="007C0F2C" w:rsidRDefault="000B4D12" w:rsidP="001756D2">
            <w:pPr>
              <w:pStyle w:val="naisnod"/>
              <w:spacing w:before="60" w:after="60"/>
            </w:pPr>
            <w:r w:rsidRPr="007C0F2C">
              <w:t>II. Tiesību akta projekta ietekme uz sabiedrību</w:t>
            </w:r>
          </w:p>
        </w:tc>
      </w:tr>
      <w:tr w:rsidR="000B4D12" w:rsidRPr="007C0F2C" w:rsidTr="002161F7">
        <w:trPr>
          <w:trHeight w:val="467"/>
        </w:trPr>
        <w:tc>
          <w:tcPr>
            <w:tcW w:w="431" w:type="dxa"/>
          </w:tcPr>
          <w:p w:rsidR="000B4D12" w:rsidRPr="007C0F2C" w:rsidRDefault="000B4D12" w:rsidP="000B4D12">
            <w:pPr>
              <w:pStyle w:val="naiskr"/>
              <w:spacing w:before="0" w:after="0"/>
            </w:pPr>
            <w:r w:rsidRPr="007C0F2C">
              <w:rPr>
                <w:sz w:val="22"/>
                <w:szCs w:val="22"/>
              </w:rPr>
              <w:t>1.</w:t>
            </w:r>
          </w:p>
        </w:tc>
        <w:tc>
          <w:tcPr>
            <w:tcW w:w="3118" w:type="dxa"/>
          </w:tcPr>
          <w:p w:rsidR="000B4D12" w:rsidRPr="002161F7" w:rsidRDefault="000B4D12" w:rsidP="002161F7">
            <w:pPr>
              <w:pStyle w:val="naiskr"/>
              <w:spacing w:before="60" w:after="0"/>
              <w:ind w:left="141"/>
            </w:pPr>
            <w:r w:rsidRPr="002161F7">
              <w:t>Sabiedrības mērķgrupa</w:t>
            </w:r>
          </w:p>
        </w:tc>
        <w:tc>
          <w:tcPr>
            <w:tcW w:w="6209" w:type="dxa"/>
          </w:tcPr>
          <w:p w:rsidR="003703C3" w:rsidRPr="00F90DAB" w:rsidRDefault="002161F7" w:rsidP="004833F9">
            <w:pPr>
              <w:pStyle w:val="naiskr"/>
              <w:spacing w:before="60" w:after="60"/>
              <w:ind w:left="142" w:right="255" w:firstLine="720"/>
              <w:jc w:val="both"/>
            </w:pPr>
            <w:r w:rsidRPr="00F90DAB">
              <w:rPr>
                <w:iCs/>
              </w:rPr>
              <w:t xml:space="preserve">Noteikumu projekts attieksies uz </w:t>
            </w:r>
            <w:r w:rsidRPr="00F90DAB">
              <w:t>Latvijā reģistrētām komercsabiedrīb</w:t>
            </w:r>
            <w:r w:rsidR="00423324" w:rsidRPr="00F90DAB">
              <w:t>ām un ārvalsts komercsabiedrībām</w:t>
            </w:r>
            <w:r w:rsidRPr="00F90DAB">
              <w:t xml:space="preserve">, </w:t>
            </w:r>
            <w:r w:rsidR="00626B6C" w:rsidRPr="00F90DAB">
              <w:t>kuras reģistrētas Latvijā kā nodokļu maksātāji</w:t>
            </w:r>
            <w:r w:rsidR="003401FC" w:rsidRPr="00F90DAB" w:rsidDel="003401FC">
              <w:t xml:space="preserve"> </w:t>
            </w:r>
            <w:r w:rsidR="002A57C2" w:rsidRPr="00F90DAB">
              <w:t xml:space="preserve">un </w:t>
            </w:r>
            <w:r w:rsidR="005471E9" w:rsidRPr="00F90DAB">
              <w:t xml:space="preserve">veiks investīcijas atbalstāmās prioritārās nozarēs vairāk kā </w:t>
            </w:r>
            <w:r w:rsidR="004833F9" w:rsidRPr="00F90DAB">
              <w:t xml:space="preserve">10 </w:t>
            </w:r>
            <w:proofErr w:type="spellStart"/>
            <w:r w:rsidR="005471E9" w:rsidRPr="00F90DAB">
              <w:t>milj</w:t>
            </w:r>
            <w:proofErr w:type="spellEnd"/>
            <w:r w:rsidR="005471E9" w:rsidRPr="00F90DAB">
              <w:t xml:space="preserve">. </w:t>
            </w:r>
            <w:proofErr w:type="spellStart"/>
            <w:r w:rsidR="004833F9" w:rsidRPr="00F90DAB">
              <w:rPr>
                <w:i/>
              </w:rPr>
              <w:t>euro</w:t>
            </w:r>
            <w:proofErr w:type="spellEnd"/>
            <w:r w:rsidR="004833F9" w:rsidRPr="00F90DAB">
              <w:t xml:space="preserve"> </w:t>
            </w:r>
            <w:r w:rsidR="005471E9" w:rsidRPr="00F90DAB">
              <w:t>apmērā jaunajos pamatlīdzekļos, kas nodrošinās darbības paplašināšanos un jaunas darbības uzsākšanu.</w:t>
            </w:r>
          </w:p>
        </w:tc>
      </w:tr>
      <w:tr w:rsidR="000B4D12" w:rsidRPr="007C0F2C" w:rsidTr="002161F7">
        <w:trPr>
          <w:trHeight w:val="523"/>
        </w:trPr>
        <w:tc>
          <w:tcPr>
            <w:tcW w:w="431" w:type="dxa"/>
          </w:tcPr>
          <w:p w:rsidR="000B4D12" w:rsidRPr="007C0F2C" w:rsidRDefault="000B4D12" w:rsidP="000B4D12">
            <w:pPr>
              <w:pStyle w:val="naiskr"/>
              <w:spacing w:before="0" w:after="0"/>
            </w:pPr>
            <w:r w:rsidRPr="007C0F2C">
              <w:rPr>
                <w:sz w:val="22"/>
                <w:szCs w:val="22"/>
              </w:rPr>
              <w:t>2.</w:t>
            </w:r>
          </w:p>
        </w:tc>
        <w:tc>
          <w:tcPr>
            <w:tcW w:w="3118" w:type="dxa"/>
          </w:tcPr>
          <w:p w:rsidR="000B4D12" w:rsidRPr="002161F7" w:rsidRDefault="000B4D12" w:rsidP="002161F7">
            <w:pPr>
              <w:pStyle w:val="naiskr"/>
              <w:spacing w:before="60" w:after="60"/>
              <w:ind w:left="142"/>
            </w:pPr>
            <w:r w:rsidRPr="002161F7">
              <w:t>Citas sabiedrības grupas (bez mērķgrupas), kuras tiesiskais regulējums arī ietekmē vai varētu ietekmēt</w:t>
            </w:r>
          </w:p>
        </w:tc>
        <w:tc>
          <w:tcPr>
            <w:tcW w:w="6209" w:type="dxa"/>
          </w:tcPr>
          <w:p w:rsidR="000B4D12" w:rsidRPr="00C3425F" w:rsidRDefault="003703C3" w:rsidP="00560A76">
            <w:pPr>
              <w:pStyle w:val="naiskr"/>
              <w:spacing w:before="60" w:after="60"/>
              <w:ind w:left="142" w:right="255"/>
              <w:jc w:val="both"/>
            </w:pPr>
            <w:r w:rsidRPr="00C3425F">
              <w:t>Projekts šo jomu neskar</w:t>
            </w:r>
            <w:r w:rsidR="00930638" w:rsidRPr="00C3425F">
              <w:t>.</w:t>
            </w:r>
          </w:p>
        </w:tc>
      </w:tr>
      <w:tr w:rsidR="000B4D12" w:rsidRPr="007C0F2C" w:rsidTr="002161F7">
        <w:trPr>
          <w:trHeight w:val="517"/>
        </w:trPr>
        <w:tc>
          <w:tcPr>
            <w:tcW w:w="431" w:type="dxa"/>
          </w:tcPr>
          <w:p w:rsidR="000B4D12" w:rsidRPr="007C0F2C" w:rsidRDefault="000B4D12" w:rsidP="000B4D12">
            <w:pPr>
              <w:pStyle w:val="naiskr"/>
              <w:spacing w:before="0" w:after="0"/>
            </w:pPr>
            <w:r w:rsidRPr="007C0F2C">
              <w:rPr>
                <w:sz w:val="22"/>
                <w:szCs w:val="22"/>
              </w:rPr>
              <w:t>3.</w:t>
            </w:r>
          </w:p>
        </w:tc>
        <w:tc>
          <w:tcPr>
            <w:tcW w:w="3118" w:type="dxa"/>
          </w:tcPr>
          <w:p w:rsidR="000B4D12" w:rsidRPr="00D251E9" w:rsidRDefault="000B4D12" w:rsidP="00F04A4B">
            <w:pPr>
              <w:pStyle w:val="naiskr"/>
              <w:spacing w:before="60" w:after="60"/>
              <w:ind w:left="142"/>
            </w:pPr>
            <w:r w:rsidRPr="00D251E9">
              <w:t>Tiesiskā regulējuma finansiālā ietekme</w:t>
            </w:r>
          </w:p>
        </w:tc>
        <w:tc>
          <w:tcPr>
            <w:tcW w:w="6209" w:type="dxa"/>
          </w:tcPr>
          <w:p w:rsidR="000B4D12" w:rsidRPr="00C3425F" w:rsidRDefault="003703C3" w:rsidP="00560A76">
            <w:pPr>
              <w:pStyle w:val="naiskr"/>
              <w:spacing w:before="60" w:after="60"/>
              <w:ind w:left="142" w:right="255"/>
              <w:jc w:val="both"/>
            </w:pPr>
            <w:r w:rsidRPr="00C3425F">
              <w:t>Projekts šo jomu neskar</w:t>
            </w:r>
            <w:r w:rsidR="006C6883" w:rsidRPr="00C3425F">
              <w:t>.</w:t>
            </w:r>
          </w:p>
        </w:tc>
      </w:tr>
      <w:tr w:rsidR="000B4D12" w:rsidRPr="007C0F2C" w:rsidTr="002161F7">
        <w:trPr>
          <w:trHeight w:val="517"/>
        </w:trPr>
        <w:tc>
          <w:tcPr>
            <w:tcW w:w="431" w:type="dxa"/>
          </w:tcPr>
          <w:p w:rsidR="000B4D12" w:rsidRPr="007C0F2C" w:rsidRDefault="000B4D12" w:rsidP="000B4D12">
            <w:pPr>
              <w:pStyle w:val="naiskr"/>
              <w:spacing w:before="0" w:after="0"/>
            </w:pPr>
            <w:r w:rsidRPr="007C0F2C">
              <w:rPr>
                <w:sz w:val="22"/>
                <w:szCs w:val="22"/>
              </w:rPr>
              <w:t>4.</w:t>
            </w:r>
          </w:p>
        </w:tc>
        <w:tc>
          <w:tcPr>
            <w:tcW w:w="3118" w:type="dxa"/>
          </w:tcPr>
          <w:p w:rsidR="000B4D12" w:rsidRPr="00D251E9" w:rsidRDefault="000B4D12" w:rsidP="00D251E9">
            <w:pPr>
              <w:pStyle w:val="naiskr"/>
              <w:spacing w:before="60" w:after="60"/>
              <w:ind w:left="141"/>
            </w:pPr>
            <w:r w:rsidRPr="00D251E9">
              <w:t>Tiesiskā regulējuma nefinansiālā ietekme</w:t>
            </w:r>
          </w:p>
        </w:tc>
        <w:tc>
          <w:tcPr>
            <w:tcW w:w="6209" w:type="dxa"/>
          </w:tcPr>
          <w:p w:rsidR="000F73EB" w:rsidRPr="00C3425F" w:rsidRDefault="003703C3" w:rsidP="00CD3044">
            <w:pPr>
              <w:pStyle w:val="naiskr"/>
              <w:spacing w:before="60" w:after="60"/>
              <w:ind w:left="142" w:right="255"/>
              <w:jc w:val="both"/>
            </w:pPr>
            <w:r w:rsidRPr="00C3425F">
              <w:t>Projekts šo jomu neskar</w:t>
            </w:r>
            <w:r w:rsidR="006C6883" w:rsidRPr="00C3425F">
              <w:t>.</w:t>
            </w:r>
          </w:p>
        </w:tc>
      </w:tr>
      <w:tr w:rsidR="000B4D12" w:rsidRPr="007C0F2C" w:rsidTr="002161F7">
        <w:trPr>
          <w:trHeight w:val="531"/>
        </w:trPr>
        <w:tc>
          <w:tcPr>
            <w:tcW w:w="431" w:type="dxa"/>
          </w:tcPr>
          <w:p w:rsidR="000B4D12" w:rsidRPr="007C0F2C" w:rsidRDefault="000B4D12" w:rsidP="000B4D12">
            <w:pPr>
              <w:pStyle w:val="naiskr"/>
              <w:spacing w:before="0" w:after="0"/>
            </w:pPr>
            <w:r w:rsidRPr="007C0F2C">
              <w:rPr>
                <w:sz w:val="22"/>
                <w:szCs w:val="22"/>
              </w:rPr>
              <w:t>5.</w:t>
            </w:r>
          </w:p>
        </w:tc>
        <w:tc>
          <w:tcPr>
            <w:tcW w:w="3118" w:type="dxa"/>
          </w:tcPr>
          <w:p w:rsidR="000B4D12" w:rsidRPr="00D251E9" w:rsidRDefault="000B4D12" w:rsidP="009C0595">
            <w:pPr>
              <w:pStyle w:val="naiskr"/>
              <w:spacing w:before="60" w:after="60"/>
              <w:ind w:left="142"/>
            </w:pPr>
            <w:r w:rsidRPr="00D251E9">
              <w:t>Administratīvās procedūras raksturojums</w:t>
            </w:r>
          </w:p>
        </w:tc>
        <w:tc>
          <w:tcPr>
            <w:tcW w:w="6209" w:type="dxa"/>
          </w:tcPr>
          <w:p w:rsidR="000B4D12" w:rsidRPr="005779F4" w:rsidRDefault="003A48F3" w:rsidP="00F90DAB">
            <w:pPr>
              <w:pStyle w:val="naiskr"/>
              <w:spacing w:before="0" w:after="60"/>
              <w:ind w:left="142" w:right="255" w:firstLine="720"/>
              <w:jc w:val="both"/>
            </w:pPr>
            <w:r w:rsidRPr="005779F4">
              <w:t>Noteikumu projekts dos iespēju komisijai lūgt projekta iesniedzējam iesniegt papildus nepieciešamo informāciju investīciju projekta pilnvērtīgai izvērtēšanai.</w:t>
            </w:r>
          </w:p>
        </w:tc>
      </w:tr>
      <w:tr w:rsidR="000B4D12" w:rsidRPr="007C0F2C" w:rsidTr="002161F7">
        <w:trPr>
          <w:trHeight w:val="357"/>
        </w:trPr>
        <w:tc>
          <w:tcPr>
            <w:tcW w:w="431" w:type="dxa"/>
          </w:tcPr>
          <w:p w:rsidR="000B4D12" w:rsidRPr="007C0F2C" w:rsidRDefault="000B4D12" w:rsidP="000B4D12">
            <w:pPr>
              <w:pStyle w:val="naiskr"/>
              <w:spacing w:before="0" w:after="0"/>
            </w:pPr>
            <w:r w:rsidRPr="007C0F2C">
              <w:rPr>
                <w:sz w:val="22"/>
                <w:szCs w:val="22"/>
              </w:rPr>
              <w:t>6.</w:t>
            </w:r>
          </w:p>
        </w:tc>
        <w:tc>
          <w:tcPr>
            <w:tcW w:w="3118" w:type="dxa"/>
          </w:tcPr>
          <w:p w:rsidR="000B4D12" w:rsidRPr="00DB02C2" w:rsidRDefault="000B4D12" w:rsidP="009C0595">
            <w:pPr>
              <w:pStyle w:val="naiskr"/>
              <w:spacing w:before="60" w:after="60"/>
              <w:ind w:left="141"/>
            </w:pPr>
            <w:r w:rsidRPr="00DB02C2">
              <w:t>Administratīvo izmaksu monetārs novērtējums</w:t>
            </w:r>
          </w:p>
        </w:tc>
        <w:tc>
          <w:tcPr>
            <w:tcW w:w="6209" w:type="dxa"/>
          </w:tcPr>
          <w:p w:rsidR="000B4D12" w:rsidRPr="00DB02C2" w:rsidRDefault="009C0595" w:rsidP="00DB02C2">
            <w:pPr>
              <w:pStyle w:val="naiskr"/>
              <w:spacing w:before="60" w:after="60"/>
              <w:ind w:left="142" w:right="255"/>
            </w:pPr>
            <w:r w:rsidRPr="00DB02C2">
              <w:rPr>
                <w:iCs/>
              </w:rPr>
              <w:t>Projekts šo jomu neskar.</w:t>
            </w:r>
          </w:p>
        </w:tc>
      </w:tr>
      <w:tr w:rsidR="000B4D12" w:rsidRPr="007C0F2C" w:rsidTr="002161F7">
        <w:tc>
          <w:tcPr>
            <w:tcW w:w="431" w:type="dxa"/>
          </w:tcPr>
          <w:p w:rsidR="000B4D12" w:rsidRPr="007C0F2C" w:rsidRDefault="000B4D12" w:rsidP="000B4D12">
            <w:pPr>
              <w:pStyle w:val="naiskr"/>
              <w:spacing w:before="0" w:after="0"/>
            </w:pPr>
            <w:r w:rsidRPr="007C0F2C">
              <w:rPr>
                <w:sz w:val="22"/>
                <w:szCs w:val="22"/>
              </w:rPr>
              <w:t>7.</w:t>
            </w:r>
          </w:p>
        </w:tc>
        <w:tc>
          <w:tcPr>
            <w:tcW w:w="3118" w:type="dxa"/>
          </w:tcPr>
          <w:p w:rsidR="000B4D12" w:rsidRPr="00DB02C2" w:rsidRDefault="000B4D12" w:rsidP="00DB02C2">
            <w:pPr>
              <w:pStyle w:val="naiskr"/>
              <w:spacing w:before="60" w:after="60"/>
              <w:ind w:left="141"/>
            </w:pPr>
            <w:r w:rsidRPr="00DB02C2">
              <w:t>Cita informācija</w:t>
            </w:r>
          </w:p>
        </w:tc>
        <w:tc>
          <w:tcPr>
            <w:tcW w:w="6209" w:type="dxa"/>
          </w:tcPr>
          <w:p w:rsidR="000B4D12" w:rsidRPr="007C0F2C" w:rsidRDefault="0072066D" w:rsidP="00DB02C2">
            <w:pPr>
              <w:pStyle w:val="naiskr"/>
              <w:spacing w:before="60" w:after="60"/>
              <w:ind w:left="142" w:right="255"/>
            </w:pPr>
            <w:r>
              <w:t>Nav.</w:t>
            </w:r>
          </w:p>
        </w:tc>
      </w:tr>
    </w:tbl>
    <w:p w:rsidR="00E6217F" w:rsidRDefault="00E6217F" w:rsidP="00335FE1">
      <w:pPr>
        <w:pStyle w:val="tvhtml"/>
        <w:spacing w:before="60" w:beforeAutospacing="0" w:after="0" w:afterAutospacing="0"/>
        <w:rPr>
          <w:rFonts w:ascii="Times New Roman" w:hAnsi="Times New Roman"/>
          <w:i/>
          <w:iCs/>
          <w:sz w:val="24"/>
          <w:szCs w:val="24"/>
        </w:rPr>
      </w:pPr>
    </w:p>
    <w:tbl>
      <w:tblPr>
        <w:tblW w:w="9781" w:type="dxa"/>
        <w:tblCellSpacing w:w="0" w:type="dxa"/>
        <w:tblInd w:w="-694"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2542"/>
        <w:gridCol w:w="997"/>
        <w:gridCol w:w="1232"/>
        <w:gridCol w:w="1889"/>
        <w:gridCol w:w="479"/>
        <w:gridCol w:w="2642"/>
      </w:tblGrid>
      <w:tr w:rsidR="00E6217F" w:rsidRPr="007C2498" w:rsidTr="009014C2">
        <w:trPr>
          <w:trHeight w:val="491"/>
          <w:tblCellSpacing w:w="0" w:type="dxa"/>
        </w:trPr>
        <w:tc>
          <w:tcPr>
            <w:tcW w:w="9781" w:type="dxa"/>
            <w:gridSpan w:val="6"/>
            <w:tcBorders>
              <w:top w:val="nil"/>
              <w:bottom w:val="single" w:sz="4" w:space="0" w:color="auto"/>
            </w:tcBorders>
            <w:hideMark/>
          </w:tcPr>
          <w:p w:rsidR="00E6217F" w:rsidRPr="007C2498" w:rsidRDefault="00E6217F" w:rsidP="003A48F3">
            <w:pPr>
              <w:tabs>
                <w:tab w:val="left" w:pos="3261"/>
              </w:tabs>
              <w:spacing w:line="480" w:lineRule="auto"/>
              <w:contextualSpacing/>
              <w:jc w:val="center"/>
              <w:rPr>
                <w:rFonts w:eastAsia="Calibri"/>
                <w:b/>
              </w:rPr>
            </w:pPr>
            <w:r w:rsidRPr="007C2498">
              <w:rPr>
                <w:b/>
              </w:rPr>
              <w:t>V. Tiesību akta projekta atbilstība Latvijas Republikas starptautiskajām saistībām</w:t>
            </w:r>
          </w:p>
        </w:tc>
      </w:tr>
      <w:tr w:rsidR="00A84AC0" w:rsidRPr="007C2498" w:rsidTr="009014C2">
        <w:trPr>
          <w:tblCellSpacing w:w="0" w:type="dxa"/>
        </w:trPr>
        <w:tc>
          <w:tcPr>
            <w:tcW w:w="2542" w:type="dxa"/>
            <w:tcBorders>
              <w:top w:val="nil"/>
              <w:left w:val="nil"/>
              <w:bottom w:val="single" w:sz="4" w:space="0" w:color="auto"/>
              <w:right w:val="single" w:sz="4" w:space="0" w:color="auto"/>
            </w:tcBorders>
            <w:hideMark/>
          </w:tcPr>
          <w:p w:rsidR="00E6217F" w:rsidRPr="007C2498" w:rsidRDefault="00E6217F" w:rsidP="003A48F3">
            <w:pPr>
              <w:tabs>
                <w:tab w:val="left" w:pos="3261"/>
              </w:tabs>
              <w:spacing w:before="100" w:beforeAutospacing="1" w:after="100" w:afterAutospacing="1"/>
            </w:pPr>
            <w:r w:rsidRPr="007C2498">
              <w:t> Saistības pret Eiropas Savienību</w:t>
            </w:r>
          </w:p>
        </w:tc>
        <w:tc>
          <w:tcPr>
            <w:tcW w:w="7239" w:type="dxa"/>
            <w:gridSpan w:val="5"/>
            <w:tcBorders>
              <w:top w:val="nil"/>
              <w:bottom w:val="single" w:sz="4" w:space="0" w:color="auto"/>
            </w:tcBorders>
            <w:hideMark/>
          </w:tcPr>
          <w:p w:rsidR="00E6217F" w:rsidRPr="007C2498" w:rsidRDefault="001F589E" w:rsidP="001F589E">
            <w:pPr>
              <w:tabs>
                <w:tab w:val="left" w:pos="3261"/>
              </w:tabs>
              <w:contextualSpacing/>
              <w:jc w:val="both"/>
            </w:pPr>
            <w:r>
              <w:t xml:space="preserve">Ar projektu netiek </w:t>
            </w:r>
            <w:r w:rsidRPr="001F589E">
              <w:t xml:space="preserve">pārņemtas vai ieviestas </w:t>
            </w:r>
            <w:r>
              <w:t>jaunas Eiropas Savienības tiesību aktu prasības.</w:t>
            </w:r>
          </w:p>
        </w:tc>
      </w:tr>
      <w:tr w:rsidR="00A84AC0" w:rsidRPr="007C2498" w:rsidTr="009014C2">
        <w:trPr>
          <w:tblCellSpacing w:w="0" w:type="dxa"/>
        </w:trPr>
        <w:tc>
          <w:tcPr>
            <w:tcW w:w="2542" w:type="dxa"/>
            <w:tcBorders>
              <w:top w:val="nil"/>
              <w:left w:val="nil"/>
              <w:bottom w:val="nil"/>
              <w:right w:val="single" w:sz="4" w:space="0" w:color="auto"/>
            </w:tcBorders>
            <w:hideMark/>
          </w:tcPr>
          <w:p w:rsidR="00E6217F" w:rsidRPr="007C2498" w:rsidRDefault="00E6217F" w:rsidP="003A48F3">
            <w:pPr>
              <w:tabs>
                <w:tab w:val="left" w:pos="3261"/>
              </w:tabs>
              <w:spacing w:before="100" w:beforeAutospacing="1" w:after="100" w:afterAutospacing="1"/>
            </w:pPr>
            <w:r w:rsidRPr="007C2498">
              <w:t xml:space="preserve"> Citas starptautiskās </w:t>
            </w:r>
            <w:r w:rsidRPr="007C2498">
              <w:lastRenderedPageBreak/>
              <w:t>saistības</w:t>
            </w:r>
          </w:p>
        </w:tc>
        <w:tc>
          <w:tcPr>
            <w:tcW w:w="7239" w:type="dxa"/>
            <w:gridSpan w:val="5"/>
            <w:tcBorders>
              <w:top w:val="nil"/>
              <w:left w:val="nil"/>
              <w:bottom w:val="nil"/>
              <w:right w:val="nil"/>
            </w:tcBorders>
            <w:hideMark/>
          </w:tcPr>
          <w:p w:rsidR="00E6217F" w:rsidRPr="007C2498" w:rsidRDefault="00E6217F" w:rsidP="003A48F3">
            <w:pPr>
              <w:pStyle w:val="ListParagraph0"/>
              <w:tabs>
                <w:tab w:val="left" w:pos="3261"/>
              </w:tabs>
              <w:ind w:left="0"/>
              <w:jc w:val="both"/>
              <w:rPr>
                <w:sz w:val="24"/>
                <w:szCs w:val="24"/>
                <w:lang w:eastAsia="lv-LV"/>
              </w:rPr>
            </w:pPr>
            <w:r w:rsidRPr="007C2498">
              <w:rPr>
                <w:sz w:val="24"/>
                <w:szCs w:val="24"/>
                <w:lang w:eastAsia="lv-LV"/>
              </w:rPr>
              <w:lastRenderedPageBreak/>
              <w:t>Projekts šo jomu neskar.</w:t>
            </w:r>
          </w:p>
        </w:tc>
      </w:tr>
      <w:tr w:rsidR="00A84AC0" w:rsidRPr="007C2498" w:rsidTr="001F589E">
        <w:trPr>
          <w:trHeight w:val="328"/>
          <w:tblCellSpacing w:w="0" w:type="dxa"/>
        </w:trPr>
        <w:tc>
          <w:tcPr>
            <w:tcW w:w="2542" w:type="dxa"/>
            <w:tcBorders>
              <w:top w:val="single" w:sz="4" w:space="0" w:color="auto"/>
              <w:left w:val="nil"/>
              <w:bottom w:val="single" w:sz="4" w:space="0" w:color="auto"/>
              <w:right w:val="single" w:sz="4" w:space="0" w:color="auto"/>
            </w:tcBorders>
            <w:hideMark/>
          </w:tcPr>
          <w:p w:rsidR="00E6217F" w:rsidRPr="007C2498" w:rsidRDefault="00E6217F" w:rsidP="003A48F3">
            <w:pPr>
              <w:tabs>
                <w:tab w:val="left" w:pos="3261"/>
              </w:tabs>
              <w:spacing w:before="100" w:beforeAutospacing="1" w:after="100" w:afterAutospacing="1"/>
            </w:pPr>
            <w:r w:rsidRPr="007C2498">
              <w:lastRenderedPageBreak/>
              <w:t> Cita informācija</w:t>
            </w:r>
          </w:p>
        </w:tc>
        <w:tc>
          <w:tcPr>
            <w:tcW w:w="7239" w:type="dxa"/>
            <w:gridSpan w:val="5"/>
            <w:tcBorders>
              <w:top w:val="single" w:sz="4" w:space="0" w:color="auto"/>
              <w:left w:val="nil"/>
              <w:bottom w:val="single" w:sz="4" w:space="0" w:color="auto"/>
              <w:right w:val="nil"/>
            </w:tcBorders>
            <w:hideMark/>
          </w:tcPr>
          <w:p w:rsidR="00E6217F" w:rsidRPr="007C2498" w:rsidRDefault="00E6217F" w:rsidP="003A48F3">
            <w:pPr>
              <w:tabs>
                <w:tab w:val="left" w:pos="3261"/>
              </w:tabs>
              <w:jc w:val="both"/>
              <w:rPr>
                <w:rFonts w:eastAsia="Calibri"/>
              </w:rPr>
            </w:pPr>
            <w:r w:rsidRPr="007C2498">
              <w:t> Nav.</w:t>
            </w:r>
          </w:p>
        </w:tc>
      </w:tr>
      <w:tr w:rsidR="00E6217F" w:rsidRPr="007C2498" w:rsidTr="003B0895">
        <w:trPr>
          <w:trHeight w:val="773"/>
          <w:tblCellSpacing w:w="0" w:type="dxa"/>
        </w:trPr>
        <w:tc>
          <w:tcPr>
            <w:tcW w:w="9781" w:type="dxa"/>
            <w:gridSpan w:val="6"/>
            <w:tcBorders>
              <w:top w:val="nil"/>
              <w:left w:val="nil"/>
              <w:bottom w:val="single" w:sz="4" w:space="0" w:color="auto"/>
              <w:right w:val="nil"/>
            </w:tcBorders>
          </w:tcPr>
          <w:p w:rsidR="00E6217F" w:rsidRPr="007C2498" w:rsidRDefault="00E6217F" w:rsidP="003A48F3">
            <w:pPr>
              <w:tabs>
                <w:tab w:val="left" w:pos="3261"/>
              </w:tabs>
              <w:contextualSpacing/>
              <w:jc w:val="center"/>
              <w:rPr>
                <w:b/>
                <w:bCs/>
              </w:rPr>
            </w:pPr>
            <w:r w:rsidRPr="007C2498">
              <w:rPr>
                <w:b/>
                <w:bCs/>
              </w:rPr>
              <w:t>1.tabula</w:t>
            </w:r>
          </w:p>
          <w:p w:rsidR="00E6217F" w:rsidRPr="007C2498" w:rsidRDefault="00E6217F" w:rsidP="003A48F3">
            <w:pPr>
              <w:tabs>
                <w:tab w:val="left" w:pos="3261"/>
              </w:tabs>
              <w:contextualSpacing/>
              <w:jc w:val="center"/>
            </w:pPr>
            <w:r w:rsidRPr="007C2498">
              <w:rPr>
                <w:b/>
                <w:bCs/>
              </w:rPr>
              <w:t>Tiesību akta projekta atbilstība ES tiesību aktiem</w:t>
            </w:r>
          </w:p>
        </w:tc>
      </w:tr>
      <w:tr w:rsidR="00A84AC0" w:rsidRPr="007C2498" w:rsidTr="003B0895">
        <w:trPr>
          <w:trHeight w:val="328"/>
          <w:tblCellSpacing w:w="0" w:type="dxa"/>
        </w:trPr>
        <w:tc>
          <w:tcPr>
            <w:tcW w:w="2542" w:type="dxa"/>
            <w:tcBorders>
              <w:top w:val="nil"/>
              <w:left w:val="nil"/>
              <w:bottom w:val="nil"/>
              <w:right w:val="single" w:sz="4" w:space="0" w:color="auto"/>
            </w:tcBorders>
            <w:vAlign w:val="center"/>
          </w:tcPr>
          <w:p w:rsidR="00E6217F" w:rsidRPr="007C2498" w:rsidRDefault="00E6217F" w:rsidP="003A48F3">
            <w:pPr>
              <w:tabs>
                <w:tab w:val="left" w:pos="3261"/>
              </w:tabs>
              <w:spacing w:before="63" w:after="63"/>
              <w:jc w:val="center"/>
            </w:pPr>
            <w:r w:rsidRPr="007C2498">
              <w:t> Attiecīgā ES tiesību akta datums, numurs un nosaukums</w:t>
            </w:r>
          </w:p>
        </w:tc>
        <w:tc>
          <w:tcPr>
            <w:tcW w:w="7239" w:type="dxa"/>
            <w:gridSpan w:val="5"/>
            <w:tcBorders>
              <w:top w:val="nil"/>
              <w:bottom w:val="single" w:sz="4" w:space="0" w:color="auto"/>
            </w:tcBorders>
            <w:vAlign w:val="center"/>
          </w:tcPr>
          <w:p w:rsidR="00E6217F" w:rsidRPr="007C2498" w:rsidRDefault="00E6217F" w:rsidP="00C153F6">
            <w:pPr>
              <w:tabs>
                <w:tab w:val="left" w:pos="3261"/>
              </w:tabs>
              <w:contextualSpacing/>
              <w:jc w:val="both"/>
            </w:pPr>
          </w:p>
        </w:tc>
      </w:tr>
      <w:tr w:rsidR="00A84AC0" w:rsidRPr="007C2498" w:rsidTr="003B0895">
        <w:trPr>
          <w:trHeight w:val="328"/>
          <w:tblCellSpacing w:w="0" w:type="dxa"/>
        </w:trPr>
        <w:tc>
          <w:tcPr>
            <w:tcW w:w="2542" w:type="dxa"/>
            <w:tcBorders>
              <w:top w:val="single" w:sz="4" w:space="0" w:color="auto"/>
              <w:left w:val="nil"/>
              <w:bottom w:val="single" w:sz="4" w:space="0" w:color="auto"/>
              <w:right w:val="single" w:sz="4" w:space="0" w:color="auto"/>
            </w:tcBorders>
            <w:vAlign w:val="center"/>
          </w:tcPr>
          <w:p w:rsidR="00E6217F" w:rsidRPr="007C2498" w:rsidRDefault="00E6217F" w:rsidP="003A48F3">
            <w:pPr>
              <w:tabs>
                <w:tab w:val="left" w:pos="3261"/>
              </w:tabs>
              <w:spacing w:before="63" w:after="63" w:line="165" w:lineRule="atLeast"/>
              <w:jc w:val="center"/>
            </w:pPr>
            <w:r w:rsidRPr="007C2498">
              <w:t> A</w:t>
            </w:r>
          </w:p>
        </w:tc>
        <w:tc>
          <w:tcPr>
            <w:tcW w:w="2229" w:type="dxa"/>
            <w:gridSpan w:val="2"/>
            <w:tcBorders>
              <w:top w:val="nil"/>
              <w:bottom w:val="single" w:sz="4" w:space="0" w:color="auto"/>
              <w:right w:val="single" w:sz="4" w:space="0" w:color="auto"/>
            </w:tcBorders>
            <w:vAlign w:val="center"/>
          </w:tcPr>
          <w:p w:rsidR="00E6217F" w:rsidRPr="007C2498" w:rsidRDefault="00E6217F" w:rsidP="003A48F3">
            <w:pPr>
              <w:tabs>
                <w:tab w:val="left" w:pos="3261"/>
              </w:tabs>
              <w:spacing w:before="63" w:after="63" w:line="165" w:lineRule="atLeast"/>
              <w:jc w:val="center"/>
            </w:pPr>
            <w:r w:rsidRPr="007C2498">
              <w:t> B</w:t>
            </w:r>
          </w:p>
        </w:tc>
        <w:tc>
          <w:tcPr>
            <w:tcW w:w="2368" w:type="dxa"/>
            <w:gridSpan w:val="2"/>
            <w:tcBorders>
              <w:top w:val="nil"/>
              <w:bottom w:val="single" w:sz="4" w:space="0" w:color="auto"/>
              <w:right w:val="single" w:sz="4" w:space="0" w:color="auto"/>
            </w:tcBorders>
            <w:vAlign w:val="center"/>
          </w:tcPr>
          <w:p w:rsidR="00E6217F" w:rsidRPr="007C2498" w:rsidRDefault="00E6217F" w:rsidP="003A48F3">
            <w:pPr>
              <w:tabs>
                <w:tab w:val="left" w:pos="3261"/>
              </w:tabs>
              <w:spacing w:before="63" w:after="63" w:line="165" w:lineRule="atLeast"/>
              <w:jc w:val="center"/>
            </w:pPr>
            <w:r w:rsidRPr="007C2498">
              <w:t> C</w:t>
            </w:r>
          </w:p>
        </w:tc>
        <w:tc>
          <w:tcPr>
            <w:tcW w:w="2642" w:type="dxa"/>
            <w:tcBorders>
              <w:top w:val="nil"/>
              <w:bottom w:val="single" w:sz="4" w:space="0" w:color="auto"/>
            </w:tcBorders>
            <w:vAlign w:val="center"/>
          </w:tcPr>
          <w:p w:rsidR="00E6217F" w:rsidRPr="007C2498" w:rsidRDefault="00E6217F" w:rsidP="003A48F3">
            <w:pPr>
              <w:tabs>
                <w:tab w:val="left" w:pos="3261"/>
              </w:tabs>
              <w:spacing w:before="63" w:after="63" w:line="165" w:lineRule="atLeast"/>
              <w:jc w:val="center"/>
            </w:pPr>
            <w:r w:rsidRPr="007C2498">
              <w:t> D</w:t>
            </w:r>
          </w:p>
        </w:tc>
      </w:tr>
      <w:tr w:rsidR="00A84AC0" w:rsidRPr="007C2498" w:rsidTr="003B0895">
        <w:trPr>
          <w:trHeight w:val="328"/>
          <w:tblCellSpacing w:w="0" w:type="dxa"/>
        </w:trPr>
        <w:tc>
          <w:tcPr>
            <w:tcW w:w="2542" w:type="dxa"/>
            <w:tcBorders>
              <w:top w:val="nil"/>
              <w:left w:val="nil"/>
              <w:bottom w:val="single" w:sz="4" w:space="0" w:color="auto"/>
              <w:right w:val="single" w:sz="4" w:space="0" w:color="auto"/>
            </w:tcBorders>
            <w:vAlign w:val="center"/>
          </w:tcPr>
          <w:p w:rsidR="00E6217F" w:rsidRPr="007C2498" w:rsidRDefault="00E6217F" w:rsidP="00A84AC0">
            <w:pPr>
              <w:tabs>
                <w:tab w:val="left" w:pos="3261"/>
              </w:tabs>
              <w:ind w:left="137" w:right="127"/>
              <w:contextualSpacing/>
              <w:jc w:val="both"/>
            </w:pPr>
          </w:p>
        </w:tc>
        <w:tc>
          <w:tcPr>
            <w:tcW w:w="2229" w:type="dxa"/>
            <w:gridSpan w:val="2"/>
            <w:tcBorders>
              <w:top w:val="nil"/>
              <w:bottom w:val="single" w:sz="4" w:space="0" w:color="auto"/>
              <w:right w:val="single" w:sz="4" w:space="0" w:color="auto"/>
            </w:tcBorders>
            <w:vAlign w:val="center"/>
          </w:tcPr>
          <w:p w:rsidR="00E6217F" w:rsidRPr="007C2498" w:rsidRDefault="00E6217F" w:rsidP="002040B5">
            <w:pPr>
              <w:tabs>
                <w:tab w:val="left" w:pos="3261"/>
              </w:tabs>
              <w:ind w:left="147"/>
              <w:contextualSpacing/>
            </w:pPr>
          </w:p>
        </w:tc>
        <w:tc>
          <w:tcPr>
            <w:tcW w:w="2368" w:type="dxa"/>
            <w:gridSpan w:val="2"/>
            <w:tcBorders>
              <w:top w:val="nil"/>
              <w:bottom w:val="single" w:sz="4" w:space="0" w:color="auto"/>
              <w:right w:val="single" w:sz="4" w:space="0" w:color="auto"/>
            </w:tcBorders>
            <w:vAlign w:val="center"/>
          </w:tcPr>
          <w:p w:rsidR="00E6217F" w:rsidRPr="007C2498" w:rsidRDefault="00E6217F" w:rsidP="003A48F3">
            <w:pPr>
              <w:tabs>
                <w:tab w:val="left" w:pos="3261"/>
              </w:tabs>
              <w:spacing w:before="63" w:after="63" w:line="165" w:lineRule="atLeast"/>
              <w:jc w:val="both"/>
            </w:pPr>
          </w:p>
        </w:tc>
        <w:tc>
          <w:tcPr>
            <w:tcW w:w="2642" w:type="dxa"/>
            <w:tcBorders>
              <w:top w:val="nil"/>
              <w:bottom w:val="single" w:sz="4" w:space="0" w:color="auto"/>
              <w:right w:val="nil"/>
            </w:tcBorders>
            <w:vAlign w:val="center"/>
          </w:tcPr>
          <w:p w:rsidR="00E6217F" w:rsidRPr="007C2498" w:rsidRDefault="00E6217F" w:rsidP="003A48F3">
            <w:pPr>
              <w:tabs>
                <w:tab w:val="left" w:pos="3261"/>
              </w:tabs>
              <w:contextualSpacing/>
              <w:jc w:val="both"/>
            </w:pPr>
          </w:p>
        </w:tc>
      </w:tr>
      <w:tr w:rsidR="00C153F6" w:rsidRPr="007C2498" w:rsidTr="003A48F3">
        <w:trPr>
          <w:trHeight w:val="1725"/>
          <w:tblCellSpacing w:w="0" w:type="dxa"/>
        </w:trPr>
        <w:tc>
          <w:tcPr>
            <w:tcW w:w="2542" w:type="dxa"/>
            <w:tcBorders>
              <w:top w:val="nil"/>
              <w:left w:val="nil"/>
              <w:bottom w:val="single" w:sz="4" w:space="0" w:color="auto"/>
              <w:right w:val="single" w:sz="4" w:space="0" w:color="auto"/>
            </w:tcBorders>
          </w:tcPr>
          <w:p w:rsidR="00C153F6" w:rsidRPr="007C2498" w:rsidRDefault="00C153F6" w:rsidP="002040B5">
            <w:pPr>
              <w:pBdr>
                <w:right w:val="single" w:sz="4" w:space="4" w:color="auto"/>
              </w:pBdr>
              <w:tabs>
                <w:tab w:val="left" w:pos="3261"/>
              </w:tabs>
              <w:spacing w:before="63" w:after="63"/>
            </w:pPr>
            <w:r w:rsidRPr="007C2498">
              <w:t>Kā ir izmantota ES tiesību aktā paredzētā rīcības brīvība dalībvalstij pārņemt vai ieviest noteiktas ES tiesību akta normas.</w:t>
            </w:r>
          </w:p>
          <w:p w:rsidR="00C153F6" w:rsidRPr="007C2498" w:rsidRDefault="00C153F6" w:rsidP="002040B5">
            <w:pPr>
              <w:tabs>
                <w:tab w:val="center" w:pos="1268"/>
              </w:tabs>
              <w:spacing w:before="63" w:after="63"/>
            </w:pPr>
            <w:r w:rsidRPr="007C2498">
              <w:t>Kādēļ?</w:t>
            </w:r>
          </w:p>
        </w:tc>
        <w:tc>
          <w:tcPr>
            <w:tcW w:w="7239" w:type="dxa"/>
            <w:gridSpan w:val="5"/>
            <w:tcBorders>
              <w:top w:val="nil"/>
              <w:bottom w:val="single" w:sz="4" w:space="0" w:color="auto"/>
            </w:tcBorders>
          </w:tcPr>
          <w:p w:rsidR="00C153F6" w:rsidRPr="007C2498" w:rsidRDefault="00C153F6" w:rsidP="003A48F3">
            <w:pPr>
              <w:tabs>
                <w:tab w:val="left" w:pos="3261"/>
              </w:tabs>
              <w:spacing w:before="63" w:after="63"/>
            </w:pPr>
            <w:r w:rsidRPr="00C153F6">
              <w:t>Projekts šo jomu neskar.</w:t>
            </w:r>
          </w:p>
        </w:tc>
      </w:tr>
      <w:tr w:rsidR="00A84AC0" w:rsidRPr="007C2498" w:rsidTr="002040B5">
        <w:trPr>
          <w:trHeight w:val="328"/>
          <w:tblCellSpacing w:w="0" w:type="dxa"/>
        </w:trPr>
        <w:tc>
          <w:tcPr>
            <w:tcW w:w="2542" w:type="dxa"/>
            <w:tcBorders>
              <w:top w:val="nil"/>
              <w:left w:val="nil"/>
              <w:bottom w:val="single" w:sz="4" w:space="0" w:color="auto"/>
              <w:right w:val="single" w:sz="4" w:space="0" w:color="auto"/>
            </w:tcBorders>
          </w:tcPr>
          <w:p w:rsidR="00E6217F" w:rsidRPr="007C2498" w:rsidRDefault="00E6217F" w:rsidP="003A48F3">
            <w:pPr>
              <w:tabs>
                <w:tab w:val="left" w:pos="3261"/>
              </w:tabs>
              <w:spacing w:before="63" w:after="63"/>
              <w:jc w:val="both"/>
            </w:pPr>
            <w:r w:rsidRPr="007C249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9" w:type="dxa"/>
            <w:gridSpan w:val="5"/>
            <w:tcBorders>
              <w:top w:val="nil"/>
              <w:bottom w:val="single" w:sz="4" w:space="0" w:color="auto"/>
              <w:right w:val="nil"/>
            </w:tcBorders>
          </w:tcPr>
          <w:p w:rsidR="00E6217F" w:rsidRPr="007C2498" w:rsidRDefault="002040B5" w:rsidP="002040B5">
            <w:pPr>
              <w:tabs>
                <w:tab w:val="left" w:pos="3261"/>
              </w:tabs>
              <w:spacing w:before="63" w:after="63"/>
              <w:ind w:left="147"/>
              <w:jc w:val="both"/>
            </w:pPr>
            <w:r>
              <w:t>Nav.</w:t>
            </w:r>
          </w:p>
        </w:tc>
      </w:tr>
      <w:tr w:rsidR="00A84AC0" w:rsidRPr="007C2498" w:rsidTr="002040B5">
        <w:trPr>
          <w:trHeight w:val="328"/>
          <w:tblCellSpacing w:w="0" w:type="dxa"/>
        </w:trPr>
        <w:tc>
          <w:tcPr>
            <w:tcW w:w="2542" w:type="dxa"/>
            <w:tcBorders>
              <w:top w:val="nil"/>
              <w:left w:val="nil"/>
              <w:bottom w:val="single" w:sz="4" w:space="0" w:color="auto"/>
              <w:right w:val="single" w:sz="4" w:space="0" w:color="auto"/>
            </w:tcBorders>
          </w:tcPr>
          <w:p w:rsidR="00E6217F" w:rsidRPr="007C2498" w:rsidRDefault="00E6217F" w:rsidP="003A48F3">
            <w:pPr>
              <w:tabs>
                <w:tab w:val="left" w:pos="3261"/>
              </w:tabs>
              <w:spacing w:before="63" w:after="63"/>
            </w:pPr>
            <w:r w:rsidRPr="007C2498">
              <w:t> Cita informācija</w:t>
            </w:r>
          </w:p>
        </w:tc>
        <w:tc>
          <w:tcPr>
            <w:tcW w:w="7239" w:type="dxa"/>
            <w:gridSpan w:val="5"/>
            <w:tcBorders>
              <w:top w:val="nil"/>
              <w:left w:val="nil"/>
              <w:bottom w:val="single" w:sz="4" w:space="0" w:color="auto"/>
              <w:right w:val="nil"/>
            </w:tcBorders>
          </w:tcPr>
          <w:p w:rsidR="00E6217F" w:rsidRPr="00C3425F" w:rsidRDefault="001F589E" w:rsidP="00F90DAB">
            <w:pPr>
              <w:tabs>
                <w:tab w:val="left" w:pos="3261"/>
              </w:tabs>
              <w:spacing w:before="63" w:after="63"/>
              <w:ind w:left="147" w:right="147" w:firstLine="720"/>
              <w:jc w:val="both"/>
            </w:pPr>
            <w:r w:rsidRPr="00C3425F">
              <w:t xml:space="preserve">Ar projektu tiek </w:t>
            </w:r>
            <w:r w:rsidR="00C153F6" w:rsidRPr="00C3425F">
              <w:t xml:space="preserve">ieviestas </w:t>
            </w:r>
            <w:r w:rsidRPr="00C3425F">
              <w:t>Komisijas Paziņojum</w:t>
            </w:r>
            <w:r w:rsidR="00C153F6" w:rsidRPr="00C3425F">
              <w:t>ā</w:t>
            </w:r>
            <w:r w:rsidRPr="00C3425F">
              <w:t xml:space="preserve"> Kopienas pamatnostādnes par valsts atbalstu grūtībās nonākušu uzņēmumu glābšanai un pārstrukturēšanai (2004/C 244/02) (tur</w:t>
            </w:r>
            <w:r w:rsidR="00C153F6" w:rsidRPr="00C3425F">
              <w:t>pmāk – Kopienas pamatnostādnes) ietvertās normas, kas nav uzskatāmas par Eiropas Savienības tiesību aktu atbilstoši Līguma par Eiropas Savienības darbību 288. pantam.</w:t>
            </w:r>
          </w:p>
          <w:p w:rsidR="00C153F6" w:rsidRPr="00C3425F" w:rsidRDefault="00C153F6" w:rsidP="00F90DAB">
            <w:pPr>
              <w:tabs>
                <w:tab w:val="left" w:pos="3261"/>
              </w:tabs>
              <w:spacing w:before="63" w:after="63"/>
              <w:ind w:left="147" w:right="147" w:firstLine="720"/>
              <w:jc w:val="both"/>
            </w:pPr>
            <w:r w:rsidRPr="00C3425F">
              <w:t>Kopienas pamatnostādņu 9. un 10.punkts tiek ieviests ar Ministru kabineta noteikumu Nr.78 1.pielikuma 3.sadaļas 3.2. un 3.3.apakšpunktu (noteikumu projekta 1.punkts).</w:t>
            </w:r>
          </w:p>
          <w:p w:rsidR="00C153F6" w:rsidRPr="007C2498" w:rsidRDefault="00C153F6" w:rsidP="00F90DAB">
            <w:pPr>
              <w:tabs>
                <w:tab w:val="left" w:pos="3261"/>
              </w:tabs>
              <w:spacing w:before="63" w:after="63"/>
              <w:ind w:left="147" w:right="147" w:firstLine="720"/>
              <w:jc w:val="both"/>
            </w:pPr>
            <w:r w:rsidRPr="00C3425F">
              <w:t>Kopienas pamatnostādņu 11.punkts tiek ieviests ar Ministru kabineta noteikumu Nr.78 3.pielikuma 1.9. un 1.10.apakšpunktu (noteikumu projekta 2.punkts).</w:t>
            </w:r>
          </w:p>
        </w:tc>
      </w:tr>
      <w:tr w:rsidR="009F3A11" w:rsidRPr="007C2498" w:rsidTr="003A48F3">
        <w:trPr>
          <w:trHeight w:val="328"/>
          <w:tblCellSpacing w:w="0" w:type="dxa"/>
        </w:trPr>
        <w:tc>
          <w:tcPr>
            <w:tcW w:w="9781" w:type="dxa"/>
            <w:gridSpan w:val="6"/>
            <w:tcBorders>
              <w:top w:val="nil"/>
              <w:left w:val="nil"/>
              <w:bottom w:val="nil"/>
            </w:tcBorders>
          </w:tcPr>
          <w:p w:rsidR="009F3A11" w:rsidRPr="009F3A11" w:rsidRDefault="009F3A11" w:rsidP="009F3A11">
            <w:pPr>
              <w:tabs>
                <w:tab w:val="left" w:pos="3261"/>
              </w:tabs>
              <w:spacing w:before="63" w:after="63"/>
              <w:ind w:left="147"/>
              <w:jc w:val="center"/>
              <w:rPr>
                <w:b/>
              </w:rPr>
            </w:pPr>
            <w:r w:rsidRPr="009F3A11">
              <w:rPr>
                <w:b/>
              </w:rPr>
              <w:t>2.tabula</w:t>
            </w:r>
          </w:p>
          <w:p w:rsidR="009F3A11" w:rsidRPr="009F3A11" w:rsidRDefault="009F3A11" w:rsidP="009F3A11">
            <w:pPr>
              <w:tabs>
                <w:tab w:val="left" w:pos="3261"/>
              </w:tabs>
              <w:spacing w:before="63" w:after="63"/>
              <w:ind w:left="147"/>
              <w:jc w:val="center"/>
              <w:rPr>
                <w:b/>
              </w:rPr>
            </w:pPr>
            <w:r w:rsidRPr="009F3A11">
              <w:rPr>
                <w:b/>
              </w:rPr>
              <w:t>Ar tiesību akta projektu uzņemtās saistības, kas izriet no starptautiskajiem tiesību aktiem vai starptautiskas institūcijas vai organizācijas dokumentiem</w:t>
            </w:r>
          </w:p>
          <w:p w:rsidR="009F3A11" w:rsidRPr="007C2498" w:rsidRDefault="009F3A11" w:rsidP="009F3A11">
            <w:pPr>
              <w:tabs>
                <w:tab w:val="left" w:pos="3261"/>
              </w:tabs>
              <w:spacing w:before="63" w:after="63"/>
              <w:ind w:left="147"/>
            </w:pPr>
            <w:r w:rsidRPr="009F3A11">
              <w:rPr>
                <w:b/>
              </w:rPr>
              <w:t>Pasākumi šo saistību izpildei</w:t>
            </w:r>
          </w:p>
        </w:tc>
      </w:tr>
      <w:tr w:rsidR="002040B5" w:rsidRPr="007C2498" w:rsidTr="009F3A11">
        <w:trPr>
          <w:trHeight w:val="328"/>
          <w:tblCellSpacing w:w="0" w:type="dxa"/>
        </w:trPr>
        <w:tc>
          <w:tcPr>
            <w:tcW w:w="3539" w:type="dxa"/>
            <w:gridSpan w:val="2"/>
            <w:tcBorders>
              <w:top w:val="single" w:sz="4" w:space="0" w:color="auto"/>
              <w:left w:val="nil"/>
              <w:bottom w:val="nil"/>
              <w:right w:val="single" w:sz="4" w:space="0" w:color="auto"/>
            </w:tcBorders>
          </w:tcPr>
          <w:p w:rsidR="002040B5" w:rsidRPr="007C2498" w:rsidRDefault="009F3A11" w:rsidP="009F3A11">
            <w:pPr>
              <w:tabs>
                <w:tab w:val="left" w:pos="3261"/>
              </w:tabs>
              <w:spacing w:before="63" w:after="63"/>
              <w:ind w:left="137"/>
            </w:pPr>
            <w:r w:rsidRPr="009F3A11">
              <w:lastRenderedPageBreak/>
              <w:t>Attiecīgā starptautiskā tiesību akta vai starptautiskas institūcijas vai organizācijas dokumenta (turpmāk – starptautiskais dokuments) datums, numurs un nosaukums</w:t>
            </w:r>
          </w:p>
        </w:tc>
        <w:tc>
          <w:tcPr>
            <w:tcW w:w="6242" w:type="dxa"/>
            <w:gridSpan w:val="4"/>
            <w:tcBorders>
              <w:top w:val="single" w:sz="4" w:space="0" w:color="auto"/>
              <w:bottom w:val="nil"/>
              <w:right w:val="nil"/>
            </w:tcBorders>
          </w:tcPr>
          <w:p w:rsidR="002040B5" w:rsidRPr="007C2498" w:rsidRDefault="009F3A11" w:rsidP="002040B5">
            <w:pPr>
              <w:tabs>
                <w:tab w:val="left" w:pos="3261"/>
              </w:tabs>
              <w:spacing w:before="63" w:after="63"/>
              <w:ind w:left="147"/>
            </w:pPr>
            <w:r w:rsidRPr="009F3A11">
              <w:t>Projekts šo jomu neskar.</w:t>
            </w:r>
          </w:p>
        </w:tc>
      </w:tr>
      <w:tr w:rsidR="009F3A11" w:rsidRPr="007C2498" w:rsidTr="009F3A11">
        <w:trPr>
          <w:trHeight w:val="328"/>
          <w:tblCellSpacing w:w="0" w:type="dxa"/>
        </w:trPr>
        <w:tc>
          <w:tcPr>
            <w:tcW w:w="3539" w:type="dxa"/>
            <w:gridSpan w:val="2"/>
            <w:tcBorders>
              <w:top w:val="single" w:sz="4" w:space="0" w:color="auto"/>
              <w:left w:val="nil"/>
              <w:bottom w:val="single" w:sz="4" w:space="0" w:color="auto"/>
              <w:right w:val="single" w:sz="4" w:space="0" w:color="auto"/>
            </w:tcBorders>
          </w:tcPr>
          <w:p w:rsidR="009F3A11" w:rsidRPr="007C2498" w:rsidRDefault="009F3A11" w:rsidP="009F3A11">
            <w:pPr>
              <w:tabs>
                <w:tab w:val="left" w:pos="3261"/>
              </w:tabs>
              <w:spacing w:before="63" w:after="63"/>
              <w:jc w:val="center"/>
            </w:pPr>
            <w:r>
              <w:t>A</w:t>
            </w:r>
          </w:p>
        </w:tc>
        <w:tc>
          <w:tcPr>
            <w:tcW w:w="3121" w:type="dxa"/>
            <w:gridSpan w:val="2"/>
            <w:tcBorders>
              <w:top w:val="single" w:sz="4" w:space="0" w:color="auto"/>
              <w:bottom w:val="single" w:sz="4" w:space="0" w:color="auto"/>
              <w:right w:val="single" w:sz="4" w:space="0" w:color="auto"/>
            </w:tcBorders>
          </w:tcPr>
          <w:p w:rsidR="009F3A11" w:rsidRPr="007C2498" w:rsidRDefault="009F3A11" w:rsidP="009F3A11">
            <w:pPr>
              <w:tabs>
                <w:tab w:val="left" w:pos="3261"/>
              </w:tabs>
              <w:spacing w:before="63" w:after="63"/>
              <w:ind w:left="147"/>
              <w:jc w:val="center"/>
            </w:pPr>
            <w:r>
              <w:t>B</w:t>
            </w:r>
          </w:p>
        </w:tc>
        <w:tc>
          <w:tcPr>
            <w:tcW w:w="3121" w:type="dxa"/>
            <w:gridSpan w:val="2"/>
            <w:tcBorders>
              <w:top w:val="single" w:sz="4" w:space="0" w:color="auto"/>
              <w:bottom w:val="single" w:sz="4" w:space="0" w:color="auto"/>
            </w:tcBorders>
          </w:tcPr>
          <w:p w:rsidR="009F3A11" w:rsidRPr="007C2498" w:rsidRDefault="009F3A11" w:rsidP="009F3A11">
            <w:pPr>
              <w:tabs>
                <w:tab w:val="left" w:pos="3261"/>
              </w:tabs>
              <w:spacing w:before="63" w:after="63"/>
              <w:ind w:left="147"/>
              <w:jc w:val="center"/>
            </w:pPr>
            <w:r>
              <w:t>C</w:t>
            </w:r>
          </w:p>
        </w:tc>
      </w:tr>
      <w:tr w:rsidR="009F3A11" w:rsidRPr="007C2498" w:rsidTr="009F3A11">
        <w:trPr>
          <w:trHeight w:val="328"/>
          <w:tblCellSpacing w:w="0" w:type="dxa"/>
        </w:trPr>
        <w:tc>
          <w:tcPr>
            <w:tcW w:w="3539" w:type="dxa"/>
            <w:gridSpan w:val="2"/>
            <w:tcBorders>
              <w:top w:val="nil"/>
              <w:left w:val="nil"/>
              <w:bottom w:val="single" w:sz="4" w:space="0" w:color="auto"/>
              <w:right w:val="single" w:sz="4" w:space="0" w:color="auto"/>
            </w:tcBorders>
          </w:tcPr>
          <w:p w:rsidR="009F3A11" w:rsidRPr="007C2498" w:rsidRDefault="009F3A11" w:rsidP="009F3A11">
            <w:pPr>
              <w:tabs>
                <w:tab w:val="left" w:pos="3261"/>
              </w:tabs>
              <w:spacing w:before="63" w:after="63"/>
              <w:ind w:left="137"/>
            </w:pPr>
            <w:r w:rsidRPr="009F3A11">
              <w:t>Starptautiskās saistības (pēc būtības), kas izriet no norādītā starptautiskā dokumenta.</w:t>
            </w:r>
          </w:p>
        </w:tc>
        <w:tc>
          <w:tcPr>
            <w:tcW w:w="3121" w:type="dxa"/>
            <w:gridSpan w:val="2"/>
            <w:tcBorders>
              <w:top w:val="nil"/>
              <w:left w:val="nil"/>
              <w:bottom w:val="single" w:sz="4" w:space="0" w:color="auto"/>
              <w:right w:val="single" w:sz="4" w:space="0" w:color="auto"/>
            </w:tcBorders>
          </w:tcPr>
          <w:p w:rsidR="009F3A11" w:rsidRPr="007C2498" w:rsidRDefault="009F3A11" w:rsidP="002040B5">
            <w:pPr>
              <w:tabs>
                <w:tab w:val="left" w:pos="3261"/>
              </w:tabs>
              <w:spacing w:before="63" w:after="63"/>
              <w:ind w:left="147"/>
            </w:pPr>
            <w:r w:rsidRPr="009F3A11">
              <w:t>Ja pasākumi vai uzdevumi, ar ko tiks izpildītas starptautiskās saistības, tiek noteikti projektā, norāda attiecīgo projekta vienību.</w:t>
            </w:r>
          </w:p>
        </w:tc>
        <w:tc>
          <w:tcPr>
            <w:tcW w:w="3121" w:type="dxa"/>
            <w:gridSpan w:val="2"/>
            <w:tcBorders>
              <w:top w:val="nil"/>
              <w:left w:val="nil"/>
              <w:bottom w:val="single" w:sz="4" w:space="0" w:color="auto"/>
              <w:right w:val="nil"/>
            </w:tcBorders>
          </w:tcPr>
          <w:p w:rsidR="009F3A11" w:rsidRPr="007C2498" w:rsidRDefault="009F3A11" w:rsidP="002040B5">
            <w:pPr>
              <w:tabs>
                <w:tab w:val="left" w:pos="3261"/>
              </w:tabs>
              <w:spacing w:before="63" w:after="63"/>
              <w:ind w:left="147"/>
            </w:pPr>
            <w:r w:rsidRPr="009F3A11">
              <w:t>Informācija par to, vai starptautiskās saistības, kas minētas šīs tabulas A ailē, tiek izpildītas pilnībā vai daļēji.</w:t>
            </w:r>
          </w:p>
        </w:tc>
      </w:tr>
      <w:tr w:rsidR="009F3A11" w:rsidRPr="007C2498" w:rsidTr="009F3A11">
        <w:trPr>
          <w:trHeight w:val="328"/>
          <w:tblCellSpacing w:w="0" w:type="dxa"/>
        </w:trPr>
        <w:tc>
          <w:tcPr>
            <w:tcW w:w="3539" w:type="dxa"/>
            <w:gridSpan w:val="2"/>
            <w:tcBorders>
              <w:top w:val="nil"/>
              <w:left w:val="nil"/>
              <w:bottom w:val="single" w:sz="4" w:space="0" w:color="auto"/>
              <w:right w:val="single" w:sz="4" w:space="0" w:color="auto"/>
            </w:tcBorders>
          </w:tcPr>
          <w:p w:rsidR="009F3A11" w:rsidRPr="007C2498" w:rsidRDefault="009F3A11" w:rsidP="009F3A11">
            <w:pPr>
              <w:tabs>
                <w:tab w:val="left" w:pos="3261"/>
              </w:tabs>
              <w:spacing w:before="63" w:after="63"/>
              <w:ind w:left="137"/>
            </w:pPr>
            <w:r w:rsidRPr="009F3A11">
              <w:t>Projekts šo jomu neskar.</w:t>
            </w:r>
          </w:p>
        </w:tc>
        <w:tc>
          <w:tcPr>
            <w:tcW w:w="3121" w:type="dxa"/>
            <w:gridSpan w:val="2"/>
            <w:tcBorders>
              <w:top w:val="nil"/>
              <w:left w:val="nil"/>
              <w:bottom w:val="single" w:sz="4" w:space="0" w:color="auto"/>
              <w:right w:val="single" w:sz="4" w:space="0" w:color="auto"/>
            </w:tcBorders>
          </w:tcPr>
          <w:p w:rsidR="009F3A11" w:rsidRPr="007C2498" w:rsidRDefault="009F3A11" w:rsidP="002040B5">
            <w:pPr>
              <w:tabs>
                <w:tab w:val="left" w:pos="3261"/>
              </w:tabs>
              <w:spacing w:before="63" w:after="63"/>
              <w:ind w:left="147"/>
            </w:pPr>
            <w:r w:rsidRPr="009F3A11">
              <w:t>Projekts šo jomu neskar.</w:t>
            </w:r>
          </w:p>
        </w:tc>
        <w:tc>
          <w:tcPr>
            <w:tcW w:w="3121" w:type="dxa"/>
            <w:gridSpan w:val="2"/>
            <w:tcBorders>
              <w:top w:val="nil"/>
              <w:left w:val="nil"/>
              <w:bottom w:val="single" w:sz="4" w:space="0" w:color="auto"/>
              <w:right w:val="nil"/>
            </w:tcBorders>
          </w:tcPr>
          <w:p w:rsidR="009F3A11" w:rsidRPr="007C2498" w:rsidRDefault="009F3A11" w:rsidP="002040B5">
            <w:pPr>
              <w:tabs>
                <w:tab w:val="left" w:pos="3261"/>
              </w:tabs>
              <w:spacing w:before="63" w:after="63"/>
              <w:ind w:left="147"/>
            </w:pPr>
            <w:r w:rsidRPr="009F3A11">
              <w:t>Projekts šo jomu neskar.</w:t>
            </w:r>
          </w:p>
        </w:tc>
      </w:tr>
      <w:tr w:rsidR="009F3A11" w:rsidRPr="007C2498" w:rsidTr="009F3A11">
        <w:trPr>
          <w:trHeight w:val="328"/>
          <w:tblCellSpacing w:w="0" w:type="dxa"/>
        </w:trPr>
        <w:tc>
          <w:tcPr>
            <w:tcW w:w="3539" w:type="dxa"/>
            <w:gridSpan w:val="2"/>
            <w:tcBorders>
              <w:top w:val="nil"/>
              <w:left w:val="nil"/>
              <w:bottom w:val="single" w:sz="4" w:space="0" w:color="auto"/>
              <w:right w:val="single" w:sz="4" w:space="0" w:color="auto"/>
            </w:tcBorders>
          </w:tcPr>
          <w:p w:rsidR="009F3A11" w:rsidRPr="007C2498" w:rsidRDefault="009F3A11" w:rsidP="003A48F3">
            <w:pPr>
              <w:tabs>
                <w:tab w:val="left" w:pos="3261"/>
              </w:tabs>
              <w:spacing w:before="63" w:after="63"/>
            </w:pPr>
            <w:r w:rsidRPr="009F3A11">
              <w:t>Vai starptautiskajā dokumentā paredzētās saistības nav pretrunā ar jau esošajām Latvijas Republikas starptautiskajām saistībām</w:t>
            </w:r>
          </w:p>
        </w:tc>
        <w:tc>
          <w:tcPr>
            <w:tcW w:w="6242" w:type="dxa"/>
            <w:gridSpan w:val="4"/>
            <w:tcBorders>
              <w:top w:val="nil"/>
              <w:left w:val="nil"/>
              <w:bottom w:val="single" w:sz="4" w:space="0" w:color="auto"/>
              <w:right w:val="nil"/>
            </w:tcBorders>
          </w:tcPr>
          <w:p w:rsidR="009F3A11" w:rsidRPr="007C2498" w:rsidRDefault="009F3A11" w:rsidP="002040B5">
            <w:pPr>
              <w:tabs>
                <w:tab w:val="left" w:pos="3261"/>
              </w:tabs>
              <w:spacing w:before="63" w:after="63"/>
              <w:ind w:left="147"/>
            </w:pPr>
            <w:r w:rsidRPr="009F3A11">
              <w:t>Dokumentā minētās saistības nav pretrunā.</w:t>
            </w:r>
          </w:p>
        </w:tc>
      </w:tr>
      <w:tr w:rsidR="009F3A11" w:rsidRPr="007C2498" w:rsidTr="009F3A11">
        <w:trPr>
          <w:trHeight w:val="328"/>
          <w:tblCellSpacing w:w="0" w:type="dxa"/>
        </w:trPr>
        <w:tc>
          <w:tcPr>
            <w:tcW w:w="3539" w:type="dxa"/>
            <w:gridSpan w:val="2"/>
            <w:tcBorders>
              <w:top w:val="nil"/>
              <w:left w:val="nil"/>
              <w:bottom w:val="single" w:sz="4" w:space="0" w:color="auto"/>
              <w:right w:val="nil"/>
            </w:tcBorders>
          </w:tcPr>
          <w:p w:rsidR="009F3A11" w:rsidRPr="007C2498" w:rsidRDefault="009F3A11" w:rsidP="009F3A11">
            <w:pPr>
              <w:tabs>
                <w:tab w:val="left" w:pos="3261"/>
              </w:tabs>
              <w:spacing w:before="63" w:after="63"/>
              <w:ind w:left="137"/>
            </w:pPr>
            <w:r>
              <w:t>Cita Informācija.</w:t>
            </w:r>
          </w:p>
        </w:tc>
        <w:tc>
          <w:tcPr>
            <w:tcW w:w="6242" w:type="dxa"/>
            <w:gridSpan w:val="4"/>
            <w:tcBorders>
              <w:top w:val="nil"/>
              <w:left w:val="nil"/>
              <w:bottom w:val="single" w:sz="4" w:space="0" w:color="auto"/>
              <w:right w:val="nil"/>
            </w:tcBorders>
          </w:tcPr>
          <w:p w:rsidR="009F3A11" w:rsidRPr="007C2498" w:rsidRDefault="009F3A11" w:rsidP="002040B5">
            <w:pPr>
              <w:tabs>
                <w:tab w:val="left" w:pos="3261"/>
              </w:tabs>
              <w:spacing w:before="63" w:after="63"/>
              <w:ind w:left="147"/>
            </w:pPr>
            <w:r>
              <w:t>Nav.</w:t>
            </w:r>
          </w:p>
        </w:tc>
      </w:tr>
    </w:tbl>
    <w:p w:rsidR="001756D2" w:rsidRPr="001756D2" w:rsidRDefault="007510A8" w:rsidP="00335FE1">
      <w:pPr>
        <w:pStyle w:val="tvhtml"/>
        <w:spacing w:before="60" w:beforeAutospacing="0" w:after="0" w:afterAutospacing="0"/>
        <w:rPr>
          <w:rFonts w:ascii="Times New Roman" w:hAnsi="Times New Roman"/>
          <w:sz w:val="24"/>
          <w:szCs w:val="24"/>
        </w:rPr>
      </w:pPr>
      <w:r>
        <w:rPr>
          <w:rFonts w:ascii="Times New Roman" w:hAnsi="Times New Roman"/>
          <w:i/>
          <w:iCs/>
          <w:sz w:val="24"/>
          <w:szCs w:val="24"/>
        </w:rPr>
        <w:t>Anotācijas III,</w:t>
      </w:r>
      <w:r w:rsidR="001756D2" w:rsidRPr="001756D2">
        <w:rPr>
          <w:rFonts w:ascii="Times New Roman" w:hAnsi="Times New Roman"/>
          <w:i/>
          <w:iCs/>
          <w:sz w:val="24"/>
          <w:szCs w:val="24"/>
        </w:rPr>
        <w:t xml:space="preserve"> IV</w:t>
      </w:r>
      <w:r w:rsidR="00335FE1">
        <w:rPr>
          <w:rFonts w:ascii="Times New Roman" w:hAnsi="Times New Roman"/>
          <w:i/>
          <w:iCs/>
          <w:sz w:val="24"/>
          <w:szCs w:val="24"/>
        </w:rPr>
        <w:t>,</w:t>
      </w:r>
      <w:r>
        <w:rPr>
          <w:rFonts w:ascii="Times New Roman" w:hAnsi="Times New Roman"/>
          <w:i/>
          <w:iCs/>
          <w:sz w:val="24"/>
          <w:szCs w:val="24"/>
        </w:rPr>
        <w:t xml:space="preserve"> VI </w:t>
      </w:r>
      <w:r w:rsidR="00335FE1">
        <w:rPr>
          <w:rFonts w:ascii="Times New Roman" w:hAnsi="Times New Roman"/>
          <w:i/>
          <w:iCs/>
          <w:sz w:val="24"/>
          <w:szCs w:val="24"/>
        </w:rPr>
        <w:t xml:space="preserve">un VII </w:t>
      </w:r>
      <w:r>
        <w:rPr>
          <w:rFonts w:ascii="Times New Roman" w:hAnsi="Times New Roman"/>
          <w:i/>
          <w:iCs/>
          <w:sz w:val="24"/>
          <w:szCs w:val="24"/>
        </w:rPr>
        <w:t>sadaļa</w:t>
      </w:r>
      <w:r w:rsidR="001756D2" w:rsidRPr="001756D2">
        <w:rPr>
          <w:rFonts w:ascii="Times New Roman" w:hAnsi="Times New Roman"/>
          <w:i/>
          <w:iCs/>
          <w:sz w:val="24"/>
          <w:szCs w:val="24"/>
        </w:rPr>
        <w:t xml:space="preserve"> – projekts šīs jomas neskar.</w:t>
      </w:r>
    </w:p>
    <w:p w:rsidR="00A00CD5" w:rsidRDefault="00A00CD5" w:rsidP="00A00CD5">
      <w:pPr>
        <w:jc w:val="both"/>
        <w:rPr>
          <w:sz w:val="16"/>
          <w:szCs w:val="16"/>
        </w:rPr>
      </w:pPr>
    </w:p>
    <w:p w:rsidR="00C4653E" w:rsidRPr="00CD3044" w:rsidRDefault="00C4653E" w:rsidP="00A00CD5">
      <w:pPr>
        <w:jc w:val="both"/>
        <w:rPr>
          <w:sz w:val="16"/>
          <w:szCs w:val="16"/>
        </w:rPr>
      </w:pPr>
    </w:p>
    <w:p w:rsidR="000323A3" w:rsidRDefault="00796912" w:rsidP="00111FA7">
      <w:pPr>
        <w:ind w:left="-284"/>
        <w:jc w:val="both"/>
        <w:rPr>
          <w:sz w:val="28"/>
          <w:szCs w:val="28"/>
        </w:rPr>
      </w:pPr>
      <w:r>
        <w:rPr>
          <w:sz w:val="28"/>
          <w:szCs w:val="28"/>
        </w:rPr>
        <w:t>E</w:t>
      </w:r>
      <w:r w:rsidR="000323A3" w:rsidRPr="0064216D">
        <w:rPr>
          <w:sz w:val="28"/>
          <w:szCs w:val="28"/>
        </w:rPr>
        <w:t>konomikas ministr</w:t>
      </w:r>
      <w:r w:rsidR="00994F0D">
        <w:rPr>
          <w:sz w:val="28"/>
          <w:szCs w:val="28"/>
        </w:rPr>
        <w:t>s</w:t>
      </w:r>
      <w:r w:rsidR="00994F0D">
        <w:rPr>
          <w:sz w:val="28"/>
          <w:szCs w:val="28"/>
        </w:rPr>
        <w:tab/>
      </w:r>
      <w:r w:rsidR="00994F0D">
        <w:rPr>
          <w:sz w:val="28"/>
          <w:szCs w:val="28"/>
        </w:rPr>
        <w:tab/>
      </w:r>
      <w:r>
        <w:rPr>
          <w:sz w:val="28"/>
          <w:szCs w:val="28"/>
        </w:rPr>
        <w:tab/>
      </w:r>
      <w:r>
        <w:rPr>
          <w:sz w:val="28"/>
          <w:szCs w:val="28"/>
        </w:rPr>
        <w:tab/>
      </w:r>
      <w:r>
        <w:rPr>
          <w:sz w:val="28"/>
          <w:szCs w:val="28"/>
        </w:rPr>
        <w:tab/>
      </w:r>
      <w:r w:rsidR="00994F0D">
        <w:rPr>
          <w:sz w:val="28"/>
          <w:szCs w:val="28"/>
        </w:rPr>
        <w:tab/>
      </w:r>
      <w:r w:rsidR="00994F0D">
        <w:rPr>
          <w:sz w:val="28"/>
          <w:szCs w:val="28"/>
        </w:rPr>
        <w:tab/>
      </w:r>
      <w:r w:rsidR="00994F0D">
        <w:rPr>
          <w:sz w:val="28"/>
          <w:szCs w:val="28"/>
        </w:rPr>
        <w:tab/>
      </w:r>
      <w:proofErr w:type="spellStart"/>
      <w:r w:rsidR="00994F0D">
        <w:rPr>
          <w:sz w:val="28"/>
          <w:szCs w:val="28"/>
        </w:rPr>
        <w:t>D</w:t>
      </w:r>
      <w:r w:rsidR="000323A3" w:rsidRPr="0064216D">
        <w:rPr>
          <w:sz w:val="28"/>
          <w:szCs w:val="28"/>
        </w:rPr>
        <w:t>.</w:t>
      </w:r>
      <w:r w:rsidR="00994F0D">
        <w:rPr>
          <w:sz w:val="28"/>
          <w:szCs w:val="28"/>
        </w:rPr>
        <w:t>Pavļuts</w:t>
      </w:r>
      <w:proofErr w:type="spellEnd"/>
    </w:p>
    <w:p w:rsidR="000323A3" w:rsidRDefault="000323A3" w:rsidP="000323A3">
      <w:pPr>
        <w:jc w:val="both"/>
        <w:rPr>
          <w:sz w:val="28"/>
          <w:szCs w:val="28"/>
        </w:rPr>
      </w:pPr>
    </w:p>
    <w:p w:rsidR="00554115" w:rsidRDefault="00554115" w:rsidP="000323A3">
      <w:pPr>
        <w:jc w:val="both"/>
        <w:rPr>
          <w:sz w:val="28"/>
          <w:szCs w:val="28"/>
        </w:rPr>
      </w:pPr>
    </w:p>
    <w:p w:rsidR="00554115" w:rsidRDefault="00554115" w:rsidP="000323A3">
      <w:pPr>
        <w:jc w:val="both"/>
        <w:rPr>
          <w:sz w:val="28"/>
          <w:szCs w:val="28"/>
        </w:rPr>
      </w:pPr>
    </w:p>
    <w:p w:rsidR="00E755BB" w:rsidRDefault="00796912" w:rsidP="003A48F3">
      <w:pPr>
        <w:spacing w:after="60"/>
        <w:ind w:left="-284"/>
        <w:rPr>
          <w:sz w:val="28"/>
          <w:szCs w:val="28"/>
        </w:rPr>
      </w:pPr>
      <w:r>
        <w:rPr>
          <w:sz w:val="28"/>
          <w:szCs w:val="28"/>
        </w:rPr>
        <w:t>Vīza:</w:t>
      </w:r>
      <w:r w:rsidR="003A48F3">
        <w:rPr>
          <w:sz w:val="28"/>
          <w:szCs w:val="28"/>
        </w:rPr>
        <w:t xml:space="preserve"> </w:t>
      </w:r>
    </w:p>
    <w:p w:rsidR="00E755BB" w:rsidRDefault="00E755BB" w:rsidP="003A48F3">
      <w:pPr>
        <w:spacing w:after="60"/>
        <w:ind w:left="-284"/>
        <w:rPr>
          <w:sz w:val="28"/>
          <w:szCs w:val="28"/>
        </w:rPr>
      </w:pPr>
      <w:r>
        <w:rPr>
          <w:sz w:val="28"/>
          <w:szCs w:val="28"/>
        </w:rPr>
        <w:t>valsts sekretāra</w:t>
      </w:r>
    </w:p>
    <w:p w:rsidR="00E755BB" w:rsidRDefault="00E755BB" w:rsidP="003A48F3">
      <w:pPr>
        <w:spacing w:after="60"/>
        <w:ind w:left="-284"/>
        <w:rPr>
          <w:sz w:val="28"/>
          <w:szCs w:val="28"/>
        </w:rPr>
      </w:pPr>
      <w:r>
        <w:rPr>
          <w:sz w:val="28"/>
          <w:szCs w:val="28"/>
        </w:rPr>
        <w:t>pienākumu izpildītājs,</w:t>
      </w:r>
    </w:p>
    <w:p w:rsidR="000323A3" w:rsidRPr="00B655C1" w:rsidRDefault="00E755BB" w:rsidP="003A48F3">
      <w:pPr>
        <w:spacing w:after="60"/>
        <w:ind w:left="-284"/>
        <w:rPr>
          <w:sz w:val="28"/>
          <w:szCs w:val="28"/>
        </w:rPr>
      </w:pPr>
      <w:r>
        <w:rPr>
          <w:sz w:val="28"/>
          <w:szCs w:val="28"/>
        </w:rPr>
        <w:t>valsts sekretāra vietnieks</w:t>
      </w:r>
      <w:r w:rsidR="00994F0D">
        <w:rPr>
          <w:sz w:val="28"/>
          <w:szCs w:val="28"/>
        </w:rPr>
        <w:tab/>
      </w:r>
      <w:r w:rsidR="00994F0D">
        <w:rPr>
          <w:sz w:val="28"/>
          <w:szCs w:val="28"/>
        </w:rPr>
        <w:tab/>
      </w:r>
      <w:r w:rsidR="00994F0D">
        <w:rPr>
          <w:sz w:val="28"/>
          <w:szCs w:val="28"/>
        </w:rPr>
        <w:tab/>
      </w:r>
      <w:r w:rsidR="00994F0D">
        <w:rPr>
          <w:sz w:val="28"/>
          <w:szCs w:val="28"/>
        </w:rPr>
        <w:tab/>
      </w:r>
      <w:r w:rsidR="00994F0D">
        <w:rPr>
          <w:sz w:val="28"/>
          <w:szCs w:val="28"/>
        </w:rPr>
        <w:tab/>
      </w:r>
      <w:r>
        <w:rPr>
          <w:sz w:val="28"/>
          <w:szCs w:val="28"/>
        </w:rPr>
        <w:tab/>
        <w:t xml:space="preserve">          A</w:t>
      </w:r>
      <w:r w:rsidR="000323A3" w:rsidRPr="00B655C1">
        <w:rPr>
          <w:sz w:val="28"/>
          <w:szCs w:val="28"/>
        </w:rPr>
        <w:t>.</w:t>
      </w:r>
      <w:r>
        <w:rPr>
          <w:sz w:val="28"/>
          <w:szCs w:val="28"/>
        </w:rPr>
        <w:t>Liepiņš</w:t>
      </w:r>
    </w:p>
    <w:p w:rsidR="000323A3" w:rsidRDefault="000323A3" w:rsidP="000323A3">
      <w:pPr>
        <w:jc w:val="both"/>
        <w:rPr>
          <w:sz w:val="28"/>
          <w:szCs w:val="28"/>
        </w:rPr>
      </w:pPr>
    </w:p>
    <w:p w:rsidR="00C4653E" w:rsidRDefault="00C4653E" w:rsidP="000323A3">
      <w:pPr>
        <w:jc w:val="both"/>
        <w:rPr>
          <w:sz w:val="28"/>
          <w:szCs w:val="28"/>
        </w:rPr>
      </w:pPr>
    </w:p>
    <w:p w:rsidR="00A007D2" w:rsidRDefault="00A007D2" w:rsidP="000323A3">
      <w:pPr>
        <w:jc w:val="both"/>
        <w:rPr>
          <w:sz w:val="28"/>
          <w:szCs w:val="28"/>
        </w:rPr>
      </w:pPr>
    </w:p>
    <w:p w:rsidR="00A007D2" w:rsidRDefault="00A007D2" w:rsidP="000323A3">
      <w:pPr>
        <w:jc w:val="both"/>
        <w:rPr>
          <w:sz w:val="28"/>
          <w:szCs w:val="28"/>
        </w:rPr>
      </w:pPr>
    </w:p>
    <w:p w:rsidR="00A007D2" w:rsidRDefault="00A007D2" w:rsidP="000323A3">
      <w:pPr>
        <w:jc w:val="both"/>
        <w:rPr>
          <w:sz w:val="28"/>
          <w:szCs w:val="28"/>
        </w:rPr>
      </w:pPr>
    </w:p>
    <w:p w:rsidR="00A007D2" w:rsidRDefault="00A007D2" w:rsidP="000323A3">
      <w:pPr>
        <w:jc w:val="both"/>
        <w:rPr>
          <w:sz w:val="28"/>
          <w:szCs w:val="28"/>
        </w:rPr>
      </w:pPr>
    </w:p>
    <w:p w:rsidR="00A007D2" w:rsidRDefault="00A007D2" w:rsidP="000323A3">
      <w:pPr>
        <w:jc w:val="both"/>
        <w:rPr>
          <w:sz w:val="28"/>
          <w:szCs w:val="28"/>
        </w:rPr>
      </w:pPr>
      <w:bookmarkStart w:id="0" w:name="_GoBack"/>
      <w:bookmarkEnd w:id="0"/>
    </w:p>
    <w:p w:rsidR="005C458B" w:rsidRPr="005C458B" w:rsidRDefault="005779F4" w:rsidP="005C458B">
      <w:pPr>
        <w:ind w:left="-284"/>
        <w:jc w:val="both"/>
        <w:rPr>
          <w:sz w:val="20"/>
          <w:szCs w:val="20"/>
        </w:rPr>
      </w:pPr>
      <w:r>
        <w:rPr>
          <w:sz w:val="20"/>
          <w:szCs w:val="20"/>
        </w:rPr>
        <w:t>12</w:t>
      </w:r>
      <w:r w:rsidR="005C458B" w:rsidRPr="005C458B">
        <w:rPr>
          <w:sz w:val="20"/>
          <w:szCs w:val="20"/>
        </w:rPr>
        <w:t>.</w:t>
      </w:r>
      <w:r w:rsidR="001A672C">
        <w:rPr>
          <w:sz w:val="20"/>
          <w:szCs w:val="20"/>
        </w:rPr>
        <w:t>1</w:t>
      </w:r>
      <w:r w:rsidR="00E755BB">
        <w:rPr>
          <w:sz w:val="20"/>
          <w:szCs w:val="20"/>
        </w:rPr>
        <w:t>2</w:t>
      </w:r>
      <w:r w:rsidR="00CA2BBF">
        <w:rPr>
          <w:sz w:val="20"/>
          <w:szCs w:val="20"/>
        </w:rPr>
        <w:t>.2013. 09</w:t>
      </w:r>
      <w:r w:rsidR="001A672C">
        <w:rPr>
          <w:sz w:val="20"/>
          <w:szCs w:val="20"/>
        </w:rPr>
        <w:t>:5</w:t>
      </w:r>
      <w:r w:rsidR="005C458B" w:rsidRPr="005C458B">
        <w:rPr>
          <w:sz w:val="20"/>
          <w:szCs w:val="20"/>
        </w:rPr>
        <w:t>2</w:t>
      </w:r>
    </w:p>
    <w:p w:rsidR="005C458B" w:rsidRPr="005C458B" w:rsidRDefault="00F90DAB" w:rsidP="005C458B">
      <w:pPr>
        <w:ind w:left="-284"/>
        <w:jc w:val="both"/>
        <w:rPr>
          <w:sz w:val="20"/>
          <w:szCs w:val="20"/>
        </w:rPr>
      </w:pPr>
      <w:r>
        <w:rPr>
          <w:sz w:val="20"/>
          <w:szCs w:val="20"/>
        </w:rPr>
        <w:t>2635</w:t>
      </w:r>
    </w:p>
    <w:p w:rsidR="005C458B" w:rsidRPr="005C458B" w:rsidRDefault="005C458B" w:rsidP="005C458B">
      <w:pPr>
        <w:ind w:left="-284"/>
        <w:jc w:val="both"/>
        <w:rPr>
          <w:sz w:val="20"/>
          <w:szCs w:val="20"/>
        </w:rPr>
      </w:pPr>
      <w:r w:rsidRPr="005C458B">
        <w:rPr>
          <w:sz w:val="20"/>
          <w:szCs w:val="20"/>
        </w:rPr>
        <w:t>Fernāts</w:t>
      </w:r>
    </w:p>
    <w:p w:rsidR="000323A3" w:rsidRDefault="005C458B" w:rsidP="005C458B">
      <w:pPr>
        <w:ind w:left="-284"/>
        <w:jc w:val="both"/>
        <w:rPr>
          <w:sz w:val="20"/>
          <w:szCs w:val="20"/>
        </w:rPr>
      </w:pPr>
      <w:r w:rsidRPr="005C458B">
        <w:rPr>
          <w:sz w:val="20"/>
          <w:szCs w:val="20"/>
        </w:rPr>
        <w:t>67013053, Edmunds.Fernats@em.gov.lv</w:t>
      </w:r>
    </w:p>
    <w:sectPr w:rsidR="000323A3" w:rsidSect="009014C2">
      <w:headerReference w:type="default" r:id="rId9"/>
      <w:footerReference w:type="default" r:id="rId10"/>
      <w:footerReference w:type="first" r:id="rId11"/>
      <w:pgSz w:w="11906" w:h="16838"/>
      <w:pgMar w:top="1440"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F3" w:rsidRDefault="003A48F3" w:rsidP="00CC619C">
      <w:r>
        <w:separator/>
      </w:r>
    </w:p>
  </w:endnote>
  <w:endnote w:type="continuationSeparator" w:id="0">
    <w:p w:rsidR="003A48F3" w:rsidRDefault="003A48F3" w:rsidP="00C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F3" w:rsidRPr="00303385" w:rsidRDefault="003A48F3" w:rsidP="00303385">
    <w:pPr>
      <w:pStyle w:val="Footer"/>
      <w:tabs>
        <w:tab w:val="clear" w:pos="8306"/>
        <w:tab w:val="right" w:pos="9072"/>
      </w:tabs>
      <w:ind w:left="-284" w:right="-766"/>
      <w:jc w:val="both"/>
      <w:rPr>
        <w:sz w:val="20"/>
        <w:szCs w:val="20"/>
      </w:rPr>
    </w:pPr>
    <w:r w:rsidRPr="00F7066D">
      <w:rPr>
        <w:sz w:val="20"/>
        <w:szCs w:val="20"/>
      </w:rPr>
      <w:t>EMAnot_</w:t>
    </w:r>
    <w:r w:rsidR="005779F4">
      <w:rPr>
        <w:sz w:val="20"/>
        <w:szCs w:val="20"/>
      </w:rPr>
      <w:t>12</w:t>
    </w:r>
    <w:r w:rsidR="00E755BB">
      <w:rPr>
        <w:sz w:val="20"/>
        <w:szCs w:val="20"/>
      </w:rPr>
      <w:t>12</w:t>
    </w:r>
    <w:r w:rsidRPr="00F7066D">
      <w:rPr>
        <w:sz w:val="20"/>
        <w:szCs w:val="20"/>
      </w:rPr>
      <w:t>1</w:t>
    </w:r>
    <w:r>
      <w:rPr>
        <w:sz w:val="20"/>
        <w:szCs w:val="20"/>
      </w:rPr>
      <w:t>3</w:t>
    </w:r>
    <w:r w:rsidRPr="00F7066D">
      <w:rPr>
        <w:sz w:val="20"/>
        <w:szCs w:val="20"/>
      </w:rPr>
      <w:t>_</w:t>
    </w:r>
    <w:r w:rsidR="00A21AE0">
      <w:rPr>
        <w:sz w:val="20"/>
        <w:szCs w:val="20"/>
      </w:rPr>
      <w:t>MK78</w:t>
    </w:r>
    <w:r w:rsidRPr="00F7066D">
      <w:rPr>
        <w:sz w:val="20"/>
        <w:szCs w:val="20"/>
      </w:rPr>
      <w:t xml:space="preserve">; </w:t>
    </w:r>
    <w:r w:rsidRPr="00D7487F">
      <w:rPr>
        <w:sz w:val="20"/>
        <w:szCs w:val="20"/>
      </w:rPr>
      <w:t>Ministru kabineta noteikumu projekt</w:t>
    </w:r>
    <w:r>
      <w:rPr>
        <w:sz w:val="20"/>
        <w:szCs w:val="20"/>
      </w:rPr>
      <w:t>a</w:t>
    </w:r>
    <w:r w:rsidRPr="00D7487F">
      <w:rPr>
        <w:sz w:val="20"/>
        <w:szCs w:val="20"/>
      </w:rPr>
      <w:t xml:space="preserve"> „Grozījumi Ministru kabineta 2012.gada 24.janvāra noteikumos Nr.78 „Atbalstāmo investīciju projekta apstiprināšanas un īstenošanas kārtība””</w:t>
    </w:r>
    <w:r w:rsidRPr="00F7066D">
      <w:rPr>
        <w:sz w:val="20"/>
        <w:szCs w:val="20"/>
      </w:rPr>
      <w:t xml:space="preserve"> sākotnējās ietekmes novērtējuma ziņojums (anotācija</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F3" w:rsidRPr="00D7487F" w:rsidRDefault="003A48F3" w:rsidP="00D7487F">
    <w:pPr>
      <w:pStyle w:val="Footer"/>
      <w:jc w:val="both"/>
    </w:pPr>
    <w:r>
      <w:rPr>
        <w:sz w:val="20"/>
        <w:szCs w:val="20"/>
      </w:rPr>
      <w:t>EMAnot_</w:t>
    </w:r>
    <w:r w:rsidR="005779F4">
      <w:rPr>
        <w:sz w:val="20"/>
        <w:szCs w:val="20"/>
      </w:rPr>
      <w:t>12</w:t>
    </w:r>
    <w:r w:rsidR="00E755BB">
      <w:rPr>
        <w:sz w:val="20"/>
        <w:szCs w:val="20"/>
      </w:rPr>
      <w:t>12</w:t>
    </w:r>
    <w:r w:rsidRPr="00D7487F">
      <w:rPr>
        <w:sz w:val="20"/>
        <w:szCs w:val="20"/>
      </w:rPr>
      <w:t>13_</w:t>
    </w:r>
    <w:r w:rsidR="00A21AE0">
      <w:rPr>
        <w:sz w:val="20"/>
        <w:szCs w:val="20"/>
      </w:rPr>
      <w:t>MK78</w:t>
    </w:r>
    <w:r w:rsidRPr="00D7487F">
      <w:rPr>
        <w:sz w:val="20"/>
        <w:szCs w:val="20"/>
      </w:rPr>
      <w:t>; Ministru kabineta noteikumu projekta „Grozījumi Ministru kabineta 2012.gada 24.janvāra noteikumos Nr.78 „Atbalstāmo investīciju projekta apstiprināšanas un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F3" w:rsidRDefault="003A48F3" w:rsidP="00CC619C">
      <w:r>
        <w:separator/>
      </w:r>
    </w:p>
  </w:footnote>
  <w:footnote w:type="continuationSeparator" w:id="0">
    <w:p w:rsidR="003A48F3" w:rsidRDefault="003A48F3" w:rsidP="00CC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20251"/>
      <w:docPartObj>
        <w:docPartGallery w:val="Page Numbers (Top of Page)"/>
        <w:docPartUnique/>
      </w:docPartObj>
    </w:sdtPr>
    <w:sdtEndPr/>
    <w:sdtContent>
      <w:p w:rsidR="003A48F3" w:rsidRDefault="003A48F3" w:rsidP="00C1165E">
        <w:pPr>
          <w:pStyle w:val="Header"/>
          <w:jc w:val="center"/>
        </w:pPr>
        <w:r w:rsidRPr="005C458B">
          <w:fldChar w:fldCharType="begin"/>
        </w:r>
        <w:r w:rsidRPr="005C458B">
          <w:instrText xml:space="preserve"> PAGE   \* MERGEFORMAT </w:instrText>
        </w:r>
        <w:r w:rsidRPr="005C458B">
          <w:fldChar w:fldCharType="separate"/>
        </w:r>
        <w:r w:rsidR="00A007D2">
          <w:rPr>
            <w:noProof/>
          </w:rPr>
          <w:t>10</w:t>
        </w:r>
        <w:r w:rsidRPr="005C458B">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F9C"/>
    <w:multiLevelType w:val="hybridMultilevel"/>
    <w:tmpl w:val="A08A53C0"/>
    <w:lvl w:ilvl="0" w:tplc="F216F14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2A745677"/>
    <w:multiLevelType w:val="hybridMultilevel"/>
    <w:tmpl w:val="E1843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BC40FA"/>
    <w:multiLevelType w:val="hybridMultilevel"/>
    <w:tmpl w:val="743A3B88"/>
    <w:lvl w:ilvl="0" w:tplc="BF1E541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3">
    <w:nsid w:val="47A00507"/>
    <w:multiLevelType w:val="hybridMultilevel"/>
    <w:tmpl w:val="CB6EF9C4"/>
    <w:lvl w:ilvl="0" w:tplc="000ACF0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nsid w:val="549B06E4"/>
    <w:multiLevelType w:val="hybridMultilevel"/>
    <w:tmpl w:val="43A0B2DC"/>
    <w:lvl w:ilvl="0" w:tplc="C0167D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5F27E71"/>
    <w:multiLevelType w:val="hybridMultilevel"/>
    <w:tmpl w:val="254C346A"/>
    <w:lvl w:ilvl="0" w:tplc="27D0E13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6">
    <w:nsid w:val="6990000E"/>
    <w:multiLevelType w:val="hybridMultilevel"/>
    <w:tmpl w:val="E4124AC6"/>
    <w:lvl w:ilvl="0" w:tplc="B0FE8D8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00CD5"/>
    <w:rsid w:val="00001921"/>
    <w:rsid w:val="000022B3"/>
    <w:rsid w:val="00003B5A"/>
    <w:rsid w:val="00020606"/>
    <w:rsid w:val="00024EAE"/>
    <w:rsid w:val="000323A3"/>
    <w:rsid w:val="00034FA7"/>
    <w:rsid w:val="00044358"/>
    <w:rsid w:val="00051FAD"/>
    <w:rsid w:val="00081C00"/>
    <w:rsid w:val="0008385E"/>
    <w:rsid w:val="000923F8"/>
    <w:rsid w:val="000B4D12"/>
    <w:rsid w:val="000B7AD5"/>
    <w:rsid w:val="000B7AF8"/>
    <w:rsid w:val="000F0670"/>
    <w:rsid w:val="000F1B89"/>
    <w:rsid w:val="000F33A8"/>
    <w:rsid w:val="000F73EB"/>
    <w:rsid w:val="00111C9B"/>
    <w:rsid w:val="00111FA7"/>
    <w:rsid w:val="0012443D"/>
    <w:rsid w:val="00130D5E"/>
    <w:rsid w:val="00141D84"/>
    <w:rsid w:val="00142B47"/>
    <w:rsid w:val="001756D2"/>
    <w:rsid w:val="00176E7A"/>
    <w:rsid w:val="001A672C"/>
    <w:rsid w:val="001B3FBA"/>
    <w:rsid w:val="001E3061"/>
    <w:rsid w:val="001F0E54"/>
    <w:rsid w:val="001F589E"/>
    <w:rsid w:val="00201064"/>
    <w:rsid w:val="002040B5"/>
    <w:rsid w:val="0021527F"/>
    <w:rsid w:val="002161F7"/>
    <w:rsid w:val="00230348"/>
    <w:rsid w:val="0023419F"/>
    <w:rsid w:val="00244CBA"/>
    <w:rsid w:val="002471A9"/>
    <w:rsid w:val="00251434"/>
    <w:rsid w:val="0025303F"/>
    <w:rsid w:val="00271FF7"/>
    <w:rsid w:val="002731DD"/>
    <w:rsid w:val="002841DB"/>
    <w:rsid w:val="00293ABB"/>
    <w:rsid w:val="00296071"/>
    <w:rsid w:val="00296E2F"/>
    <w:rsid w:val="002A2D1F"/>
    <w:rsid w:val="002A57C2"/>
    <w:rsid w:val="002B1856"/>
    <w:rsid w:val="002B3123"/>
    <w:rsid w:val="002C2E1E"/>
    <w:rsid w:val="002D64A2"/>
    <w:rsid w:val="002F2098"/>
    <w:rsid w:val="00303385"/>
    <w:rsid w:val="003065FE"/>
    <w:rsid w:val="003179D2"/>
    <w:rsid w:val="00321946"/>
    <w:rsid w:val="00335BD3"/>
    <w:rsid w:val="00335FE1"/>
    <w:rsid w:val="003401FC"/>
    <w:rsid w:val="00352805"/>
    <w:rsid w:val="003553C9"/>
    <w:rsid w:val="0035774E"/>
    <w:rsid w:val="00362635"/>
    <w:rsid w:val="003703C3"/>
    <w:rsid w:val="00372FF1"/>
    <w:rsid w:val="00381D7D"/>
    <w:rsid w:val="0039549A"/>
    <w:rsid w:val="003A48F3"/>
    <w:rsid w:val="003B0895"/>
    <w:rsid w:val="003B7E82"/>
    <w:rsid w:val="003C414F"/>
    <w:rsid w:val="003C4E9D"/>
    <w:rsid w:val="003E3799"/>
    <w:rsid w:val="003F4674"/>
    <w:rsid w:val="003F4E2E"/>
    <w:rsid w:val="00401FDE"/>
    <w:rsid w:val="004049AB"/>
    <w:rsid w:val="00410B63"/>
    <w:rsid w:val="0041109E"/>
    <w:rsid w:val="00423324"/>
    <w:rsid w:val="00430BB1"/>
    <w:rsid w:val="00442038"/>
    <w:rsid w:val="004553ED"/>
    <w:rsid w:val="00464C60"/>
    <w:rsid w:val="00467D32"/>
    <w:rsid w:val="0047348C"/>
    <w:rsid w:val="00482908"/>
    <w:rsid w:val="004833F9"/>
    <w:rsid w:val="004844B3"/>
    <w:rsid w:val="0049471D"/>
    <w:rsid w:val="004A7889"/>
    <w:rsid w:val="004C6442"/>
    <w:rsid w:val="004D642E"/>
    <w:rsid w:val="004E6941"/>
    <w:rsid w:val="004F0408"/>
    <w:rsid w:val="00527BFF"/>
    <w:rsid w:val="005471E9"/>
    <w:rsid w:val="00554115"/>
    <w:rsid w:val="00560A76"/>
    <w:rsid w:val="00566D91"/>
    <w:rsid w:val="005746AA"/>
    <w:rsid w:val="005779F4"/>
    <w:rsid w:val="00585DCD"/>
    <w:rsid w:val="005943CC"/>
    <w:rsid w:val="00595C0A"/>
    <w:rsid w:val="005A3C77"/>
    <w:rsid w:val="005A4237"/>
    <w:rsid w:val="005A69DC"/>
    <w:rsid w:val="005A6C48"/>
    <w:rsid w:val="005C458B"/>
    <w:rsid w:val="005D31BB"/>
    <w:rsid w:val="005E65E0"/>
    <w:rsid w:val="00612314"/>
    <w:rsid w:val="00624136"/>
    <w:rsid w:val="0062648B"/>
    <w:rsid w:val="00626B6C"/>
    <w:rsid w:val="0063607A"/>
    <w:rsid w:val="00642285"/>
    <w:rsid w:val="006451F2"/>
    <w:rsid w:val="00655C99"/>
    <w:rsid w:val="00676EF6"/>
    <w:rsid w:val="006C1E88"/>
    <w:rsid w:val="006C6883"/>
    <w:rsid w:val="006D7E5F"/>
    <w:rsid w:val="006F1B44"/>
    <w:rsid w:val="006F48A7"/>
    <w:rsid w:val="0072066D"/>
    <w:rsid w:val="00725D9D"/>
    <w:rsid w:val="007277DB"/>
    <w:rsid w:val="00737F8D"/>
    <w:rsid w:val="00746B32"/>
    <w:rsid w:val="007510A8"/>
    <w:rsid w:val="0077137F"/>
    <w:rsid w:val="00780EA2"/>
    <w:rsid w:val="00783973"/>
    <w:rsid w:val="00791316"/>
    <w:rsid w:val="007932A4"/>
    <w:rsid w:val="00796584"/>
    <w:rsid w:val="00796912"/>
    <w:rsid w:val="00797317"/>
    <w:rsid w:val="007B5D49"/>
    <w:rsid w:val="007B5F96"/>
    <w:rsid w:val="007F5CE4"/>
    <w:rsid w:val="00802FFD"/>
    <w:rsid w:val="008101EF"/>
    <w:rsid w:val="00821C22"/>
    <w:rsid w:val="008319A5"/>
    <w:rsid w:val="00833B74"/>
    <w:rsid w:val="0084367D"/>
    <w:rsid w:val="00874CDF"/>
    <w:rsid w:val="008973BB"/>
    <w:rsid w:val="008A5D84"/>
    <w:rsid w:val="008B6207"/>
    <w:rsid w:val="008C449E"/>
    <w:rsid w:val="008C68BB"/>
    <w:rsid w:val="008D0200"/>
    <w:rsid w:val="008E37AD"/>
    <w:rsid w:val="008E6712"/>
    <w:rsid w:val="00900CA5"/>
    <w:rsid w:val="009014C2"/>
    <w:rsid w:val="00904320"/>
    <w:rsid w:val="00906526"/>
    <w:rsid w:val="00924844"/>
    <w:rsid w:val="00925750"/>
    <w:rsid w:val="00930638"/>
    <w:rsid w:val="00932A20"/>
    <w:rsid w:val="0093515F"/>
    <w:rsid w:val="009409EF"/>
    <w:rsid w:val="0097365E"/>
    <w:rsid w:val="0099130D"/>
    <w:rsid w:val="00994F0D"/>
    <w:rsid w:val="009A0F01"/>
    <w:rsid w:val="009A4A40"/>
    <w:rsid w:val="009A4B1F"/>
    <w:rsid w:val="009B1E68"/>
    <w:rsid w:val="009B5339"/>
    <w:rsid w:val="009C0595"/>
    <w:rsid w:val="009C4843"/>
    <w:rsid w:val="009D02FE"/>
    <w:rsid w:val="009D2755"/>
    <w:rsid w:val="009F3A11"/>
    <w:rsid w:val="00A007D2"/>
    <w:rsid w:val="00A00CD5"/>
    <w:rsid w:val="00A07266"/>
    <w:rsid w:val="00A12E0F"/>
    <w:rsid w:val="00A20C85"/>
    <w:rsid w:val="00A2160F"/>
    <w:rsid w:val="00A21AE0"/>
    <w:rsid w:val="00A21E4F"/>
    <w:rsid w:val="00A35193"/>
    <w:rsid w:val="00A35A05"/>
    <w:rsid w:val="00A41AEA"/>
    <w:rsid w:val="00A43C6C"/>
    <w:rsid w:val="00A5647B"/>
    <w:rsid w:val="00A65E47"/>
    <w:rsid w:val="00A7274E"/>
    <w:rsid w:val="00A76A9D"/>
    <w:rsid w:val="00A84AC0"/>
    <w:rsid w:val="00AA4691"/>
    <w:rsid w:val="00AC0B62"/>
    <w:rsid w:val="00AD0291"/>
    <w:rsid w:val="00AF47AE"/>
    <w:rsid w:val="00B04360"/>
    <w:rsid w:val="00B04FD8"/>
    <w:rsid w:val="00B15482"/>
    <w:rsid w:val="00B1552C"/>
    <w:rsid w:val="00B15E38"/>
    <w:rsid w:val="00B246CE"/>
    <w:rsid w:val="00B264A2"/>
    <w:rsid w:val="00B41BB5"/>
    <w:rsid w:val="00B56809"/>
    <w:rsid w:val="00B71D93"/>
    <w:rsid w:val="00B74228"/>
    <w:rsid w:val="00BA2764"/>
    <w:rsid w:val="00BA60D2"/>
    <w:rsid w:val="00BD11A4"/>
    <w:rsid w:val="00BE0CE0"/>
    <w:rsid w:val="00BE1788"/>
    <w:rsid w:val="00BE44FD"/>
    <w:rsid w:val="00BE6F2B"/>
    <w:rsid w:val="00BF2EC1"/>
    <w:rsid w:val="00C04686"/>
    <w:rsid w:val="00C1165E"/>
    <w:rsid w:val="00C153F6"/>
    <w:rsid w:val="00C3425F"/>
    <w:rsid w:val="00C41C4E"/>
    <w:rsid w:val="00C4653E"/>
    <w:rsid w:val="00C6392A"/>
    <w:rsid w:val="00C74F5E"/>
    <w:rsid w:val="00C759FB"/>
    <w:rsid w:val="00C908F8"/>
    <w:rsid w:val="00CA2BBF"/>
    <w:rsid w:val="00CB6C08"/>
    <w:rsid w:val="00CC619C"/>
    <w:rsid w:val="00CD149B"/>
    <w:rsid w:val="00CD3044"/>
    <w:rsid w:val="00CE242C"/>
    <w:rsid w:val="00CE49E6"/>
    <w:rsid w:val="00CF73FE"/>
    <w:rsid w:val="00CF7E03"/>
    <w:rsid w:val="00D01A33"/>
    <w:rsid w:val="00D13FD6"/>
    <w:rsid w:val="00D251E9"/>
    <w:rsid w:val="00D33408"/>
    <w:rsid w:val="00D40318"/>
    <w:rsid w:val="00D44A7B"/>
    <w:rsid w:val="00D4769E"/>
    <w:rsid w:val="00D53F78"/>
    <w:rsid w:val="00D6087B"/>
    <w:rsid w:val="00D7487F"/>
    <w:rsid w:val="00D759B0"/>
    <w:rsid w:val="00D75AAB"/>
    <w:rsid w:val="00D84ACF"/>
    <w:rsid w:val="00DA2A9D"/>
    <w:rsid w:val="00DB0212"/>
    <w:rsid w:val="00DB02C2"/>
    <w:rsid w:val="00DC55C3"/>
    <w:rsid w:val="00DC5B17"/>
    <w:rsid w:val="00DC78DC"/>
    <w:rsid w:val="00DE7B40"/>
    <w:rsid w:val="00DF39F0"/>
    <w:rsid w:val="00DF4437"/>
    <w:rsid w:val="00E103B8"/>
    <w:rsid w:val="00E14B28"/>
    <w:rsid w:val="00E21775"/>
    <w:rsid w:val="00E47844"/>
    <w:rsid w:val="00E47A22"/>
    <w:rsid w:val="00E6217F"/>
    <w:rsid w:val="00E64DFA"/>
    <w:rsid w:val="00E669AD"/>
    <w:rsid w:val="00E755BB"/>
    <w:rsid w:val="00E818DD"/>
    <w:rsid w:val="00EA6136"/>
    <w:rsid w:val="00EB3248"/>
    <w:rsid w:val="00EC6359"/>
    <w:rsid w:val="00EC7B8E"/>
    <w:rsid w:val="00ED1C26"/>
    <w:rsid w:val="00EE336F"/>
    <w:rsid w:val="00F04A4B"/>
    <w:rsid w:val="00F110A2"/>
    <w:rsid w:val="00F13184"/>
    <w:rsid w:val="00F2727B"/>
    <w:rsid w:val="00F523F7"/>
    <w:rsid w:val="00F5323F"/>
    <w:rsid w:val="00F7066D"/>
    <w:rsid w:val="00F70B68"/>
    <w:rsid w:val="00F842A1"/>
    <w:rsid w:val="00F86B94"/>
    <w:rsid w:val="00F90DAB"/>
    <w:rsid w:val="00FB3BE7"/>
    <w:rsid w:val="00FD1254"/>
    <w:rsid w:val="00FD1C6A"/>
    <w:rsid w:val="00FE3442"/>
    <w:rsid w:val="00FF3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D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00CD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unhideWhenUsed/>
    <w:qFormat/>
    <w:rsid w:val="00D01A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CD5"/>
    <w:rPr>
      <w:rFonts w:ascii="Arial" w:eastAsia="Times New Roman" w:hAnsi="Arial" w:cs="Arial"/>
      <w:b/>
      <w:bCs/>
      <w:kern w:val="32"/>
      <w:sz w:val="32"/>
      <w:szCs w:val="32"/>
      <w:lang w:eastAsia="lv-LV"/>
    </w:rPr>
  </w:style>
  <w:style w:type="paragraph" w:customStyle="1" w:styleId="NoSpacing1">
    <w:name w:val="No Spacing1"/>
    <w:qFormat/>
    <w:rsid w:val="00A00CD5"/>
    <w:pPr>
      <w:spacing w:after="0" w:line="240" w:lineRule="auto"/>
    </w:pPr>
    <w:rPr>
      <w:rFonts w:ascii="Calibri" w:eastAsia="Calibri" w:hAnsi="Calibri" w:cs="Times New Roman"/>
    </w:rPr>
  </w:style>
  <w:style w:type="paragraph" w:customStyle="1" w:styleId="naisnod">
    <w:name w:val="naisnod"/>
    <w:basedOn w:val="Normal"/>
    <w:rsid w:val="006F48A7"/>
    <w:pPr>
      <w:spacing w:before="150" w:after="150"/>
      <w:jc w:val="center"/>
    </w:pPr>
    <w:rPr>
      <w:b/>
      <w:bCs/>
    </w:rPr>
  </w:style>
  <w:style w:type="paragraph" w:customStyle="1" w:styleId="naiskr">
    <w:name w:val="naiskr"/>
    <w:basedOn w:val="Normal"/>
    <w:rsid w:val="006F48A7"/>
    <w:pPr>
      <w:spacing w:before="75" w:after="75"/>
    </w:pPr>
  </w:style>
  <w:style w:type="paragraph" w:styleId="FootnoteText">
    <w:name w:val="footnote text"/>
    <w:basedOn w:val="Normal"/>
    <w:link w:val="FootnoteTextChar"/>
    <w:semiHidden/>
    <w:rsid w:val="006F48A7"/>
    <w:rPr>
      <w:sz w:val="20"/>
      <w:szCs w:val="20"/>
    </w:rPr>
  </w:style>
  <w:style w:type="character" w:customStyle="1" w:styleId="FootnoteTextChar">
    <w:name w:val="Footnote Text Char"/>
    <w:basedOn w:val="DefaultParagraphFont"/>
    <w:link w:val="FootnoteText"/>
    <w:semiHidden/>
    <w:rsid w:val="006F48A7"/>
    <w:rPr>
      <w:rFonts w:ascii="Times New Roman" w:eastAsia="Times New Roman" w:hAnsi="Times New Roman" w:cs="Times New Roman"/>
      <w:sz w:val="20"/>
      <w:szCs w:val="20"/>
      <w:lang w:eastAsia="lv-LV"/>
    </w:rPr>
  </w:style>
  <w:style w:type="character" w:customStyle="1" w:styleId="Heading4Char">
    <w:name w:val="Heading 4 Char"/>
    <w:basedOn w:val="DefaultParagraphFont"/>
    <w:link w:val="Heading4"/>
    <w:uiPriority w:val="9"/>
    <w:rsid w:val="00D01A33"/>
    <w:rPr>
      <w:rFonts w:asciiTheme="majorHAnsi" w:eastAsiaTheme="majorEastAsia" w:hAnsiTheme="majorHAnsi" w:cstheme="majorBidi"/>
      <w:b/>
      <w:bCs/>
      <w:i/>
      <w:iCs/>
      <w:color w:val="4F81BD" w:themeColor="accent1"/>
      <w:sz w:val="24"/>
      <w:szCs w:val="24"/>
      <w:lang w:eastAsia="lv-LV"/>
    </w:rPr>
  </w:style>
  <w:style w:type="paragraph" w:customStyle="1" w:styleId="tvhtml">
    <w:name w:val="tv_html"/>
    <w:basedOn w:val="Normal"/>
    <w:rsid w:val="001756D2"/>
    <w:pPr>
      <w:spacing w:before="100" w:beforeAutospacing="1" w:after="100" w:afterAutospacing="1"/>
    </w:pPr>
    <w:rPr>
      <w:rFonts w:ascii="Verdana" w:hAnsi="Verdana"/>
      <w:sz w:val="18"/>
      <w:szCs w:val="18"/>
    </w:rPr>
  </w:style>
  <w:style w:type="paragraph" w:customStyle="1" w:styleId="naisf">
    <w:name w:val="naisf"/>
    <w:basedOn w:val="Normal"/>
    <w:rsid w:val="001756D2"/>
    <w:pPr>
      <w:spacing w:before="75" w:after="75"/>
      <w:ind w:firstLine="375"/>
      <w:jc w:val="both"/>
    </w:pPr>
  </w:style>
  <w:style w:type="paragraph" w:customStyle="1" w:styleId="Default">
    <w:name w:val="Default"/>
    <w:rsid w:val="001756D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Hyperlink">
    <w:name w:val="Hyperlink"/>
    <w:basedOn w:val="DefaultParagraphFont"/>
    <w:uiPriority w:val="99"/>
    <w:semiHidden/>
    <w:unhideWhenUsed/>
    <w:rsid w:val="005746AA"/>
    <w:rPr>
      <w:color w:val="0000FF"/>
      <w:u w:val="single"/>
    </w:rPr>
  </w:style>
  <w:style w:type="paragraph" w:customStyle="1" w:styleId="listparagraph">
    <w:name w:val="listparagraph"/>
    <w:basedOn w:val="Normal"/>
    <w:rsid w:val="005746AA"/>
    <w:pPr>
      <w:spacing w:before="100" w:beforeAutospacing="1" w:after="100" w:afterAutospacing="1"/>
    </w:pPr>
    <w:rPr>
      <w:color w:val="000000"/>
    </w:rPr>
  </w:style>
  <w:style w:type="character" w:customStyle="1" w:styleId="charchar4">
    <w:name w:val="charchar4"/>
    <w:basedOn w:val="DefaultParagraphFont"/>
    <w:rsid w:val="005746AA"/>
  </w:style>
  <w:style w:type="character" w:styleId="Strong">
    <w:name w:val="Strong"/>
    <w:basedOn w:val="DefaultParagraphFont"/>
    <w:uiPriority w:val="22"/>
    <w:qFormat/>
    <w:rsid w:val="005746AA"/>
    <w:rPr>
      <w:b/>
      <w:bCs/>
    </w:rPr>
  </w:style>
  <w:style w:type="paragraph" w:styleId="Header">
    <w:name w:val="header"/>
    <w:basedOn w:val="Normal"/>
    <w:link w:val="HeaderChar"/>
    <w:uiPriority w:val="99"/>
    <w:unhideWhenUsed/>
    <w:rsid w:val="00CC619C"/>
    <w:pPr>
      <w:tabs>
        <w:tab w:val="center" w:pos="4153"/>
        <w:tab w:val="right" w:pos="8306"/>
      </w:tabs>
    </w:pPr>
  </w:style>
  <w:style w:type="character" w:customStyle="1" w:styleId="HeaderChar">
    <w:name w:val="Header Char"/>
    <w:basedOn w:val="DefaultParagraphFont"/>
    <w:link w:val="Header"/>
    <w:uiPriority w:val="99"/>
    <w:rsid w:val="00CC619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C619C"/>
    <w:pPr>
      <w:tabs>
        <w:tab w:val="center" w:pos="4153"/>
        <w:tab w:val="right" w:pos="8306"/>
      </w:tabs>
    </w:pPr>
  </w:style>
  <w:style w:type="character" w:customStyle="1" w:styleId="FooterChar">
    <w:name w:val="Footer Char"/>
    <w:basedOn w:val="DefaultParagraphFont"/>
    <w:link w:val="Footer"/>
    <w:uiPriority w:val="99"/>
    <w:rsid w:val="00CC61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20606"/>
    <w:rPr>
      <w:rFonts w:ascii="Tahoma" w:hAnsi="Tahoma" w:cs="Tahoma"/>
      <w:sz w:val="16"/>
      <w:szCs w:val="16"/>
    </w:rPr>
  </w:style>
  <w:style w:type="character" w:customStyle="1" w:styleId="BalloonTextChar">
    <w:name w:val="Balloon Text Char"/>
    <w:basedOn w:val="DefaultParagraphFont"/>
    <w:link w:val="BalloonText"/>
    <w:uiPriority w:val="99"/>
    <w:semiHidden/>
    <w:rsid w:val="0002060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923F8"/>
    <w:rPr>
      <w:sz w:val="16"/>
      <w:szCs w:val="16"/>
    </w:rPr>
  </w:style>
  <w:style w:type="paragraph" w:styleId="CommentText">
    <w:name w:val="annotation text"/>
    <w:basedOn w:val="Normal"/>
    <w:link w:val="CommentTextChar"/>
    <w:uiPriority w:val="99"/>
    <w:semiHidden/>
    <w:unhideWhenUsed/>
    <w:rsid w:val="000923F8"/>
    <w:rPr>
      <w:sz w:val="20"/>
      <w:szCs w:val="20"/>
    </w:rPr>
  </w:style>
  <w:style w:type="character" w:customStyle="1" w:styleId="CommentTextChar">
    <w:name w:val="Comment Text Char"/>
    <w:basedOn w:val="DefaultParagraphFont"/>
    <w:link w:val="CommentText"/>
    <w:uiPriority w:val="99"/>
    <w:semiHidden/>
    <w:rsid w:val="000923F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23F8"/>
    <w:rPr>
      <w:b/>
      <w:bCs/>
    </w:rPr>
  </w:style>
  <w:style w:type="character" w:customStyle="1" w:styleId="CommentSubjectChar">
    <w:name w:val="Comment Subject Char"/>
    <w:basedOn w:val="CommentTextChar"/>
    <w:link w:val="CommentSubject"/>
    <w:uiPriority w:val="99"/>
    <w:semiHidden/>
    <w:rsid w:val="000923F8"/>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nhideWhenUsed/>
    <w:rsid w:val="00482908"/>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482908"/>
    <w:rPr>
      <w:rFonts w:ascii="Calibri" w:eastAsia="Calibri" w:hAnsi="Calibri" w:cs="Times New Roman"/>
    </w:rPr>
  </w:style>
  <w:style w:type="paragraph" w:customStyle="1" w:styleId="naispant">
    <w:name w:val="naispant"/>
    <w:basedOn w:val="Normal"/>
    <w:rsid w:val="00482908"/>
    <w:pPr>
      <w:spacing w:before="100" w:beforeAutospacing="1" w:after="100" w:afterAutospacing="1"/>
    </w:pPr>
  </w:style>
  <w:style w:type="paragraph" w:customStyle="1" w:styleId="h1">
    <w:name w:val="h1"/>
    <w:basedOn w:val="Normal"/>
    <w:uiPriority w:val="99"/>
    <w:rsid w:val="005D31BB"/>
    <w:pPr>
      <w:spacing w:after="150"/>
    </w:pPr>
    <w:rPr>
      <w:color w:val="306060"/>
      <w:sz w:val="31"/>
      <w:szCs w:val="31"/>
    </w:rPr>
  </w:style>
  <w:style w:type="paragraph" w:customStyle="1" w:styleId="naisc">
    <w:name w:val="naisc"/>
    <w:basedOn w:val="Normal"/>
    <w:rsid w:val="005D31BB"/>
    <w:pPr>
      <w:spacing w:before="75" w:after="75"/>
      <w:jc w:val="center"/>
    </w:pPr>
  </w:style>
  <w:style w:type="paragraph" w:styleId="ListParagraph0">
    <w:name w:val="List Paragraph"/>
    <w:basedOn w:val="Normal"/>
    <w:uiPriority w:val="34"/>
    <w:qFormat/>
    <w:rsid w:val="00E6217F"/>
    <w:pPr>
      <w:ind w:left="720"/>
      <w:contextualSpacing/>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43900">
      <w:bodyDiv w:val="1"/>
      <w:marLeft w:val="45"/>
      <w:marRight w:val="45"/>
      <w:marTop w:val="90"/>
      <w:marBottom w:val="90"/>
      <w:divBdr>
        <w:top w:val="none" w:sz="0" w:space="0" w:color="auto"/>
        <w:left w:val="none" w:sz="0" w:space="0" w:color="auto"/>
        <w:bottom w:val="none" w:sz="0" w:space="0" w:color="auto"/>
        <w:right w:val="none" w:sz="0" w:space="0" w:color="auto"/>
      </w:divBdr>
      <w:divsChild>
        <w:div w:id="580408821">
          <w:marLeft w:val="0"/>
          <w:marRight w:val="0"/>
          <w:marTop w:val="240"/>
          <w:marBottom w:val="0"/>
          <w:divBdr>
            <w:top w:val="none" w:sz="0" w:space="0" w:color="auto"/>
            <w:left w:val="none" w:sz="0" w:space="0" w:color="auto"/>
            <w:bottom w:val="none" w:sz="0" w:space="0" w:color="auto"/>
            <w:right w:val="none" w:sz="0" w:space="0" w:color="auto"/>
          </w:divBdr>
        </w:div>
      </w:divsChild>
    </w:div>
    <w:div w:id="19378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632A-A1C3-4425-B26F-F94B99AA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7863</TotalTime>
  <Pages>10</Pages>
  <Words>13822</Words>
  <Characters>7880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24.janvāra noteikumos Nr.78 „Atbalstāmo investīciju projekta apstiprināšanas un īstenošanas kārtība”” sākotnējās ietekmes novērtējuma ziņojums (anotācija)</vt:lpstr>
    </vt:vector>
  </TitlesOfParts>
  <Company>LR Ekonomikas ministrija</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24.janvāra noteikumos Nr.78 „Atbalstāmo investīciju projekta apstiprināšanas un īstenošanas kārtība”” sākotnējās ietekmes novērtējuma ziņojums (anotācija)</dc:title>
  <dc:subject>Sākotnējās ietekmes novērtējuma ziņojums (anotācija)</dc:subject>
  <dc:creator>Edmunds Fernāts</dc:creator>
  <cp:keywords/>
  <dc:description>Edmunds.Fernats@em.gov.lv
67013053</dc:description>
  <cp:lastModifiedBy>Edmunds Fernāts</cp:lastModifiedBy>
  <cp:revision>115</cp:revision>
  <cp:lastPrinted>2011-12-22T08:25:00Z</cp:lastPrinted>
  <dcterms:created xsi:type="dcterms:W3CDTF">2011-02-01T11:28:00Z</dcterms:created>
  <dcterms:modified xsi:type="dcterms:W3CDTF">2013-12-12T09:18:00Z</dcterms:modified>
</cp:coreProperties>
</file>