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50" w:rsidRPr="004F4468" w:rsidRDefault="002F2C35" w:rsidP="006362B8">
      <w:pPr>
        <w:spacing w:after="0" w:line="240" w:lineRule="auto"/>
        <w:jc w:val="center"/>
        <w:rPr>
          <w:rFonts w:ascii="Times New Roman" w:eastAsia="Times New Roman" w:hAnsi="Times New Roman"/>
          <w:b/>
          <w:bCs/>
          <w:sz w:val="24"/>
          <w:szCs w:val="24"/>
          <w:lang w:eastAsia="lv-LV"/>
        </w:rPr>
      </w:pPr>
      <w:r w:rsidRPr="004F4468">
        <w:rPr>
          <w:rFonts w:ascii="Times New Roman" w:eastAsia="Times New Roman" w:hAnsi="Times New Roman"/>
          <w:b/>
          <w:bCs/>
          <w:sz w:val="24"/>
          <w:szCs w:val="24"/>
          <w:lang w:eastAsia="lv-LV"/>
        </w:rPr>
        <w:t xml:space="preserve">Ministru kabineta noteikumu </w:t>
      </w:r>
      <w:bookmarkStart w:id="0" w:name="OLE_LINK1"/>
      <w:bookmarkStart w:id="1" w:name="OLE_LINK2"/>
      <w:r w:rsidR="003034DA" w:rsidRPr="004F4468">
        <w:rPr>
          <w:rFonts w:ascii="Times New Roman" w:hAnsi="Times New Roman"/>
          <w:b/>
          <w:bCs/>
          <w:sz w:val="24"/>
          <w:szCs w:val="24"/>
        </w:rPr>
        <w:t>„</w:t>
      </w:r>
      <w:r w:rsidR="00D17E6F" w:rsidRPr="004F4468">
        <w:rPr>
          <w:rFonts w:ascii="Times New Roman" w:eastAsia="Times New Roman" w:hAnsi="Times New Roman"/>
          <w:b/>
          <w:bCs/>
          <w:sz w:val="24"/>
          <w:szCs w:val="24"/>
          <w:lang w:eastAsia="lv-LV"/>
        </w:rPr>
        <w:t xml:space="preserve">Noteikumi par darbības programmas </w:t>
      </w:r>
      <w:r w:rsidR="003034DA" w:rsidRPr="004F4468">
        <w:rPr>
          <w:rFonts w:ascii="Times New Roman" w:eastAsia="Times New Roman" w:hAnsi="Times New Roman"/>
          <w:b/>
          <w:bCs/>
          <w:sz w:val="24"/>
          <w:szCs w:val="24"/>
          <w:lang w:eastAsia="lv-LV"/>
        </w:rPr>
        <w:t>„</w:t>
      </w:r>
      <w:r w:rsidR="00D17E6F" w:rsidRPr="004F4468">
        <w:rPr>
          <w:rFonts w:ascii="Times New Roman" w:eastAsia="Times New Roman" w:hAnsi="Times New Roman"/>
          <w:b/>
          <w:bCs/>
          <w:sz w:val="24"/>
          <w:szCs w:val="24"/>
          <w:lang w:eastAsia="lv-LV"/>
        </w:rPr>
        <w:t>Uzņēmējdarbība un inovācijas" papildinājuma 2.1.2.4.aktivitāt</w:t>
      </w:r>
      <w:r w:rsidR="00344B2C" w:rsidRPr="004F4468">
        <w:rPr>
          <w:rFonts w:ascii="Times New Roman" w:eastAsia="Times New Roman" w:hAnsi="Times New Roman"/>
          <w:b/>
          <w:bCs/>
          <w:sz w:val="24"/>
          <w:szCs w:val="24"/>
          <w:lang w:eastAsia="lv-LV"/>
        </w:rPr>
        <w:t>es</w:t>
      </w:r>
      <w:r w:rsidR="00D17E6F" w:rsidRPr="004F4468">
        <w:rPr>
          <w:rFonts w:ascii="Times New Roman" w:eastAsia="Times New Roman" w:hAnsi="Times New Roman"/>
          <w:b/>
          <w:bCs/>
          <w:sz w:val="24"/>
          <w:szCs w:val="24"/>
          <w:lang w:eastAsia="lv-LV"/>
        </w:rPr>
        <w:t xml:space="preserve"> </w:t>
      </w:r>
      <w:r w:rsidR="003034DA" w:rsidRPr="004F4468">
        <w:rPr>
          <w:rFonts w:ascii="Times New Roman" w:eastAsia="Times New Roman" w:hAnsi="Times New Roman"/>
          <w:b/>
          <w:bCs/>
          <w:sz w:val="24"/>
          <w:szCs w:val="24"/>
          <w:lang w:eastAsia="lv-LV"/>
        </w:rPr>
        <w:t>„</w:t>
      </w:r>
      <w:r w:rsidR="00D17E6F" w:rsidRPr="004F4468">
        <w:rPr>
          <w:rFonts w:ascii="Times New Roman" w:eastAsia="Times New Roman" w:hAnsi="Times New Roman"/>
          <w:b/>
          <w:bCs/>
          <w:sz w:val="24"/>
          <w:szCs w:val="24"/>
          <w:lang w:eastAsia="lv-LV"/>
        </w:rPr>
        <w:t>Augstas pievienotās vērtības investīcijas</w:t>
      </w:r>
      <w:r w:rsidR="003034DA" w:rsidRPr="004F4468">
        <w:rPr>
          <w:rFonts w:ascii="Times New Roman" w:eastAsia="Times New Roman" w:hAnsi="Times New Roman"/>
          <w:b/>
          <w:bCs/>
          <w:sz w:val="24"/>
          <w:szCs w:val="24"/>
          <w:lang w:eastAsia="lv-LV"/>
        </w:rPr>
        <w:t>”</w:t>
      </w:r>
      <w:r w:rsidR="00D17E6F" w:rsidRPr="004F4468">
        <w:rPr>
          <w:rFonts w:ascii="Times New Roman" w:eastAsia="Times New Roman" w:hAnsi="Times New Roman"/>
          <w:b/>
          <w:bCs/>
          <w:sz w:val="24"/>
          <w:szCs w:val="24"/>
          <w:lang w:eastAsia="lv-LV"/>
        </w:rPr>
        <w:t xml:space="preserve"> projektu iesniegumu atlases otro un turpmākajām kārtām</w:t>
      </w:r>
      <w:bookmarkEnd w:id="0"/>
      <w:bookmarkEnd w:id="1"/>
      <w:r w:rsidR="003034DA" w:rsidRPr="004F4468">
        <w:rPr>
          <w:rFonts w:ascii="Times New Roman" w:hAnsi="Times New Roman"/>
          <w:b/>
          <w:sz w:val="24"/>
          <w:szCs w:val="24"/>
        </w:rPr>
        <w:t>”</w:t>
      </w:r>
      <w:r w:rsidR="00462F87" w:rsidRPr="004F4468">
        <w:rPr>
          <w:rFonts w:ascii="Times New Roman" w:hAnsi="Times New Roman"/>
          <w:b/>
          <w:sz w:val="24"/>
          <w:szCs w:val="24"/>
        </w:rPr>
        <w:t xml:space="preserve"> </w:t>
      </w:r>
      <w:r w:rsidR="00003B50" w:rsidRPr="004F4468">
        <w:rPr>
          <w:rFonts w:ascii="Times New Roman" w:eastAsia="Times New Roman" w:hAnsi="Times New Roman"/>
          <w:b/>
          <w:bCs/>
          <w:sz w:val="24"/>
          <w:szCs w:val="24"/>
          <w:lang w:eastAsia="lv-LV"/>
        </w:rPr>
        <w:t>projekta sākotnējās ietekmes novērtējuma ziņojums (anotācija)</w:t>
      </w:r>
    </w:p>
    <w:p w:rsidR="006362B8" w:rsidRPr="004F4468" w:rsidRDefault="006362B8" w:rsidP="006362B8">
      <w:pPr>
        <w:spacing w:after="0" w:line="240" w:lineRule="auto"/>
        <w:jc w:val="center"/>
        <w:rPr>
          <w:rFonts w:ascii="Times New Roman" w:hAnsi="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339"/>
        <w:gridCol w:w="1523"/>
        <w:gridCol w:w="7359"/>
      </w:tblGrid>
      <w:tr w:rsidR="00003B50" w:rsidRPr="004F4468" w:rsidTr="008F2D36">
        <w:trPr>
          <w:tblCellSpacing w:w="15" w:type="dxa"/>
        </w:trPr>
        <w:tc>
          <w:tcPr>
            <w:tcW w:w="0" w:type="auto"/>
            <w:gridSpan w:val="3"/>
            <w:shd w:val="clear" w:color="auto" w:fill="auto"/>
            <w:vAlign w:val="center"/>
            <w:hideMark/>
          </w:tcPr>
          <w:p w:rsidR="00003B50" w:rsidRPr="004F4468" w:rsidRDefault="00003B50" w:rsidP="009E641F">
            <w:pPr>
              <w:spacing w:after="0" w:line="240" w:lineRule="auto"/>
              <w:jc w:val="center"/>
              <w:rPr>
                <w:rFonts w:ascii="Times New Roman" w:eastAsia="Times New Roman" w:hAnsi="Times New Roman"/>
                <w:b/>
                <w:bCs/>
                <w:sz w:val="24"/>
                <w:szCs w:val="24"/>
                <w:lang w:eastAsia="lv-LV"/>
              </w:rPr>
            </w:pPr>
            <w:r w:rsidRPr="004F4468">
              <w:rPr>
                <w:rFonts w:ascii="Times New Roman" w:eastAsia="Times New Roman" w:hAnsi="Times New Roman"/>
                <w:b/>
                <w:bCs/>
                <w:sz w:val="24"/>
                <w:szCs w:val="24"/>
                <w:lang w:eastAsia="lv-LV"/>
              </w:rPr>
              <w:t>I. Tiesību akta projekta izstrādes nepieciešamība</w:t>
            </w:r>
          </w:p>
        </w:tc>
      </w:tr>
      <w:tr w:rsidR="00003B50" w:rsidRPr="004F4468" w:rsidTr="008F2D36">
        <w:trPr>
          <w:tblCellSpacing w:w="15" w:type="dxa"/>
        </w:trPr>
        <w:tc>
          <w:tcPr>
            <w:tcW w:w="160" w:type="pct"/>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1.</w:t>
            </w:r>
          </w:p>
        </w:tc>
        <w:tc>
          <w:tcPr>
            <w:tcW w:w="810"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Pamatojums</w:t>
            </w:r>
          </w:p>
        </w:tc>
        <w:tc>
          <w:tcPr>
            <w:tcW w:w="3967" w:type="pct"/>
            <w:shd w:val="clear" w:color="auto" w:fill="auto"/>
            <w:hideMark/>
          </w:tcPr>
          <w:p w:rsidR="007D5B03" w:rsidRPr="004F4468" w:rsidRDefault="00C12064" w:rsidP="00AF4A56">
            <w:pPr>
              <w:spacing w:after="0" w:line="240" w:lineRule="auto"/>
              <w:ind w:firstLine="421"/>
              <w:jc w:val="both"/>
              <w:rPr>
                <w:rFonts w:ascii="Times New Roman" w:hAnsi="Times New Roman"/>
                <w:sz w:val="24"/>
                <w:szCs w:val="24"/>
              </w:rPr>
            </w:pPr>
            <w:r w:rsidRPr="004F4468">
              <w:rPr>
                <w:rFonts w:ascii="Times New Roman" w:hAnsi="Times New Roman"/>
                <w:sz w:val="24"/>
                <w:szCs w:val="24"/>
              </w:rPr>
              <w:t>Noteikumu projekts sagatavots, pamatojoties uz Eiropas Savienības struktūrfondu un  Kohēzijas fonda vadības likuma 18.panta 10.punktu.</w:t>
            </w:r>
          </w:p>
        </w:tc>
      </w:tr>
      <w:tr w:rsidR="00003B50" w:rsidRPr="004F4468" w:rsidTr="008F2D36">
        <w:trPr>
          <w:tblCellSpacing w:w="15" w:type="dxa"/>
        </w:trPr>
        <w:tc>
          <w:tcPr>
            <w:tcW w:w="160" w:type="pct"/>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2.</w:t>
            </w:r>
          </w:p>
        </w:tc>
        <w:tc>
          <w:tcPr>
            <w:tcW w:w="810"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Pašreizējā situācija un problēmas</w:t>
            </w:r>
          </w:p>
        </w:tc>
        <w:tc>
          <w:tcPr>
            <w:tcW w:w="3967" w:type="pct"/>
            <w:shd w:val="clear" w:color="auto" w:fill="auto"/>
            <w:hideMark/>
          </w:tcPr>
          <w:p w:rsidR="00AF4A56" w:rsidRPr="004F4468" w:rsidRDefault="00D04A8B" w:rsidP="00AF4A56">
            <w:pPr>
              <w:spacing w:after="0" w:line="240" w:lineRule="auto"/>
              <w:ind w:firstLine="421"/>
              <w:jc w:val="both"/>
              <w:rPr>
                <w:rFonts w:ascii="Times New Roman" w:hAnsi="Times New Roman"/>
                <w:sz w:val="24"/>
                <w:szCs w:val="24"/>
              </w:rPr>
            </w:pPr>
            <w:r w:rsidRPr="004F4468">
              <w:rPr>
                <w:rFonts w:ascii="Times New Roman" w:hAnsi="Times New Roman"/>
                <w:sz w:val="24"/>
                <w:szCs w:val="24"/>
              </w:rPr>
              <w:t>Lai sniegtu nozīmīgu ieguldījumu Latvijas tautsaimniecības mērķa nozarēs, veicinātu augstas pievienotās vērtības produktu ražošanu un pakalpojumu sniegšanu, sekmētu jaunu darba vietu izveidi un veicinātu Latvijas zinātniskā potenciāla izmantošanu</w:t>
            </w:r>
            <w:r w:rsidR="00B957AB" w:rsidRPr="004F4468">
              <w:rPr>
                <w:rFonts w:ascii="Times New Roman" w:hAnsi="Times New Roman"/>
                <w:sz w:val="24"/>
                <w:szCs w:val="24"/>
              </w:rPr>
              <w:t>,</w:t>
            </w:r>
            <w:r w:rsidRPr="004F4468">
              <w:rPr>
                <w:rFonts w:ascii="Times New Roman" w:hAnsi="Times New Roman"/>
                <w:sz w:val="24"/>
                <w:szCs w:val="24"/>
              </w:rPr>
              <w:t xml:space="preserve"> ir nepieciešams uzsākt 2.1.2.4.aktivitātes „Augstas pievienotās vērtības investīcijas” otrās kārtas īstenošanu.</w:t>
            </w:r>
          </w:p>
          <w:p w:rsidR="00AF4A56" w:rsidRPr="004F4468" w:rsidRDefault="00D04A8B" w:rsidP="00AF4A56">
            <w:pPr>
              <w:spacing w:after="0" w:line="240" w:lineRule="auto"/>
              <w:ind w:firstLine="421"/>
              <w:jc w:val="both"/>
              <w:rPr>
                <w:rFonts w:ascii="Times New Roman" w:hAnsi="Times New Roman"/>
                <w:sz w:val="24"/>
                <w:szCs w:val="24"/>
              </w:rPr>
            </w:pPr>
            <w:r w:rsidRPr="004F4468">
              <w:rPr>
                <w:rFonts w:ascii="Times New Roman" w:hAnsi="Times New Roman"/>
                <w:sz w:val="24"/>
                <w:szCs w:val="24"/>
              </w:rPr>
              <w:t>Latvija</w:t>
            </w:r>
            <w:r w:rsidR="00AF4A56" w:rsidRPr="004F4468">
              <w:rPr>
                <w:rFonts w:ascii="Times New Roman" w:hAnsi="Times New Roman"/>
                <w:sz w:val="24"/>
                <w:szCs w:val="24"/>
              </w:rPr>
              <w:t>s komersanti</w:t>
            </w:r>
            <w:r w:rsidRPr="004F4468">
              <w:rPr>
                <w:rFonts w:ascii="Times New Roman" w:hAnsi="Times New Roman"/>
                <w:sz w:val="24"/>
                <w:szCs w:val="24"/>
              </w:rPr>
              <w:t xml:space="preserve"> </w:t>
            </w:r>
            <w:r w:rsidR="00AF4A56" w:rsidRPr="004F4468">
              <w:rPr>
                <w:rFonts w:ascii="Times New Roman" w:hAnsi="Times New Roman"/>
                <w:sz w:val="24"/>
                <w:szCs w:val="24"/>
              </w:rPr>
              <w:t xml:space="preserve">pašreiz </w:t>
            </w:r>
            <w:r w:rsidRPr="004F4468">
              <w:rPr>
                <w:rFonts w:ascii="Times New Roman" w:hAnsi="Times New Roman"/>
                <w:sz w:val="24"/>
                <w:szCs w:val="24"/>
              </w:rPr>
              <w:t>ir sasniegu</w:t>
            </w:r>
            <w:r w:rsidR="00AF4A56" w:rsidRPr="004F4468">
              <w:rPr>
                <w:rFonts w:ascii="Times New Roman" w:hAnsi="Times New Roman"/>
                <w:sz w:val="24"/>
                <w:szCs w:val="24"/>
              </w:rPr>
              <w:t>š</w:t>
            </w:r>
            <w:r w:rsidRPr="004F4468">
              <w:rPr>
                <w:rFonts w:ascii="Times New Roman" w:hAnsi="Times New Roman"/>
                <w:sz w:val="24"/>
                <w:szCs w:val="24"/>
              </w:rPr>
              <w:t>i augstus eksporta radītājus, kam ir bijusi būtiska ietekme uz tautsaimniecības kopējo izaugsmi.</w:t>
            </w:r>
            <w:r w:rsidR="00AF4A56" w:rsidRPr="004F4468">
              <w:rPr>
                <w:rFonts w:ascii="Times New Roman" w:hAnsi="Times New Roman"/>
                <w:sz w:val="24"/>
                <w:szCs w:val="24"/>
              </w:rPr>
              <w:t xml:space="preserve"> Vienlaikus saistībā ar piedzīvoto recesiju no 2008.-2010.gadam ir ļoti mazs tādu komersantu skaits, kas ir veikuši investīcijas savas </w:t>
            </w:r>
            <w:r w:rsidR="00366780" w:rsidRPr="004F4468">
              <w:rPr>
                <w:rFonts w:ascii="Times New Roman" w:hAnsi="Times New Roman"/>
                <w:sz w:val="24"/>
                <w:szCs w:val="24"/>
              </w:rPr>
              <w:t xml:space="preserve">turpmākās </w:t>
            </w:r>
            <w:r w:rsidR="00AF4A56" w:rsidRPr="004F4468">
              <w:rPr>
                <w:rFonts w:ascii="Times New Roman" w:hAnsi="Times New Roman"/>
                <w:sz w:val="24"/>
                <w:szCs w:val="24"/>
              </w:rPr>
              <w:t>attīstības nodrošināšanai.</w:t>
            </w:r>
            <w:r w:rsidRPr="004F4468">
              <w:rPr>
                <w:rFonts w:ascii="Times New Roman" w:hAnsi="Times New Roman"/>
                <w:sz w:val="24"/>
                <w:szCs w:val="24"/>
              </w:rPr>
              <w:t xml:space="preserve"> </w:t>
            </w:r>
            <w:r w:rsidR="00AF4A56" w:rsidRPr="004F4468">
              <w:rPr>
                <w:rFonts w:ascii="Times New Roman" w:hAnsi="Times New Roman"/>
                <w:sz w:val="24"/>
                <w:szCs w:val="24"/>
              </w:rPr>
              <w:t>Ņemot vērā iepriekš minēto</w:t>
            </w:r>
            <w:r w:rsidR="00C17746" w:rsidRPr="004F4468">
              <w:rPr>
                <w:rFonts w:ascii="Times New Roman" w:hAnsi="Times New Roman"/>
                <w:sz w:val="24"/>
                <w:szCs w:val="24"/>
              </w:rPr>
              <w:t>,</w:t>
            </w:r>
            <w:r w:rsidRPr="004F4468">
              <w:rPr>
                <w:rFonts w:ascii="Times New Roman" w:hAnsi="Times New Roman"/>
                <w:sz w:val="24"/>
                <w:szCs w:val="24"/>
              </w:rPr>
              <w:t xml:space="preserve"> ir nepieciešams sniegt komersantiem atbalstu </w:t>
            </w:r>
            <w:r w:rsidR="00AF4A56" w:rsidRPr="004F4468">
              <w:rPr>
                <w:rFonts w:ascii="Times New Roman" w:hAnsi="Times New Roman"/>
                <w:sz w:val="24"/>
                <w:szCs w:val="24"/>
              </w:rPr>
              <w:t xml:space="preserve">to pašreizējo jaudu palielināšanai vai jaunas komercdarbības uzsākšanai, piešķirot finansējumu </w:t>
            </w:r>
            <w:r w:rsidR="00836F3E" w:rsidRPr="004F4468">
              <w:rPr>
                <w:rFonts w:ascii="Times New Roman" w:hAnsi="Times New Roman"/>
                <w:sz w:val="24"/>
                <w:szCs w:val="24"/>
              </w:rPr>
              <w:t>ieguldījumiem pamatlīdzekļos</w:t>
            </w:r>
            <w:r w:rsidR="00AF4A56" w:rsidRPr="004F4468">
              <w:rPr>
                <w:rFonts w:ascii="Times New Roman" w:hAnsi="Times New Roman"/>
                <w:sz w:val="24"/>
                <w:szCs w:val="24"/>
              </w:rPr>
              <w:t xml:space="preserve">. </w:t>
            </w:r>
          </w:p>
          <w:p w:rsidR="00E629F0" w:rsidRPr="004F4468" w:rsidRDefault="00C17746" w:rsidP="00F0508F">
            <w:pPr>
              <w:spacing w:after="0" w:line="240" w:lineRule="auto"/>
              <w:ind w:firstLine="421"/>
              <w:jc w:val="both"/>
              <w:rPr>
                <w:rFonts w:ascii="Times New Roman" w:hAnsi="Times New Roman"/>
                <w:sz w:val="24"/>
                <w:szCs w:val="24"/>
              </w:rPr>
            </w:pPr>
            <w:r w:rsidRPr="004F4468">
              <w:rPr>
                <w:rFonts w:ascii="Times New Roman" w:hAnsi="Times New Roman"/>
                <w:sz w:val="24"/>
                <w:szCs w:val="24"/>
              </w:rPr>
              <w:t>Papildus</w:t>
            </w:r>
            <w:r w:rsidR="00AF4A56" w:rsidRPr="004F4468">
              <w:rPr>
                <w:rFonts w:ascii="Times New Roman" w:hAnsi="Times New Roman"/>
                <w:sz w:val="24"/>
                <w:szCs w:val="24"/>
              </w:rPr>
              <w:t xml:space="preserve"> sniegtais atbalsts </w:t>
            </w:r>
            <w:r w:rsidR="00F0508F" w:rsidRPr="004F4468">
              <w:rPr>
                <w:rFonts w:ascii="Times New Roman" w:hAnsi="Times New Roman"/>
                <w:sz w:val="24"/>
                <w:szCs w:val="24"/>
              </w:rPr>
              <w:t xml:space="preserve">2.1.2.4.aktivitātes „Augstas pievienotās vērtības investīcijas” otrās kārtas </w:t>
            </w:r>
            <w:r w:rsidR="00AF4A56" w:rsidRPr="004F4468">
              <w:rPr>
                <w:rFonts w:ascii="Times New Roman" w:hAnsi="Times New Roman"/>
                <w:sz w:val="24"/>
                <w:szCs w:val="24"/>
              </w:rPr>
              <w:t>ietvaros bū</w:t>
            </w:r>
            <w:r w:rsidR="004042BD" w:rsidRPr="004F4468">
              <w:rPr>
                <w:rFonts w:ascii="Times New Roman" w:hAnsi="Times New Roman"/>
                <w:sz w:val="24"/>
                <w:szCs w:val="24"/>
              </w:rPr>
              <w:t>s</w:t>
            </w:r>
            <w:r w:rsidR="00AF4A56" w:rsidRPr="004F4468">
              <w:rPr>
                <w:rFonts w:ascii="Times New Roman" w:hAnsi="Times New Roman"/>
                <w:sz w:val="24"/>
                <w:szCs w:val="24"/>
              </w:rPr>
              <w:t xml:space="preserve"> </w:t>
            </w:r>
            <w:r w:rsidR="00F0508F" w:rsidRPr="004F4468">
              <w:rPr>
                <w:rFonts w:ascii="Times New Roman" w:hAnsi="Times New Roman"/>
                <w:sz w:val="24"/>
                <w:szCs w:val="24"/>
              </w:rPr>
              <w:t>nozīmīgs</w:t>
            </w:r>
            <w:r w:rsidR="00AF4A56" w:rsidRPr="004F4468">
              <w:rPr>
                <w:rFonts w:ascii="Times New Roman" w:hAnsi="Times New Roman"/>
                <w:sz w:val="24"/>
                <w:szCs w:val="24"/>
              </w:rPr>
              <w:t xml:space="preserve"> </w:t>
            </w:r>
            <w:r w:rsidRPr="004F4468">
              <w:rPr>
                <w:rFonts w:ascii="Times New Roman" w:hAnsi="Times New Roman"/>
                <w:sz w:val="24"/>
                <w:szCs w:val="24"/>
              </w:rPr>
              <w:t>mehānisms</w:t>
            </w:r>
            <w:r w:rsidR="00AF4A56" w:rsidRPr="004F4468">
              <w:rPr>
                <w:rFonts w:ascii="Times New Roman" w:hAnsi="Times New Roman"/>
                <w:sz w:val="24"/>
                <w:szCs w:val="24"/>
              </w:rPr>
              <w:t>, lai piesaistītu ārvalstu tiešās investīcijas, kas ir nepieciešamas turpmākās izaugsmes nodrošināšanai.</w:t>
            </w:r>
            <w:r w:rsidR="00AC1207" w:rsidRPr="004F4468">
              <w:rPr>
                <w:rFonts w:ascii="Times New Roman" w:hAnsi="Times New Roman"/>
                <w:sz w:val="24"/>
                <w:szCs w:val="24"/>
              </w:rPr>
              <w:t xml:space="preserve"> </w:t>
            </w:r>
            <w:r w:rsidR="00AC1207" w:rsidRPr="004F4468">
              <w:rPr>
                <w:rFonts w:ascii="Times New Roman" w:hAnsi="Times New Roman"/>
                <w:color w:val="000000"/>
                <w:sz w:val="24"/>
                <w:szCs w:val="24"/>
              </w:rPr>
              <w:t xml:space="preserve">2.1.2.4.aktivitāte „Augstas pievienotās vērtības investīcijas” ir iekļauta Ārvalstu tiešo investīciju piesaistes </w:t>
            </w:r>
            <w:r w:rsidR="002A0741" w:rsidRPr="004F4468">
              <w:rPr>
                <w:rFonts w:ascii="Times New Roman" w:hAnsi="Times New Roman"/>
                <w:color w:val="000000"/>
                <w:sz w:val="24"/>
                <w:szCs w:val="24"/>
              </w:rPr>
              <w:t xml:space="preserve">stratēģijas </w:t>
            </w:r>
            <w:r w:rsidR="00AC1207" w:rsidRPr="004F4468">
              <w:rPr>
                <w:rFonts w:ascii="Times New Roman" w:hAnsi="Times New Roman"/>
                <w:color w:val="000000"/>
                <w:sz w:val="24"/>
                <w:szCs w:val="24"/>
              </w:rPr>
              <w:t>2011.-2015.gadam</w:t>
            </w:r>
            <w:r w:rsidR="002A0741" w:rsidRPr="004F4468">
              <w:rPr>
                <w:rFonts w:ascii="Times New Roman" w:hAnsi="Times New Roman"/>
                <w:color w:val="000000"/>
                <w:sz w:val="24"/>
                <w:szCs w:val="24"/>
              </w:rPr>
              <w:t xml:space="preserve"> projektā</w:t>
            </w:r>
            <w:r w:rsidR="00246407" w:rsidRPr="004F4468">
              <w:rPr>
                <w:rFonts w:ascii="Times New Roman" w:hAnsi="Times New Roman"/>
                <w:color w:val="000000"/>
                <w:sz w:val="24"/>
                <w:szCs w:val="24"/>
              </w:rPr>
              <w:t>,</w:t>
            </w:r>
            <w:r w:rsidR="00AC1207" w:rsidRPr="004F4468">
              <w:rPr>
                <w:rFonts w:ascii="Times New Roman" w:hAnsi="Times New Roman"/>
                <w:color w:val="000000"/>
                <w:sz w:val="24"/>
                <w:szCs w:val="24"/>
              </w:rPr>
              <w:t xml:space="preserve"> un tā ir prezentēta Ārvalstu investoru padomei. Līdz ar to būtiski ir pēc iespējas ātrāk apstiprināt 2.1.2.4.aktivitātes „Augstas pievienotās vērtības investīcijas” otrās kārtas nosacījumus Ministru kabinetā, lai potenciālie investori varētu uzsākt plānošanas procesu par investīciju veikšanu Latvijā.</w:t>
            </w:r>
          </w:p>
          <w:p w:rsidR="00AC1207" w:rsidRPr="004F4468" w:rsidRDefault="00AC1207" w:rsidP="00877C80">
            <w:pPr>
              <w:spacing w:after="0" w:line="240" w:lineRule="auto"/>
              <w:ind w:firstLine="421"/>
              <w:jc w:val="both"/>
              <w:rPr>
                <w:rFonts w:ascii="Times New Roman" w:hAnsi="Times New Roman"/>
                <w:color w:val="000000"/>
                <w:sz w:val="24"/>
                <w:szCs w:val="24"/>
              </w:rPr>
            </w:pPr>
            <w:r w:rsidRPr="004F4468">
              <w:rPr>
                <w:rFonts w:ascii="Times New Roman" w:hAnsi="Times New Roman"/>
                <w:color w:val="000000"/>
                <w:sz w:val="24"/>
                <w:szCs w:val="24"/>
              </w:rPr>
              <w:t>2.1.2.4.aktivitāti „Augstas pievienotās vērtības investīcijas” ir nepieciešams izveidot šī gada laikā, ņemot vērā, ka projektu īstenošana</w:t>
            </w:r>
            <w:r w:rsidR="00545FE4" w:rsidRPr="004F4468">
              <w:rPr>
                <w:rFonts w:ascii="Times New Roman" w:hAnsi="Times New Roman"/>
                <w:color w:val="000000"/>
                <w:sz w:val="24"/>
                <w:szCs w:val="24"/>
              </w:rPr>
              <w:t>i</w:t>
            </w:r>
            <w:r w:rsidRPr="004F4468">
              <w:rPr>
                <w:rFonts w:ascii="Times New Roman" w:hAnsi="Times New Roman"/>
                <w:color w:val="000000"/>
                <w:sz w:val="24"/>
                <w:szCs w:val="24"/>
              </w:rPr>
              <w:t xml:space="preserve"> </w:t>
            </w:r>
            <w:r w:rsidR="00545FE4" w:rsidRPr="004F4468">
              <w:rPr>
                <w:rFonts w:ascii="Times New Roman" w:hAnsi="Times New Roman"/>
                <w:color w:val="000000"/>
                <w:sz w:val="24"/>
                <w:szCs w:val="24"/>
              </w:rPr>
              <w:t>ir paredzēti</w:t>
            </w:r>
            <w:r w:rsidRPr="004F4468">
              <w:rPr>
                <w:rFonts w:ascii="Times New Roman" w:hAnsi="Times New Roman"/>
                <w:color w:val="000000"/>
                <w:sz w:val="24"/>
                <w:szCs w:val="24"/>
              </w:rPr>
              <w:t xml:space="preserve"> trīs gadi un Eiropas Savienības struktūrfondu 2007.-2013.gada plānošanas periods tuvojas noslēgumam. </w:t>
            </w:r>
          </w:p>
          <w:p w:rsidR="006720BA" w:rsidRPr="004F4468" w:rsidRDefault="006720BA" w:rsidP="00877C80">
            <w:pPr>
              <w:spacing w:after="0" w:line="240" w:lineRule="auto"/>
              <w:ind w:firstLine="421"/>
              <w:jc w:val="both"/>
              <w:rPr>
                <w:rFonts w:ascii="Times New Roman" w:hAnsi="Times New Roman"/>
                <w:sz w:val="24"/>
                <w:szCs w:val="24"/>
              </w:rPr>
            </w:pPr>
          </w:p>
          <w:p w:rsidR="006720BA" w:rsidRPr="004F4468" w:rsidRDefault="006720BA" w:rsidP="00877C80">
            <w:pPr>
              <w:spacing w:after="0" w:line="240" w:lineRule="auto"/>
              <w:ind w:firstLine="421"/>
              <w:jc w:val="both"/>
              <w:rPr>
                <w:rFonts w:ascii="Times New Roman" w:hAnsi="Times New Roman"/>
                <w:sz w:val="24"/>
                <w:szCs w:val="24"/>
              </w:rPr>
            </w:pPr>
            <w:r w:rsidRPr="004F4468">
              <w:rPr>
                <w:rFonts w:ascii="Times New Roman" w:hAnsi="Times New Roman"/>
                <w:sz w:val="24"/>
                <w:szCs w:val="24"/>
              </w:rPr>
              <w:t>Secinājumi, kas izriet</w:t>
            </w:r>
            <w:r w:rsidR="000217F1" w:rsidRPr="004F4468">
              <w:rPr>
                <w:rFonts w:ascii="Times New Roman" w:hAnsi="Times New Roman"/>
                <w:sz w:val="24"/>
                <w:szCs w:val="24"/>
              </w:rPr>
              <w:t xml:space="preserve"> no</w:t>
            </w:r>
            <w:r w:rsidRPr="004F4468">
              <w:rPr>
                <w:rFonts w:ascii="Times New Roman" w:hAnsi="Times New Roman"/>
                <w:sz w:val="24"/>
                <w:szCs w:val="24"/>
              </w:rPr>
              <w:t xml:space="preserve"> 2.1.2.4.aktivitātes „Augstas pievienotās vērtības investīcijas” pirmās kārtas ir:</w:t>
            </w:r>
          </w:p>
          <w:p w:rsidR="006720BA" w:rsidRPr="004F4468" w:rsidRDefault="006720BA" w:rsidP="006720BA">
            <w:pPr>
              <w:pStyle w:val="ListParagraph"/>
              <w:numPr>
                <w:ilvl w:val="0"/>
                <w:numId w:val="12"/>
              </w:numPr>
              <w:jc w:val="both"/>
              <w:rPr>
                <w:sz w:val="24"/>
                <w:szCs w:val="24"/>
                <w:lang w:val="lv-LV"/>
              </w:rPr>
            </w:pPr>
            <w:r w:rsidRPr="004F4468">
              <w:rPr>
                <w:sz w:val="24"/>
                <w:szCs w:val="24"/>
                <w:lang w:val="lv-LV"/>
              </w:rPr>
              <w:t>pēc projektu iesniegumu apstiprināšanas daudziem projektiem ir grūtības piesaistīt finansējumu un projektu īstenošana tiek pārtraukta;</w:t>
            </w:r>
          </w:p>
          <w:p w:rsidR="006720BA" w:rsidRPr="004F4468" w:rsidRDefault="006720BA" w:rsidP="006720BA">
            <w:pPr>
              <w:pStyle w:val="ListParagraph"/>
              <w:numPr>
                <w:ilvl w:val="0"/>
                <w:numId w:val="12"/>
              </w:numPr>
              <w:jc w:val="both"/>
              <w:rPr>
                <w:sz w:val="24"/>
                <w:szCs w:val="24"/>
                <w:lang w:val="lv-LV"/>
              </w:rPr>
            </w:pPr>
            <w:r w:rsidRPr="004F4468">
              <w:rPr>
                <w:sz w:val="24"/>
                <w:szCs w:val="24"/>
                <w:lang w:val="lv-LV"/>
              </w:rPr>
              <w:t>projekti tika iesniegti 4 reizes vairāk kā pieejamais finansējums.</w:t>
            </w:r>
          </w:p>
          <w:p w:rsidR="006720BA" w:rsidRPr="004F4468" w:rsidRDefault="006720BA" w:rsidP="006720BA">
            <w:pPr>
              <w:spacing w:after="0"/>
              <w:jc w:val="both"/>
              <w:rPr>
                <w:rFonts w:ascii="Times New Roman" w:hAnsi="Times New Roman"/>
                <w:sz w:val="24"/>
                <w:szCs w:val="24"/>
              </w:rPr>
            </w:pPr>
          </w:p>
          <w:p w:rsidR="006720BA" w:rsidRPr="004F4468" w:rsidRDefault="006720BA" w:rsidP="006720BA">
            <w:pPr>
              <w:spacing w:after="0"/>
              <w:ind w:firstLine="421"/>
              <w:jc w:val="both"/>
              <w:rPr>
                <w:rFonts w:ascii="Times New Roman" w:hAnsi="Times New Roman"/>
                <w:sz w:val="24"/>
                <w:szCs w:val="24"/>
              </w:rPr>
            </w:pPr>
            <w:r w:rsidRPr="004F4468">
              <w:rPr>
                <w:rFonts w:ascii="Times New Roman" w:hAnsi="Times New Roman"/>
                <w:sz w:val="24"/>
                <w:szCs w:val="24"/>
              </w:rPr>
              <w:t>Ņemot vērā augstāk minēto, Ekonomikas ministrija ierosina:</w:t>
            </w:r>
          </w:p>
          <w:p w:rsidR="006720BA" w:rsidRPr="004F4468" w:rsidRDefault="006720BA" w:rsidP="006720BA">
            <w:pPr>
              <w:pStyle w:val="ListParagraph"/>
              <w:numPr>
                <w:ilvl w:val="0"/>
                <w:numId w:val="13"/>
              </w:numPr>
              <w:jc w:val="both"/>
              <w:rPr>
                <w:sz w:val="24"/>
                <w:szCs w:val="24"/>
                <w:lang w:val="lv-LV"/>
              </w:rPr>
            </w:pPr>
            <w:r w:rsidRPr="004F4468">
              <w:rPr>
                <w:sz w:val="24"/>
                <w:szCs w:val="24"/>
                <w:lang w:val="lv-LV"/>
              </w:rPr>
              <w:t xml:space="preserve">noteikt projekta minimālo attiecināmo izmaksu apjomu </w:t>
            </w:r>
            <w:r w:rsidR="000F7003" w:rsidRPr="004F4468">
              <w:rPr>
                <w:sz w:val="24"/>
                <w:szCs w:val="24"/>
                <w:lang w:val="lv-LV"/>
              </w:rPr>
              <w:t>3 </w:t>
            </w:r>
            <w:r w:rsidRPr="004F4468">
              <w:rPr>
                <w:sz w:val="24"/>
                <w:szCs w:val="24"/>
                <w:lang w:val="lv-LV"/>
              </w:rPr>
              <w:t>000 000 lati;</w:t>
            </w:r>
          </w:p>
          <w:p w:rsidR="006720BA" w:rsidRPr="004F4468" w:rsidRDefault="006720BA" w:rsidP="006720BA">
            <w:pPr>
              <w:pStyle w:val="ListParagraph"/>
              <w:numPr>
                <w:ilvl w:val="0"/>
                <w:numId w:val="13"/>
              </w:numPr>
              <w:jc w:val="both"/>
              <w:rPr>
                <w:sz w:val="24"/>
                <w:szCs w:val="24"/>
                <w:lang w:val="lv-LV"/>
              </w:rPr>
            </w:pPr>
            <w:r w:rsidRPr="004F4468">
              <w:rPr>
                <w:sz w:val="24"/>
                <w:szCs w:val="24"/>
                <w:lang w:val="lv-LV"/>
              </w:rPr>
              <w:t xml:space="preserve">noteikt, ka projekta iesniedzējam kopā ar projekta iesniegumu ir jāiesniedz kredītiestādes garantijas vēstule par līguma par projekta </w:t>
            </w:r>
            <w:r w:rsidRPr="004F4468">
              <w:rPr>
                <w:sz w:val="24"/>
                <w:szCs w:val="24"/>
                <w:lang w:val="lv-LV"/>
              </w:rPr>
              <w:lastRenderedPageBreak/>
              <w:t>īstenošanu nosacījumu izpildi</w:t>
            </w:r>
            <w:r w:rsidR="002F1D28" w:rsidRPr="004F4468">
              <w:rPr>
                <w:sz w:val="24"/>
                <w:szCs w:val="24"/>
                <w:lang w:val="lv-LV"/>
              </w:rPr>
              <w:t>. Minētais nosacījums ir ietverts, lai nodrošinātu projekta iesniedzēja augstāku gatavību īstenot projektu un veicināt</w:t>
            </w:r>
            <w:r w:rsidR="00624CF7" w:rsidRPr="004F4468">
              <w:rPr>
                <w:sz w:val="24"/>
                <w:szCs w:val="24"/>
                <w:lang w:val="lv-LV"/>
              </w:rPr>
              <w:t>u</w:t>
            </w:r>
            <w:r w:rsidR="002F1D28" w:rsidRPr="004F4468">
              <w:rPr>
                <w:sz w:val="24"/>
                <w:szCs w:val="24"/>
                <w:lang w:val="lv-LV"/>
              </w:rPr>
              <w:t xml:space="preserve">, ka projekta iesniedzējs būtu apzinājis nepieciešamās darbības un to termiņus, lai sasniegtu vajadzīgo rezultātu. </w:t>
            </w:r>
            <w:r w:rsidR="00624CF7" w:rsidRPr="004F4468">
              <w:rPr>
                <w:sz w:val="24"/>
                <w:szCs w:val="24"/>
                <w:lang w:val="lv-LV"/>
              </w:rPr>
              <w:t>Tas vairākos gadījumos</w:t>
            </w:r>
            <w:r w:rsidR="002F1D28" w:rsidRPr="004F4468">
              <w:rPr>
                <w:sz w:val="24"/>
                <w:szCs w:val="24"/>
                <w:lang w:val="lv-LV"/>
              </w:rPr>
              <w:t xml:space="preserve"> ļautu īstenot kvalitatīvus projektus, kur galvenais grūtību iemesls projekta </w:t>
            </w:r>
            <w:r w:rsidR="00624CF7" w:rsidRPr="004F4468">
              <w:rPr>
                <w:sz w:val="24"/>
                <w:szCs w:val="24"/>
                <w:lang w:val="lv-LV"/>
              </w:rPr>
              <w:t>realizēšanai</w:t>
            </w:r>
            <w:r w:rsidR="002F1D28" w:rsidRPr="004F4468">
              <w:rPr>
                <w:sz w:val="24"/>
                <w:szCs w:val="24"/>
                <w:lang w:val="lv-LV"/>
              </w:rPr>
              <w:t xml:space="preserve"> ir bijis </w:t>
            </w:r>
            <w:r w:rsidR="00624CF7" w:rsidRPr="004F4468">
              <w:rPr>
                <w:sz w:val="24"/>
                <w:szCs w:val="24"/>
                <w:lang w:val="lv-LV"/>
              </w:rPr>
              <w:t>pietiekami</w:t>
            </w:r>
            <w:r w:rsidR="002F1D28" w:rsidRPr="004F4468">
              <w:rPr>
                <w:sz w:val="24"/>
                <w:szCs w:val="24"/>
                <w:lang w:val="lv-LV"/>
              </w:rPr>
              <w:t xml:space="preserve"> detalizētas plānošanas trūkums</w:t>
            </w:r>
            <w:r w:rsidRPr="004F4468">
              <w:rPr>
                <w:sz w:val="24"/>
                <w:szCs w:val="24"/>
                <w:lang w:val="lv-LV"/>
              </w:rPr>
              <w:t>;</w:t>
            </w:r>
          </w:p>
          <w:p w:rsidR="006720BA" w:rsidRPr="004F4468" w:rsidRDefault="006720BA" w:rsidP="006720BA">
            <w:pPr>
              <w:pStyle w:val="ListParagraph"/>
              <w:numPr>
                <w:ilvl w:val="0"/>
                <w:numId w:val="13"/>
              </w:numPr>
              <w:jc w:val="both"/>
              <w:rPr>
                <w:sz w:val="24"/>
                <w:szCs w:val="24"/>
                <w:lang w:val="lv-LV"/>
              </w:rPr>
            </w:pPr>
            <w:r w:rsidRPr="004F4468">
              <w:rPr>
                <w:sz w:val="24"/>
                <w:szCs w:val="24"/>
                <w:lang w:val="lv-LV"/>
              </w:rPr>
              <w:t xml:space="preserve">noteikt, ka </w:t>
            </w:r>
            <w:r w:rsidRPr="004F4468">
              <w:rPr>
                <w:rFonts w:eastAsia="Times New Roman"/>
                <w:sz w:val="24"/>
                <w:szCs w:val="24"/>
                <w:lang w:val="lv-LV" w:eastAsia="lv-LV"/>
              </w:rPr>
              <w:t>valsts aģentūra „Latvijas Investīciju un attīstības aģentūra” ir pienākums obligāti lauzt līgumu ar finansējuma saņēmēju</w:t>
            </w:r>
            <w:r w:rsidR="00216454" w:rsidRPr="004F4468">
              <w:rPr>
                <w:rFonts w:eastAsia="Times New Roman"/>
                <w:sz w:val="24"/>
                <w:szCs w:val="24"/>
                <w:lang w:val="lv-LV" w:eastAsia="lv-LV"/>
              </w:rPr>
              <w:t xml:space="preserve"> šādos gadījumos</w:t>
            </w:r>
            <w:r w:rsidRPr="004F4468">
              <w:rPr>
                <w:rFonts w:eastAsia="Times New Roman"/>
                <w:sz w:val="24"/>
                <w:szCs w:val="24"/>
                <w:lang w:val="lv-LV" w:eastAsia="lv-LV"/>
              </w:rPr>
              <w:t>:</w:t>
            </w:r>
          </w:p>
          <w:p w:rsidR="00935BEC" w:rsidRPr="004F4468" w:rsidRDefault="00935BEC" w:rsidP="006720BA">
            <w:pPr>
              <w:pStyle w:val="ListParagraph"/>
              <w:numPr>
                <w:ilvl w:val="1"/>
                <w:numId w:val="13"/>
              </w:numPr>
              <w:jc w:val="both"/>
              <w:rPr>
                <w:sz w:val="24"/>
                <w:szCs w:val="24"/>
                <w:lang w:val="lv-LV"/>
              </w:rPr>
            </w:pPr>
            <w:r w:rsidRPr="004F4468">
              <w:rPr>
                <w:rFonts w:eastAsia="Times New Roman"/>
                <w:sz w:val="24"/>
                <w:szCs w:val="24"/>
                <w:lang w:val="lv-LV" w:eastAsia="lv-LV"/>
              </w:rPr>
              <w:t xml:space="preserve">ja projekta iesniegumam ir pievienots </w:t>
            </w:r>
            <w:r w:rsidR="000F7003" w:rsidRPr="004F4468">
              <w:rPr>
                <w:sz w:val="24"/>
                <w:szCs w:val="24"/>
                <w:lang w:val="lv-LV" w:eastAsia="lv-LV"/>
              </w:rPr>
              <w:t>pirkuma līgums ar nogaidu tiesību</w:t>
            </w:r>
            <w:r w:rsidRPr="004F4468">
              <w:rPr>
                <w:rFonts w:eastAsia="Times New Roman"/>
                <w:sz w:val="24"/>
                <w:szCs w:val="24"/>
                <w:lang w:val="lv-LV" w:eastAsia="lv-LV"/>
              </w:rPr>
              <w:t xml:space="preserve">, bet sešu mēnešu laikā no dienas, kad noslēgts līgums par projekta īstenošanu, finansējuma saņēmējs nav realizējis </w:t>
            </w:r>
            <w:r w:rsidR="000F7003" w:rsidRPr="004F4468">
              <w:rPr>
                <w:sz w:val="24"/>
                <w:szCs w:val="24"/>
                <w:lang w:val="lv-LV" w:eastAsia="lv-LV"/>
              </w:rPr>
              <w:t>pirkuma līgumu ar nogaidu tiesību</w:t>
            </w:r>
            <w:r w:rsidRPr="004F4468">
              <w:rPr>
                <w:rFonts w:eastAsia="Times New Roman"/>
                <w:sz w:val="24"/>
                <w:szCs w:val="24"/>
                <w:lang w:val="lv-LV" w:eastAsia="lv-LV"/>
              </w:rPr>
              <w:t xml:space="preserve"> un iesniedzis sadarbības iestādē zemesgrāmatā reģistrētus īpašumtiesības apliecinošus dokumentus (kopijas) par īpašumu, kurā veic ilgtermiņa ieguldījumus;</w:t>
            </w:r>
          </w:p>
          <w:p w:rsidR="006720BA" w:rsidRPr="004F4468" w:rsidRDefault="00935BEC" w:rsidP="006720BA">
            <w:pPr>
              <w:pStyle w:val="ListParagraph"/>
              <w:numPr>
                <w:ilvl w:val="1"/>
                <w:numId w:val="13"/>
              </w:numPr>
              <w:jc w:val="both"/>
              <w:rPr>
                <w:sz w:val="24"/>
                <w:szCs w:val="24"/>
                <w:lang w:val="lv-LV"/>
              </w:rPr>
            </w:pPr>
            <w:r w:rsidRPr="004F4468">
              <w:rPr>
                <w:sz w:val="24"/>
                <w:szCs w:val="24"/>
                <w:lang w:val="lv-LV"/>
              </w:rPr>
              <w:t>ja sešu mēnešu laikā no dienas, kad noslēgts līgums par projekta īstenošanu, finansējuma saņēmējs nav noslēdzis līgumus ar piegādātājiem par summu, ne mazāku kā 75 % no projektā paredzētajām jaunu iekārtu (un aprīkojuma) iegādes izmaksām</w:t>
            </w:r>
            <w:r w:rsidR="006720BA" w:rsidRPr="004F4468">
              <w:rPr>
                <w:sz w:val="24"/>
                <w:szCs w:val="24"/>
                <w:lang w:val="lv-LV"/>
              </w:rPr>
              <w:t>;</w:t>
            </w:r>
          </w:p>
          <w:p w:rsidR="00935BEC" w:rsidRPr="004F4468" w:rsidRDefault="00935BEC" w:rsidP="006720BA">
            <w:pPr>
              <w:pStyle w:val="ListParagraph"/>
              <w:numPr>
                <w:ilvl w:val="1"/>
                <w:numId w:val="13"/>
              </w:numPr>
              <w:jc w:val="both"/>
              <w:rPr>
                <w:sz w:val="24"/>
                <w:szCs w:val="24"/>
                <w:lang w:val="lv-LV"/>
              </w:rPr>
            </w:pPr>
            <w:r w:rsidRPr="004F4468">
              <w:rPr>
                <w:rFonts w:eastAsia="Times New Roman"/>
                <w:sz w:val="24"/>
                <w:szCs w:val="24"/>
                <w:lang w:val="lv-LV" w:eastAsia="lv-LV"/>
              </w:rPr>
              <w:t xml:space="preserve">ja 12 mēnešu laikā no dienas, kad noslēgts līgums par projekta īstenošanu, sadarbības iestādē nav iesniegts starpposma maksājuma </w:t>
            </w:r>
            <w:r w:rsidRPr="004F4468">
              <w:rPr>
                <w:sz w:val="24"/>
                <w:szCs w:val="24"/>
                <w:lang w:val="lv-LV"/>
              </w:rPr>
              <w:t>pieprasījums vismaz par 35 % no līgumā par projekta īstenošanu norādītā kopējā publiskā finansējuma apmēra</w:t>
            </w:r>
            <w:r w:rsidR="00A9112A" w:rsidRPr="004F4468">
              <w:rPr>
                <w:sz w:val="24"/>
                <w:szCs w:val="24"/>
                <w:lang w:val="lv-LV"/>
              </w:rPr>
              <w:t>;</w:t>
            </w:r>
          </w:p>
          <w:p w:rsidR="006720BA" w:rsidRPr="004F4468" w:rsidRDefault="00935BEC" w:rsidP="006720BA">
            <w:pPr>
              <w:pStyle w:val="ListParagraph"/>
              <w:numPr>
                <w:ilvl w:val="1"/>
                <w:numId w:val="13"/>
              </w:numPr>
              <w:jc w:val="both"/>
              <w:rPr>
                <w:sz w:val="24"/>
                <w:szCs w:val="24"/>
                <w:lang w:val="lv-LV"/>
              </w:rPr>
            </w:pPr>
            <w:r w:rsidRPr="004F4468">
              <w:rPr>
                <w:sz w:val="24"/>
                <w:szCs w:val="24"/>
                <w:lang w:val="lv-LV"/>
              </w:rPr>
              <w:t xml:space="preserve">ja 12 mēnešu laikā no dienas, kad noslēgts līgums par projekta īstenošanu, finansējuma saņēmējs nav noslēdzis līgumus ar piegādātājiem par visu summu no projektā paredzētajām jaunu iekārtu (un aprīkojuma) iegādes izmaksām un </w:t>
            </w:r>
            <w:r w:rsidRPr="004F4468">
              <w:rPr>
                <w:rFonts w:eastAsia="Times New Roman"/>
                <w:sz w:val="24"/>
                <w:szCs w:val="24"/>
                <w:lang w:val="lv-LV" w:eastAsia="lv-LV"/>
              </w:rPr>
              <w:t>ēku un būvju būvniecības, rekonstrukcijas un renovācijas</w:t>
            </w:r>
            <w:r w:rsidRPr="004F4468">
              <w:rPr>
                <w:sz w:val="24"/>
                <w:szCs w:val="24"/>
                <w:lang w:val="lv-LV"/>
              </w:rPr>
              <w:t xml:space="preserve"> izmaksām;</w:t>
            </w:r>
          </w:p>
          <w:p w:rsidR="00E552BD" w:rsidRPr="004F4468" w:rsidRDefault="00935BEC" w:rsidP="00E552BD">
            <w:pPr>
              <w:pStyle w:val="ListParagraph"/>
              <w:numPr>
                <w:ilvl w:val="1"/>
                <w:numId w:val="13"/>
              </w:numPr>
              <w:tabs>
                <w:tab w:val="left" w:pos="1272"/>
              </w:tabs>
              <w:spacing w:after="480"/>
              <w:ind w:left="1139" w:hanging="357"/>
              <w:jc w:val="both"/>
              <w:rPr>
                <w:sz w:val="24"/>
                <w:szCs w:val="24"/>
                <w:lang w:val="lv-LV"/>
              </w:rPr>
            </w:pPr>
            <w:r w:rsidRPr="004F4468">
              <w:rPr>
                <w:rFonts w:eastAsia="Times New Roman"/>
                <w:sz w:val="24"/>
                <w:szCs w:val="24"/>
                <w:lang w:val="lv-LV" w:eastAsia="lv-LV"/>
              </w:rPr>
              <w:t xml:space="preserve">ja </w:t>
            </w:r>
            <w:r w:rsidRPr="004F4468">
              <w:rPr>
                <w:sz w:val="24"/>
                <w:szCs w:val="24"/>
                <w:lang w:val="lv-LV"/>
              </w:rPr>
              <w:t xml:space="preserve">projekta iesniegumā ir paredzētas </w:t>
            </w:r>
            <w:r w:rsidRPr="004F4468">
              <w:rPr>
                <w:rFonts w:eastAsia="Times New Roman"/>
                <w:sz w:val="24"/>
                <w:szCs w:val="24"/>
                <w:lang w:val="lv-LV" w:eastAsia="lv-LV"/>
              </w:rPr>
              <w:t>ēku un būvju būvniecības, rekonstrukcijas un renovācijas</w:t>
            </w:r>
            <w:r w:rsidRPr="004F4468">
              <w:rPr>
                <w:sz w:val="24"/>
                <w:szCs w:val="24"/>
                <w:lang w:val="lv-LV"/>
              </w:rPr>
              <w:t xml:space="preserve"> izmaksas, bet</w:t>
            </w:r>
            <w:r w:rsidRPr="004F4468">
              <w:rPr>
                <w:rFonts w:eastAsia="Times New Roman"/>
                <w:sz w:val="24"/>
                <w:szCs w:val="24"/>
                <w:lang w:val="lv-LV" w:eastAsia="lv-LV"/>
              </w:rPr>
              <w:t xml:space="preserve"> 12 mēnešu laikā no dienas, kad noslēgts līgums par projekta īstenošanu, sadarbības iestādē nav iesniegta būvvaldes apstiprināta būvatļauja nepieciešamo ēku un būvju būvniecības, rekonstrukcijas un renovācijas</w:t>
            </w:r>
            <w:r w:rsidRPr="004F4468" w:rsidDel="00E559A3">
              <w:rPr>
                <w:rFonts w:eastAsia="Times New Roman"/>
                <w:sz w:val="24"/>
                <w:szCs w:val="24"/>
                <w:lang w:val="lv-LV" w:eastAsia="lv-LV"/>
              </w:rPr>
              <w:t xml:space="preserve"> </w:t>
            </w:r>
            <w:r w:rsidRPr="004F4468">
              <w:rPr>
                <w:rFonts w:eastAsia="Times New Roman"/>
                <w:sz w:val="24"/>
                <w:szCs w:val="24"/>
                <w:lang w:val="lv-LV" w:eastAsia="lv-LV"/>
              </w:rPr>
              <w:t>darbu veikšanai.</w:t>
            </w:r>
          </w:p>
          <w:p w:rsidR="006720BA" w:rsidRPr="004F4468" w:rsidRDefault="00E552BD" w:rsidP="00E552BD">
            <w:pPr>
              <w:pStyle w:val="ListParagraph"/>
              <w:tabs>
                <w:tab w:val="left" w:pos="1272"/>
              </w:tabs>
              <w:spacing w:after="480"/>
              <w:ind w:left="847" w:hanging="284"/>
              <w:jc w:val="both"/>
              <w:rPr>
                <w:sz w:val="24"/>
                <w:szCs w:val="24"/>
                <w:lang w:val="lv-LV"/>
              </w:rPr>
            </w:pPr>
            <w:r w:rsidRPr="004F4468">
              <w:rPr>
                <w:sz w:val="24"/>
                <w:szCs w:val="24"/>
                <w:lang w:val="lv-LV"/>
              </w:rPr>
              <w:t>4.</w:t>
            </w:r>
            <w:r w:rsidR="006720BA" w:rsidRPr="004F4468">
              <w:rPr>
                <w:sz w:val="24"/>
                <w:szCs w:val="24"/>
                <w:lang w:val="lv-LV"/>
              </w:rPr>
              <w:t xml:space="preserve"> vērtēt projekta ilgtspēju balstoties uz projekta ietvaros ražotā produkta vai sniegtā pakalpojuma aizsardzības līmeni, projekta iesniedzēja zinātnisko kapacitāti un sadarbību ar vietējiem komersantiem un citām nozares institūcijām. </w:t>
            </w:r>
          </w:p>
          <w:p w:rsidR="006720BA" w:rsidRPr="004F4468" w:rsidRDefault="006720BA" w:rsidP="006720BA">
            <w:pPr>
              <w:pStyle w:val="ListParagraph"/>
              <w:ind w:left="-4" w:firstLine="709"/>
              <w:contextualSpacing w:val="0"/>
              <w:jc w:val="both"/>
              <w:rPr>
                <w:sz w:val="24"/>
                <w:szCs w:val="24"/>
                <w:lang w:val="lv-LV"/>
              </w:rPr>
            </w:pPr>
          </w:p>
          <w:p w:rsidR="006720BA" w:rsidRPr="004F4468" w:rsidRDefault="006720BA" w:rsidP="006720BA">
            <w:pPr>
              <w:pStyle w:val="ListParagraph"/>
              <w:ind w:left="-4" w:firstLine="709"/>
              <w:contextualSpacing w:val="0"/>
              <w:jc w:val="both"/>
              <w:rPr>
                <w:sz w:val="24"/>
                <w:szCs w:val="24"/>
                <w:lang w:val="lv-LV"/>
              </w:rPr>
            </w:pPr>
            <w:r w:rsidRPr="004F4468">
              <w:rPr>
                <w:sz w:val="24"/>
                <w:szCs w:val="24"/>
                <w:lang w:val="lv-LV"/>
              </w:rPr>
              <w:t>2.1.2.4.aktivitātes „Augstas pievienotās vērtības investīcijas” otrās kārtas projektu iesniegumu vērtēšanas kritēriji ir saskaņoti 2011.gada 16.jūnija Eiropas Savienības fondu uzraudzības komitejas sēdē un ir iestrādāti šajos noteikumos.</w:t>
            </w:r>
          </w:p>
          <w:p w:rsidR="006720BA" w:rsidRPr="004F4468" w:rsidRDefault="006720BA" w:rsidP="006720BA">
            <w:pPr>
              <w:pStyle w:val="ListParagraph"/>
              <w:ind w:left="-4" w:firstLine="709"/>
              <w:contextualSpacing w:val="0"/>
              <w:jc w:val="both"/>
              <w:rPr>
                <w:sz w:val="24"/>
                <w:szCs w:val="24"/>
                <w:lang w:val="lv-LV"/>
              </w:rPr>
            </w:pPr>
            <w:r w:rsidRPr="004F4468">
              <w:rPr>
                <w:sz w:val="24"/>
                <w:szCs w:val="24"/>
                <w:lang w:val="lv-LV"/>
              </w:rPr>
              <w:t xml:space="preserve">2.1.2.4.aktivitātes „Augstas pievienotās vērtības investīcijas” </w:t>
            </w:r>
            <w:r w:rsidRPr="004F4468">
              <w:rPr>
                <w:sz w:val="24"/>
                <w:szCs w:val="24"/>
                <w:lang w:val="lv-LV"/>
              </w:rPr>
              <w:lastRenderedPageBreak/>
              <w:t>īstenošanu jau reglamentē Ministru kabineta 2009.gada 24.februāra noteikumi Nr.200 „</w:t>
            </w:r>
            <w:r w:rsidRPr="004F4468">
              <w:rPr>
                <w:rFonts w:eastAsia="Times New Roman"/>
                <w:bCs/>
                <w:sz w:val="24"/>
                <w:szCs w:val="24"/>
                <w:lang w:val="lv-LV" w:eastAsia="lv-LV"/>
              </w:rPr>
              <w:t>Noteikumi par darbības programmas „Uzņēmējdarbība un inovācijas” papildinājuma 2.1.2.4.aktivitāti „Augstas pievienotās vērtības investīcijas”</w:t>
            </w:r>
            <w:r w:rsidRPr="004F4468">
              <w:rPr>
                <w:sz w:val="24"/>
                <w:szCs w:val="24"/>
                <w:lang w:val="lv-LV"/>
              </w:rPr>
              <w:t>”. Par cik grozījumi ir nepieciešami vairāk kā 30% no minēto noteikumu normām, ir izstrādāti jauni noteikumi, kuri reglamentēs aktivitātes otro un turpmākās kārtas.</w:t>
            </w:r>
          </w:p>
        </w:tc>
      </w:tr>
      <w:tr w:rsidR="00003B50" w:rsidRPr="004F4468" w:rsidTr="008F2D36">
        <w:trPr>
          <w:tblCellSpacing w:w="15" w:type="dxa"/>
        </w:trPr>
        <w:tc>
          <w:tcPr>
            <w:tcW w:w="160" w:type="pct"/>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lastRenderedPageBreak/>
              <w:t>3.</w:t>
            </w:r>
          </w:p>
        </w:tc>
        <w:tc>
          <w:tcPr>
            <w:tcW w:w="810"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Saistītie politikas ietekmes novērtējumi un pētījumi</w:t>
            </w:r>
          </w:p>
        </w:tc>
        <w:tc>
          <w:tcPr>
            <w:tcW w:w="3967" w:type="pct"/>
            <w:shd w:val="clear" w:color="auto" w:fill="auto"/>
            <w:hideMark/>
          </w:tcPr>
          <w:p w:rsidR="00003B50" w:rsidRPr="004F4468" w:rsidRDefault="00372C60" w:rsidP="0020240A">
            <w:pPr>
              <w:spacing w:after="0" w:line="240" w:lineRule="auto"/>
              <w:ind w:firstLine="421"/>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Projekts šo jomu neskar.</w:t>
            </w:r>
          </w:p>
        </w:tc>
      </w:tr>
      <w:tr w:rsidR="00003B50" w:rsidRPr="004F4468" w:rsidTr="008F2D36">
        <w:trPr>
          <w:tblCellSpacing w:w="15" w:type="dxa"/>
        </w:trPr>
        <w:tc>
          <w:tcPr>
            <w:tcW w:w="160" w:type="pct"/>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4.</w:t>
            </w:r>
          </w:p>
        </w:tc>
        <w:tc>
          <w:tcPr>
            <w:tcW w:w="810"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Tiesiskā regulējuma mērķis un būtība</w:t>
            </w:r>
          </w:p>
        </w:tc>
        <w:tc>
          <w:tcPr>
            <w:tcW w:w="3967" w:type="pct"/>
            <w:shd w:val="clear" w:color="auto" w:fill="auto"/>
            <w:hideMark/>
          </w:tcPr>
          <w:p w:rsidR="00D564F9" w:rsidRPr="004F4468" w:rsidRDefault="00D564F9" w:rsidP="0020240A">
            <w:pPr>
              <w:pStyle w:val="EE-paragrCharChar"/>
              <w:rPr>
                <w:rFonts w:ascii="Times New Roman" w:hAnsi="Times New Roman"/>
                <w:sz w:val="24"/>
                <w:szCs w:val="24"/>
              </w:rPr>
            </w:pPr>
            <w:r w:rsidRPr="004F4468">
              <w:rPr>
                <w:rFonts w:ascii="Times New Roman" w:hAnsi="Times New Roman"/>
                <w:sz w:val="24"/>
                <w:szCs w:val="24"/>
              </w:rPr>
              <w:t xml:space="preserve">Noteikumu projekts nosaka kārtību, kādā īsteno darbības programmas </w:t>
            </w:r>
            <w:r w:rsidR="003034DA" w:rsidRPr="004F4468">
              <w:rPr>
                <w:rFonts w:ascii="Times New Roman" w:hAnsi="Times New Roman"/>
                <w:sz w:val="24"/>
                <w:szCs w:val="24"/>
              </w:rPr>
              <w:t>„</w:t>
            </w:r>
            <w:r w:rsidRPr="004F4468">
              <w:rPr>
                <w:rFonts w:ascii="Times New Roman" w:hAnsi="Times New Roman"/>
                <w:sz w:val="24"/>
                <w:szCs w:val="24"/>
              </w:rPr>
              <w:t>Uzņēmējdarbība un inovācijas</w:t>
            </w:r>
            <w:r w:rsidR="003034DA" w:rsidRPr="004F4468">
              <w:rPr>
                <w:rFonts w:ascii="Times New Roman" w:hAnsi="Times New Roman"/>
                <w:sz w:val="24"/>
                <w:szCs w:val="24"/>
              </w:rPr>
              <w:t>”</w:t>
            </w:r>
            <w:r w:rsidRPr="004F4468">
              <w:rPr>
                <w:rFonts w:ascii="Times New Roman" w:hAnsi="Times New Roman"/>
                <w:sz w:val="24"/>
                <w:szCs w:val="24"/>
              </w:rPr>
              <w:t xml:space="preserve"> papildinājuma 2.</w:t>
            </w:r>
            <w:r w:rsidR="0080364C" w:rsidRPr="004F4468">
              <w:rPr>
                <w:rFonts w:ascii="Times New Roman" w:hAnsi="Times New Roman"/>
                <w:sz w:val="24"/>
                <w:szCs w:val="24"/>
              </w:rPr>
              <w:t>1.2.4.</w:t>
            </w:r>
            <w:r w:rsidR="00466236" w:rsidRPr="004F4468">
              <w:rPr>
                <w:rFonts w:ascii="Times New Roman" w:hAnsi="Times New Roman"/>
                <w:sz w:val="24"/>
                <w:szCs w:val="24"/>
              </w:rPr>
              <w:t>aktivitātes</w:t>
            </w:r>
            <w:r w:rsidRPr="004F4468">
              <w:rPr>
                <w:rFonts w:ascii="Times New Roman" w:hAnsi="Times New Roman"/>
                <w:sz w:val="24"/>
                <w:szCs w:val="24"/>
              </w:rPr>
              <w:t xml:space="preserve"> </w:t>
            </w:r>
            <w:r w:rsidR="003034DA" w:rsidRPr="004F4468">
              <w:rPr>
                <w:rFonts w:ascii="Times New Roman" w:hAnsi="Times New Roman"/>
                <w:sz w:val="24"/>
                <w:szCs w:val="24"/>
              </w:rPr>
              <w:t>„</w:t>
            </w:r>
            <w:r w:rsidR="0080364C" w:rsidRPr="004F4468">
              <w:rPr>
                <w:rFonts w:ascii="Times New Roman" w:hAnsi="Times New Roman"/>
                <w:sz w:val="24"/>
                <w:szCs w:val="24"/>
              </w:rPr>
              <w:t>Augstas pievienotās vērtības investīcijas</w:t>
            </w:r>
            <w:r w:rsidR="003034DA" w:rsidRPr="004F4468">
              <w:rPr>
                <w:rFonts w:ascii="Times New Roman" w:hAnsi="Times New Roman"/>
                <w:sz w:val="24"/>
                <w:szCs w:val="24"/>
              </w:rPr>
              <w:t>”</w:t>
            </w:r>
            <w:r w:rsidRPr="004F4468">
              <w:rPr>
                <w:rFonts w:ascii="Times New Roman" w:hAnsi="Times New Roman"/>
                <w:sz w:val="24"/>
                <w:szCs w:val="24"/>
              </w:rPr>
              <w:t xml:space="preserve"> (turpmāk –</w:t>
            </w:r>
            <w:r w:rsidR="0080364C" w:rsidRPr="004F4468">
              <w:rPr>
                <w:rFonts w:ascii="Times New Roman" w:hAnsi="Times New Roman"/>
                <w:sz w:val="24"/>
                <w:szCs w:val="24"/>
              </w:rPr>
              <w:t xml:space="preserve"> </w:t>
            </w:r>
            <w:r w:rsidR="00783FDE" w:rsidRPr="004F4468">
              <w:rPr>
                <w:rFonts w:ascii="Times New Roman" w:hAnsi="Times New Roman"/>
                <w:sz w:val="24"/>
                <w:szCs w:val="24"/>
              </w:rPr>
              <w:t>2.1.2.4.</w:t>
            </w:r>
            <w:r w:rsidRPr="004F4468">
              <w:rPr>
                <w:rFonts w:ascii="Times New Roman" w:hAnsi="Times New Roman"/>
                <w:sz w:val="24"/>
                <w:szCs w:val="24"/>
              </w:rPr>
              <w:t>aktivitāte)</w:t>
            </w:r>
            <w:r w:rsidR="00466236" w:rsidRPr="004F4468">
              <w:rPr>
                <w:rFonts w:ascii="Times New Roman" w:hAnsi="Times New Roman"/>
                <w:sz w:val="24"/>
                <w:szCs w:val="24"/>
              </w:rPr>
              <w:t xml:space="preserve"> </w:t>
            </w:r>
            <w:r w:rsidR="0088182A" w:rsidRPr="004F4468">
              <w:rPr>
                <w:rFonts w:ascii="Times New Roman" w:hAnsi="Times New Roman"/>
                <w:sz w:val="24"/>
                <w:szCs w:val="24"/>
              </w:rPr>
              <w:t>otro</w:t>
            </w:r>
            <w:r w:rsidR="00466236" w:rsidRPr="004F4468">
              <w:rPr>
                <w:rFonts w:ascii="Times New Roman" w:hAnsi="Times New Roman"/>
                <w:sz w:val="24"/>
                <w:szCs w:val="24"/>
              </w:rPr>
              <w:t xml:space="preserve"> </w:t>
            </w:r>
            <w:r w:rsidR="0080364C" w:rsidRPr="004F4468">
              <w:rPr>
                <w:rFonts w:ascii="Times New Roman" w:hAnsi="Times New Roman"/>
                <w:sz w:val="24"/>
                <w:szCs w:val="24"/>
              </w:rPr>
              <w:t xml:space="preserve">un turpmākās </w:t>
            </w:r>
            <w:r w:rsidR="00466236" w:rsidRPr="004F4468">
              <w:rPr>
                <w:rFonts w:ascii="Times New Roman" w:hAnsi="Times New Roman"/>
                <w:sz w:val="24"/>
                <w:szCs w:val="24"/>
              </w:rPr>
              <w:t>projektu iesniegumu atlases kārt</w:t>
            </w:r>
            <w:r w:rsidR="0080364C" w:rsidRPr="004F4468">
              <w:rPr>
                <w:rFonts w:ascii="Times New Roman" w:hAnsi="Times New Roman"/>
                <w:sz w:val="24"/>
                <w:szCs w:val="24"/>
              </w:rPr>
              <w:t>as</w:t>
            </w:r>
            <w:r w:rsidRPr="004F4468">
              <w:rPr>
                <w:rFonts w:ascii="Times New Roman" w:hAnsi="Times New Roman"/>
                <w:sz w:val="24"/>
                <w:szCs w:val="24"/>
              </w:rPr>
              <w:t xml:space="preserve">, prasības projekta iesnieguma iesniedzējam, projekta iesnieguma vērtēšanas kritērijus, atbildīgo iestādi un sadarbības iestādi, kompetences sadalījumu starp šīm iestādēm un sadarbības kārtību, kā arī atbildīgās iestādes un sadarbības iestādes funkcionālās padotības formu. </w:t>
            </w:r>
          </w:p>
          <w:p w:rsidR="00D564F9" w:rsidRPr="004F4468" w:rsidRDefault="00D564F9" w:rsidP="0020240A">
            <w:pPr>
              <w:pStyle w:val="EE-paragrCharChar"/>
              <w:rPr>
                <w:rFonts w:ascii="Times New Roman" w:hAnsi="Times New Roman"/>
                <w:sz w:val="24"/>
                <w:szCs w:val="24"/>
                <w:lang w:eastAsia="en-US"/>
              </w:rPr>
            </w:pPr>
            <w:r w:rsidRPr="004F4468">
              <w:rPr>
                <w:rFonts w:ascii="Times New Roman" w:hAnsi="Times New Roman"/>
                <w:sz w:val="24"/>
                <w:szCs w:val="24"/>
                <w:lang w:eastAsia="en-US"/>
              </w:rPr>
              <w:t xml:space="preserve">Noteikumu projektā </w:t>
            </w:r>
            <w:r w:rsidR="00F0508F" w:rsidRPr="004F4468">
              <w:rPr>
                <w:rFonts w:ascii="Times New Roman" w:hAnsi="Times New Roman"/>
                <w:sz w:val="24"/>
                <w:szCs w:val="24"/>
                <w:lang w:eastAsia="en-US"/>
              </w:rPr>
              <w:t>2.1.2.4.</w:t>
            </w:r>
            <w:r w:rsidRPr="004F4468">
              <w:rPr>
                <w:rFonts w:ascii="Times New Roman" w:hAnsi="Times New Roman"/>
                <w:sz w:val="24"/>
                <w:szCs w:val="24"/>
                <w:lang w:eastAsia="en-US"/>
              </w:rPr>
              <w:t>aktivitātes mērķis</w:t>
            </w:r>
            <w:r w:rsidRPr="004F4468" w:rsidDel="0003357E">
              <w:rPr>
                <w:rFonts w:ascii="Times New Roman" w:hAnsi="Times New Roman"/>
                <w:sz w:val="24"/>
                <w:szCs w:val="24"/>
                <w:lang w:eastAsia="en-US"/>
              </w:rPr>
              <w:t xml:space="preserve"> </w:t>
            </w:r>
            <w:r w:rsidR="00404264" w:rsidRPr="004F4468">
              <w:rPr>
                <w:rFonts w:ascii="Times New Roman" w:hAnsi="Times New Roman"/>
                <w:sz w:val="24"/>
                <w:szCs w:val="24"/>
                <w:lang w:eastAsia="en-US"/>
              </w:rPr>
              <w:t xml:space="preserve">ir </w:t>
            </w:r>
            <w:r w:rsidR="008206A9" w:rsidRPr="004F4468">
              <w:rPr>
                <w:rFonts w:ascii="Times New Roman" w:hAnsi="Times New Roman"/>
                <w:sz w:val="24"/>
                <w:szCs w:val="24"/>
              </w:rPr>
              <w:t xml:space="preserve">stimulēt vietējos komersantus </w:t>
            </w:r>
            <w:r w:rsidR="00967F5F" w:rsidRPr="004F4468">
              <w:rPr>
                <w:rFonts w:ascii="Times New Roman" w:hAnsi="Times New Roman"/>
                <w:sz w:val="24"/>
                <w:szCs w:val="24"/>
              </w:rPr>
              <w:t>ieguldīt</w:t>
            </w:r>
            <w:r w:rsidR="008206A9" w:rsidRPr="004F4468">
              <w:rPr>
                <w:rFonts w:ascii="Times New Roman" w:hAnsi="Times New Roman"/>
                <w:sz w:val="24"/>
                <w:szCs w:val="24"/>
              </w:rPr>
              <w:t xml:space="preserve"> zināšanu vai tehnoloģiju intensīvajos projektos, kā arī piesaistīt ārvalstu investīcijas jomās ar augstu pievienoto vērtību, tādējādi veicinot jaunāko tehnoloģiju pārnesi no ārvalstīm.</w:t>
            </w:r>
          </w:p>
          <w:p w:rsidR="0020240A" w:rsidRPr="004F4468" w:rsidRDefault="00F0508F" w:rsidP="0020240A">
            <w:pPr>
              <w:pStyle w:val="EE-paragrCharChar"/>
              <w:rPr>
                <w:rFonts w:ascii="Times New Roman" w:hAnsi="Times New Roman"/>
                <w:sz w:val="24"/>
                <w:szCs w:val="24"/>
              </w:rPr>
            </w:pPr>
            <w:r w:rsidRPr="004F4468">
              <w:rPr>
                <w:rFonts w:ascii="Times New Roman" w:hAnsi="Times New Roman"/>
                <w:sz w:val="24"/>
                <w:szCs w:val="24"/>
                <w:lang w:eastAsia="en-US"/>
              </w:rPr>
              <w:t>2.1.2.4.</w:t>
            </w:r>
            <w:r w:rsidRPr="004F4468">
              <w:rPr>
                <w:rFonts w:ascii="Times New Roman" w:hAnsi="Times New Roman"/>
                <w:sz w:val="24"/>
                <w:szCs w:val="24"/>
              </w:rPr>
              <w:t>a</w:t>
            </w:r>
            <w:r w:rsidR="00D564F9" w:rsidRPr="004F4468">
              <w:rPr>
                <w:rFonts w:ascii="Times New Roman" w:hAnsi="Times New Roman"/>
                <w:sz w:val="24"/>
                <w:szCs w:val="24"/>
              </w:rPr>
              <w:t xml:space="preserve">ktivitātes ietvaros īstenotos projektus līdzfinansē no Eiropas Reģionālās attīstības fonda </w:t>
            </w:r>
            <w:r w:rsidR="005605C7" w:rsidRPr="004F4468">
              <w:rPr>
                <w:rFonts w:ascii="Times New Roman" w:hAnsi="Times New Roman"/>
                <w:sz w:val="24"/>
                <w:szCs w:val="24"/>
              </w:rPr>
              <w:t xml:space="preserve">(turpmāk – ERAF) </w:t>
            </w:r>
            <w:r w:rsidR="00D564F9" w:rsidRPr="004F4468">
              <w:rPr>
                <w:rFonts w:ascii="Times New Roman" w:hAnsi="Times New Roman"/>
                <w:sz w:val="24"/>
                <w:szCs w:val="24"/>
              </w:rPr>
              <w:t xml:space="preserve">līdzekļiem. Kopējais </w:t>
            </w:r>
            <w:r w:rsidRPr="004F4468">
              <w:rPr>
                <w:rFonts w:ascii="Times New Roman" w:hAnsi="Times New Roman"/>
                <w:sz w:val="24"/>
                <w:szCs w:val="24"/>
              </w:rPr>
              <w:t>2.1.2.4.</w:t>
            </w:r>
            <w:r w:rsidR="004060D7" w:rsidRPr="004F4468">
              <w:rPr>
                <w:rFonts w:ascii="Times New Roman" w:hAnsi="Times New Roman"/>
                <w:sz w:val="24"/>
                <w:szCs w:val="24"/>
              </w:rPr>
              <w:t>a</w:t>
            </w:r>
            <w:r w:rsidR="00D564F9" w:rsidRPr="004F4468">
              <w:rPr>
                <w:rFonts w:ascii="Times New Roman" w:hAnsi="Times New Roman"/>
                <w:sz w:val="24"/>
                <w:szCs w:val="24"/>
              </w:rPr>
              <w:t xml:space="preserve">ktivitātes </w:t>
            </w:r>
            <w:r w:rsidRPr="004F4468">
              <w:rPr>
                <w:rFonts w:ascii="Times New Roman" w:hAnsi="Times New Roman"/>
                <w:sz w:val="24"/>
                <w:szCs w:val="24"/>
              </w:rPr>
              <w:t>otrās</w:t>
            </w:r>
            <w:r w:rsidR="00466236" w:rsidRPr="004F4468">
              <w:rPr>
                <w:rFonts w:ascii="Times New Roman" w:hAnsi="Times New Roman"/>
                <w:sz w:val="24"/>
                <w:szCs w:val="24"/>
              </w:rPr>
              <w:t xml:space="preserve"> atlases kārtas </w:t>
            </w:r>
            <w:r w:rsidR="00D564F9" w:rsidRPr="004F4468">
              <w:rPr>
                <w:rFonts w:ascii="Times New Roman" w:hAnsi="Times New Roman"/>
                <w:sz w:val="24"/>
                <w:szCs w:val="24"/>
              </w:rPr>
              <w:t xml:space="preserve">ietvaros pieejamais </w:t>
            </w:r>
            <w:r w:rsidR="00AB172B" w:rsidRPr="004F4468">
              <w:rPr>
                <w:rFonts w:ascii="Times New Roman" w:hAnsi="Times New Roman"/>
                <w:sz w:val="24"/>
                <w:szCs w:val="24"/>
              </w:rPr>
              <w:t>ERAF</w:t>
            </w:r>
            <w:r w:rsidR="00D564F9" w:rsidRPr="004F4468">
              <w:rPr>
                <w:rFonts w:ascii="Times New Roman" w:hAnsi="Times New Roman"/>
                <w:sz w:val="24"/>
                <w:szCs w:val="24"/>
              </w:rPr>
              <w:t xml:space="preserve"> </w:t>
            </w:r>
            <w:r w:rsidR="005605C7" w:rsidRPr="004F4468">
              <w:rPr>
                <w:rFonts w:ascii="Times New Roman" w:hAnsi="Times New Roman"/>
                <w:sz w:val="24"/>
                <w:szCs w:val="24"/>
              </w:rPr>
              <w:t>līdz</w:t>
            </w:r>
            <w:r w:rsidR="00D564F9" w:rsidRPr="004F4468">
              <w:rPr>
                <w:rFonts w:ascii="Times New Roman" w:hAnsi="Times New Roman"/>
                <w:sz w:val="24"/>
                <w:szCs w:val="24"/>
              </w:rPr>
              <w:t xml:space="preserve">finansējums ir </w:t>
            </w:r>
            <w:r w:rsidR="000F7003" w:rsidRPr="004F4468">
              <w:rPr>
                <w:rFonts w:ascii="Times New Roman" w:hAnsi="Times New Roman"/>
                <w:sz w:val="24"/>
                <w:szCs w:val="24"/>
              </w:rPr>
              <w:t>1</w:t>
            </w:r>
            <w:r w:rsidR="001F10BC" w:rsidRPr="004F4468">
              <w:rPr>
                <w:rFonts w:ascii="Times New Roman" w:hAnsi="Times New Roman"/>
                <w:sz w:val="24"/>
                <w:szCs w:val="24"/>
              </w:rPr>
              <w:t>3</w:t>
            </w:r>
            <w:r w:rsidR="000F7003" w:rsidRPr="004F4468">
              <w:rPr>
                <w:rFonts w:ascii="Times New Roman" w:hAnsi="Times New Roman"/>
                <w:sz w:val="24"/>
                <w:szCs w:val="24"/>
              </w:rPr>
              <w:t xml:space="preserve"> </w:t>
            </w:r>
            <w:r w:rsidR="001F10BC" w:rsidRPr="004F4468">
              <w:rPr>
                <w:rFonts w:ascii="Times New Roman" w:hAnsi="Times New Roman"/>
                <w:sz w:val="24"/>
                <w:szCs w:val="24"/>
              </w:rPr>
              <w:t>086</w:t>
            </w:r>
            <w:r w:rsidR="000F7003" w:rsidRPr="004F4468">
              <w:rPr>
                <w:rFonts w:ascii="Times New Roman" w:hAnsi="Times New Roman"/>
                <w:sz w:val="24"/>
                <w:szCs w:val="24"/>
              </w:rPr>
              <w:t xml:space="preserve"> </w:t>
            </w:r>
            <w:r w:rsidR="001F10BC" w:rsidRPr="004F4468">
              <w:rPr>
                <w:rFonts w:ascii="Times New Roman" w:hAnsi="Times New Roman"/>
                <w:sz w:val="24"/>
                <w:szCs w:val="24"/>
              </w:rPr>
              <w:t>882</w:t>
            </w:r>
            <w:r w:rsidR="00E674F1" w:rsidRPr="004F4468">
              <w:rPr>
                <w:rFonts w:ascii="Times New Roman" w:hAnsi="Times New Roman"/>
                <w:sz w:val="24"/>
                <w:szCs w:val="24"/>
              </w:rPr>
              <w:t xml:space="preserve"> </w:t>
            </w:r>
            <w:r w:rsidR="005605C7" w:rsidRPr="004F4468">
              <w:rPr>
                <w:rFonts w:ascii="Times New Roman" w:hAnsi="Times New Roman"/>
                <w:sz w:val="24"/>
                <w:szCs w:val="24"/>
              </w:rPr>
              <w:t>lati</w:t>
            </w:r>
            <w:r w:rsidR="00D564F9" w:rsidRPr="004F4468">
              <w:rPr>
                <w:rFonts w:ascii="Times New Roman" w:hAnsi="Times New Roman"/>
                <w:sz w:val="24"/>
                <w:szCs w:val="24"/>
              </w:rPr>
              <w:t>.</w:t>
            </w:r>
            <w:r w:rsidR="006A36C4" w:rsidRPr="004F4468">
              <w:rPr>
                <w:rFonts w:ascii="Times New Roman" w:hAnsi="Times New Roman"/>
                <w:sz w:val="24"/>
                <w:szCs w:val="24"/>
              </w:rPr>
              <w:t xml:space="preserve"> Papildus aktivitātei ir paredzēts attiecināmo virssaistību finansējums </w:t>
            </w:r>
            <w:r w:rsidR="001F10BC" w:rsidRPr="004F4468">
              <w:rPr>
                <w:rFonts w:ascii="Times New Roman" w:hAnsi="Times New Roman"/>
                <w:sz w:val="24"/>
                <w:szCs w:val="24"/>
              </w:rPr>
              <w:t xml:space="preserve">13 086 882 </w:t>
            </w:r>
            <w:r w:rsidR="006A36C4" w:rsidRPr="004F4468">
              <w:rPr>
                <w:rFonts w:ascii="Times New Roman" w:hAnsi="Times New Roman"/>
                <w:sz w:val="24"/>
                <w:szCs w:val="24"/>
              </w:rPr>
              <w:t>latu apmērā.</w:t>
            </w:r>
            <w:r w:rsidR="00D564F9" w:rsidRPr="004F4468">
              <w:rPr>
                <w:rFonts w:ascii="Times New Roman" w:hAnsi="Times New Roman"/>
                <w:sz w:val="24"/>
                <w:szCs w:val="24"/>
              </w:rPr>
              <w:t xml:space="preserve"> </w:t>
            </w:r>
          </w:p>
          <w:p w:rsidR="0020240A" w:rsidRPr="004F4468" w:rsidRDefault="00F37EBD" w:rsidP="0020240A">
            <w:pPr>
              <w:pStyle w:val="EE-paragrCharChar"/>
              <w:rPr>
                <w:rFonts w:ascii="Times New Roman" w:hAnsi="Times New Roman"/>
                <w:sz w:val="24"/>
                <w:szCs w:val="24"/>
              </w:rPr>
            </w:pPr>
            <w:r w:rsidRPr="004F4468">
              <w:rPr>
                <w:rFonts w:ascii="Times New Roman" w:hAnsi="Times New Roman"/>
                <w:sz w:val="24"/>
                <w:szCs w:val="24"/>
              </w:rPr>
              <w:t>2.1.2.4.a</w:t>
            </w:r>
            <w:r w:rsidR="00466236" w:rsidRPr="004F4468">
              <w:rPr>
                <w:rFonts w:ascii="Times New Roman" w:hAnsi="Times New Roman"/>
                <w:sz w:val="24"/>
                <w:szCs w:val="24"/>
              </w:rPr>
              <w:t xml:space="preserve">ktivitātes </w:t>
            </w:r>
            <w:r w:rsidR="00E674F1" w:rsidRPr="004F4468">
              <w:rPr>
                <w:rFonts w:ascii="Times New Roman" w:hAnsi="Times New Roman"/>
                <w:sz w:val="24"/>
                <w:szCs w:val="24"/>
              </w:rPr>
              <w:t>otro</w:t>
            </w:r>
            <w:r w:rsidR="00466236" w:rsidRPr="004F4468">
              <w:rPr>
                <w:rFonts w:ascii="Times New Roman" w:hAnsi="Times New Roman"/>
                <w:sz w:val="24"/>
                <w:szCs w:val="24"/>
              </w:rPr>
              <w:t xml:space="preserve"> projektu iesniegumu atlases kārtu</w:t>
            </w:r>
            <w:r w:rsidR="005605C7" w:rsidRPr="004F4468">
              <w:rPr>
                <w:rFonts w:ascii="Times New Roman" w:hAnsi="Times New Roman"/>
                <w:sz w:val="24"/>
                <w:szCs w:val="24"/>
              </w:rPr>
              <w:t xml:space="preserve"> īsteno </w:t>
            </w:r>
            <w:r w:rsidR="00E674F1" w:rsidRPr="004F4468">
              <w:rPr>
                <w:rFonts w:ascii="Times New Roman" w:hAnsi="Times New Roman"/>
                <w:sz w:val="24"/>
                <w:szCs w:val="24"/>
              </w:rPr>
              <w:t xml:space="preserve">atklātas </w:t>
            </w:r>
            <w:r w:rsidR="005605C7" w:rsidRPr="004F4468">
              <w:rPr>
                <w:rFonts w:ascii="Times New Roman" w:hAnsi="Times New Roman"/>
                <w:sz w:val="24"/>
                <w:szCs w:val="24"/>
              </w:rPr>
              <w:t>pr</w:t>
            </w:r>
            <w:r w:rsidR="00466236" w:rsidRPr="004F4468">
              <w:rPr>
                <w:rFonts w:ascii="Times New Roman" w:hAnsi="Times New Roman"/>
                <w:sz w:val="24"/>
                <w:szCs w:val="24"/>
              </w:rPr>
              <w:t>ojektu iesniegumu atl</w:t>
            </w:r>
            <w:r w:rsidR="008206A9" w:rsidRPr="004F4468">
              <w:rPr>
                <w:rFonts w:ascii="Times New Roman" w:hAnsi="Times New Roman"/>
                <w:sz w:val="24"/>
                <w:szCs w:val="24"/>
              </w:rPr>
              <w:t>ases veidā</w:t>
            </w:r>
            <w:r w:rsidR="005605C7" w:rsidRPr="004F4468">
              <w:rPr>
                <w:rFonts w:ascii="Times New Roman" w:hAnsi="Times New Roman"/>
                <w:sz w:val="24"/>
                <w:szCs w:val="24"/>
              </w:rPr>
              <w:t xml:space="preserve"> par visu pieejamo finansējumu.</w:t>
            </w:r>
            <w:r w:rsidR="00A40F12" w:rsidRPr="004F4468">
              <w:rPr>
                <w:rFonts w:ascii="Times New Roman" w:hAnsi="Times New Roman"/>
                <w:sz w:val="24"/>
                <w:szCs w:val="24"/>
              </w:rPr>
              <w:t xml:space="preserve"> </w:t>
            </w:r>
          </w:p>
          <w:p w:rsidR="0020240A" w:rsidRPr="004F4468" w:rsidRDefault="00E674F1" w:rsidP="0020240A">
            <w:pPr>
              <w:pStyle w:val="EE-paragrCharChar"/>
              <w:rPr>
                <w:rFonts w:ascii="Times New Roman" w:hAnsi="Times New Roman"/>
                <w:sz w:val="24"/>
                <w:szCs w:val="24"/>
              </w:rPr>
            </w:pPr>
            <w:r w:rsidRPr="004F4468">
              <w:rPr>
                <w:rFonts w:ascii="Times New Roman" w:hAnsi="Times New Roman"/>
                <w:sz w:val="24"/>
                <w:szCs w:val="24"/>
              </w:rPr>
              <w:t>Projekta iesniedzējs var būt Latvijā reģistrēts komersants.</w:t>
            </w:r>
          </w:p>
          <w:p w:rsidR="0020240A" w:rsidRPr="004F4468" w:rsidRDefault="003C03C3" w:rsidP="0020240A">
            <w:pPr>
              <w:pStyle w:val="EE-paragrCharChar"/>
              <w:rPr>
                <w:rFonts w:ascii="Times New Roman" w:hAnsi="Times New Roman"/>
                <w:sz w:val="24"/>
                <w:szCs w:val="24"/>
              </w:rPr>
            </w:pPr>
            <w:r w:rsidRPr="004F4468">
              <w:rPr>
                <w:rFonts w:ascii="Times New Roman" w:hAnsi="Times New Roman"/>
                <w:sz w:val="24"/>
                <w:szCs w:val="24"/>
              </w:rPr>
              <w:t xml:space="preserve">Projekta minimālais ERAF līdzfinansējuma apmērs </w:t>
            </w:r>
            <w:r w:rsidR="004060D7" w:rsidRPr="004F4468">
              <w:rPr>
                <w:rFonts w:ascii="Times New Roman" w:hAnsi="Times New Roman"/>
                <w:sz w:val="24"/>
                <w:szCs w:val="24"/>
              </w:rPr>
              <w:t>nav ierobežots</w:t>
            </w:r>
            <w:r w:rsidRPr="004F4468">
              <w:rPr>
                <w:rFonts w:ascii="Times New Roman" w:hAnsi="Times New Roman"/>
                <w:sz w:val="24"/>
                <w:szCs w:val="24"/>
              </w:rPr>
              <w:t xml:space="preserve">, maksimālais apmērs – </w:t>
            </w:r>
            <w:r w:rsidR="00BF50A5" w:rsidRPr="004F4468">
              <w:rPr>
                <w:rFonts w:ascii="Times New Roman" w:hAnsi="Times New Roman"/>
                <w:sz w:val="24"/>
                <w:szCs w:val="24"/>
              </w:rPr>
              <w:t>3 000 000</w:t>
            </w:r>
            <w:r w:rsidRPr="004F4468">
              <w:rPr>
                <w:rFonts w:ascii="Times New Roman" w:hAnsi="Times New Roman"/>
                <w:sz w:val="24"/>
                <w:szCs w:val="24"/>
              </w:rPr>
              <w:t xml:space="preserve"> latu.</w:t>
            </w:r>
          </w:p>
          <w:p w:rsidR="00EB4E6C" w:rsidRPr="004F4468" w:rsidRDefault="003C03C3" w:rsidP="0020240A">
            <w:pPr>
              <w:pStyle w:val="EE-paragrCharChar"/>
              <w:rPr>
                <w:rFonts w:ascii="Times New Roman" w:hAnsi="Times New Roman"/>
                <w:sz w:val="24"/>
                <w:szCs w:val="24"/>
              </w:rPr>
            </w:pPr>
            <w:r w:rsidRPr="004F4468">
              <w:rPr>
                <w:rFonts w:ascii="Times New Roman" w:hAnsi="Times New Roman"/>
                <w:sz w:val="24"/>
                <w:szCs w:val="24"/>
              </w:rPr>
              <w:t>Projekta īstenošanai pieejamais maksimālais ERAF līdzfinansējuma apmērs no kopējām projekta attiecināmajām izmaksām ir</w:t>
            </w:r>
            <w:r w:rsidR="004060D7" w:rsidRPr="004F4468">
              <w:rPr>
                <w:rFonts w:ascii="Times New Roman" w:hAnsi="Times New Roman"/>
                <w:sz w:val="24"/>
                <w:szCs w:val="24"/>
              </w:rPr>
              <w:t xml:space="preserve"> 3</w:t>
            </w:r>
            <w:r w:rsidR="0020240A" w:rsidRPr="004F4468">
              <w:rPr>
                <w:rFonts w:ascii="Times New Roman" w:hAnsi="Times New Roman"/>
                <w:sz w:val="24"/>
                <w:szCs w:val="24"/>
              </w:rPr>
              <w:t>5</w:t>
            </w:r>
            <w:r w:rsidR="004060D7" w:rsidRPr="004F4468">
              <w:rPr>
                <w:rFonts w:ascii="Times New Roman" w:hAnsi="Times New Roman"/>
                <w:sz w:val="24"/>
                <w:szCs w:val="24"/>
              </w:rPr>
              <w:t xml:space="preserve"> %. </w:t>
            </w:r>
          </w:p>
          <w:p w:rsidR="00471164" w:rsidRPr="004F4468" w:rsidRDefault="00471164" w:rsidP="00471164">
            <w:pPr>
              <w:pStyle w:val="EE-paragrCharChar"/>
              <w:rPr>
                <w:rFonts w:ascii="Times New Roman" w:hAnsi="Times New Roman"/>
                <w:sz w:val="24"/>
                <w:szCs w:val="24"/>
              </w:rPr>
            </w:pPr>
            <w:r w:rsidRPr="004F4468">
              <w:rPr>
                <w:rFonts w:ascii="Times New Roman" w:hAnsi="Times New Roman"/>
                <w:sz w:val="24"/>
                <w:szCs w:val="24"/>
              </w:rPr>
              <w:t xml:space="preserve">Finansējuma saņēmējam, lai veicinātu Eiropas Savienības fondu līdzfinansēto projektu publicitāti, ir jānodrošina aktuālās informācijas izvietošanu finansējuma saņēmēja tīmekļa vietnē (ja tāda ir)  ne retāk kā trīs mēnešus, lai atspoguļotu sasniegto progresu ar Eiropas Savienības fondu atbalstu. </w:t>
            </w:r>
          </w:p>
        </w:tc>
      </w:tr>
      <w:tr w:rsidR="00003B50" w:rsidRPr="004F4468" w:rsidTr="008F2D36">
        <w:trPr>
          <w:tblCellSpacing w:w="15" w:type="dxa"/>
        </w:trPr>
        <w:tc>
          <w:tcPr>
            <w:tcW w:w="160" w:type="pct"/>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5.</w:t>
            </w:r>
          </w:p>
        </w:tc>
        <w:tc>
          <w:tcPr>
            <w:tcW w:w="810"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Projekta izstrādē iesaistītās institūcijas</w:t>
            </w:r>
          </w:p>
        </w:tc>
        <w:tc>
          <w:tcPr>
            <w:tcW w:w="3967" w:type="pct"/>
            <w:shd w:val="clear" w:color="auto" w:fill="auto"/>
            <w:hideMark/>
          </w:tcPr>
          <w:p w:rsidR="00003B50" w:rsidRPr="004F4468" w:rsidRDefault="00372C60" w:rsidP="00F37EBD">
            <w:pPr>
              <w:spacing w:after="0" w:line="240" w:lineRule="auto"/>
              <w:ind w:firstLine="421"/>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Ekonomikas ministrija</w:t>
            </w:r>
            <w:r w:rsidR="003034DA" w:rsidRPr="004F4468">
              <w:rPr>
                <w:rFonts w:ascii="Times New Roman" w:eastAsia="Times New Roman" w:hAnsi="Times New Roman"/>
                <w:sz w:val="24"/>
                <w:szCs w:val="24"/>
                <w:lang w:eastAsia="lv-LV"/>
              </w:rPr>
              <w:t xml:space="preserve">, </w:t>
            </w:r>
            <w:r w:rsidR="003034DA" w:rsidRPr="004F4468">
              <w:rPr>
                <w:rFonts w:ascii="Times New Roman" w:hAnsi="Times New Roman"/>
                <w:bCs/>
                <w:color w:val="000000" w:themeColor="text1"/>
                <w:sz w:val="24"/>
                <w:szCs w:val="24"/>
              </w:rPr>
              <w:t xml:space="preserve">v/a „Latvijas Investīciju un attīstības aģentūra”, Latvijas Darba devēju konfederācija, Latvijas Tirdzniecības un rūpniecības kamera, Latvijas Lielo pilsētu asociācija, </w:t>
            </w:r>
            <w:r w:rsidR="003034DA" w:rsidRPr="004F4468">
              <w:rPr>
                <w:rStyle w:val="st1"/>
                <w:rFonts w:ascii="Times New Roman" w:hAnsi="Times New Roman"/>
                <w:sz w:val="24"/>
                <w:szCs w:val="24"/>
              </w:rPr>
              <w:t xml:space="preserve">Mašīnbūves un Metālapstrādes Rūpniecības asociācija, Latvijas Ķīmijas un farmācijas uzņēmumu asociācija, Latvijas Pārtikas uzņēmumu federācija, Latvijas </w:t>
            </w:r>
            <w:r w:rsidR="003034DA" w:rsidRPr="004F4468">
              <w:rPr>
                <w:rStyle w:val="st1"/>
                <w:rFonts w:ascii="Times New Roman" w:hAnsi="Times New Roman"/>
                <w:sz w:val="24"/>
                <w:szCs w:val="24"/>
              </w:rPr>
              <w:lastRenderedPageBreak/>
              <w:t>Elektrotehnikas un elek</w:t>
            </w:r>
            <w:r w:rsidR="00F37EBD" w:rsidRPr="004F4468">
              <w:rPr>
                <w:rStyle w:val="st1"/>
                <w:rFonts w:ascii="Times New Roman" w:hAnsi="Times New Roman"/>
                <w:sz w:val="24"/>
                <w:szCs w:val="24"/>
              </w:rPr>
              <w:t xml:space="preserve">tronikas rūpniecības asociācija, </w:t>
            </w:r>
            <w:r w:rsidR="003034DA" w:rsidRPr="004F4468">
              <w:rPr>
                <w:rStyle w:val="st1"/>
                <w:rFonts w:ascii="Times New Roman" w:hAnsi="Times New Roman"/>
                <w:sz w:val="24"/>
                <w:szCs w:val="24"/>
              </w:rPr>
              <w:t>Latvijas Viesnīcu un restorānu asociācija</w:t>
            </w:r>
            <w:r w:rsidR="00F37EBD" w:rsidRPr="004F4468">
              <w:rPr>
                <w:rStyle w:val="st1"/>
                <w:rFonts w:ascii="Times New Roman" w:hAnsi="Times New Roman"/>
                <w:sz w:val="24"/>
                <w:szCs w:val="24"/>
              </w:rPr>
              <w:t xml:space="preserve"> Latvijas Informācijas un komunikācijas tehnoloģiju asociācija.</w:t>
            </w:r>
          </w:p>
        </w:tc>
      </w:tr>
      <w:tr w:rsidR="00003B50" w:rsidRPr="004F4468" w:rsidTr="008F2D36">
        <w:trPr>
          <w:tblCellSpacing w:w="15" w:type="dxa"/>
        </w:trPr>
        <w:tc>
          <w:tcPr>
            <w:tcW w:w="160" w:type="pct"/>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lastRenderedPageBreak/>
              <w:t>6.</w:t>
            </w:r>
          </w:p>
        </w:tc>
        <w:tc>
          <w:tcPr>
            <w:tcW w:w="810"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Iemesli, kādēļ netika nodrošināta sabiedrības līdzdalība</w:t>
            </w:r>
          </w:p>
        </w:tc>
        <w:tc>
          <w:tcPr>
            <w:tcW w:w="3967" w:type="pct"/>
            <w:shd w:val="clear" w:color="auto" w:fill="auto"/>
            <w:hideMark/>
          </w:tcPr>
          <w:p w:rsidR="00003B50" w:rsidRPr="004F4468" w:rsidRDefault="008A27AD" w:rsidP="00F37EBD">
            <w:pPr>
              <w:spacing w:after="0" w:line="240" w:lineRule="auto"/>
              <w:ind w:firstLine="421"/>
              <w:jc w:val="both"/>
              <w:rPr>
                <w:rFonts w:ascii="Times New Roman" w:eastAsia="Times New Roman" w:hAnsi="Times New Roman"/>
                <w:sz w:val="24"/>
                <w:szCs w:val="24"/>
                <w:lang w:eastAsia="lv-LV"/>
              </w:rPr>
            </w:pPr>
            <w:r w:rsidRPr="004F4468">
              <w:rPr>
                <w:rFonts w:ascii="Times New Roman" w:hAnsi="Times New Roman"/>
                <w:sz w:val="24"/>
                <w:szCs w:val="24"/>
              </w:rPr>
              <w:t xml:space="preserve">Tiesību akta projekta </w:t>
            </w:r>
            <w:r w:rsidR="00F37EBD" w:rsidRPr="004F4468">
              <w:rPr>
                <w:rFonts w:ascii="Times New Roman" w:hAnsi="Times New Roman"/>
                <w:sz w:val="24"/>
                <w:szCs w:val="24"/>
              </w:rPr>
              <w:t>projektu iesniegumu vērtēšanas kritēriji</w:t>
            </w:r>
            <w:r w:rsidRPr="004F4468">
              <w:rPr>
                <w:rFonts w:ascii="Times New Roman" w:hAnsi="Times New Roman"/>
                <w:sz w:val="24"/>
                <w:szCs w:val="24"/>
              </w:rPr>
              <w:t xml:space="preserve"> ir saskaņoti ar </w:t>
            </w:r>
            <w:r w:rsidR="006A36C4" w:rsidRPr="004F4468">
              <w:rPr>
                <w:rFonts w:ascii="Times New Roman" w:hAnsi="Times New Roman"/>
                <w:sz w:val="24"/>
                <w:szCs w:val="24"/>
              </w:rPr>
              <w:t xml:space="preserve">nozaru </w:t>
            </w:r>
            <w:r w:rsidRPr="004F4468">
              <w:rPr>
                <w:rFonts w:ascii="Times New Roman" w:hAnsi="Times New Roman"/>
                <w:sz w:val="24"/>
                <w:szCs w:val="24"/>
              </w:rPr>
              <w:t xml:space="preserve">asociācijām </w:t>
            </w:r>
            <w:r w:rsidR="000A29E7" w:rsidRPr="004F4468">
              <w:rPr>
                <w:rFonts w:ascii="Times New Roman" w:hAnsi="Times New Roman"/>
                <w:sz w:val="24"/>
                <w:szCs w:val="24"/>
              </w:rPr>
              <w:t>2011.gada 16.jūnija Eiropas Savienības fondu uzraudzības komitejas sēdē</w:t>
            </w:r>
            <w:r w:rsidR="00F37EBD" w:rsidRPr="004F4468">
              <w:rPr>
                <w:rFonts w:ascii="Times New Roman" w:hAnsi="Times New Roman"/>
                <w:sz w:val="24"/>
                <w:szCs w:val="24"/>
              </w:rPr>
              <w:t>.</w:t>
            </w:r>
            <w:r w:rsidR="003034DA" w:rsidRPr="004F4468">
              <w:rPr>
                <w:rFonts w:ascii="Times New Roman" w:hAnsi="Times New Roman"/>
                <w:sz w:val="24"/>
                <w:szCs w:val="24"/>
              </w:rPr>
              <w:t xml:space="preserve"> </w:t>
            </w:r>
            <w:r w:rsidR="00F37EBD" w:rsidRPr="004F4468">
              <w:rPr>
                <w:rFonts w:ascii="Times New Roman" w:hAnsi="Times New Roman"/>
                <w:sz w:val="24"/>
                <w:szCs w:val="24"/>
              </w:rPr>
              <w:t>T</w:t>
            </w:r>
            <w:r w:rsidR="003034DA" w:rsidRPr="004F4468">
              <w:rPr>
                <w:rFonts w:ascii="Times New Roman" w:hAnsi="Times New Roman"/>
                <w:sz w:val="24"/>
                <w:szCs w:val="24"/>
              </w:rPr>
              <w:t xml:space="preserve">iesību akta projekts 2011.gada 15.jūlijā tika nosūtīts nozaru asociācijām komentāru sniegšanai, pēc kā tika organizēta kopīga tikšanās </w:t>
            </w:r>
            <w:r w:rsidR="00F37EBD" w:rsidRPr="004F4468">
              <w:rPr>
                <w:rFonts w:ascii="Times New Roman" w:hAnsi="Times New Roman"/>
                <w:sz w:val="24"/>
                <w:szCs w:val="24"/>
              </w:rPr>
              <w:t>Ekonomikas ministrijā 29.jūlijā, kur tika diskutēts par nozares asociāciju sniegtajiem komentāriem.</w:t>
            </w:r>
            <w:r w:rsidR="003034DA" w:rsidRPr="004F4468">
              <w:rPr>
                <w:rFonts w:ascii="Times New Roman" w:hAnsi="Times New Roman"/>
                <w:sz w:val="24"/>
                <w:szCs w:val="24"/>
              </w:rPr>
              <w:t xml:space="preserve"> Tiesību akta projekts </w:t>
            </w:r>
            <w:r w:rsidR="00F37EBD" w:rsidRPr="004F4468">
              <w:rPr>
                <w:rFonts w:ascii="Times New Roman" w:hAnsi="Times New Roman"/>
                <w:sz w:val="24"/>
                <w:szCs w:val="24"/>
              </w:rPr>
              <w:t>tā izstrādes laikā ir</w:t>
            </w:r>
            <w:r w:rsidR="003034DA" w:rsidRPr="004F4468">
              <w:rPr>
                <w:rFonts w:ascii="Times New Roman" w:hAnsi="Times New Roman"/>
                <w:sz w:val="24"/>
                <w:szCs w:val="24"/>
              </w:rPr>
              <w:t xml:space="preserve"> ievieto</w:t>
            </w:r>
            <w:r w:rsidR="00F37EBD" w:rsidRPr="004F4468">
              <w:rPr>
                <w:rFonts w:ascii="Times New Roman" w:hAnsi="Times New Roman"/>
                <w:sz w:val="24"/>
                <w:szCs w:val="24"/>
              </w:rPr>
              <w:t>ts</w:t>
            </w:r>
            <w:r w:rsidR="003034DA" w:rsidRPr="004F4468">
              <w:rPr>
                <w:rFonts w:ascii="Times New Roman" w:hAnsi="Times New Roman"/>
                <w:sz w:val="24"/>
                <w:szCs w:val="24"/>
              </w:rPr>
              <w:t xml:space="preserve"> publiskai apspriešanai Ekonomikas ministrijas mājas lapā.</w:t>
            </w:r>
          </w:p>
        </w:tc>
      </w:tr>
      <w:tr w:rsidR="00003B50" w:rsidRPr="004F4468" w:rsidTr="008F2D36">
        <w:trPr>
          <w:tblCellSpacing w:w="15" w:type="dxa"/>
        </w:trPr>
        <w:tc>
          <w:tcPr>
            <w:tcW w:w="160" w:type="pct"/>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7.</w:t>
            </w:r>
          </w:p>
        </w:tc>
        <w:tc>
          <w:tcPr>
            <w:tcW w:w="810"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Cita informācija</w:t>
            </w:r>
          </w:p>
        </w:tc>
        <w:tc>
          <w:tcPr>
            <w:tcW w:w="3967" w:type="pct"/>
            <w:shd w:val="clear" w:color="auto" w:fill="auto"/>
            <w:hideMark/>
          </w:tcPr>
          <w:p w:rsidR="00003B50" w:rsidRPr="004F4468" w:rsidRDefault="00003B50" w:rsidP="00AF7854">
            <w:pPr>
              <w:spacing w:after="0" w:line="240" w:lineRule="auto"/>
              <w:ind w:firstLine="563"/>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Nav</w:t>
            </w:r>
            <w:r w:rsidR="00F37EBD" w:rsidRPr="004F4468">
              <w:rPr>
                <w:rFonts w:ascii="Times New Roman" w:eastAsia="Times New Roman" w:hAnsi="Times New Roman"/>
                <w:sz w:val="24"/>
                <w:szCs w:val="24"/>
                <w:lang w:eastAsia="lv-LV"/>
              </w:rPr>
              <w:t>.</w:t>
            </w:r>
          </w:p>
        </w:tc>
      </w:tr>
    </w:tbl>
    <w:p w:rsidR="00003B50" w:rsidRPr="004F4468" w:rsidRDefault="00003B50" w:rsidP="0062706C">
      <w:pPr>
        <w:spacing w:after="0" w:line="240" w:lineRule="auto"/>
        <w:rPr>
          <w:rFonts w:ascii="Times New Roman" w:eastAsia="Times New Roman" w:hAnsi="Times New Roman"/>
          <w:sz w:val="24"/>
          <w:szCs w:val="24"/>
          <w:lang w:eastAsia="lv-LV"/>
        </w:rPr>
      </w:pPr>
    </w:p>
    <w:p w:rsidR="00BB0CC2" w:rsidRPr="004F4468" w:rsidRDefault="00BB0CC2" w:rsidP="0062706C">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385"/>
        <w:gridCol w:w="2027"/>
        <w:gridCol w:w="6809"/>
      </w:tblGrid>
      <w:tr w:rsidR="00003B50" w:rsidRPr="004F4468" w:rsidTr="008F2D36">
        <w:trPr>
          <w:tblCellSpacing w:w="15" w:type="dxa"/>
        </w:trPr>
        <w:tc>
          <w:tcPr>
            <w:tcW w:w="0" w:type="auto"/>
            <w:gridSpan w:val="3"/>
            <w:shd w:val="clear" w:color="auto" w:fill="auto"/>
            <w:vAlign w:val="center"/>
            <w:hideMark/>
          </w:tcPr>
          <w:p w:rsidR="00003B50" w:rsidRPr="004F4468" w:rsidRDefault="00003B50" w:rsidP="009E641F">
            <w:pPr>
              <w:spacing w:after="0" w:line="240" w:lineRule="auto"/>
              <w:jc w:val="center"/>
              <w:rPr>
                <w:rFonts w:ascii="Times New Roman" w:eastAsia="Times New Roman" w:hAnsi="Times New Roman"/>
                <w:b/>
                <w:bCs/>
                <w:sz w:val="24"/>
                <w:szCs w:val="24"/>
                <w:lang w:eastAsia="lv-LV"/>
              </w:rPr>
            </w:pPr>
            <w:r w:rsidRPr="004F4468">
              <w:rPr>
                <w:rFonts w:ascii="Times New Roman" w:eastAsia="Times New Roman" w:hAnsi="Times New Roman"/>
                <w:b/>
                <w:bCs/>
                <w:sz w:val="24"/>
                <w:szCs w:val="24"/>
                <w:lang w:eastAsia="lv-LV"/>
              </w:rPr>
              <w:t>II. Tiesību akta projekta ietekme uz sabiedrību</w:t>
            </w:r>
          </w:p>
        </w:tc>
      </w:tr>
      <w:tr w:rsidR="00003B50" w:rsidRPr="004F4468" w:rsidTr="008F2D36">
        <w:trPr>
          <w:tblCellSpacing w:w="15" w:type="dxa"/>
        </w:trPr>
        <w:tc>
          <w:tcPr>
            <w:tcW w:w="185" w:type="pct"/>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1.</w:t>
            </w:r>
          </w:p>
        </w:tc>
        <w:tc>
          <w:tcPr>
            <w:tcW w:w="1083"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Sabiedrības mērķgrupa</w:t>
            </w:r>
          </w:p>
        </w:tc>
        <w:tc>
          <w:tcPr>
            <w:tcW w:w="3669" w:type="pct"/>
            <w:shd w:val="clear" w:color="auto" w:fill="auto"/>
            <w:hideMark/>
          </w:tcPr>
          <w:p w:rsidR="0005627E" w:rsidRPr="004F4468" w:rsidRDefault="003034DA" w:rsidP="00AF7854">
            <w:pPr>
              <w:spacing w:after="120" w:line="240" w:lineRule="auto"/>
              <w:ind w:firstLine="438"/>
              <w:jc w:val="both"/>
              <w:rPr>
                <w:rFonts w:ascii="Times New Roman" w:eastAsia="Times New Roman" w:hAnsi="Times New Roman"/>
                <w:sz w:val="24"/>
                <w:szCs w:val="24"/>
                <w:lang w:eastAsia="lv-LV"/>
              </w:rPr>
            </w:pPr>
            <w:r w:rsidRPr="004F4468">
              <w:rPr>
                <w:rFonts w:ascii="Times New Roman" w:hAnsi="Times New Roman"/>
                <w:sz w:val="24"/>
                <w:szCs w:val="24"/>
              </w:rPr>
              <w:t xml:space="preserve">2.1.2.4.aktivitātes mērķgrupa ir </w:t>
            </w:r>
            <w:r w:rsidRPr="004F4468">
              <w:rPr>
                <w:rFonts w:ascii="Times New Roman" w:eastAsia="Times New Roman" w:hAnsi="Times New Roman"/>
                <w:sz w:val="24"/>
                <w:szCs w:val="24"/>
                <w:lang w:eastAsia="lv-LV"/>
              </w:rPr>
              <w:t>k</w:t>
            </w:r>
            <w:r w:rsidR="0005627E" w:rsidRPr="004F4468">
              <w:rPr>
                <w:rFonts w:ascii="Times New Roman" w:eastAsia="Times New Roman" w:hAnsi="Times New Roman"/>
                <w:sz w:val="24"/>
                <w:szCs w:val="24"/>
                <w:lang w:eastAsia="lv-LV"/>
              </w:rPr>
              <w:t>omersanti</w:t>
            </w:r>
            <w:r w:rsidRPr="004F4468">
              <w:rPr>
                <w:rFonts w:ascii="Times New Roman" w:eastAsia="Times New Roman" w:hAnsi="Times New Roman"/>
                <w:sz w:val="24"/>
                <w:szCs w:val="24"/>
                <w:lang w:eastAsia="lv-LV"/>
              </w:rPr>
              <w:t>.</w:t>
            </w:r>
          </w:p>
        </w:tc>
      </w:tr>
      <w:tr w:rsidR="00003B50" w:rsidRPr="004F4468" w:rsidTr="008F2D36">
        <w:trPr>
          <w:tblCellSpacing w:w="15" w:type="dxa"/>
        </w:trPr>
        <w:tc>
          <w:tcPr>
            <w:tcW w:w="185" w:type="pct"/>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2.</w:t>
            </w:r>
          </w:p>
        </w:tc>
        <w:tc>
          <w:tcPr>
            <w:tcW w:w="1083"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Citas sabiedrības grupas (bez mērķgrupas), kuras tiesiskais regulējums arī ietekmē vai varētu ietekmēt</w:t>
            </w:r>
          </w:p>
        </w:tc>
        <w:tc>
          <w:tcPr>
            <w:tcW w:w="3669" w:type="pct"/>
            <w:shd w:val="clear" w:color="auto" w:fill="auto"/>
            <w:hideMark/>
          </w:tcPr>
          <w:p w:rsidR="00003B50" w:rsidRPr="004F4468" w:rsidRDefault="00A20EC0" w:rsidP="00AF7854">
            <w:pPr>
              <w:spacing w:after="0" w:line="240" w:lineRule="auto"/>
              <w:ind w:firstLine="438"/>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Projekts šo jomu neskar.</w:t>
            </w:r>
          </w:p>
        </w:tc>
      </w:tr>
      <w:tr w:rsidR="00003B50" w:rsidRPr="004F4468" w:rsidTr="008F2D36">
        <w:trPr>
          <w:tblCellSpacing w:w="15" w:type="dxa"/>
        </w:trPr>
        <w:tc>
          <w:tcPr>
            <w:tcW w:w="185" w:type="pct"/>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3.</w:t>
            </w:r>
          </w:p>
        </w:tc>
        <w:tc>
          <w:tcPr>
            <w:tcW w:w="1083"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Tiesiskā regulējuma finansiālā ietekme</w:t>
            </w:r>
          </w:p>
        </w:tc>
        <w:tc>
          <w:tcPr>
            <w:tcW w:w="3669" w:type="pct"/>
            <w:shd w:val="clear" w:color="auto" w:fill="auto"/>
            <w:hideMark/>
          </w:tcPr>
          <w:p w:rsidR="00003B50" w:rsidRPr="004F4468" w:rsidRDefault="00FC5D99" w:rsidP="00FC5D99">
            <w:pPr>
              <w:spacing w:after="0" w:line="240" w:lineRule="auto"/>
              <w:ind w:firstLine="438"/>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Sagatavotais tiesību akta projekts līdzfinansēs vismaz 37 000 000 vērtas investīcijas komercdarbības attīstībai.</w:t>
            </w:r>
          </w:p>
        </w:tc>
      </w:tr>
      <w:tr w:rsidR="00003B50" w:rsidRPr="004F4468" w:rsidTr="008F2D36">
        <w:trPr>
          <w:tblCellSpacing w:w="15" w:type="dxa"/>
        </w:trPr>
        <w:tc>
          <w:tcPr>
            <w:tcW w:w="185" w:type="pct"/>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4.</w:t>
            </w:r>
          </w:p>
        </w:tc>
        <w:tc>
          <w:tcPr>
            <w:tcW w:w="1083"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Tiesiskā regulējuma nefinansiālā ietekme</w:t>
            </w:r>
          </w:p>
        </w:tc>
        <w:tc>
          <w:tcPr>
            <w:tcW w:w="3669" w:type="pct"/>
            <w:shd w:val="clear" w:color="auto" w:fill="auto"/>
            <w:hideMark/>
          </w:tcPr>
          <w:p w:rsidR="00855D30" w:rsidRPr="004F4468" w:rsidRDefault="00783FDE" w:rsidP="00AF7854">
            <w:pPr>
              <w:spacing w:after="0" w:line="240" w:lineRule="auto"/>
              <w:ind w:firstLine="438"/>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2.1.2.4.aktivitātes</w:t>
            </w:r>
            <w:r w:rsidR="00855D30" w:rsidRPr="004F4468">
              <w:rPr>
                <w:rFonts w:ascii="Times New Roman" w:eastAsia="Times New Roman" w:hAnsi="Times New Roman"/>
                <w:sz w:val="24"/>
                <w:szCs w:val="24"/>
                <w:lang w:eastAsia="lv-LV"/>
              </w:rPr>
              <w:t xml:space="preserve"> rezultātā tiks veicināta </w:t>
            </w:r>
            <w:r w:rsidRPr="004F4468">
              <w:rPr>
                <w:rFonts w:ascii="Times New Roman" w:hAnsi="Times New Roman"/>
                <w:sz w:val="24"/>
                <w:szCs w:val="24"/>
              </w:rPr>
              <w:t>nozīmīgu ieguldījumu veikšana Latvijas tautsaimniecības mērķa nozarēs, augstas pievienotās vērtības produktu ražošanu un pakalpojumu sniegšanu, sekmēta jaunu darba vietu izveide un veicināta Latvijas zinātniskā potenciāla izmantošana.</w:t>
            </w:r>
            <w:r w:rsidR="00F37EBD" w:rsidRPr="004F4468">
              <w:rPr>
                <w:rFonts w:ascii="Times New Roman" w:hAnsi="Times New Roman"/>
                <w:sz w:val="24"/>
                <w:szCs w:val="24"/>
              </w:rPr>
              <w:t xml:space="preserve"> Tai skaitā 2.1.2.4.aktivitāte ir paredzēta kā nozīmīgs mehānisms ārvalstu tiešo piesaistīšanā. </w:t>
            </w:r>
          </w:p>
        </w:tc>
      </w:tr>
      <w:tr w:rsidR="00003B50" w:rsidRPr="004F4468" w:rsidTr="008F2D36">
        <w:trPr>
          <w:tblCellSpacing w:w="15" w:type="dxa"/>
        </w:trPr>
        <w:tc>
          <w:tcPr>
            <w:tcW w:w="185" w:type="pct"/>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5.</w:t>
            </w:r>
          </w:p>
        </w:tc>
        <w:tc>
          <w:tcPr>
            <w:tcW w:w="1083"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Administratīvās procedūras raksturojums</w:t>
            </w:r>
          </w:p>
        </w:tc>
        <w:tc>
          <w:tcPr>
            <w:tcW w:w="3669" w:type="pct"/>
            <w:shd w:val="clear" w:color="auto" w:fill="auto"/>
            <w:hideMark/>
          </w:tcPr>
          <w:p w:rsidR="00003B50" w:rsidRPr="004F4468" w:rsidRDefault="00A20EC0" w:rsidP="00AF7854">
            <w:pPr>
              <w:spacing w:after="0" w:line="240" w:lineRule="auto"/>
              <w:ind w:firstLine="438"/>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Projekts šo jomu neskar.</w:t>
            </w:r>
          </w:p>
        </w:tc>
      </w:tr>
      <w:tr w:rsidR="00003B50" w:rsidRPr="004F4468" w:rsidTr="008F2D36">
        <w:trPr>
          <w:tblCellSpacing w:w="15" w:type="dxa"/>
        </w:trPr>
        <w:tc>
          <w:tcPr>
            <w:tcW w:w="185" w:type="pct"/>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6.</w:t>
            </w:r>
          </w:p>
        </w:tc>
        <w:tc>
          <w:tcPr>
            <w:tcW w:w="1083"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Administratīvo izmaksu monetārs novērtējums</w:t>
            </w:r>
          </w:p>
        </w:tc>
        <w:tc>
          <w:tcPr>
            <w:tcW w:w="3669" w:type="pct"/>
            <w:shd w:val="clear" w:color="auto" w:fill="auto"/>
            <w:hideMark/>
          </w:tcPr>
          <w:p w:rsidR="00003B50" w:rsidRPr="004F4468" w:rsidRDefault="00A20EC0" w:rsidP="00AF7854">
            <w:pPr>
              <w:spacing w:after="0" w:line="240" w:lineRule="auto"/>
              <w:ind w:firstLine="438"/>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Projekts šo jomu neskar.</w:t>
            </w:r>
          </w:p>
        </w:tc>
      </w:tr>
      <w:tr w:rsidR="00003B50" w:rsidRPr="004F4468" w:rsidTr="008F2D36">
        <w:trPr>
          <w:tblCellSpacing w:w="15" w:type="dxa"/>
        </w:trPr>
        <w:tc>
          <w:tcPr>
            <w:tcW w:w="185" w:type="pct"/>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7.</w:t>
            </w:r>
          </w:p>
        </w:tc>
        <w:tc>
          <w:tcPr>
            <w:tcW w:w="1083"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Cita informācija</w:t>
            </w:r>
          </w:p>
        </w:tc>
        <w:tc>
          <w:tcPr>
            <w:tcW w:w="3669" w:type="pct"/>
            <w:shd w:val="clear" w:color="auto" w:fill="auto"/>
            <w:hideMark/>
          </w:tcPr>
          <w:p w:rsidR="00003B50" w:rsidRPr="004F4468" w:rsidRDefault="00003B50" w:rsidP="00AF7854">
            <w:pPr>
              <w:spacing w:after="0" w:line="240" w:lineRule="auto"/>
              <w:ind w:firstLine="438"/>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Nav</w:t>
            </w:r>
            <w:r w:rsidR="00AF7854" w:rsidRPr="004F4468">
              <w:rPr>
                <w:rFonts w:ascii="Times New Roman" w:eastAsia="Times New Roman" w:hAnsi="Times New Roman"/>
                <w:sz w:val="24"/>
                <w:szCs w:val="24"/>
                <w:lang w:eastAsia="lv-LV"/>
              </w:rPr>
              <w:t>.</w:t>
            </w:r>
          </w:p>
        </w:tc>
      </w:tr>
    </w:tbl>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 </w:t>
      </w:r>
    </w:p>
    <w:tbl>
      <w:tblPr>
        <w:tblW w:w="5041" w:type="pct"/>
        <w:tblInd w:w="-38"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Layout w:type="fixed"/>
        <w:tblCellMar>
          <w:top w:w="105" w:type="dxa"/>
          <w:left w:w="105" w:type="dxa"/>
          <w:bottom w:w="105" w:type="dxa"/>
          <w:right w:w="105" w:type="dxa"/>
        </w:tblCellMar>
        <w:tblLook w:val="0000"/>
      </w:tblPr>
      <w:tblGrid>
        <w:gridCol w:w="2695"/>
        <w:gridCol w:w="1375"/>
        <w:gridCol w:w="1355"/>
        <w:gridCol w:w="1514"/>
        <w:gridCol w:w="1417"/>
        <w:gridCol w:w="926"/>
        <w:gridCol w:w="75"/>
      </w:tblGrid>
      <w:tr w:rsidR="00937FF7" w:rsidRPr="004F4468" w:rsidTr="00B4660A">
        <w:trPr>
          <w:trHeight w:val="432"/>
        </w:trPr>
        <w:tc>
          <w:tcPr>
            <w:tcW w:w="5000" w:type="pct"/>
            <w:gridSpan w:val="7"/>
            <w:vAlign w:val="center"/>
          </w:tcPr>
          <w:p w:rsidR="00937FF7" w:rsidRPr="004F4468" w:rsidRDefault="00937FF7" w:rsidP="007803A4">
            <w:pPr>
              <w:spacing w:after="0"/>
              <w:jc w:val="center"/>
              <w:rPr>
                <w:rFonts w:ascii="Times New Roman" w:hAnsi="Times New Roman"/>
                <w:b/>
                <w:sz w:val="24"/>
                <w:szCs w:val="24"/>
              </w:rPr>
            </w:pPr>
            <w:r w:rsidRPr="004F4468">
              <w:rPr>
                <w:rFonts w:ascii="Times New Roman" w:hAnsi="Times New Roman"/>
                <w:b/>
                <w:sz w:val="24"/>
                <w:szCs w:val="24"/>
              </w:rPr>
              <w:lastRenderedPageBreak/>
              <w:br w:type="page"/>
              <w:t>III. Tiesību akta projekta ietekme uz valsts budžetu un pašvaldību budžetiem</w:t>
            </w:r>
          </w:p>
        </w:tc>
      </w:tr>
      <w:tr w:rsidR="00937FF7" w:rsidRPr="004F4468" w:rsidTr="00B4660A">
        <w:tblPrEx>
          <w:jc w:val="center"/>
          <w:tblCellMar>
            <w:top w:w="0" w:type="dxa"/>
            <w:left w:w="108" w:type="dxa"/>
            <w:bottom w:w="0" w:type="dxa"/>
            <w:right w:w="108" w:type="dxa"/>
          </w:tblCellMar>
          <w:tblLook w:val="01E0"/>
        </w:tblPrEx>
        <w:trPr>
          <w:gridAfter w:val="1"/>
          <w:wAfter w:w="40" w:type="pct"/>
          <w:jc w:val="center"/>
        </w:trPr>
        <w:tc>
          <w:tcPr>
            <w:tcW w:w="1440" w:type="pct"/>
            <w:vMerge w:val="restart"/>
            <w:vAlign w:val="center"/>
          </w:tcPr>
          <w:p w:rsidR="00937FF7" w:rsidRPr="004F4468" w:rsidRDefault="00937FF7" w:rsidP="00B4660A">
            <w:pPr>
              <w:pStyle w:val="naisf"/>
              <w:spacing w:before="0" w:after="0"/>
              <w:jc w:val="center"/>
              <w:rPr>
                <w:b/>
                <w:szCs w:val="24"/>
                <w:lang w:val="lv-LV"/>
              </w:rPr>
            </w:pPr>
            <w:r w:rsidRPr="004F4468">
              <w:rPr>
                <w:b/>
                <w:szCs w:val="24"/>
                <w:lang w:val="lv-LV"/>
              </w:rPr>
              <w:t>Rādītāji</w:t>
            </w:r>
          </w:p>
        </w:tc>
        <w:tc>
          <w:tcPr>
            <w:tcW w:w="1459" w:type="pct"/>
            <w:gridSpan w:val="2"/>
            <w:vMerge w:val="restart"/>
            <w:vAlign w:val="center"/>
          </w:tcPr>
          <w:p w:rsidR="00937FF7" w:rsidRPr="004F4468" w:rsidRDefault="00937FF7" w:rsidP="00B4660A">
            <w:pPr>
              <w:pStyle w:val="naisf"/>
              <w:spacing w:before="0" w:after="0"/>
              <w:jc w:val="center"/>
              <w:rPr>
                <w:b/>
                <w:szCs w:val="24"/>
                <w:lang w:val="lv-LV"/>
              </w:rPr>
            </w:pPr>
            <w:r w:rsidRPr="004F4468">
              <w:rPr>
                <w:b/>
                <w:szCs w:val="24"/>
                <w:lang w:val="lv-LV"/>
              </w:rPr>
              <w:t>2011.</w:t>
            </w:r>
          </w:p>
        </w:tc>
        <w:tc>
          <w:tcPr>
            <w:tcW w:w="2061" w:type="pct"/>
            <w:gridSpan w:val="3"/>
            <w:vAlign w:val="center"/>
          </w:tcPr>
          <w:p w:rsidR="00937FF7" w:rsidRPr="004F4468" w:rsidRDefault="00937FF7" w:rsidP="00B4660A">
            <w:pPr>
              <w:pStyle w:val="naisf"/>
              <w:spacing w:before="0" w:after="0"/>
              <w:jc w:val="center"/>
              <w:rPr>
                <w:b/>
                <w:i/>
                <w:szCs w:val="24"/>
                <w:lang w:val="lv-LV"/>
              </w:rPr>
            </w:pPr>
            <w:r w:rsidRPr="004F4468">
              <w:rPr>
                <w:szCs w:val="24"/>
                <w:lang w:val="lv-LV"/>
              </w:rPr>
              <w:t>Turpmākie trīs gadi (tūkst</w:t>
            </w:r>
            <w:smartTag w:uri="schemas-tilde-lv/tildestengine" w:element="currency2">
              <w:smartTagPr>
                <w:attr w:name="currency_id" w:val="48"/>
                <w:attr w:name="currency_key" w:val="LVL"/>
                <w:attr w:name="currency_value" w:val="."/>
                <w:attr w:name="currency_text" w:val="latu"/>
              </w:smartTagPr>
              <w:r w:rsidRPr="004F4468">
                <w:rPr>
                  <w:szCs w:val="24"/>
                  <w:lang w:val="lv-LV"/>
                </w:rPr>
                <w:t>. latu</w:t>
              </w:r>
            </w:smartTag>
            <w:r w:rsidRPr="004F4468">
              <w:rPr>
                <w:szCs w:val="24"/>
                <w:lang w:val="lv-LV"/>
              </w:rPr>
              <w:t>)</w:t>
            </w: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vMerge/>
            <w:vAlign w:val="center"/>
          </w:tcPr>
          <w:p w:rsidR="00937FF7" w:rsidRPr="004F4468" w:rsidRDefault="00937FF7" w:rsidP="00B4660A">
            <w:pPr>
              <w:pStyle w:val="naisf"/>
              <w:spacing w:before="0" w:after="0"/>
              <w:ind w:firstLine="720"/>
              <w:jc w:val="center"/>
              <w:rPr>
                <w:b/>
                <w:i/>
                <w:szCs w:val="24"/>
                <w:lang w:val="lv-LV"/>
              </w:rPr>
            </w:pPr>
          </w:p>
        </w:tc>
        <w:tc>
          <w:tcPr>
            <w:tcW w:w="1459" w:type="pct"/>
            <w:gridSpan w:val="2"/>
            <w:vMerge/>
            <w:vAlign w:val="center"/>
          </w:tcPr>
          <w:p w:rsidR="00937FF7" w:rsidRPr="004F4468" w:rsidRDefault="00937FF7" w:rsidP="00B4660A">
            <w:pPr>
              <w:pStyle w:val="naisf"/>
              <w:spacing w:before="0" w:after="0"/>
              <w:ind w:firstLine="720"/>
              <w:jc w:val="center"/>
              <w:rPr>
                <w:b/>
                <w:i/>
                <w:szCs w:val="24"/>
                <w:lang w:val="lv-LV"/>
              </w:rPr>
            </w:pPr>
          </w:p>
        </w:tc>
        <w:tc>
          <w:tcPr>
            <w:tcW w:w="809" w:type="pct"/>
            <w:vAlign w:val="center"/>
          </w:tcPr>
          <w:p w:rsidR="00937FF7" w:rsidRPr="004F4468" w:rsidRDefault="0029535A" w:rsidP="00B4660A">
            <w:pPr>
              <w:pStyle w:val="naisf"/>
              <w:spacing w:before="0" w:after="0"/>
              <w:jc w:val="center"/>
              <w:rPr>
                <w:b/>
                <w:i/>
                <w:szCs w:val="24"/>
                <w:lang w:val="lv-LV"/>
              </w:rPr>
            </w:pPr>
            <w:r w:rsidRPr="004F4468">
              <w:rPr>
                <w:b/>
                <w:bCs/>
                <w:szCs w:val="24"/>
                <w:lang w:val="lv-LV"/>
              </w:rPr>
              <w:t>2012.</w:t>
            </w:r>
          </w:p>
        </w:tc>
        <w:tc>
          <w:tcPr>
            <w:tcW w:w="757" w:type="pct"/>
            <w:vAlign w:val="center"/>
          </w:tcPr>
          <w:p w:rsidR="00937FF7" w:rsidRPr="004F4468" w:rsidRDefault="0029535A" w:rsidP="00B4660A">
            <w:pPr>
              <w:pStyle w:val="naisf"/>
              <w:spacing w:before="0" w:after="0"/>
              <w:jc w:val="center"/>
              <w:rPr>
                <w:b/>
                <w:i/>
                <w:szCs w:val="24"/>
                <w:lang w:val="lv-LV"/>
              </w:rPr>
            </w:pPr>
            <w:r w:rsidRPr="004F4468">
              <w:rPr>
                <w:b/>
                <w:bCs/>
                <w:szCs w:val="24"/>
                <w:lang w:val="lv-LV"/>
              </w:rPr>
              <w:t>2013.</w:t>
            </w:r>
          </w:p>
        </w:tc>
        <w:tc>
          <w:tcPr>
            <w:tcW w:w="495" w:type="pct"/>
            <w:vAlign w:val="center"/>
          </w:tcPr>
          <w:p w:rsidR="00937FF7" w:rsidRPr="004F4468" w:rsidRDefault="0029535A" w:rsidP="00B4660A">
            <w:pPr>
              <w:pStyle w:val="naisf"/>
              <w:spacing w:before="0" w:after="0"/>
              <w:jc w:val="center"/>
              <w:rPr>
                <w:b/>
                <w:i/>
                <w:szCs w:val="24"/>
                <w:lang w:val="lv-LV"/>
              </w:rPr>
            </w:pPr>
            <w:r w:rsidRPr="004F4468">
              <w:rPr>
                <w:b/>
                <w:bCs/>
                <w:szCs w:val="24"/>
                <w:lang w:val="lv-LV"/>
              </w:rPr>
              <w:t>2014.</w:t>
            </w: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vMerge/>
            <w:vAlign w:val="center"/>
          </w:tcPr>
          <w:p w:rsidR="00937FF7" w:rsidRPr="004F4468" w:rsidRDefault="00937FF7" w:rsidP="00B4660A">
            <w:pPr>
              <w:pStyle w:val="naisf"/>
              <w:spacing w:before="0" w:after="0"/>
              <w:jc w:val="center"/>
              <w:rPr>
                <w:b/>
                <w:i/>
                <w:szCs w:val="24"/>
                <w:lang w:val="lv-LV"/>
              </w:rPr>
            </w:pPr>
          </w:p>
        </w:tc>
        <w:tc>
          <w:tcPr>
            <w:tcW w:w="735" w:type="pct"/>
            <w:vAlign w:val="center"/>
          </w:tcPr>
          <w:p w:rsidR="00937FF7" w:rsidRPr="004F4468" w:rsidRDefault="00937FF7" w:rsidP="00B4660A">
            <w:pPr>
              <w:pStyle w:val="naisf"/>
              <w:spacing w:before="0" w:after="0"/>
              <w:jc w:val="center"/>
              <w:rPr>
                <w:b/>
                <w:i/>
                <w:szCs w:val="24"/>
                <w:lang w:val="lv-LV"/>
              </w:rPr>
            </w:pPr>
            <w:r w:rsidRPr="004F4468">
              <w:rPr>
                <w:szCs w:val="24"/>
                <w:lang w:val="lv-LV"/>
              </w:rPr>
              <w:t>Saskaņā ar valsts budžetu kārtējam gadam</w:t>
            </w:r>
          </w:p>
        </w:tc>
        <w:tc>
          <w:tcPr>
            <w:tcW w:w="724" w:type="pct"/>
            <w:vAlign w:val="center"/>
          </w:tcPr>
          <w:p w:rsidR="00937FF7" w:rsidRPr="004F4468" w:rsidRDefault="00937FF7" w:rsidP="00B4660A">
            <w:pPr>
              <w:pStyle w:val="naisf"/>
              <w:spacing w:before="0" w:after="0"/>
              <w:jc w:val="center"/>
              <w:rPr>
                <w:b/>
                <w:i/>
                <w:szCs w:val="24"/>
                <w:lang w:val="lv-LV"/>
              </w:rPr>
            </w:pPr>
            <w:r w:rsidRPr="004F4468">
              <w:rPr>
                <w:szCs w:val="24"/>
                <w:lang w:val="lv-LV"/>
              </w:rPr>
              <w:t>Izmaiņas kārtējā gadā, salīdzinot ar budžetu kārtējam gadam</w:t>
            </w:r>
          </w:p>
        </w:tc>
        <w:tc>
          <w:tcPr>
            <w:tcW w:w="809" w:type="pct"/>
            <w:vAlign w:val="center"/>
          </w:tcPr>
          <w:p w:rsidR="00937FF7" w:rsidRPr="004F4468" w:rsidRDefault="00937FF7" w:rsidP="00B4660A">
            <w:pPr>
              <w:pStyle w:val="naisf"/>
              <w:spacing w:before="0" w:after="0"/>
              <w:jc w:val="center"/>
              <w:rPr>
                <w:b/>
                <w:i/>
                <w:szCs w:val="24"/>
                <w:lang w:val="lv-LV"/>
              </w:rPr>
            </w:pPr>
            <w:r w:rsidRPr="004F4468">
              <w:rPr>
                <w:szCs w:val="24"/>
                <w:lang w:val="lv-LV"/>
              </w:rPr>
              <w:t>Izmaiņas, salīdzinot ar kārtējo (n) gadu</w:t>
            </w:r>
          </w:p>
        </w:tc>
        <w:tc>
          <w:tcPr>
            <w:tcW w:w="757" w:type="pct"/>
            <w:vAlign w:val="center"/>
          </w:tcPr>
          <w:p w:rsidR="00937FF7" w:rsidRPr="004F4468" w:rsidRDefault="00937FF7" w:rsidP="00B4660A">
            <w:pPr>
              <w:pStyle w:val="naisf"/>
              <w:spacing w:before="0" w:after="0"/>
              <w:jc w:val="center"/>
              <w:rPr>
                <w:b/>
                <w:i/>
                <w:szCs w:val="24"/>
                <w:lang w:val="lv-LV"/>
              </w:rPr>
            </w:pPr>
            <w:r w:rsidRPr="004F4468">
              <w:rPr>
                <w:szCs w:val="24"/>
                <w:lang w:val="lv-LV"/>
              </w:rPr>
              <w:t>Izmaiņas, salīdzinot ar kārtējo (n) gadu</w:t>
            </w:r>
          </w:p>
        </w:tc>
        <w:tc>
          <w:tcPr>
            <w:tcW w:w="495" w:type="pct"/>
            <w:vAlign w:val="center"/>
          </w:tcPr>
          <w:p w:rsidR="00937FF7" w:rsidRPr="004F4468" w:rsidRDefault="00937FF7" w:rsidP="00B4660A">
            <w:pPr>
              <w:pStyle w:val="naisf"/>
              <w:spacing w:before="0" w:after="0"/>
              <w:jc w:val="center"/>
              <w:rPr>
                <w:b/>
                <w:i/>
                <w:szCs w:val="24"/>
                <w:lang w:val="lv-LV"/>
              </w:rPr>
            </w:pPr>
            <w:r w:rsidRPr="004F4468">
              <w:rPr>
                <w:szCs w:val="24"/>
                <w:lang w:val="lv-LV"/>
              </w:rPr>
              <w:t>Izmaiņas, salīdzinot ar kārtējo (n) gadu</w:t>
            </w: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vAlign w:val="center"/>
          </w:tcPr>
          <w:p w:rsidR="00937FF7" w:rsidRPr="004F4468" w:rsidRDefault="00937FF7" w:rsidP="00B4660A">
            <w:pPr>
              <w:pStyle w:val="naisf"/>
              <w:spacing w:before="0" w:after="0"/>
              <w:jc w:val="center"/>
              <w:rPr>
                <w:bCs/>
                <w:szCs w:val="24"/>
                <w:lang w:val="lv-LV"/>
              </w:rPr>
            </w:pPr>
            <w:r w:rsidRPr="004F4468">
              <w:rPr>
                <w:bCs/>
                <w:szCs w:val="24"/>
                <w:lang w:val="lv-LV"/>
              </w:rPr>
              <w:t>1</w:t>
            </w:r>
          </w:p>
        </w:tc>
        <w:tc>
          <w:tcPr>
            <w:tcW w:w="735" w:type="pct"/>
            <w:vAlign w:val="center"/>
          </w:tcPr>
          <w:p w:rsidR="00937FF7" w:rsidRPr="004F4468" w:rsidRDefault="00937FF7" w:rsidP="00B4660A">
            <w:pPr>
              <w:pStyle w:val="naisf"/>
              <w:spacing w:before="0" w:after="0"/>
              <w:jc w:val="center"/>
              <w:rPr>
                <w:bCs/>
                <w:szCs w:val="24"/>
                <w:lang w:val="lv-LV"/>
              </w:rPr>
            </w:pPr>
            <w:r w:rsidRPr="004F4468">
              <w:rPr>
                <w:bCs/>
                <w:szCs w:val="24"/>
                <w:lang w:val="lv-LV"/>
              </w:rPr>
              <w:t>2</w:t>
            </w:r>
          </w:p>
        </w:tc>
        <w:tc>
          <w:tcPr>
            <w:tcW w:w="724" w:type="pct"/>
            <w:vAlign w:val="center"/>
          </w:tcPr>
          <w:p w:rsidR="00937FF7" w:rsidRPr="004F4468" w:rsidRDefault="00937FF7" w:rsidP="00B4660A">
            <w:pPr>
              <w:pStyle w:val="naisf"/>
              <w:spacing w:before="0" w:after="0"/>
              <w:jc w:val="center"/>
              <w:rPr>
                <w:bCs/>
                <w:szCs w:val="24"/>
                <w:lang w:val="lv-LV"/>
              </w:rPr>
            </w:pPr>
            <w:r w:rsidRPr="004F4468">
              <w:rPr>
                <w:bCs/>
                <w:szCs w:val="24"/>
                <w:lang w:val="lv-LV"/>
              </w:rPr>
              <w:t>3</w:t>
            </w:r>
          </w:p>
        </w:tc>
        <w:tc>
          <w:tcPr>
            <w:tcW w:w="809" w:type="pct"/>
            <w:vAlign w:val="center"/>
          </w:tcPr>
          <w:p w:rsidR="00937FF7" w:rsidRPr="004F4468" w:rsidRDefault="00937FF7" w:rsidP="00B4660A">
            <w:pPr>
              <w:pStyle w:val="naisf"/>
              <w:spacing w:before="0" w:after="0"/>
              <w:jc w:val="center"/>
              <w:rPr>
                <w:bCs/>
                <w:szCs w:val="24"/>
                <w:lang w:val="lv-LV"/>
              </w:rPr>
            </w:pPr>
            <w:r w:rsidRPr="004F4468">
              <w:rPr>
                <w:bCs/>
                <w:szCs w:val="24"/>
                <w:lang w:val="lv-LV"/>
              </w:rPr>
              <w:t>4</w:t>
            </w:r>
          </w:p>
        </w:tc>
        <w:tc>
          <w:tcPr>
            <w:tcW w:w="757" w:type="pct"/>
            <w:vAlign w:val="center"/>
          </w:tcPr>
          <w:p w:rsidR="00937FF7" w:rsidRPr="004F4468" w:rsidRDefault="00937FF7" w:rsidP="00B4660A">
            <w:pPr>
              <w:pStyle w:val="naisf"/>
              <w:spacing w:before="0" w:after="0"/>
              <w:jc w:val="center"/>
              <w:rPr>
                <w:bCs/>
                <w:szCs w:val="24"/>
                <w:lang w:val="lv-LV"/>
              </w:rPr>
            </w:pPr>
            <w:r w:rsidRPr="004F4468">
              <w:rPr>
                <w:bCs/>
                <w:szCs w:val="24"/>
                <w:lang w:val="lv-LV"/>
              </w:rPr>
              <w:t>5</w:t>
            </w:r>
          </w:p>
        </w:tc>
        <w:tc>
          <w:tcPr>
            <w:tcW w:w="495" w:type="pct"/>
            <w:vAlign w:val="center"/>
          </w:tcPr>
          <w:p w:rsidR="00937FF7" w:rsidRPr="004F4468" w:rsidRDefault="00937FF7" w:rsidP="00B4660A">
            <w:pPr>
              <w:pStyle w:val="naisf"/>
              <w:spacing w:before="0" w:after="0"/>
              <w:jc w:val="center"/>
              <w:rPr>
                <w:bCs/>
                <w:szCs w:val="24"/>
                <w:lang w:val="lv-LV"/>
              </w:rPr>
            </w:pPr>
            <w:r w:rsidRPr="004F4468">
              <w:rPr>
                <w:bCs/>
                <w:szCs w:val="24"/>
                <w:lang w:val="lv-LV"/>
              </w:rPr>
              <w:t>6</w:t>
            </w: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pStyle w:val="naisf"/>
              <w:spacing w:before="0" w:after="0"/>
              <w:rPr>
                <w:i/>
                <w:szCs w:val="24"/>
                <w:lang w:val="lv-LV"/>
              </w:rPr>
            </w:pPr>
            <w:r w:rsidRPr="004F4468">
              <w:rPr>
                <w:szCs w:val="24"/>
                <w:lang w:val="lv-LV"/>
              </w:rPr>
              <w:t>1. Budžeta ieņēmumi:</w:t>
            </w:r>
          </w:p>
        </w:tc>
        <w:tc>
          <w:tcPr>
            <w:tcW w:w="735" w:type="pct"/>
          </w:tcPr>
          <w:p w:rsidR="00937FF7" w:rsidRPr="004F4468" w:rsidRDefault="00937FF7" w:rsidP="00B4660A">
            <w:pPr>
              <w:pStyle w:val="naisf"/>
              <w:spacing w:before="0" w:after="0"/>
              <w:rPr>
                <w:b/>
                <w:i/>
                <w:szCs w:val="24"/>
                <w:lang w:val="lv-LV"/>
              </w:rPr>
            </w:pPr>
          </w:p>
        </w:tc>
        <w:tc>
          <w:tcPr>
            <w:tcW w:w="724" w:type="pct"/>
          </w:tcPr>
          <w:p w:rsidR="00937FF7" w:rsidRPr="004F4468" w:rsidRDefault="00937FF7" w:rsidP="00B4660A">
            <w:pPr>
              <w:pStyle w:val="naisf"/>
              <w:spacing w:before="0" w:after="0"/>
              <w:rPr>
                <w:b/>
                <w:i/>
                <w:szCs w:val="24"/>
                <w:lang w:val="lv-LV"/>
              </w:rPr>
            </w:pPr>
          </w:p>
        </w:tc>
        <w:tc>
          <w:tcPr>
            <w:tcW w:w="809" w:type="pct"/>
          </w:tcPr>
          <w:p w:rsidR="00937FF7" w:rsidRPr="004F4468" w:rsidRDefault="00937FF7" w:rsidP="00B4660A">
            <w:pPr>
              <w:pStyle w:val="naisf"/>
              <w:spacing w:before="0" w:after="0"/>
              <w:rPr>
                <w:b/>
                <w:i/>
                <w:szCs w:val="24"/>
                <w:lang w:val="lv-LV"/>
              </w:rPr>
            </w:pPr>
          </w:p>
        </w:tc>
        <w:tc>
          <w:tcPr>
            <w:tcW w:w="757" w:type="pct"/>
          </w:tcPr>
          <w:p w:rsidR="00937FF7" w:rsidRPr="004F4468" w:rsidRDefault="00937FF7" w:rsidP="00B4660A">
            <w:pPr>
              <w:pStyle w:val="naisf"/>
              <w:spacing w:before="0" w:after="0"/>
              <w:rPr>
                <w:b/>
                <w:i/>
                <w:szCs w:val="24"/>
                <w:lang w:val="lv-LV"/>
              </w:rPr>
            </w:pPr>
          </w:p>
        </w:tc>
        <w:tc>
          <w:tcPr>
            <w:tcW w:w="495" w:type="pct"/>
          </w:tcPr>
          <w:p w:rsidR="00937FF7" w:rsidRPr="004F4468" w:rsidRDefault="00937FF7" w:rsidP="00B4660A">
            <w:pPr>
              <w:pStyle w:val="naisf"/>
              <w:spacing w:before="0" w:after="0"/>
              <w:rPr>
                <w:b/>
                <w:i/>
                <w:szCs w:val="24"/>
                <w:lang w:val="lv-LV"/>
              </w:rPr>
            </w:pP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pStyle w:val="naisf"/>
              <w:spacing w:before="0" w:after="0"/>
              <w:rPr>
                <w:i/>
                <w:szCs w:val="24"/>
                <w:lang w:val="lv-LV"/>
              </w:rPr>
            </w:pPr>
            <w:r w:rsidRPr="004F4468">
              <w:rPr>
                <w:szCs w:val="24"/>
                <w:lang w:val="lv-LV"/>
              </w:rPr>
              <w:t>1.1. valsts pamatbudžets, tai skaitā ieņēmumi no maksas pakalpojumiem un citi pašu ieņēmumi</w:t>
            </w:r>
          </w:p>
        </w:tc>
        <w:tc>
          <w:tcPr>
            <w:tcW w:w="735" w:type="pct"/>
          </w:tcPr>
          <w:p w:rsidR="00937FF7" w:rsidRPr="004F4468" w:rsidRDefault="00937FF7" w:rsidP="00937FF7">
            <w:pPr>
              <w:pStyle w:val="naisf"/>
              <w:spacing w:before="0" w:after="0"/>
              <w:jc w:val="left"/>
              <w:rPr>
                <w:szCs w:val="24"/>
                <w:lang w:val="lv-LV"/>
              </w:rPr>
            </w:pPr>
            <w:r w:rsidRPr="004F4468">
              <w:rPr>
                <w:szCs w:val="24"/>
                <w:lang w:val="lv-LV"/>
              </w:rPr>
              <w:t>Nav attiecināms</w:t>
            </w:r>
          </w:p>
        </w:tc>
        <w:tc>
          <w:tcPr>
            <w:tcW w:w="724" w:type="pct"/>
          </w:tcPr>
          <w:p w:rsidR="00937FF7" w:rsidRPr="004F4468" w:rsidRDefault="00937FF7" w:rsidP="00937FF7">
            <w:pPr>
              <w:pStyle w:val="naisf"/>
              <w:spacing w:before="0" w:after="0"/>
              <w:jc w:val="left"/>
              <w:rPr>
                <w:szCs w:val="24"/>
                <w:lang w:val="lv-LV"/>
              </w:rPr>
            </w:pPr>
            <w:r w:rsidRPr="004F4468">
              <w:rPr>
                <w:szCs w:val="24"/>
                <w:lang w:val="lv-LV"/>
              </w:rPr>
              <w:t>Nav attiecināms</w:t>
            </w:r>
          </w:p>
        </w:tc>
        <w:tc>
          <w:tcPr>
            <w:tcW w:w="809" w:type="pct"/>
          </w:tcPr>
          <w:p w:rsidR="00937FF7" w:rsidRPr="004F4468" w:rsidRDefault="00937FF7" w:rsidP="00937FF7">
            <w:pPr>
              <w:pStyle w:val="naisf"/>
              <w:spacing w:before="0" w:after="0"/>
              <w:jc w:val="left"/>
              <w:rPr>
                <w:szCs w:val="24"/>
                <w:lang w:val="lv-LV"/>
              </w:rPr>
            </w:pPr>
            <w:r w:rsidRPr="004F4468">
              <w:rPr>
                <w:szCs w:val="24"/>
                <w:lang w:val="lv-LV"/>
              </w:rPr>
              <w:t>Nav attiecināms</w:t>
            </w:r>
          </w:p>
        </w:tc>
        <w:tc>
          <w:tcPr>
            <w:tcW w:w="757" w:type="pct"/>
          </w:tcPr>
          <w:p w:rsidR="00937FF7" w:rsidRPr="004F4468" w:rsidRDefault="00937FF7" w:rsidP="00937FF7">
            <w:pPr>
              <w:pStyle w:val="naisf"/>
              <w:spacing w:before="0" w:after="0"/>
              <w:jc w:val="left"/>
              <w:rPr>
                <w:szCs w:val="24"/>
                <w:lang w:val="lv-LV"/>
              </w:rPr>
            </w:pPr>
            <w:r w:rsidRPr="004F4468">
              <w:rPr>
                <w:szCs w:val="24"/>
                <w:lang w:val="lv-LV"/>
              </w:rPr>
              <w:t>Nav attiecināms</w:t>
            </w:r>
          </w:p>
        </w:tc>
        <w:tc>
          <w:tcPr>
            <w:tcW w:w="495" w:type="pct"/>
          </w:tcPr>
          <w:p w:rsidR="00937FF7" w:rsidRPr="004F4468" w:rsidRDefault="00937FF7" w:rsidP="00937FF7">
            <w:pPr>
              <w:pStyle w:val="naisf"/>
              <w:spacing w:before="0" w:after="0"/>
              <w:jc w:val="left"/>
              <w:rPr>
                <w:szCs w:val="24"/>
                <w:lang w:val="lv-LV"/>
              </w:rPr>
            </w:pPr>
            <w:r w:rsidRPr="004F4468">
              <w:rPr>
                <w:szCs w:val="24"/>
                <w:lang w:val="lv-LV"/>
              </w:rPr>
              <w:t>Nav attiecināms</w:t>
            </w: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pStyle w:val="naisf"/>
              <w:spacing w:before="0" w:after="0"/>
              <w:rPr>
                <w:i/>
                <w:szCs w:val="24"/>
                <w:lang w:val="lv-LV"/>
              </w:rPr>
            </w:pPr>
            <w:r w:rsidRPr="004F4468">
              <w:rPr>
                <w:szCs w:val="24"/>
                <w:lang w:val="lv-LV"/>
              </w:rPr>
              <w:t>1.2. valsts speciālais budžets</w:t>
            </w:r>
          </w:p>
        </w:tc>
        <w:tc>
          <w:tcPr>
            <w:tcW w:w="735" w:type="pct"/>
          </w:tcPr>
          <w:p w:rsidR="00937FF7" w:rsidRPr="004F4468" w:rsidRDefault="00937FF7" w:rsidP="00B4660A">
            <w:pPr>
              <w:pStyle w:val="naisf"/>
              <w:spacing w:before="0" w:after="0"/>
              <w:rPr>
                <w:b/>
                <w:i/>
                <w:szCs w:val="24"/>
                <w:lang w:val="lv-LV"/>
              </w:rPr>
            </w:pPr>
          </w:p>
        </w:tc>
        <w:tc>
          <w:tcPr>
            <w:tcW w:w="724" w:type="pct"/>
          </w:tcPr>
          <w:p w:rsidR="00937FF7" w:rsidRPr="004F4468" w:rsidRDefault="00937FF7" w:rsidP="00B4660A">
            <w:pPr>
              <w:pStyle w:val="naisf"/>
              <w:spacing w:before="0" w:after="0"/>
              <w:rPr>
                <w:b/>
                <w:i/>
                <w:szCs w:val="24"/>
                <w:lang w:val="lv-LV"/>
              </w:rPr>
            </w:pPr>
          </w:p>
        </w:tc>
        <w:tc>
          <w:tcPr>
            <w:tcW w:w="809" w:type="pct"/>
          </w:tcPr>
          <w:p w:rsidR="00937FF7" w:rsidRPr="004F4468" w:rsidRDefault="00937FF7" w:rsidP="00B4660A">
            <w:pPr>
              <w:pStyle w:val="naisf"/>
              <w:spacing w:before="0" w:after="0"/>
              <w:rPr>
                <w:b/>
                <w:i/>
                <w:szCs w:val="24"/>
                <w:lang w:val="lv-LV"/>
              </w:rPr>
            </w:pPr>
          </w:p>
        </w:tc>
        <w:tc>
          <w:tcPr>
            <w:tcW w:w="757" w:type="pct"/>
          </w:tcPr>
          <w:p w:rsidR="00937FF7" w:rsidRPr="004F4468" w:rsidRDefault="00937FF7" w:rsidP="00B4660A">
            <w:pPr>
              <w:pStyle w:val="naisf"/>
              <w:spacing w:before="0" w:after="0"/>
              <w:rPr>
                <w:b/>
                <w:i/>
                <w:szCs w:val="24"/>
                <w:lang w:val="lv-LV"/>
              </w:rPr>
            </w:pPr>
          </w:p>
        </w:tc>
        <w:tc>
          <w:tcPr>
            <w:tcW w:w="495" w:type="pct"/>
          </w:tcPr>
          <w:p w:rsidR="00937FF7" w:rsidRPr="004F4468" w:rsidRDefault="00937FF7" w:rsidP="00B4660A">
            <w:pPr>
              <w:pStyle w:val="naisf"/>
              <w:spacing w:before="0" w:after="0"/>
              <w:rPr>
                <w:b/>
                <w:i/>
                <w:szCs w:val="24"/>
                <w:lang w:val="lv-LV"/>
              </w:rPr>
            </w:pP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pStyle w:val="naisf"/>
              <w:spacing w:before="0" w:after="0"/>
              <w:rPr>
                <w:i/>
                <w:szCs w:val="24"/>
                <w:lang w:val="lv-LV"/>
              </w:rPr>
            </w:pPr>
            <w:r w:rsidRPr="004F4468">
              <w:rPr>
                <w:szCs w:val="24"/>
                <w:lang w:val="lv-LV"/>
              </w:rPr>
              <w:t>1.3. pašvaldību budžets</w:t>
            </w:r>
          </w:p>
        </w:tc>
        <w:tc>
          <w:tcPr>
            <w:tcW w:w="735" w:type="pct"/>
          </w:tcPr>
          <w:p w:rsidR="00937FF7" w:rsidRPr="004F4468" w:rsidRDefault="00937FF7" w:rsidP="00B4660A">
            <w:pPr>
              <w:pStyle w:val="naisf"/>
              <w:spacing w:before="0" w:after="0"/>
              <w:rPr>
                <w:b/>
                <w:i/>
                <w:szCs w:val="24"/>
                <w:lang w:val="lv-LV"/>
              </w:rPr>
            </w:pPr>
          </w:p>
        </w:tc>
        <w:tc>
          <w:tcPr>
            <w:tcW w:w="724" w:type="pct"/>
          </w:tcPr>
          <w:p w:rsidR="00937FF7" w:rsidRPr="004F4468" w:rsidRDefault="00937FF7" w:rsidP="00B4660A">
            <w:pPr>
              <w:pStyle w:val="naisf"/>
              <w:spacing w:before="0" w:after="0"/>
              <w:rPr>
                <w:b/>
                <w:i/>
                <w:szCs w:val="24"/>
                <w:lang w:val="lv-LV"/>
              </w:rPr>
            </w:pPr>
          </w:p>
        </w:tc>
        <w:tc>
          <w:tcPr>
            <w:tcW w:w="809" w:type="pct"/>
          </w:tcPr>
          <w:p w:rsidR="00937FF7" w:rsidRPr="004F4468" w:rsidRDefault="00937FF7" w:rsidP="00B4660A">
            <w:pPr>
              <w:pStyle w:val="naisf"/>
              <w:spacing w:before="0" w:after="0"/>
              <w:rPr>
                <w:b/>
                <w:i/>
                <w:szCs w:val="24"/>
                <w:lang w:val="lv-LV"/>
              </w:rPr>
            </w:pPr>
          </w:p>
        </w:tc>
        <w:tc>
          <w:tcPr>
            <w:tcW w:w="757" w:type="pct"/>
          </w:tcPr>
          <w:p w:rsidR="00937FF7" w:rsidRPr="004F4468" w:rsidRDefault="00937FF7" w:rsidP="00B4660A">
            <w:pPr>
              <w:pStyle w:val="naisf"/>
              <w:spacing w:before="0" w:after="0"/>
              <w:rPr>
                <w:b/>
                <w:i/>
                <w:szCs w:val="24"/>
                <w:lang w:val="lv-LV"/>
              </w:rPr>
            </w:pPr>
          </w:p>
        </w:tc>
        <w:tc>
          <w:tcPr>
            <w:tcW w:w="495" w:type="pct"/>
          </w:tcPr>
          <w:p w:rsidR="00937FF7" w:rsidRPr="004F4468" w:rsidRDefault="00937FF7" w:rsidP="00B4660A">
            <w:pPr>
              <w:pStyle w:val="naisf"/>
              <w:spacing w:before="0" w:after="0"/>
              <w:rPr>
                <w:b/>
                <w:i/>
                <w:szCs w:val="24"/>
                <w:lang w:val="lv-LV"/>
              </w:rPr>
            </w:pP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2. Budžeta izdevumi:</w:t>
            </w:r>
          </w:p>
        </w:tc>
        <w:tc>
          <w:tcPr>
            <w:tcW w:w="735" w:type="pct"/>
          </w:tcPr>
          <w:p w:rsidR="00937FF7" w:rsidRPr="004F4468" w:rsidRDefault="00937FF7" w:rsidP="00B4660A">
            <w:pPr>
              <w:pStyle w:val="naisf"/>
              <w:spacing w:before="0" w:after="0"/>
              <w:rPr>
                <w:b/>
                <w:i/>
                <w:szCs w:val="24"/>
                <w:lang w:val="lv-LV"/>
              </w:rPr>
            </w:pPr>
          </w:p>
        </w:tc>
        <w:tc>
          <w:tcPr>
            <w:tcW w:w="724" w:type="pct"/>
          </w:tcPr>
          <w:p w:rsidR="00937FF7" w:rsidRPr="004F4468" w:rsidRDefault="00937FF7" w:rsidP="00B4660A">
            <w:pPr>
              <w:pStyle w:val="naisf"/>
              <w:spacing w:before="0" w:after="0"/>
              <w:rPr>
                <w:b/>
                <w:i/>
                <w:szCs w:val="24"/>
                <w:lang w:val="lv-LV"/>
              </w:rPr>
            </w:pPr>
          </w:p>
        </w:tc>
        <w:tc>
          <w:tcPr>
            <w:tcW w:w="809" w:type="pct"/>
          </w:tcPr>
          <w:p w:rsidR="00937FF7" w:rsidRPr="004F4468" w:rsidRDefault="00937FF7" w:rsidP="00B4660A">
            <w:pPr>
              <w:pStyle w:val="naisf"/>
              <w:spacing w:before="0" w:after="0"/>
              <w:rPr>
                <w:b/>
                <w:i/>
                <w:szCs w:val="24"/>
                <w:lang w:val="lv-LV"/>
              </w:rPr>
            </w:pPr>
          </w:p>
        </w:tc>
        <w:tc>
          <w:tcPr>
            <w:tcW w:w="757" w:type="pct"/>
          </w:tcPr>
          <w:p w:rsidR="00937FF7" w:rsidRPr="004F4468" w:rsidRDefault="00937FF7" w:rsidP="00B4660A">
            <w:pPr>
              <w:pStyle w:val="naisf"/>
              <w:spacing w:before="0" w:after="0"/>
              <w:rPr>
                <w:b/>
                <w:i/>
                <w:szCs w:val="24"/>
                <w:lang w:val="lv-LV"/>
              </w:rPr>
            </w:pPr>
          </w:p>
        </w:tc>
        <w:tc>
          <w:tcPr>
            <w:tcW w:w="495" w:type="pct"/>
          </w:tcPr>
          <w:p w:rsidR="00937FF7" w:rsidRPr="004F4468" w:rsidRDefault="00937FF7" w:rsidP="00B4660A">
            <w:pPr>
              <w:pStyle w:val="naisf"/>
              <w:spacing w:before="0" w:after="0"/>
              <w:rPr>
                <w:b/>
                <w:i/>
                <w:szCs w:val="24"/>
                <w:lang w:val="lv-LV"/>
              </w:rPr>
            </w:pP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2.1. valsts pamatbudžets</w:t>
            </w:r>
          </w:p>
        </w:tc>
        <w:tc>
          <w:tcPr>
            <w:tcW w:w="735" w:type="pct"/>
          </w:tcPr>
          <w:p w:rsidR="00937FF7" w:rsidRPr="004F4468" w:rsidRDefault="00937FF7" w:rsidP="00B4660A">
            <w:pPr>
              <w:pStyle w:val="naisf"/>
              <w:spacing w:before="0" w:after="0"/>
              <w:rPr>
                <w:szCs w:val="24"/>
                <w:lang w:val="lv-LV"/>
              </w:rPr>
            </w:pPr>
            <w:r w:rsidRPr="004F4468">
              <w:rPr>
                <w:szCs w:val="24"/>
                <w:lang w:val="lv-LV"/>
              </w:rPr>
              <w:t>Nav attiecināms</w:t>
            </w:r>
          </w:p>
        </w:tc>
        <w:tc>
          <w:tcPr>
            <w:tcW w:w="724" w:type="pct"/>
          </w:tcPr>
          <w:p w:rsidR="00937FF7" w:rsidRPr="004F4468" w:rsidRDefault="00937FF7" w:rsidP="00B4660A">
            <w:pPr>
              <w:pStyle w:val="naisf"/>
              <w:spacing w:before="0" w:after="0"/>
              <w:rPr>
                <w:szCs w:val="24"/>
                <w:lang w:val="lv-LV"/>
              </w:rPr>
            </w:pPr>
            <w:r w:rsidRPr="004F4468">
              <w:rPr>
                <w:szCs w:val="24"/>
                <w:lang w:val="lv-LV"/>
              </w:rPr>
              <w:t>Nav attiecināms</w:t>
            </w:r>
          </w:p>
        </w:tc>
        <w:tc>
          <w:tcPr>
            <w:tcW w:w="809" w:type="pct"/>
          </w:tcPr>
          <w:p w:rsidR="00937FF7" w:rsidRPr="004F4468" w:rsidRDefault="00937FF7" w:rsidP="00B4660A">
            <w:pPr>
              <w:pStyle w:val="naisf"/>
              <w:spacing w:before="0" w:after="0"/>
              <w:rPr>
                <w:szCs w:val="24"/>
                <w:lang w:val="lv-LV"/>
              </w:rPr>
            </w:pPr>
            <w:r w:rsidRPr="004F4468">
              <w:rPr>
                <w:szCs w:val="24"/>
                <w:lang w:val="lv-LV"/>
              </w:rPr>
              <w:t>Nav attiecināms</w:t>
            </w:r>
          </w:p>
        </w:tc>
        <w:tc>
          <w:tcPr>
            <w:tcW w:w="757" w:type="pct"/>
          </w:tcPr>
          <w:p w:rsidR="00937FF7" w:rsidRPr="004F4468" w:rsidRDefault="00937FF7" w:rsidP="00B4660A">
            <w:pPr>
              <w:pStyle w:val="naisf"/>
              <w:spacing w:before="0" w:after="0"/>
              <w:rPr>
                <w:szCs w:val="24"/>
                <w:lang w:val="lv-LV"/>
              </w:rPr>
            </w:pPr>
            <w:r w:rsidRPr="004F4468">
              <w:rPr>
                <w:szCs w:val="24"/>
                <w:lang w:val="lv-LV"/>
              </w:rPr>
              <w:t>Nav attiecināms</w:t>
            </w:r>
          </w:p>
        </w:tc>
        <w:tc>
          <w:tcPr>
            <w:tcW w:w="495" w:type="pct"/>
          </w:tcPr>
          <w:p w:rsidR="00937FF7" w:rsidRPr="004F4468" w:rsidRDefault="00937FF7" w:rsidP="00B4660A">
            <w:pPr>
              <w:pStyle w:val="naisf"/>
              <w:spacing w:before="0" w:after="0"/>
              <w:rPr>
                <w:szCs w:val="24"/>
                <w:lang w:val="lv-LV"/>
              </w:rPr>
            </w:pPr>
            <w:r w:rsidRPr="004F4468">
              <w:rPr>
                <w:szCs w:val="24"/>
                <w:lang w:val="lv-LV"/>
              </w:rPr>
              <w:t>Nav attiecināms</w:t>
            </w: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2.2. valsts speciālais budžets</w:t>
            </w:r>
          </w:p>
        </w:tc>
        <w:tc>
          <w:tcPr>
            <w:tcW w:w="735" w:type="pct"/>
          </w:tcPr>
          <w:p w:rsidR="00937FF7" w:rsidRPr="004F4468" w:rsidRDefault="00937FF7" w:rsidP="00B4660A">
            <w:pPr>
              <w:pStyle w:val="naisf"/>
              <w:spacing w:before="0" w:after="0"/>
              <w:rPr>
                <w:b/>
                <w:i/>
                <w:szCs w:val="24"/>
                <w:lang w:val="lv-LV"/>
              </w:rPr>
            </w:pPr>
          </w:p>
        </w:tc>
        <w:tc>
          <w:tcPr>
            <w:tcW w:w="724" w:type="pct"/>
          </w:tcPr>
          <w:p w:rsidR="00937FF7" w:rsidRPr="004F4468" w:rsidRDefault="00937FF7" w:rsidP="00B4660A">
            <w:pPr>
              <w:pStyle w:val="naisf"/>
              <w:spacing w:before="0" w:after="0"/>
              <w:rPr>
                <w:b/>
                <w:i/>
                <w:szCs w:val="24"/>
                <w:lang w:val="lv-LV"/>
              </w:rPr>
            </w:pPr>
          </w:p>
        </w:tc>
        <w:tc>
          <w:tcPr>
            <w:tcW w:w="809" w:type="pct"/>
          </w:tcPr>
          <w:p w:rsidR="00937FF7" w:rsidRPr="004F4468" w:rsidRDefault="00937FF7" w:rsidP="00B4660A">
            <w:pPr>
              <w:pStyle w:val="naisf"/>
              <w:spacing w:before="0" w:after="0"/>
              <w:rPr>
                <w:b/>
                <w:i/>
                <w:szCs w:val="24"/>
                <w:lang w:val="lv-LV"/>
              </w:rPr>
            </w:pPr>
          </w:p>
        </w:tc>
        <w:tc>
          <w:tcPr>
            <w:tcW w:w="757" w:type="pct"/>
          </w:tcPr>
          <w:p w:rsidR="00937FF7" w:rsidRPr="004F4468" w:rsidRDefault="00937FF7" w:rsidP="00B4660A">
            <w:pPr>
              <w:pStyle w:val="naisf"/>
              <w:spacing w:before="0" w:after="0"/>
              <w:rPr>
                <w:b/>
                <w:i/>
                <w:szCs w:val="24"/>
                <w:lang w:val="lv-LV"/>
              </w:rPr>
            </w:pPr>
          </w:p>
        </w:tc>
        <w:tc>
          <w:tcPr>
            <w:tcW w:w="495" w:type="pct"/>
          </w:tcPr>
          <w:p w:rsidR="00937FF7" w:rsidRPr="004F4468" w:rsidRDefault="00937FF7" w:rsidP="00B4660A">
            <w:pPr>
              <w:pStyle w:val="naisf"/>
              <w:spacing w:before="0" w:after="0"/>
              <w:rPr>
                <w:b/>
                <w:i/>
                <w:szCs w:val="24"/>
                <w:lang w:val="lv-LV"/>
              </w:rPr>
            </w:pP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 xml:space="preserve">2.3. pašvaldību budžets </w:t>
            </w:r>
          </w:p>
        </w:tc>
        <w:tc>
          <w:tcPr>
            <w:tcW w:w="735" w:type="pct"/>
          </w:tcPr>
          <w:p w:rsidR="00937FF7" w:rsidRPr="004F4468" w:rsidRDefault="00937FF7" w:rsidP="00B4660A">
            <w:pPr>
              <w:pStyle w:val="naisf"/>
              <w:spacing w:before="0" w:after="0"/>
              <w:rPr>
                <w:b/>
                <w:i/>
                <w:szCs w:val="24"/>
                <w:lang w:val="lv-LV"/>
              </w:rPr>
            </w:pPr>
          </w:p>
        </w:tc>
        <w:tc>
          <w:tcPr>
            <w:tcW w:w="724" w:type="pct"/>
          </w:tcPr>
          <w:p w:rsidR="00937FF7" w:rsidRPr="004F4468" w:rsidRDefault="00937FF7" w:rsidP="00B4660A">
            <w:pPr>
              <w:pStyle w:val="naisf"/>
              <w:spacing w:before="0" w:after="0"/>
              <w:rPr>
                <w:b/>
                <w:i/>
                <w:szCs w:val="24"/>
                <w:lang w:val="lv-LV"/>
              </w:rPr>
            </w:pPr>
          </w:p>
        </w:tc>
        <w:tc>
          <w:tcPr>
            <w:tcW w:w="809" w:type="pct"/>
          </w:tcPr>
          <w:p w:rsidR="00937FF7" w:rsidRPr="004F4468" w:rsidRDefault="00937FF7" w:rsidP="00B4660A">
            <w:pPr>
              <w:pStyle w:val="naisf"/>
              <w:spacing w:before="0" w:after="0"/>
              <w:rPr>
                <w:b/>
                <w:i/>
                <w:szCs w:val="24"/>
                <w:lang w:val="lv-LV"/>
              </w:rPr>
            </w:pPr>
          </w:p>
        </w:tc>
        <w:tc>
          <w:tcPr>
            <w:tcW w:w="757" w:type="pct"/>
          </w:tcPr>
          <w:p w:rsidR="00937FF7" w:rsidRPr="004F4468" w:rsidRDefault="00937FF7" w:rsidP="00B4660A">
            <w:pPr>
              <w:pStyle w:val="naisf"/>
              <w:spacing w:before="0" w:after="0"/>
              <w:rPr>
                <w:b/>
                <w:i/>
                <w:szCs w:val="24"/>
                <w:lang w:val="lv-LV"/>
              </w:rPr>
            </w:pPr>
          </w:p>
        </w:tc>
        <w:tc>
          <w:tcPr>
            <w:tcW w:w="495" w:type="pct"/>
          </w:tcPr>
          <w:p w:rsidR="00937FF7" w:rsidRPr="004F4468" w:rsidRDefault="00937FF7" w:rsidP="00B4660A">
            <w:pPr>
              <w:pStyle w:val="naisf"/>
              <w:spacing w:before="0" w:after="0"/>
              <w:rPr>
                <w:b/>
                <w:i/>
                <w:szCs w:val="24"/>
                <w:lang w:val="lv-LV"/>
              </w:rPr>
            </w:pP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3. Finansiālā ietekme:</w:t>
            </w:r>
          </w:p>
        </w:tc>
        <w:tc>
          <w:tcPr>
            <w:tcW w:w="735" w:type="pct"/>
            <w:shd w:val="clear" w:color="auto" w:fill="auto"/>
            <w:vAlign w:val="center"/>
          </w:tcPr>
          <w:p w:rsidR="00937FF7" w:rsidRPr="004F4468" w:rsidRDefault="00937FF7" w:rsidP="00B4660A">
            <w:pPr>
              <w:pStyle w:val="naisf"/>
              <w:spacing w:before="0" w:after="0"/>
              <w:jc w:val="center"/>
              <w:rPr>
                <w:szCs w:val="24"/>
                <w:lang w:val="lv-LV"/>
              </w:rPr>
            </w:pPr>
          </w:p>
        </w:tc>
        <w:tc>
          <w:tcPr>
            <w:tcW w:w="724" w:type="pct"/>
          </w:tcPr>
          <w:p w:rsidR="00937FF7" w:rsidRPr="004F4468" w:rsidRDefault="00937FF7" w:rsidP="00B4660A">
            <w:pPr>
              <w:pStyle w:val="naisf"/>
              <w:spacing w:before="0" w:after="0"/>
              <w:rPr>
                <w:b/>
                <w:i/>
                <w:szCs w:val="24"/>
                <w:lang w:val="lv-LV"/>
              </w:rPr>
            </w:pPr>
          </w:p>
        </w:tc>
        <w:tc>
          <w:tcPr>
            <w:tcW w:w="809" w:type="pct"/>
          </w:tcPr>
          <w:p w:rsidR="00937FF7" w:rsidRPr="004F4468" w:rsidRDefault="00937FF7" w:rsidP="00B4660A">
            <w:pPr>
              <w:pStyle w:val="naisf"/>
              <w:spacing w:before="0" w:after="0"/>
              <w:rPr>
                <w:b/>
                <w:i/>
                <w:szCs w:val="24"/>
                <w:lang w:val="lv-LV"/>
              </w:rPr>
            </w:pPr>
          </w:p>
        </w:tc>
        <w:tc>
          <w:tcPr>
            <w:tcW w:w="757" w:type="pct"/>
          </w:tcPr>
          <w:p w:rsidR="00937FF7" w:rsidRPr="004F4468" w:rsidRDefault="00937FF7" w:rsidP="00B4660A">
            <w:pPr>
              <w:pStyle w:val="naisf"/>
              <w:spacing w:before="0" w:after="0"/>
              <w:rPr>
                <w:b/>
                <w:i/>
                <w:szCs w:val="24"/>
                <w:lang w:val="lv-LV"/>
              </w:rPr>
            </w:pPr>
          </w:p>
        </w:tc>
        <w:tc>
          <w:tcPr>
            <w:tcW w:w="495" w:type="pct"/>
          </w:tcPr>
          <w:p w:rsidR="00937FF7" w:rsidRPr="004F4468" w:rsidRDefault="00937FF7" w:rsidP="00B4660A">
            <w:pPr>
              <w:pStyle w:val="naisf"/>
              <w:spacing w:before="0" w:after="0"/>
              <w:rPr>
                <w:b/>
                <w:i/>
                <w:szCs w:val="24"/>
                <w:lang w:val="lv-LV"/>
              </w:rPr>
            </w:pP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3.1. valsts pamatbudžets</w:t>
            </w:r>
          </w:p>
        </w:tc>
        <w:tc>
          <w:tcPr>
            <w:tcW w:w="735" w:type="pct"/>
            <w:shd w:val="clear" w:color="auto" w:fill="auto"/>
          </w:tcPr>
          <w:p w:rsidR="00937FF7" w:rsidRPr="004F4468" w:rsidRDefault="00937FF7" w:rsidP="00B4660A">
            <w:pPr>
              <w:pStyle w:val="naisf"/>
              <w:spacing w:before="0" w:after="0"/>
              <w:rPr>
                <w:i/>
                <w:szCs w:val="24"/>
                <w:lang w:val="lv-LV"/>
              </w:rPr>
            </w:pPr>
            <w:r w:rsidRPr="004F4468">
              <w:rPr>
                <w:szCs w:val="24"/>
                <w:lang w:val="lv-LV"/>
              </w:rPr>
              <w:t>Nav attiecināms</w:t>
            </w:r>
          </w:p>
        </w:tc>
        <w:tc>
          <w:tcPr>
            <w:tcW w:w="724" w:type="pct"/>
          </w:tcPr>
          <w:p w:rsidR="00937FF7" w:rsidRPr="004F4468" w:rsidRDefault="00937FF7" w:rsidP="00B4660A">
            <w:pPr>
              <w:rPr>
                <w:rFonts w:ascii="Times New Roman" w:hAnsi="Times New Roman"/>
                <w:sz w:val="24"/>
                <w:szCs w:val="24"/>
                <w:vertAlign w:val="subscript"/>
              </w:rPr>
            </w:pPr>
            <w:r w:rsidRPr="004F4468">
              <w:rPr>
                <w:rFonts w:ascii="Times New Roman" w:hAnsi="Times New Roman"/>
                <w:sz w:val="24"/>
                <w:szCs w:val="24"/>
              </w:rPr>
              <w:t>Nav attiecināms</w:t>
            </w:r>
          </w:p>
        </w:tc>
        <w:tc>
          <w:tcPr>
            <w:tcW w:w="809" w:type="pct"/>
          </w:tcPr>
          <w:p w:rsidR="00937FF7" w:rsidRPr="004F4468" w:rsidRDefault="00937FF7" w:rsidP="00B4660A">
            <w:pPr>
              <w:pStyle w:val="naisf"/>
              <w:spacing w:before="0" w:after="0"/>
              <w:rPr>
                <w:szCs w:val="24"/>
                <w:lang w:val="lv-LV"/>
              </w:rPr>
            </w:pPr>
            <w:r w:rsidRPr="004F4468">
              <w:rPr>
                <w:szCs w:val="24"/>
                <w:lang w:val="lv-LV"/>
              </w:rPr>
              <w:t>Nav attiecināms</w:t>
            </w:r>
          </w:p>
        </w:tc>
        <w:tc>
          <w:tcPr>
            <w:tcW w:w="757" w:type="pct"/>
          </w:tcPr>
          <w:p w:rsidR="00937FF7" w:rsidRPr="004F4468" w:rsidRDefault="00937FF7" w:rsidP="00B4660A">
            <w:pPr>
              <w:pStyle w:val="naisf"/>
              <w:spacing w:before="0" w:after="0"/>
              <w:rPr>
                <w:szCs w:val="24"/>
                <w:lang w:val="lv-LV"/>
              </w:rPr>
            </w:pPr>
            <w:r w:rsidRPr="004F4468">
              <w:rPr>
                <w:szCs w:val="24"/>
                <w:lang w:val="lv-LV"/>
              </w:rPr>
              <w:t>Nav attiecināms</w:t>
            </w:r>
          </w:p>
        </w:tc>
        <w:tc>
          <w:tcPr>
            <w:tcW w:w="495" w:type="pct"/>
          </w:tcPr>
          <w:p w:rsidR="00937FF7" w:rsidRPr="004F4468" w:rsidRDefault="00937FF7" w:rsidP="00B4660A">
            <w:pPr>
              <w:pStyle w:val="naisf"/>
              <w:spacing w:before="0" w:after="0"/>
              <w:rPr>
                <w:szCs w:val="24"/>
                <w:lang w:val="lv-LV"/>
              </w:rPr>
            </w:pPr>
            <w:r w:rsidRPr="004F4468">
              <w:rPr>
                <w:szCs w:val="24"/>
                <w:lang w:val="lv-LV"/>
              </w:rPr>
              <w:t>Nav attiecināms</w:t>
            </w: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3.2. speciālais budžets</w:t>
            </w:r>
          </w:p>
        </w:tc>
        <w:tc>
          <w:tcPr>
            <w:tcW w:w="735" w:type="pct"/>
            <w:shd w:val="clear" w:color="auto" w:fill="auto"/>
          </w:tcPr>
          <w:p w:rsidR="00937FF7" w:rsidRPr="004F4468" w:rsidRDefault="00937FF7" w:rsidP="00B4660A">
            <w:pPr>
              <w:pStyle w:val="naisf"/>
              <w:spacing w:before="0" w:after="0"/>
              <w:rPr>
                <w:i/>
                <w:szCs w:val="24"/>
                <w:lang w:val="lv-LV"/>
              </w:rPr>
            </w:pPr>
          </w:p>
        </w:tc>
        <w:tc>
          <w:tcPr>
            <w:tcW w:w="724" w:type="pct"/>
          </w:tcPr>
          <w:p w:rsidR="00937FF7" w:rsidRPr="004F4468" w:rsidRDefault="00937FF7" w:rsidP="00B4660A">
            <w:pPr>
              <w:pStyle w:val="naisf"/>
              <w:spacing w:before="0" w:after="0"/>
              <w:rPr>
                <w:b/>
                <w:i/>
                <w:szCs w:val="24"/>
                <w:lang w:val="lv-LV"/>
              </w:rPr>
            </w:pPr>
          </w:p>
        </w:tc>
        <w:tc>
          <w:tcPr>
            <w:tcW w:w="809" w:type="pct"/>
          </w:tcPr>
          <w:p w:rsidR="00937FF7" w:rsidRPr="004F4468" w:rsidRDefault="00937FF7" w:rsidP="00B4660A">
            <w:pPr>
              <w:pStyle w:val="naisf"/>
              <w:spacing w:before="0" w:after="0"/>
              <w:rPr>
                <w:b/>
                <w:i/>
                <w:szCs w:val="24"/>
                <w:lang w:val="lv-LV"/>
              </w:rPr>
            </w:pPr>
          </w:p>
        </w:tc>
        <w:tc>
          <w:tcPr>
            <w:tcW w:w="757" w:type="pct"/>
          </w:tcPr>
          <w:p w:rsidR="00937FF7" w:rsidRPr="004F4468" w:rsidRDefault="00937FF7" w:rsidP="00B4660A">
            <w:pPr>
              <w:pStyle w:val="naisf"/>
              <w:spacing w:before="0" w:after="0"/>
              <w:rPr>
                <w:b/>
                <w:i/>
                <w:szCs w:val="24"/>
                <w:lang w:val="lv-LV"/>
              </w:rPr>
            </w:pPr>
          </w:p>
        </w:tc>
        <w:tc>
          <w:tcPr>
            <w:tcW w:w="495" w:type="pct"/>
          </w:tcPr>
          <w:p w:rsidR="00937FF7" w:rsidRPr="004F4468" w:rsidRDefault="00937FF7" w:rsidP="00B4660A">
            <w:pPr>
              <w:pStyle w:val="naisf"/>
              <w:spacing w:before="0" w:after="0"/>
              <w:rPr>
                <w:b/>
                <w:i/>
                <w:szCs w:val="24"/>
                <w:lang w:val="lv-LV"/>
              </w:rPr>
            </w:pP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 xml:space="preserve">3.3. pašvaldību budžets </w:t>
            </w:r>
          </w:p>
        </w:tc>
        <w:tc>
          <w:tcPr>
            <w:tcW w:w="735" w:type="pct"/>
            <w:shd w:val="clear" w:color="auto" w:fill="auto"/>
          </w:tcPr>
          <w:p w:rsidR="00937FF7" w:rsidRPr="004F4468" w:rsidRDefault="00937FF7" w:rsidP="00B4660A">
            <w:pPr>
              <w:pStyle w:val="naisf"/>
              <w:spacing w:before="0" w:after="0"/>
              <w:rPr>
                <w:i/>
                <w:szCs w:val="24"/>
                <w:lang w:val="lv-LV"/>
              </w:rPr>
            </w:pPr>
          </w:p>
        </w:tc>
        <w:tc>
          <w:tcPr>
            <w:tcW w:w="724" w:type="pct"/>
          </w:tcPr>
          <w:p w:rsidR="00937FF7" w:rsidRPr="004F4468" w:rsidRDefault="00937FF7" w:rsidP="00B4660A">
            <w:pPr>
              <w:pStyle w:val="naisf"/>
              <w:spacing w:before="0" w:after="0"/>
              <w:rPr>
                <w:b/>
                <w:i/>
                <w:szCs w:val="24"/>
                <w:lang w:val="lv-LV"/>
              </w:rPr>
            </w:pPr>
          </w:p>
        </w:tc>
        <w:tc>
          <w:tcPr>
            <w:tcW w:w="809" w:type="pct"/>
          </w:tcPr>
          <w:p w:rsidR="00937FF7" w:rsidRPr="004F4468" w:rsidRDefault="00937FF7" w:rsidP="00B4660A">
            <w:pPr>
              <w:pStyle w:val="naisf"/>
              <w:spacing w:before="0" w:after="0"/>
              <w:rPr>
                <w:b/>
                <w:i/>
                <w:szCs w:val="24"/>
                <w:lang w:val="lv-LV"/>
              </w:rPr>
            </w:pPr>
          </w:p>
        </w:tc>
        <w:tc>
          <w:tcPr>
            <w:tcW w:w="757" w:type="pct"/>
          </w:tcPr>
          <w:p w:rsidR="00937FF7" w:rsidRPr="004F4468" w:rsidRDefault="00937FF7" w:rsidP="00B4660A">
            <w:pPr>
              <w:pStyle w:val="naisf"/>
              <w:spacing w:before="0" w:after="0"/>
              <w:rPr>
                <w:b/>
                <w:i/>
                <w:szCs w:val="24"/>
                <w:lang w:val="lv-LV"/>
              </w:rPr>
            </w:pPr>
          </w:p>
        </w:tc>
        <w:tc>
          <w:tcPr>
            <w:tcW w:w="495" w:type="pct"/>
          </w:tcPr>
          <w:p w:rsidR="00937FF7" w:rsidRPr="004F4468" w:rsidRDefault="00937FF7" w:rsidP="00B4660A">
            <w:pPr>
              <w:pStyle w:val="naisf"/>
              <w:spacing w:before="0" w:after="0"/>
              <w:rPr>
                <w:b/>
                <w:i/>
                <w:szCs w:val="24"/>
                <w:lang w:val="lv-LV"/>
              </w:rPr>
            </w:pP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vMerge w:val="restar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4. Finanšu līdzekļi papildu izde</w:t>
            </w:r>
            <w:r w:rsidRPr="004F4468">
              <w:rPr>
                <w:rFonts w:ascii="Times New Roman" w:hAnsi="Times New Roman"/>
                <w:sz w:val="24"/>
                <w:szCs w:val="24"/>
              </w:rPr>
              <w:softHyphen/>
              <w:t xml:space="preserve">vumu finansēšanai (kompensējošu izdevumu </w:t>
            </w:r>
            <w:r w:rsidRPr="004F4468">
              <w:rPr>
                <w:rFonts w:ascii="Times New Roman" w:hAnsi="Times New Roman"/>
                <w:sz w:val="24"/>
                <w:szCs w:val="24"/>
              </w:rPr>
              <w:lastRenderedPageBreak/>
              <w:t>samazinājumu norāda ar "+" zīmi)</w:t>
            </w:r>
          </w:p>
        </w:tc>
        <w:tc>
          <w:tcPr>
            <w:tcW w:w="735" w:type="pct"/>
            <w:vMerge w:val="restart"/>
            <w:vAlign w:val="center"/>
          </w:tcPr>
          <w:p w:rsidR="00937FF7" w:rsidRPr="004F4468" w:rsidRDefault="00937FF7" w:rsidP="00B4660A">
            <w:pPr>
              <w:pStyle w:val="naisf"/>
              <w:spacing w:before="0" w:after="0"/>
              <w:jc w:val="left"/>
              <w:rPr>
                <w:szCs w:val="24"/>
                <w:lang w:val="lv-LV"/>
              </w:rPr>
            </w:pPr>
            <w:r w:rsidRPr="004F4468">
              <w:rPr>
                <w:szCs w:val="24"/>
                <w:lang w:val="lv-LV"/>
              </w:rPr>
              <w:lastRenderedPageBreak/>
              <w:t>X</w:t>
            </w:r>
          </w:p>
          <w:p w:rsidR="00937FF7" w:rsidRPr="004F4468" w:rsidRDefault="00937FF7" w:rsidP="00B4660A">
            <w:pPr>
              <w:rPr>
                <w:rFonts w:ascii="Times New Roman" w:hAnsi="Times New Roman"/>
                <w:sz w:val="24"/>
                <w:szCs w:val="24"/>
              </w:rPr>
            </w:pPr>
          </w:p>
        </w:tc>
        <w:tc>
          <w:tcPr>
            <w:tcW w:w="724" w:type="pct"/>
          </w:tcPr>
          <w:p w:rsidR="00937FF7" w:rsidRPr="004F4468" w:rsidRDefault="00937FF7" w:rsidP="00B4660A">
            <w:pPr>
              <w:pStyle w:val="naisf"/>
              <w:spacing w:before="0" w:after="0"/>
              <w:jc w:val="left"/>
              <w:rPr>
                <w:b/>
                <w:szCs w:val="24"/>
                <w:lang w:val="lv-LV"/>
              </w:rPr>
            </w:pPr>
            <w:r w:rsidRPr="004F4468">
              <w:rPr>
                <w:szCs w:val="24"/>
                <w:lang w:val="lv-LV"/>
              </w:rPr>
              <w:t>Nav attiecināms</w:t>
            </w:r>
          </w:p>
        </w:tc>
        <w:tc>
          <w:tcPr>
            <w:tcW w:w="809" w:type="pct"/>
          </w:tcPr>
          <w:p w:rsidR="00937FF7" w:rsidRPr="004F4468" w:rsidRDefault="00937FF7" w:rsidP="00B4660A">
            <w:pPr>
              <w:pStyle w:val="naisf"/>
              <w:spacing w:before="0" w:after="0"/>
              <w:jc w:val="left"/>
              <w:rPr>
                <w:b/>
                <w:szCs w:val="24"/>
                <w:lang w:val="lv-LV"/>
              </w:rPr>
            </w:pPr>
            <w:r w:rsidRPr="004F4468">
              <w:rPr>
                <w:szCs w:val="24"/>
                <w:lang w:val="lv-LV"/>
              </w:rPr>
              <w:t>Nav attiecināms</w:t>
            </w:r>
          </w:p>
        </w:tc>
        <w:tc>
          <w:tcPr>
            <w:tcW w:w="757" w:type="pct"/>
          </w:tcPr>
          <w:p w:rsidR="00937FF7" w:rsidRPr="004F4468" w:rsidRDefault="00937FF7" w:rsidP="00B4660A">
            <w:pPr>
              <w:pStyle w:val="naisf"/>
              <w:spacing w:before="0" w:after="0"/>
              <w:jc w:val="left"/>
              <w:rPr>
                <w:b/>
                <w:szCs w:val="24"/>
                <w:lang w:val="lv-LV"/>
              </w:rPr>
            </w:pPr>
            <w:r w:rsidRPr="004F4468">
              <w:rPr>
                <w:szCs w:val="24"/>
                <w:lang w:val="lv-LV"/>
              </w:rPr>
              <w:t>Nav attiecināms</w:t>
            </w:r>
          </w:p>
        </w:tc>
        <w:tc>
          <w:tcPr>
            <w:tcW w:w="495" w:type="pct"/>
          </w:tcPr>
          <w:p w:rsidR="00937FF7" w:rsidRPr="004F4468" w:rsidRDefault="00937FF7" w:rsidP="00B4660A">
            <w:pPr>
              <w:pStyle w:val="naisf"/>
              <w:spacing w:before="0" w:after="0"/>
              <w:jc w:val="left"/>
              <w:rPr>
                <w:b/>
                <w:szCs w:val="24"/>
                <w:lang w:val="lv-LV"/>
              </w:rPr>
            </w:pPr>
            <w:r w:rsidRPr="004F4468">
              <w:rPr>
                <w:szCs w:val="24"/>
                <w:lang w:val="lv-LV"/>
              </w:rPr>
              <w:t>Nav attiecināms</w:t>
            </w: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vMerge/>
          </w:tcPr>
          <w:p w:rsidR="00937FF7" w:rsidRPr="004F4468" w:rsidRDefault="00937FF7" w:rsidP="00B4660A">
            <w:pPr>
              <w:jc w:val="both"/>
              <w:rPr>
                <w:rFonts w:ascii="Times New Roman" w:hAnsi="Times New Roman"/>
                <w:sz w:val="24"/>
                <w:szCs w:val="24"/>
              </w:rPr>
            </w:pPr>
          </w:p>
        </w:tc>
        <w:tc>
          <w:tcPr>
            <w:tcW w:w="735" w:type="pct"/>
            <w:vMerge/>
            <w:vAlign w:val="center"/>
          </w:tcPr>
          <w:p w:rsidR="00937FF7" w:rsidRPr="004F4468" w:rsidRDefault="00937FF7" w:rsidP="00B4660A">
            <w:pPr>
              <w:pStyle w:val="naisf"/>
              <w:spacing w:before="0" w:after="0"/>
              <w:jc w:val="center"/>
              <w:rPr>
                <w:szCs w:val="24"/>
              </w:rPr>
            </w:pPr>
          </w:p>
        </w:tc>
        <w:tc>
          <w:tcPr>
            <w:tcW w:w="724" w:type="pct"/>
          </w:tcPr>
          <w:p w:rsidR="00937FF7" w:rsidRPr="004F4468" w:rsidRDefault="00937FF7" w:rsidP="00B4660A">
            <w:pPr>
              <w:pStyle w:val="naisf"/>
              <w:spacing w:before="0" w:after="0"/>
              <w:jc w:val="left"/>
              <w:rPr>
                <w:b/>
                <w:szCs w:val="24"/>
                <w:lang w:val="lv-LV"/>
              </w:rPr>
            </w:pPr>
            <w:r w:rsidRPr="004F4468">
              <w:rPr>
                <w:szCs w:val="24"/>
                <w:lang w:val="lv-LV"/>
              </w:rPr>
              <w:t>Nav attiecināms</w:t>
            </w:r>
          </w:p>
        </w:tc>
        <w:tc>
          <w:tcPr>
            <w:tcW w:w="809" w:type="pct"/>
          </w:tcPr>
          <w:p w:rsidR="00937FF7" w:rsidRPr="004F4468" w:rsidRDefault="00937FF7" w:rsidP="00B4660A">
            <w:pPr>
              <w:pStyle w:val="naisf"/>
              <w:spacing w:before="0" w:after="0"/>
              <w:jc w:val="left"/>
              <w:rPr>
                <w:b/>
                <w:szCs w:val="24"/>
                <w:lang w:val="lv-LV"/>
              </w:rPr>
            </w:pPr>
            <w:r w:rsidRPr="004F4468">
              <w:rPr>
                <w:szCs w:val="24"/>
                <w:lang w:val="lv-LV"/>
              </w:rPr>
              <w:t>Nav attiecināms</w:t>
            </w:r>
          </w:p>
        </w:tc>
        <w:tc>
          <w:tcPr>
            <w:tcW w:w="757" w:type="pct"/>
          </w:tcPr>
          <w:p w:rsidR="00937FF7" w:rsidRPr="004F4468" w:rsidRDefault="00937FF7" w:rsidP="00B4660A">
            <w:pPr>
              <w:pStyle w:val="naisf"/>
              <w:spacing w:before="0" w:after="0"/>
              <w:jc w:val="left"/>
              <w:rPr>
                <w:b/>
                <w:szCs w:val="24"/>
                <w:lang w:val="lv-LV"/>
              </w:rPr>
            </w:pPr>
            <w:r w:rsidRPr="004F4468">
              <w:rPr>
                <w:szCs w:val="24"/>
                <w:lang w:val="lv-LV"/>
              </w:rPr>
              <w:t>Nav attiecināms</w:t>
            </w:r>
          </w:p>
        </w:tc>
        <w:tc>
          <w:tcPr>
            <w:tcW w:w="495" w:type="pct"/>
          </w:tcPr>
          <w:p w:rsidR="00937FF7" w:rsidRPr="004F4468" w:rsidRDefault="00937FF7" w:rsidP="00B4660A">
            <w:pPr>
              <w:pStyle w:val="naisf"/>
              <w:spacing w:before="0" w:after="0"/>
              <w:jc w:val="left"/>
              <w:rPr>
                <w:b/>
                <w:szCs w:val="24"/>
                <w:lang w:val="lv-LV"/>
              </w:rPr>
            </w:pPr>
            <w:r w:rsidRPr="004F4468">
              <w:rPr>
                <w:szCs w:val="24"/>
                <w:lang w:val="lv-LV"/>
              </w:rPr>
              <w:t>Nav attiecin</w:t>
            </w:r>
            <w:r w:rsidRPr="004F4468">
              <w:rPr>
                <w:szCs w:val="24"/>
                <w:lang w:val="lv-LV"/>
              </w:rPr>
              <w:lastRenderedPageBreak/>
              <w:t>āms</w:t>
            </w: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vMerge/>
          </w:tcPr>
          <w:p w:rsidR="00937FF7" w:rsidRPr="004F4468" w:rsidRDefault="00937FF7" w:rsidP="00B4660A">
            <w:pPr>
              <w:jc w:val="both"/>
              <w:rPr>
                <w:rFonts w:ascii="Times New Roman" w:hAnsi="Times New Roman"/>
                <w:sz w:val="24"/>
                <w:szCs w:val="24"/>
              </w:rPr>
            </w:pPr>
          </w:p>
        </w:tc>
        <w:tc>
          <w:tcPr>
            <w:tcW w:w="735" w:type="pct"/>
            <w:vMerge/>
            <w:vAlign w:val="center"/>
          </w:tcPr>
          <w:p w:rsidR="00937FF7" w:rsidRPr="004F4468" w:rsidRDefault="00937FF7" w:rsidP="00B4660A">
            <w:pPr>
              <w:pStyle w:val="naisf"/>
              <w:spacing w:before="0" w:after="0"/>
              <w:jc w:val="center"/>
              <w:rPr>
                <w:i/>
                <w:szCs w:val="24"/>
              </w:rPr>
            </w:pPr>
          </w:p>
        </w:tc>
        <w:tc>
          <w:tcPr>
            <w:tcW w:w="724" w:type="pct"/>
          </w:tcPr>
          <w:p w:rsidR="00937FF7" w:rsidRPr="004F4468" w:rsidRDefault="00937FF7" w:rsidP="00B4660A">
            <w:pPr>
              <w:pStyle w:val="naisf"/>
              <w:spacing w:before="0" w:after="0"/>
              <w:jc w:val="left"/>
              <w:rPr>
                <w:b/>
                <w:szCs w:val="24"/>
                <w:lang w:val="lv-LV"/>
              </w:rPr>
            </w:pPr>
            <w:r w:rsidRPr="004F4468">
              <w:rPr>
                <w:szCs w:val="24"/>
                <w:lang w:val="lv-LV"/>
              </w:rPr>
              <w:t>Nav attiecināms</w:t>
            </w:r>
          </w:p>
        </w:tc>
        <w:tc>
          <w:tcPr>
            <w:tcW w:w="809" w:type="pct"/>
          </w:tcPr>
          <w:p w:rsidR="00937FF7" w:rsidRPr="004F4468" w:rsidRDefault="00937FF7" w:rsidP="00B4660A">
            <w:pPr>
              <w:pStyle w:val="naisf"/>
              <w:spacing w:before="0" w:after="0"/>
              <w:jc w:val="left"/>
              <w:rPr>
                <w:b/>
                <w:szCs w:val="24"/>
                <w:lang w:val="lv-LV"/>
              </w:rPr>
            </w:pPr>
            <w:r w:rsidRPr="004F4468">
              <w:rPr>
                <w:szCs w:val="24"/>
                <w:lang w:val="lv-LV"/>
              </w:rPr>
              <w:t>Nav attiecināms</w:t>
            </w:r>
          </w:p>
        </w:tc>
        <w:tc>
          <w:tcPr>
            <w:tcW w:w="757" w:type="pct"/>
          </w:tcPr>
          <w:p w:rsidR="00937FF7" w:rsidRPr="004F4468" w:rsidRDefault="00937FF7" w:rsidP="00B4660A">
            <w:pPr>
              <w:pStyle w:val="naisf"/>
              <w:spacing w:before="0" w:after="0"/>
              <w:jc w:val="left"/>
              <w:rPr>
                <w:b/>
                <w:szCs w:val="24"/>
                <w:lang w:val="lv-LV"/>
              </w:rPr>
            </w:pPr>
            <w:r w:rsidRPr="004F4468">
              <w:rPr>
                <w:szCs w:val="24"/>
                <w:lang w:val="lv-LV"/>
              </w:rPr>
              <w:t>Nav attiecināms</w:t>
            </w:r>
          </w:p>
        </w:tc>
        <w:tc>
          <w:tcPr>
            <w:tcW w:w="495" w:type="pct"/>
          </w:tcPr>
          <w:p w:rsidR="00937FF7" w:rsidRPr="004F4468" w:rsidRDefault="00937FF7" w:rsidP="00B4660A">
            <w:pPr>
              <w:pStyle w:val="naisf"/>
              <w:spacing w:before="0" w:after="0"/>
              <w:jc w:val="left"/>
              <w:rPr>
                <w:b/>
                <w:szCs w:val="24"/>
                <w:lang w:val="lv-LV"/>
              </w:rPr>
            </w:pPr>
            <w:r w:rsidRPr="004F4468">
              <w:rPr>
                <w:szCs w:val="24"/>
                <w:lang w:val="lv-LV"/>
              </w:rPr>
              <w:t>Nav attiecināms</w:t>
            </w: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5. Precizēta finansiālā ietekme:</w:t>
            </w:r>
          </w:p>
        </w:tc>
        <w:tc>
          <w:tcPr>
            <w:tcW w:w="735" w:type="pct"/>
            <w:vMerge w:val="restart"/>
            <w:vAlign w:val="center"/>
          </w:tcPr>
          <w:p w:rsidR="00937FF7" w:rsidRPr="004F4468" w:rsidRDefault="00937FF7" w:rsidP="00B4660A">
            <w:pPr>
              <w:pStyle w:val="naisf"/>
              <w:spacing w:before="0" w:after="0"/>
              <w:jc w:val="left"/>
              <w:rPr>
                <w:szCs w:val="24"/>
              </w:rPr>
            </w:pPr>
            <w:r w:rsidRPr="004F4468">
              <w:rPr>
                <w:szCs w:val="24"/>
              </w:rPr>
              <w:t>X</w:t>
            </w:r>
          </w:p>
          <w:p w:rsidR="00937FF7" w:rsidRPr="004F4468" w:rsidRDefault="00937FF7" w:rsidP="00B4660A">
            <w:pPr>
              <w:pStyle w:val="naisf"/>
              <w:spacing w:before="0" w:after="0"/>
              <w:jc w:val="center"/>
              <w:rPr>
                <w:szCs w:val="24"/>
              </w:rPr>
            </w:pPr>
          </w:p>
        </w:tc>
        <w:tc>
          <w:tcPr>
            <w:tcW w:w="724" w:type="pct"/>
          </w:tcPr>
          <w:p w:rsidR="00937FF7" w:rsidRPr="004F4468" w:rsidRDefault="00937FF7" w:rsidP="00B4660A">
            <w:pPr>
              <w:pStyle w:val="naisf"/>
              <w:spacing w:before="0" w:after="0"/>
              <w:rPr>
                <w:b/>
                <w:szCs w:val="24"/>
                <w:lang w:val="lv-LV"/>
              </w:rPr>
            </w:pPr>
          </w:p>
        </w:tc>
        <w:tc>
          <w:tcPr>
            <w:tcW w:w="809" w:type="pct"/>
          </w:tcPr>
          <w:p w:rsidR="00937FF7" w:rsidRPr="004F4468" w:rsidRDefault="00937FF7" w:rsidP="00B4660A">
            <w:pPr>
              <w:pStyle w:val="naisf"/>
              <w:spacing w:before="0" w:after="0"/>
              <w:rPr>
                <w:b/>
                <w:szCs w:val="24"/>
                <w:lang w:val="lv-LV"/>
              </w:rPr>
            </w:pPr>
          </w:p>
        </w:tc>
        <w:tc>
          <w:tcPr>
            <w:tcW w:w="757" w:type="pct"/>
          </w:tcPr>
          <w:p w:rsidR="00937FF7" w:rsidRPr="004F4468" w:rsidRDefault="00937FF7" w:rsidP="00B4660A">
            <w:pPr>
              <w:pStyle w:val="naisf"/>
              <w:spacing w:before="0" w:after="0"/>
              <w:rPr>
                <w:b/>
                <w:szCs w:val="24"/>
                <w:lang w:val="lv-LV"/>
              </w:rPr>
            </w:pPr>
          </w:p>
        </w:tc>
        <w:tc>
          <w:tcPr>
            <w:tcW w:w="495" w:type="pct"/>
          </w:tcPr>
          <w:p w:rsidR="00937FF7" w:rsidRPr="004F4468" w:rsidRDefault="00937FF7" w:rsidP="00B4660A">
            <w:pPr>
              <w:pStyle w:val="naisf"/>
              <w:spacing w:before="0" w:after="0"/>
              <w:rPr>
                <w:b/>
                <w:szCs w:val="24"/>
                <w:lang w:val="lv-LV"/>
              </w:rPr>
            </w:pP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5.1. valsts pamatbudžets</w:t>
            </w:r>
          </w:p>
        </w:tc>
        <w:tc>
          <w:tcPr>
            <w:tcW w:w="735" w:type="pct"/>
            <w:vMerge/>
            <w:vAlign w:val="center"/>
          </w:tcPr>
          <w:p w:rsidR="00937FF7" w:rsidRPr="004F4468" w:rsidRDefault="00937FF7" w:rsidP="00B4660A">
            <w:pPr>
              <w:pStyle w:val="naisf"/>
              <w:spacing w:before="0" w:after="0"/>
              <w:jc w:val="center"/>
              <w:rPr>
                <w:i/>
                <w:szCs w:val="24"/>
              </w:rPr>
            </w:pPr>
          </w:p>
        </w:tc>
        <w:tc>
          <w:tcPr>
            <w:tcW w:w="724" w:type="pct"/>
          </w:tcPr>
          <w:p w:rsidR="00937FF7" w:rsidRPr="004F4468" w:rsidRDefault="00937FF7" w:rsidP="00B4660A">
            <w:pPr>
              <w:rPr>
                <w:rFonts w:ascii="Times New Roman" w:hAnsi="Times New Roman"/>
                <w:sz w:val="24"/>
                <w:szCs w:val="24"/>
                <w:vertAlign w:val="subscript"/>
              </w:rPr>
            </w:pPr>
            <w:r w:rsidRPr="004F4468">
              <w:rPr>
                <w:rFonts w:ascii="Times New Roman" w:hAnsi="Times New Roman"/>
                <w:sz w:val="24"/>
                <w:szCs w:val="24"/>
              </w:rPr>
              <w:t>Nav attiecināms</w:t>
            </w:r>
          </w:p>
        </w:tc>
        <w:tc>
          <w:tcPr>
            <w:tcW w:w="809" w:type="pct"/>
          </w:tcPr>
          <w:p w:rsidR="00937FF7" w:rsidRPr="004F4468" w:rsidRDefault="00937FF7" w:rsidP="00B4660A">
            <w:pPr>
              <w:pStyle w:val="naisf"/>
              <w:spacing w:before="0" w:after="0"/>
              <w:rPr>
                <w:szCs w:val="24"/>
                <w:lang w:val="lv-LV"/>
              </w:rPr>
            </w:pPr>
            <w:r w:rsidRPr="004F4468">
              <w:rPr>
                <w:szCs w:val="24"/>
                <w:lang w:val="lv-LV"/>
              </w:rPr>
              <w:t>Nav attiecināms</w:t>
            </w:r>
          </w:p>
        </w:tc>
        <w:tc>
          <w:tcPr>
            <w:tcW w:w="757" w:type="pct"/>
          </w:tcPr>
          <w:p w:rsidR="00937FF7" w:rsidRPr="004F4468" w:rsidRDefault="00937FF7" w:rsidP="00B4660A">
            <w:pPr>
              <w:pStyle w:val="naisf"/>
              <w:spacing w:before="0" w:after="0"/>
              <w:rPr>
                <w:szCs w:val="24"/>
                <w:lang w:val="lv-LV"/>
              </w:rPr>
            </w:pPr>
            <w:r w:rsidRPr="004F4468">
              <w:rPr>
                <w:szCs w:val="24"/>
                <w:lang w:val="lv-LV"/>
              </w:rPr>
              <w:t>Nav attiecināms</w:t>
            </w:r>
          </w:p>
        </w:tc>
        <w:tc>
          <w:tcPr>
            <w:tcW w:w="495" w:type="pct"/>
          </w:tcPr>
          <w:p w:rsidR="00937FF7" w:rsidRPr="004F4468" w:rsidRDefault="00937FF7" w:rsidP="00B4660A">
            <w:pPr>
              <w:pStyle w:val="naisf"/>
              <w:spacing w:before="0" w:after="0"/>
              <w:rPr>
                <w:szCs w:val="24"/>
                <w:lang w:val="lv-LV"/>
              </w:rPr>
            </w:pPr>
            <w:r w:rsidRPr="004F4468">
              <w:rPr>
                <w:szCs w:val="24"/>
                <w:lang w:val="lv-LV"/>
              </w:rPr>
              <w:t>Nav attiecināms</w:t>
            </w: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5.2. speciālais budžets</w:t>
            </w:r>
          </w:p>
        </w:tc>
        <w:tc>
          <w:tcPr>
            <w:tcW w:w="735" w:type="pct"/>
            <w:vMerge/>
            <w:vAlign w:val="center"/>
          </w:tcPr>
          <w:p w:rsidR="00937FF7" w:rsidRPr="004F4468" w:rsidRDefault="00937FF7" w:rsidP="00B4660A">
            <w:pPr>
              <w:pStyle w:val="naisf"/>
              <w:spacing w:before="0" w:after="0"/>
              <w:jc w:val="center"/>
              <w:rPr>
                <w:i/>
                <w:szCs w:val="24"/>
              </w:rPr>
            </w:pPr>
          </w:p>
        </w:tc>
        <w:tc>
          <w:tcPr>
            <w:tcW w:w="724" w:type="pct"/>
          </w:tcPr>
          <w:p w:rsidR="00937FF7" w:rsidRPr="004F4468" w:rsidRDefault="00937FF7" w:rsidP="00B4660A">
            <w:pPr>
              <w:pStyle w:val="naisf"/>
              <w:spacing w:before="0" w:after="0"/>
              <w:rPr>
                <w:b/>
                <w:szCs w:val="24"/>
                <w:lang w:val="lv-LV"/>
              </w:rPr>
            </w:pPr>
          </w:p>
        </w:tc>
        <w:tc>
          <w:tcPr>
            <w:tcW w:w="809" w:type="pct"/>
          </w:tcPr>
          <w:p w:rsidR="00937FF7" w:rsidRPr="004F4468" w:rsidRDefault="00937FF7" w:rsidP="00B4660A">
            <w:pPr>
              <w:pStyle w:val="naisf"/>
              <w:spacing w:before="0" w:after="0"/>
              <w:rPr>
                <w:b/>
                <w:szCs w:val="24"/>
                <w:lang w:val="lv-LV"/>
              </w:rPr>
            </w:pPr>
          </w:p>
        </w:tc>
        <w:tc>
          <w:tcPr>
            <w:tcW w:w="757" w:type="pct"/>
          </w:tcPr>
          <w:p w:rsidR="00937FF7" w:rsidRPr="004F4468" w:rsidRDefault="00937FF7" w:rsidP="00B4660A">
            <w:pPr>
              <w:pStyle w:val="naisf"/>
              <w:spacing w:before="0" w:after="0"/>
              <w:rPr>
                <w:b/>
                <w:szCs w:val="24"/>
                <w:lang w:val="lv-LV"/>
              </w:rPr>
            </w:pPr>
          </w:p>
        </w:tc>
        <w:tc>
          <w:tcPr>
            <w:tcW w:w="495" w:type="pct"/>
          </w:tcPr>
          <w:p w:rsidR="00937FF7" w:rsidRPr="004F4468" w:rsidRDefault="00937FF7" w:rsidP="00B4660A">
            <w:pPr>
              <w:pStyle w:val="naisf"/>
              <w:spacing w:before="0" w:after="0"/>
              <w:rPr>
                <w:b/>
                <w:szCs w:val="24"/>
                <w:lang w:val="lv-LV"/>
              </w:rPr>
            </w:pPr>
          </w:p>
        </w:tc>
      </w:tr>
      <w:tr w:rsidR="00937FF7" w:rsidRPr="004F4468" w:rsidTr="00B4660A">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 xml:space="preserve">5.3. pašvaldību budžets </w:t>
            </w:r>
          </w:p>
        </w:tc>
        <w:tc>
          <w:tcPr>
            <w:tcW w:w="735" w:type="pct"/>
            <w:vMerge/>
            <w:vAlign w:val="center"/>
          </w:tcPr>
          <w:p w:rsidR="00937FF7" w:rsidRPr="004F4468" w:rsidRDefault="00937FF7" w:rsidP="00B4660A">
            <w:pPr>
              <w:pStyle w:val="naisf"/>
              <w:spacing w:before="0" w:after="0"/>
              <w:jc w:val="center"/>
              <w:rPr>
                <w:i/>
                <w:szCs w:val="24"/>
              </w:rPr>
            </w:pPr>
          </w:p>
        </w:tc>
        <w:tc>
          <w:tcPr>
            <w:tcW w:w="724" w:type="pct"/>
          </w:tcPr>
          <w:p w:rsidR="00937FF7" w:rsidRPr="004F4468" w:rsidRDefault="00937FF7" w:rsidP="00B4660A">
            <w:pPr>
              <w:pStyle w:val="naisf"/>
              <w:spacing w:before="0" w:after="0"/>
              <w:rPr>
                <w:b/>
                <w:szCs w:val="24"/>
              </w:rPr>
            </w:pPr>
          </w:p>
        </w:tc>
        <w:tc>
          <w:tcPr>
            <w:tcW w:w="809" w:type="pct"/>
          </w:tcPr>
          <w:p w:rsidR="00937FF7" w:rsidRPr="004F4468" w:rsidRDefault="00937FF7" w:rsidP="00B4660A">
            <w:pPr>
              <w:pStyle w:val="naisf"/>
              <w:spacing w:before="0" w:after="0"/>
              <w:rPr>
                <w:b/>
                <w:szCs w:val="24"/>
              </w:rPr>
            </w:pPr>
          </w:p>
        </w:tc>
        <w:tc>
          <w:tcPr>
            <w:tcW w:w="757" w:type="pct"/>
          </w:tcPr>
          <w:p w:rsidR="00937FF7" w:rsidRPr="004F4468" w:rsidRDefault="00937FF7" w:rsidP="00B4660A">
            <w:pPr>
              <w:pStyle w:val="naisf"/>
              <w:spacing w:before="0" w:after="0"/>
              <w:rPr>
                <w:b/>
                <w:szCs w:val="24"/>
              </w:rPr>
            </w:pPr>
          </w:p>
        </w:tc>
        <w:tc>
          <w:tcPr>
            <w:tcW w:w="495" w:type="pct"/>
          </w:tcPr>
          <w:p w:rsidR="00937FF7" w:rsidRPr="004F4468" w:rsidRDefault="00937FF7" w:rsidP="00B4660A">
            <w:pPr>
              <w:pStyle w:val="naisf"/>
              <w:spacing w:before="0" w:after="0"/>
              <w:rPr>
                <w:b/>
                <w:szCs w:val="24"/>
              </w:rPr>
            </w:pPr>
          </w:p>
        </w:tc>
      </w:tr>
      <w:tr w:rsidR="00937FF7" w:rsidRPr="004F4468" w:rsidTr="00B4660A">
        <w:tblPrEx>
          <w:jc w:val="center"/>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6. Detalizēts ieņēmumu un izdevu</w:t>
            </w:r>
            <w:r w:rsidRPr="004F4468">
              <w:rPr>
                <w:rFonts w:ascii="Times New Roman" w:hAnsi="Times New Roman"/>
                <w:sz w:val="24"/>
                <w:szCs w:val="24"/>
              </w:rPr>
              <w:softHyphen/>
              <w:t>mu aprēķins (ja nepieciešams, detalizētu ieņēmumu un izdevumu aprēķinu var pievienot anotācijas pielikumā):</w:t>
            </w:r>
          </w:p>
        </w:tc>
        <w:tc>
          <w:tcPr>
            <w:tcW w:w="3520" w:type="pct"/>
            <w:gridSpan w:val="5"/>
            <w:vMerge w:val="restart"/>
            <w:vAlign w:val="center"/>
          </w:tcPr>
          <w:p w:rsidR="00937FF7" w:rsidRPr="004F4468" w:rsidRDefault="00937FF7" w:rsidP="00937FF7">
            <w:pPr>
              <w:spacing w:after="0"/>
              <w:ind w:firstLine="451"/>
              <w:jc w:val="both"/>
              <w:rPr>
                <w:rFonts w:ascii="Times New Roman" w:hAnsi="Times New Roman"/>
                <w:sz w:val="24"/>
                <w:szCs w:val="24"/>
              </w:rPr>
            </w:pPr>
            <w:r w:rsidRPr="004F4468">
              <w:rPr>
                <w:rFonts w:ascii="Times New Roman" w:hAnsi="Times New Roman"/>
                <w:sz w:val="24"/>
                <w:szCs w:val="24"/>
              </w:rPr>
              <w:t xml:space="preserve">Darbības programmas „Uzņēmējdarbība un inovācijas” 2.1.2.4.aktivitātes „Augstas pievienotās vērtības investīcijas” projektu iesniegumu atlases otrajai kārtā pieejamais finansējums ir </w:t>
            </w:r>
            <w:r w:rsidR="001F10BC" w:rsidRPr="004F4468">
              <w:rPr>
                <w:rFonts w:ascii="Times New Roman" w:hAnsi="Times New Roman"/>
                <w:sz w:val="24"/>
                <w:szCs w:val="24"/>
              </w:rPr>
              <w:t xml:space="preserve">13 086 882 </w:t>
            </w:r>
            <w:r w:rsidRPr="004F4468">
              <w:rPr>
                <w:rFonts w:ascii="Times New Roman" w:hAnsi="Times New Roman"/>
                <w:sz w:val="24"/>
                <w:szCs w:val="24"/>
              </w:rPr>
              <w:t xml:space="preserve"> lati.</w:t>
            </w:r>
          </w:p>
          <w:p w:rsidR="00937FF7" w:rsidRPr="004F4468" w:rsidRDefault="00937FF7" w:rsidP="00937FF7">
            <w:pPr>
              <w:spacing w:after="0"/>
              <w:ind w:firstLine="451"/>
              <w:jc w:val="both"/>
              <w:rPr>
                <w:rFonts w:ascii="Times New Roman" w:hAnsi="Times New Roman"/>
                <w:sz w:val="24"/>
                <w:szCs w:val="24"/>
              </w:rPr>
            </w:pPr>
            <w:r w:rsidRPr="004F4468">
              <w:rPr>
                <w:rFonts w:ascii="Times New Roman" w:hAnsi="Times New Roman"/>
                <w:sz w:val="24"/>
                <w:szCs w:val="24"/>
              </w:rPr>
              <w:t xml:space="preserve">Noteikumu projekts paredz uzņemties virssaistības </w:t>
            </w:r>
            <w:r w:rsidR="001F10BC" w:rsidRPr="004F4468">
              <w:rPr>
                <w:rFonts w:ascii="Times New Roman" w:hAnsi="Times New Roman"/>
                <w:sz w:val="24"/>
                <w:szCs w:val="24"/>
              </w:rPr>
              <w:t xml:space="preserve">13 086 882 </w:t>
            </w:r>
            <w:r w:rsidRPr="004F4468">
              <w:rPr>
                <w:rFonts w:ascii="Times New Roman" w:hAnsi="Times New Roman"/>
                <w:sz w:val="24"/>
                <w:szCs w:val="24"/>
              </w:rPr>
              <w:t xml:space="preserve"> latu apmērā, kas sastāda 100% no pieejamā finansējuma otrajai kārtai. </w:t>
            </w:r>
          </w:p>
          <w:p w:rsidR="00937FF7" w:rsidRPr="004F4468" w:rsidRDefault="00937FF7" w:rsidP="00937FF7">
            <w:pPr>
              <w:spacing w:after="0"/>
              <w:ind w:firstLine="451"/>
              <w:jc w:val="both"/>
              <w:rPr>
                <w:rFonts w:ascii="Times New Roman" w:hAnsi="Times New Roman"/>
                <w:sz w:val="24"/>
                <w:szCs w:val="24"/>
              </w:rPr>
            </w:pPr>
            <w:r w:rsidRPr="004F4468">
              <w:rPr>
                <w:rFonts w:ascii="Times New Roman" w:hAnsi="Times New Roman"/>
                <w:sz w:val="24"/>
                <w:szCs w:val="24"/>
              </w:rPr>
              <w:t xml:space="preserve">Virssaistības šai gadījumā nozīmē atļauju apstiprināt projektus un noslēgt līgumus par lielāku summu, nekā projektu iesniegumu atlases kārtai noteiktais finansējums. Projektu īstenošanas laikā daļa no projektiem netiek pabeigti, vai arī to izmaksas ir mazākas nekā sākotnēji plānots, līdz ar to uzņemtās virssaistības faktiski izmaksātas netiek. </w:t>
            </w:r>
          </w:p>
          <w:p w:rsidR="00937FF7" w:rsidRPr="004F4468" w:rsidRDefault="00937FF7" w:rsidP="00937FF7">
            <w:pPr>
              <w:spacing w:after="0"/>
              <w:ind w:firstLine="451"/>
              <w:jc w:val="both"/>
              <w:rPr>
                <w:rFonts w:ascii="Times New Roman" w:hAnsi="Times New Roman"/>
                <w:sz w:val="24"/>
                <w:szCs w:val="24"/>
              </w:rPr>
            </w:pPr>
            <w:r w:rsidRPr="004F4468">
              <w:rPr>
                <w:rFonts w:ascii="Times New Roman" w:hAnsi="Times New Roman"/>
                <w:sz w:val="24"/>
                <w:szCs w:val="24"/>
              </w:rPr>
              <w:t>Piemēram, pašlaik, kad vēl joprojām turpinās 2.1.2.4.aktivitātes pirmās kārtas īstenošana pārtraukti ir</w:t>
            </w:r>
            <w:r w:rsidR="003817A9" w:rsidRPr="004F4468">
              <w:rPr>
                <w:rFonts w:ascii="Times New Roman" w:hAnsi="Times New Roman"/>
                <w:sz w:val="24"/>
                <w:szCs w:val="24"/>
              </w:rPr>
              <w:t xml:space="preserve"> projekti par</w:t>
            </w:r>
            <w:r w:rsidRPr="004F4468">
              <w:rPr>
                <w:rFonts w:ascii="Times New Roman" w:hAnsi="Times New Roman"/>
                <w:sz w:val="24"/>
                <w:szCs w:val="24"/>
              </w:rPr>
              <w:t xml:space="preserve"> 19% </w:t>
            </w:r>
            <w:r w:rsidR="003817A9" w:rsidRPr="004F4468">
              <w:rPr>
                <w:rFonts w:ascii="Times New Roman" w:hAnsi="Times New Roman"/>
                <w:sz w:val="24"/>
                <w:szCs w:val="24"/>
              </w:rPr>
              <w:t>no apstiprinātā finansējuma</w:t>
            </w:r>
            <w:r w:rsidRPr="004F4468">
              <w:rPr>
                <w:rFonts w:ascii="Times New Roman" w:hAnsi="Times New Roman"/>
                <w:sz w:val="24"/>
                <w:szCs w:val="24"/>
              </w:rPr>
              <w:t>. Papildus 2.3.2.2.</w:t>
            </w:r>
            <w:r w:rsidRPr="004F4468">
              <w:t xml:space="preserve"> </w:t>
            </w:r>
            <w:r w:rsidRPr="004F4468">
              <w:rPr>
                <w:rFonts w:ascii="Times New Roman" w:hAnsi="Times New Roman"/>
                <w:sz w:val="24"/>
                <w:szCs w:val="24"/>
              </w:rPr>
              <w:t xml:space="preserve">„Atbalsts ieguldījumiem mikro, maziem un vidējiem komersantiem  īpaši atbalstāmajās teritorijās” aktivitātes ietvaros pārtraukti ir </w:t>
            </w:r>
            <w:r w:rsidR="003817A9" w:rsidRPr="004F4468">
              <w:rPr>
                <w:rFonts w:ascii="Times New Roman" w:hAnsi="Times New Roman"/>
                <w:sz w:val="24"/>
                <w:szCs w:val="24"/>
              </w:rPr>
              <w:t xml:space="preserve">projekti par </w:t>
            </w:r>
            <w:r w:rsidRPr="004F4468">
              <w:rPr>
                <w:rFonts w:ascii="Times New Roman" w:hAnsi="Times New Roman"/>
                <w:sz w:val="24"/>
                <w:szCs w:val="24"/>
              </w:rPr>
              <w:t xml:space="preserve">44% no </w:t>
            </w:r>
            <w:r w:rsidR="003817A9" w:rsidRPr="004F4468">
              <w:rPr>
                <w:rFonts w:ascii="Times New Roman" w:hAnsi="Times New Roman"/>
                <w:sz w:val="24"/>
                <w:szCs w:val="24"/>
              </w:rPr>
              <w:t>apstiprinātā finansējuma</w:t>
            </w:r>
            <w:r w:rsidRPr="004F4468">
              <w:rPr>
                <w:rFonts w:ascii="Times New Roman" w:hAnsi="Times New Roman"/>
                <w:sz w:val="24"/>
                <w:szCs w:val="24"/>
              </w:rPr>
              <w:t xml:space="preserve">. </w:t>
            </w:r>
            <w:r w:rsidR="007803A4" w:rsidRPr="004F4468">
              <w:rPr>
                <w:rFonts w:ascii="Times New Roman" w:hAnsi="Times New Roman"/>
                <w:sz w:val="24"/>
                <w:szCs w:val="24"/>
              </w:rPr>
              <w:t xml:space="preserve">Savukārt no 2.1.2.2.2.apakšaktivitātes „Jaunu produktu un tehnoloģiju izstrāde – atbalsts jaunu produktu un tehnoloģiju ieviešanai ražošanā” pirmās kārtas pašlaik pārtraukti </w:t>
            </w:r>
            <w:r w:rsidR="003817A9" w:rsidRPr="004F4468">
              <w:rPr>
                <w:rFonts w:ascii="Times New Roman" w:hAnsi="Times New Roman"/>
                <w:sz w:val="24"/>
                <w:szCs w:val="24"/>
              </w:rPr>
              <w:t>ir projekti par</w:t>
            </w:r>
            <w:r w:rsidR="007803A4" w:rsidRPr="004F4468">
              <w:rPr>
                <w:rFonts w:ascii="Times New Roman" w:hAnsi="Times New Roman"/>
                <w:sz w:val="24"/>
                <w:szCs w:val="24"/>
              </w:rPr>
              <w:t xml:space="preserve"> 32% no </w:t>
            </w:r>
            <w:r w:rsidR="003817A9" w:rsidRPr="004F4468">
              <w:rPr>
                <w:rFonts w:ascii="Times New Roman" w:hAnsi="Times New Roman"/>
                <w:sz w:val="24"/>
                <w:szCs w:val="24"/>
              </w:rPr>
              <w:t>apstiprinātā finansējuma</w:t>
            </w:r>
            <w:r w:rsidR="007803A4" w:rsidRPr="004F4468">
              <w:rPr>
                <w:rFonts w:ascii="Times New Roman" w:hAnsi="Times New Roman"/>
                <w:sz w:val="24"/>
                <w:szCs w:val="24"/>
              </w:rPr>
              <w:t>. Balstoties uz iepriekš minētajiem piemēriem</w:t>
            </w:r>
            <w:r w:rsidR="004B73EA" w:rsidRPr="004F4468">
              <w:rPr>
                <w:rFonts w:ascii="Times New Roman" w:hAnsi="Times New Roman"/>
                <w:sz w:val="24"/>
                <w:szCs w:val="24"/>
              </w:rPr>
              <w:t>,</w:t>
            </w:r>
            <w:r w:rsidR="007803A4" w:rsidRPr="004F4468">
              <w:rPr>
                <w:rFonts w:ascii="Times New Roman" w:hAnsi="Times New Roman"/>
                <w:sz w:val="24"/>
                <w:szCs w:val="24"/>
              </w:rPr>
              <w:t xml:space="preserve"> ir redzams, ka Eiropas Savienības fondu aktivitātēs ir daļa projektu, kas netiek realizēti, kas ir saistīti ar biznesa specifiku un ar to ietvertajiem riskiem.</w:t>
            </w:r>
          </w:p>
          <w:p w:rsidR="006279A7" w:rsidRPr="004F4468" w:rsidRDefault="00937FF7" w:rsidP="00FB0D7B">
            <w:pPr>
              <w:spacing w:after="0"/>
              <w:ind w:firstLine="451"/>
              <w:jc w:val="both"/>
              <w:rPr>
                <w:rFonts w:ascii="Times New Roman" w:hAnsi="Times New Roman"/>
                <w:sz w:val="24"/>
                <w:szCs w:val="24"/>
              </w:rPr>
            </w:pPr>
            <w:r w:rsidRPr="004F4468">
              <w:rPr>
                <w:rFonts w:ascii="Times New Roman" w:hAnsi="Times New Roman"/>
                <w:sz w:val="24"/>
                <w:szCs w:val="24"/>
              </w:rPr>
              <w:t xml:space="preserve">Papildus ir iespējama opcija aizstāt valsts budžeta virssaistību finansējumu ar ERAF finansējuma vēlākā posmā, kad </w:t>
            </w:r>
            <w:r w:rsidRPr="004F4468">
              <w:rPr>
                <w:rFonts w:ascii="Times New Roman" w:hAnsi="Times New Roman"/>
                <w:sz w:val="24"/>
                <w:szCs w:val="24"/>
              </w:rPr>
              <w:lastRenderedPageBreak/>
              <w:t xml:space="preserve">finansējums būtu pieejams no citām aktivitātēm. </w:t>
            </w:r>
          </w:p>
          <w:p w:rsidR="00937FF7" w:rsidRPr="004F4468" w:rsidRDefault="00FB0D7B" w:rsidP="00FB0D7B">
            <w:pPr>
              <w:spacing w:after="0"/>
              <w:ind w:firstLine="451"/>
              <w:jc w:val="both"/>
              <w:rPr>
                <w:rFonts w:ascii="Times New Roman" w:hAnsi="Times New Roman"/>
                <w:sz w:val="24"/>
                <w:szCs w:val="24"/>
              </w:rPr>
            </w:pPr>
            <w:r w:rsidRPr="004F4468">
              <w:rPr>
                <w:rFonts w:ascii="Times New Roman" w:hAnsi="Times New Roman"/>
                <w:sz w:val="24"/>
                <w:szCs w:val="24"/>
              </w:rPr>
              <w:t>Vienlaikus izmaksātās virssaistības tiks deklarētas Eiropas Komisijai</w:t>
            </w:r>
            <w:r w:rsidR="00304AEA" w:rsidRPr="004F4468">
              <w:rPr>
                <w:rFonts w:ascii="Times New Roman" w:hAnsi="Times New Roman"/>
                <w:sz w:val="24"/>
                <w:szCs w:val="24"/>
              </w:rPr>
              <w:t>,</w:t>
            </w:r>
            <w:r w:rsidRPr="004F4468">
              <w:rPr>
                <w:rFonts w:ascii="Times New Roman" w:hAnsi="Times New Roman"/>
                <w:sz w:val="24"/>
                <w:szCs w:val="24"/>
              </w:rPr>
              <w:t xml:space="preserve"> un līdzekļi 100% apjomā atgriezti valsts budžetā. Līdz ar to nav ietekmes uz valsts budžetu un izmantojot šādu pieeju </w:t>
            </w:r>
            <w:r w:rsidR="006279A7" w:rsidRPr="004F4468">
              <w:rPr>
                <w:rFonts w:ascii="Times New Roman" w:hAnsi="Times New Roman"/>
                <w:sz w:val="24"/>
                <w:szCs w:val="24"/>
              </w:rPr>
              <w:t xml:space="preserve">un attiecinot aktivitātē virssaistības tiek panākts, ka </w:t>
            </w:r>
            <w:r w:rsidRPr="004F4468">
              <w:rPr>
                <w:rFonts w:ascii="Times New Roman" w:hAnsi="Times New Roman"/>
                <w:sz w:val="24"/>
                <w:szCs w:val="24"/>
              </w:rPr>
              <w:t xml:space="preserve">efektīvi tiek apgūti Latvijai piešķirtie Eiropas Savienības struktūrfondu līdzekļi. </w:t>
            </w:r>
          </w:p>
          <w:p w:rsidR="00937FF7" w:rsidRPr="004F4468" w:rsidRDefault="00937FF7" w:rsidP="00937FF7">
            <w:pPr>
              <w:spacing w:after="0"/>
              <w:ind w:firstLine="451"/>
              <w:jc w:val="both"/>
              <w:rPr>
                <w:rFonts w:ascii="Times New Roman" w:hAnsi="Times New Roman"/>
                <w:sz w:val="24"/>
                <w:szCs w:val="24"/>
              </w:rPr>
            </w:pPr>
            <w:r w:rsidRPr="004F4468">
              <w:rPr>
                <w:rFonts w:ascii="Times New Roman" w:hAnsi="Times New Roman"/>
                <w:sz w:val="24"/>
                <w:szCs w:val="24"/>
              </w:rPr>
              <w:t>Gadījumā, ja visi 2.1.2.4.aktivitātes projektu iesniegumu atlases otrajā kārtā apstiprinātie projekti tiks sekmīgi īstenoti, tad ietekme uz 2011.gada budžetu nebūs, tā kā projektu īstenošana tiks uzsākta 2012.gadā. Ietekme uz 2012.gada budžetu 3</w:t>
            </w:r>
            <w:r w:rsidR="00A9112A" w:rsidRPr="004F4468">
              <w:rPr>
                <w:rFonts w:ascii="Times New Roman" w:hAnsi="Times New Roman"/>
                <w:sz w:val="24"/>
                <w:szCs w:val="24"/>
              </w:rPr>
              <w:t>5</w:t>
            </w:r>
            <w:r w:rsidRPr="004F4468">
              <w:rPr>
                <w:rFonts w:ascii="Times New Roman" w:hAnsi="Times New Roman"/>
                <w:sz w:val="24"/>
                <w:szCs w:val="24"/>
              </w:rPr>
              <w:t xml:space="preserve">% no piešķirto virssaistību apjoma (finansējuma saņēmējiem izmaksātie avansi un starpposma maksājuma pieprasījumi). Savukārt 2013.gadā ietekme uz valsts budžetu būs 35% no piešķirto virssaistību apjoma, 2014.gadā </w:t>
            </w:r>
            <w:r w:rsidR="00A9112A" w:rsidRPr="004F4468">
              <w:rPr>
                <w:rFonts w:ascii="Times New Roman" w:hAnsi="Times New Roman"/>
                <w:sz w:val="24"/>
                <w:szCs w:val="24"/>
              </w:rPr>
              <w:t>10</w:t>
            </w:r>
            <w:r w:rsidRPr="004F4468">
              <w:rPr>
                <w:rFonts w:ascii="Times New Roman" w:hAnsi="Times New Roman"/>
                <w:sz w:val="24"/>
                <w:szCs w:val="24"/>
              </w:rPr>
              <w:t xml:space="preserve">% no piešķirto virssaistību apjoma un 2015.gadā </w:t>
            </w:r>
            <w:r w:rsidR="00A9112A" w:rsidRPr="004F4468">
              <w:rPr>
                <w:rFonts w:ascii="Times New Roman" w:hAnsi="Times New Roman"/>
                <w:sz w:val="24"/>
                <w:szCs w:val="24"/>
              </w:rPr>
              <w:t>2</w:t>
            </w:r>
            <w:r w:rsidRPr="004F4468">
              <w:rPr>
                <w:rFonts w:ascii="Times New Roman" w:hAnsi="Times New Roman"/>
                <w:sz w:val="24"/>
                <w:szCs w:val="24"/>
              </w:rPr>
              <w:t>0% no piešķirto virssaistību apjoma. Projektu īstenošana tiks uzsākta 2012.gada sākumā un tiks pabeigti ne vēlāk kā pēc 36 mēnešiem. Lielākā daļa no izmaksām ir plānota projektu beigās, kad ir paredzēts, ka tiks iesniegti maksājuma pieprasījum</w:t>
            </w:r>
            <w:r w:rsidR="004B73EA" w:rsidRPr="004F4468">
              <w:rPr>
                <w:rFonts w:ascii="Times New Roman" w:hAnsi="Times New Roman"/>
                <w:sz w:val="24"/>
                <w:szCs w:val="24"/>
              </w:rPr>
              <w:t>i</w:t>
            </w:r>
            <w:r w:rsidRPr="004F4468">
              <w:rPr>
                <w:rFonts w:ascii="Times New Roman" w:hAnsi="Times New Roman"/>
                <w:sz w:val="24"/>
                <w:szCs w:val="24"/>
              </w:rPr>
              <w:t xml:space="preserve"> gan par avansu, gan par atlikušajām izmaksām.</w:t>
            </w:r>
            <w:bookmarkStart w:id="2" w:name="_GoBack"/>
            <w:bookmarkEnd w:id="2"/>
          </w:p>
          <w:p w:rsidR="00937FF7" w:rsidRPr="004F4468" w:rsidRDefault="00937FF7" w:rsidP="00F53619">
            <w:pPr>
              <w:spacing w:after="0"/>
              <w:ind w:firstLine="451"/>
              <w:jc w:val="both"/>
              <w:rPr>
                <w:rFonts w:ascii="Times New Roman" w:hAnsi="Times New Roman"/>
                <w:sz w:val="24"/>
                <w:szCs w:val="24"/>
              </w:rPr>
            </w:pPr>
            <w:r w:rsidRPr="004F4468">
              <w:rPr>
                <w:rFonts w:ascii="Times New Roman" w:hAnsi="Times New Roman"/>
                <w:sz w:val="24"/>
                <w:szCs w:val="24"/>
              </w:rPr>
              <w:t>Ja virssaistības būs nepieciešams izmaksāt, tad izmaksa tiks veikta no Ekonomikas ministrijas budžeta apakšprogrammas „Eiropas Reģionālās attīstības fonda (ERAF) projektu (2007-2013) īstenošana” (62.06.00). Kā liecina 2010.gada</w:t>
            </w:r>
            <w:r w:rsidR="0028458A" w:rsidRPr="004F4468">
              <w:rPr>
                <w:rFonts w:ascii="Times New Roman" w:hAnsi="Times New Roman"/>
                <w:sz w:val="24"/>
                <w:szCs w:val="24"/>
              </w:rPr>
              <w:t xml:space="preserve"> un 2011.gada</w:t>
            </w:r>
            <w:r w:rsidRPr="004F4468">
              <w:rPr>
                <w:rFonts w:ascii="Times New Roman" w:hAnsi="Times New Roman"/>
                <w:sz w:val="24"/>
                <w:szCs w:val="24"/>
              </w:rPr>
              <w:t xml:space="preserve"> pieredze, šajā budžeta apakšprogrammā veidojās līdzekļu pārpalikums, jo ne visi projekti, kuriem ir ieplānoti budžeta līdzekļi, tiek īstenoti.</w:t>
            </w:r>
            <w:r w:rsidR="00F53619" w:rsidRPr="004F4468">
              <w:rPr>
                <w:rFonts w:ascii="Times New Roman" w:hAnsi="Times New Roman"/>
                <w:sz w:val="24"/>
                <w:szCs w:val="24"/>
              </w:rPr>
              <w:t xml:space="preserve"> Visbeidzot, ja būs tāda nepieciešamība, tad </w:t>
            </w:r>
            <w:r w:rsidR="006279A7" w:rsidRPr="004F4468">
              <w:rPr>
                <w:rFonts w:ascii="Times New Roman" w:hAnsi="Times New Roman"/>
                <w:sz w:val="24"/>
                <w:szCs w:val="24"/>
              </w:rPr>
              <w:t xml:space="preserve">atlikušos </w:t>
            </w:r>
            <w:r w:rsidR="00F53619" w:rsidRPr="004F4468">
              <w:rPr>
                <w:rFonts w:ascii="Times New Roman" w:hAnsi="Times New Roman"/>
                <w:sz w:val="24"/>
                <w:szCs w:val="24"/>
              </w:rPr>
              <w:t xml:space="preserve">finanšu līdzekļus ir plānots pieprasīt no </w:t>
            </w:r>
            <w:r w:rsidR="006279A7" w:rsidRPr="004F4468">
              <w:rPr>
                <w:rFonts w:ascii="Times New Roman" w:hAnsi="Times New Roman"/>
                <w:sz w:val="24"/>
                <w:szCs w:val="24"/>
              </w:rPr>
              <w:t xml:space="preserve">valsts </w:t>
            </w:r>
            <w:r w:rsidR="00F53619" w:rsidRPr="004F4468">
              <w:rPr>
                <w:rFonts w:ascii="Times New Roman" w:hAnsi="Times New Roman"/>
                <w:sz w:val="24"/>
                <w:szCs w:val="24"/>
              </w:rPr>
              <w:t xml:space="preserve">budžeta programmas 80.00.00 „Nesadalītais finansējums Eiropas Savienības politiku instrumentu un pārējās ārvalstu finanšu palīdzības līdzfinansēto projektu un pasākumu īstenošanai”. </w:t>
            </w:r>
          </w:p>
        </w:tc>
      </w:tr>
      <w:tr w:rsidR="00937FF7" w:rsidRPr="004F4468" w:rsidTr="00B4660A">
        <w:tblPrEx>
          <w:jc w:val="center"/>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6.1. detalizēts ieņēmumu aprēķins</w:t>
            </w:r>
          </w:p>
          <w:p w:rsidR="00937FF7" w:rsidRPr="004F4468" w:rsidRDefault="00937FF7" w:rsidP="00B4660A">
            <w:pPr>
              <w:jc w:val="both"/>
              <w:rPr>
                <w:rFonts w:ascii="Times New Roman" w:hAnsi="Times New Roman"/>
                <w:sz w:val="24"/>
                <w:szCs w:val="24"/>
              </w:rPr>
            </w:pPr>
          </w:p>
          <w:p w:rsidR="00937FF7" w:rsidRPr="004F4468" w:rsidRDefault="00937FF7" w:rsidP="00B4660A">
            <w:pPr>
              <w:jc w:val="both"/>
              <w:rPr>
                <w:rFonts w:ascii="Times New Roman" w:hAnsi="Times New Roman"/>
                <w:sz w:val="24"/>
                <w:szCs w:val="24"/>
              </w:rPr>
            </w:pPr>
          </w:p>
        </w:tc>
        <w:tc>
          <w:tcPr>
            <w:tcW w:w="3520" w:type="pct"/>
            <w:gridSpan w:val="5"/>
            <w:vMerge/>
          </w:tcPr>
          <w:p w:rsidR="00937FF7" w:rsidRPr="004F4468" w:rsidRDefault="00937FF7" w:rsidP="00B4660A">
            <w:pPr>
              <w:pStyle w:val="naisf"/>
              <w:spacing w:before="0" w:after="0"/>
              <w:rPr>
                <w:b/>
                <w:i/>
                <w:szCs w:val="24"/>
              </w:rPr>
            </w:pPr>
          </w:p>
        </w:tc>
      </w:tr>
      <w:tr w:rsidR="00937FF7" w:rsidRPr="004F4468" w:rsidTr="00B4660A">
        <w:tblPrEx>
          <w:jc w:val="center"/>
          <w:tblCellMar>
            <w:top w:w="0" w:type="dxa"/>
            <w:left w:w="108" w:type="dxa"/>
            <w:bottom w:w="0" w:type="dxa"/>
            <w:right w:w="108" w:type="dxa"/>
          </w:tblCellMar>
          <w:tblLook w:val="01E0"/>
        </w:tblPrEx>
        <w:trPr>
          <w:gridAfter w:val="1"/>
          <w:wAfter w:w="40" w:type="pct"/>
          <w:trHeight w:val="2936"/>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t>6.2. detalizēts izdevumu aprēķins</w:t>
            </w:r>
          </w:p>
        </w:tc>
        <w:tc>
          <w:tcPr>
            <w:tcW w:w="3520" w:type="pct"/>
            <w:gridSpan w:val="5"/>
            <w:vMerge/>
          </w:tcPr>
          <w:p w:rsidR="00937FF7" w:rsidRPr="004F4468" w:rsidRDefault="00937FF7" w:rsidP="00B4660A">
            <w:pPr>
              <w:pStyle w:val="naisf"/>
              <w:spacing w:before="0" w:after="0"/>
              <w:rPr>
                <w:b/>
                <w:i/>
                <w:szCs w:val="24"/>
              </w:rPr>
            </w:pPr>
          </w:p>
        </w:tc>
      </w:tr>
      <w:tr w:rsidR="00937FF7" w:rsidRPr="004F4468" w:rsidTr="00B4660A">
        <w:tblPrEx>
          <w:jc w:val="center"/>
          <w:tblCellMar>
            <w:top w:w="0" w:type="dxa"/>
            <w:left w:w="108" w:type="dxa"/>
            <w:bottom w:w="0" w:type="dxa"/>
            <w:right w:w="108" w:type="dxa"/>
          </w:tblCellMar>
          <w:tblLook w:val="01E0"/>
        </w:tblPrEx>
        <w:trPr>
          <w:gridAfter w:val="1"/>
          <w:wAfter w:w="40" w:type="pct"/>
          <w:jc w:val="center"/>
        </w:trPr>
        <w:tc>
          <w:tcPr>
            <w:tcW w:w="1440" w:type="pct"/>
          </w:tcPr>
          <w:p w:rsidR="00937FF7" w:rsidRPr="004F4468" w:rsidRDefault="00937FF7" w:rsidP="00B4660A">
            <w:pPr>
              <w:jc w:val="both"/>
              <w:rPr>
                <w:rFonts w:ascii="Times New Roman" w:hAnsi="Times New Roman"/>
                <w:sz w:val="24"/>
                <w:szCs w:val="24"/>
              </w:rPr>
            </w:pPr>
            <w:r w:rsidRPr="004F4468">
              <w:rPr>
                <w:rFonts w:ascii="Times New Roman" w:hAnsi="Times New Roman"/>
                <w:sz w:val="24"/>
                <w:szCs w:val="24"/>
              </w:rPr>
              <w:lastRenderedPageBreak/>
              <w:t>7. Cita informācija</w:t>
            </w:r>
          </w:p>
        </w:tc>
        <w:tc>
          <w:tcPr>
            <w:tcW w:w="3520" w:type="pct"/>
            <w:gridSpan w:val="5"/>
          </w:tcPr>
          <w:p w:rsidR="00937FF7" w:rsidRPr="004F4468" w:rsidRDefault="00937FF7" w:rsidP="00B4660A">
            <w:pPr>
              <w:pStyle w:val="naisf"/>
              <w:tabs>
                <w:tab w:val="left" w:pos="4644"/>
              </w:tabs>
              <w:spacing w:before="0" w:after="0"/>
              <w:rPr>
                <w:szCs w:val="24"/>
                <w:lang w:val="lv-LV"/>
              </w:rPr>
            </w:pPr>
            <w:r w:rsidRPr="004F4468">
              <w:rPr>
                <w:szCs w:val="24"/>
                <w:lang w:val="lv-LV"/>
              </w:rPr>
              <w:t>Virssaistības tiks deklarētas Eiropas Komisijai pēc attiecināmo izdevumu rašanās.</w:t>
            </w:r>
          </w:p>
        </w:tc>
      </w:tr>
    </w:tbl>
    <w:p w:rsidR="00937FF7" w:rsidRPr="004F4468" w:rsidRDefault="00937FF7" w:rsidP="009E641F">
      <w:pPr>
        <w:spacing w:after="0" w:line="240" w:lineRule="auto"/>
        <w:rPr>
          <w:rFonts w:ascii="Times New Roman" w:eastAsia="Times New Roman" w:hAnsi="Times New Roman"/>
          <w:sz w:val="24"/>
          <w:szCs w:val="24"/>
          <w:lang w:eastAsia="lv-LV"/>
        </w:rPr>
      </w:pPr>
    </w:p>
    <w:p w:rsidR="00937FF7" w:rsidRPr="004F4468" w:rsidRDefault="00937FF7" w:rsidP="009E641F">
      <w:pPr>
        <w:spacing w:after="0" w:line="240" w:lineRule="auto"/>
        <w:rPr>
          <w:rFonts w:ascii="Times New Roman" w:eastAsia="Times New Roman" w:hAnsi="Times New Roman"/>
          <w:sz w:val="24"/>
          <w:szCs w:val="24"/>
          <w:lang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843"/>
        <w:gridCol w:w="5244"/>
      </w:tblGrid>
      <w:tr w:rsidR="008A27AD" w:rsidRPr="004F4468" w:rsidTr="006075B4">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8A27AD" w:rsidRPr="004F4468" w:rsidRDefault="008A27AD" w:rsidP="006075B4">
            <w:pPr>
              <w:ind w:firstLine="720"/>
              <w:jc w:val="both"/>
              <w:rPr>
                <w:rFonts w:ascii="Times New Roman" w:eastAsia="Times New Roman" w:hAnsi="Times New Roman"/>
                <w:b/>
                <w:sz w:val="24"/>
                <w:szCs w:val="24"/>
                <w:lang w:eastAsia="lv-LV"/>
              </w:rPr>
            </w:pPr>
            <w:r w:rsidRPr="004F4468">
              <w:rPr>
                <w:rFonts w:ascii="Times New Roman" w:eastAsia="Times New Roman" w:hAnsi="Times New Roman"/>
                <w:b/>
                <w:sz w:val="24"/>
                <w:szCs w:val="24"/>
                <w:lang w:eastAsia="lv-LV"/>
              </w:rPr>
              <w:t>IV. Tiesību akta projekta ietekme uz spēkā esošo tiesību normu sistēmu</w:t>
            </w:r>
          </w:p>
        </w:tc>
      </w:tr>
      <w:tr w:rsidR="008A27AD" w:rsidRPr="004F4468" w:rsidTr="006075B4">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8A27AD" w:rsidRPr="004F4468" w:rsidRDefault="008A27AD" w:rsidP="006075B4">
            <w:pPr>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1. Nepieciešamie saistītie tiesību aktu projekti</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8A27AD" w:rsidRPr="004F4468" w:rsidRDefault="008A27AD" w:rsidP="0015248C">
            <w:pPr>
              <w:spacing w:after="0" w:line="240" w:lineRule="auto"/>
              <w:ind w:firstLine="720"/>
              <w:jc w:val="both"/>
              <w:rPr>
                <w:rFonts w:ascii="Times New Roman" w:hAnsi="Times New Roman"/>
                <w:sz w:val="24"/>
                <w:szCs w:val="24"/>
              </w:rPr>
            </w:pPr>
            <w:r w:rsidRPr="004F4468">
              <w:rPr>
                <w:rFonts w:ascii="Times New Roman" w:hAnsi="Times New Roman"/>
                <w:sz w:val="24"/>
                <w:szCs w:val="24"/>
              </w:rPr>
              <w:t>Jāveic sekojoši grozījumi</w:t>
            </w:r>
            <w:r w:rsidR="0015248C" w:rsidRPr="004F4468">
              <w:rPr>
                <w:rFonts w:ascii="Times New Roman" w:hAnsi="Times New Roman"/>
                <w:sz w:val="24"/>
                <w:szCs w:val="24"/>
              </w:rPr>
              <w:t>:</w:t>
            </w:r>
          </w:p>
          <w:p w:rsidR="00783FDE" w:rsidRPr="004F4468" w:rsidRDefault="000A29E7" w:rsidP="000A29E7">
            <w:pPr>
              <w:spacing w:after="0" w:line="240" w:lineRule="auto"/>
              <w:ind w:left="141" w:firstLine="567"/>
              <w:jc w:val="both"/>
              <w:rPr>
                <w:rFonts w:ascii="Times New Roman" w:hAnsi="Times New Roman"/>
                <w:bCs/>
                <w:sz w:val="24"/>
                <w:szCs w:val="24"/>
              </w:rPr>
            </w:pPr>
            <w:r w:rsidRPr="004F4468">
              <w:rPr>
                <w:rFonts w:ascii="Times New Roman" w:hAnsi="Times New Roman"/>
                <w:bCs/>
                <w:sz w:val="24"/>
                <w:szCs w:val="24"/>
              </w:rPr>
              <w:t>D</w:t>
            </w:r>
            <w:r w:rsidR="00783FDE" w:rsidRPr="004F4468">
              <w:rPr>
                <w:rFonts w:ascii="Times New Roman" w:hAnsi="Times New Roman"/>
                <w:bCs/>
                <w:sz w:val="24"/>
                <w:szCs w:val="24"/>
              </w:rPr>
              <w:t>arbības programmas „Uzņēmējdarbība un inovācijas” papildinājumā</w:t>
            </w:r>
            <w:r w:rsidRPr="004F4468">
              <w:rPr>
                <w:rFonts w:ascii="Times New Roman" w:hAnsi="Times New Roman"/>
                <w:bCs/>
                <w:sz w:val="24"/>
                <w:szCs w:val="24"/>
              </w:rPr>
              <w:t xml:space="preserve"> </w:t>
            </w:r>
            <w:r w:rsidR="00783FDE" w:rsidRPr="004F4468">
              <w:rPr>
                <w:rFonts w:ascii="Times New Roman" w:hAnsi="Times New Roman"/>
                <w:sz w:val="24"/>
                <w:szCs w:val="24"/>
                <w:lang w:eastAsia="lv-LV"/>
              </w:rPr>
              <w:t xml:space="preserve">jāprecizē 2.1.2.4.aktivitātes otrai kārtai minimālais kopējo </w:t>
            </w:r>
            <w:r w:rsidR="00783FDE" w:rsidRPr="004F4468">
              <w:rPr>
                <w:rFonts w:ascii="Times New Roman" w:hAnsi="Times New Roman"/>
                <w:sz w:val="24"/>
                <w:szCs w:val="24"/>
                <w:lang w:eastAsia="lv-LV"/>
              </w:rPr>
              <w:lastRenderedPageBreak/>
              <w:t>attiecināmo izmaksu apjoms un maksimāl</w:t>
            </w:r>
            <w:r w:rsidR="00C2337A" w:rsidRPr="004F4468">
              <w:rPr>
                <w:rFonts w:ascii="Times New Roman" w:hAnsi="Times New Roman"/>
                <w:sz w:val="24"/>
                <w:szCs w:val="24"/>
                <w:lang w:eastAsia="lv-LV"/>
              </w:rPr>
              <w:t>ais publiskā finansējuma apjoms;</w:t>
            </w:r>
          </w:p>
          <w:p w:rsidR="000A29E7" w:rsidRPr="004F4468" w:rsidRDefault="000A29E7" w:rsidP="00942D39">
            <w:pPr>
              <w:spacing w:after="0" w:line="240" w:lineRule="auto"/>
              <w:ind w:left="141" w:firstLine="579"/>
              <w:jc w:val="both"/>
              <w:rPr>
                <w:rFonts w:ascii="Times New Roman" w:eastAsia="Times New Roman" w:hAnsi="Times New Roman"/>
                <w:sz w:val="24"/>
                <w:szCs w:val="24"/>
                <w:lang w:eastAsia="lv-LV"/>
              </w:rPr>
            </w:pPr>
            <w:r w:rsidRPr="004F4468">
              <w:rPr>
                <w:rFonts w:ascii="Times New Roman" w:hAnsi="Times New Roman"/>
                <w:sz w:val="24"/>
                <w:szCs w:val="24"/>
              </w:rPr>
              <w:t xml:space="preserve">Ministru kabineta 2008.gada 26.februāra noteikumos Nr.129 „Noteikumi par darbības programmas „Uzņēmējdarbība un inovācijas” papildinājuma 2.1.2.1.2.apakšaktivitāti „Tehnoloģiju pārneses kontaktpunkti”” </w:t>
            </w:r>
            <w:r w:rsidRPr="004F4468">
              <w:rPr>
                <w:rFonts w:ascii="Times New Roman" w:eastAsia="Times New Roman" w:hAnsi="Times New Roman"/>
                <w:sz w:val="24"/>
                <w:szCs w:val="24"/>
                <w:lang w:eastAsia="lv-LV"/>
              </w:rPr>
              <w:t>jāprecizē apakšakt</w:t>
            </w:r>
            <w:r w:rsidR="003E312D" w:rsidRPr="004F4468">
              <w:rPr>
                <w:rFonts w:ascii="Times New Roman" w:eastAsia="Times New Roman" w:hAnsi="Times New Roman"/>
                <w:sz w:val="24"/>
                <w:szCs w:val="24"/>
                <w:lang w:eastAsia="lv-LV"/>
              </w:rPr>
              <w:t>ivitātei pieejamais finansējums;</w:t>
            </w:r>
          </w:p>
          <w:p w:rsidR="00E15649" w:rsidRPr="004F4468" w:rsidRDefault="00E15649" w:rsidP="00E15649">
            <w:pPr>
              <w:spacing w:after="0" w:line="240" w:lineRule="auto"/>
              <w:ind w:firstLine="720"/>
              <w:jc w:val="both"/>
              <w:rPr>
                <w:rFonts w:ascii="Times New Roman" w:hAnsi="Times New Roman"/>
                <w:sz w:val="24"/>
                <w:szCs w:val="24"/>
              </w:rPr>
            </w:pPr>
            <w:r w:rsidRPr="004F4468">
              <w:rPr>
                <w:rFonts w:ascii="Times New Roman" w:hAnsi="Times New Roman"/>
                <w:sz w:val="24"/>
                <w:szCs w:val="24"/>
              </w:rPr>
              <w:t>Ministru kabineta 2009.gada 24.februāra noteikumos Nr.200 „</w:t>
            </w:r>
            <w:r w:rsidRPr="004F4468">
              <w:rPr>
                <w:rFonts w:ascii="Times New Roman" w:eastAsia="Times New Roman" w:hAnsi="Times New Roman"/>
                <w:bCs/>
                <w:sz w:val="24"/>
                <w:szCs w:val="24"/>
                <w:lang w:eastAsia="lv-LV"/>
              </w:rPr>
              <w:t>Noteikumi par darbības programmas „Uzņēmējdarbība un inovācijas” papildinājuma 2.1.2.4. aktivitāti „Augstas pievienotās vērtības investīcijas””</w:t>
            </w:r>
            <w:r w:rsidRPr="004F4468">
              <w:rPr>
                <w:rFonts w:ascii="Times New Roman" w:hAnsi="Times New Roman"/>
                <w:sz w:val="24"/>
                <w:szCs w:val="24"/>
              </w:rPr>
              <w:t>:</w:t>
            </w:r>
          </w:p>
          <w:p w:rsidR="00E15649" w:rsidRPr="004F4468" w:rsidRDefault="00E15649" w:rsidP="00E15649">
            <w:pPr>
              <w:pStyle w:val="ListParagraph"/>
              <w:numPr>
                <w:ilvl w:val="0"/>
                <w:numId w:val="7"/>
              </w:numPr>
              <w:jc w:val="both"/>
              <w:rPr>
                <w:rFonts w:eastAsia="Times New Roman"/>
                <w:sz w:val="24"/>
                <w:szCs w:val="24"/>
                <w:lang w:val="lv-LV" w:eastAsia="lv-LV"/>
              </w:rPr>
            </w:pPr>
            <w:r w:rsidRPr="004F4468">
              <w:rPr>
                <w:rFonts w:eastAsia="Times New Roman"/>
                <w:sz w:val="24"/>
                <w:szCs w:val="24"/>
                <w:lang w:val="lv-LV" w:eastAsia="lv-LV"/>
              </w:rPr>
              <w:t>jānosaka, ka minētie noteikumi attiecās uz projektu iesniegumu atlases pirmo kārtu – jāprecizē nosaukums;</w:t>
            </w:r>
          </w:p>
          <w:p w:rsidR="00E15649" w:rsidRPr="004F4468" w:rsidRDefault="00E15649" w:rsidP="00E15649">
            <w:pPr>
              <w:pStyle w:val="ListParagraph"/>
              <w:numPr>
                <w:ilvl w:val="0"/>
                <w:numId w:val="7"/>
              </w:numPr>
              <w:jc w:val="both"/>
              <w:rPr>
                <w:rFonts w:eastAsia="Times New Roman"/>
                <w:sz w:val="24"/>
                <w:szCs w:val="24"/>
                <w:lang w:val="lv-LV" w:eastAsia="lv-LV"/>
              </w:rPr>
            </w:pPr>
            <w:r w:rsidRPr="004F4468">
              <w:rPr>
                <w:rFonts w:eastAsia="Times New Roman"/>
                <w:sz w:val="24"/>
                <w:szCs w:val="24"/>
                <w:lang w:val="lv-LV" w:eastAsia="lv-LV"/>
              </w:rPr>
              <w:t>jāprecizē pirmajā kārtā rezervētais finansējums;</w:t>
            </w:r>
          </w:p>
          <w:p w:rsidR="00892BBE" w:rsidRPr="004F4468" w:rsidRDefault="00CA0126" w:rsidP="00892BBE">
            <w:pPr>
              <w:pStyle w:val="ListParagraph"/>
              <w:numPr>
                <w:ilvl w:val="0"/>
                <w:numId w:val="7"/>
              </w:numPr>
              <w:jc w:val="both"/>
              <w:rPr>
                <w:rFonts w:eastAsia="Times New Roman"/>
                <w:sz w:val="24"/>
                <w:szCs w:val="24"/>
                <w:lang w:val="lv-LV" w:eastAsia="lv-LV"/>
              </w:rPr>
            </w:pPr>
            <w:r w:rsidRPr="004F4468">
              <w:rPr>
                <w:bCs/>
                <w:sz w:val="24"/>
                <w:szCs w:val="24"/>
                <w:lang w:val="lv-LV"/>
              </w:rPr>
              <w:t>jāsvītro</w:t>
            </w:r>
            <w:r w:rsidR="00E15649" w:rsidRPr="004F4468">
              <w:rPr>
                <w:bCs/>
                <w:sz w:val="24"/>
                <w:szCs w:val="24"/>
                <w:lang w:val="lv-LV"/>
              </w:rPr>
              <w:t xml:space="preserve"> atsauces uz turpmāko projektu iesniegumu atlases kārtu organizēšanu</w:t>
            </w:r>
            <w:r w:rsidR="003E312D" w:rsidRPr="004F4468">
              <w:rPr>
                <w:bCs/>
                <w:sz w:val="24"/>
                <w:szCs w:val="24"/>
                <w:lang w:val="lv-LV"/>
              </w:rPr>
              <w:t>.</w:t>
            </w:r>
          </w:p>
        </w:tc>
      </w:tr>
      <w:tr w:rsidR="008A27AD" w:rsidRPr="004F4468" w:rsidTr="006075B4">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8A27AD" w:rsidRPr="004F4468" w:rsidRDefault="008A27AD" w:rsidP="006075B4">
            <w:pPr>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lastRenderedPageBreak/>
              <w:t>2. Cita informācija</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8A27AD" w:rsidRPr="004F4468" w:rsidRDefault="008A27AD" w:rsidP="006075B4">
            <w:pPr>
              <w:ind w:firstLine="720"/>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Nav.</w:t>
            </w:r>
          </w:p>
        </w:tc>
      </w:tr>
    </w:tbl>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 </w:t>
      </w:r>
    </w:p>
    <w:p w:rsidR="008A27AD" w:rsidRPr="004F4468" w:rsidRDefault="008A27AD" w:rsidP="009E641F">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447"/>
        <w:gridCol w:w="1779"/>
        <w:gridCol w:w="6995"/>
      </w:tblGrid>
      <w:tr w:rsidR="00003B50" w:rsidRPr="004F4468" w:rsidTr="008F2D36">
        <w:trPr>
          <w:tblCellSpacing w:w="15" w:type="dxa"/>
        </w:trPr>
        <w:tc>
          <w:tcPr>
            <w:tcW w:w="0" w:type="auto"/>
            <w:gridSpan w:val="3"/>
            <w:shd w:val="clear" w:color="auto" w:fill="auto"/>
            <w:hideMark/>
          </w:tcPr>
          <w:p w:rsidR="00003B50" w:rsidRPr="004F4468" w:rsidRDefault="00003B50" w:rsidP="00EA2715">
            <w:pPr>
              <w:spacing w:after="0" w:line="240" w:lineRule="auto"/>
              <w:jc w:val="center"/>
              <w:rPr>
                <w:rFonts w:ascii="Times New Roman" w:eastAsia="Times New Roman" w:hAnsi="Times New Roman"/>
                <w:b/>
                <w:bCs/>
                <w:sz w:val="24"/>
                <w:szCs w:val="24"/>
                <w:lang w:eastAsia="lv-LV"/>
              </w:rPr>
            </w:pPr>
            <w:r w:rsidRPr="004F4468">
              <w:rPr>
                <w:rFonts w:ascii="Times New Roman" w:eastAsia="Times New Roman" w:hAnsi="Times New Roman"/>
                <w:b/>
                <w:bCs/>
                <w:sz w:val="24"/>
                <w:szCs w:val="24"/>
                <w:lang w:eastAsia="lv-LV"/>
              </w:rPr>
              <w:t>V. Tiesību akta projekta atbilstība Latvijas Republikas starptautiskajām saistībām</w:t>
            </w:r>
          </w:p>
        </w:tc>
      </w:tr>
      <w:tr w:rsidR="007D3E72" w:rsidRPr="004F4468" w:rsidTr="008F2D36">
        <w:trPr>
          <w:tblCellSpacing w:w="15" w:type="dxa"/>
        </w:trPr>
        <w:tc>
          <w:tcPr>
            <w:tcW w:w="0" w:type="auto"/>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1.</w:t>
            </w:r>
          </w:p>
        </w:tc>
        <w:tc>
          <w:tcPr>
            <w:tcW w:w="961"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Saistības pret Eiropas Savienību</w:t>
            </w:r>
          </w:p>
        </w:tc>
        <w:tc>
          <w:tcPr>
            <w:tcW w:w="3818" w:type="pct"/>
            <w:shd w:val="clear" w:color="auto" w:fill="auto"/>
            <w:hideMark/>
          </w:tcPr>
          <w:p w:rsidR="00C658BB" w:rsidRPr="004F4468" w:rsidRDefault="005C1FE3" w:rsidP="00C658BB">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Ar noteikumu projektu tiks ieviestas šāda Eiropas Savienības tiesību akta prasības</w:t>
            </w:r>
            <w:r w:rsidR="00C658BB" w:rsidRPr="004F4468">
              <w:rPr>
                <w:rFonts w:ascii="Times New Roman" w:eastAsia="Times New Roman" w:hAnsi="Times New Roman"/>
                <w:sz w:val="24"/>
                <w:szCs w:val="24"/>
                <w:lang w:eastAsia="lv-LV"/>
              </w:rPr>
              <w:t>:</w:t>
            </w:r>
          </w:p>
          <w:p w:rsidR="00E97FB8" w:rsidRPr="004F4468" w:rsidRDefault="00C658BB" w:rsidP="00E97FB8">
            <w:pPr>
              <w:numPr>
                <w:ilvl w:val="0"/>
                <w:numId w:val="3"/>
              </w:numPr>
              <w:spacing w:after="0" w:line="240" w:lineRule="auto"/>
              <w:ind w:left="416" w:hanging="284"/>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Pa</w:t>
            </w:r>
            <w:r w:rsidR="00754121" w:rsidRPr="004F4468">
              <w:rPr>
                <w:rFonts w:ascii="Times New Roman" w:eastAsia="Times New Roman" w:hAnsi="Times New Roman"/>
                <w:sz w:val="24"/>
                <w:szCs w:val="24"/>
                <w:lang w:eastAsia="lv-LV"/>
              </w:rPr>
              <w:t>domes 2006.gada 11.jūlija Regula</w:t>
            </w:r>
            <w:r w:rsidRPr="004F4468">
              <w:rPr>
                <w:rFonts w:ascii="Times New Roman" w:eastAsia="Times New Roman" w:hAnsi="Times New Roman"/>
                <w:sz w:val="24"/>
                <w:szCs w:val="24"/>
                <w:lang w:eastAsia="lv-LV"/>
              </w:rPr>
              <w:t xml:space="preserve"> (EK) Nr.1083/2006, ar ko paredz vispārīgus noteikumus par Eiropas Reģionālās attīstības fondu, Eiropas Sociālo fondu un Kohēzijas fondu un atceļ Regulu (EK) Nr.1260/1999;</w:t>
            </w:r>
          </w:p>
          <w:p w:rsidR="00C658BB" w:rsidRPr="004F4468" w:rsidRDefault="00C658BB" w:rsidP="00E97FB8">
            <w:pPr>
              <w:numPr>
                <w:ilvl w:val="0"/>
                <w:numId w:val="3"/>
              </w:numPr>
              <w:spacing w:after="0" w:line="240" w:lineRule="auto"/>
              <w:ind w:left="416" w:hanging="284"/>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Komi</w:t>
            </w:r>
            <w:r w:rsidR="00754121" w:rsidRPr="004F4468">
              <w:rPr>
                <w:rFonts w:ascii="Times New Roman" w:eastAsia="Times New Roman" w:hAnsi="Times New Roman"/>
                <w:sz w:val="24"/>
                <w:szCs w:val="24"/>
                <w:lang w:eastAsia="lv-LV"/>
              </w:rPr>
              <w:t>sijas 2008.gada 6.augusta Regula</w:t>
            </w:r>
            <w:r w:rsidRPr="004F4468">
              <w:rPr>
                <w:rFonts w:ascii="Times New Roman" w:eastAsia="Times New Roman" w:hAnsi="Times New Roman"/>
                <w:sz w:val="24"/>
                <w:szCs w:val="24"/>
                <w:lang w:eastAsia="lv-LV"/>
              </w:rPr>
              <w:t xml:space="preserve"> (EK) Nr.800/2008, kas atzīst noteiktas atbalsta kategorijas par saderīgām ar kopējo tirgu, piemērojot Līguma 87. un 88.pantu (vispārējā grupu atbrīvojuma regula);</w:t>
            </w:r>
          </w:p>
          <w:p w:rsidR="00687AA1" w:rsidRPr="004F4468" w:rsidRDefault="00DA0945" w:rsidP="00A20EC0">
            <w:pPr>
              <w:numPr>
                <w:ilvl w:val="0"/>
                <w:numId w:val="3"/>
              </w:numPr>
              <w:spacing w:after="40" w:line="240" w:lineRule="auto"/>
              <w:ind w:left="414" w:hanging="284"/>
              <w:jc w:val="both"/>
              <w:rPr>
                <w:rFonts w:ascii="Times New Roman" w:eastAsia="Times New Roman" w:hAnsi="Times New Roman"/>
                <w:b/>
                <w:sz w:val="24"/>
                <w:szCs w:val="24"/>
                <w:lang w:eastAsia="lv-LV"/>
              </w:rPr>
            </w:pPr>
            <w:r w:rsidRPr="004F4468">
              <w:rPr>
                <w:rFonts w:ascii="Times New Roman" w:eastAsia="Times New Roman" w:hAnsi="Times New Roman"/>
                <w:sz w:val="24"/>
                <w:szCs w:val="24"/>
                <w:lang w:eastAsia="lv-LV"/>
              </w:rPr>
              <w:t>Padomes 2002.gada 25.jūnija Regula (EK, EURATOM) Nr.1605/2002 par Finanšu regulu, ko piemēro Eiropas Kopienu vispārējam budžetam</w:t>
            </w:r>
            <w:r w:rsidR="00687AA1" w:rsidRPr="004F4468">
              <w:rPr>
                <w:rFonts w:ascii="Times New Roman" w:eastAsia="Times New Roman" w:hAnsi="Times New Roman"/>
                <w:sz w:val="24"/>
                <w:szCs w:val="24"/>
                <w:lang w:eastAsia="lv-LV"/>
              </w:rPr>
              <w:t>;</w:t>
            </w:r>
          </w:p>
          <w:p w:rsidR="00B97CDE" w:rsidRPr="004F4468" w:rsidRDefault="00B97CDE" w:rsidP="00A20EC0">
            <w:pPr>
              <w:numPr>
                <w:ilvl w:val="0"/>
                <w:numId w:val="3"/>
              </w:numPr>
              <w:spacing w:after="40" w:line="240" w:lineRule="auto"/>
              <w:ind w:left="414" w:hanging="284"/>
              <w:jc w:val="both"/>
              <w:rPr>
                <w:rFonts w:ascii="Times New Roman" w:eastAsia="Times New Roman" w:hAnsi="Times New Roman"/>
                <w:b/>
                <w:sz w:val="24"/>
                <w:szCs w:val="24"/>
                <w:lang w:eastAsia="lv-LV"/>
              </w:rPr>
            </w:pPr>
            <w:r w:rsidRPr="004F4468">
              <w:rPr>
                <w:rFonts w:ascii="Times New Roman" w:hAnsi="Times New Roman"/>
                <w:sz w:val="24"/>
                <w:szCs w:val="24"/>
              </w:rPr>
              <w:t>Komisijas paziņojums Kopienas pamatnostādnes par valsts atbalstu grūtībās nonākušu uzņēmumu glābšanai un pārstrukturēšanai (2004/C 244/02).</w:t>
            </w:r>
          </w:p>
        </w:tc>
      </w:tr>
      <w:tr w:rsidR="007D3E72" w:rsidRPr="004F4468" w:rsidTr="008F2D36">
        <w:trPr>
          <w:tblCellSpacing w:w="15" w:type="dxa"/>
        </w:trPr>
        <w:tc>
          <w:tcPr>
            <w:tcW w:w="0" w:type="auto"/>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2.</w:t>
            </w:r>
          </w:p>
        </w:tc>
        <w:tc>
          <w:tcPr>
            <w:tcW w:w="961"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Citas starptautiskās saistības</w:t>
            </w:r>
          </w:p>
        </w:tc>
        <w:tc>
          <w:tcPr>
            <w:tcW w:w="3818" w:type="pct"/>
            <w:shd w:val="clear" w:color="auto" w:fill="auto"/>
            <w:hideMark/>
          </w:tcPr>
          <w:p w:rsidR="00003B50" w:rsidRPr="004F4468" w:rsidRDefault="00A20EC0" w:rsidP="00AF7854">
            <w:pPr>
              <w:spacing w:after="0" w:line="240" w:lineRule="auto"/>
              <w:ind w:firstLine="341"/>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Projekts šo jomu neskar.</w:t>
            </w:r>
          </w:p>
        </w:tc>
      </w:tr>
      <w:tr w:rsidR="007D3E72" w:rsidRPr="004F4468" w:rsidTr="008F2D36">
        <w:trPr>
          <w:tblCellSpacing w:w="15" w:type="dxa"/>
        </w:trPr>
        <w:tc>
          <w:tcPr>
            <w:tcW w:w="0" w:type="auto"/>
            <w:shd w:val="clear" w:color="auto" w:fill="auto"/>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3.</w:t>
            </w:r>
          </w:p>
        </w:tc>
        <w:tc>
          <w:tcPr>
            <w:tcW w:w="961" w:type="pct"/>
            <w:shd w:val="clear" w:color="auto" w:fill="auto"/>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Cita informācija</w:t>
            </w:r>
          </w:p>
        </w:tc>
        <w:tc>
          <w:tcPr>
            <w:tcW w:w="3818" w:type="pct"/>
            <w:shd w:val="clear" w:color="auto" w:fill="auto"/>
            <w:hideMark/>
          </w:tcPr>
          <w:p w:rsidR="00003B50" w:rsidRPr="004F4468" w:rsidRDefault="00003B50" w:rsidP="00AF7854">
            <w:pPr>
              <w:spacing w:after="0" w:line="240" w:lineRule="auto"/>
              <w:ind w:firstLine="341"/>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Nav</w:t>
            </w:r>
          </w:p>
        </w:tc>
      </w:tr>
    </w:tbl>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 </w:t>
      </w:r>
    </w:p>
    <w:tbl>
      <w:tblPr>
        <w:tblW w:w="49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140"/>
        <w:gridCol w:w="1226"/>
        <w:gridCol w:w="1362"/>
        <w:gridCol w:w="5484"/>
      </w:tblGrid>
      <w:tr w:rsidR="009E168C" w:rsidRPr="004F4468" w:rsidTr="009E168C">
        <w:trPr>
          <w:tblCellSpacing w:w="15" w:type="dxa"/>
        </w:trPr>
        <w:tc>
          <w:tcPr>
            <w:tcW w:w="4967"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03B50" w:rsidRPr="004F4468" w:rsidRDefault="00003B50" w:rsidP="009E641F">
            <w:pPr>
              <w:spacing w:after="0" w:line="240" w:lineRule="auto"/>
              <w:jc w:val="center"/>
              <w:rPr>
                <w:rFonts w:ascii="Times New Roman" w:eastAsia="Times New Roman" w:hAnsi="Times New Roman"/>
                <w:b/>
                <w:bCs/>
                <w:sz w:val="24"/>
                <w:szCs w:val="24"/>
                <w:lang w:eastAsia="lv-LV"/>
              </w:rPr>
            </w:pPr>
            <w:r w:rsidRPr="004F4468">
              <w:rPr>
                <w:rFonts w:ascii="Times New Roman" w:eastAsia="Times New Roman" w:hAnsi="Times New Roman"/>
                <w:b/>
                <w:bCs/>
                <w:sz w:val="24"/>
                <w:szCs w:val="24"/>
                <w:lang w:eastAsia="lv-LV"/>
              </w:rPr>
              <w:lastRenderedPageBreak/>
              <w:t>1.tabula</w:t>
            </w:r>
            <w:r w:rsidRPr="004F4468">
              <w:rPr>
                <w:rFonts w:ascii="Times New Roman" w:eastAsia="Times New Roman" w:hAnsi="Times New Roman"/>
                <w:b/>
                <w:bCs/>
                <w:sz w:val="24"/>
                <w:szCs w:val="24"/>
                <w:lang w:eastAsia="lv-LV"/>
              </w:rPr>
              <w:br/>
              <w:t>Tiesību akta projekta atbilstība ES tiesību aktiem</w:t>
            </w:r>
          </w:p>
        </w:tc>
      </w:tr>
      <w:tr w:rsidR="006503DF"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Attiecīgā ES tiesību akta datums, numurs un nosaukums</w:t>
            </w:r>
          </w:p>
        </w:tc>
        <w:tc>
          <w:tcPr>
            <w:tcW w:w="4351"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97CDE" w:rsidRPr="004F4468" w:rsidRDefault="00B97CDE" w:rsidP="00B97CDE">
            <w:pPr>
              <w:pStyle w:val="naiskr"/>
              <w:jc w:val="both"/>
            </w:pPr>
            <w:r w:rsidRPr="004F4468">
              <w:t xml:space="preserve">Ar normatīvo aktu tiek ieviestas šāda Eiropas Savienības tiesību akta prasības: </w:t>
            </w:r>
          </w:p>
          <w:p w:rsidR="00DF7185" w:rsidRPr="004F4468" w:rsidRDefault="00DF7185" w:rsidP="00DD33D9">
            <w:pPr>
              <w:spacing w:after="12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Padomes 2006.gada 11.jūlija Regula (EK) Nr.1083/2006, ar ko paredz vispārīgus noteikumus par Eiropas Reģionālās attīstības fondu, Eiropas Sociālo fondu un Kohēzijas fondu un atceļ Regulu (EK) Nr.1260/1999 (turpmāk – Padomes Regula Nr.1083/2006);</w:t>
            </w:r>
          </w:p>
          <w:p w:rsidR="00DF7185" w:rsidRPr="004F4468" w:rsidRDefault="00DF7185" w:rsidP="00DD33D9">
            <w:pPr>
              <w:spacing w:after="12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Komisijas 2008.gada 6.augusta Regula (EK) Nr.800/2008, kas atzīst noteiktas atbalsta kategorijas par saderīgām ar kopējo tirgu, piemērojot Līguma 87. un 88.pantu (vispārējā grupu atbrīvojuma regula) (turpmāk – Komisijas Regula Nr.800/2008);</w:t>
            </w:r>
          </w:p>
          <w:p w:rsidR="00003B50" w:rsidRPr="004F4468" w:rsidRDefault="00DF7185" w:rsidP="00057424">
            <w:pPr>
              <w:spacing w:after="12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Padomes 2002.gada 25.jūnija Regula (EK, EURATOM) Nr.1605/2002 par Finanšu regulu, ko piemēro Eiropas Kopienu vispārējam budžetam (turpmāk – Padomes Regula Nr.1605/2002);</w:t>
            </w:r>
          </w:p>
          <w:p w:rsidR="008A27AD" w:rsidRPr="004F4468" w:rsidRDefault="008A27AD" w:rsidP="00057424">
            <w:pPr>
              <w:spacing w:after="120" w:line="240" w:lineRule="auto"/>
              <w:jc w:val="both"/>
              <w:rPr>
                <w:rFonts w:ascii="Times New Roman" w:eastAsia="Times New Roman" w:hAnsi="Times New Roman"/>
                <w:b/>
                <w:sz w:val="24"/>
                <w:szCs w:val="24"/>
                <w:lang w:eastAsia="lv-LV"/>
              </w:rPr>
            </w:pPr>
            <w:r w:rsidRPr="004F4468">
              <w:rPr>
                <w:rFonts w:ascii="Times New Roman" w:hAnsi="Times New Roman"/>
                <w:sz w:val="24"/>
                <w:szCs w:val="24"/>
              </w:rPr>
              <w:t>Komisijas paziņojums Kopienas pamatnostādnes par valsts atbalstu grūtībās nonākušu uzņēmumu glābšanai un pārstrukturēšanai (2004/C 244/02).</w:t>
            </w:r>
          </w:p>
        </w:tc>
      </w:tr>
      <w:tr w:rsidR="008B300D"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03B50" w:rsidRPr="004F4468" w:rsidRDefault="00003B50" w:rsidP="009E641F">
            <w:pPr>
              <w:spacing w:after="0" w:line="240" w:lineRule="auto"/>
              <w:jc w:val="center"/>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A</w:t>
            </w:r>
          </w:p>
        </w:tc>
        <w:tc>
          <w:tcPr>
            <w:tcW w:w="6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03B50" w:rsidRPr="004F4468" w:rsidRDefault="00003B50" w:rsidP="009E641F">
            <w:pPr>
              <w:spacing w:after="0" w:line="240" w:lineRule="auto"/>
              <w:jc w:val="center"/>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B</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03B50" w:rsidRPr="004F4468" w:rsidRDefault="00003B50" w:rsidP="009E641F">
            <w:pPr>
              <w:spacing w:after="0" w:line="240" w:lineRule="auto"/>
              <w:jc w:val="center"/>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C</w:t>
            </w:r>
          </w:p>
        </w:tc>
        <w:tc>
          <w:tcPr>
            <w:tcW w:w="29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03B50" w:rsidRPr="004F4468" w:rsidRDefault="00003B50" w:rsidP="009E641F">
            <w:pPr>
              <w:spacing w:after="0" w:line="240" w:lineRule="auto"/>
              <w:jc w:val="center"/>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D</w:t>
            </w:r>
          </w:p>
        </w:tc>
      </w:tr>
      <w:tr w:rsidR="008B300D"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6F2C94" w:rsidRPr="004F4468" w:rsidRDefault="006F2C94" w:rsidP="00057424">
            <w:pPr>
              <w:pStyle w:val="naiskr"/>
              <w:spacing w:before="0" w:after="0"/>
              <w:jc w:val="both"/>
            </w:pPr>
            <w:r w:rsidRPr="004F4468">
              <w:t xml:space="preserve">Attiecīgā ES tiesību akta panta numurs (uzskaitot katru tiesību akta </w:t>
            </w:r>
            <w:r w:rsidRPr="004F4468">
              <w:br/>
              <w:t>vienību – pantu, daļu, punktu, apakšpunktu)</w:t>
            </w:r>
          </w:p>
        </w:tc>
        <w:tc>
          <w:tcPr>
            <w:tcW w:w="656" w:type="pct"/>
            <w:tcBorders>
              <w:top w:val="outset" w:sz="6" w:space="0" w:color="auto"/>
              <w:left w:val="outset" w:sz="6" w:space="0" w:color="auto"/>
              <w:bottom w:val="outset" w:sz="6" w:space="0" w:color="auto"/>
              <w:right w:val="outset" w:sz="6" w:space="0" w:color="auto"/>
            </w:tcBorders>
            <w:shd w:val="clear" w:color="auto" w:fill="auto"/>
            <w:hideMark/>
          </w:tcPr>
          <w:p w:rsidR="006F2C94" w:rsidRPr="004F4468" w:rsidRDefault="006F2C94" w:rsidP="00057424">
            <w:pPr>
              <w:pStyle w:val="naiskr"/>
              <w:spacing w:before="0" w:after="0"/>
              <w:jc w:val="both"/>
            </w:pPr>
            <w:r w:rsidRPr="004F4468">
              <w:t>Projekta vienība, kas pārņem vai ievieš katru šīs tabulas A ailē minēto ES tiesību akta vienību</w:t>
            </w:r>
          </w:p>
        </w:tc>
        <w:tc>
          <w:tcPr>
            <w:tcW w:w="730" w:type="pct"/>
            <w:tcBorders>
              <w:top w:val="outset" w:sz="6" w:space="0" w:color="auto"/>
              <w:left w:val="outset" w:sz="6" w:space="0" w:color="auto"/>
              <w:bottom w:val="outset" w:sz="6" w:space="0" w:color="auto"/>
              <w:right w:val="outset" w:sz="6" w:space="0" w:color="auto"/>
            </w:tcBorders>
            <w:shd w:val="clear" w:color="auto" w:fill="auto"/>
            <w:hideMark/>
          </w:tcPr>
          <w:p w:rsidR="006F2C94" w:rsidRPr="004F4468" w:rsidRDefault="006F2C94" w:rsidP="00057424">
            <w:pPr>
              <w:pStyle w:val="naiskr"/>
              <w:spacing w:before="0" w:after="0"/>
              <w:jc w:val="both"/>
            </w:pPr>
            <w:r w:rsidRPr="004F4468">
              <w:t>Informācija par to, vai šīs tabulas A ailē minētās ES tiesību akta vienības tiek pārņemtas vai ieviestas pilnībā vai daļēji.</w:t>
            </w:r>
          </w:p>
          <w:p w:rsidR="006F2C94" w:rsidRPr="004F4468" w:rsidRDefault="006F2C94" w:rsidP="00057424">
            <w:pPr>
              <w:pStyle w:val="naiskr"/>
              <w:spacing w:before="0" w:after="0"/>
              <w:jc w:val="both"/>
            </w:pPr>
            <w:r w:rsidRPr="004F4468">
              <w:t xml:space="preserve">Ja attiecīgā ES tiesību akta vienība tiek pārņemta vai ieviesta daļēji, – sniedz attiecīgu skaidrojumu, kā arī precīzi norāda, kad un kādā veidā ES tiesību akta </w:t>
            </w:r>
            <w:r w:rsidRPr="004F4468">
              <w:lastRenderedPageBreak/>
              <w:t>vienība tiks pārņemta vai ieviesta pilnībā.</w:t>
            </w:r>
          </w:p>
          <w:p w:rsidR="006F2C94" w:rsidRPr="004F4468" w:rsidRDefault="006F2C94" w:rsidP="00057424">
            <w:pPr>
              <w:pStyle w:val="naiskr"/>
              <w:spacing w:before="0" w:after="0"/>
              <w:jc w:val="both"/>
            </w:pPr>
            <w:r w:rsidRPr="004F4468">
              <w:t>Norāda institūciju, kas ir atbildīga par šo saistību izpildi pilnībā</w:t>
            </w:r>
          </w:p>
        </w:tc>
        <w:tc>
          <w:tcPr>
            <w:tcW w:w="2933" w:type="pct"/>
            <w:tcBorders>
              <w:top w:val="outset" w:sz="6" w:space="0" w:color="auto"/>
              <w:left w:val="outset" w:sz="6" w:space="0" w:color="auto"/>
              <w:bottom w:val="outset" w:sz="6" w:space="0" w:color="auto"/>
              <w:right w:val="outset" w:sz="6" w:space="0" w:color="auto"/>
            </w:tcBorders>
            <w:shd w:val="clear" w:color="auto" w:fill="auto"/>
            <w:hideMark/>
          </w:tcPr>
          <w:p w:rsidR="006F2C94" w:rsidRPr="004F4468" w:rsidRDefault="006F2C94" w:rsidP="00057424">
            <w:pPr>
              <w:pStyle w:val="naiskr"/>
              <w:spacing w:before="0" w:after="0"/>
              <w:jc w:val="both"/>
            </w:pPr>
            <w:r w:rsidRPr="004F4468">
              <w:lastRenderedPageBreak/>
              <w:t>Informācija par to, vai šīs tabulas B ailē minētās projekta vienības paredz stingrākas prasības nekā šīs tabulas A ailē minētās ES tiesību akta vienības.</w:t>
            </w:r>
          </w:p>
          <w:p w:rsidR="006F2C94" w:rsidRPr="004F4468" w:rsidRDefault="006F2C94" w:rsidP="00057424">
            <w:pPr>
              <w:pStyle w:val="naiskr"/>
              <w:spacing w:before="0" w:after="0"/>
              <w:jc w:val="both"/>
            </w:pPr>
            <w:r w:rsidRPr="004F4468">
              <w:t xml:space="preserve">Ja projekts satur stingrākas prasības nekā attiecīgais ES tiesību </w:t>
            </w:r>
            <w:smartTag w:uri="schemas-tilde-lv/tildestengine" w:element="veidnes">
              <w:smartTagPr>
                <w:attr w:name="text" w:val="akts"/>
                <w:attr w:name="baseform" w:val="akts"/>
                <w:attr w:name="id" w:val="-1"/>
              </w:smartTagPr>
              <w:r w:rsidRPr="004F4468">
                <w:t>akts</w:t>
              </w:r>
            </w:smartTag>
            <w:r w:rsidRPr="004F4468">
              <w:t>, – norāda pamatojumu un samērīgumu.</w:t>
            </w:r>
          </w:p>
          <w:p w:rsidR="006F2C94" w:rsidRPr="004F4468" w:rsidRDefault="006F2C94" w:rsidP="00057424">
            <w:pPr>
              <w:pStyle w:val="naiskr"/>
              <w:spacing w:before="0" w:after="0"/>
              <w:jc w:val="both"/>
            </w:pPr>
            <w:r w:rsidRPr="004F4468">
              <w:t>Norāda iespējamās alternatīvas (t.sk. alternatīvas, kas neparedz tiesiskā regulējuma izstrādi) – kādos gadījumos būtu iespējams izvairīties no stingrāku prasību noteikšanas, nekā paredzēts attiecīgajos ES tiesību aktos</w:t>
            </w:r>
          </w:p>
        </w:tc>
      </w:tr>
      <w:tr w:rsidR="008B300D"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0D6AD4" w:rsidRPr="004F4468" w:rsidRDefault="000D6AD4" w:rsidP="00057424">
            <w:pPr>
              <w:pStyle w:val="naiskr"/>
              <w:spacing w:before="0" w:after="0"/>
              <w:jc w:val="both"/>
            </w:pPr>
            <w:r w:rsidRPr="004F4468">
              <w:rPr>
                <w:i/>
              </w:rPr>
              <w:lastRenderedPageBreak/>
              <w:t>Komisijas Regulas Nr.800/2008 3.panta 1.punkts</w:t>
            </w:r>
          </w:p>
        </w:tc>
        <w:tc>
          <w:tcPr>
            <w:tcW w:w="656" w:type="pct"/>
            <w:tcBorders>
              <w:top w:val="outset" w:sz="6" w:space="0" w:color="auto"/>
              <w:left w:val="outset" w:sz="6" w:space="0" w:color="auto"/>
              <w:bottom w:val="outset" w:sz="6" w:space="0" w:color="auto"/>
              <w:right w:val="outset" w:sz="6" w:space="0" w:color="auto"/>
            </w:tcBorders>
            <w:shd w:val="clear" w:color="auto" w:fill="auto"/>
            <w:hideMark/>
          </w:tcPr>
          <w:p w:rsidR="000D6AD4" w:rsidRPr="004F4468" w:rsidRDefault="000D6AD4" w:rsidP="00057424">
            <w:pPr>
              <w:pStyle w:val="naiskr"/>
              <w:spacing w:before="0" w:after="0"/>
              <w:jc w:val="both"/>
            </w:pPr>
            <w:r w:rsidRPr="004F4468">
              <w:rPr>
                <w:i/>
              </w:rPr>
              <w:t>Noteikumu projekta 2. punkts</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AD4" w:rsidRPr="004F4468" w:rsidRDefault="000D6AD4" w:rsidP="006075B4">
            <w:pPr>
              <w:pStyle w:val="naiskr"/>
              <w:spacing w:before="0" w:after="0"/>
              <w:jc w:val="both"/>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D6AD4" w:rsidRPr="004F4468" w:rsidRDefault="000D6AD4" w:rsidP="006075B4">
            <w:pPr>
              <w:pStyle w:val="naiskr"/>
              <w:spacing w:before="0" w:after="0"/>
              <w:jc w:val="both"/>
              <w:rPr>
                <w:i/>
              </w:rPr>
            </w:pPr>
            <w:r w:rsidRPr="004F4468">
              <w:rPr>
                <w:i/>
              </w:rPr>
              <w:t>neparedz stingrākas prasības</w:t>
            </w:r>
          </w:p>
        </w:tc>
      </w:tr>
      <w:tr w:rsidR="008B300D"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f"/>
              <w:spacing w:before="0" w:after="0"/>
              <w:rPr>
                <w:rFonts w:eastAsia="Times New Roman"/>
                <w:i/>
                <w:szCs w:val="24"/>
                <w:lang w:val="lv-LV"/>
              </w:rPr>
            </w:pPr>
            <w:r w:rsidRPr="004F4468">
              <w:rPr>
                <w:rFonts w:eastAsia="Times New Roman"/>
                <w:i/>
                <w:szCs w:val="24"/>
                <w:lang w:val="lv-LV"/>
              </w:rPr>
              <w:t xml:space="preserve">Padomes Regulas Nr.1083/2006 93.panta </w:t>
            </w:r>
          </w:p>
          <w:p w:rsidR="008B300D" w:rsidRPr="004F4468" w:rsidRDefault="008B300D" w:rsidP="003E07F2">
            <w:pPr>
              <w:pStyle w:val="naisf"/>
              <w:spacing w:before="0" w:after="0"/>
              <w:rPr>
                <w:rFonts w:eastAsia="Times New Roman"/>
                <w:i/>
                <w:szCs w:val="24"/>
                <w:lang w:val="lv-LV"/>
              </w:rPr>
            </w:pPr>
            <w:r w:rsidRPr="004F4468">
              <w:rPr>
                <w:rFonts w:eastAsia="Times New Roman"/>
                <w:i/>
                <w:szCs w:val="24"/>
                <w:lang w:val="lv-LV"/>
              </w:rPr>
              <w:t>1.</w:t>
            </w:r>
            <w:r w:rsidR="003E07F2" w:rsidRPr="004F4468" w:rsidDel="003E07F2">
              <w:rPr>
                <w:rFonts w:eastAsia="Times New Roman"/>
                <w:i/>
                <w:szCs w:val="24"/>
                <w:lang w:val="lv-LV"/>
              </w:rPr>
              <w:t xml:space="preserve"> </w:t>
            </w:r>
            <w:r w:rsidRPr="004F4468">
              <w:rPr>
                <w:rFonts w:eastAsia="Times New Roman"/>
                <w:i/>
                <w:szCs w:val="24"/>
                <w:lang w:val="lv-LV"/>
              </w:rPr>
              <w:t>punkts</w:t>
            </w:r>
          </w:p>
        </w:tc>
        <w:tc>
          <w:tcPr>
            <w:tcW w:w="656"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spacing w:after="0" w:line="240" w:lineRule="auto"/>
              <w:jc w:val="both"/>
              <w:rPr>
                <w:rFonts w:ascii="Times New Roman" w:hAnsi="Times New Roman"/>
                <w:i/>
                <w:sz w:val="24"/>
                <w:szCs w:val="24"/>
              </w:rPr>
            </w:pPr>
            <w:r w:rsidRPr="004F4468">
              <w:rPr>
                <w:rFonts w:ascii="Times New Roman" w:eastAsia="Times New Roman" w:hAnsi="Times New Roman"/>
                <w:i/>
                <w:sz w:val="24"/>
                <w:szCs w:val="24"/>
              </w:rPr>
              <w:t xml:space="preserve">Noteikumu projekta  7.1.1. un 7.2.8.apakšpunkts </w:t>
            </w:r>
          </w:p>
        </w:tc>
        <w:tc>
          <w:tcPr>
            <w:tcW w:w="730"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f"/>
              <w:spacing w:before="0" w:after="0"/>
              <w:rPr>
                <w:rFonts w:eastAsia="Times New Roman"/>
                <w:i/>
                <w:szCs w:val="24"/>
                <w:lang w:val="lv-LV"/>
              </w:rPr>
            </w:pPr>
            <w:r w:rsidRPr="004F4468">
              <w:rPr>
                <w:rFonts w:eastAsia="Times New Roman"/>
                <w:i/>
                <w:szCs w:val="24"/>
                <w:lang w:val="lv-LV"/>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f"/>
              <w:spacing w:before="0" w:after="0"/>
              <w:rPr>
                <w:rFonts w:eastAsia="Times New Roman"/>
                <w:i/>
                <w:szCs w:val="24"/>
                <w:lang w:val="lv-LV"/>
              </w:rPr>
            </w:pPr>
            <w:r w:rsidRPr="004F4468">
              <w:rPr>
                <w:rFonts w:eastAsia="Times New Roman"/>
                <w:i/>
                <w:szCs w:val="24"/>
                <w:lang w:val="lv-LV"/>
              </w:rPr>
              <w:t>neparedz stingrākas prasības</w:t>
            </w:r>
          </w:p>
        </w:tc>
      </w:tr>
      <w:tr w:rsidR="00AE5B7C"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f"/>
              <w:tabs>
                <w:tab w:val="left" w:pos="0"/>
                <w:tab w:val="num" w:pos="795"/>
              </w:tabs>
              <w:spacing w:before="0" w:after="0"/>
              <w:rPr>
                <w:i/>
                <w:szCs w:val="24"/>
                <w:lang w:val="lv-LV"/>
              </w:rPr>
            </w:pPr>
            <w:r w:rsidRPr="004F4468">
              <w:rPr>
                <w:i/>
                <w:szCs w:val="24"/>
                <w:lang w:val="lv-LV"/>
              </w:rPr>
              <w:t>Komisijas Regulas Nr.800/2008 1.pielikums;</w:t>
            </w:r>
          </w:p>
        </w:tc>
        <w:tc>
          <w:tcPr>
            <w:tcW w:w="656"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spacing w:after="0" w:line="240" w:lineRule="auto"/>
              <w:jc w:val="both"/>
              <w:rPr>
                <w:rFonts w:ascii="Times New Roman" w:eastAsia="Times New Roman" w:hAnsi="Times New Roman"/>
                <w:i/>
                <w:sz w:val="24"/>
                <w:szCs w:val="24"/>
              </w:rPr>
            </w:pPr>
            <w:r w:rsidRPr="004F4468">
              <w:rPr>
                <w:rFonts w:ascii="Times New Roman" w:eastAsia="Times New Roman" w:hAnsi="Times New Roman"/>
                <w:i/>
                <w:sz w:val="24"/>
                <w:szCs w:val="24"/>
              </w:rPr>
              <w:t xml:space="preserve">Noteikumu projekta 9. punkts </w:t>
            </w:r>
          </w:p>
        </w:tc>
        <w:tc>
          <w:tcPr>
            <w:tcW w:w="730"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f"/>
              <w:spacing w:before="0" w:after="0"/>
              <w:rPr>
                <w:rFonts w:eastAsia="Times New Roman"/>
                <w:i/>
                <w:szCs w:val="24"/>
                <w:lang w:val="lv-LV"/>
              </w:rPr>
            </w:pPr>
            <w:r w:rsidRPr="004F4468">
              <w:rPr>
                <w:rFonts w:eastAsia="Times New Roman"/>
                <w:i/>
                <w:szCs w:val="24"/>
                <w:lang w:val="lv-LV"/>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f"/>
              <w:spacing w:before="0" w:after="0"/>
              <w:rPr>
                <w:rFonts w:eastAsia="Times New Roman"/>
                <w:i/>
                <w:szCs w:val="24"/>
                <w:lang w:val="lv-LV"/>
              </w:rPr>
            </w:pPr>
            <w:r w:rsidRPr="004F4468">
              <w:rPr>
                <w:rFonts w:eastAsia="Times New Roman"/>
                <w:i/>
                <w:szCs w:val="24"/>
                <w:lang w:val="lv-LV"/>
              </w:rPr>
              <w:t>neparedz stingrākas prasības</w:t>
            </w:r>
          </w:p>
        </w:tc>
      </w:tr>
      <w:tr w:rsidR="00AE5B7C"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f"/>
              <w:tabs>
                <w:tab w:val="left" w:pos="0"/>
                <w:tab w:val="num" w:pos="795"/>
              </w:tabs>
              <w:spacing w:before="0" w:after="0"/>
              <w:rPr>
                <w:i/>
                <w:szCs w:val="24"/>
                <w:lang w:val="lv-LV"/>
              </w:rPr>
            </w:pPr>
            <w:r w:rsidRPr="004F4468">
              <w:rPr>
                <w:i/>
                <w:szCs w:val="24"/>
                <w:lang w:val="lv-LV"/>
              </w:rPr>
              <w:t>Komisijas Regulas Nr.800/2008 2.panta 8.punkts;</w:t>
            </w:r>
          </w:p>
        </w:tc>
        <w:tc>
          <w:tcPr>
            <w:tcW w:w="656"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spacing w:after="0" w:line="240" w:lineRule="auto"/>
              <w:jc w:val="both"/>
              <w:rPr>
                <w:rFonts w:ascii="Times New Roman" w:eastAsia="Times New Roman" w:hAnsi="Times New Roman"/>
                <w:i/>
                <w:sz w:val="24"/>
                <w:szCs w:val="24"/>
              </w:rPr>
            </w:pPr>
            <w:r w:rsidRPr="004F4468">
              <w:rPr>
                <w:rFonts w:ascii="Times New Roman" w:eastAsia="Times New Roman" w:hAnsi="Times New Roman"/>
                <w:i/>
                <w:sz w:val="24"/>
                <w:szCs w:val="24"/>
              </w:rPr>
              <w:t>Noteikumu projekta 10. punkts</w:t>
            </w:r>
          </w:p>
        </w:tc>
        <w:tc>
          <w:tcPr>
            <w:tcW w:w="730"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f"/>
              <w:spacing w:before="0" w:after="0"/>
              <w:rPr>
                <w:rFonts w:eastAsia="Times New Roman"/>
                <w:i/>
                <w:szCs w:val="24"/>
                <w:lang w:val="lv-LV"/>
              </w:rPr>
            </w:pPr>
            <w:r w:rsidRPr="004F4468">
              <w:rPr>
                <w:rFonts w:eastAsia="Times New Roman"/>
                <w:i/>
                <w:szCs w:val="24"/>
                <w:lang w:val="lv-LV"/>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f"/>
              <w:spacing w:before="0" w:after="0"/>
              <w:rPr>
                <w:rFonts w:eastAsia="Times New Roman"/>
                <w:i/>
                <w:szCs w:val="24"/>
                <w:lang w:val="lv-LV"/>
              </w:rPr>
            </w:pPr>
            <w:r w:rsidRPr="004F4468">
              <w:rPr>
                <w:rFonts w:eastAsia="Times New Roman"/>
                <w:i/>
                <w:szCs w:val="24"/>
                <w:lang w:val="lv-LV"/>
              </w:rPr>
              <w:t>neparedz stingrākas prasības</w:t>
            </w:r>
          </w:p>
        </w:tc>
      </w:tr>
      <w:tr w:rsidR="003B42DF"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kr"/>
              <w:spacing w:before="0" w:after="0"/>
              <w:rPr>
                <w:i/>
              </w:rPr>
            </w:pPr>
            <w:r w:rsidRPr="004F4468">
              <w:rPr>
                <w:i/>
              </w:rPr>
              <w:t>Komisijas Regulas Nr.800/2008 1.pielikuma 3.panta 3.punkts</w:t>
            </w:r>
          </w:p>
        </w:tc>
        <w:tc>
          <w:tcPr>
            <w:tcW w:w="656"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kr"/>
              <w:spacing w:before="0" w:after="0"/>
              <w:rPr>
                <w:i/>
              </w:rPr>
            </w:pPr>
            <w:r w:rsidRPr="004F4468">
              <w:rPr>
                <w:i/>
              </w:rPr>
              <w:t>noteikumu projekta 11.punkts</w:t>
            </w:r>
          </w:p>
        </w:tc>
        <w:tc>
          <w:tcPr>
            <w:tcW w:w="730"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kr"/>
              <w:spacing w:before="0" w:after="0"/>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kr"/>
              <w:spacing w:before="0" w:after="0"/>
              <w:rPr>
                <w:i/>
              </w:rPr>
            </w:pPr>
            <w:r w:rsidRPr="004F4468">
              <w:rPr>
                <w:i/>
              </w:rPr>
              <w:t>neparedz stingrākas prasības</w:t>
            </w:r>
          </w:p>
        </w:tc>
      </w:tr>
      <w:tr w:rsidR="003B42DF"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kr"/>
              <w:spacing w:before="0" w:after="0"/>
              <w:rPr>
                <w:i/>
              </w:rPr>
            </w:pPr>
            <w:r w:rsidRPr="004F4468">
              <w:rPr>
                <w:i/>
              </w:rPr>
              <w:t xml:space="preserve">Komisijas Regulas </w:t>
            </w:r>
            <w:r w:rsidRPr="004F4468">
              <w:rPr>
                <w:i/>
              </w:rPr>
              <w:lastRenderedPageBreak/>
              <w:t>Nr.800/2008 1.panta 7.punkta a) apakšpunkts un 7.punkta pēdējā rindkopa;</w:t>
            </w:r>
          </w:p>
          <w:p w:rsidR="008B300D" w:rsidRPr="004F4468" w:rsidRDefault="008B300D" w:rsidP="00E217AC">
            <w:pPr>
              <w:pStyle w:val="naiskr"/>
              <w:spacing w:before="0" w:after="0"/>
              <w:rPr>
                <w:i/>
              </w:rPr>
            </w:pPr>
            <w:r w:rsidRPr="004F4468">
              <w:rPr>
                <w:i/>
              </w:rPr>
              <w:t>Komisijas paziņojums Kopienas pamatnostādnes par valsts atbalstu grūtībās nonākušu uzņēmumu glābšanai u</w:t>
            </w:r>
            <w:r w:rsidR="00E217AC" w:rsidRPr="004F4468">
              <w:rPr>
                <w:i/>
              </w:rPr>
              <w:t>n pārstrukturēšanai – 10.punkts, 11.punkts u</w:t>
            </w:r>
            <w:r w:rsidRPr="004F4468">
              <w:rPr>
                <w:i/>
              </w:rPr>
              <w:t>n 12.punkts;</w:t>
            </w:r>
          </w:p>
          <w:p w:rsidR="00E217AC" w:rsidRPr="004F4468" w:rsidRDefault="00E217AC" w:rsidP="004C73B7">
            <w:pPr>
              <w:pStyle w:val="naiskr"/>
              <w:spacing w:before="0" w:after="0"/>
              <w:rPr>
                <w:i/>
              </w:rPr>
            </w:pPr>
            <w:r w:rsidRPr="004F4468">
              <w:rPr>
                <w:i/>
              </w:rPr>
              <w:t>Komisijas regulas Nr.800/2008 1.pielikuma 2.pant</w:t>
            </w:r>
            <w:r w:rsidR="004C73B7">
              <w:rPr>
                <w:i/>
              </w:rPr>
              <w:t>s</w:t>
            </w:r>
          </w:p>
        </w:tc>
        <w:tc>
          <w:tcPr>
            <w:tcW w:w="656"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0E3F7F">
            <w:pPr>
              <w:pStyle w:val="naiskr"/>
              <w:spacing w:before="0" w:after="0"/>
              <w:rPr>
                <w:i/>
              </w:rPr>
            </w:pPr>
            <w:r w:rsidRPr="004F4468">
              <w:rPr>
                <w:i/>
              </w:rPr>
              <w:lastRenderedPageBreak/>
              <w:t xml:space="preserve">noteikumu projekta </w:t>
            </w:r>
            <w:r w:rsidRPr="004F4468">
              <w:rPr>
                <w:i/>
              </w:rPr>
              <w:lastRenderedPageBreak/>
              <w:t>14.</w:t>
            </w:r>
            <w:r w:rsidR="000E3F7F" w:rsidRPr="004F4468">
              <w:rPr>
                <w:i/>
              </w:rPr>
              <w:t xml:space="preserve">4 </w:t>
            </w:r>
            <w:r w:rsidRPr="004F4468">
              <w:rPr>
                <w:i/>
              </w:rPr>
              <w:t>apakšpunkts</w:t>
            </w:r>
            <w:r w:rsidR="000743C4" w:rsidRPr="004F4468">
              <w:rPr>
                <w:i/>
              </w:rPr>
              <w:t xml:space="preserve"> un 1.pielikuma 7.1.3.apakšpunkts</w:t>
            </w:r>
          </w:p>
        </w:tc>
        <w:tc>
          <w:tcPr>
            <w:tcW w:w="730"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kr"/>
              <w:spacing w:before="0" w:after="0"/>
              <w:rPr>
                <w:i/>
              </w:rPr>
            </w:pPr>
            <w:r w:rsidRPr="004F4468">
              <w:rPr>
                <w:i/>
              </w:rPr>
              <w:lastRenderedPageBreak/>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kr"/>
              <w:spacing w:before="0" w:after="0"/>
              <w:rPr>
                <w:i/>
              </w:rPr>
            </w:pPr>
            <w:r w:rsidRPr="004F4468">
              <w:rPr>
                <w:i/>
              </w:rPr>
              <w:t>neparedz stingrākas prasības</w:t>
            </w:r>
          </w:p>
        </w:tc>
      </w:tr>
      <w:tr w:rsidR="008B300D"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kr"/>
              <w:spacing w:before="0" w:after="0"/>
              <w:rPr>
                <w:i/>
              </w:rPr>
            </w:pPr>
            <w:r w:rsidRPr="004F4468">
              <w:rPr>
                <w:i/>
              </w:rPr>
              <w:lastRenderedPageBreak/>
              <w:t>Komisijas Regulas Nr.800/2008 1.panta 6.punkta a)apakšpunkts</w:t>
            </w:r>
          </w:p>
        </w:tc>
        <w:tc>
          <w:tcPr>
            <w:tcW w:w="656"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E217AC">
            <w:pPr>
              <w:pStyle w:val="naiskr"/>
              <w:spacing w:before="0" w:after="0"/>
              <w:rPr>
                <w:i/>
              </w:rPr>
            </w:pPr>
            <w:r w:rsidRPr="004F4468">
              <w:rPr>
                <w:i/>
              </w:rPr>
              <w:t>noteikumu projekta 14.</w:t>
            </w:r>
            <w:r w:rsidR="00E217AC" w:rsidRPr="004F4468">
              <w:rPr>
                <w:i/>
              </w:rPr>
              <w:t>7</w:t>
            </w:r>
            <w:r w:rsidRPr="004F4468">
              <w:rPr>
                <w:i/>
              </w:rPr>
              <w:t>. apakšpunkts</w:t>
            </w:r>
            <w:r w:rsidR="000743C4" w:rsidRPr="004F4468">
              <w:rPr>
                <w:i/>
              </w:rPr>
              <w:t xml:space="preserve"> un 1.pielikuma 7.1.13.apakšpunkts</w:t>
            </w:r>
          </w:p>
        </w:tc>
        <w:tc>
          <w:tcPr>
            <w:tcW w:w="730"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kr"/>
              <w:spacing w:before="0" w:after="0"/>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hideMark/>
          </w:tcPr>
          <w:p w:rsidR="008B300D" w:rsidRPr="004F4468" w:rsidRDefault="008B300D" w:rsidP="006075B4">
            <w:pPr>
              <w:pStyle w:val="naiskr"/>
              <w:spacing w:before="0" w:after="0"/>
              <w:rPr>
                <w:i/>
              </w:rPr>
            </w:pPr>
            <w:r w:rsidRPr="004F4468">
              <w:rPr>
                <w:i/>
              </w:rPr>
              <w:t>neparedz stingrākas prasības</w:t>
            </w:r>
          </w:p>
        </w:tc>
      </w:tr>
      <w:tr w:rsidR="00DF442D"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6075B4">
            <w:pPr>
              <w:pStyle w:val="naiskr"/>
              <w:spacing w:before="0" w:after="0"/>
              <w:rPr>
                <w:i/>
              </w:rPr>
            </w:pPr>
            <w:r w:rsidRPr="004F4468">
              <w:rPr>
                <w:i/>
              </w:rPr>
              <w:lastRenderedPageBreak/>
              <w:t>Komisijas Regulas Nr.800/2008 12.panta 1.punkts;</w:t>
            </w:r>
          </w:p>
        </w:tc>
        <w:tc>
          <w:tcPr>
            <w:tcW w:w="656"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DF442D">
            <w:pPr>
              <w:pStyle w:val="naiskr"/>
              <w:spacing w:before="0" w:after="0"/>
              <w:rPr>
                <w:i/>
              </w:rPr>
            </w:pPr>
            <w:r w:rsidRPr="004F4468">
              <w:rPr>
                <w:i/>
              </w:rPr>
              <w:t>noteikumu projekta 16. punkts</w:t>
            </w:r>
          </w:p>
        </w:tc>
        <w:tc>
          <w:tcPr>
            <w:tcW w:w="730"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507916">
            <w:pPr>
              <w:pStyle w:val="naiskr"/>
              <w:spacing w:before="0" w:after="0"/>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507916">
            <w:pPr>
              <w:pStyle w:val="naiskr"/>
              <w:spacing w:before="0" w:after="0"/>
              <w:rPr>
                <w:i/>
              </w:rPr>
            </w:pPr>
            <w:r w:rsidRPr="004F4468">
              <w:rPr>
                <w:i/>
              </w:rPr>
              <w:t>neparedz stingrākas prasības</w:t>
            </w:r>
          </w:p>
        </w:tc>
      </w:tr>
      <w:tr w:rsidR="00DF442D"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Komisijas Regulas 800/2008 12.panta 2.punkts;</w:t>
            </w:r>
          </w:p>
          <w:p w:rsidR="00DF442D" w:rsidRPr="004F4468" w:rsidRDefault="00DF442D" w:rsidP="003031E7">
            <w:pPr>
              <w:pStyle w:val="naiskr"/>
              <w:spacing w:before="0" w:after="0"/>
              <w:jc w:val="both"/>
              <w:rPr>
                <w:i/>
              </w:rPr>
            </w:pPr>
            <w:r w:rsidRPr="004F4468">
              <w:rPr>
                <w:i/>
              </w:rPr>
              <w:t>13.panta 2.punkts</w:t>
            </w:r>
            <w:r w:rsidR="003031E7" w:rsidRPr="004F4468">
              <w:rPr>
                <w:i/>
              </w:rPr>
              <w:t>;</w:t>
            </w:r>
            <w:r w:rsidRPr="004F4468">
              <w:rPr>
                <w:i/>
              </w:rPr>
              <w:t xml:space="preserve"> </w:t>
            </w:r>
          </w:p>
        </w:tc>
        <w:tc>
          <w:tcPr>
            <w:tcW w:w="6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0743C4">
            <w:pPr>
              <w:pStyle w:val="naiskr"/>
              <w:spacing w:before="0" w:after="0"/>
              <w:jc w:val="both"/>
              <w:rPr>
                <w:i/>
              </w:rPr>
            </w:pPr>
            <w:r w:rsidRPr="004F4468">
              <w:rPr>
                <w:i/>
              </w:rPr>
              <w:t xml:space="preserve">noteikumu projekta 17. </w:t>
            </w:r>
            <w:r w:rsidR="000743C4" w:rsidRPr="004F4468">
              <w:rPr>
                <w:i/>
              </w:rPr>
              <w:t>punkts un 1.pielikuma 7.1.9., 7.1.10. un 7.1.11.apakšpunkts</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Noteikumu projekta 17.1. apakšpunkts aizliedz pārvietot iekārtas, jo pretējā gadījumā nav iespējams veikt projekta fizisko kontroli.</w:t>
            </w:r>
          </w:p>
        </w:tc>
      </w:tr>
      <w:tr w:rsidR="00DF442D"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Del="00541B48" w:rsidRDefault="00DF442D" w:rsidP="006075B4">
            <w:pPr>
              <w:pStyle w:val="naiskr"/>
              <w:spacing w:before="0" w:after="0"/>
              <w:rPr>
                <w:i/>
              </w:rPr>
            </w:pPr>
            <w:r w:rsidRPr="004F4468">
              <w:rPr>
                <w:i/>
              </w:rPr>
              <w:t>Komisijas Regulas 800/2008 13.panta 7.punkta 3.paragrāfs</w:t>
            </w:r>
          </w:p>
        </w:tc>
        <w:tc>
          <w:tcPr>
            <w:tcW w:w="656"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Del="00541B48" w:rsidRDefault="00DF442D" w:rsidP="00E217AC">
            <w:pPr>
              <w:pStyle w:val="naiskr"/>
              <w:spacing w:before="0" w:after="0"/>
              <w:rPr>
                <w:i/>
              </w:rPr>
            </w:pPr>
            <w:r w:rsidRPr="004F4468">
              <w:rPr>
                <w:i/>
              </w:rPr>
              <w:t>noteikumu projekta 19.</w:t>
            </w:r>
            <w:r w:rsidR="00E217AC" w:rsidRPr="004F4468">
              <w:rPr>
                <w:i/>
              </w:rPr>
              <w:t>10</w:t>
            </w:r>
            <w:r w:rsidRPr="004F4468">
              <w:rPr>
                <w:i/>
              </w:rPr>
              <w:t>.apakšpunkts</w:t>
            </w:r>
          </w:p>
        </w:tc>
        <w:tc>
          <w:tcPr>
            <w:tcW w:w="730"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Del="00541B48" w:rsidRDefault="00DF442D" w:rsidP="006075B4">
            <w:pPr>
              <w:pStyle w:val="naiskr"/>
              <w:spacing w:before="0" w:after="0"/>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Del="00541B48" w:rsidRDefault="00DF442D" w:rsidP="006075B4">
            <w:pPr>
              <w:pStyle w:val="naiskr"/>
              <w:spacing w:before="0" w:after="0"/>
              <w:jc w:val="both"/>
              <w:rPr>
                <w:i/>
              </w:rPr>
            </w:pPr>
            <w:r w:rsidRPr="004F4468">
              <w:rPr>
                <w:i/>
              </w:rPr>
              <w:t xml:space="preserve">Lai noteiktu lietotas iekārtas tirgus cenu, ir jāveic iekārtas ekspertīze.  Papildus tam ir jāsaņem apliecinājums no pārdevēja, ka tas iekārtas iegādei nav saņēmis atbalstu. Tāpēc arī mazajiem un vidējiem komersantiem ir atļauts iegādāties tikai jaunas iekārtas. </w:t>
            </w:r>
          </w:p>
        </w:tc>
      </w:tr>
      <w:tr w:rsidR="00DF442D" w:rsidRPr="004F4468" w:rsidTr="000743C4">
        <w:trPr>
          <w:trHeight w:val="356"/>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Padomes Regulas Nr.1605/2002 27.pants</w:t>
            </w:r>
          </w:p>
        </w:tc>
        <w:tc>
          <w:tcPr>
            <w:tcW w:w="6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0D6AD4">
            <w:pPr>
              <w:pStyle w:val="naiskr"/>
              <w:spacing w:before="0" w:after="0"/>
              <w:jc w:val="both"/>
              <w:rPr>
                <w:i/>
              </w:rPr>
            </w:pPr>
            <w:r w:rsidRPr="004F4468">
              <w:rPr>
                <w:i/>
              </w:rPr>
              <w:t>noteikumu projekta 22. punkts</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neparedz stingrākas prasības</w:t>
            </w:r>
          </w:p>
        </w:tc>
      </w:tr>
      <w:tr w:rsidR="00DF442D"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Padomes Regulas Nr.1605/2002 27.pants</w:t>
            </w:r>
          </w:p>
        </w:tc>
        <w:tc>
          <w:tcPr>
            <w:tcW w:w="6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437352">
            <w:pPr>
              <w:pStyle w:val="naiskr"/>
              <w:spacing w:before="0" w:after="0"/>
              <w:jc w:val="both"/>
              <w:rPr>
                <w:i/>
              </w:rPr>
            </w:pPr>
            <w:r w:rsidRPr="004F4468">
              <w:rPr>
                <w:i/>
              </w:rPr>
              <w:t>noteikumu projekta 23. punkts</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neparedz stingrākas prasības</w:t>
            </w:r>
          </w:p>
        </w:tc>
      </w:tr>
      <w:tr w:rsidR="00DF442D"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924CE8">
            <w:pPr>
              <w:pStyle w:val="naisf"/>
              <w:tabs>
                <w:tab w:val="left" w:pos="0"/>
                <w:tab w:val="num" w:pos="795"/>
              </w:tabs>
              <w:spacing w:before="0" w:after="0"/>
              <w:rPr>
                <w:i/>
                <w:szCs w:val="24"/>
                <w:lang w:val="lv-LV"/>
              </w:rPr>
            </w:pPr>
            <w:r w:rsidRPr="004F4468">
              <w:rPr>
                <w:i/>
                <w:szCs w:val="24"/>
                <w:lang w:val="lv-LV"/>
              </w:rPr>
              <w:t xml:space="preserve">Komisijas Regulas Nr.800/2008 13.panta 3.punkts un </w:t>
            </w:r>
            <w:r w:rsidRPr="004F4468">
              <w:rPr>
                <w:i/>
                <w:szCs w:val="24"/>
              </w:rPr>
              <w:t>13.panta 4.punkts</w:t>
            </w:r>
            <w:r w:rsidRPr="004F4468">
              <w:rPr>
                <w:i/>
                <w:szCs w:val="24"/>
                <w:lang w:val="lv-LV"/>
              </w:rPr>
              <w:t>;</w:t>
            </w:r>
          </w:p>
        </w:tc>
        <w:tc>
          <w:tcPr>
            <w:tcW w:w="656"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0D6AD4">
            <w:pPr>
              <w:spacing w:after="0" w:line="240" w:lineRule="auto"/>
              <w:jc w:val="both"/>
              <w:rPr>
                <w:rFonts w:ascii="Times New Roman" w:eastAsia="Times New Roman" w:hAnsi="Times New Roman"/>
                <w:i/>
                <w:sz w:val="24"/>
                <w:szCs w:val="24"/>
              </w:rPr>
            </w:pPr>
            <w:r w:rsidRPr="004F4468">
              <w:rPr>
                <w:rFonts w:ascii="Times New Roman" w:eastAsia="Times New Roman" w:hAnsi="Times New Roman"/>
                <w:i/>
                <w:sz w:val="24"/>
                <w:szCs w:val="24"/>
              </w:rPr>
              <w:t>Noteikumu projekta 23. punkts</w:t>
            </w:r>
          </w:p>
        </w:tc>
        <w:tc>
          <w:tcPr>
            <w:tcW w:w="730"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6075B4">
            <w:pPr>
              <w:pStyle w:val="naisf"/>
              <w:spacing w:before="0" w:after="0"/>
              <w:rPr>
                <w:rFonts w:eastAsia="Times New Roman"/>
                <w:i/>
                <w:szCs w:val="24"/>
                <w:lang w:val="lv-LV"/>
              </w:rPr>
            </w:pPr>
            <w:r w:rsidRPr="004F4468">
              <w:rPr>
                <w:rFonts w:eastAsia="Times New Roman"/>
                <w:i/>
                <w:szCs w:val="24"/>
                <w:lang w:val="lv-LV"/>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8B300D">
            <w:pPr>
              <w:pStyle w:val="naisf"/>
              <w:spacing w:before="0" w:after="0"/>
              <w:rPr>
                <w:rFonts w:eastAsia="Times New Roman"/>
                <w:i/>
                <w:szCs w:val="24"/>
                <w:lang w:val="lv-LV"/>
              </w:rPr>
            </w:pPr>
            <w:r w:rsidRPr="004F4468">
              <w:rPr>
                <w:i/>
                <w:szCs w:val="24"/>
                <w:lang w:val="lv-LV"/>
              </w:rPr>
              <w:t>Maksimālā finansējuma intensitāte ir noteikta 35%, lai palielinātu komersantu līdzdalību projektā.</w:t>
            </w:r>
          </w:p>
        </w:tc>
      </w:tr>
      <w:tr w:rsidR="00DF442D"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924CE8">
            <w:pPr>
              <w:pStyle w:val="naisf"/>
              <w:tabs>
                <w:tab w:val="left" w:pos="0"/>
                <w:tab w:val="num" w:pos="795"/>
              </w:tabs>
              <w:spacing w:before="0" w:after="0"/>
              <w:rPr>
                <w:i/>
                <w:szCs w:val="24"/>
                <w:lang w:val="lv-LV"/>
              </w:rPr>
            </w:pPr>
            <w:r w:rsidRPr="004F4468">
              <w:rPr>
                <w:i/>
                <w:szCs w:val="24"/>
                <w:lang w:val="lv-LV"/>
              </w:rPr>
              <w:t xml:space="preserve">Komisijas Regulas Nr.800/2008 </w:t>
            </w:r>
            <w:r w:rsidRPr="004F4468">
              <w:rPr>
                <w:i/>
                <w:szCs w:val="24"/>
                <w:lang w:val="lv-LV"/>
              </w:rPr>
              <w:lastRenderedPageBreak/>
              <w:t>13.panta 6.punkts;</w:t>
            </w:r>
          </w:p>
        </w:tc>
        <w:tc>
          <w:tcPr>
            <w:tcW w:w="656"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0743C4">
            <w:pPr>
              <w:spacing w:after="0" w:line="240" w:lineRule="auto"/>
              <w:jc w:val="both"/>
              <w:rPr>
                <w:rFonts w:ascii="Times New Roman" w:eastAsia="Times New Roman" w:hAnsi="Times New Roman"/>
                <w:i/>
                <w:sz w:val="24"/>
                <w:szCs w:val="24"/>
              </w:rPr>
            </w:pPr>
            <w:r w:rsidRPr="004F4468">
              <w:rPr>
                <w:rFonts w:ascii="Times New Roman" w:eastAsia="Times New Roman" w:hAnsi="Times New Roman"/>
                <w:i/>
                <w:sz w:val="24"/>
                <w:szCs w:val="24"/>
              </w:rPr>
              <w:lastRenderedPageBreak/>
              <w:t>Noteikumu projekta 26. punkts</w:t>
            </w:r>
            <w:r w:rsidR="00161EFD" w:rsidRPr="004F4468">
              <w:rPr>
                <w:rFonts w:ascii="Times New Roman" w:hAnsi="Times New Roman"/>
                <w:i/>
                <w:sz w:val="24"/>
                <w:szCs w:val="24"/>
              </w:rPr>
              <w:t xml:space="preserve"> un </w:t>
            </w:r>
            <w:r w:rsidR="00161EFD" w:rsidRPr="004F4468">
              <w:rPr>
                <w:rFonts w:ascii="Times New Roman" w:hAnsi="Times New Roman"/>
                <w:i/>
                <w:sz w:val="24"/>
                <w:szCs w:val="24"/>
              </w:rPr>
              <w:lastRenderedPageBreak/>
              <w:t>1.pielikuma 7.3.3.apakšpunkts</w:t>
            </w:r>
          </w:p>
        </w:tc>
        <w:tc>
          <w:tcPr>
            <w:tcW w:w="730"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6075B4">
            <w:pPr>
              <w:pStyle w:val="naisf"/>
              <w:spacing w:before="0" w:after="0"/>
              <w:rPr>
                <w:rFonts w:eastAsia="Times New Roman"/>
                <w:i/>
                <w:szCs w:val="24"/>
                <w:lang w:val="lv-LV"/>
              </w:rPr>
            </w:pPr>
            <w:r w:rsidRPr="004F4468">
              <w:rPr>
                <w:rFonts w:eastAsia="Times New Roman"/>
                <w:i/>
                <w:szCs w:val="24"/>
                <w:lang w:val="lv-LV"/>
              </w:rPr>
              <w:lastRenderedPageBreak/>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6075B4">
            <w:pPr>
              <w:pStyle w:val="naisf"/>
              <w:spacing w:before="0" w:after="0"/>
              <w:rPr>
                <w:rFonts w:eastAsia="Times New Roman"/>
                <w:i/>
                <w:szCs w:val="24"/>
                <w:lang w:val="lv-LV"/>
              </w:rPr>
            </w:pPr>
            <w:r w:rsidRPr="004F4468">
              <w:rPr>
                <w:rFonts w:eastAsia="Times New Roman"/>
                <w:i/>
                <w:szCs w:val="24"/>
                <w:lang w:val="lv-LV"/>
              </w:rPr>
              <w:t>neparedz stingrākas prasības</w:t>
            </w:r>
          </w:p>
        </w:tc>
      </w:tr>
      <w:tr w:rsidR="00DF442D"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lastRenderedPageBreak/>
              <w:t>Komisijas Regulas Nr.800/2008 8.panta 2.punkts un 3.punkts</w:t>
            </w:r>
          </w:p>
        </w:tc>
        <w:tc>
          <w:tcPr>
            <w:tcW w:w="6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noteikumu projekta 27.punkts</w:t>
            </w:r>
            <w:r w:rsidR="00487D0F" w:rsidRPr="004F4468">
              <w:rPr>
                <w:i/>
              </w:rPr>
              <w:t xml:space="preserve"> un 1.pielikuma 2.7.apakšpunkts</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neparedz stingrākas prasības</w:t>
            </w:r>
          </w:p>
        </w:tc>
      </w:tr>
      <w:tr w:rsidR="00DF442D"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6075B4">
            <w:pPr>
              <w:pStyle w:val="naisf"/>
              <w:tabs>
                <w:tab w:val="left" w:pos="0"/>
                <w:tab w:val="num" w:pos="795"/>
              </w:tabs>
              <w:spacing w:before="0" w:after="0"/>
              <w:rPr>
                <w:i/>
                <w:szCs w:val="24"/>
                <w:lang w:val="lv-LV"/>
              </w:rPr>
            </w:pPr>
            <w:r w:rsidRPr="004F4468">
              <w:rPr>
                <w:i/>
                <w:szCs w:val="24"/>
                <w:lang w:val="lv-LV"/>
              </w:rPr>
              <w:t>Komisijas Regulas Nr.800/2008 7.panta 5.punkts a)apakšpunkts.</w:t>
            </w:r>
          </w:p>
        </w:tc>
        <w:tc>
          <w:tcPr>
            <w:tcW w:w="656"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6075B4">
            <w:pPr>
              <w:spacing w:after="0" w:line="240" w:lineRule="auto"/>
              <w:jc w:val="both"/>
              <w:rPr>
                <w:rFonts w:ascii="Times New Roman" w:eastAsia="Times New Roman" w:hAnsi="Times New Roman"/>
                <w:i/>
                <w:sz w:val="24"/>
                <w:szCs w:val="24"/>
              </w:rPr>
            </w:pPr>
            <w:r w:rsidRPr="004F4468">
              <w:rPr>
                <w:rFonts w:ascii="Times New Roman" w:eastAsia="Times New Roman" w:hAnsi="Times New Roman"/>
                <w:i/>
                <w:sz w:val="24"/>
                <w:szCs w:val="24"/>
              </w:rPr>
              <w:t>Noteikumu projekta 29.2. punkts</w:t>
            </w:r>
          </w:p>
        </w:tc>
        <w:tc>
          <w:tcPr>
            <w:tcW w:w="730"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6075B4">
            <w:pPr>
              <w:pStyle w:val="naisf"/>
              <w:spacing w:before="0" w:after="0"/>
              <w:rPr>
                <w:rFonts w:eastAsia="Times New Roman"/>
                <w:i/>
                <w:szCs w:val="24"/>
                <w:lang w:val="lv-LV"/>
              </w:rPr>
            </w:pPr>
            <w:r w:rsidRPr="004F4468">
              <w:rPr>
                <w:rFonts w:eastAsia="Times New Roman"/>
                <w:i/>
                <w:szCs w:val="24"/>
                <w:lang w:val="lv-LV"/>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hideMark/>
          </w:tcPr>
          <w:p w:rsidR="00DF442D" w:rsidRPr="004F4468" w:rsidRDefault="00DF442D" w:rsidP="006075B4">
            <w:pPr>
              <w:pStyle w:val="naisf"/>
              <w:spacing w:before="0" w:after="0"/>
              <w:rPr>
                <w:rFonts w:eastAsia="Times New Roman"/>
                <w:i/>
                <w:szCs w:val="24"/>
                <w:lang w:val="lv-LV"/>
              </w:rPr>
            </w:pPr>
            <w:r w:rsidRPr="004F4468">
              <w:rPr>
                <w:rFonts w:eastAsia="Times New Roman"/>
                <w:i/>
                <w:szCs w:val="24"/>
                <w:lang w:val="lv-LV"/>
              </w:rPr>
              <w:t>neparedz stingrākas prasības</w:t>
            </w:r>
          </w:p>
        </w:tc>
      </w:tr>
      <w:tr w:rsidR="00DF442D"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Komisijas Regulas Nr.800/2008 7.panta 1.punkts, 2.punkts, 3.punkts un 5.punkta a) apakšpunkts</w:t>
            </w:r>
          </w:p>
        </w:tc>
        <w:tc>
          <w:tcPr>
            <w:tcW w:w="6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0D6AD4">
            <w:pPr>
              <w:pStyle w:val="naiskr"/>
              <w:spacing w:before="0" w:after="0"/>
              <w:jc w:val="both"/>
              <w:rPr>
                <w:i/>
              </w:rPr>
            </w:pPr>
            <w:r w:rsidRPr="004F4468">
              <w:rPr>
                <w:i/>
              </w:rPr>
              <w:t>noteikumu projekta 28. un 29.punkts</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neparedz stingrākas prasības</w:t>
            </w:r>
          </w:p>
        </w:tc>
      </w:tr>
      <w:tr w:rsidR="00DF442D" w:rsidRPr="004F4468" w:rsidTr="000743C4">
        <w:trPr>
          <w:trHeight w:val="443"/>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Komisijas Regulas Nr.800/2008 1.panta 3.punkts</w:t>
            </w:r>
          </w:p>
        </w:tc>
        <w:tc>
          <w:tcPr>
            <w:tcW w:w="6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7018BA">
            <w:pPr>
              <w:pStyle w:val="naiskr"/>
              <w:spacing w:before="0" w:after="0"/>
              <w:jc w:val="both"/>
              <w:rPr>
                <w:i/>
              </w:rPr>
            </w:pPr>
            <w:r w:rsidRPr="004F4468">
              <w:rPr>
                <w:i/>
              </w:rPr>
              <w:t xml:space="preserve">noteikumu projekta </w:t>
            </w:r>
            <w:r w:rsidR="00151B09" w:rsidRPr="004F4468">
              <w:rPr>
                <w:i/>
              </w:rPr>
              <w:t>5</w:t>
            </w:r>
            <w:r w:rsidR="007018BA" w:rsidRPr="004F4468">
              <w:rPr>
                <w:i/>
              </w:rPr>
              <w:t>5</w:t>
            </w:r>
            <w:r w:rsidRPr="004F4468">
              <w:rPr>
                <w:i/>
              </w:rPr>
              <w:t>.</w:t>
            </w:r>
            <w:r w:rsidR="007018BA" w:rsidRPr="004F4468">
              <w:rPr>
                <w:i/>
              </w:rPr>
              <w:t>4</w:t>
            </w:r>
            <w:r w:rsidRPr="004F4468">
              <w:rPr>
                <w:i/>
              </w:rPr>
              <w:t>.apakšpunkts</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Papildus Komisijas regulas 800/2008 1.panta 3.punktā noteiktajā neatbalstāmajām nozarēm, ir noteiktas sekojošas neatbalstāmās nozares:</w:t>
            </w:r>
          </w:p>
          <w:p w:rsidR="00DF442D" w:rsidRPr="004F4468" w:rsidRDefault="00DF442D" w:rsidP="000D6AD4">
            <w:pPr>
              <w:pStyle w:val="naiskr"/>
              <w:numPr>
                <w:ilvl w:val="0"/>
                <w:numId w:val="6"/>
              </w:numPr>
              <w:spacing w:before="0" w:after="0"/>
              <w:jc w:val="both"/>
              <w:rPr>
                <w:i/>
              </w:rPr>
            </w:pPr>
            <w:r w:rsidRPr="004F4468">
              <w:rPr>
                <w:i/>
              </w:rPr>
              <w:t>vairumtirdzniecība un mazumtirdzniecība;</w:t>
            </w:r>
          </w:p>
          <w:p w:rsidR="00DF442D" w:rsidRPr="004F4468" w:rsidRDefault="00DF442D" w:rsidP="000D6AD4">
            <w:pPr>
              <w:pStyle w:val="naiskr"/>
              <w:numPr>
                <w:ilvl w:val="0"/>
                <w:numId w:val="6"/>
              </w:numPr>
              <w:spacing w:before="0" w:after="0"/>
              <w:jc w:val="both"/>
              <w:rPr>
                <w:i/>
              </w:rPr>
            </w:pPr>
            <w:r w:rsidRPr="004F4468">
              <w:rPr>
                <w:i/>
              </w:rPr>
              <w:t>finanšu starpniecība;</w:t>
            </w:r>
          </w:p>
          <w:p w:rsidR="00DF442D" w:rsidRPr="004F4468" w:rsidRDefault="00DF442D" w:rsidP="000D6AD4">
            <w:pPr>
              <w:pStyle w:val="naiskr"/>
              <w:numPr>
                <w:ilvl w:val="0"/>
                <w:numId w:val="6"/>
              </w:numPr>
              <w:spacing w:before="0" w:after="0"/>
              <w:jc w:val="both"/>
              <w:rPr>
                <w:i/>
              </w:rPr>
            </w:pPr>
            <w:r w:rsidRPr="004F4468">
              <w:rPr>
                <w:i/>
              </w:rPr>
              <w:t>komercpakalpojumi;</w:t>
            </w:r>
          </w:p>
          <w:p w:rsidR="00DF442D" w:rsidRPr="004F4468" w:rsidRDefault="00DF442D" w:rsidP="000D6AD4">
            <w:pPr>
              <w:pStyle w:val="naiskr"/>
              <w:numPr>
                <w:ilvl w:val="0"/>
                <w:numId w:val="6"/>
              </w:numPr>
              <w:spacing w:before="0" w:after="0"/>
              <w:jc w:val="both"/>
              <w:rPr>
                <w:i/>
              </w:rPr>
            </w:pPr>
            <w:r w:rsidRPr="004F4468">
              <w:rPr>
                <w:i/>
              </w:rPr>
              <w:t>azartspēles un derības;</w:t>
            </w:r>
          </w:p>
          <w:p w:rsidR="00DF442D" w:rsidRPr="004F4468" w:rsidRDefault="00DF442D" w:rsidP="000D6AD4">
            <w:pPr>
              <w:pStyle w:val="naiskr"/>
              <w:numPr>
                <w:ilvl w:val="0"/>
                <w:numId w:val="6"/>
              </w:numPr>
              <w:spacing w:before="0" w:after="0"/>
              <w:jc w:val="both"/>
              <w:rPr>
                <w:i/>
              </w:rPr>
            </w:pPr>
            <w:r w:rsidRPr="004F4468">
              <w:rPr>
                <w:i/>
              </w:rPr>
              <w:t>alus un alkoholisko dzērienu ražošana;</w:t>
            </w:r>
          </w:p>
          <w:p w:rsidR="00DF442D" w:rsidRPr="004F4468" w:rsidRDefault="00DF442D" w:rsidP="000D6AD4">
            <w:pPr>
              <w:pStyle w:val="naiskr"/>
              <w:numPr>
                <w:ilvl w:val="0"/>
                <w:numId w:val="6"/>
              </w:numPr>
              <w:spacing w:before="0" w:after="0"/>
              <w:jc w:val="both"/>
              <w:rPr>
                <w:i/>
              </w:rPr>
            </w:pPr>
            <w:r w:rsidRPr="004F4468">
              <w:rPr>
                <w:i/>
              </w:rPr>
              <w:t>tabakas izstrādājumu ražošana;</w:t>
            </w:r>
          </w:p>
          <w:p w:rsidR="00DF442D" w:rsidRPr="004F4468" w:rsidRDefault="00DF442D" w:rsidP="000D6AD4">
            <w:pPr>
              <w:pStyle w:val="naiskr"/>
              <w:numPr>
                <w:ilvl w:val="0"/>
                <w:numId w:val="6"/>
              </w:numPr>
              <w:spacing w:before="0" w:after="0"/>
              <w:jc w:val="both"/>
              <w:rPr>
                <w:i/>
              </w:rPr>
            </w:pPr>
            <w:r w:rsidRPr="004F4468">
              <w:rPr>
                <w:i/>
              </w:rPr>
              <w:t>elektroenerģija, gāzes apgāde, siltumapgāde un gaisa kondicionēšana., un elektroenerģijas, tvaiku, biodegvielas vai  biogāzes iegūšana no atkritumiem;</w:t>
            </w:r>
          </w:p>
          <w:p w:rsidR="00DF442D" w:rsidRPr="004F4468" w:rsidRDefault="00DF442D" w:rsidP="000D6AD4">
            <w:pPr>
              <w:pStyle w:val="naiskr"/>
              <w:numPr>
                <w:ilvl w:val="0"/>
                <w:numId w:val="6"/>
              </w:numPr>
              <w:spacing w:before="0" w:after="0"/>
              <w:jc w:val="both"/>
              <w:rPr>
                <w:i/>
              </w:rPr>
            </w:pPr>
            <w:r w:rsidRPr="004F4468">
              <w:rPr>
                <w:i/>
              </w:rPr>
              <w:lastRenderedPageBreak/>
              <w:t>ieroču un munīcijas ražošana;</w:t>
            </w:r>
          </w:p>
          <w:p w:rsidR="00DF442D" w:rsidRPr="004F4468" w:rsidRDefault="00DF442D" w:rsidP="000D6AD4">
            <w:pPr>
              <w:pStyle w:val="naiskr"/>
              <w:numPr>
                <w:ilvl w:val="0"/>
                <w:numId w:val="6"/>
              </w:numPr>
              <w:spacing w:before="0" w:after="0"/>
              <w:jc w:val="both"/>
              <w:rPr>
                <w:i/>
              </w:rPr>
            </w:pPr>
            <w:r w:rsidRPr="004F4468">
              <w:rPr>
                <w:i/>
              </w:rPr>
              <w:t>transporta nozarē netiek segti izdevumi transportlīdzekļu (kustamu aktīvu) iegādei.</w:t>
            </w:r>
          </w:p>
        </w:tc>
      </w:tr>
      <w:tr w:rsidR="00DF442D" w:rsidRPr="004F4468" w:rsidTr="000743C4">
        <w:trPr>
          <w:trHeight w:val="443"/>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lastRenderedPageBreak/>
              <w:t>Komisijas Regulas Nr.800/2008 1.panta 3.punkts</w:t>
            </w:r>
          </w:p>
        </w:tc>
        <w:tc>
          <w:tcPr>
            <w:tcW w:w="6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7018BA">
            <w:pPr>
              <w:pStyle w:val="naiskr"/>
              <w:spacing w:before="0" w:after="0"/>
              <w:jc w:val="both"/>
              <w:rPr>
                <w:i/>
              </w:rPr>
            </w:pPr>
            <w:r w:rsidRPr="004F4468">
              <w:rPr>
                <w:i/>
              </w:rPr>
              <w:t xml:space="preserve">noteikumu projekta </w:t>
            </w:r>
            <w:r w:rsidR="007018BA" w:rsidRPr="004F4468">
              <w:rPr>
                <w:i/>
              </w:rPr>
              <w:t>70</w:t>
            </w:r>
            <w:r w:rsidRPr="004F4468">
              <w:rPr>
                <w:i/>
              </w:rPr>
              <w:t>.punkts un 3.pielikums</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Papildus Komisijas regulas 800/2008 1.panta 3.punktā noteiktajā neatbalstāmajām nozarēm, ir noteiktas sekojošas neatbalstāmās nozares:</w:t>
            </w:r>
          </w:p>
          <w:p w:rsidR="00DF442D" w:rsidRPr="004F4468" w:rsidRDefault="00DF442D" w:rsidP="00AE5B7C">
            <w:pPr>
              <w:pStyle w:val="naiskr"/>
              <w:numPr>
                <w:ilvl w:val="0"/>
                <w:numId w:val="11"/>
              </w:numPr>
              <w:tabs>
                <w:tab w:val="left" w:pos="1035"/>
              </w:tabs>
              <w:spacing w:before="0" w:after="0"/>
              <w:ind w:left="751" w:hanging="31"/>
              <w:jc w:val="both"/>
              <w:rPr>
                <w:i/>
              </w:rPr>
            </w:pPr>
            <w:r w:rsidRPr="004F4468">
              <w:rPr>
                <w:i/>
              </w:rPr>
              <w:t>vairumtirdzniecība un mazumtirdzniecība;</w:t>
            </w:r>
          </w:p>
          <w:p w:rsidR="00DF442D" w:rsidRPr="004F4468" w:rsidRDefault="00DF442D" w:rsidP="00AE5B7C">
            <w:pPr>
              <w:pStyle w:val="naiskr"/>
              <w:numPr>
                <w:ilvl w:val="0"/>
                <w:numId w:val="11"/>
              </w:numPr>
              <w:tabs>
                <w:tab w:val="left" w:pos="1035"/>
              </w:tabs>
              <w:spacing w:before="0" w:after="0"/>
              <w:ind w:left="751" w:hanging="31"/>
              <w:jc w:val="both"/>
              <w:rPr>
                <w:i/>
              </w:rPr>
            </w:pPr>
            <w:r w:rsidRPr="004F4468">
              <w:rPr>
                <w:i/>
              </w:rPr>
              <w:t>finanšu starpniecība;</w:t>
            </w:r>
          </w:p>
          <w:p w:rsidR="00DF442D" w:rsidRPr="004F4468" w:rsidRDefault="00DF442D" w:rsidP="00AE5B7C">
            <w:pPr>
              <w:pStyle w:val="naiskr"/>
              <w:numPr>
                <w:ilvl w:val="0"/>
                <w:numId w:val="11"/>
              </w:numPr>
              <w:tabs>
                <w:tab w:val="left" w:pos="1035"/>
              </w:tabs>
              <w:spacing w:before="0" w:after="0"/>
              <w:ind w:left="751" w:hanging="31"/>
              <w:jc w:val="both"/>
              <w:rPr>
                <w:i/>
              </w:rPr>
            </w:pPr>
            <w:r w:rsidRPr="004F4468">
              <w:rPr>
                <w:i/>
              </w:rPr>
              <w:t>komercpakalpojumi;</w:t>
            </w:r>
          </w:p>
          <w:p w:rsidR="00DF442D" w:rsidRPr="004F4468" w:rsidRDefault="00DF442D" w:rsidP="00AE5B7C">
            <w:pPr>
              <w:pStyle w:val="naiskr"/>
              <w:numPr>
                <w:ilvl w:val="0"/>
                <w:numId w:val="11"/>
              </w:numPr>
              <w:tabs>
                <w:tab w:val="left" w:pos="1035"/>
              </w:tabs>
              <w:spacing w:before="0" w:after="0"/>
              <w:ind w:left="751" w:hanging="31"/>
              <w:jc w:val="both"/>
              <w:rPr>
                <w:i/>
              </w:rPr>
            </w:pPr>
            <w:r w:rsidRPr="004F4468">
              <w:rPr>
                <w:i/>
              </w:rPr>
              <w:t>azartspēles un derības;</w:t>
            </w:r>
          </w:p>
          <w:p w:rsidR="00DF442D" w:rsidRPr="004F4468" w:rsidRDefault="00DF442D" w:rsidP="00AE5B7C">
            <w:pPr>
              <w:pStyle w:val="naiskr"/>
              <w:numPr>
                <w:ilvl w:val="0"/>
                <w:numId w:val="11"/>
              </w:numPr>
              <w:tabs>
                <w:tab w:val="left" w:pos="1035"/>
              </w:tabs>
              <w:spacing w:before="0" w:after="0"/>
              <w:ind w:left="751" w:hanging="31"/>
              <w:jc w:val="both"/>
              <w:rPr>
                <w:i/>
              </w:rPr>
            </w:pPr>
            <w:r w:rsidRPr="004F4468">
              <w:rPr>
                <w:i/>
              </w:rPr>
              <w:t>alus un alkoholisko dzērienu ražošana;</w:t>
            </w:r>
          </w:p>
          <w:p w:rsidR="00DF442D" w:rsidRPr="004F4468" w:rsidRDefault="00DF442D" w:rsidP="00AE5B7C">
            <w:pPr>
              <w:pStyle w:val="naiskr"/>
              <w:numPr>
                <w:ilvl w:val="0"/>
                <w:numId w:val="11"/>
              </w:numPr>
              <w:tabs>
                <w:tab w:val="left" w:pos="1035"/>
              </w:tabs>
              <w:spacing w:before="0" w:after="0"/>
              <w:ind w:left="751" w:hanging="31"/>
              <w:jc w:val="both"/>
              <w:rPr>
                <w:i/>
              </w:rPr>
            </w:pPr>
            <w:r w:rsidRPr="004F4468">
              <w:rPr>
                <w:i/>
              </w:rPr>
              <w:t>tabakas izstrādājumu ražošana;</w:t>
            </w:r>
          </w:p>
          <w:p w:rsidR="00DF442D" w:rsidRPr="004F4468" w:rsidRDefault="00DF442D" w:rsidP="00AE5B7C">
            <w:pPr>
              <w:pStyle w:val="naiskr"/>
              <w:numPr>
                <w:ilvl w:val="0"/>
                <w:numId w:val="11"/>
              </w:numPr>
              <w:tabs>
                <w:tab w:val="left" w:pos="1035"/>
              </w:tabs>
              <w:spacing w:before="0" w:after="0"/>
              <w:ind w:left="751" w:hanging="31"/>
              <w:jc w:val="both"/>
              <w:rPr>
                <w:i/>
              </w:rPr>
            </w:pPr>
            <w:r w:rsidRPr="004F4468">
              <w:rPr>
                <w:i/>
              </w:rPr>
              <w:t>elektroenerģija, gāzes apgāde, siltumapgāde un gaisa kondicionēšana., un elektroenerģijas, tvaiku, biodegvielas vai  biogāzes iegūšana no atkritumiem;</w:t>
            </w:r>
          </w:p>
          <w:p w:rsidR="00DF442D" w:rsidRPr="004F4468" w:rsidRDefault="00DF442D" w:rsidP="00AE5B7C">
            <w:pPr>
              <w:pStyle w:val="naiskr"/>
              <w:numPr>
                <w:ilvl w:val="0"/>
                <w:numId w:val="11"/>
              </w:numPr>
              <w:tabs>
                <w:tab w:val="left" w:pos="1035"/>
              </w:tabs>
              <w:spacing w:before="0" w:after="0"/>
              <w:ind w:left="751" w:hanging="31"/>
              <w:jc w:val="both"/>
              <w:rPr>
                <w:i/>
              </w:rPr>
            </w:pPr>
            <w:r w:rsidRPr="004F4468">
              <w:rPr>
                <w:i/>
              </w:rPr>
              <w:t>ieroču un munīcijas ražošana;</w:t>
            </w:r>
          </w:p>
          <w:p w:rsidR="00DF442D" w:rsidRPr="004F4468" w:rsidRDefault="00DF442D" w:rsidP="00AE5B7C">
            <w:pPr>
              <w:pStyle w:val="naiskr"/>
              <w:numPr>
                <w:ilvl w:val="0"/>
                <w:numId w:val="11"/>
              </w:numPr>
              <w:tabs>
                <w:tab w:val="left" w:pos="1035"/>
              </w:tabs>
              <w:spacing w:before="0" w:after="0"/>
              <w:ind w:left="751" w:hanging="31"/>
              <w:jc w:val="both"/>
              <w:rPr>
                <w:i/>
              </w:rPr>
            </w:pPr>
            <w:r w:rsidRPr="004F4468">
              <w:rPr>
                <w:i/>
              </w:rPr>
              <w:t>transporta nozarē netiek segti izdevumi transportlīdzekļu (kustamu aktīvu) iegādei.</w:t>
            </w:r>
          </w:p>
        </w:tc>
      </w:tr>
      <w:tr w:rsidR="00DF442D" w:rsidRPr="004F4468" w:rsidTr="000743C4">
        <w:trPr>
          <w:trHeight w:val="443"/>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Komisijas Regulas Nr.800/2008 8.panta 2.punkts un 3.punkts</w:t>
            </w:r>
          </w:p>
        </w:tc>
        <w:tc>
          <w:tcPr>
            <w:tcW w:w="6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7018BA">
            <w:pPr>
              <w:pStyle w:val="naiskr"/>
              <w:spacing w:before="0" w:after="0"/>
              <w:jc w:val="both"/>
              <w:rPr>
                <w:i/>
              </w:rPr>
            </w:pPr>
            <w:r w:rsidRPr="004F4468">
              <w:rPr>
                <w:i/>
              </w:rPr>
              <w:t xml:space="preserve">noteikumu projekta </w:t>
            </w:r>
            <w:r w:rsidR="007018BA" w:rsidRPr="004F4468">
              <w:rPr>
                <w:i/>
              </w:rPr>
              <w:t>71</w:t>
            </w:r>
            <w:r w:rsidRPr="004F4468">
              <w:rPr>
                <w:i/>
              </w:rPr>
              <w:t>.1.apakšpunkts</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neparedz stingrākas prasības</w:t>
            </w:r>
          </w:p>
        </w:tc>
      </w:tr>
      <w:tr w:rsidR="00DF442D" w:rsidRPr="004F4468" w:rsidTr="000743C4">
        <w:trPr>
          <w:trHeight w:val="443"/>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Komisijas Regulas Nr.800/2008 8.panta 2.punkts</w:t>
            </w:r>
          </w:p>
        </w:tc>
        <w:tc>
          <w:tcPr>
            <w:tcW w:w="6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7018BA">
            <w:pPr>
              <w:pStyle w:val="naiskr"/>
              <w:spacing w:before="0" w:after="0"/>
              <w:jc w:val="both"/>
              <w:rPr>
                <w:i/>
              </w:rPr>
            </w:pPr>
            <w:r w:rsidRPr="004F4468">
              <w:rPr>
                <w:i/>
              </w:rPr>
              <w:t xml:space="preserve">noteikumu projekta </w:t>
            </w:r>
            <w:r w:rsidR="007018BA" w:rsidRPr="004F4468">
              <w:rPr>
                <w:i/>
              </w:rPr>
              <w:t>71</w:t>
            </w:r>
            <w:r w:rsidRPr="004F4468">
              <w:rPr>
                <w:i/>
              </w:rPr>
              <w:t>.2.apakšpunkts</w:t>
            </w:r>
            <w:r w:rsidR="000743C4" w:rsidRPr="004F4468">
              <w:rPr>
                <w:i/>
              </w:rPr>
              <w:t xml:space="preserve"> un 1.pielikuma 7.3.4.apakšpunkts</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neparedz stingrākas prasības</w:t>
            </w:r>
          </w:p>
        </w:tc>
      </w:tr>
      <w:tr w:rsidR="00DF442D" w:rsidRPr="004F4468" w:rsidTr="000743C4">
        <w:trPr>
          <w:trHeight w:val="443"/>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Padomes Regulas 1083/2006 78.panta 2.punkts</w:t>
            </w:r>
          </w:p>
        </w:tc>
        <w:tc>
          <w:tcPr>
            <w:tcW w:w="6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7018BA">
            <w:pPr>
              <w:pStyle w:val="naiskr"/>
              <w:spacing w:before="0" w:after="0"/>
              <w:jc w:val="both"/>
              <w:rPr>
                <w:i/>
              </w:rPr>
            </w:pPr>
            <w:r w:rsidRPr="004F4468">
              <w:rPr>
                <w:i/>
              </w:rPr>
              <w:t xml:space="preserve">noteikumu projekta </w:t>
            </w:r>
            <w:r w:rsidR="005D1061" w:rsidRPr="004F4468">
              <w:rPr>
                <w:i/>
              </w:rPr>
              <w:t>7</w:t>
            </w:r>
            <w:r w:rsidR="007018BA" w:rsidRPr="004F4468">
              <w:rPr>
                <w:i/>
              </w:rPr>
              <w:t>9</w:t>
            </w:r>
            <w:r w:rsidRPr="004F4468">
              <w:rPr>
                <w:i/>
              </w:rPr>
              <w:t>.punkts</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F442D" w:rsidRPr="004F4468" w:rsidRDefault="00DF442D" w:rsidP="006075B4">
            <w:pPr>
              <w:pStyle w:val="naiskr"/>
              <w:spacing w:before="0" w:after="0"/>
              <w:jc w:val="both"/>
              <w:rPr>
                <w:i/>
              </w:rPr>
            </w:pPr>
            <w:r w:rsidRPr="004F4468">
              <w:rPr>
                <w:i/>
              </w:rPr>
              <w:t>neparedz stingrākas prasības</w:t>
            </w:r>
          </w:p>
        </w:tc>
      </w:tr>
      <w:tr w:rsidR="00487D0F" w:rsidRPr="004F4468" w:rsidTr="000743C4">
        <w:trPr>
          <w:trHeight w:val="443"/>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87D0F" w:rsidRPr="004F4468" w:rsidRDefault="00487D0F" w:rsidP="00487D0F">
            <w:pPr>
              <w:pStyle w:val="naiskr"/>
              <w:spacing w:before="0" w:after="0"/>
              <w:jc w:val="both"/>
              <w:rPr>
                <w:i/>
              </w:rPr>
            </w:pPr>
            <w:r w:rsidRPr="004F4468">
              <w:rPr>
                <w:i/>
              </w:rPr>
              <w:t>Komisijas Regulas Nr.800/2008 1.pieliku</w:t>
            </w:r>
            <w:r w:rsidRPr="004F4468">
              <w:rPr>
                <w:i/>
              </w:rPr>
              <w:lastRenderedPageBreak/>
              <w:t>ma 3.panta 3.punkts</w:t>
            </w:r>
          </w:p>
        </w:tc>
        <w:tc>
          <w:tcPr>
            <w:tcW w:w="6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87D0F" w:rsidRPr="004F4468" w:rsidRDefault="00487D0F" w:rsidP="00DF442D">
            <w:pPr>
              <w:pStyle w:val="naiskr"/>
              <w:spacing w:before="0" w:after="0"/>
              <w:jc w:val="both"/>
              <w:rPr>
                <w:i/>
              </w:rPr>
            </w:pPr>
            <w:r w:rsidRPr="004F4468">
              <w:rPr>
                <w:i/>
              </w:rPr>
              <w:lastRenderedPageBreak/>
              <w:t>noteikumu projekta 1.pielikuma 1.1.9.apakš</w:t>
            </w:r>
            <w:r w:rsidRPr="004F4468">
              <w:rPr>
                <w:i/>
              </w:rPr>
              <w:lastRenderedPageBreak/>
              <w:t xml:space="preserve">punkts </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87D0F" w:rsidRPr="004F4468" w:rsidRDefault="00487D0F" w:rsidP="006075B4">
            <w:pPr>
              <w:pStyle w:val="naiskr"/>
              <w:spacing w:before="0" w:after="0"/>
              <w:jc w:val="both"/>
              <w:rPr>
                <w:i/>
              </w:rPr>
            </w:pPr>
            <w:r w:rsidRPr="004F4468">
              <w:rPr>
                <w:i/>
              </w:rPr>
              <w:lastRenderedPageBreak/>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87D0F" w:rsidRPr="004F4468" w:rsidRDefault="00487D0F" w:rsidP="006075B4">
            <w:pPr>
              <w:pStyle w:val="naiskr"/>
              <w:spacing w:before="0" w:after="0"/>
              <w:jc w:val="both"/>
              <w:rPr>
                <w:i/>
              </w:rPr>
            </w:pPr>
            <w:r w:rsidRPr="004F4468">
              <w:rPr>
                <w:i/>
              </w:rPr>
              <w:t>neparedz stingrākas prasības</w:t>
            </w:r>
          </w:p>
        </w:tc>
      </w:tr>
      <w:tr w:rsidR="000743C4" w:rsidRPr="004F4468" w:rsidTr="000743C4">
        <w:trPr>
          <w:trHeight w:val="443"/>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743C4" w:rsidRPr="004F4468" w:rsidRDefault="000743C4" w:rsidP="000743C4">
            <w:pPr>
              <w:pStyle w:val="naiskr"/>
              <w:spacing w:before="0" w:after="0"/>
              <w:jc w:val="both"/>
              <w:rPr>
                <w:i/>
              </w:rPr>
            </w:pPr>
            <w:r w:rsidRPr="004F4468">
              <w:rPr>
                <w:i/>
              </w:rPr>
              <w:lastRenderedPageBreak/>
              <w:t xml:space="preserve">Komisijas Regulas Nr.800/2008  </w:t>
            </w:r>
            <w:r w:rsidRPr="004F4468">
              <w:t>2.panta 18., 19. un 20.punkts</w:t>
            </w:r>
          </w:p>
        </w:tc>
        <w:tc>
          <w:tcPr>
            <w:tcW w:w="6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743C4" w:rsidRPr="004F4468" w:rsidRDefault="000743C4" w:rsidP="000743C4">
            <w:pPr>
              <w:pStyle w:val="naiskr"/>
              <w:spacing w:before="0" w:after="0"/>
              <w:jc w:val="both"/>
              <w:rPr>
                <w:i/>
              </w:rPr>
            </w:pPr>
            <w:r w:rsidRPr="004F4468">
              <w:rPr>
                <w:i/>
              </w:rPr>
              <w:t>noteikumu projekta 1.pielikuma 5.1.apakšpunkts</w:t>
            </w:r>
          </w:p>
        </w:tc>
        <w:tc>
          <w:tcPr>
            <w:tcW w:w="7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743C4" w:rsidRPr="004F4468" w:rsidRDefault="000743C4" w:rsidP="006075B4">
            <w:pPr>
              <w:pStyle w:val="naiskr"/>
              <w:spacing w:before="0" w:after="0"/>
              <w:jc w:val="both"/>
              <w:rPr>
                <w:i/>
              </w:rPr>
            </w:pPr>
            <w:r w:rsidRPr="004F4468">
              <w:rPr>
                <w:i/>
              </w:rPr>
              <w:t>ieviesta pilnībā</w:t>
            </w:r>
          </w:p>
        </w:tc>
        <w:tc>
          <w:tcPr>
            <w:tcW w:w="293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743C4" w:rsidRPr="004F4468" w:rsidRDefault="000743C4" w:rsidP="006075B4">
            <w:pPr>
              <w:pStyle w:val="naiskr"/>
              <w:spacing w:before="0" w:after="0"/>
              <w:jc w:val="both"/>
              <w:rPr>
                <w:i/>
              </w:rPr>
            </w:pPr>
            <w:r w:rsidRPr="004F4468">
              <w:rPr>
                <w:i/>
              </w:rPr>
              <w:t>neparedz stingrākas prasības</w:t>
            </w:r>
          </w:p>
        </w:tc>
      </w:tr>
      <w:tr w:rsidR="000743C4"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743C4" w:rsidRPr="004F4468" w:rsidRDefault="000743C4"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Kā ir izmantota ES tiesību aktā paredzētā rīcības brīvība dalībvalstij pārņemt vai ieviest noteiktas ES tiesību akta normas.</w:t>
            </w:r>
          </w:p>
        </w:tc>
        <w:tc>
          <w:tcPr>
            <w:tcW w:w="4351" w:type="pct"/>
            <w:gridSpan w:val="3"/>
            <w:tcBorders>
              <w:top w:val="outset" w:sz="6" w:space="0" w:color="auto"/>
              <w:left w:val="outset" w:sz="6" w:space="0" w:color="auto"/>
              <w:bottom w:val="outset" w:sz="6" w:space="0" w:color="auto"/>
              <w:right w:val="outset" w:sz="6" w:space="0" w:color="auto"/>
            </w:tcBorders>
            <w:shd w:val="clear" w:color="auto" w:fill="auto"/>
            <w:hideMark/>
          </w:tcPr>
          <w:p w:rsidR="000743C4" w:rsidRPr="004F4468" w:rsidRDefault="000743C4" w:rsidP="00774835">
            <w:pPr>
              <w:pStyle w:val="naiskr"/>
              <w:rPr>
                <w:iCs/>
              </w:rPr>
            </w:pPr>
            <w:r w:rsidRPr="004F4468">
              <w:rPr>
                <w:iCs/>
              </w:rPr>
              <w:t xml:space="preserve">Lai sniegtu reģionālo valsts atbalstu, kā arī piešķirtu struktūrfondu līdzfinansējumu,  dalībvalstij ir obligāti jāpiemēro: </w:t>
            </w:r>
          </w:p>
          <w:p w:rsidR="000743C4" w:rsidRPr="004F4468" w:rsidRDefault="000743C4" w:rsidP="00774835">
            <w:pPr>
              <w:pStyle w:val="naiskr"/>
              <w:rPr>
                <w:iCs/>
              </w:rPr>
            </w:pPr>
            <w:r w:rsidRPr="004F4468">
              <w:rPr>
                <w:iCs/>
              </w:rPr>
              <w:t>Padomes Regula Nr.1083/2006;</w:t>
            </w:r>
          </w:p>
          <w:p w:rsidR="000743C4" w:rsidRPr="004F4468" w:rsidRDefault="000743C4" w:rsidP="00774835">
            <w:pPr>
              <w:pStyle w:val="naiskr"/>
              <w:rPr>
                <w:iCs/>
              </w:rPr>
            </w:pPr>
            <w:r w:rsidRPr="004F4468">
              <w:rPr>
                <w:iCs/>
              </w:rPr>
              <w:t>Komisijas Regula Nr.800/2008;</w:t>
            </w:r>
          </w:p>
          <w:p w:rsidR="000743C4" w:rsidRPr="004F4468" w:rsidRDefault="000743C4" w:rsidP="00774835">
            <w:pPr>
              <w:spacing w:after="0" w:line="240" w:lineRule="auto"/>
              <w:jc w:val="both"/>
              <w:rPr>
                <w:rFonts w:ascii="Times New Roman" w:eastAsia="Times New Roman" w:hAnsi="Times New Roman"/>
                <w:sz w:val="24"/>
                <w:szCs w:val="24"/>
                <w:lang w:eastAsia="lv-LV"/>
              </w:rPr>
            </w:pPr>
            <w:r w:rsidRPr="004F4468">
              <w:rPr>
                <w:rFonts w:ascii="Times New Roman" w:hAnsi="Times New Roman"/>
                <w:iCs/>
                <w:sz w:val="24"/>
                <w:szCs w:val="24"/>
              </w:rPr>
              <w:t>Padomes Regula Nr.1605/2002.</w:t>
            </w:r>
          </w:p>
        </w:tc>
      </w:tr>
      <w:tr w:rsidR="000743C4"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743C4" w:rsidRPr="004F4468" w:rsidRDefault="000743C4"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 xml:space="preserve">Saistības sniegt paziņojumu ES institūcijām un ES dalībvalstīm atbilstoši normatīvajiem aktiem, kas regulē informācijas sniegšanu par tehnisko noteikumu, valsts atbalsta </w:t>
            </w:r>
            <w:r w:rsidRPr="004F4468">
              <w:rPr>
                <w:rFonts w:ascii="Times New Roman" w:eastAsia="Times New Roman" w:hAnsi="Times New Roman"/>
                <w:sz w:val="24"/>
                <w:szCs w:val="24"/>
                <w:lang w:eastAsia="lv-LV"/>
              </w:rPr>
              <w:lastRenderedPageBreak/>
              <w:t>piešķiršanas un finanšu noteikumu (attiecībā uz monetāro politiku) projektiem</w:t>
            </w:r>
          </w:p>
        </w:tc>
        <w:tc>
          <w:tcPr>
            <w:tcW w:w="4351" w:type="pct"/>
            <w:gridSpan w:val="3"/>
            <w:tcBorders>
              <w:top w:val="outset" w:sz="6" w:space="0" w:color="auto"/>
              <w:left w:val="outset" w:sz="6" w:space="0" w:color="auto"/>
              <w:bottom w:val="outset" w:sz="6" w:space="0" w:color="auto"/>
              <w:right w:val="outset" w:sz="6" w:space="0" w:color="auto"/>
            </w:tcBorders>
            <w:shd w:val="clear" w:color="auto" w:fill="auto"/>
            <w:hideMark/>
          </w:tcPr>
          <w:p w:rsidR="000743C4" w:rsidRPr="004F4468" w:rsidRDefault="000743C4" w:rsidP="00942DDD">
            <w:pPr>
              <w:spacing w:after="0" w:line="240" w:lineRule="auto"/>
              <w:jc w:val="both"/>
              <w:rPr>
                <w:rFonts w:ascii="Times New Roman" w:eastAsia="Times New Roman" w:hAnsi="Times New Roman"/>
                <w:iCs/>
                <w:sz w:val="24"/>
                <w:szCs w:val="24"/>
                <w:lang w:eastAsia="lv-LV"/>
              </w:rPr>
            </w:pPr>
            <w:r w:rsidRPr="004F4468">
              <w:rPr>
                <w:rFonts w:ascii="Times New Roman" w:eastAsia="Times New Roman" w:hAnsi="Times New Roman"/>
                <w:iCs/>
                <w:sz w:val="24"/>
                <w:szCs w:val="24"/>
                <w:lang w:eastAsia="lv-LV"/>
              </w:rPr>
              <w:lastRenderedPageBreak/>
              <w:t>Paziņojumu Eiropas Komisijai (turpmāk – EK) nav nepieciešams sniegt, jo Noteikumu projekts saskaņā ar Komisijas Regulas Nr.800/2008 3.pantu ir atbrīvots no iepriekšējas paziņošanas EK. Par atbalsta programmu saskaņā ar Komisijas Regulas Nr.800/2008 9.pantu EK ir jānosūta kopsavilkuma informācija 20 darba dienu laikā pēc Ministru kabineta noteikumu spēkā stāšanās.</w:t>
            </w:r>
          </w:p>
          <w:p w:rsidR="000743C4" w:rsidRPr="004F4468" w:rsidRDefault="000743C4" w:rsidP="00942DDD">
            <w:pPr>
              <w:spacing w:after="0" w:line="240" w:lineRule="auto"/>
              <w:jc w:val="both"/>
              <w:rPr>
                <w:rFonts w:ascii="Times New Roman" w:eastAsia="Times New Roman" w:hAnsi="Times New Roman"/>
                <w:iCs/>
                <w:sz w:val="24"/>
                <w:szCs w:val="24"/>
                <w:lang w:eastAsia="lv-LV"/>
              </w:rPr>
            </w:pPr>
          </w:p>
          <w:p w:rsidR="000743C4" w:rsidRPr="004F4468" w:rsidRDefault="000743C4" w:rsidP="00942DDD">
            <w:pPr>
              <w:spacing w:after="0" w:line="240" w:lineRule="auto"/>
              <w:jc w:val="both"/>
              <w:rPr>
                <w:rFonts w:ascii="Times New Roman" w:eastAsia="Times New Roman" w:hAnsi="Times New Roman"/>
                <w:iCs/>
                <w:sz w:val="24"/>
                <w:szCs w:val="24"/>
                <w:lang w:eastAsia="lv-LV"/>
              </w:rPr>
            </w:pPr>
          </w:p>
          <w:p w:rsidR="000743C4" w:rsidRPr="004F4468" w:rsidRDefault="000743C4" w:rsidP="00942DDD">
            <w:pPr>
              <w:spacing w:after="0" w:line="240" w:lineRule="auto"/>
              <w:jc w:val="both"/>
              <w:rPr>
                <w:rFonts w:ascii="Times New Roman" w:eastAsia="Times New Roman" w:hAnsi="Times New Roman"/>
                <w:sz w:val="24"/>
                <w:szCs w:val="24"/>
                <w:lang w:eastAsia="lv-LV"/>
              </w:rPr>
            </w:pPr>
          </w:p>
        </w:tc>
      </w:tr>
      <w:tr w:rsidR="000743C4" w:rsidRPr="004F4468" w:rsidTr="000743C4">
        <w:trPr>
          <w:tblCellSpacing w:w="15" w:type="dxa"/>
        </w:trPr>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0743C4" w:rsidRPr="004F4468" w:rsidRDefault="000743C4"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lastRenderedPageBreak/>
              <w:t>Cita informācija</w:t>
            </w:r>
          </w:p>
        </w:tc>
        <w:tc>
          <w:tcPr>
            <w:tcW w:w="4351" w:type="pct"/>
            <w:gridSpan w:val="3"/>
            <w:tcBorders>
              <w:top w:val="outset" w:sz="6" w:space="0" w:color="auto"/>
              <w:left w:val="outset" w:sz="6" w:space="0" w:color="auto"/>
              <w:bottom w:val="outset" w:sz="6" w:space="0" w:color="auto"/>
              <w:right w:val="outset" w:sz="6" w:space="0" w:color="auto"/>
            </w:tcBorders>
            <w:shd w:val="clear" w:color="auto" w:fill="auto"/>
            <w:hideMark/>
          </w:tcPr>
          <w:p w:rsidR="000743C4" w:rsidRPr="004F4468" w:rsidRDefault="000743C4"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Nav</w:t>
            </w:r>
          </w:p>
        </w:tc>
      </w:tr>
    </w:tbl>
    <w:p w:rsidR="00CE65CA" w:rsidRPr="004F4468" w:rsidRDefault="00CE65CA" w:rsidP="009E641F">
      <w:pPr>
        <w:spacing w:after="0" w:line="240" w:lineRule="auto"/>
        <w:rPr>
          <w:rFonts w:ascii="Times New Roman" w:eastAsia="Times New Roman" w:hAnsi="Times New Roman"/>
          <w:sz w:val="24"/>
          <w:szCs w:val="24"/>
          <w:lang w:eastAsia="lv-LV"/>
        </w:rPr>
      </w:pPr>
    </w:p>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63"/>
        <w:gridCol w:w="1563"/>
        <w:gridCol w:w="6995"/>
      </w:tblGrid>
      <w:tr w:rsidR="00003B50" w:rsidRPr="004F4468" w:rsidTr="00003B50">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003B50" w:rsidRPr="004F4468" w:rsidRDefault="00003B50" w:rsidP="009E641F">
            <w:pPr>
              <w:spacing w:after="0" w:line="240" w:lineRule="auto"/>
              <w:jc w:val="center"/>
              <w:rPr>
                <w:rFonts w:ascii="Times New Roman" w:eastAsia="Times New Roman" w:hAnsi="Times New Roman"/>
                <w:b/>
                <w:bCs/>
                <w:sz w:val="24"/>
                <w:szCs w:val="24"/>
                <w:lang w:eastAsia="lv-LV"/>
              </w:rPr>
            </w:pPr>
            <w:r w:rsidRPr="004F4468">
              <w:rPr>
                <w:rFonts w:ascii="Times New Roman" w:eastAsia="Times New Roman" w:hAnsi="Times New Roman"/>
                <w:b/>
                <w:bCs/>
                <w:sz w:val="24"/>
                <w:szCs w:val="24"/>
                <w:lang w:eastAsia="lv-LV"/>
              </w:rPr>
              <w:t>VI. Sabiedrības līdzdalība un šīs līdzdalības rezultāti</w:t>
            </w:r>
          </w:p>
        </w:tc>
      </w:tr>
      <w:tr w:rsidR="00992638" w:rsidRPr="004F4468" w:rsidTr="008E3A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1.</w:t>
            </w:r>
          </w:p>
        </w:tc>
        <w:tc>
          <w:tcPr>
            <w:tcW w:w="842" w:type="pct"/>
            <w:tcBorders>
              <w:top w:val="outset" w:sz="6" w:space="0" w:color="auto"/>
              <w:left w:val="outset" w:sz="6" w:space="0" w:color="auto"/>
              <w:bottom w:val="outset" w:sz="6" w:space="0" w:color="auto"/>
              <w:right w:val="outset" w:sz="6" w:space="0" w:color="auto"/>
            </w:tcBorders>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Sabiedrības informēšana par projekta izstrādes uzsākšanu</w:t>
            </w:r>
          </w:p>
        </w:tc>
        <w:tc>
          <w:tcPr>
            <w:tcW w:w="3818" w:type="pct"/>
            <w:tcBorders>
              <w:top w:val="outset" w:sz="6" w:space="0" w:color="auto"/>
              <w:left w:val="outset" w:sz="6" w:space="0" w:color="auto"/>
              <w:bottom w:val="outset" w:sz="6" w:space="0" w:color="auto"/>
              <w:right w:val="outset" w:sz="6" w:space="0" w:color="auto"/>
            </w:tcBorders>
            <w:hideMark/>
          </w:tcPr>
          <w:p w:rsidR="00003B50" w:rsidRPr="004F4468" w:rsidRDefault="00451121" w:rsidP="00942D39">
            <w:pPr>
              <w:spacing w:after="0" w:line="240" w:lineRule="auto"/>
              <w:ind w:firstLine="483"/>
              <w:jc w:val="both"/>
              <w:rPr>
                <w:rFonts w:ascii="Times New Roman" w:eastAsia="Times New Roman" w:hAnsi="Times New Roman"/>
                <w:sz w:val="24"/>
                <w:szCs w:val="24"/>
                <w:lang w:eastAsia="lv-LV"/>
              </w:rPr>
            </w:pPr>
            <w:r w:rsidRPr="004F4468">
              <w:rPr>
                <w:rFonts w:ascii="Times New Roman" w:hAnsi="Times New Roman"/>
                <w:sz w:val="24"/>
                <w:szCs w:val="24"/>
              </w:rPr>
              <w:t>Tiesību akta projekta projektu iesniegumu vērtēšanas kritēriji ir saskaņoti ar uzņēmējus pārstāvošām asociācijām 2011.gada 15.jūnija Eiropas Reģionālā attīstības fonda apakškomitejā. Tiesību akta projekts 2011.gada 15.jūlijā tika nosūtīts nozaru asociācijām komentāru sniegšanai, pēc kā tika organizēta kopīga tikšanās Ekonomikas ministrijā 29.jūlijā, kur tika diskutēts par nozares asociāciju sniegtajiem komentāriem. Tiesību akta projekts tā izstrādes laikā ir ievietots publiskai apspriešanai Ekonomikas ministrijas mājas lapā.</w:t>
            </w:r>
          </w:p>
        </w:tc>
      </w:tr>
      <w:tr w:rsidR="00992638" w:rsidRPr="004F4468" w:rsidTr="008E3A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2.</w:t>
            </w:r>
          </w:p>
        </w:tc>
        <w:tc>
          <w:tcPr>
            <w:tcW w:w="842" w:type="pct"/>
            <w:tcBorders>
              <w:top w:val="outset" w:sz="6" w:space="0" w:color="auto"/>
              <w:left w:val="outset" w:sz="6" w:space="0" w:color="auto"/>
              <w:bottom w:val="outset" w:sz="6" w:space="0" w:color="auto"/>
              <w:right w:val="outset" w:sz="6" w:space="0" w:color="auto"/>
            </w:tcBorders>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Sabiedrības līdzdalība projekta izstrādē</w:t>
            </w:r>
          </w:p>
        </w:tc>
        <w:tc>
          <w:tcPr>
            <w:tcW w:w="3818" w:type="pct"/>
            <w:tcBorders>
              <w:top w:val="outset" w:sz="6" w:space="0" w:color="auto"/>
              <w:left w:val="outset" w:sz="6" w:space="0" w:color="auto"/>
              <w:bottom w:val="outset" w:sz="6" w:space="0" w:color="auto"/>
              <w:right w:val="outset" w:sz="6" w:space="0" w:color="auto"/>
            </w:tcBorders>
            <w:hideMark/>
          </w:tcPr>
          <w:p w:rsidR="001F6C7B" w:rsidRPr="004F4468" w:rsidRDefault="00451121" w:rsidP="00942D39">
            <w:pPr>
              <w:spacing w:after="0" w:line="240" w:lineRule="auto"/>
              <w:ind w:firstLine="483"/>
              <w:jc w:val="both"/>
              <w:rPr>
                <w:rFonts w:ascii="Times New Roman" w:eastAsia="Times New Roman" w:hAnsi="Times New Roman"/>
                <w:iCs/>
                <w:sz w:val="24"/>
                <w:szCs w:val="24"/>
                <w:lang w:eastAsia="lv-LV"/>
              </w:rPr>
            </w:pPr>
            <w:r w:rsidRPr="004F4468">
              <w:rPr>
                <w:rFonts w:ascii="Times New Roman" w:hAnsi="Times New Roman"/>
                <w:sz w:val="24"/>
                <w:szCs w:val="24"/>
              </w:rPr>
              <w:t>Tiesību akta projekta projektu iesniegumu vērtēšanas kritēriji ir saskaņoti ar uzņēmējus pārstāvošām asociācijām 2011.gada 15.jūnija Eiropas Reģionālā attīstības fonda apakškomitejā. Tiesību akta projekts 2011.gada 15.jūlijā tika nosūtīts nozaru asociācijām komentāru sniegšanai, pēc kā tika organizēta kopīga tikšanās Ekonomikas ministrijā 29.jūlijā, kur tika diskutēts par nozares asociāciju sniegtajiem komentāriem. Tiesību akta projekts tā izstrādes laikā ir ievietots publiskai apspriešanai Ekonomikas ministrijas mājas lapā.</w:t>
            </w:r>
          </w:p>
        </w:tc>
      </w:tr>
      <w:tr w:rsidR="00992638" w:rsidRPr="004F4468" w:rsidTr="008E3A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3.</w:t>
            </w:r>
          </w:p>
        </w:tc>
        <w:tc>
          <w:tcPr>
            <w:tcW w:w="842" w:type="pct"/>
            <w:tcBorders>
              <w:top w:val="outset" w:sz="6" w:space="0" w:color="auto"/>
              <w:left w:val="outset" w:sz="6" w:space="0" w:color="auto"/>
              <w:bottom w:val="outset" w:sz="6" w:space="0" w:color="auto"/>
              <w:right w:val="outset" w:sz="6" w:space="0" w:color="auto"/>
            </w:tcBorders>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Sabiedrības līdzdalības rezultāti</w:t>
            </w:r>
          </w:p>
        </w:tc>
        <w:tc>
          <w:tcPr>
            <w:tcW w:w="3818" w:type="pct"/>
            <w:tcBorders>
              <w:top w:val="outset" w:sz="6" w:space="0" w:color="auto"/>
              <w:left w:val="outset" w:sz="6" w:space="0" w:color="auto"/>
              <w:bottom w:val="outset" w:sz="6" w:space="0" w:color="auto"/>
              <w:right w:val="outset" w:sz="6" w:space="0" w:color="auto"/>
            </w:tcBorders>
            <w:hideMark/>
          </w:tcPr>
          <w:p w:rsidR="00B10072" w:rsidRPr="004F4468" w:rsidRDefault="00451121" w:rsidP="00942D39">
            <w:pPr>
              <w:spacing w:after="0" w:line="240" w:lineRule="auto"/>
              <w:ind w:firstLine="483"/>
              <w:jc w:val="both"/>
              <w:rPr>
                <w:rFonts w:ascii="Times New Roman" w:eastAsia="Times New Roman" w:hAnsi="Times New Roman"/>
                <w:sz w:val="24"/>
                <w:szCs w:val="24"/>
                <w:lang w:eastAsia="lv-LV"/>
              </w:rPr>
            </w:pPr>
            <w:r w:rsidRPr="004F4468">
              <w:rPr>
                <w:rFonts w:ascii="Times New Roman" w:hAnsi="Times New Roman"/>
                <w:sz w:val="24"/>
                <w:szCs w:val="24"/>
              </w:rPr>
              <w:t>Tiesību akta projekta projektu iesniegumu vērtēšanas kritēriji ir saskaņoti ar uzņēmējus pārstāvošām asociācijām 2011.gada 15.jūnija Eiropas Reģionālā attīstības fonda apakškomitejā. Tiesību akta projekts 2011.gada 15.jūlijā tika nosūtīts nozaru asociācijām komentāru sniegšanai, pēc kā tika organizēta kopīga tikšanās Ekonomikas ministrijā 29.jūlijā, kur tika diskutēts par nozares asociāciju sniegtajiem komentāriem. Tiesību akta projekts tā izstrādes laikā ir ievietots publiskai apspriešanai Ekonomikas ministrijas mājas lapā.</w:t>
            </w:r>
          </w:p>
        </w:tc>
      </w:tr>
      <w:tr w:rsidR="00992638" w:rsidRPr="004F4468" w:rsidTr="008E3A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4.</w:t>
            </w:r>
          </w:p>
        </w:tc>
        <w:tc>
          <w:tcPr>
            <w:tcW w:w="842" w:type="pct"/>
            <w:tcBorders>
              <w:top w:val="outset" w:sz="6" w:space="0" w:color="auto"/>
              <w:left w:val="outset" w:sz="6" w:space="0" w:color="auto"/>
              <w:bottom w:val="outset" w:sz="6" w:space="0" w:color="auto"/>
              <w:right w:val="outset" w:sz="6" w:space="0" w:color="auto"/>
            </w:tcBorders>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 xml:space="preserve">Saeimas un </w:t>
            </w:r>
            <w:r w:rsidRPr="004F4468">
              <w:rPr>
                <w:rFonts w:ascii="Times New Roman" w:eastAsia="Times New Roman" w:hAnsi="Times New Roman"/>
                <w:sz w:val="24"/>
                <w:szCs w:val="24"/>
                <w:lang w:eastAsia="lv-LV"/>
              </w:rPr>
              <w:lastRenderedPageBreak/>
              <w:t>ekspertu līdzdalība</w:t>
            </w:r>
          </w:p>
        </w:tc>
        <w:tc>
          <w:tcPr>
            <w:tcW w:w="3818" w:type="pct"/>
            <w:tcBorders>
              <w:top w:val="outset" w:sz="6" w:space="0" w:color="auto"/>
              <w:left w:val="outset" w:sz="6" w:space="0" w:color="auto"/>
              <w:bottom w:val="outset" w:sz="6" w:space="0" w:color="auto"/>
              <w:right w:val="outset" w:sz="6" w:space="0" w:color="auto"/>
            </w:tcBorders>
            <w:hideMark/>
          </w:tcPr>
          <w:p w:rsidR="00003B50" w:rsidRPr="004F4468" w:rsidRDefault="00B946DC" w:rsidP="00942D39">
            <w:pPr>
              <w:spacing w:after="0" w:line="240" w:lineRule="auto"/>
              <w:ind w:firstLine="483"/>
              <w:jc w:val="both"/>
              <w:rPr>
                <w:rFonts w:ascii="Times New Roman" w:eastAsia="Times New Roman" w:hAnsi="Times New Roman"/>
                <w:sz w:val="24"/>
                <w:szCs w:val="24"/>
                <w:lang w:eastAsia="lv-LV"/>
              </w:rPr>
            </w:pPr>
            <w:r w:rsidRPr="004F4468">
              <w:rPr>
                <w:rFonts w:ascii="Times New Roman" w:eastAsia="Times New Roman" w:hAnsi="Times New Roman"/>
                <w:iCs/>
                <w:sz w:val="24"/>
                <w:szCs w:val="24"/>
                <w:lang w:eastAsia="lv-LV"/>
              </w:rPr>
              <w:lastRenderedPageBreak/>
              <w:t>Projekts šo jomu neskar. </w:t>
            </w:r>
          </w:p>
        </w:tc>
      </w:tr>
      <w:tr w:rsidR="00992638" w:rsidRPr="004F4468" w:rsidTr="008E3A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lastRenderedPageBreak/>
              <w:t>5.</w:t>
            </w:r>
          </w:p>
        </w:tc>
        <w:tc>
          <w:tcPr>
            <w:tcW w:w="842" w:type="pct"/>
            <w:tcBorders>
              <w:top w:val="outset" w:sz="6" w:space="0" w:color="auto"/>
              <w:left w:val="outset" w:sz="6" w:space="0" w:color="auto"/>
              <w:bottom w:val="outset" w:sz="6" w:space="0" w:color="auto"/>
              <w:right w:val="outset" w:sz="6" w:space="0" w:color="auto"/>
            </w:tcBorders>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Cita informācija</w:t>
            </w:r>
          </w:p>
        </w:tc>
        <w:tc>
          <w:tcPr>
            <w:tcW w:w="3818" w:type="pct"/>
            <w:tcBorders>
              <w:top w:val="outset" w:sz="6" w:space="0" w:color="auto"/>
              <w:left w:val="outset" w:sz="6" w:space="0" w:color="auto"/>
              <w:bottom w:val="outset" w:sz="6" w:space="0" w:color="auto"/>
              <w:right w:val="outset" w:sz="6" w:space="0" w:color="auto"/>
            </w:tcBorders>
            <w:hideMark/>
          </w:tcPr>
          <w:p w:rsidR="00003B50" w:rsidRPr="004F4468" w:rsidRDefault="00003B50" w:rsidP="00942D39">
            <w:pPr>
              <w:spacing w:after="0" w:line="240" w:lineRule="auto"/>
              <w:ind w:firstLine="483"/>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Nav</w:t>
            </w:r>
          </w:p>
        </w:tc>
      </w:tr>
    </w:tbl>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 </w:t>
      </w:r>
    </w:p>
    <w:p w:rsidR="00BB0CC2" w:rsidRPr="004F4468" w:rsidRDefault="00BB0CC2" w:rsidP="009E641F">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2"/>
        <w:gridCol w:w="3279"/>
        <w:gridCol w:w="5160"/>
      </w:tblGrid>
      <w:tr w:rsidR="00003B50" w:rsidRPr="004F4468" w:rsidTr="00003B50">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003B50" w:rsidRPr="004F4468" w:rsidRDefault="00003B50" w:rsidP="009E641F">
            <w:pPr>
              <w:spacing w:after="0" w:line="240" w:lineRule="auto"/>
              <w:jc w:val="center"/>
              <w:rPr>
                <w:rFonts w:ascii="Times New Roman" w:eastAsia="Times New Roman" w:hAnsi="Times New Roman"/>
                <w:b/>
                <w:bCs/>
                <w:sz w:val="24"/>
                <w:szCs w:val="24"/>
                <w:lang w:eastAsia="lv-LV"/>
              </w:rPr>
            </w:pPr>
            <w:r w:rsidRPr="004F4468">
              <w:rPr>
                <w:rFonts w:ascii="Times New Roman" w:eastAsia="Times New Roman" w:hAnsi="Times New Roman"/>
                <w:b/>
                <w:bCs/>
                <w:sz w:val="24"/>
                <w:szCs w:val="24"/>
                <w:lang w:eastAsia="lv-LV"/>
              </w:rPr>
              <w:t>VII. Tiesību akta projekta izpildes nodrošināšana un tās ietekme uz institūcijām</w:t>
            </w:r>
          </w:p>
        </w:tc>
      </w:tr>
      <w:tr w:rsidR="00774835" w:rsidRPr="004F4468" w:rsidTr="00B33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74835" w:rsidRPr="004F4468" w:rsidRDefault="00774835"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1.</w:t>
            </w:r>
          </w:p>
        </w:tc>
        <w:tc>
          <w:tcPr>
            <w:tcW w:w="1785" w:type="pct"/>
            <w:tcBorders>
              <w:top w:val="outset" w:sz="6" w:space="0" w:color="auto"/>
              <w:left w:val="outset" w:sz="6" w:space="0" w:color="auto"/>
              <w:bottom w:val="outset" w:sz="6" w:space="0" w:color="auto"/>
              <w:right w:val="outset" w:sz="6" w:space="0" w:color="auto"/>
            </w:tcBorders>
            <w:hideMark/>
          </w:tcPr>
          <w:p w:rsidR="00774835" w:rsidRPr="004F4468" w:rsidRDefault="00774835"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rsidR="00774835" w:rsidRPr="004F4468" w:rsidRDefault="00774835" w:rsidP="00942D39">
            <w:pPr>
              <w:ind w:firstLine="485"/>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Projekta izpildi nodrošinās valsts aģentūra „Latvijas Investīciju un attīstības aģentūra”.</w:t>
            </w:r>
          </w:p>
        </w:tc>
      </w:tr>
      <w:tr w:rsidR="00774835" w:rsidRPr="004F4468" w:rsidTr="00B33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74835" w:rsidRPr="004F4468" w:rsidRDefault="00774835"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2.</w:t>
            </w:r>
          </w:p>
        </w:tc>
        <w:tc>
          <w:tcPr>
            <w:tcW w:w="1785" w:type="pct"/>
            <w:tcBorders>
              <w:top w:val="outset" w:sz="6" w:space="0" w:color="auto"/>
              <w:left w:val="outset" w:sz="6" w:space="0" w:color="auto"/>
              <w:bottom w:val="outset" w:sz="6" w:space="0" w:color="auto"/>
              <w:right w:val="outset" w:sz="6" w:space="0" w:color="auto"/>
            </w:tcBorders>
            <w:hideMark/>
          </w:tcPr>
          <w:p w:rsidR="00774835" w:rsidRPr="004F4468" w:rsidRDefault="00774835"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Projekta izpildes ietekme uz pārvaldes funkcijām</w:t>
            </w:r>
          </w:p>
        </w:tc>
        <w:tc>
          <w:tcPr>
            <w:tcW w:w="2810" w:type="pct"/>
            <w:tcBorders>
              <w:top w:val="outset" w:sz="6" w:space="0" w:color="auto"/>
              <w:left w:val="outset" w:sz="6" w:space="0" w:color="auto"/>
              <w:bottom w:val="outset" w:sz="6" w:space="0" w:color="auto"/>
              <w:right w:val="outset" w:sz="6" w:space="0" w:color="auto"/>
            </w:tcBorders>
            <w:hideMark/>
          </w:tcPr>
          <w:p w:rsidR="00774835" w:rsidRPr="004F4468" w:rsidRDefault="00774835" w:rsidP="00942D39">
            <w:pPr>
              <w:ind w:firstLine="485"/>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Projekta izpilde tiks nodrošināta valsts aģentūras „Latvijas Investīciju un attīstības aģentūra” funkciju ietvaros.</w:t>
            </w:r>
          </w:p>
        </w:tc>
      </w:tr>
      <w:tr w:rsidR="00417964" w:rsidRPr="004F4468" w:rsidTr="00B33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3.</w:t>
            </w:r>
          </w:p>
        </w:tc>
        <w:tc>
          <w:tcPr>
            <w:tcW w:w="1785" w:type="pct"/>
            <w:tcBorders>
              <w:top w:val="outset" w:sz="6" w:space="0" w:color="auto"/>
              <w:left w:val="outset" w:sz="6" w:space="0" w:color="auto"/>
              <w:bottom w:val="outset" w:sz="6" w:space="0" w:color="auto"/>
              <w:right w:val="outset" w:sz="6" w:space="0" w:color="auto"/>
            </w:tcBorders>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Projekta izpildes ietekme uz pārvaldes institucionālo struktūru.</w:t>
            </w:r>
          </w:p>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Jaunu institūciju izveide</w:t>
            </w:r>
          </w:p>
        </w:tc>
        <w:tc>
          <w:tcPr>
            <w:tcW w:w="2810" w:type="pct"/>
            <w:tcBorders>
              <w:top w:val="outset" w:sz="6" w:space="0" w:color="auto"/>
              <w:left w:val="outset" w:sz="6" w:space="0" w:color="auto"/>
              <w:bottom w:val="outset" w:sz="6" w:space="0" w:color="auto"/>
              <w:right w:val="outset" w:sz="6" w:space="0" w:color="auto"/>
            </w:tcBorders>
            <w:hideMark/>
          </w:tcPr>
          <w:p w:rsidR="00003B50" w:rsidRPr="004F4468" w:rsidRDefault="00774835" w:rsidP="00942D39">
            <w:pPr>
              <w:spacing w:after="0" w:line="240" w:lineRule="auto"/>
              <w:ind w:firstLine="485"/>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Netiks radītas jaunas institūcijas, funkcijas tiks izpildītas valsts aģentūras „Latvijas Investīciju un attīstības aģentūra” funkciju ietvaros.</w:t>
            </w:r>
          </w:p>
        </w:tc>
      </w:tr>
      <w:tr w:rsidR="00417964" w:rsidRPr="004F4468" w:rsidTr="00B33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4.</w:t>
            </w:r>
          </w:p>
        </w:tc>
        <w:tc>
          <w:tcPr>
            <w:tcW w:w="1785" w:type="pct"/>
            <w:tcBorders>
              <w:top w:val="outset" w:sz="6" w:space="0" w:color="auto"/>
              <w:left w:val="outset" w:sz="6" w:space="0" w:color="auto"/>
              <w:bottom w:val="outset" w:sz="6" w:space="0" w:color="auto"/>
              <w:right w:val="outset" w:sz="6" w:space="0" w:color="auto"/>
            </w:tcBorders>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Projekta izpildes ietekme uz pārvaldes institucionālo struktūru.</w:t>
            </w:r>
          </w:p>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Esošu institūciju likvidācija</w:t>
            </w:r>
          </w:p>
        </w:tc>
        <w:tc>
          <w:tcPr>
            <w:tcW w:w="2810" w:type="pct"/>
            <w:tcBorders>
              <w:top w:val="outset" w:sz="6" w:space="0" w:color="auto"/>
              <w:left w:val="outset" w:sz="6" w:space="0" w:color="auto"/>
              <w:bottom w:val="outset" w:sz="6" w:space="0" w:color="auto"/>
              <w:right w:val="outset" w:sz="6" w:space="0" w:color="auto"/>
            </w:tcBorders>
            <w:hideMark/>
          </w:tcPr>
          <w:p w:rsidR="00003B50" w:rsidRPr="004F4468" w:rsidRDefault="00B946DC" w:rsidP="00942D39">
            <w:pPr>
              <w:spacing w:after="0" w:line="240" w:lineRule="auto"/>
              <w:ind w:firstLine="485"/>
              <w:jc w:val="both"/>
              <w:rPr>
                <w:rFonts w:ascii="Times New Roman" w:eastAsia="Times New Roman" w:hAnsi="Times New Roman"/>
                <w:sz w:val="24"/>
                <w:szCs w:val="24"/>
                <w:lang w:eastAsia="lv-LV"/>
              </w:rPr>
            </w:pPr>
            <w:r w:rsidRPr="004F4468">
              <w:rPr>
                <w:rFonts w:ascii="Times New Roman" w:eastAsia="Times New Roman" w:hAnsi="Times New Roman"/>
                <w:iCs/>
                <w:sz w:val="24"/>
                <w:szCs w:val="24"/>
                <w:lang w:eastAsia="lv-LV"/>
              </w:rPr>
              <w:t>Projekts šo jomu neskar. </w:t>
            </w:r>
          </w:p>
        </w:tc>
      </w:tr>
      <w:tr w:rsidR="00417964" w:rsidRPr="004F4468" w:rsidTr="00B3352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5.</w:t>
            </w:r>
          </w:p>
        </w:tc>
        <w:tc>
          <w:tcPr>
            <w:tcW w:w="1785" w:type="pct"/>
            <w:tcBorders>
              <w:top w:val="outset" w:sz="6" w:space="0" w:color="auto"/>
              <w:left w:val="outset" w:sz="6" w:space="0" w:color="auto"/>
              <w:bottom w:val="outset" w:sz="6" w:space="0" w:color="auto"/>
              <w:right w:val="outset" w:sz="6" w:space="0" w:color="auto"/>
            </w:tcBorders>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Projekta izpildes ietekme uz pārvaldes institucionālo struktūru.</w:t>
            </w:r>
          </w:p>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Esošu institūciju reorganizācija</w:t>
            </w:r>
          </w:p>
        </w:tc>
        <w:tc>
          <w:tcPr>
            <w:tcW w:w="2810" w:type="pct"/>
            <w:tcBorders>
              <w:top w:val="outset" w:sz="6" w:space="0" w:color="auto"/>
              <w:left w:val="outset" w:sz="6" w:space="0" w:color="auto"/>
              <w:bottom w:val="outset" w:sz="6" w:space="0" w:color="auto"/>
              <w:right w:val="outset" w:sz="6" w:space="0" w:color="auto"/>
            </w:tcBorders>
            <w:hideMark/>
          </w:tcPr>
          <w:p w:rsidR="00003B50" w:rsidRPr="004F4468" w:rsidRDefault="00B946DC" w:rsidP="00942D39">
            <w:pPr>
              <w:spacing w:after="0" w:line="240" w:lineRule="auto"/>
              <w:ind w:firstLine="485"/>
              <w:jc w:val="both"/>
              <w:rPr>
                <w:rFonts w:ascii="Times New Roman" w:eastAsia="Times New Roman" w:hAnsi="Times New Roman"/>
                <w:sz w:val="24"/>
                <w:szCs w:val="24"/>
                <w:lang w:eastAsia="lv-LV"/>
              </w:rPr>
            </w:pPr>
            <w:r w:rsidRPr="004F4468">
              <w:rPr>
                <w:rFonts w:ascii="Times New Roman" w:eastAsia="Times New Roman" w:hAnsi="Times New Roman"/>
                <w:iCs/>
                <w:sz w:val="24"/>
                <w:szCs w:val="24"/>
                <w:lang w:eastAsia="lv-LV"/>
              </w:rPr>
              <w:t>Projekts šo jomu neskar. </w:t>
            </w:r>
          </w:p>
        </w:tc>
      </w:tr>
      <w:tr w:rsidR="00417964" w:rsidRPr="004F4468" w:rsidTr="00B3352D">
        <w:trPr>
          <w:trHeight w:val="1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3B50" w:rsidRPr="004F4468" w:rsidRDefault="00003B50" w:rsidP="009E641F">
            <w:pPr>
              <w:spacing w:after="0" w:line="240" w:lineRule="auto"/>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6.</w:t>
            </w:r>
          </w:p>
        </w:tc>
        <w:tc>
          <w:tcPr>
            <w:tcW w:w="1785" w:type="pct"/>
            <w:tcBorders>
              <w:top w:val="outset" w:sz="6" w:space="0" w:color="auto"/>
              <w:left w:val="outset" w:sz="6" w:space="0" w:color="auto"/>
              <w:bottom w:val="outset" w:sz="6" w:space="0" w:color="auto"/>
              <w:right w:val="outset" w:sz="6" w:space="0" w:color="auto"/>
            </w:tcBorders>
            <w:hideMark/>
          </w:tcPr>
          <w:p w:rsidR="00003B50" w:rsidRPr="004F4468" w:rsidRDefault="00003B50" w:rsidP="00E3435C">
            <w:pPr>
              <w:spacing w:after="0" w:line="240" w:lineRule="auto"/>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Cita informācija</w:t>
            </w:r>
          </w:p>
        </w:tc>
        <w:tc>
          <w:tcPr>
            <w:tcW w:w="2810" w:type="pct"/>
            <w:tcBorders>
              <w:top w:val="outset" w:sz="6" w:space="0" w:color="auto"/>
              <w:left w:val="outset" w:sz="6" w:space="0" w:color="auto"/>
              <w:bottom w:val="outset" w:sz="6" w:space="0" w:color="auto"/>
              <w:right w:val="outset" w:sz="6" w:space="0" w:color="auto"/>
            </w:tcBorders>
            <w:hideMark/>
          </w:tcPr>
          <w:p w:rsidR="00003B50" w:rsidRPr="004F4468" w:rsidRDefault="00003B50" w:rsidP="00942D39">
            <w:pPr>
              <w:spacing w:after="0" w:line="240" w:lineRule="auto"/>
              <w:ind w:firstLine="485"/>
              <w:jc w:val="both"/>
              <w:rPr>
                <w:rFonts w:ascii="Times New Roman" w:eastAsia="Times New Roman" w:hAnsi="Times New Roman"/>
                <w:sz w:val="24"/>
                <w:szCs w:val="24"/>
                <w:lang w:eastAsia="lv-LV"/>
              </w:rPr>
            </w:pPr>
            <w:r w:rsidRPr="004F4468">
              <w:rPr>
                <w:rFonts w:ascii="Times New Roman" w:eastAsia="Times New Roman" w:hAnsi="Times New Roman"/>
                <w:sz w:val="24"/>
                <w:szCs w:val="24"/>
                <w:lang w:eastAsia="lv-LV"/>
              </w:rPr>
              <w:t>Nav</w:t>
            </w:r>
          </w:p>
        </w:tc>
      </w:tr>
    </w:tbl>
    <w:p w:rsidR="00E15649" w:rsidRPr="004F4468" w:rsidRDefault="00E15649" w:rsidP="00F739CD">
      <w:pPr>
        <w:pStyle w:val="naisf"/>
        <w:tabs>
          <w:tab w:val="left" w:pos="6804"/>
        </w:tabs>
        <w:spacing w:before="0" w:after="0"/>
        <w:rPr>
          <w:szCs w:val="24"/>
          <w:lang w:val="lv-LV"/>
        </w:rPr>
      </w:pPr>
    </w:p>
    <w:p w:rsidR="00BB0CC2" w:rsidRPr="004F4468" w:rsidRDefault="00BB0CC2" w:rsidP="00F739CD">
      <w:pPr>
        <w:pStyle w:val="naisf"/>
        <w:tabs>
          <w:tab w:val="left" w:pos="6804"/>
        </w:tabs>
        <w:spacing w:before="0" w:after="0"/>
        <w:rPr>
          <w:szCs w:val="24"/>
          <w:lang w:val="lv-LV"/>
        </w:rPr>
      </w:pPr>
    </w:p>
    <w:p w:rsidR="00552382" w:rsidRPr="004F4468" w:rsidRDefault="00552382" w:rsidP="00F739CD">
      <w:pPr>
        <w:pStyle w:val="naisf"/>
        <w:tabs>
          <w:tab w:val="left" w:pos="6804"/>
        </w:tabs>
        <w:spacing w:before="0" w:after="0"/>
        <w:rPr>
          <w:szCs w:val="24"/>
          <w:lang w:val="lv-LV"/>
        </w:rPr>
      </w:pPr>
    </w:p>
    <w:p w:rsidR="003142A8" w:rsidRPr="004F4468" w:rsidRDefault="00B946DC" w:rsidP="00F739CD">
      <w:pPr>
        <w:pStyle w:val="naisf"/>
        <w:tabs>
          <w:tab w:val="left" w:pos="6804"/>
        </w:tabs>
        <w:spacing w:before="0" w:after="0"/>
        <w:rPr>
          <w:szCs w:val="24"/>
          <w:lang w:val="lv-LV"/>
        </w:rPr>
      </w:pPr>
      <w:r w:rsidRPr="004F4468">
        <w:rPr>
          <w:szCs w:val="24"/>
          <w:lang w:val="lv-LV"/>
        </w:rPr>
        <w:t>Ekonomikas</w:t>
      </w:r>
      <w:r w:rsidR="00947834" w:rsidRPr="004F4468">
        <w:rPr>
          <w:szCs w:val="24"/>
          <w:lang w:val="lv-LV"/>
        </w:rPr>
        <w:t xml:space="preserve"> ministrs</w:t>
      </w:r>
      <w:r w:rsidR="00F739CD" w:rsidRPr="004F4468">
        <w:rPr>
          <w:szCs w:val="24"/>
          <w:lang w:val="lv-LV"/>
        </w:rPr>
        <w:tab/>
      </w:r>
      <w:r w:rsidRPr="004F4468">
        <w:rPr>
          <w:szCs w:val="24"/>
          <w:lang w:val="lv-LV"/>
        </w:rPr>
        <w:t>A.Kampars</w:t>
      </w:r>
    </w:p>
    <w:p w:rsidR="005B0502" w:rsidRPr="004F4468" w:rsidRDefault="005B0502" w:rsidP="003142A8">
      <w:pPr>
        <w:spacing w:after="0" w:line="240" w:lineRule="auto"/>
        <w:rPr>
          <w:rFonts w:ascii="Times New Roman" w:hAnsi="Times New Roman"/>
          <w:sz w:val="24"/>
          <w:szCs w:val="24"/>
        </w:rPr>
      </w:pPr>
    </w:p>
    <w:p w:rsidR="00BB0CC2" w:rsidRPr="004F4468" w:rsidRDefault="003142A8" w:rsidP="003A09BA">
      <w:pPr>
        <w:tabs>
          <w:tab w:val="left" w:pos="6804"/>
        </w:tabs>
        <w:spacing w:after="0" w:line="240" w:lineRule="auto"/>
        <w:rPr>
          <w:rFonts w:ascii="Times New Roman" w:hAnsi="Times New Roman"/>
          <w:sz w:val="24"/>
          <w:szCs w:val="24"/>
        </w:rPr>
      </w:pPr>
      <w:r w:rsidRPr="004F4468">
        <w:rPr>
          <w:rFonts w:ascii="Times New Roman" w:hAnsi="Times New Roman"/>
          <w:sz w:val="24"/>
          <w:szCs w:val="24"/>
        </w:rPr>
        <w:br/>
      </w:r>
    </w:p>
    <w:p w:rsidR="00BB0CC2" w:rsidRPr="004F4468" w:rsidRDefault="00B05D72" w:rsidP="003A09BA">
      <w:pPr>
        <w:tabs>
          <w:tab w:val="left" w:pos="6804"/>
        </w:tabs>
        <w:spacing w:after="0" w:line="240" w:lineRule="auto"/>
        <w:rPr>
          <w:rFonts w:ascii="Times New Roman" w:hAnsi="Times New Roman"/>
          <w:sz w:val="24"/>
          <w:szCs w:val="24"/>
        </w:rPr>
      </w:pPr>
      <w:r w:rsidRPr="004F4468">
        <w:rPr>
          <w:rFonts w:ascii="Times New Roman" w:hAnsi="Times New Roman"/>
          <w:sz w:val="24"/>
          <w:szCs w:val="24"/>
        </w:rPr>
        <w:t>Vīza: valsts sekretārs</w:t>
      </w:r>
      <w:r w:rsidRPr="004F4468">
        <w:rPr>
          <w:rFonts w:ascii="Times New Roman" w:hAnsi="Times New Roman"/>
          <w:sz w:val="24"/>
          <w:szCs w:val="24"/>
        </w:rPr>
        <w:tab/>
      </w:r>
      <w:r w:rsidR="00B946DC" w:rsidRPr="004F4468">
        <w:rPr>
          <w:rFonts w:ascii="Times New Roman" w:hAnsi="Times New Roman"/>
          <w:sz w:val="24"/>
          <w:szCs w:val="24"/>
        </w:rPr>
        <w:t>J.Pūce</w:t>
      </w:r>
      <w:r w:rsidR="00F739CD" w:rsidRPr="004F4468">
        <w:rPr>
          <w:rFonts w:ascii="Times New Roman" w:hAnsi="Times New Roman"/>
          <w:sz w:val="24"/>
          <w:szCs w:val="24"/>
        </w:rPr>
        <w:tab/>
      </w:r>
    </w:p>
    <w:p w:rsidR="00BB0CC2" w:rsidRPr="004F4468" w:rsidRDefault="00BB0CC2" w:rsidP="003A09BA">
      <w:pPr>
        <w:tabs>
          <w:tab w:val="left" w:pos="6804"/>
        </w:tabs>
        <w:spacing w:after="0" w:line="240" w:lineRule="auto"/>
        <w:rPr>
          <w:rFonts w:ascii="Times New Roman" w:hAnsi="Times New Roman"/>
          <w:sz w:val="24"/>
          <w:szCs w:val="24"/>
        </w:rPr>
      </w:pPr>
    </w:p>
    <w:p w:rsidR="00F739CD" w:rsidRPr="004F4468" w:rsidRDefault="00F739CD" w:rsidP="003A09BA">
      <w:pPr>
        <w:tabs>
          <w:tab w:val="left" w:pos="6804"/>
        </w:tabs>
        <w:spacing w:after="0" w:line="240" w:lineRule="auto"/>
        <w:rPr>
          <w:rFonts w:ascii="Times New Roman" w:hAnsi="Times New Roman"/>
          <w:sz w:val="24"/>
          <w:szCs w:val="24"/>
        </w:rPr>
      </w:pPr>
      <w:r w:rsidRPr="004F4468">
        <w:rPr>
          <w:rFonts w:ascii="Times New Roman" w:hAnsi="Times New Roman"/>
          <w:sz w:val="24"/>
          <w:szCs w:val="24"/>
        </w:rPr>
        <w:tab/>
      </w:r>
      <w:r w:rsidRPr="004F4468">
        <w:rPr>
          <w:rFonts w:ascii="Times New Roman" w:hAnsi="Times New Roman"/>
          <w:sz w:val="24"/>
          <w:szCs w:val="24"/>
        </w:rPr>
        <w:tab/>
        <w:t xml:space="preserve">                        </w:t>
      </w:r>
    </w:p>
    <w:p w:rsidR="003E67AD" w:rsidRDefault="00154E4F" w:rsidP="00947834">
      <w:pPr>
        <w:spacing w:after="0" w:line="240" w:lineRule="auto"/>
        <w:rPr>
          <w:rFonts w:ascii="Times New Roman" w:hAnsi="Times New Roman"/>
          <w:sz w:val="20"/>
          <w:szCs w:val="20"/>
        </w:rPr>
      </w:pPr>
      <w:r>
        <w:rPr>
          <w:rFonts w:ascii="Times New Roman" w:hAnsi="Times New Roman"/>
          <w:sz w:val="20"/>
          <w:szCs w:val="20"/>
        </w:rPr>
        <w:t>2011.10.13. 15:00</w:t>
      </w:r>
    </w:p>
    <w:p w:rsidR="00DE4989" w:rsidRPr="004F4468" w:rsidRDefault="00D60B5F" w:rsidP="00947834">
      <w:pPr>
        <w:spacing w:after="0" w:line="240" w:lineRule="auto"/>
        <w:rPr>
          <w:rFonts w:ascii="Times New Roman" w:hAnsi="Times New Roman"/>
          <w:sz w:val="20"/>
          <w:szCs w:val="20"/>
        </w:rPr>
      </w:pPr>
      <w:fldSimple w:instr=" NUMWORDS   \* MERGEFORMAT ">
        <w:r w:rsidR="00154E4F" w:rsidRPr="00154E4F">
          <w:rPr>
            <w:rFonts w:ascii="Times New Roman" w:hAnsi="Times New Roman"/>
            <w:noProof/>
            <w:sz w:val="20"/>
            <w:szCs w:val="20"/>
          </w:rPr>
          <w:t>3420</w:t>
        </w:r>
      </w:fldSimple>
    </w:p>
    <w:p w:rsidR="00DE4989" w:rsidRPr="004F4468" w:rsidRDefault="00B946DC" w:rsidP="00947834">
      <w:pPr>
        <w:spacing w:after="0" w:line="240" w:lineRule="auto"/>
        <w:rPr>
          <w:rFonts w:ascii="Times New Roman" w:hAnsi="Times New Roman"/>
          <w:sz w:val="20"/>
          <w:szCs w:val="20"/>
        </w:rPr>
      </w:pPr>
      <w:r w:rsidRPr="004F4468">
        <w:rPr>
          <w:rFonts w:ascii="Times New Roman" w:hAnsi="Times New Roman"/>
          <w:sz w:val="20"/>
          <w:szCs w:val="20"/>
        </w:rPr>
        <w:t>Māris Krūmiņš</w:t>
      </w:r>
    </w:p>
    <w:p w:rsidR="00CB2D16" w:rsidRPr="00942D39" w:rsidRDefault="00DE4989" w:rsidP="00DE4989">
      <w:pPr>
        <w:spacing w:after="0" w:line="240" w:lineRule="auto"/>
        <w:rPr>
          <w:rFonts w:ascii="Times New Roman" w:hAnsi="Times New Roman"/>
          <w:sz w:val="20"/>
          <w:szCs w:val="20"/>
        </w:rPr>
      </w:pPr>
      <w:r w:rsidRPr="004F4468">
        <w:rPr>
          <w:rFonts w:ascii="Times New Roman" w:hAnsi="Times New Roman"/>
          <w:sz w:val="20"/>
          <w:szCs w:val="20"/>
        </w:rPr>
        <w:t>670</w:t>
      </w:r>
      <w:r w:rsidR="00B946DC" w:rsidRPr="004F4468">
        <w:rPr>
          <w:rFonts w:ascii="Times New Roman" w:hAnsi="Times New Roman"/>
          <w:sz w:val="20"/>
          <w:szCs w:val="20"/>
        </w:rPr>
        <w:t>13082</w:t>
      </w:r>
      <w:r w:rsidRPr="004F4468">
        <w:rPr>
          <w:rFonts w:ascii="Times New Roman" w:hAnsi="Times New Roman"/>
          <w:sz w:val="20"/>
          <w:szCs w:val="20"/>
        </w:rPr>
        <w:t>,</w:t>
      </w:r>
      <w:r w:rsidR="003D0B0C" w:rsidRPr="004F4468">
        <w:rPr>
          <w:rFonts w:ascii="Times New Roman" w:hAnsi="Times New Roman"/>
          <w:sz w:val="20"/>
          <w:szCs w:val="20"/>
        </w:rPr>
        <w:t xml:space="preserve"> </w:t>
      </w:r>
      <w:hyperlink r:id="rId8" w:history="1">
        <w:r w:rsidR="00B946DC" w:rsidRPr="004F4468">
          <w:rPr>
            <w:rStyle w:val="Hyperlink"/>
            <w:rFonts w:ascii="Times New Roman" w:hAnsi="Times New Roman"/>
            <w:sz w:val="20"/>
            <w:szCs w:val="20"/>
          </w:rPr>
          <w:t>maris.krumins@em.gov.lv</w:t>
        </w:r>
      </w:hyperlink>
      <w:r w:rsidR="00404264" w:rsidRPr="00942D39">
        <w:rPr>
          <w:rFonts w:ascii="Times New Roman" w:hAnsi="Times New Roman"/>
          <w:sz w:val="20"/>
          <w:szCs w:val="20"/>
        </w:rPr>
        <w:t xml:space="preserve"> </w:t>
      </w:r>
    </w:p>
    <w:sectPr w:rsidR="00CB2D16" w:rsidRPr="00942D39" w:rsidSect="004839F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A16" w:rsidRDefault="00CB0A16" w:rsidP="002F2C35">
      <w:pPr>
        <w:spacing w:after="0" w:line="240" w:lineRule="auto"/>
      </w:pPr>
      <w:r>
        <w:separator/>
      </w:r>
    </w:p>
  </w:endnote>
  <w:endnote w:type="continuationSeparator" w:id="0">
    <w:p w:rsidR="00CB0A16" w:rsidRDefault="00CB0A16" w:rsidP="002F2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B4" w:rsidRPr="00A431D0" w:rsidRDefault="00D60B5F" w:rsidP="00A431D0">
    <w:pPr>
      <w:spacing w:after="0" w:line="240" w:lineRule="auto"/>
      <w:jc w:val="both"/>
      <w:rPr>
        <w:rFonts w:ascii="Times New Roman" w:eastAsia="Times New Roman" w:hAnsi="Times New Roman"/>
        <w:bCs/>
        <w:sz w:val="20"/>
        <w:szCs w:val="20"/>
        <w:lang w:eastAsia="lv-LV"/>
      </w:rPr>
    </w:pPr>
    <w:fldSimple w:instr=" FILENAME   \* MERGEFORMAT ">
      <w:r w:rsidR="002A4B0F" w:rsidRPr="002A4B0F">
        <w:rPr>
          <w:rFonts w:ascii="Times New Roman" w:hAnsi="Times New Roman"/>
          <w:noProof/>
          <w:sz w:val="20"/>
          <w:szCs w:val="20"/>
        </w:rPr>
        <w:t>EMAnot_</w:t>
      </w:r>
      <w:r w:rsidR="003E67AD">
        <w:rPr>
          <w:rFonts w:ascii="Times New Roman" w:hAnsi="Times New Roman"/>
          <w:noProof/>
          <w:sz w:val="20"/>
          <w:szCs w:val="20"/>
        </w:rPr>
        <w:t>13</w:t>
      </w:r>
      <w:r w:rsidR="002876DD">
        <w:rPr>
          <w:rFonts w:ascii="Times New Roman" w:hAnsi="Times New Roman"/>
          <w:noProof/>
          <w:sz w:val="20"/>
          <w:szCs w:val="20"/>
        </w:rPr>
        <w:t>10</w:t>
      </w:r>
      <w:r w:rsidR="002A4B0F" w:rsidRPr="002A4B0F">
        <w:rPr>
          <w:rFonts w:ascii="Times New Roman" w:hAnsi="Times New Roman"/>
          <w:noProof/>
          <w:sz w:val="20"/>
          <w:szCs w:val="20"/>
        </w:rPr>
        <w:t>11_2124_2karta</w:t>
      </w:r>
    </w:fldSimple>
    <w:r w:rsidR="006075B4" w:rsidRPr="004316FF">
      <w:rPr>
        <w:rFonts w:ascii="Times New Roman" w:hAnsi="Times New Roman"/>
        <w:sz w:val="20"/>
        <w:szCs w:val="20"/>
      </w:rPr>
      <w:t xml:space="preserve">; </w:t>
    </w:r>
    <w:bookmarkStart w:id="3" w:name="OLE_LINK5"/>
    <w:bookmarkStart w:id="4" w:name="OLE_LINK6"/>
    <w:r w:rsidR="006075B4" w:rsidRPr="00C12064">
      <w:rPr>
        <w:rFonts w:ascii="Times New Roman" w:eastAsia="Times New Roman" w:hAnsi="Times New Roman"/>
        <w:bCs/>
        <w:sz w:val="20"/>
        <w:szCs w:val="20"/>
        <w:lang w:eastAsia="lv-LV"/>
      </w:rPr>
      <w:t xml:space="preserve">Ministru kabineta noteikumu </w:t>
    </w:r>
    <w:bookmarkStart w:id="5" w:name="OLE_LINK3"/>
    <w:bookmarkStart w:id="6" w:name="OLE_LINK4"/>
    <w:r w:rsidR="006075B4">
      <w:rPr>
        <w:rFonts w:ascii="Times New Roman" w:hAnsi="Times New Roman"/>
        <w:bCs/>
        <w:sz w:val="20"/>
        <w:szCs w:val="20"/>
      </w:rPr>
      <w:t>„</w:t>
    </w:r>
    <w:r w:rsidR="006075B4" w:rsidRPr="00C12064">
      <w:rPr>
        <w:rFonts w:ascii="Times New Roman" w:eastAsia="Times New Roman" w:hAnsi="Times New Roman"/>
        <w:bCs/>
        <w:sz w:val="20"/>
        <w:szCs w:val="20"/>
        <w:lang w:eastAsia="lv-LV"/>
      </w:rPr>
      <w:t xml:space="preserve">Noteikumi par darbības programmas </w:t>
    </w:r>
    <w:r w:rsidR="006075B4">
      <w:rPr>
        <w:rFonts w:ascii="Times New Roman" w:eastAsia="Times New Roman" w:hAnsi="Times New Roman"/>
        <w:bCs/>
        <w:sz w:val="20"/>
        <w:szCs w:val="20"/>
        <w:lang w:eastAsia="lv-LV"/>
      </w:rPr>
      <w:t>„</w:t>
    </w:r>
    <w:r w:rsidR="006075B4" w:rsidRPr="00C12064">
      <w:rPr>
        <w:rFonts w:ascii="Times New Roman" w:eastAsia="Times New Roman" w:hAnsi="Times New Roman"/>
        <w:bCs/>
        <w:sz w:val="20"/>
        <w:szCs w:val="20"/>
        <w:lang w:eastAsia="lv-LV"/>
      </w:rPr>
      <w:t>Uzņēmējdarbība un inovācijas</w:t>
    </w:r>
    <w:r w:rsidR="006075B4">
      <w:rPr>
        <w:rFonts w:ascii="Times New Roman" w:eastAsia="Times New Roman" w:hAnsi="Times New Roman"/>
        <w:bCs/>
        <w:sz w:val="20"/>
        <w:szCs w:val="20"/>
        <w:lang w:eastAsia="lv-LV"/>
      </w:rPr>
      <w:t>”</w:t>
    </w:r>
    <w:r w:rsidR="006075B4" w:rsidRPr="00C12064">
      <w:rPr>
        <w:rFonts w:ascii="Times New Roman" w:eastAsia="Times New Roman" w:hAnsi="Times New Roman"/>
        <w:bCs/>
        <w:sz w:val="20"/>
        <w:szCs w:val="20"/>
        <w:lang w:eastAsia="lv-LV"/>
      </w:rPr>
      <w:t xml:space="preserve"> papildinājuma 2.1.2.4.aktivitāt</w:t>
    </w:r>
    <w:r w:rsidR="00344B2C">
      <w:rPr>
        <w:rFonts w:ascii="Times New Roman" w:eastAsia="Times New Roman" w:hAnsi="Times New Roman"/>
        <w:bCs/>
        <w:sz w:val="20"/>
        <w:szCs w:val="20"/>
        <w:lang w:eastAsia="lv-LV"/>
      </w:rPr>
      <w:t>es</w:t>
    </w:r>
    <w:r w:rsidR="006075B4" w:rsidRPr="00C12064">
      <w:rPr>
        <w:rFonts w:ascii="Times New Roman" w:eastAsia="Times New Roman" w:hAnsi="Times New Roman"/>
        <w:bCs/>
        <w:sz w:val="20"/>
        <w:szCs w:val="20"/>
        <w:lang w:eastAsia="lv-LV"/>
      </w:rPr>
      <w:t xml:space="preserve"> </w:t>
    </w:r>
    <w:r w:rsidR="006075B4">
      <w:rPr>
        <w:rFonts w:ascii="Times New Roman" w:eastAsia="Times New Roman" w:hAnsi="Times New Roman"/>
        <w:bCs/>
        <w:sz w:val="20"/>
        <w:szCs w:val="20"/>
        <w:lang w:eastAsia="lv-LV"/>
      </w:rPr>
      <w:t>„</w:t>
    </w:r>
    <w:r w:rsidR="006075B4" w:rsidRPr="00C12064">
      <w:rPr>
        <w:rFonts w:ascii="Times New Roman" w:eastAsia="Times New Roman" w:hAnsi="Times New Roman"/>
        <w:bCs/>
        <w:sz w:val="20"/>
        <w:szCs w:val="20"/>
        <w:lang w:eastAsia="lv-LV"/>
      </w:rPr>
      <w:t>Augstas pievienotās vērtības investīcijas</w:t>
    </w:r>
    <w:r w:rsidR="006075B4">
      <w:rPr>
        <w:rFonts w:ascii="Times New Roman" w:eastAsia="Times New Roman" w:hAnsi="Times New Roman"/>
        <w:bCs/>
        <w:sz w:val="20"/>
        <w:szCs w:val="20"/>
        <w:lang w:eastAsia="lv-LV"/>
      </w:rPr>
      <w:t>”</w:t>
    </w:r>
    <w:r w:rsidR="006075B4" w:rsidRPr="00C12064">
      <w:rPr>
        <w:rFonts w:ascii="Times New Roman" w:eastAsia="Times New Roman" w:hAnsi="Times New Roman"/>
        <w:bCs/>
        <w:sz w:val="20"/>
        <w:szCs w:val="20"/>
        <w:lang w:eastAsia="lv-LV"/>
      </w:rPr>
      <w:t xml:space="preserve"> projektu iesniegumu atlases otro un turpmākajām kārtām</w:t>
    </w:r>
    <w:bookmarkEnd w:id="5"/>
    <w:bookmarkEnd w:id="6"/>
    <w:r w:rsidR="000A29E7">
      <w:rPr>
        <w:rFonts w:ascii="Times New Roman" w:hAnsi="Times New Roman"/>
        <w:sz w:val="20"/>
        <w:szCs w:val="20"/>
      </w:rPr>
      <w:t>”</w:t>
    </w:r>
    <w:r w:rsidR="006075B4" w:rsidRPr="00C12064">
      <w:rPr>
        <w:rFonts w:ascii="Times New Roman" w:hAnsi="Times New Roman"/>
        <w:sz w:val="20"/>
        <w:szCs w:val="20"/>
      </w:rPr>
      <w:t xml:space="preserve"> </w:t>
    </w:r>
    <w:r w:rsidR="006075B4" w:rsidRPr="00C12064">
      <w:rPr>
        <w:rFonts w:ascii="Times New Roman" w:eastAsia="Times New Roman" w:hAnsi="Times New Roman"/>
        <w:bCs/>
        <w:sz w:val="20"/>
        <w:szCs w:val="20"/>
        <w:lang w:eastAsia="lv-LV"/>
      </w:rPr>
      <w:t>projekta sākotnējās ietekmes novērtējuma ziņojums (anotācija)</w:t>
    </w:r>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B4" w:rsidRPr="004C18F4" w:rsidRDefault="00D60B5F" w:rsidP="004C18F4">
    <w:pPr>
      <w:spacing w:after="0" w:line="240" w:lineRule="auto"/>
      <w:jc w:val="both"/>
      <w:rPr>
        <w:rFonts w:ascii="Times New Roman" w:eastAsia="Times New Roman" w:hAnsi="Times New Roman"/>
        <w:bCs/>
        <w:sz w:val="20"/>
        <w:szCs w:val="20"/>
        <w:lang w:eastAsia="lv-LV"/>
      </w:rPr>
    </w:pPr>
    <w:fldSimple w:instr=" FILENAME   \* MERGEFORMAT ">
      <w:r w:rsidR="002A4B0F" w:rsidRPr="002A4B0F">
        <w:rPr>
          <w:rFonts w:ascii="Times New Roman" w:hAnsi="Times New Roman"/>
          <w:noProof/>
          <w:sz w:val="20"/>
          <w:szCs w:val="20"/>
        </w:rPr>
        <w:t>EMAnot_</w:t>
      </w:r>
      <w:r w:rsidR="003E67AD">
        <w:rPr>
          <w:rFonts w:ascii="Times New Roman" w:hAnsi="Times New Roman"/>
          <w:noProof/>
          <w:sz w:val="20"/>
          <w:szCs w:val="20"/>
        </w:rPr>
        <w:t>13</w:t>
      </w:r>
      <w:r w:rsidR="002876DD">
        <w:rPr>
          <w:rFonts w:ascii="Times New Roman" w:hAnsi="Times New Roman"/>
          <w:noProof/>
          <w:sz w:val="20"/>
          <w:szCs w:val="20"/>
        </w:rPr>
        <w:t>10</w:t>
      </w:r>
      <w:r w:rsidR="002A4B0F" w:rsidRPr="002A4B0F">
        <w:rPr>
          <w:rFonts w:ascii="Times New Roman" w:hAnsi="Times New Roman"/>
          <w:noProof/>
          <w:sz w:val="20"/>
          <w:szCs w:val="20"/>
        </w:rPr>
        <w:t>11_2124_2karta</w:t>
      </w:r>
    </w:fldSimple>
    <w:r w:rsidR="006075B4" w:rsidRPr="004316FF">
      <w:rPr>
        <w:rFonts w:ascii="Times New Roman" w:hAnsi="Times New Roman"/>
        <w:sz w:val="20"/>
        <w:szCs w:val="20"/>
      </w:rPr>
      <w:t xml:space="preserve">; </w:t>
    </w:r>
    <w:r w:rsidR="006075B4" w:rsidRPr="00C12064">
      <w:rPr>
        <w:rFonts w:ascii="Times New Roman" w:eastAsia="Times New Roman" w:hAnsi="Times New Roman"/>
        <w:bCs/>
        <w:sz w:val="20"/>
        <w:szCs w:val="20"/>
        <w:lang w:eastAsia="lv-LV"/>
      </w:rPr>
      <w:t xml:space="preserve">Ministru kabineta noteikumu </w:t>
    </w:r>
    <w:r w:rsidR="006075B4">
      <w:rPr>
        <w:rFonts w:ascii="Times New Roman" w:hAnsi="Times New Roman"/>
        <w:bCs/>
        <w:sz w:val="20"/>
        <w:szCs w:val="20"/>
      </w:rPr>
      <w:t>„</w:t>
    </w:r>
    <w:r w:rsidR="006075B4" w:rsidRPr="00C12064">
      <w:rPr>
        <w:rFonts w:ascii="Times New Roman" w:eastAsia="Times New Roman" w:hAnsi="Times New Roman"/>
        <w:bCs/>
        <w:sz w:val="20"/>
        <w:szCs w:val="20"/>
        <w:lang w:eastAsia="lv-LV"/>
      </w:rPr>
      <w:t xml:space="preserve">Noteikumi par darbības programmas </w:t>
    </w:r>
    <w:r w:rsidR="006075B4">
      <w:rPr>
        <w:rFonts w:ascii="Times New Roman" w:eastAsia="Times New Roman" w:hAnsi="Times New Roman"/>
        <w:bCs/>
        <w:sz w:val="20"/>
        <w:szCs w:val="20"/>
        <w:lang w:eastAsia="lv-LV"/>
      </w:rPr>
      <w:t>„</w:t>
    </w:r>
    <w:r w:rsidR="006075B4" w:rsidRPr="00C12064">
      <w:rPr>
        <w:rFonts w:ascii="Times New Roman" w:eastAsia="Times New Roman" w:hAnsi="Times New Roman"/>
        <w:bCs/>
        <w:sz w:val="20"/>
        <w:szCs w:val="20"/>
        <w:lang w:eastAsia="lv-LV"/>
      </w:rPr>
      <w:t>Uzņēmējdarbība un inovācijas</w:t>
    </w:r>
    <w:r w:rsidR="006075B4">
      <w:rPr>
        <w:rFonts w:ascii="Times New Roman" w:eastAsia="Times New Roman" w:hAnsi="Times New Roman"/>
        <w:bCs/>
        <w:sz w:val="20"/>
        <w:szCs w:val="20"/>
        <w:lang w:eastAsia="lv-LV"/>
      </w:rPr>
      <w:t>”</w:t>
    </w:r>
    <w:r w:rsidR="006075B4" w:rsidRPr="00C12064">
      <w:rPr>
        <w:rFonts w:ascii="Times New Roman" w:eastAsia="Times New Roman" w:hAnsi="Times New Roman"/>
        <w:bCs/>
        <w:sz w:val="20"/>
        <w:szCs w:val="20"/>
        <w:lang w:eastAsia="lv-LV"/>
      </w:rPr>
      <w:t xml:space="preserve"> papildinājuma 2.1.2.4.aktivitāt</w:t>
    </w:r>
    <w:r w:rsidR="00344B2C">
      <w:rPr>
        <w:rFonts w:ascii="Times New Roman" w:eastAsia="Times New Roman" w:hAnsi="Times New Roman"/>
        <w:bCs/>
        <w:sz w:val="20"/>
        <w:szCs w:val="20"/>
        <w:lang w:eastAsia="lv-LV"/>
      </w:rPr>
      <w:t>es</w:t>
    </w:r>
    <w:r w:rsidR="006075B4" w:rsidRPr="00C12064">
      <w:rPr>
        <w:rFonts w:ascii="Times New Roman" w:eastAsia="Times New Roman" w:hAnsi="Times New Roman"/>
        <w:bCs/>
        <w:sz w:val="20"/>
        <w:szCs w:val="20"/>
        <w:lang w:eastAsia="lv-LV"/>
      </w:rPr>
      <w:t xml:space="preserve"> </w:t>
    </w:r>
    <w:r w:rsidR="006075B4">
      <w:rPr>
        <w:rFonts w:ascii="Times New Roman" w:eastAsia="Times New Roman" w:hAnsi="Times New Roman"/>
        <w:bCs/>
        <w:sz w:val="20"/>
        <w:szCs w:val="20"/>
        <w:lang w:eastAsia="lv-LV"/>
      </w:rPr>
      <w:t>„</w:t>
    </w:r>
    <w:r w:rsidR="006075B4" w:rsidRPr="00C12064">
      <w:rPr>
        <w:rFonts w:ascii="Times New Roman" w:eastAsia="Times New Roman" w:hAnsi="Times New Roman"/>
        <w:bCs/>
        <w:sz w:val="20"/>
        <w:szCs w:val="20"/>
        <w:lang w:eastAsia="lv-LV"/>
      </w:rPr>
      <w:t>Augstas pievienotās vērtības investīcijas</w:t>
    </w:r>
    <w:r w:rsidR="006075B4">
      <w:rPr>
        <w:rFonts w:ascii="Times New Roman" w:eastAsia="Times New Roman" w:hAnsi="Times New Roman"/>
        <w:bCs/>
        <w:sz w:val="20"/>
        <w:szCs w:val="20"/>
        <w:lang w:eastAsia="lv-LV"/>
      </w:rPr>
      <w:t>”</w:t>
    </w:r>
    <w:r w:rsidR="006075B4" w:rsidRPr="00C12064">
      <w:rPr>
        <w:rFonts w:ascii="Times New Roman" w:eastAsia="Times New Roman" w:hAnsi="Times New Roman"/>
        <w:bCs/>
        <w:sz w:val="20"/>
        <w:szCs w:val="20"/>
        <w:lang w:eastAsia="lv-LV"/>
      </w:rPr>
      <w:t xml:space="preserve"> projektu iesniegumu atlases otro un turpmākajām kārtām</w:t>
    </w:r>
    <w:r w:rsidR="006075B4">
      <w:rPr>
        <w:rFonts w:ascii="Times New Roman" w:hAnsi="Times New Roman"/>
        <w:sz w:val="20"/>
        <w:szCs w:val="20"/>
      </w:rPr>
      <w:t>”</w:t>
    </w:r>
    <w:r w:rsidR="006075B4" w:rsidRPr="00C12064">
      <w:rPr>
        <w:rFonts w:ascii="Times New Roman" w:hAnsi="Times New Roman"/>
        <w:sz w:val="20"/>
        <w:szCs w:val="20"/>
      </w:rPr>
      <w:t xml:space="preserve"> </w:t>
    </w:r>
    <w:r w:rsidR="006075B4" w:rsidRPr="00C12064">
      <w:rPr>
        <w:rFonts w:ascii="Times New Roman" w:eastAsia="Times New Roman" w:hAnsi="Times New Roman"/>
        <w:bCs/>
        <w:sz w:val="20"/>
        <w:szCs w:val="20"/>
        <w:lang w:eastAsia="lv-LV"/>
      </w:rPr>
      <w:t>projekta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A16" w:rsidRDefault="00CB0A16" w:rsidP="002F2C35">
      <w:pPr>
        <w:spacing w:after="0" w:line="240" w:lineRule="auto"/>
      </w:pPr>
      <w:r>
        <w:separator/>
      </w:r>
    </w:p>
  </w:footnote>
  <w:footnote w:type="continuationSeparator" w:id="0">
    <w:p w:rsidR="00CB0A16" w:rsidRDefault="00CB0A16" w:rsidP="002F2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B4" w:rsidRPr="00ED29FD" w:rsidRDefault="00D60B5F">
    <w:pPr>
      <w:pStyle w:val="Header"/>
      <w:jc w:val="center"/>
      <w:rPr>
        <w:rFonts w:ascii="Times New Roman" w:hAnsi="Times New Roman"/>
        <w:sz w:val="24"/>
        <w:szCs w:val="24"/>
      </w:rPr>
    </w:pPr>
    <w:r w:rsidRPr="00ED29FD">
      <w:rPr>
        <w:rFonts w:ascii="Times New Roman" w:hAnsi="Times New Roman"/>
        <w:sz w:val="24"/>
        <w:szCs w:val="24"/>
      </w:rPr>
      <w:fldChar w:fldCharType="begin"/>
    </w:r>
    <w:r w:rsidR="006075B4" w:rsidRPr="00ED29FD">
      <w:rPr>
        <w:rFonts w:ascii="Times New Roman" w:hAnsi="Times New Roman"/>
        <w:sz w:val="24"/>
        <w:szCs w:val="24"/>
      </w:rPr>
      <w:instrText xml:space="preserve"> PAGE   \* MERGEFORMAT </w:instrText>
    </w:r>
    <w:r w:rsidRPr="00ED29FD">
      <w:rPr>
        <w:rFonts w:ascii="Times New Roman" w:hAnsi="Times New Roman"/>
        <w:sz w:val="24"/>
        <w:szCs w:val="24"/>
      </w:rPr>
      <w:fldChar w:fldCharType="separate"/>
    </w:r>
    <w:r w:rsidR="00154E4F">
      <w:rPr>
        <w:rFonts w:ascii="Times New Roman" w:hAnsi="Times New Roman"/>
        <w:noProof/>
        <w:sz w:val="24"/>
        <w:szCs w:val="24"/>
      </w:rPr>
      <w:t>17</w:t>
    </w:r>
    <w:r w:rsidRPr="00ED29FD">
      <w:rPr>
        <w:rFonts w:ascii="Times New Roman" w:hAnsi="Times New Roman"/>
        <w:sz w:val="24"/>
        <w:szCs w:val="24"/>
      </w:rPr>
      <w:fldChar w:fldCharType="end"/>
    </w:r>
  </w:p>
  <w:p w:rsidR="006075B4" w:rsidRDefault="006075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37AA"/>
    <w:multiLevelType w:val="hybridMultilevel"/>
    <w:tmpl w:val="4D0073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7B4055"/>
    <w:multiLevelType w:val="hybridMultilevel"/>
    <w:tmpl w:val="30D25716"/>
    <w:lvl w:ilvl="0" w:tplc="AC887F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1C32441"/>
    <w:multiLevelType w:val="hybridMultilevel"/>
    <w:tmpl w:val="6EFC385A"/>
    <w:lvl w:ilvl="0" w:tplc="3CB09238">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1474A09"/>
    <w:multiLevelType w:val="hybridMultilevel"/>
    <w:tmpl w:val="12442D14"/>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A7675B"/>
    <w:multiLevelType w:val="hybridMultilevel"/>
    <w:tmpl w:val="93FA826A"/>
    <w:lvl w:ilvl="0" w:tplc="3282107C">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4E10539"/>
    <w:multiLevelType w:val="hybridMultilevel"/>
    <w:tmpl w:val="F8CA0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E24C57"/>
    <w:multiLevelType w:val="hybridMultilevel"/>
    <w:tmpl w:val="D73CAAD6"/>
    <w:lvl w:ilvl="0" w:tplc="BFE8D5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FB031DF"/>
    <w:multiLevelType w:val="hybridMultilevel"/>
    <w:tmpl w:val="B99074B0"/>
    <w:lvl w:ilvl="0" w:tplc="F77E3D2A">
      <w:start w:val="1"/>
      <w:numFmt w:val="decimal"/>
      <w:lvlText w:val="%1.1."/>
      <w:lvlJc w:val="left"/>
      <w:pPr>
        <w:ind w:left="72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BE67D84"/>
    <w:multiLevelType w:val="hybridMultilevel"/>
    <w:tmpl w:val="D1B45DB4"/>
    <w:lvl w:ilvl="0" w:tplc="A8A672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03E2489"/>
    <w:multiLevelType w:val="hybridMultilevel"/>
    <w:tmpl w:val="E1E25B5A"/>
    <w:lvl w:ilvl="0" w:tplc="EC4A862E">
      <w:start w:val="1"/>
      <w:numFmt w:val="decimal"/>
      <w:lvlText w:val="%1."/>
      <w:lvlJc w:val="left"/>
      <w:pPr>
        <w:ind w:left="781" w:hanging="360"/>
      </w:pPr>
      <w:rPr>
        <w:rFonts w:ascii="Times New Roman" w:eastAsia="Calibri" w:hAnsi="Times New Roman" w:cs="Times New Roman"/>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11">
    <w:nsid w:val="54C96CA3"/>
    <w:multiLevelType w:val="multilevel"/>
    <w:tmpl w:val="B09CE57E"/>
    <w:lvl w:ilvl="0">
      <w:start w:val="1"/>
      <w:numFmt w:val="decimal"/>
      <w:lvlText w:val="%1."/>
      <w:lvlJc w:val="left"/>
      <w:pPr>
        <w:ind w:left="781" w:hanging="360"/>
      </w:pPr>
      <w:rPr>
        <w:rFonts w:ascii="Times New Roman" w:eastAsia="Calibri" w:hAnsi="Times New Roman" w:cs="Times New Roman"/>
      </w:rPr>
    </w:lvl>
    <w:lvl w:ilvl="1">
      <w:start w:val="1"/>
      <w:numFmt w:val="decimal"/>
      <w:isLgl/>
      <w:lvlText w:val="%1.%2."/>
      <w:lvlJc w:val="left"/>
      <w:pPr>
        <w:ind w:left="1141" w:hanging="360"/>
      </w:pPr>
      <w:rPr>
        <w:rFonts w:hint="default"/>
      </w:rPr>
    </w:lvl>
    <w:lvl w:ilvl="2">
      <w:start w:val="1"/>
      <w:numFmt w:val="decimal"/>
      <w:isLgl/>
      <w:lvlText w:val="%1.%2.%3."/>
      <w:lvlJc w:val="left"/>
      <w:pPr>
        <w:ind w:left="1861" w:hanging="720"/>
      </w:pPr>
      <w:rPr>
        <w:rFonts w:hint="default"/>
      </w:rPr>
    </w:lvl>
    <w:lvl w:ilvl="3">
      <w:start w:val="1"/>
      <w:numFmt w:val="decimal"/>
      <w:isLgl/>
      <w:lvlText w:val="%1.%2.%3.%4."/>
      <w:lvlJc w:val="left"/>
      <w:pPr>
        <w:ind w:left="2221" w:hanging="720"/>
      </w:pPr>
      <w:rPr>
        <w:rFonts w:hint="default"/>
      </w:rPr>
    </w:lvl>
    <w:lvl w:ilvl="4">
      <w:start w:val="1"/>
      <w:numFmt w:val="decimal"/>
      <w:isLgl/>
      <w:lvlText w:val="%1.%2.%3.%4.%5."/>
      <w:lvlJc w:val="left"/>
      <w:pPr>
        <w:ind w:left="2941" w:hanging="1080"/>
      </w:pPr>
      <w:rPr>
        <w:rFonts w:hint="default"/>
      </w:rPr>
    </w:lvl>
    <w:lvl w:ilvl="5">
      <w:start w:val="1"/>
      <w:numFmt w:val="decimal"/>
      <w:isLgl/>
      <w:lvlText w:val="%1.%2.%3.%4.%5.%6."/>
      <w:lvlJc w:val="left"/>
      <w:pPr>
        <w:ind w:left="3301" w:hanging="1080"/>
      </w:pPr>
      <w:rPr>
        <w:rFonts w:hint="default"/>
      </w:rPr>
    </w:lvl>
    <w:lvl w:ilvl="6">
      <w:start w:val="1"/>
      <w:numFmt w:val="decimal"/>
      <w:isLgl/>
      <w:lvlText w:val="%1.%2.%3.%4.%5.%6.%7."/>
      <w:lvlJc w:val="left"/>
      <w:pPr>
        <w:ind w:left="4021" w:hanging="1440"/>
      </w:pPr>
      <w:rPr>
        <w:rFonts w:hint="default"/>
      </w:rPr>
    </w:lvl>
    <w:lvl w:ilvl="7">
      <w:start w:val="1"/>
      <w:numFmt w:val="decimal"/>
      <w:isLgl/>
      <w:lvlText w:val="%1.%2.%3.%4.%5.%6.%7.%8."/>
      <w:lvlJc w:val="left"/>
      <w:pPr>
        <w:ind w:left="4381" w:hanging="1440"/>
      </w:pPr>
      <w:rPr>
        <w:rFonts w:hint="default"/>
      </w:rPr>
    </w:lvl>
    <w:lvl w:ilvl="8">
      <w:start w:val="1"/>
      <w:numFmt w:val="decimal"/>
      <w:isLgl/>
      <w:lvlText w:val="%1.%2.%3.%4.%5.%6.%7.%8.%9."/>
      <w:lvlJc w:val="left"/>
      <w:pPr>
        <w:ind w:left="5101" w:hanging="1800"/>
      </w:pPr>
      <w:rPr>
        <w:rFonts w:hint="default"/>
      </w:rPr>
    </w:lvl>
  </w:abstractNum>
  <w:abstractNum w:abstractNumId="12">
    <w:nsid w:val="59BB3705"/>
    <w:multiLevelType w:val="hybridMultilevel"/>
    <w:tmpl w:val="CF1E5008"/>
    <w:lvl w:ilvl="0" w:tplc="0696252E">
      <w:start w:val="1"/>
      <w:numFmt w:val="decimal"/>
      <w:lvlText w:val="%1)"/>
      <w:lvlJc w:val="left"/>
      <w:pPr>
        <w:ind w:left="1080" w:hanging="360"/>
      </w:pPr>
      <w:rPr>
        <w:rFonts w:eastAsia="Times New Roman"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75E55E9"/>
    <w:multiLevelType w:val="multilevel"/>
    <w:tmpl w:val="215C1D74"/>
    <w:lvl w:ilvl="0">
      <w:start w:val="1"/>
      <w:numFmt w:val="decimal"/>
      <w:lvlText w:val="%1."/>
      <w:lvlJc w:val="left"/>
      <w:pPr>
        <w:tabs>
          <w:tab w:val="num" w:pos="170"/>
        </w:tabs>
        <w:ind w:left="0" w:firstLine="851"/>
      </w:pPr>
      <w:rPr>
        <w:rFonts w:ascii="Times New Roman" w:hAnsi="Times New Roman" w:hint="default"/>
        <w:b w:val="0"/>
        <w:sz w:val="28"/>
        <w:szCs w:val="28"/>
      </w:rPr>
    </w:lvl>
    <w:lvl w:ilvl="1">
      <w:start w:val="1"/>
      <w:numFmt w:val="decimal"/>
      <w:lvlText w:val="%1.%2."/>
      <w:lvlJc w:val="left"/>
      <w:pPr>
        <w:tabs>
          <w:tab w:val="num" w:pos="840"/>
        </w:tabs>
        <w:ind w:left="-11" w:firstLine="851"/>
      </w:pPr>
      <w:rPr>
        <w:rFonts w:hint="default"/>
        <w:b w:val="0"/>
        <w:sz w:val="28"/>
        <w:szCs w:val="28"/>
      </w:rPr>
    </w:lvl>
    <w:lvl w:ilvl="2">
      <w:start w:val="1"/>
      <w:numFmt w:val="decimal"/>
      <w:lvlText w:val="%1.%2.%3."/>
      <w:lvlJc w:val="left"/>
      <w:pPr>
        <w:tabs>
          <w:tab w:val="num" w:pos="312"/>
        </w:tabs>
        <w:ind w:left="142" w:firstLine="851"/>
      </w:pPr>
      <w:rPr>
        <w:rFonts w:hint="default"/>
        <w:b w:val="0"/>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BE7581F"/>
    <w:multiLevelType w:val="hybridMultilevel"/>
    <w:tmpl w:val="DCFA0B88"/>
    <w:lvl w:ilvl="0" w:tplc="391A06CA">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nsid w:val="7AEE59E3"/>
    <w:multiLevelType w:val="hybridMultilevel"/>
    <w:tmpl w:val="20C6D80E"/>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num>
  <w:num w:numId="2">
    <w:abstractNumId w:val="13"/>
  </w:num>
  <w:num w:numId="3">
    <w:abstractNumId w:val="8"/>
  </w:num>
  <w:num w:numId="4">
    <w:abstractNumId w:val="3"/>
  </w:num>
  <w:num w:numId="5">
    <w:abstractNumId w:val="4"/>
  </w:num>
  <w:num w:numId="6">
    <w:abstractNumId w:val="5"/>
  </w:num>
  <w:num w:numId="7">
    <w:abstractNumId w:val="14"/>
  </w:num>
  <w:num w:numId="8">
    <w:abstractNumId w:val="1"/>
  </w:num>
  <w:num w:numId="9">
    <w:abstractNumId w:val="9"/>
  </w:num>
  <w:num w:numId="10">
    <w:abstractNumId w:val="2"/>
  </w:num>
  <w:num w:numId="11">
    <w:abstractNumId w:val="6"/>
  </w:num>
  <w:num w:numId="12">
    <w:abstractNumId w:val="10"/>
  </w:num>
  <w:num w:numId="13">
    <w:abstractNumId w:val="1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3B50"/>
    <w:rsid w:val="00003B50"/>
    <w:rsid w:val="0000416B"/>
    <w:rsid w:val="00012EAF"/>
    <w:rsid w:val="00015E9C"/>
    <w:rsid w:val="00016814"/>
    <w:rsid w:val="000217F1"/>
    <w:rsid w:val="00023ACF"/>
    <w:rsid w:val="0003101F"/>
    <w:rsid w:val="00034151"/>
    <w:rsid w:val="00035FE3"/>
    <w:rsid w:val="000421BC"/>
    <w:rsid w:val="00042DAE"/>
    <w:rsid w:val="00047C5D"/>
    <w:rsid w:val="00050F18"/>
    <w:rsid w:val="0005404E"/>
    <w:rsid w:val="00055141"/>
    <w:rsid w:val="0005627E"/>
    <w:rsid w:val="00057424"/>
    <w:rsid w:val="00057D19"/>
    <w:rsid w:val="00063D65"/>
    <w:rsid w:val="00064804"/>
    <w:rsid w:val="00066BED"/>
    <w:rsid w:val="000711BE"/>
    <w:rsid w:val="00073F04"/>
    <w:rsid w:val="000743C4"/>
    <w:rsid w:val="00077CCC"/>
    <w:rsid w:val="0008039D"/>
    <w:rsid w:val="000939A7"/>
    <w:rsid w:val="000966D7"/>
    <w:rsid w:val="000968DA"/>
    <w:rsid w:val="00097D62"/>
    <w:rsid w:val="000A29E7"/>
    <w:rsid w:val="000A31C0"/>
    <w:rsid w:val="000A335C"/>
    <w:rsid w:val="000A4066"/>
    <w:rsid w:val="000B0BD8"/>
    <w:rsid w:val="000B0C5E"/>
    <w:rsid w:val="000B27B6"/>
    <w:rsid w:val="000B2E51"/>
    <w:rsid w:val="000B675D"/>
    <w:rsid w:val="000B7F93"/>
    <w:rsid w:val="000C30EB"/>
    <w:rsid w:val="000C3DED"/>
    <w:rsid w:val="000C42FD"/>
    <w:rsid w:val="000D66E2"/>
    <w:rsid w:val="000D6AD4"/>
    <w:rsid w:val="000D732E"/>
    <w:rsid w:val="000D77E6"/>
    <w:rsid w:val="000E16C5"/>
    <w:rsid w:val="000E360B"/>
    <w:rsid w:val="000E3E9A"/>
    <w:rsid w:val="000E3F7F"/>
    <w:rsid w:val="000E46CD"/>
    <w:rsid w:val="000E53FF"/>
    <w:rsid w:val="000F7003"/>
    <w:rsid w:val="000F7FDC"/>
    <w:rsid w:val="00105056"/>
    <w:rsid w:val="00111DA9"/>
    <w:rsid w:val="00114C9D"/>
    <w:rsid w:val="00117D17"/>
    <w:rsid w:val="001239BD"/>
    <w:rsid w:val="0013213B"/>
    <w:rsid w:val="0014499E"/>
    <w:rsid w:val="00145D74"/>
    <w:rsid w:val="00146A6F"/>
    <w:rsid w:val="00151B09"/>
    <w:rsid w:val="0015248C"/>
    <w:rsid w:val="00154E4F"/>
    <w:rsid w:val="00161EFD"/>
    <w:rsid w:val="0016258D"/>
    <w:rsid w:val="001641B4"/>
    <w:rsid w:val="00171220"/>
    <w:rsid w:val="00171682"/>
    <w:rsid w:val="001812EB"/>
    <w:rsid w:val="00192868"/>
    <w:rsid w:val="00192BB9"/>
    <w:rsid w:val="00192BDB"/>
    <w:rsid w:val="0019326C"/>
    <w:rsid w:val="00195516"/>
    <w:rsid w:val="001A2325"/>
    <w:rsid w:val="001A2C09"/>
    <w:rsid w:val="001A3333"/>
    <w:rsid w:val="001C23C1"/>
    <w:rsid w:val="001D3C3C"/>
    <w:rsid w:val="001D6D3A"/>
    <w:rsid w:val="001E0FEC"/>
    <w:rsid w:val="001E24A8"/>
    <w:rsid w:val="001E63C9"/>
    <w:rsid w:val="001F08DA"/>
    <w:rsid w:val="001F10BC"/>
    <w:rsid w:val="001F1854"/>
    <w:rsid w:val="001F2A7A"/>
    <w:rsid w:val="001F5822"/>
    <w:rsid w:val="001F6045"/>
    <w:rsid w:val="001F6C7B"/>
    <w:rsid w:val="00200B11"/>
    <w:rsid w:val="0020240A"/>
    <w:rsid w:val="00205EA4"/>
    <w:rsid w:val="00210863"/>
    <w:rsid w:val="00211AB7"/>
    <w:rsid w:val="00211D4D"/>
    <w:rsid w:val="00216454"/>
    <w:rsid w:val="00216B97"/>
    <w:rsid w:val="00221C0F"/>
    <w:rsid w:val="0022560D"/>
    <w:rsid w:val="00227457"/>
    <w:rsid w:val="002341F2"/>
    <w:rsid w:val="002367AA"/>
    <w:rsid w:val="00240208"/>
    <w:rsid w:val="00240A2F"/>
    <w:rsid w:val="00244874"/>
    <w:rsid w:val="00246407"/>
    <w:rsid w:val="00252E3E"/>
    <w:rsid w:val="00253D8B"/>
    <w:rsid w:val="002579A8"/>
    <w:rsid w:val="00257DF4"/>
    <w:rsid w:val="002607F7"/>
    <w:rsid w:val="0026118A"/>
    <w:rsid w:val="00262A11"/>
    <w:rsid w:val="00262A3B"/>
    <w:rsid w:val="002674F0"/>
    <w:rsid w:val="00270A2C"/>
    <w:rsid w:val="00270D38"/>
    <w:rsid w:val="0027278D"/>
    <w:rsid w:val="0028458A"/>
    <w:rsid w:val="002876DD"/>
    <w:rsid w:val="0029535A"/>
    <w:rsid w:val="002A0741"/>
    <w:rsid w:val="002A0F64"/>
    <w:rsid w:val="002A3E69"/>
    <w:rsid w:val="002A4B0F"/>
    <w:rsid w:val="002A507F"/>
    <w:rsid w:val="002A61ED"/>
    <w:rsid w:val="002A6CF1"/>
    <w:rsid w:val="002A74C9"/>
    <w:rsid w:val="002B35B3"/>
    <w:rsid w:val="002B4C1A"/>
    <w:rsid w:val="002B5AB9"/>
    <w:rsid w:val="002B5D9E"/>
    <w:rsid w:val="002B5E10"/>
    <w:rsid w:val="002B6E11"/>
    <w:rsid w:val="002C19F9"/>
    <w:rsid w:val="002C5F7D"/>
    <w:rsid w:val="002C6B95"/>
    <w:rsid w:val="002C7096"/>
    <w:rsid w:val="002D0BCA"/>
    <w:rsid w:val="002D261E"/>
    <w:rsid w:val="002D4BCA"/>
    <w:rsid w:val="002D6FA9"/>
    <w:rsid w:val="002E0609"/>
    <w:rsid w:val="002E3D34"/>
    <w:rsid w:val="002E481A"/>
    <w:rsid w:val="002E7C45"/>
    <w:rsid w:val="002F1D28"/>
    <w:rsid w:val="002F2C35"/>
    <w:rsid w:val="002F48A1"/>
    <w:rsid w:val="00301939"/>
    <w:rsid w:val="003031E7"/>
    <w:rsid w:val="003034DA"/>
    <w:rsid w:val="00303B6A"/>
    <w:rsid w:val="00304AEA"/>
    <w:rsid w:val="00307971"/>
    <w:rsid w:val="00310B12"/>
    <w:rsid w:val="003142A8"/>
    <w:rsid w:val="003229F0"/>
    <w:rsid w:val="0032351A"/>
    <w:rsid w:val="00325193"/>
    <w:rsid w:val="00336313"/>
    <w:rsid w:val="00341523"/>
    <w:rsid w:val="003437C4"/>
    <w:rsid w:val="00344B2C"/>
    <w:rsid w:val="00346BD3"/>
    <w:rsid w:val="00350DE1"/>
    <w:rsid w:val="00351CC6"/>
    <w:rsid w:val="00356064"/>
    <w:rsid w:val="00357382"/>
    <w:rsid w:val="00366780"/>
    <w:rsid w:val="003702AC"/>
    <w:rsid w:val="0037216C"/>
    <w:rsid w:val="00372C60"/>
    <w:rsid w:val="00373A72"/>
    <w:rsid w:val="00373C28"/>
    <w:rsid w:val="003817A9"/>
    <w:rsid w:val="00382028"/>
    <w:rsid w:val="003840D6"/>
    <w:rsid w:val="00386D45"/>
    <w:rsid w:val="0039119B"/>
    <w:rsid w:val="00394B8C"/>
    <w:rsid w:val="003A09BA"/>
    <w:rsid w:val="003A2F80"/>
    <w:rsid w:val="003A35FC"/>
    <w:rsid w:val="003A4F1C"/>
    <w:rsid w:val="003A7BE5"/>
    <w:rsid w:val="003B3F88"/>
    <w:rsid w:val="003B4014"/>
    <w:rsid w:val="003B42DF"/>
    <w:rsid w:val="003B5DA3"/>
    <w:rsid w:val="003C03C3"/>
    <w:rsid w:val="003C0BED"/>
    <w:rsid w:val="003C2200"/>
    <w:rsid w:val="003C6CA5"/>
    <w:rsid w:val="003D07FB"/>
    <w:rsid w:val="003D0B0C"/>
    <w:rsid w:val="003D14B5"/>
    <w:rsid w:val="003D19D9"/>
    <w:rsid w:val="003D5295"/>
    <w:rsid w:val="003E07F2"/>
    <w:rsid w:val="003E312D"/>
    <w:rsid w:val="003E5783"/>
    <w:rsid w:val="003E67AD"/>
    <w:rsid w:val="003E6E85"/>
    <w:rsid w:val="003E79EC"/>
    <w:rsid w:val="003F0BC7"/>
    <w:rsid w:val="003F156E"/>
    <w:rsid w:val="00402A68"/>
    <w:rsid w:val="00404264"/>
    <w:rsid w:val="004042BD"/>
    <w:rsid w:val="0040540E"/>
    <w:rsid w:val="004060D7"/>
    <w:rsid w:val="0040653B"/>
    <w:rsid w:val="0041140C"/>
    <w:rsid w:val="0041698A"/>
    <w:rsid w:val="00417964"/>
    <w:rsid w:val="004218A5"/>
    <w:rsid w:val="00424840"/>
    <w:rsid w:val="004316FF"/>
    <w:rsid w:val="00437352"/>
    <w:rsid w:val="004413EF"/>
    <w:rsid w:val="00450659"/>
    <w:rsid w:val="00451121"/>
    <w:rsid w:val="00456F1D"/>
    <w:rsid w:val="0046017B"/>
    <w:rsid w:val="00462F87"/>
    <w:rsid w:val="004642E2"/>
    <w:rsid w:val="00466236"/>
    <w:rsid w:val="00466D33"/>
    <w:rsid w:val="00471164"/>
    <w:rsid w:val="00471F75"/>
    <w:rsid w:val="004779EE"/>
    <w:rsid w:val="004839F0"/>
    <w:rsid w:val="004852CD"/>
    <w:rsid w:val="00487D0F"/>
    <w:rsid w:val="00494DAC"/>
    <w:rsid w:val="004A12E0"/>
    <w:rsid w:val="004A2B61"/>
    <w:rsid w:val="004A369F"/>
    <w:rsid w:val="004B73EA"/>
    <w:rsid w:val="004C14B7"/>
    <w:rsid w:val="004C18F4"/>
    <w:rsid w:val="004C6724"/>
    <w:rsid w:val="004C73B7"/>
    <w:rsid w:val="004E1102"/>
    <w:rsid w:val="004E46B2"/>
    <w:rsid w:val="004F086C"/>
    <w:rsid w:val="004F0E98"/>
    <w:rsid w:val="004F4468"/>
    <w:rsid w:val="004F4790"/>
    <w:rsid w:val="004F4F9E"/>
    <w:rsid w:val="0050229B"/>
    <w:rsid w:val="00512DD8"/>
    <w:rsid w:val="00514EE0"/>
    <w:rsid w:val="00516095"/>
    <w:rsid w:val="00521D60"/>
    <w:rsid w:val="00533791"/>
    <w:rsid w:val="005346EF"/>
    <w:rsid w:val="005365C8"/>
    <w:rsid w:val="00545FE4"/>
    <w:rsid w:val="005473DB"/>
    <w:rsid w:val="00551F1E"/>
    <w:rsid w:val="00552382"/>
    <w:rsid w:val="00552BAC"/>
    <w:rsid w:val="005532C3"/>
    <w:rsid w:val="005605C7"/>
    <w:rsid w:val="005628F8"/>
    <w:rsid w:val="00566DFE"/>
    <w:rsid w:val="00571535"/>
    <w:rsid w:val="0057228F"/>
    <w:rsid w:val="00573CEA"/>
    <w:rsid w:val="005807D2"/>
    <w:rsid w:val="00580E97"/>
    <w:rsid w:val="0058330F"/>
    <w:rsid w:val="005873F7"/>
    <w:rsid w:val="00591936"/>
    <w:rsid w:val="0059456E"/>
    <w:rsid w:val="00597A32"/>
    <w:rsid w:val="005A7016"/>
    <w:rsid w:val="005B0502"/>
    <w:rsid w:val="005B2F6F"/>
    <w:rsid w:val="005B3CA5"/>
    <w:rsid w:val="005C1730"/>
    <w:rsid w:val="005C1F3E"/>
    <w:rsid w:val="005C1FE3"/>
    <w:rsid w:val="005C3192"/>
    <w:rsid w:val="005C6343"/>
    <w:rsid w:val="005C69F8"/>
    <w:rsid w:val="005D1061"/>
    <w:rsid w:val="005D21FD"/>
    <w:rsid w:val="005D3B55"/>
    <w:rsid w:val="005D6F80"/>
    <w:rsid w:val="005E0B92"/>
    <w:rsid w:val="005E791F"/>
    <w:rsid w:val="005F017C"/>
    <w:rsid w:val="005F2BAD"/>
    <w:rsid w:val="005F2CCF"/>
    <w:rsid w:val="005F402E"/>
    <w:rsid w:val="005F597C"/>
    <w:rsid w:val="005F6BFD"/>
    <w:rsid w:val="00601EEA"/>
    <w:rsid w:val="00604DEE"/>
    <w:rsid w:val="006060E9"/>
    <w:rsid w:val="006075B4"/>
    <w:rsid w:val="00612C55"/>
    <w:rsid w:val="00613D0C"/>
    <w:rsid w:val="00614DBD"/>
    <w:rsid w:val="00617B84"/>
    <w:rsid w:val="00617DC7"/>
    <w:rsid w:val="00620468"/>
    <w:rsid w:val="00620C3D"/>
    <w:rsid w:val="00623AED"/>
    <w:rsid w:val="00624CF7"/>
    <w:rsid w:val="00626FB3"/>
    <w:rsid w:val="0062706C"/>
    <w:rsid w:val="006279A7"/>
    <w:rsid w:val="0063248B"/>
    <w:rsid w:val="006355E8"/>
    <w:rsid w:val="006362B8"/>
    <w:rsid w:val="00636312"/>
    <w:rsid w:val="006459FB"/>
    <w:rsid w:val="006503DF"/>
    <w:rsid w:val="0065480E"/>
    <w:rsid w:val="006555EB"/>
    <w:rsid w:val="0066151F"/>
    <w:rsid w:val="006623AA"/>
    <w:rsid w:val="00667113"/>
    <w:rsid w:val="00670BE2"/>
    <w:rsid w:val="00671FCA"/>
    <w:rsid w:val="006720BA"/>
    <w:rsid w:val="00672F73"/>
    <w:rsid w:val="0067350B"/>
    <w:rsid w:val="006822A7"/>
    <w:rsid w:val="006876D7"/>
    <w:rsid w:val="00687AA1"/>
    <w:rsid w:val="0069155C"/>
    <w:rsid w:val="00691A7A"/>
    <w:rsid w:val="00695C54"/>
    <w:rsid w:val="006A1B3B"/>
    <w:rsid w:val="006A280C"/>
    <w:rsid w:val="006A36C4"/>
    <w:rsid w:val="006A5968"/>
    <w:rsid w:val="006B25A7"/>
    <w:rsid w:val="006B336A"/>
    <w:rsid w:val="006B5275"/>
    <w:rsid w:val="006C39AF"/>
    <w:rsid w:val="006C3B81"/>
    <w:rsid w:val="006C3CC4"/>
    <w:rsid w:val="006C755D"/>
    <w:rsid w:val="006D4273"/>
    <w:rsid w:val="006E7748"/>
    <w:rsid w:val="006F298C"/>
    <w:rsid w:val="006F2C94"/>
    <w:rsid w:val="007018BA"/>
    <w:rsid w:val="00702ED6"/>
    <w:rsid w:val="00703906"/>
    <w:rsid w:val="0071155C"/>
    <w:rsid w:val="00714A6A"/>
    <w:rsid w:val="00722860"/>
    <w:rsid w:val="00723E2F"/>
    <w:rsid w:val="007261EE"/>
    <w:rsid w:val="00726203"/>
    <w:rsid w:val="00726D6C"/>
    <w:rsid w:val="0072736E"/>
    <w:rsid w:val="00731CDE"/>
    <w:rsid w:val="00733E46"/>
    <w:rsid w:val="00740112"/>
    <w:rsid w:val="00743690"/>
    <w:rsid w:val="00745C70"/>
    <w:rsid w:val="00752D73"/>
    <w:rsid w:val="00754121"/>
    <w:rsid w:val="007554BA"/>
    <w:rsid w:val="00755ABC"/>
    <w:rsid w:val="00755F33"/>
    <w:rsid w:val="00760858"/>
    <w:rsid w:val="0076342B"/>
    <w:rsid w:val="00771D40"/>
    <w:rsid w:val="007747CE"/>
    <w:rsid w:val="00774835"/>
    <w:rsid w:val="007803A4"/>
    <w:rsid w:val="00782D1E"/>
    <w:rsid w:val="00783FDE"/>
    <w:rsid w:val="0078525A"/>
    <w:rsid w:val="00791FB3"/>
    <w:rsid w:val="007967F3"/>
    <w:rsid w:val="007978E8"/>
    <w:rsid w:val="007A005B"/>
    <w:rsid w:val="007B332C"/>
    <w:rsid w:val="007C33F5"/>
    <w:rsid w:val="007C5D80"/>
    <w:rsid w:val="007C5EFF"/>
    <w:rsid w:val="007D2EAF"/>
    <w:rsid w:val="007D3E72"/>
    <w:rsid w:val="007D5B03"/>
    <w:rsid w:val="007D77BF"/>
    <w:rsid w:val="007E1B59"/>
    <w:rsid w:val="007E4418"/>
    <w:rsid w:val="007E593E"/>
    <w:rsid w:val="007E6125"/>
    <w:rsid w:val="007F092E"/>
    <w:rsid w:val="007F15E2"/>
    <w:rsid w:val="007F527C"/>
    <w:rsid w:val="007F5E16"/>
    <w:rsid w:val="0080364C"/>
    <w:rsid w:val="00803E41"/>
    <w:rsid w:val="0080560E"/>
    <w:rsid w:val="00805984"/>
    <w:rsid w:val="00806895"/>
    <w:rsid w:val="008134B8"/>
    <w:rsid w:val="00813FC7"/>
    <w:rsid w:val="00817A22"/>
    <w:rsid w:val="008206A9"/>
    <w:rsid w:val="00820B37"/>
    <w:rsid w:val="00821F0D"/>
    <w:rsid w:val="008356EE"/>
    <w:rsid w:val="00836F3E"/>
    <w:rsid w:val="0084058D"/>
    <w:rsid w:val="00841D71"/>
    <w:rsid w:val="008465CB"/>
    <w:rsid w:val="008471AD"/>
    <w:rsid w:val="00855D30"/>
    <w:rsid w:val="00860C6B"/>
    <w:rsid w:val="00864BAF"/>
    <w:rsid w:val="0086539B"/>
    <w:rsid w:val="00865DD0"/>
    <w:rsid w:val="00877C80"/>
    <w:rsid w:val="00880059"/>
    <w:rsid w:val="0088112B"/>
    <w:rsid w:val="0088182A"/>
    <w:rsid w:val="008843C3"/>
    <w:rsid w:val="0088770A"/>
    <w:rsid w:val="00891BBD"/>
    <w:rsid w:val="00892BBE"/>
    <w:rsid w:val="00892DAF"/>
    <w:rsid w:val="00893C66"/>
    <w:rsid w:val="00894AED"/>
    <w:rsid w:val="00896832"/>
    <w:rsid w:val="008A27AD"/>
    <w:rsid w:val="008B1FC4"/>
    <w:rsid w:val="008B300D"/>
    <w:rsid w:val="008C17EF"/>
    <w:rsid w:val="008C2DA7"/>
    <w:rsid w:val="008C3162"/>
    <w:rsid w:val="008C39E7"/>
    <w:rsid w:val="008C563B"/>
    <w:rsid w:val="008D14F7"/>
    <w:rsid w:val="008D6282"/>
    <w:rsid w:val="008D7480"/>
    <w:rsid w:val="008E1B10"/>
    <w:rsid w:val="008E3AE2"/>
    <w:rsid w:val="008E4282"/>
    <w:rsid w:val="008E7AC7"/>
    <w:rsid w:val="008E7E1A"/>
    <w:rsid w:val="008F2D36"/>
    <w:rsid w:val="0090646D"/>
    <w:rsid w:val="009146FF"/>
    <w:rsid w:val="00914732"/>
    <w:rsid w:val="00914F40"/>
    <w:rsid w:val="00916EA5"/>
    <w:rsid w:val="00917B84"/>
    <w:rsid w:val="00924CE8"/>
    <w:rsid w:val="00926640"/>
    <w:rsid w:val="009266B1"/>
    <w:rsid w:val="00931BD0"/>
    <w:rsid w:val="00934B98"/>
    <w:rsid w:val="00935BEC"/>
    <w:rsid w:val="00937FF7"/>
    <w:rsid w:val="009402B8"/>
    <w:rsid w:val="00942D39"/>
    <w:rsid w:val="00942DDD"/>
    <w:rsid w:val="00947834"/>
    <w:rsid w:val="00950AD7"/>
    <w:rsid w:val="0095188E"/>
    <w:rsid w:val="00957F0F"/>
    <w:rsid w:val="00967DB4"/>
    <w:rsid w:val="00967F5F"/>
    <w:rsid w:val="00971252"/>
    <w:rsid w:val="00971E11"/>
    <w:rsid w:val="0097233D"/>
    <w:rsid w:val="0097481C"/>
    <w:rsid w:val="009753EB"/>
    <w:rsid w:val="00982ABC"/>
    <w:rsid w:val="00992638"/>
    <w:rsid w:val="00992907"/>
    <w:rsid w:val="00993554"/>
    <w:rsid w:val="009964A8"/>
    <w:rsid w:val="009965F7"/>
    <w:rsid w:val="00997D53"/>
    <w:rsid w:val="009A1792"/>
    <w:rsid w:val="009A59BE"/>
    <w:rsid w:val="009B20A9"/>
    <w:rsid w:val="009B70EA"/>
    <w:rsid w:val="009C1ACA"/>
    <w:rsid w:val="009C29D4"/>
    <w:rsid w:val="009D5E98"/>
    <w:rsid w:val="009D7858"/>
    <w:rsid w:val="009D7B4D"/>
    <w:rsid w:val="009E168C"/>
    <w:rsid w:val="009E641F"/>
    <w:rsid w:val="009F3BEE"/>
    <w:rsid w:val="009F5112"/>
    <w:rsid w:val="009F5425"/>
    <w:rsid w:val="009F64D7"/>
    <w:rsid w:val="00A00757"/>
    <w:rsid w:val="00A00E18"/>
    <w:rsid w:val="00A01AD2"/>
    <w:rsid w:val="00A0458F"/>
    <w:rsid w:val="00A10189"/>
    <w:rsid w:val="00A1039B"/>
    <w:rsid w:val="00A20EC0"/>
    <w:rsid w:val="00A22A21"/>
    <w:rsid w:val="00A25485"/>
    <w:rsid w:val="00A2724D"/>
    <w:rsid w:val="00A307E9"/>
    <w:rsid w:val="00A35359"/>
    <w:rsid w:val="00A35607"/>
    <w:rsid w:val="00A365B5"/>
    <w:rsid w:val="00A40F12"/>
    <w:rsid w:val="00A431D0"/>
    <w:rsid w:val="00A44B01"/>
    <w:rsid w:val="00A44C7E"/>
    <w:rsid w:val="00A45713"/>
    <w:rsid w:val="00A471F0"/>
    <w:rsid w:val="00A4749B"/>
    <w:rsid w:val="00A521F5"/>
    <w:rsid w:val="00A53801"/>
    <w:rsid w:val="00A56403"/>
    <w:rsid w:val="00A572BD"/>
    <w:rsid w:val="00A6254E"/>
    <w:rsid w:val="00A66236"/>
    <w:rsid w:val="00A7425C"/>
    <w:rsid w:val="00A75BF8"/>
    <w:rsid w:val="00A81BBB"/>
    <w:rsid w:val="00A8470F"/>
    <w:rsid w:val="00A9112A"/>
    <w:rsid w:val="00A9303E"/>
    <w:rsid w:val="00A968D8"/>
    <w:rsid w:val="00AA30F4"/>
    <w:rsid w:val="00AB0604"/>
    <w:rsid w:val="00AB172B"/>
    <w:rsid w:val="00AB2FA0"/>
    <w:rsid w:val="00AC1207"/>
    <w:rsid w:val="00AC3EF5"/>
    <w:rsid w:val="00AC5AE7"/>
    <w:rsid w:val="00AC6559"/>
    <w:rsid w:val="00AD00F8"/>
    <w:rsid w:val="00AD48E7"/>
    <w:rsid w:val="00AD5BA2"/>
    <w:rsid w:val="00AE4CBC"/>
    <w:rsid w:val="00AE5B7C"/>
    <w:rsid w:val="00AE606B"/>
    <w:rsid w:val="00AF0618"/>
    <w:rsid w:val="00AF3AFD"/>
    <w:rsid w:val="00AF4A56"/>
    <w:rsid w:val="00AF7835"/>
    <w:rsid w:val="00AF7854"/>
    <w:rsid w:val="00B049E8"/>
    <w:rsid w:val="00B05D72"/>
    <w:rsid w:val="00B10072"/>
    <w:rsid w:val="00B148D0"/>
    <w:rsid w:val="00B15CA2"/>
    <w:rsid w:val="00B17C16"/>
    <w:rsid w:val="00B238FC"/>
    <w:rsid w:val="00B3352D"/>
    <w:rsid w:val="00B360E8"/>
    <w:rsid w:val="00B624FC"/>
    <w:rsid w:val="00B63F85"/>
    <w:rsid w:val="00B65846"/>
    <w:rsid w:val="00B67FEE"/>
    <w:rsid w:val="00B7052B"/>
    <w:rsid w:val="00B732C8"/>
    <w:rsid w:val="00B75172"/>
    <w:rsid w:val="00B77D6C"/>
    <w:rsid w:val="00B82814"/>
    <w:rsid w:val="00B8296C"/>
    <w:rsid w:val="00B86FC3"/>
    <w:rsid w:val="00B93A45"/>
    <w:rsid w:val="00B94216"/>
    <w:rsid w:val="00B946DC"/>
    <w:rsid w:val="00B957AB"/>
    <w:rsid w:val="00B96004"/>
    <w:rsid w:val="00B97CDE"/>
    <w:rsid w:val="00BA1CAD"/>
    <w:rsid w:val="00BA3C8A"/>
    <w:rsid w:val="00BA6465"/>
    <w:rsid w:val="00BA684C"/>
    <w:rsid w:val="00BB0CC2"/>
    <w:rsid w:val="00BB3C98"/>
    <w:rsid w:val="00BB538E"/>
    <w:rsid w:val="00BB6136"/>
    <w:rsid w:val="00BB6630"/>
    <w:rsid w:val="00BB6834"/>
    <w:rsid w:val="00BC308F"/>
    <w:rsid w:val="00BC315F"/>
    <w:rsid w:val="00BC4EC2"/>
    <w:rsid w:val="00BE75CF"/>
    <w:rsid w:val="00BF50A5"/>
    <w:rsid w:val="00C0042B"/>
    <w:rsid w:val="00C0149E"/>
    <w:rsid w:val="00C0173A"/>
    <w:rsid w:val="00C12064"/>
    <w:rsid w:val="00C14596"/>
    <w:rsid w:val="00C15367"/>
    <w:rsid w:val="00C17746"/>
    <w:rsid w:val="00C22C12"/>
    <w:rsid w:val="00C2337A"/>
    <w:rsid w:val="00C26A73"/>
    <w:rsid w:val="00C37059"/>
    <w:rsid w:val="00C378BB"/>
    <w:rsid w:val="00C4031D"/>
    <w:rsid w:val="00C426E8"/>
    <w:rsid w:val="00C43174"/>
    <w:rsid w:val="00C4376F"/>
    <w:rsid w:val="00C53AA1"/>
    <w:rsid w:val="00C558CE"/>
    <w:rsid w:val="00C57193"/>
    <w:rsid w:val="00C614CD"/>
    <w:rsid w:val="00C649F5"/>
    <w:rsid w:val="00C658BB"/>
    <w:rsid w:val="00C671BF"/>
    <w:rsid w:val="00C67F1F"/>
    <w:rsid w:val="00C745CE"/>
    <w:rsid w:val="00C8576B"/>
    <w:rsid w:val="00C858AF"/>
    <w:rsid w:val="00C94DAD"/>
    <w:rsid w:val="00C96688"/>
    <w:rsid w:val="00C97265"/>
    <w:rsid w:val="00C97B73"/>
    <w:rsid w:val="00CA0126"/>
    <w:rsid w:val="00CA3599"/>
    <w:rsid w:val="00CA4C08"/>
    <w:rsid w:val="00CB0A16"/>
    <w:rsid w:val="00CB2B01"/>
    <w:rsid w:val="00CB2D16"/>
    <w:rsid w:val="00CB6B43"/>
    <w:rsid w:val="00CD3619"/>
    <w:rsid w:val="00CD4C51"/>
    <w:rsid w:val="00CD5516"/>
    <w:rsid w:val="00CE1937"/>
    <w:rsid w:val="00CE65CA"/>
    <w:rsid w:val="00CE711E"/>
    <w:rsid w:val="00D000A0"/>
    <w:rsid w:val="00D04A8B"/>
    <w:rsid w:val="00D064A5"/>
    <w:rsid w:val="00D105B8"/>
    <w:rsid w:val="00D120CB"/>
    <w:rsid w:val="00D1265E"/>
    <w:rsid w:val="00D12AED"/>
    <w:rsid w:val="00D13165"/>
    <w:rsid w:val="00D17E6F"/>
    <w:rsid w:val="00D207FB"/>
    <w:rsid w:val="00D21A55"/>
    <w:rsid w:val="00D277B1"/>
    <w:rsid w:val="00D3171F"/>
    <w:rsid w:val="00D34832"/>
    <w:rsid w:val="00D367D6"/>
    <w:rsid w:val="00D41857"/>
    <w:rsid w:val="00D428C4"/>
    <w:rsid w:val="00D452D5"/>
    <w:rsid w:val="00D458AA"/>
    <w:rsid w:val="00D460A0"/>
    <w:rsid w:val="00D463DD"/>
    <w:rsid w:val="00D467F5"/>
    <w:rsid w:val="00D55976"/>
    <w:rsid w:val="00D55A6D"/>
    <w:rsid w:val="00D56069"/>
    <w:rsid w:val="00D564F9"/>
    <w:rsid w:val="00D5716F"/>
    <w:rsid w:val="00D60B5F"/>
    <w:rsid w:val="00D64C1B"/>
    <w:rsid w:val="00D64F41"/>
    <w:rsid w:val="00D71E84"/>
    <w:rsid w:val="00D82E39"/>
    <w:rsid w:val="00D94587"/>
    <w:rsid w:val="00D971C3"/>
    <w:rsid w:val="00D972EB"/>
    <w:rsid w:val="00D97A9F"/>
    <w:rsid w:val="00DA0945"/>
    <w:rsid w:val="00DA1D16"/>
    <w:rsid w:val="00DA5751"/>
    <w:rsid w:val="00DA5A46"/>
    <w:rsid w:val="00DB2C5E"/>
    <w:rsid w:val="00DB61D5"/>
    <w:rsid w:val="00DB7E19"/>
    <w:rsid w:val="00DC1F3E"/>
    <w:rsid w:val="00DC5F11"/>
    <w:rsid w:val="00DC632D"/>
    <w:rsid w:val="00DC785E"/>
    <w:rsid w:val="00DD33D9"/>
    <w:rsid w:val="00DD52F5"/>
    <w:rsid w:val="00DD6595"/>
    <w:rsid w:val="00DE053D"/>
    <w:rsid w:val="00DE1EA8"/>
    <w:rsid w:val="00DE314B"/>
    <w:rsid w:val="00DE3C8B"/>
    <w:rsid w:val="00DE3D58"/>
    <w:rsid w:val="00DE40E4"/>
    <w:rsid w:val="00DE4989"/>
    <w:rsid w:val="00DF290C"/>
    <w:rsid w:val="00DF2B9D"/>
    <w:rsid w:val="00DF442D"/>
    <w:rsid w:val="00DF544E"/>
    <w:rsid w:val="00DF7185"/>
    <w:rsid w:val="00E00755"/>
    <w:rsid w:val="00E027A9"/>
    <w:rsid w:val="00E046B3"/>
    <w:rsid w:val="00E070C2"/>
    <w:rsid w:val="00E15649"/>
    <w:rsid w:val="00E21282"/>
    <w:rsid w:val="00E217AC"/>
    <w:rsid w:val="00E3435C"/>
    <w:rsid w:val="00E37A50"/>
    <w:rsid w:val="00E41F15"/>
    <w:rsid w:val="00E552BD"/>
    <w:rsid w:val="00E616C8"/>
    <w:rsid w:val="00E629F0"/>
    <w:rsid w:val="00E650E5"/>
    <w:rsid w:val="00E66493"/>
    <w:rsid w:val="00E67146"/>
    <w:rsid w:val="00E674F1"/>
    <w:rsid w:val="00E67640"/>
    <w:rsid w:val="00E7659C"/>
    <w:rsid w:val="00E82508"/>
    <w:rsid w:val="00E828AC"/>
    <w:rsid w:val="00E84893"/>
    <w:rsid w:val="00E913FE"/>
    <w:rsid w:val="00E920E3"/>
    <w:rsid w:val="00E92C66"/>
    <w:rsid w:val="00E948C0"/>
    <w:rsid w:val="00E95212"/>
    <w:rsid w:val="00E964CE"/>
    <w:rsid w:val="00E979E0"/>
    <w:rsid w:val="00E97AF1"/>
    <w:rsid w:val="00E97FB8"/>
    <w:rsid w:val="00EA1936"/>
    <w:rsid w:val="00EA2715"/>
    <w:rsid w:val="00EB4E6C"/>
    <w:rsid w:val="00EB6D0A"/>
    <w:rsid w:val="00EB77D2"/>
    <w:rsid w:val="00EC3C55"/>
    <w:rsid w:val="00ED29FD"/>
    <w:rsid w:val="00EE182C"/>
    <w:rsid w:val="00EE275F"/>
    <w:rsid w:val="00EE2AFD"/>
    <w:rsid w:val="00EE3568"/>
    <w:rsid w:val="00EF4889"/>
    <w:rsid w:val="00EF4FA1"/>
    <w:rsid w:val="00EF60F3"/>
    <w:rsid w:val="00EF642B"/>
    <w:rsid w:val="00EF6641"/>
    <w:rsid w:val="00F00C10"/>
    <w:rsid w:val="00F0208A"/>
    <w:rsid w:val="00F02614"/>
    <w:rsid w:val="00F02ACD"/>
    <w:rsid w:val="00F0508F"/>
    <w:rsid w:val="00F1236D"/>
    <w:rsid w:val="00F14CA7"/>
    <w:rsid w:val="00F1554D"/>
    <w:rsid w:val="00F168CB"/>
    <w:rsid w:val="00F2295C"/>
    <w:rsid w:val="00F34665"/>
    <w:rsid w:val="00F37EBD"/>
    <w:rsid w:val="00F4487F"/>
    <w:rsid w:val="00F46973"/>
    <w:rsid w:val="00F46BF0"/>
    <w:rsid w:val="00F51248"/>
    <w:rsid w:val="00F53619"/>
    <w:rsid w:val="00F5431D"/>
    <w:rsid w:val="00F56C30"/>
    <w:rsid w:val="00F60AD5"/>
    <w:rsid w:val="00F62315"/>
    <w:rsid w:val="00F66E38"/>
    <w:rsid w:val="00F72682"/>
    <w:rsid w:val="00F72AB7"/>
    <w:rsid w:val="00F739CD"/>
    <w:rsid w:val="00F7768D"/>
    <w:rsid w:val="00F84EFB"/>
    <w:rsid w:val="00F95EBE"/>
    <w:rsid w:val="00FA17FC"/>
    <w:rsid w:val="00FA1E3B"/>
    <w:rsid w:val="00FA36E0"/>
    <w:rsid w:val="00FA4BF1"/>
    <w:rsid w:val="00FA659D"/>
    <w:rsid w:val="00FB0D7B"/>
    <w:rsid w:val="00FB4DF1"/>
    <w:rsid w:val="00FB6D1C"/>
    <w:rsid w:val="00FB7057"/>
    <w:rsid w:val="00FC5D99"/>
    <w:rsid w:val="00FC6E61"/>
    <w:rsid w:val="00FD01D2"/>
    <w:rsid w:val="00FD0498"/>
    <w:rsid w:val="00FD147D"/>
    <w:rsid w:val="00FD376B"/>
    <w:rsid w:val="00FD3844"/>
    <w:rsid w:val="00FF7156"/>
    <w:rsid w:val="00FF79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DD"/>
    <w:pPr>
      <w:spacing w:after="200" w:line="276" w:lineRule="auto"/>
    </w:pPr>
    <w:rPr>
      <w:sz w:val="22"/>
      <w:szCs w:val="22"/>
      <w:lang w:eastAsia="en-US"/>
    </w:rPr>
  </w:style>
  <w:style w:type="paragraph" w:styleId="Heading4">
    <w:name w:val="heading 4"/>
    <w:basedOn w:val="Normal"/>
    <w:link w:val="Heading4Char"/>
    <w:uiPriority w:val="9"/>
    <w:qFormat/>
    <w:rsid w:val="00003B5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3B5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003B5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2F2C35"/>
    <w:pPr>
      <w:tabs>
        <w:tab w:val="center" w:pos="4153"/>
        <w:tab w:val="right" w:pos="8306"/>
      </w:tabs>
    </w:pPr>
  </w:style>
  <w:style w:type="character" w:customStyle="1" w:styleId="HeaderChar">
    <w:name w:val="Header Char"/>
    <w:basedOn w:val="DefaultParagraphFont"/>
    <w:link w:val="Header"/>
    <w:uiPriority w:val="99"/>
    <w:rsid w:val="002F2C35"/>
    <w:rPr>
      <w:sz w:val="22"/>
      <w:szCs w:val="22"/>
      <w:lang w:eastAsia="en-US"/>
    </w:rPr>
  </w:style>
  <w:style w:type="paragraph" w:styleId="Footer">
    <w:name w:val="footer"/>
    <w:basedOn w:val="Normal"/>
    <w:link w:val="FooterChar"/>
    <w:uiPriority w:val="99"/>
    <w:unhideWhenUsed/>
    <w:rsid w:val="002F2C35"/>
    <w:pPr>
      <w:tabs>
        <w:tab w:val="center" w:pos="4153"/>
        <w:tab w:val="right" w:pos="8306"/>
      </w:tabs>
    </w:pPr>
  </w:style>
  <w:style w:type="character" w:customStyle="1" w:styleId="FooterChar">
    <w:name w:val="Footer Char"/>
    <w:basedOn w:val="DefaultParagraphFont"/>
    <w:link w:val="Footer"/>
    <w:uiPriority w:val="99"/>
    <w:rsid w:val="002F2C35"/>
    <w:rPr>
      <w:sz w:val="22"/>
      <w:szCs w:val="22"/>
      <w:lang w:eastAsia="en-US"/>
    </w:rPr>
  </w:style>
  <w:style w:type="paragraph" w:styleId="BalloonText">
    <w:name w:val="Balloon Text"/>
    <w:basedOn w:val="Normal"/>
    <w:link w:val="BalloonTextChar"/>
    <w:uiPriority w:val="99"/>
    <w:semiHidden/>
    <w:unhideWhenUsed/>
    <w:rsid w:val="002F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C35"/>
    <w:rPr>
      <w:rFonts w:ascii="Tahoma" w:hAnsi="Tahoma" w:cs="Tahoma"/>
      <w:sz w:val="16"/>
      <w:szCs w:val="16"/>
      <w:lang w:eastAsia="en-US"/>
    </w:rPr>
  </w:style>
  <w:style w:type="character" w:customStyle="1" w:styleId="EE-paragrChar">
    <w:name w:val="EE-paragr Char"/>
    <w:basedOn w:val="DefaultParagraphFont"/>
    <w:link w:val="EE-paragr"/>
    <w:locked/>
    <w:rsid w:val="00BA3C8A"/>
    <w:rPr>
      <w:rFonts w:ascii="Times New Roman" w:hAnsi="Times New Roman"/>
      <w:sz w:val="28"/>
      <w:szCs w:val="28"/>
      <w:lang w:eastAsia="en-US"/>
    </w:rPr>
  </w:style>
  <w:style w:type="paragraph" w:customStyle="1" w:styleId="EE-paragr">
    <w:name w:val="EE-paragr"/>
    <w:basedOn w:val="Normal"/>
    <w:link w:val="EE-paragrChar"/>
    <w:autoRedefine/>
    <w:rsid w:val="00BA3C8A"/>
    <w:pPr>
      <w:tabs>
        <w:tab w:val="left" w:pos="720"/>
      </w:tabs>
      <w:spacing w:after="0" w:line="240" w:lineRule="auto"/>
      <w:jc w:val="both"/>
    </w:pPr>
    <w:rPr>
      <w:rFonts w:ascii="Times New Roman" w:hAnsi="Times New Roman"/>
      <w:sz w:val="28"/>
      <w:szCs w:val="28"/>
    </w:rPr>
  </w:style>
  <w:style w:type="paragraph" w:customStyle="1" w:styleId="naisf">
    <w:name w:val="naisf"/>
    <w:basedOn w:val="Normal"/>
    <w:rsid w:val="002D6FA9"/>
    <w:pPr>
      <w:spacing w:before="100" w:after="100" w:line="240" w:lineRule="auto"/>
      <w:jc w:val="both"/>
    </w:pPr>
    <w:rPr>
      <w:rFonts w:ascii="Times New Roman" w:eastAsia="Arial Unicode MS" w:hAnsi="Times New Roman"/>
      <w:sz w:val="24"/>
      <w:szCs w:val="20"/>
      <w:lang w:val="en-GB"/>
    </w:rPr>
  </w:style>
  <w:style w:type="character" w:styleId="Hyperlink">
    <w:name w:val="Hyperlink"/>
    <w:basedOn w:val="DefaultParagraphFont"/>
    <w:uiPriority w:val="99"/>
    <w:rsid w:val="000E360B"/>
    <w:rPr>
      <w:color w:val="AA1317"/>
      <w:u w:val="single"/>
    </w:rPr>
  </w:style>
  <w:style w:type="character" w:styleId="CommentReference">
    <w:name w:val="annotation reference"/>
    <w:basedOn w:val="DefaultParagraphFont"/>
    <w:uiPriority w:val="99"/>
    <w:semiHidden/>
    <w:unhideWhenUsed/>
    <w:rsid w:val="00A00757"/>
    <w:rPr>
      <w:sz w:val="16"/>
      <w:szCs w:val="16"/>
    </w:rPr>
  </w:style>
  <w:style w:type="paragraph" w:styleId="CommentText">
    <w:name w:val="annotation text"/>
    <w:basedOn w:val="Normal"/>
    <w:link w:val="CommentTextChar"/>
    <w:uiPriority w:val="99"/>
    <w:semiHidden/>
    <w:unhideWhenUsed/>
    <w:rsid w:val="00A00757"/>
    <w:rPr>
      <w:sz w:val="20"/>
      <w:szCs w:val="20"/>
    </w:rPr>
  </w:style>
  <w:style w:type="character" w:customStyle="1" w:styleId="CommentTextChar">
    <w:name w:val="Comment Text Char"/>
    <w:basedOn w:val="DefaultParagraphFont"/>
    <w:link w:val="CommentText"/>
    <w:uiPriority w:val="99"/>
    <w:semiHidden/>
    <w:rsid w:val="00A00757"/>
    <w:rPr>
      <w:lang w:eastAsia="en-US"/>
    </w:rPr>
  </w:style>
  <w:style w:type="paragraph" w:styleId="CommentSubject">
    <w:name w:val="annotation subject"/>
    <w:basedOn w:val="CommentText"/>
    <w:next w:val="CommentText"/>
    <w:link w:val="CommentSubjectChar"/>
    <w:uiPriority w:val="99"/>
    <w:semiHidden/>
    <w:unhideWhenUsed/>
    <w:rsid w:val="00A00757"/>
    <w:rPr>
      <w:b/>
      <w:bCs/>
    </w:rPr>
  </w:style>
  <w:style w:type="character" w:customStyle="1" w:styleId="CommentSubjectChar">
    <w:name w:val="Comment Subject Char"/>
    <w:basedOn w:val="CommentTextChar"/>
    <w:link w:val="CommentSubject"/>
    <w:uiPriority w:val="99"/>
    <w:semiHidden/>
    <w:rsid w:val="00A00757"/>
    <w:rPr>
      <w:b/>
      <w:bCs/>
    </w:rPr>
  </w:style>
  <w:style w:type="character" w:styleId="PageNumber">
    <w:name w:val="page number"/>
    <w:basedOn w:val="DefaultParagraphFont"/>
    <w:rsid w:val="00D564F9"/>
  </w:style>
  <w:style w:type="character" w:customStyle="1" w:styleId="EE-paragrCharCharChar1">
    <w:name w:val="EE-paragr Char Char Char1"/>
    <w:basedOn w:val="DefaultParagraphFont"/>
    <w:link w:val="EE-paragrCharChar"/>
    <w:locked/>
    <w:rsid w:val="0020240A"/>
    <w:rPr>
      <w:bCs/>
      <w:sz w:val="28"/>
      <w:szCs w:val="28"/>
    </w:rPr>
  </w:style>
  <w:style w:type="paragraph" w:customStyle="1" w:styleId="EE-paragrCharChar">
    <w:name w:val="EE-paragr Char Char"/>
    <w:basedOn w:val="Normal"/>
    <w:link w:val="EE-paragrCharCharChar1"/>
    <w:autoRedefine/>
    <w:rsid w:val="0020240A"/>
    <w:pPr>
      <w:spacing w:after="60" w:line="240" w:lineRule="auto"/>
      <w:ind w:firstLine="421"/>
      <w:jc w:val="both"/>
    </w:pPr>
    <w:rPr>
      <w:bCs/>
      <w:sz w:val="28"/>
      <w:szCs w:val="28"/>
      <w:lang w:eastAsia="lv-LV"/>
    </w:rPr>
  </w:style>
  <w:style w:type="paragraph" w:styleId="BodyTextIndent">
    <w:name w:val="Body Text Indent"/>
    <w:basedOn w:val="Normal"/>
    <w:link w:val="BodyTextIndentChar"/>
    <w:rsid w:val="00D12AED"/>
    <w:pPr>
      <w:spacing w:after="120" w:line="240" w:lineRule="auto"/>
      <w:ind w:firstLine="720"/>
      <w:jc w:val="both"/>
    </w:pPr>
    <w:rPr>
      <w:rFonts w:ascii="Times New Roman" w:eastAsia="Times New Roman" w:hAnsi="Times New Roman"/>
      <w:noProof/>
      <w:sz w:val="28"/>
      <w:szCs w:val="28"/>
    </w:rPr>
  </w:style>
  <w:style w:type="character" w:customStyle="1" w:styleId="BodyTextIndentChar">
    <w:name w:val="Body Text Indent Char"/>
    <w:basedOn w:val="DefaultParagraphFont"/>
    <w:link w:val="BodyTextIndent"/>
    <w:rsid w:val="00D12AED"/>
    <w:rPr>
      <w:rFonts w:ascii="Times New Roman" w:eastAsia="Times New Roman" w:hAnsi="Times New Roman"/>
      <w:noProof/>
      <w:sz w:val="28"/>
      <w:szCs w:val="28"/>
      <w:lang w:eastAsia="en-US"/>
    </w:rPr>
  </w:style>
  <w:style w:type="paragraph" w:customStyle="1" w:styleId="naiskr">
    <w:name w:val="naiskr"/>
    <w:basedOn w:val="Normal"/>
    <w:rsid w:val="00C658BB"/>
    <w:pPr>
      <w:spacing w:before="75" w:after="75"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5F597C"/>
    <w:pPr>
      <w:spacing w:after="0" w:line="240" w:lineRule="auto"/>
      <w:ind w:left="720"/>
      <w:contextualSpacing/>
    </w:pPr>
    <w:rPr>
      <w:rFonts w:ascii="Times New Roman" w:hAnsi="Times New Roman"/>
      <w:sz w:val="20"/>
      <w:szCs w:val="20"/>
      <w:lang w:val="en-AU"/>
    </w:rPr>
  </w:style>
  <w:style w:type="character" w:styleId="Strong">
    <w:name w:val="Strong"/>
    <w:basedOn w:val="DefaultParagraphFont"/>
    <w:uiPriority w:val="22"/>
    <w:qFormat/>
    <w:rsid w:val="00755ABC"/>
    <w:rPr>
      <w:b/>
      <w:bCs/>
    </w:rPr>
  </w:style>
  <w:style w:type="character" w:styleId="Emphasis">
    <w:name w:val="Emphasis"/>
    <w:basedOn w:val="DefaultParagraphFont"/>
    <w:uiPriority w:val="20"/>
    <w:qFormat/>
    <w:rsid w:val="00755ABC"/>
    <w:rPr>
      <w:i/>
      <w:iCs/>
    </w:rPr>
  </w:style>
  <w:style w:type="paragraph" w:styleId="Revision">
    <w:name w:val="Revision"/>
    <w:hidden/>
    <w:uiPriority w:val="99"/>
    <w:semiHidden/>
    <w:rsid w:val="00FB6D1C"/>
    <w:rPr>
      <w:sz w:val="22"/>
      <w:szCs w:val="22"/>
      <w:lang w:eastAsia="en-US"/>
    </w:rPr>
  </w:style>
  <w:style w:type="character" w:customStyle="1" w:styleId="st1">
    <w:name w:val="st1"/>
    <w:basedOn w:val="DefaultParagraphFont"/>
    <w:rsid w:val="003034DA"/>
  </w:style>
</w:styles>
</file>

<file path=word/webSettings.xml><?xml version="1.0" encoding="utf-8"?>
<w:webSettings xmlns:r="http://schemas.openxmlformats.org/officeDocument/2006/relationships" xmlns:w="http://schemas.openxmlformats.org/wordprocessingml/2006/main">
  <w:divs>
    <w:div w:id="316540094">
      <w:bodyDiv w:val="1"/>
      <w:marLeft w:val="0"/>
      <w:marRight w:val="0"/>
      <w:marTop w:val="0"/>
      <w:marBottom w:val="0"/>
      <w:divBdr>
        <w:top w:val="none" w:sz="0" w:space="0" w:color="auto"/>
        <w:left w:val="none" w:sz="0" w:space="0" w:color="auto"/>
        <w:bottom w:val="none" w:sz="0" w:space="0" w:color="auto"/>
        <w:right w:val="none" w:sz="0" w:space="0" w:color="auto"/>
      </w:divBdr>
    </w:div>
    <w:div w:id="860512990">
      <w:bodyDiv w:val="1"/>
      <w:marLeft w:val="0"/>
      <w:marRight w:val="0"/>
      <w:marTop w:val="0"/>
      <w:marBottom w:val="0"/>
      <w:divBdr>
        <w:top w:val="none" w:sz="0" w:space="0" w:color="auto"/>
        <w:left w:val="none" w:sz="0" w:space="0" w:color="auto"/>
        <w:bottom w:val="none" w:sz="0" w:space="0" w:color="auto"/>
        <w:right w:val="none" w:sz="0" w:space="0" w:color="auto"/>
      </w:divBdr>
    </w:div>
    <w:div w:id="1243223774">
      <w:bodyDiv w:val="1"/>
      <w:marLeft w:val="0"/>
      <w:marRight w:val="0"/>
      <w:marTop w:val="0"/>
      <w:marBottom w:val="0"/>
      <w:divBdr>
        <w:top w:val="none" w:sz="0" w:space="0" w:color="auto"/>
        <w:left w:val="none" w:sz="0" w:space="0" w:color="auto"/>
        <w:bottom w:val="none" w:sz="0" w:space="0" w:color="auto"/>
        <w:right w:val="none" w:sz="0" w:space="0" w:color="auto"/>
      </w:divBdr>
    </w:div>
    <w:div w:id="2113356954">
      <w:bodyDiv w:val="1"/>
      <w:marLeft w:val="0"/>
      <w:marRight w:val="0"/>
      <w:marTop w:val="0"/>
      <w:marBottom w:val="0"/>
      <w:divBdr>
        <w:top w:val="none" w:sz="0" w:space="0" w:color="auto"/>
        <w:left w:val="none" w:sz="0" w:space="0" w:color="auto"/>
        <w:bottom w:val="none" w:sz="0" w:space="0" w:color="auto"/>
        <w:right w:val="none" w:sz="0" w:space="0" w:color="auto"/>
      </w:divBdr>
      <w:divsChild>
        <w:div w:id="1185097377">
          <w:marLeft w:val="0"/>
          <w:marRight w:val="0"/>
          <w:marTop w:val="0"/>
          <w:marBottom w:val="0"/>
          <w:divBdr>
            <w:top w:val="none" w:sz="0" w:space="0" w:color="auto"/>
            <w:left w:val="none" w:sz="0" w:space="0" w:color="auto"/>
            <w:bottom w:val="none" w:sz="0" w:space="0" w:color="auto"/>
            <w:right w:val="none" w:sz="0" w:space="0" w:color="auto"/>
          </w:divBdr>
          <w:divsChild>
            <w:div w:id="616329816">
              <w:marLeft w:val="0"/>
              <w:marRight w:val="0"/>
              <w:marTop w:val="0"/>
              <w:marBottom w:val="0"/>
              <w:divBdr>
                <w:top w:val="none" w:sz="0" w:space="0" w:color="auto"/>
                <w:left w:val="none" w:sz="0" w:space="0" w:color="auto"/>
                <w:bottom w:val="none" w:sz="0" w:space="0" w:color="auto"/>
                <w:right w:val="none" w:sz="0" w:space="0" w:color="auto"/>
              </w:divBdr>
              <w:divsChild>
                <w:div w:id="485559655">
                  <w:marLeft w:val="0"/>
                  <w:marRight w:val="0"/>
                  <w:marTop w:val="0"/>
                  <w:marBottom w:val="0"/>
                  <w:divBdr>
                    <w:top w:val="none" w:sz="0" w:space="0" w:color="auto"/>
                    <w:left w:val="none" w:sz="0" w:space="0" w:color="auto"/>
                    <w:bottom w:val="none" w:sz="0" w:space="0" w:color="auto"/>
                    <w:right w:val="none" w:sz="0" w:space="0" w:color="auto"/>
                  </w:divBdr>
                  <w:divsChild>
                    <w:div w:id="211161220">
                      <w:marLeft w:val="0"/>
                      <w:marRight w:val="0"/>
                      <w:marTop w:val="0"/>
                      <w:marBottom w:val="0"/>
                      <w:divBdr>
                        <w:top w:val="none" w:sz="0" w:space="0" w:color="auto"/>
                        <w:left w:val="none" w:sz="0" w:space="0" w:color="auto"/>
                        <w:bottom w:val="none" w:sz="0" w:space="0" w:color="auto"/>
                        <w:right w:val="none" w:sz="0" w:space="0" w:color="auto"/>
                      </w:divBdr>
                      <w:divsChild>
                        <w:div w:id="1678968486">
                          <w:marLeft w:val="0"/>
                          <w:marRight w:val="0"/>
                          <w:marTop w:val="450"/>
                          <w:marBottom w:val="0"/>
                          <w:divBdr>
                            <w:top w:val="none" w:sz="0" w:space="0" w:color="auto"/>
                            <w:left w:val="none" w:sz="0" w:space="0" w:color="auto"/>
                            <w:bottom w:val="none" w:sz="0" w:space="0" w:color="auto"/>
                            <w:right w:val="none" w:sz="0" w:space="0" w:color="auto"/>
                          </w:divBdr>
                          <w:divsChild>
                            <w:div w:id="13631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krumin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B620-478D-4214-A15B-EB2E68B0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3452</Words>
  <Characters>25272</Characters>
  <Application>Microsoft Office Word</Application>
  <DocSecurity>0</DocSecurity>
  <Lines>1330</Lines>
  <Paragraphs>416</Paragraphs>
  <ScaleCrop>false</ScaleCrop>
  <HeadingPairs>
    <vt:vector size="2" baseType="variant">
      <vt:variant>
        <vt:lpstr>Title</vt:lpstr>
      </vt:variant>
      <vt:variant>
        <vt:i4>1</vt:i4>
      </vt:variant>
    </vt:vector>
  </HeadingPairs>
  <TitlesOfParts>
    <vt:vector size="1" baseType="lpstr">
      <vt:lpstr>Noteikumi par darbības programmas "Uzņēmējdarbība un inovācijas" papildinājuma 2.1.2.4.aktivitāti "Augstas pievienotās vērtības investīcijas" projektu iesniegumu atlases otro un turpmākajām kārtām</vt:lpstr>
    </vt:vector>
  </TitlesOfParts>
  <Company/>
  <LinksUpToDate>false</LinksUpToDate>
  <CharactersWithSpaces>28308</CharactersWithSpaces>
  <SharedDoc>false</SharedDoc>
  <HLinks>
    <vt:vector size="12" baseType="variant">
      <vt:variant>
        <vt:i4>3735553</vt:i4>
      </vt:variant>
      <vt:variant>
        <vt:i4>3</vt:i4>
      </vt:variant>
      <vt:variant>
        <vt:i4>0</vt:i4>
      </vt:variant>
      <vt:variant>
        <vt:i4>5</vt:i4>
      </vt:variant>
      <vt:variant>
        <vt:lpwstr>mailto:santa.smidlere@izm.gov.lv</vt:lpwstr>
      </vt:variant>
      <vt:variant>
        <vt:lpwstr/>
      </vt:variant>
      <vt:variant>
        <vt:i4>7929916</vt:i4>
      </vt:variant>
      <vt:variant>
        <vt:i4>0</vt:i4>
      </vt:variant>
      <vt:variant>
        <vt:i4>0</vt:i4>
      </vt:variant>
      <vt:variant>
        <vt:i4>5</vt:i4>
      </vt:variant>
      <vt:variant>
        <vt:lpwstr>http://esfondi.izm.gov.lv/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darbības programmas „Uzņēmējdarbība un inovācijas” papildinājuma 2.1.2.4.aktivitātes „Augstas pievienotās vērtības investīcijas” projektu iesniegumu atlases otro un turpmākajām kārtām” projekta sākotnējās ietekmes novērtējuma ziņojums (anotācija)</dc:title>
  <dc:subject>Anotācija</dc:subject>
  <dc:creator>Māris Krūmiņš</dc:creator>
  <dc:description>Maris.Krumins@em.gov.lv, 67013082</dc:description>
  <cp:lastModifiedBy>kruminsM</cp:lastModifiedBy>
  <cp:revision>13</cp:revision>
  <cp:lastPrinted>2011-08-05T11:49:00Z</cp:lastPrinted>
  <dcterms:created xsi:type="dcterms:W3CDTF">2011-10-04T06:56:00Z</dcterms:created>
  <dcterms:modified xsi:type="dcterms:W3CDTF">2011-10-13T12:00:00Z</dcterms:modified>
  <cp:category>EM</cp:category>
</cp:coreProperties>
</file>