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B03D28" w:rsidRDefault="00880D7E" w:rsidP="00CE5A53">
      <w:pPr>
        <w:jc w:val="center"/>
        <w:outlineLvl w:val="0"/>
        <w:rPr>
          <w:rFonts w:eastAsia="Times New Roman"/>
          <w:b/>
          <w:sz w:val="24"/>
          <w:szCs w:val="24"/>
          <w:lang w:val="lv-LV" w:eastAsia="lv-LV"/>
        </w:rPr>
      </w:pPr>
      <w:bookmarkStart w:id="0" w:name="OLE_LINK6"/>
      <w:bookmarkStart w:id="1" w:name="OLE_LINK7"/>
      <w:bookmarkStart w:id="2" w:name="OLE_LINK4"/>
      <w:bookmarkStart w:id="3" w:name="OLE_LINK5"/>
      <w:bookmarkStart w:id="4" w:name="OLE_LINK8"/>
      <w:bookmarkStart w:id="5" w:name="OLE_LINK10"/>
      <w:bookmarkStart w:id="6" w:name="OLE_LINK9"/>
      <w:bookmarkStart w:id="7" w:name="OLE_LINK11"/>
      <w:bookmarkStart w:id="8" w:name="OLE_LINK3"/>
      <w:bookmarkStart w:id="9" w:name="OLE_LINK1"/>
      <w:bookmarkStart w:id="10" w:name="OLE_LINK2"/>
      <w:r w:rsidRPr="00B03D28">
        <w:rPr>
          <w:b/>
          <w:sz w:val="24"/>
          <w:szCs w:val="24"/>
          <w:lang w:val="lv-LV"/>
        </w:rPr>
        <w:t>Ministru kabine</w:t>
      </w:r>
      <w:r w:rsidR="000B5B40" w:rsidRPr="00B03D28">
        <w:rPr>
          <w:b/>
          <w:sz w:val="24"/>
          <w:szCs w:val="24"/>
          <w:lang w:val="lv-LV"/>
        </w:rPr>
        <w:t>ta noteikumu projekta „Grozījum</w:t>
      </w:r>
      <w:r w:rsidR="00A144C6">
        <w:rPr>
          <w:b/>
          <w:sz w:val="24"/>
          <w:szCs w:val="24"/>
          <w:lang w:val="lv-LV"/>
        </w:rPr>
        <w:t>i</w:t>
      </w:r>
      <w:r w:rsidRPr="00B03D28">
        <w:rPr>
          <w:b/>
          <w:sz w:val="24"/>
          <w:szCs w:val="24"/>
          <w:lang w:val="lv-LV"/>
        </w:rPr>
        <w:t xml:space="preserve"> Ministru kabineta 20</w:t>
      </w:r>
      <w:r w:rsidR="00A144C6">
        <w:rPr>
          <w:b/>
          <w:sz w:val="24"/>
          <w:szCs w:val="24"/>
          <w:lang w:val="lv-LV"/>
        </w:rPr>
        <w:t>09</w:t>
      </w:r>
      <w:r w:rsidRPr="00B03D28">
        <w:rPr>
          <w:b/>
          <w:sz w:val="24"/>
          <w:szCs w:val="24"/>
          <w:lang w:val="lv-LV"/>
        </w:rPr>
        <w:t xml:space="preserve">.gada </w:t>
      </w:r>
      <w:r w:rsidR="00A144C6">
        <w:rPr>
          <w:b/>
          <w:sz w:val="24"/>
          <w:szCs w:val="24"/>
          <w:lang w:val="lv-LV"/>
        </w:rPr>
        <w:t>24.februāra</w:t>
      </w:r>
      <w:r w:rsidRPr="00B03D28">
        <w:rPr>
          <w:b/>
          <w:sz w:val="24"/>
          <w:szCs w:val="24"/>
          <w:lang w:val="lv-LV"/>
        </w:rPr>
        <w:t xml:space="preserve"> noteikumos Nr.</w:t>
      </w:r>
      <w:r w:rsidR="00A144C6">
        <w:rPr>
          <w:b/>
          <w:sz w:val="24"/>
          <w:szCs w:val="24"/>
          <w:lang w:val="lv-LV"/>
        </w:rPr>
        <w:t>200</w:t>
      </w:r>
      <w:r w:rsidRPr="00B03D28">
        <w:rPr>
          <w:b/>
          <w:sz w:val="24"/>
          <w:szCs w:val="24"/>
          <w:lang w:val="lv-LV"/>
        </w:rPr>
        <w:t xml:space="preserve"> „</w:t>
      </w:r>
      <w:r w:rsidRPr="00B03D28">
        <w:rPr>
          <w:rFonts w:eastAsia="Times New Roman"/>
          <w:b/>
          <w:bCs/>
          <w:sz w:val="24"/>
          <w:szCs w:val="24"/>
          <w:lang w:val="lv-LV" w:eastAsia="lv-LV"/>
        </w:rPr>
        <w:t>Noteikumi par darbības programmas „Uzņēmējdarbība un inovācijas” papildinājuma 2.1.2.</w:t>
      </w:r>
      <w:r w:rsidR="00A144C6">
        <w:rPr>
          <w:rFonts w:eastAsia="Times New Roman"/>
          <w:b/>
          <w:bCs/>
          <w:sz w:val="24"/>
          <w:szCs w:val="24"/>
          <w:lang w:val="lv-LV" w:eastAsia="lv-LV"/>
        </w:rPr>
        <w:t>4</w:t>
      </w:r>
      <w:r w:rsidRPr="00B03D28">
        <w:rPr>
          <w:rFonts w:eastAsia="Times New Roman"/>
          <w:b/>
          <w:bCs/>
          <w:sz w:val="24"/>
          <w:szCs w:val="24"/>
          <w:lang w:val="lv-LV" w:eastAsia="lv-LV"/>
        </w:rPr>
        <w:t>.</w:t>
      </w:r>
      <w:r w:rsidR="00A144C6">
        <w:rPr>
          <w:rFonts w:eastAsia="Times New Roman"/>
          <w:b/>
          <w:bCs/>
          <w:sz w:val="24"/>
          <w:szCs w:val="24"/>
          <w:lang w:val="lv-LV" w:eastAsia="lv-LV"/>
        </w:rPr>
        <w:t xml:space="preserve"> </w:t>
      </w:r>
      <w:r w:rsidRPr="00B03D28">
        <w:rPr>
          <w:rFonts w:eastAsia="Times New Roman"/>
          <w:b/>
          <w:bCs/>
          <w:sz w:val="24"/>
          <w:szCs w:val="24"/>
          <w:lang w:val="lv-LV" w:eastAsia="lv-LV"/>
        </w:rPr>
        <w:t>aktivitāti „</w:t>
      </w:r>
      <w:r w:rsidR="00A144C6">
        <w:rPr>
          <w:rFonts w:eastAsia="Times New Roman"/>
          <w:b/>
          <w:bCs/>
          <w:sz w:val="24"/>
          <w:szCs w:val="24"/>
          <w:lang w:val="lv-LV" w:eastAsia="lv-LV"/>
        </w:rPr>
        <w:t>Augstas pievienotās vērtības investīcijas</w:t>
      </w:r>
      <w:r w:rsidRPr="00B03D28">
        <w:rPr>
          <w:rFonts w:eastAsia="Times New Roman"/>
          <w:b/>
          <w:bCs/>
          <w:sz w:val="24"/>
          <w:szCs w:val="24"/>
          <w:lang w:val="lv-LV" w:eastAsia="lv-LV"/>
        </w:rPr>
        <w:t>””</w:t>
      </w:r>
      <w:r w:rsidRPr="00B03D28">
        <w:rPr>
          <w:b/>
          <w:bCs/>
          <w:sz w:val="24"/>
          <w:szCs w:val="24"/>
          <w:lang w:val="lv-LV" w:eastAsia="lv-LV"/>
        </w:rPr>
        <w:t>”</w:t>
      </w:r>
      <w:r w:rsidR="007E5D4D" w:rsidRPr="00B03D28">
        <w:rPr>
          <w:rFonts w:eastAsia="Times New Roman"/>
          <w:b/>
          <w:sz w:val="24"/>
          <w:szCs w:val="24"/>
          <w:lang w:val="lv-LV" w:eastAsia="lv-LV"/>
        </w:rPr>
        <w:t xml:space="preserve"> sākotnējās ietekmes novērtējuma ziņojums (anotācija)</w:t>
      </w:r>
      <w:bookmarkEnd w:id="0"/>
      <w:bookmarkEnd w:id="1"/>
      <w:bookmarkEnd w:id="2"/>
    </w:p>
    <w:bookmarkEnd w:id="3"/>
    <w:bookmarkEnd w:id="4"/>
    <w:bookmarkEnd w:id="5"/>
    <w:bookmarkEnd w:id="6"/>
    <w:bookmarkEnd w:id="7"/>
    <w:p w:rsidR="004B638C" w:rsidRPr="00B03D28" w:rsidRDefault="004B638C" w:rsidP="00CE5A53">
      <w:pPr>
        <w:jc w:val="center"/>
        <w:rPr>
          <w:rFonts w:eastAsia="Times New Roman"/>
          <w:b/>
          <w:sz w:val="24"/>
          <w:szCs w:val="24"/>
          <w:lang w:val="lv-LV" w:eastAsia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5953"/>
      </w:tblGrid>
      <w:tr w:rsidR="00BB09C5" w:rsidRPr="006E7625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8"/>
          <w:bookmarkEnd w:id="9"/>
          <w:bookmarkEnd w:id="10"/>
          <w:p w:rsidR="00BB09C5" w:rsidRPr="00B03D28" w:rsidRDefault="00E73425" w:rsidP="00CE5A53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b/>
                <w:sz w:val="24"/>
                <w:szCs w:val="24"/>
                <w:lang w:val="lv-LV" w:eastAsia="lv-LV"/>
              </w:rPr>
              <w:t xml:space="preserve">I.Tiesību akta projekta izstrādes </w:t>
            </w:r>
            <w:r w:rsidR="007E5D4D" w:rsidRPr="00B03D28">
              <w:rPr>
                <w:rFonts w:eastAsia="Times New Roman"/>
                <w:b/>
                <w:sz w:val="24"/>
                <w:szCs w:val="24"/>
                <w:lang w:val="lv-LV" w:eastAsia="lv-LV"/>
              </w:rPr>
              <w:t>nepieciešamība</w:t>
            </w:r>
          </w:p>
        </w:tc>
      </w:tr>
      <w:tr w:rsidR="00BB09C5" w:rsidRPr="006E7625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B03D28" w:rsidRDefault="00BB09C5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1</w:t>
            </w:r>
            <w:r w:rsidR="00F15932" w:rsidRPr="00B03D28">
              <w:rPr>
                <w:rFonts w:eastAsia="Times New Roman"/>
                <w:sz w:val="24"/>
                <w:szCs w:val="24"/>
                <w:lang w:val="lv-LV" w:eastAsia="lv-LV"/>
              </w:rPr>
              <w:t>. Pamatojums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B03D28" w:rsidRDefault="00700070" w:rsidP="006679C7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03D28">
              <w:rPr>
                <w:sz w:val="24"/>
                <w:szCs w:val="24"/>
                <w:lang w:val="lv-LV"/>
              </w:rPr>
              <w:t xml:space="preserve">Noteikumu projekts sagatavots, pamatojoties uz Eiropas Savienības struktūrfondu un </w:t>
            </w:r>
            <w:r w:rsidRPr="00B03D28">
              <w:rPr>
                <w:sz w:val="24"/>
                <w:szCs w:val="24"/>
                <w:lang w:val="lv-LV"/>
              </w:rPr>
              <w:br/>
              <w:t xml:space="preserve">Kohēzijas fonda vadības likuma </w:t>
            </w:r>
            <w:r w:rsidRPr="00B03D28">
              <w:rPr>
                <w:sz w:val="24"/>
                <w:szCs w:val="24"/>
                <w:lang w:val="lv-LV"/>
              </w:rPr>
              <w:br/>
              <w:t>18.panta 10.punktu.</w:t>
            </w:r>
          </w:p>
        </w:tc>
      </w:tr>
      <w:tr w:rsidR="00BB09C5" w:rsidRPr="006E7625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B03D28" w:rsidRDefault="00BB09C5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2</w:t>
            </w:r>
            <w:r w:rsidR="00F15932" w:rsidRPr="00B03D28">
              <w:rPr>
                <w:rFonts w:eastAsia="Times New Roman"/>
                <w:sz w:val="24"/>
                <w:szCs w:val="24"/>
                <w:lang w:val="lv-LV" w:eastAsia="lv-LV"/>
              </w:rPr>
              <w:t>. Pašreizējā situācija un problēma</w:t>
            </w:r>
            <w:r w:rsidR="007E5D4D" w:rsidRPr="00B03D28">
              <w:rPr>
                <w:rFonts w:eastAsia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73CBA" w:rsidRDefault="00A144C6" w:rsidP="00A144C6">
            <w:pPr>
              <w:ind w:firstLine="720"/>
              <w:jc w:val="both"/>
              <w:rPr>
                <w:rFonts w:eastAsia="Times New Roman"/>
                <w:bCs/>
                <w:sz w:val="24"/>
                <w:szCs w:val="24"/>
                <w:lang w:val="lv-LV" w:eastAsia="lv-LV"/>
              </w:rPr>
            </w:pPr>
            <w:r w:rsidRPr="00A144C6">
              <w:rPr>
                <w:sz w:val="24"/>
                <w:szCs w:val="24"/>
                <w:lang w:val="lv-LV"/>
              </w:rPr>
              <w:t>Grozījumi Ministru kabineta 2009.gada 24.februāra noteikumos Nr.200 „</w:t>
            </w:r>
            <w:r w:rsidRPr="00A144C6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Noteikumi par darbības programmas „Uzņēmējdarbība un inovācijas” papildinājuma 2.1.2.4. aktivitāti „Augstas pievienotās vērtības investīcijas””</w:t>
            </w:r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 (turpmāk – MK noteikumi Nr.200) nepieciešami, lai nodalītu, ka tie attiecas uz </w:t>
            </w:r>
            <w:r w:rsidR="00BE4131"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pirmo </w:t>
            </w:r>
            <w:r>
              <w:rPr>
                <w:rFonts w:eastAsia="Times New Roman"/>
                <w:bCs/>
                <w:sz w:val="24"/>
                <w:szCs w:val="24"/>
                <w:lang w:val="lv-LV" w:eastAsia="lv-LV"/>
              </w:rPr>
              <w:t xml:space="preserve">kārtu, jo 2011.gada 16.jūnija Eiropas Savienības fondu uzraudzības komitejā tika nolemts apstiprināt projektu iesniegumu atlases vērtēšanas kritērijus 2.1.2.4.aktivitātes „Augstas pievienotās vērtības” (turpmāk – 2.1.2.4.aktivitāte)  otrajai kārtai. </w:t>
            </w:r>
          </w:p>
          <w:p w:rsidR="005E1B0A" w:rsidRPr="00A144C6" w:rsidRDefault="005E1B0A" w:rsidP="005E1B0A">
            <w:pPr>
              <w:ind w:firstLine="720"/>
              <w:jc w:val="both"/>
              <w:rPr>
                <w:sz w:val="24"/>
                <w:szCs w:val="24"/>
                <w:lang w:val="lv-LV"/>
              </w:rPr>
            </w:pP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>Tāpat pamatojoties uz 2011.gada 14.jūnija Ministru kabineta sēdes protokola Nr.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36</w:t>
            </w: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 xml:space="preserve"> 21.§ 5.punktu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 xml:space="preserve">Ekonomikas ministrijai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tika uzdots </w:t>
            </w: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 xml:space="preserve">līdz 2011.gada 19.augustam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sagatavot</w:t>
            </w: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iesniegt</w:t>
            </w:r>
            <w:r w:rsidRPr="00FB7BEB">
              <w:rPr>
                <w:color w:val="000000" w:themeColor="text1"/>
                <w:sz w:val="24"/>
                <w:szCs w:val="24"/>
                <w:lang w:val="lv-LV"/>
              </w:rPr>
              <w:t xml:space="preserve"> izskatīšanai Ministru kabinetā grozījumus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MK noteikumos Nr.200, lai nodrošinātu atbilstību darbības programmas „Uzņēmējdarbības un inovācijas” papildinājumam.</w:t>
            </w:r>
          </w:p>
        </w:tc>
      </w:tr>
      <w:tr w:rsidR="00537A29" w:rsidRPr="00A144C6" w:rsidTr="00C257B7">
        <w:trPr>
          <w:trHeight w:val="360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B03D28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3. Saistītie politikas ietekmes novērtējumi un pētījumi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B03D28" w:rsidRDefault="00A144C6" w:rsidP="005B5AEF">
            <w:pPr>
              <w:ind w:firstLine="709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Projekts šo jomu neskar.</w:t>
            </w:r>
          </w:p>
        </w:tc>
      </w:tr>
      <w:tr w:rsidR="00BB09C5" w:rsidRPr="006E7625" w:rsidTr="00C257B7">
        <w:trPr>
          <w:trHeight w:val="1068"/>
        </w:trPr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E40BE9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E40BE9">
              <w:rPr>
                <w:rFonts w:eastAsia="Times New Roman"/>
                <w:sz w:val="24"/>
                <w:szCs w:val="24"/>
                <w:lang w:val="lv-LV" w:eastAsia="lv-LV"/>
              </w:rPr>
              <w:t>4. Tiesiskā regulējuma mērķis un būtība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E4131" w:rsidRPr="00E40BE9" w:rsidRDefault="00A144C6" w:rsidP="00BE4131">
            <w:pPr>
              <w:ind w:firstLine="709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bCs/>
                <w:sz w:val="24"/>
                <w:szCs w:val="24"/>
                <w:lang w:val="lv-LV"/>
              </w:rPr>
              <w:t>Noteikumu projekts paredz veikt grozījumus MK noteikumos Nr.200, izdarot šādas izmaiņas:</w:t>
            </w:r>
          </w:p>
          <w:p w:rsidR="00BE4131" w:rsidRPr="00E40BE9" w:rsidRDefault="00A144C6" w:rsidP="00BE4131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bCs/>
                <w:sz w:val="24"/>
                <w:szCs w:val="24"/>
                <w:lang w:val="lv-LV"/>
              </w:rPr>
              <w:t xml:space="preserve">precizēt </w:t>
            </w:r>
            <w:r w:rsidR="00F87207" w:rsidRPr="00E40BE9">
              <w:rPr>
                <w:bCs/>
                <w:sz w:val="24"/>
                <w:szCs w:val="24"/>
                <w:lang w:val="lv-LV"/>
              </w:rPr>
              <w:t xml:space="preserve">MK </w:t>
            </w:r>
            <w:r w:rsidRPr="00E40BE9">
              <w:rPr>
                <w:bCs/>
                <w:sz w:val="24"/>
                <w:szCs w:val="24"/>
                <w:lang w:val="lv-LV"/>
              </w:rPr>
              <w:t>noteikumu</w:t>
            </w:r>
            <w:r w:rsidR="00F87207" w:rsidRPr="00E40BE9">
              <w:rPr>
                <w:bCs/>
                <w:sz w:val="24"/>
                <w:szCs w:val="24"/>
                <w:lang w:val="lv-LV"/>
              </w:rPr>
              <w:t xml:space="preserve"> Nr.200</w:t>
            </w:r>
            <w:r w:rsidRPr="00E40BE9">
              <w:rPr>
                <w:bCs/>
                <w:sz w:val="24"/>
                <w:szCs w:val="24"/>
                <w:lang w:val="lv-LV"/>
              </w:rPr>
              <w:t xml:space="preserve"> nosaukumu, izsakot to šādā redakcijā: „Noteikumi par darbības programmas „Uzņēmējdarbība un inovācijas” papildinājuma 2.1.2.4.aktivitātes „Augstas pievienotās vērtības investīcijas” projektu iesniegumu atlases pirmo kārtu”; </w:t>
            </w:r>
          </w:p>
          <w:p w:rsidR="00BE4131" w:rsidRPr="00E40BE9" w:rsidRDefault="00A144C6" w:rsidP="00BE4131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bCs/>
                <w:sz w:val="24"/>
                <w:szCs w:val="24"/>
                <w:lang w:val="lv-LV"/>
              </w:rPr>
              <w:t xml:space="preserve">noteikt, ka noteikumi nosaka 2.1.2.4.aktivitātes pirmās projektu iesniegumu atlases kārtas īstenošanas kārtību; </w:t>
            </w:r>
          </w:p>
          <w:p w:rsidR="00BE4131" w:rsidRPr="00E40BE9" w:rsidRDefault="00A144C6" w:rsidP="00BE4131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bCs/>
                <w:sz w:val="24"/>
                <w:szCs w:val="24"/>
                <w:lang w:val="lv-LV"/>
              </w:rPr>
              <w:t xml:space="preserve">svītrot atsauces uz turpmāko projektu iesniegumu atlases kārtu organizēšanu; </w:t>
            </w:r>
          </w:p>
          <w:p w:rsidR="00CB6A16" w:rsidRPr="00E40BE9" w:rsidRDefault="00A144C6" w:rsidP="00BE4131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bCs/>
                <w:sz w:val="24"/>
                <w:szCs w:val="24"/>
                <w:lang w:val="lv-LV"/>
              </w:rPr>
              <w:t>aktivitātē pieejamo finansējumu noteikt atbilstošu pirmajā atlases kārtā noslēgto līgumu par projekt</w:t>
            </w:r>
            <w:r w:rsidR="00931177" w:rsidRPr="00E40BE9">
              <w:rPr>
                <w:bCs/>
                <w:sz w:val="24"/>
                <w:szCs w:val="24"/>
                <w:lang w:val="lv-LV"/>
              </w:rPr>
              <w:t>u īstenošanu finansējuma summai;</w:t>
            </w:r>
          </w:p>
          <w:p w:rsidR="00931177" w:rsidRPr="00E40BE9" w:rsidRDefault="00931177" w:rsidP="00931177">
            <w:pPr>
              <w:pStyle w:val="ListParagraph"/>
              <w:numPr>
                <w:ilvl w:val="0"/>
                <w:numId w:val="9"/>
              </w:numPr>
              <w:ind w:left="709" w:hanging="284"/>
              <w:jc w:val="both"/>
              <w:rPr>
                <w:bCs/>
                <w:sz w:val="24"/>
                <w:szCs w:val="24"/>
                <w:lang w:val="lv-LV"/>
              </w:rPr>
            </w:pPr>
            <w:r w:rsidRPr="00E40BE9">
              <w:rPr>
                <w:sz w:val="24"/>
                <w:szCs w:val="24"/>
                <w:lang w:val="lv-LV"/>
              </w:rPr>
              <w:t xml:space="preserve">noteikt, ka neattiecināmi ir </w:t>
            </w:r>
            <w:r w:rsidRPr="00E40BE9">
              <w:rPr>
                <w:color w:val="000000"/>
                <w:sz w:val="24"/>
                <w:szCs w:val="24"/>
                <w:lang w:val="lv-LV"/>
              </w:rPr>
              <w:t xml:space="preserve">projekta īstenošanas laikā radušies papildus izdevumi vai sadārdzinājuma izmaksas. Minētā norma pastiprinās jau MK </w:t>
            </w:r>
            <w:r w:rsidRPr="00E40BE9">
              <w:rPr>
                <w:color w:val="000000"/>
                <w:sz w:val="24"/>
                <w:szCs w:val="24"/>
                <w:lang w:val="lv-LV"/>
              </w:rPr>
              <w:lastRenderedPageBreak/>
              <w:t xml:space="preserve">noteikumos Nr.200 noteikto prasību, ka finansējuma saņēmējs nedrīkst palielināt attiecināmo izmaksu kopsummu un finansējuma apjomu, un attiecīgi ir uzskatāms, ka tā neietekmēs finansējuma saņēmēja tiesisko paļāvību.   </w:t>
            </w:r>
          </w:p>
        </w:tc>
      </w:tr>
      <w:tr w:rsidR="00537A29" w:rsidRPr="00E40BE9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E40BE9" w:rsidRDefault="00537A29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E40BE9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5. Projekta izstrādē iesaistītās institūcijas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0BE9" w:rsidRDefault="00A144C6" w:rsidP="00114D84">
            <w:pPr>
              <w:pStyle w:val="BodyText"/>
              <w:ind w:right="142" w:firstLine="425"/>
              <w:rPr>
                <w:sz w:val="24"/>
                <w:szCs w:val="24"/>
              </w:rPr>
            </w:pPr>
            <w:r w:rsidRPr="00E40BE9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AB248D" w:rsidRPr="00E40BE9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E40BE9" w:rsidRDefault="00AB248D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E40BE9">
              <w:rPr>
                <w:rFonts w:eastAsia="Times New Roman"/>
                <w:sz w:val="24"/>
                <w:szCs w:val="24"/>
                <w:lang w:val="lv-LV" w:eastAsia="lv-LV"/>
              </w:rPr>
              <w:t>6. Iemesli, kādēļ netika nodrošināta sabiedrības līdzdalība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0BE9" w:rsidRDefault="00A144C6" w:rsidP="00114D84">
            <w:pPr>
              <w:pStyle w:val="BodyText"/>
              <w:ind w:right="142" w:firstLine="425"/>
              <w:rPr>
                <w:sz w:val="24"/>
                <w:szCs w:val="24"/>
              </w:rPr>
            </w:pPr>
            <w:r w:rsidRPr="00E40BE9">
              <w:rPr>
                <w:color w:val="000000"/>
                <w:sz w:val="24"/>
                <w:szCs w:val="24"/>
              </w:rPr>
              <w:t>Projekts šo jomu neskar.</w:t>
            </w:r>
          </w:p>
        </w:tc>
      </w:tr>
      <w:tr w:rsidR="00BB09C5" w:rsidRPr="00E40BE9" w:rsidTr="00C257B7">
        <w:tc>
          <w:tcPr>
            <w:tcW w:w="3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E40BE9" w:rsidRDefault="00D07CDB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E40BE9">
              <w:rPr>
                <w:rFonts w:eastAsia="Times New Roman"/>
                <w:sz w:val="24"/>
                <w:szCs w:val="24"/>
                <w:lang w:val="lv-LV" w:eastAsia="lv-LV"/>
              </w:rPr>
              <w:t> 7</w:t>
            </w:r>
            <w:r w:rsidR="00BB09C5" w:rsidRPr="00E40BE9">
              <w:rPr>
                <w:rFonts w:eastAsia="Times New Roman"/>
                <w:sz w:val="24"/>
                <w:szCs w:val="24"/>
                <w:lang w:val="lv-LV" w:eastAsia="lv-LV"/>
              </w:rPr>
              <w:t>. Cita informācija</w:t>
            </w:r>
          </w:p>
        </w:tc>
        <w:tc>
          <w:tcPr>
            <w:tcW w:w="59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E40BE9" w:rsidRDefault="007E5D4D" w:rsidP="00CE5A53">
            <w:pPr>
              <w:jc w:val="both"/>
              <w:rPr>
                <w:sz w:val="24"/>
                <w:szCs w:val="24"/>
                <w:lang w:val="lv-LV"/>
              </w:rPr>
            </w:pPr>
            <w:r w:rsidRPr="00E40BE9">
              <w:rPr>
                <w:sz w:val="24"/>
                <w:szCs w:val="24"/>
                <w:lang w:val="lv-LV"/>
              </w:rPr>
              <w:t>Nav.</w:t>
            </w:r>
          </w:p>
        </w:tc>
      </w:tr>
    </w:tbl>
    <w:p w:rsidR="004B638C" w:rsidRPr="00E40BE9" w:rsidRDefault="004B638C" w:rsidP="00CE5A53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3265"/>
        <w:gridCol w:w="5240"/>
      </w:tblGrid>
      <w:tr w:rsidR="00F621F0" w:rsidRPr="006E7625" w:rsidTr="00C35BF1">
        <w:tc>
          <w:tcPr>
            <w:tcW w:w="9356" w:type="dxa"/>
            <w:gridSpan w:val="3"/>
            <w:vAlign w:val="center"/>
          </w:tcPr>
          <w:p w:rsidR="00F621F0" w:rsidRPr="00E40BE9" w:rsidRDefault="00C82B27" w:rsidP="00471B85">
            <w:pPr>
              <w:pStyle w:val="naisnod"/>
              <w:spacing w:before="0" w:after="0"/>
            </w:pPr>
            <w:r w:rsidRPr="00E40BE9">
              <w:t>II. Tiesību akta projekta ietekme uz sabiedrību</w:t>
            </w:r>
          </w:p>
        </w:tc>
      </w:tr>
      <w:tr w:rsidR="00F621F0" w:rsidRPr="00E40BE9" w:rsidTr="00C35BF1">
        <w:trPr>
          <w:trHeight w:val="467"/>
        </w:trPr>
        <w:tc>
          <w:tcPr>
            <w:tcW w:w="851" w:type="dxa"/>
          </w:tcPr>
          <w:p w:rsidR="00F621F0" w:rsidRPr="00E40BE9" w:rsidRDefault="00C82B27" w:rsidP="00471B85">
            <w:pPr>
              <w:pStyle w:val="naiskr"/>
              <w:spacing w:before="0" w:after="0"/>
            </w:pPr>
            <w:r w:rsidRPr="00E40BE9">
              <w:t>1.</w:t>
            </w:r>
          </w:p>
        </w:tc>
        <w:tc>
          <w:tcPr>
            <w:tcW w:w="3265" w:type="dxa"/>
          </w:tcPr>
          <w:p w:rsidR="007E5D4D" w:rsidRPr="00E40BE9" w:rsidRDefault="00C82B27">
            <w:pPr>
              <w:pStyle w:val="naiskr"/>
              <w:spacing w:before="0" w:after="0"/>
            </w:pPr>
            <w:r w:rsidRPr="00E40BE9">
              <w:t>Sabiedrības mērķgrupa</w:t>
            </w:r>
          </w:p>
        </w:tc>
        <w:tc>
          <w:tcPr>
            <w:tcW w:w="5240" w:type="dxa"/>
          </w:tcPr>
          <w:p w:rsidR="00404E4B" w:rsidRPr="00E40BE9" w:rsidRDefault="00990026" w:rsidP="00114D84">
            <w:pPr>
              <w:pStyle w:val="naiskr"/>
              <w:ind w:firstLine="450"/>
              <w:jc w:val="both"/>
              <w:rPr>
                <w:iCs/>
              </w:rPr>
            </w:pPr>
            <w:r w:rsidRPr="00E40BE9">
              <w:rPr>
                <w:bCs/>
                <w:color w:val="000000"/>
              </w:rPr>
              <w:t>2.1.2.</w:t>
            </w:r>
            <w:r w:rsidR="009C2C6F" w:rsidRPr="00E40BE9">
              <w:rPr>
                <w:bCs/>
                <w:color w:val="000000"/>
              </w:rPr>
              <w:t>4.</w:t>
            </w:r>
            <w:r w:rsidRPr="00E40BE9">
              <w:rPr>
                <w:bCs/>
                <w:color w:val="000000"/>
              </w:rPr>
              <w:t>aktivitātes mērķa grupa</w:t>
            </w:r>
            <w:r w:rsidR="00535FD4" w:rsidRPr="00E40BE9">
              <w:rPr>
                <w:bCs/>
                <w:color w:val="000000"/>
              </w:rPr>
              <w:t xml:space="preserve"> ir</w:t>
            </w:r>
            <w:r w:rsidRPr="00E40BE9">
              <w:rPr>
                <w:bCs/>
                <w:color w:val="000000"/>
              </w:rPr>
              <w:t xml:space="preserve"> </w:t>
            </w:r>
            <w:r w:rsidR="00535FD4" w:rsidRPr="00E40BE9">
              <w:t>komersanti</w:t>
            </w:r>
            <w:r w:rsidR="009C2C6F" w:rsidRPr="00E40BE9">
              <w:t>.</w:t>
            </w:r>
          </w:p>
        </w:tc>
      </w:tr>
      <w:tr w:rsidR="00F621F0" w:rsidRPr="00E40BE9" w:rsidTr="00C35BF1">
        <w:trPr>
          <w:trHeight w:val="523"/>
        </w:trPr>
        <w:tc>
          <w:tcPr>
            <w:tcW w:w="851" w:type="dxa"/>
          </w:tcPr>
          <w:p w:rsidR="00F621F0" w:rsidRPr="00E40BE9" w:rsidRDefault="00C82B27" w:rsidP="00471B85">
            <w:pPr>
              <w:pStyle w:val="naiskr"/>
              <w:spacing w:before="0" w:after="0"/>
            </w:pPr>
            <w:r w:rsidRPr="00E40BE9">
              <w:t>2.</w:t>
            </w:r>
          </w:p>
        </w:tc>
        <w:tc>
          <w:tcPr>
            <w:tcW w:w="3265" w:type="dxa"/>
          </w:tcPr>
          <w:p w:rsidR="007E5D4D" w:rsidRPr="00E40BE9" w:rsidRDefault="00C82B27">
            <w:pPr>
              <w:pStyle w:val="naiskr"/>
              <w:spacing w:before="0" w:after="0"/>
            </w:pPr>
            <w:r w:rsidRPr="00E40BE9">
              <w:t>Citas sabiedrības grupas (bez mērķgrupas), kuras tiesiskais regulējums arī ietekmē vai varētu ietekmēt</w:t>
            </w:r>
          </w:p>
        </w:tc>
        <w:tc>
          <w:tcPr>
            <w:tcW w:w="5240" w:type="dxa"/>
          </w:tcPr>
          <w:p w:rsidR="007E5D4D" w:rsidRPr="00E40BE9" w:rsidRDefault="00A144C6" w:rsidP="00114D84">
            <w:pPr>
              <w:pStyle w:val="naiskr"/>
              <w:spacing w:before="0" w:after="0"/>
              <w:ind w:firstLine="450"/>
              <w:jc w:val="both"/>
            </w:pPr>
            <w:r w:rsidRPr="00E40BE9">
              <w:rPr>
                <w:color w:val="000000"/>
              </w:rPr>
              <w:t>Projekts šo jomu neskar.</w:t>
            </w:r>
          </w:p>
        </w:tc>
      </w:tr>
      <w:tr w:rsidR="00F621F0" w:rsidRPr="006E7625" w:rsidTr="00C35BF1">
        <w:trPr>
          <w:trHeight w:val="517"/>
        </w:trPr>
        <w:tc>
          <w:tcPr>
            <w:tcW w:w="851" w:type="dxa"/>
          </w:tcPr>
          <w:p w:rsidR="00F621F0" w:rsidRPr="00E40BE9" w:rsidRDefault="00C82B27" w:rsidP="00471B85">
            <w:pPr>
              <w:pStyle w:val="naiskr"/>
              <w:spacing w:before="0" w:after="0"/>
            </w:pPr>
            <w:r w:rsidRPr="00E40BE9">
              <w:t>3.</w:t>
            </w:r>
          </w:p>
        </w:tc>
        <w:tc>
          <w:tcPr>
            <w:tcW w:w="3265" w:type="dxa"/>
          </w:tcPr>
          <w:p w:rsidR="007E5D4D" w:rsidRPr="00E40BE9" w:rsidRDefault="00C82B27">
            <w:pPr>
              <w:pStyle w:val="naiskr"/>
              <w:spacing w:before="0" w:after="0"/>
            </w:pPr>
            <w:r w:rsidRPr="00E40BE9">
              <w:t>Tiesiskā regulējuma finansiālā ietekme</w:t>
            </w:r>
          </w:p>
        </w:tc>
        <w:tc>
          <w:tcPr>
            <w:tcW w:w="5240" w:type="dxa"/>
          </w:tcPr>
          <w:p w:rsidR="007E5D4D" w:rsidRPr="00B03D28" w:rsidRDefault="00B40127" w:rsidP="007523CC">
            <w:pPr>
              <w:pStyle w:val="naiskr"/>
              <w:spacing w:before="0" w:after="0"/>
              <w:ind w:firstLine="450"/>
              <w:jc w:val="both"/>
            </w:pPr>
            <w:r w:rsidRPr="00E40BE9">
              <w:t xml:space="preserve">Noteikumu projekts paredz </w:t>
            </w:r>
            <w:r w:rsidR="009C2C6F" w:rsidRPr="00E40BE9">
              <w:t>samazināt</w:t>
            </w:r>
            <w:r w:rsidRPr="00E40BE9">
              <w:t xml:space="preserve"> 2.1.2.</w:t>
            </w:r>
            <w:r w:rsidR="009C2C6F" w:rsidRPr="00E40BE9">
              <w:t>4</w:t>
            </w:r>
            <w:r w:rsidRPr="00E40BE9">
              <w:t>.</w:t>
            </w:r>
            <w:r w:rsidR="009C2C6F" w:rsidRPr="00E40BE9">
              <w:t xml:space="preserve"> </w:t>
            </w:r>
            <w:r w:rsidRPr="00E40BE9">
              <w:t xml:space="preserve">aktivitātes ietvaros pieejamā Eiropas Savienības fondu finansējuma apjomu līdz </w:t>
            </w:r>
            <w:r w:rsidR="007523CC" w:rsidRPr="00E40BE9">
              <w:t>57 506 987</w:t>
            </w:r>
            <w:r w:rsidR="001170A8" w:rsidRPr="00E40BE9">
              <w:t xml:space="preserve"> </w:t>
            </w:r>
            <w:r w:rsidRPr="00E40BE9">
              <w:t>latiem.</w:t>
            </w:r>
          </w:p>
        </w:tc>
      </w:tr>
      <w:tr w:rsidR="00F621F0" w:rsidRPr="006E7625" w:rsidTr="00C35BF1">
        <w:trPr>
          <w:trHeight w:val="517"/>
        </w:trPr>
        <w:tc>
          <w:tcPr>
            <w:tcW w:w="851" w:type="dxa"/>
          </w:tcPr>
          <w:p w:rsidR="00F621F0" w:rsidRPr="00B03D28" w:rsidRDefault="00C82B27" w:rsidP="00471B85">
            <w:pPr>
              <w:pStyle w:val="naiskr"/>
              <w:spacing w:before="0" w:after="0"/>
            </w:pPr>
            <w:r w:rsidRPr="00B03D28">
              <w:t>4.</w:t>
            </w:r>
          </w:p>
        </w:tc>
        <w:tc>
          <w:tcPr>
            <w:tcW w:w="3265" w:type="dxa"/>
          </w:tcPr>
          <w:p w:rsidR="007E5D4D" w:rsidRPr="00B03D28" w:rsidRDefault="00C82B27">
            <w:pPr>
              <w:pStyle w:val="naiskr"/>
              <w:spacing w:before="0" w:after="0"/>
            </w:pPr>
            <w:r w:rsidRPr="00B03D28">
              <w:t>Tiesiskā regulējuma nefinansiālā ietekme</w:t>
            </w:r>
          </w:p>
        </w:tc>
        <w:tc>
          <w:tcPr>
            <w:tcW w:w="5240" w:type="dxa"/>
          </w:tcPr>
          <w:p w:rsidR="007E5D4D" w:rsidRPr="00B03D28" w:rsidRDefault="009C2C6F" w:rsidP="00114D84">
            <w:pPr>
              <w:pStyle w:val="naiskr"/>
              <w:spacing w:before="0" w:after="0"/>
              <w:ind w:firstLine="450"/>
              <w:jc w:val="both"/>
              <w:rPr>
                <w:iCs/>
              </w:rPr>
            </w:pPr>
            <w:r>
              <w:rPr>
                <w:bCs/>
                <w:color w:val="000000"/>
              </w:rPr>
              <w:t>Finansējuma pārdale no</w:t>
            </w:r>
            <w:r w:rsidR="00DC5ABA" w:rsidRPr="00B03D28">
              <w:rPr>
                <w:bCs/>
                <w:color w:val="000000"/>
              </w:rPr>
              <w:t xml:space="preserve"> 2.1.2.</w:t>
            </w:r>
            <w:r>
              <w:rPr>
                <w:bCs/>
                <w:color w:val="000000"/>
              </w:rPr>
              <w:t>4</w:t>
            </w:r>
            <w:r w:rsidR="00DC5ABA" w:rsidRPr="00B03D28">
              <w:rPr>
                <w:bCs/>
                <w:color w:val="000000"/>
              </w:rPr>
              <w:t>.</w:t>
            </w:r>
            <w:r w:rsidRPr="00B03D28">
              <w:rPr>
                <w:bCs/>
                <w:color w:val="000000"/>
              </w:rPr>
              <w:t xml:space="preserve"> </w:t>
            </w:r>
            <w:r w:rsidR="00DC5ABA" w:rsidRPr="00B03D28">
              <w:rPr>
                <w:bCs/>
                <w:color w:val="000000"/>
              </w:rPr>
              <w:t xml:space="preserve">aktivitātes </w:t>
            </w:r>
            <w:r>
              <w:rPr>
                <w:bCs/>
                <w:color w:val="000000"/>
              </w:rPr>
              <w:t>pirmās kārtas u</w:t>
            </w:r>
            <w:r w:rsidR="00441595">
              <w:rPr>
                <w:bCs/>
                <w:color w:val="000000"/>
              </w:rPr>
              <w:t xml:space="preserve">z 2.1.2.4.aktivitātes otro kārtu </w:t>
            </w:r>
            <w:r>
              <w:rPr>
                <w:bCs/>
                <w:color w:val="000000"/>
              </w:rPr>
              <w:t xml:space="preserve">ļaus nodrošināt kopējo aktivitātes mērķa sasniegšanu, vienlaikus uzlabojot un nodrošinot efektīvāku </w:t>
            </w:r>
            <w:r w:rsidR="00F87207">
              <w:rPr>
                <w:bCs/>
                <w:color w:val="000000"/>
              </w:rPr>
              <w:t>projekta iesniedzēju</w:t>
            </w:r>
            <w:r>
              <w:rPr>
                <w:bCs/>
                <w:color w:val="000000"/>
              </w:rPr>
              <w:t xml:space="preserve"> atlases procesu</w:t>
            </w:r>
            <w:r w:rsidR="00F87207">
              <w:rPr>
                <w:bCs/>
                <w:color w:val="000000"/>
              </w:rPr>
              <w:t xml:space="preserve"> un turpmāko aktivitātes īstenošanu</w:t>
            </w:r>
            <w:r>
              <w:rPr>
                <w:bCs/>
                <w:color w:val="000000"/>
              </w:rPr>
              <w:t xml:space="preserve">.  </w:t>
            </w:r>
          </w:p>
        </w:tc>
      </w:tr>
      <w:tr w:rsidR="00F621F0" w:rsidRPr="009C2C6F" w:rsidTr="00C35BF1">
        <w:trPr>
          <w:trHeight w:val="531"/>
        </w:trPr>
        <w:tc>
          <w:tcPr>
            <w:tcW w:w="851" w:type="dxa"/>
          </w:tcPr>
          <w:p w:rsidR="00F621F0" w:rsidRPr="00B03D28" w:rsidRDefault="00C82B27" w:rsidP="00471B85">
            <w:pPr>
              <w:pStyle w:val="naiskr"/>
              <w:spacing w:before="0" w:after="0"/>
            </w:pPr>
            <w:r w:rsidRPr="00B03D28">
              <w:t>5.</w:t>
            </w:r>
          </w:p>
        </w:tc>
        <w:tc>
          <w:tcPr>
            <w:tcW w:w="3265" w:type="dxa"/>
          </w:tcPr>
          <w:p w:rsidR="007E5D4D" w:rsidRPr="00B03D28" w:rsidRDefault="00C82B27">
            <w:pPr>
              <w:pStyle w:val="naiskr"/>
              <w:spacing w:before="0" w:after="0"/>
            </w:pPr>
            <w:r w:rsidRPr="00B03D28">
              <w:t>Administratīvās procedūras raksturojums</w:t>
            </w:r>
          </w:p>
        </w:tc>
        <w:tc>
          <w:tcPr>
            <w:tcW w:w="5240" w:type="dxa"/>
          </w:tcPr>
          <w:p w:rsidR="007E5D4D" w:rsidRPr="00B03D28" w:rsidRDefault="00A144C6" w:rsidP="00114D84">
            <w:pPr>
              <w:pStyle w:val="naiskr"/>
              <w:spacing w:before="0" w:after="0"/>
              <w:ind w:firstLine="450"/>
            </w:pPr>
            <w:r>
              <w:rPr>
                <w:color w:val="000000"/>
              </w:rPr>
              <w:t>Projekts šo jomu neskar.</w:t>
            </w:r>
          </w:p>
        </w:tc>
      </w:tr>
      <w:tr w:rsidR="00F621F0" w:rsidRPr="00B03D28" w:rsidTr="00C35BF1">
        <w:trPr>
          <w:trHeight w:val="357"/>
        </w:trPr>
        <w:tc>
          <w:tcPr>
            <w:tcW w:w="851" w:type="dxa"/>
          </w:tcPr>
          <w:p w:rsidR="00F621F0" w:rsidRPr="00B03D28" w:rsidRDefault="00C82B27" w:rsidP="00471B85">
            <w:pPr>
              <w:pStyle w:val="naiskr"/>
              <w:spacing w:before="0" w:after="0"/>
            </w:pPr>
            <w:r w:rsidRPr="00B03D28">
              <w:t>6.</w:t>
            </w:r>
          </w:p>
        </w:tc>
        <w:tc>
          <w:tcPr>
            <w:tcW w:w="3265" w:type="dxa"/>
          </w:tcPr>
          <w:p w:rsidR="007E5D4D" w:rsidRPr="00B03D28" w:rsidRDefault="00C82B27">
            <w:pPr>
              <w:pStyle w:val="naiskr"/>
              <w:spacing w:before="0" w:after="0"/>
            </w:pPr>
            <w:r w:rsidRPr="00B03D28">
              <w:t>Administratīvo izmaksu monetārs novērtējums</w:t>
            </w:r>
          </w:p>
        </w:tc>
        <w:tc>
          <w:tcPr>
            <w:tcW w:w="5240" w:type="dxa"/>
          </w:tcPr>
          <w:p w:rsidR="007E5D4D" w:rsidRPr="00B03D28" w:rsidRDefault="009C2C6F" w:rsidP="00114D84">
            <w:pPr>
              <w:pStyle w:val="naiskr"/>
              <w:spacing w:before="0" w:after="0"/>
              <w:ind w:firstLine="450"/>
            </w:pPr>
            <w:r>
              <w:rPr>
                <w:color w:val="000000"/>
              </w:rPr>
              <w:t>Projekts šo jomu neskar.</w:t>
            </w:r>
          </w:p>
        </w:tc>
      </w:tr>
      <w:tr w:rsidR="00F621F0" w:rsidRPr="00B03D28" w:rsidTr="00C35BF1">
        <w:trPr>
          <w:trHeight w:val="489"/>
        </w:trPr>
        <w:tc>
          <w:tcPr>
            <w:tcW w:w="851" w:type="dxa"/>
          </w:tcPr>
          <w:p w:rsidR="00F621F0" w:rsidRPr="00B03D28" w:rsidRDefault="00C82B27" w:rsidP="00471B85">
            <w:pPr>
              <w:pStyle w:val="naiskr"/>
              <w:spacing w:before="0" w:after="0"/>
            </w:pPr>
            <w:r w:rsidRPr="00B03D28">
              <w:t>7.</w:t>
            </w:r>
          </w:p>
        </w:tc>
        <w:tc>
          <w:tcPr>
            <w:tcW w:w="3265" w:type="dxa"/>
          </w:tcPr>
          <w:p w:rsidR="007E5D4D" w:rsidRPr="00B03D28" w:rsidRDefault="00C82B27">
            <w:pPr>
              <w:pStyle w:val="naiskr"/>
              <w:spacing w:before="0" w:after="0"/>
            </w:pPr>
            <w:r w:rsidRPr="00B03D28">
              <w:t>Cita informācija</w:t>
            </w:r>
          </w:p>
        </w:tc>
        <w:tc>
          <w:tcPr>
            <w:tcW w:w="5240" w:type="dxa"/>
          </w:tcPr>
          <w:p w:rsidR="007E5D4D" w:rsidRPr="00B03D28" w:rsidRDefault="00C82B27" w:rsidP="00114D84">
            <w:pPr>
              <w:pStyle w:val="naiskr"/>
              <w:spacing w:before="0" w:after="0"/>
              <w:ind w:firstLine="450"/>
            </w:pPr>
            <w:r w:rsidRPr="00B03D28">
              <w:t>Nav.</w:t>
            </w:r>
          </w:p>
        </w:tc>
      </w:tr>
    </w:tbl>
    <w:p w:rsidR="00885AEF" w:rsidRDefault="00885AEF" w:rsidP="00CE5A53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</w:p>
    <w:p w:rsidR="009C2C6F" w:rsidRPr="004106E3" w:rsidRDefault="009C2C6F" w:rsidP="009C2C6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highlight w:val="yellow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17"/>
        <w:gridCol w:w="5670"/>
      </w:tblGrid>
      <w:tr w:rsidR="009C2C6F" w:rsidRPr="006E7625" w:rsidTr="000303A3">
        <w:tc>
          <w:tcPr>
            <w:tcW w:w="9087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9C2C6F" w:rsidRPr="009C2C6F" w:rsidRDefault="009C2C6F" w:rsidP="000303A3">
            <w:pPr>
              <w:ind w:firstLine="720"/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9C2C6F">
              <w:rPr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9C2C6F" w:rsidRPr="006E7625" w:rsidTr="000303A3">
        <w:tc>
          <w:tcPr>
            <w:tcW w:w="3417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C2C6F" w:rsidRPr="009C2C6F" w:rsidRDefault="009C2C6F" w:rsidP="000303A3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9C2C6F">
              <w:rPr>
                <w:sz w:val="24"/>
                <w:szCs w:val="24"/>
                <w:lang w:val="lv-LV" w:eastAsia="lv-LV"/>
              </w:rPr>
              <w:t>1. Nepieciešamie saistītie tiesību aktu projekti</w:t>
            </w:r>
          </w:p>
        </w:tc>
        <w:tc>
          <w:tcPr>
            <w:tcW w:w="5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C2C6F" w:rsidRPr="009C2C6F" w:rsidRDefault="009C2C6F" w:rsidP="00114D84">
            <w:pPr>
              <w:ind w:firstLine="426"/>
              <w:jc w:val="both"/>
              <w:rPr>
                <w:bCs/>
                <w:sz w:val="24"/>
                <w:szCs w:val="24"/>
                <w:lang w:val="lv-LV"/>
              </w:rPr>
            </w:pPr>
            <w:r w:rsidRPr="009C2C6F">
              <w:rPr>
                <w:bCs/>
                <w:sz w:val="24"/>
                <w:szCs w:val="24"/>
                <w:lang w:val="lv-LV"/>
              </w:rPr>
              <w:t xml:space="preserve">Noteikumu projekts ir saistīts Ekonomikas ministrijas sagatavoto Ministru kabineta noteikumu projektu „Noteikumi par darbības programmas </w:t>
            </w:r>
            <w:r w:rsidR="00441595">
              <w:rPr>
                <w:bCs/>
                <w:sz w:val="24"/>
                <w:szCs w:val="24"/>
                <w:lang w:val="lv-LV"/>
              </w:rPr>
              <w:t>„</w:t>
            </w:r>
            <w:r w:rsidRPr="009C2C6F">
              <w:rPr>
                <w:bCs/>
                <w:sz w:val="24"/>
                <w:szCs w:val="24"/>
                <w:lang w:val="lv-LV"/>
              </w:rPr>
              <w:t>Uzņēmējdarbība un inovācijas</w:t>
            </w:r>
            <w:r w:rsidR="00441595">
              <w:rPr>
                <w:bCs/>
                <w:sz w:val="24"/>
                <w:szCs w:val="24"/>
                <w:lang w:val="lv-LV"/>
              </w:rPr>
              <w:t>”</w:t>
            </w:r>
            <w:r w:rsidRPr="009C2C6F">
              <w:rPr>
                <w:bCs/>
                <w:sz w:val="24"/>
                <w:szCs w:val="24"/>
                <w:lang w:val="lv-LV"/>
              </w:rPr>
              <w:t xml:space="preserve"> papildinājuma 2.1.2.4.aktivitātes </w:t>
            </w:r>
            <w:r w:rsidR="00441595">
              <w:rPr>
                <w:bCs/>
                <w:sz w:val="24"/>
                <w:szCs w:val="24"/>
                <w:lang w:val="lv-LV"/>
              </w:rPr>
              <w:t>„</w:t>
            </w:r>
            <w:r w:rsidRPr="009C2C6F">
              <w:rPr>
                <w:bCs/>
                <w:sz w:val="24"/>
                <w:szCs w:val="24"/>
                <w:lang w:val="lv-LV"/>
              </w:rPr>
              <w:t>Augstas pievienotās vērtības investīcijas</w:t>
            </w:r>
            <w:r w:rsidR="00441595">
              <w:rPr>
                <w:bCs/>
                <w:sz w:val="24"/>
                <w:szCs w:val="24"/>
                <w:lang w:val="lv-LV"/>
              </w:rPr>
              <w:t>”</w:t>
            </w:r>
            <w:r w:rsidRPr="009C2C6F">
              <w:rPr>
                <w:bCs/>
                <w:sz w:val="24"/>
                <w:szCs w:val="24"/>
                <w:lang w:val="lv-LV"/>
              </w:rPr>
              <w:t xml:space="preserve"> projektu iesniegumu atlases otro un turpmākajām kārtām”</w:t>
            </w:r>
            <w:r w:rsidR="00441595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  <w:tr w:rsidR="009C2C6F" w:rsidRPr="008A60CE" w:rsidTr="000303A3">
        <w:tc>
          <w:tcPr>
            <w:tcW w:w="3417" w:type="dxa"/>
            <w:tcBorders>
              <w:top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C2C6F" w:rsidRPr="009C2C6F" w:rsidRDefault="009C2C6F" w:rsidP="000303A3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9C2C6F">
              <w:rPr>
                <w:sz w:val="24"/>
                <w:szCs w:val="24"/>
                <w:lang w:val="lv-LV" w:eastAsia="lv-LV"/>
              </w:rPr>
              <w:t>2. Cita informācija</w:t>
            </w:r>
          </w:p>
        </w:tc>
        <w:tc>
          <w:tcPr>
            <w:tcW w:w="5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C2C6F" w:rsidRPr="009C2C6F" w:rsidRDefault="009C2C6F" w:rsidP="00114D84">
            <w:pPr>
              <w:ind w:firstLine="426"/>
              <w:jc w:val="both"/>
              <w:rPr>
                <w:sz w:val="24"/>
                <w:szCs w:val="24"/>
                <w:lang w:val="lv-LV" w:eastAsia="lv-LV"/>
              </w:rPr>
            </w:pPr>
            <w:r w:rsidRPr="009C2C6F">
              <w:rPr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9C2C6F" w:rsidRPr="004106E3" w:rsidRDefault="009C2C6F" w:rsidP="009C2C6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highlight w:val="yellow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5670"/>
      </w:tblGrid>
      <w:tr w:rsidR="00BB09C5" w:rsidRPr="006E7625" w:rsidTr="00B17C2B">
        <w:tc>
          <w:tcPr>
            <w:tcW w:w="9087" w:type="dxa"/>
            <w:gridSpan w:val="2"/>
            <w:hideMark/>
          </w:tcPr>
          <w:p w:rsidR="00BB09C5" w:rsidRPr="00B03D28" w:rsidRDefault="007E5D4D" w:rsidP="00CE5A53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b/>
                <w:sz w:val="24"/>
                <w:szCs w:val="24"/>
                <w:lang w:val="lv-LV"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FF0CB8" w:rsidRPr="006E7625" w:rsidTr="004B638C">
        <w:tc>
          <w:tcPr>
            <w:tcW w:w="3417" w:type="dxa"/>
            <w:hideMark/>
          </w:tcPr>
          <w:p w:rsidR="00FF0CB8" w:rsidRPr="00B03D28" w:rsidRDefault="00FF0CB8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1. Projekta izpildē iesaistītās institūcijas</w:t>
            </w:r>
          </w:p>
        </w:tc>
        <w:tc>
          <w:tcPr>
            <w:tcW w:w="5670" w:type="dxa"/>
            <w:hideMark/>
          </w:tcPr>
          <w:p w:rsidR="00FF0CB8" w:rsidRPr="00FF0CB8" w:rsidRDefault="00FF0CB8" w:rsidP="00952632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F0CB8">
              <w:rPr>
                <w:rFonts w:eastAsia="Times New Roman"/>
                <w:sz w:val="24"/>
                <w:szCs w:val="24"/>
                <w:lang w:val="lv-LV" w:eastAsia="lv-LV"/>
              </w:rPr>
              <w:t>Projekta izpildi nodrošinās valsts aģentūra „Latvijas Investīciju un attīstības aģentūra”.</w:t>
            </w:r>
          </w:p>
        </w:tc>
      </w:tr>
      <w:tr w:rsidR="00FF0CB8" w:rsidRPr="006E7625" w:rsidTr="004B638C">
        <w:tc>
          <w:tcPr>
            <w:tcW w:w="3417" w:type="dxa"/>
            <w:hideMark/>
          </w:tcPr>
          <w:p w:rsidR="00FF0CB8" w:rsidRPr="00B03D28" w:rsidRDefault="00FF0CB8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2. Projekta izpildes ietekme uz pārvaldes funkcijā</w:t>
            </w:r>
          </w:p>
        </w:tc>
        <w:tc>
          <w:tcPr>
            <w:tcW w:w="5670" w:type="dxa"/>
            <w:hideMark/>
          </w:tcPr>
          <w:p w:rsidR="00FF0CB8" w:rsidRPr="00FF0CB8" w:rsidRDefault="00FF0CB8" w:rsidP="00952632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F0CB8">
              <w:rPr>
                <w:rFonts w:eastAsia="Times New Roman"/>
                <w:sz w:val="24"/>
                <w:szCs w:val="24"/>
                <w:lang w:val="lv-LV" w:eastAsia="lv-LV"/>
              </w:rPr>
              <w:t>Projekta izpilde tiks nodrošināta valsts aģentūras „Latvijas Investīciju un attīstības aģentūra” funkciju ietvaros.</w:t>
            </w:r>
          </w:p>
        </w:tc>
      </w:tr>
      <w:tr w:rsidR="00FF0CB8" w:rsidRPr="006E7625" w:rsidTr="004B638C">
        <w:trPr>
          <w:trHeight w:val="930"/>
        </w:trPr>
        <w:tc>
          <w:tcPr>
            <w:tcW w:w="3417" w:type="dxa"/>
            <w:hideMark/>
          </w:tcPr>
          <w:p w:rsidR="00FF0CB8" w:rsidRPr="00B03D28" w:rsidRDefault="00FF0CB8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3. Projekta izpildes ietekme uz pārvaldes institucionālo struktūru. Jaunu institūciju izveide</w:t>
            </w:r>
          </w:p>
        </w:tc>
        <w:tc>
          <w:tcPr>
            <w:tcW w:w="5670" w:type="dxa"/>
            <w:hideMark/>
          </w:tcPr>
          <w:p w:rsidR="00FF0CB8" w:rsidRPr="00FF0CB8" w:rsidRDefault="00FF0CB8" w:rsidP="00952632">
            <w:pPr>
              <w:ind w:firstLine="485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F0CB8">
              <w:rPr>
                <w:rFonts w:eastAsia="Times New Roman"/>
                <w:sz w:val="24"/>
                <w:szCs w:val="24"/>
                <w:lang w:val="lv-LV" w:eastAsia="lv-LV"/>
              </w:rPr>
              <w:t>Netiks radītas jaunas institūcijas, funkcijas tiks izpildītas valsts aģentūras „Latvijas Investīciju un attīstības aģentūra” funkciju ietvaros.</w:t>
            </w:r>
          </w:p>
        </w:tc>
      </w:tr>
      <w:tr w:rsidR="00BB09C5" w:rsidRPr="002D6D3A" w:rsidTr="006113D3">
        <w:trPr>
          <w:trHeight w:val="927"/>
        </w:trPr>
        <w:tc>
          <w:tcPr>
            <w:tcW w:w="3417" w:type="dxa"/>
            <w:hideMark/>
          </w:tcPr>
          <w:p w:rsidR="00BB09C5" w:rsidRPr="00B03D28" w:rsidRDefault="00E07DF2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4. Projekta izpildes ietekmes uz pārvaldes institucionālo struktūru. Esošu institūciju likvidācija</w:t>
            </w:r>
          </w:p>
        </w:tc>
        <w:tc>
          <w:tcPr>
            <w:tcW w:w="5670" w:type="dxa"/>
            <w:hideMark/>
          </w:tcPr>
          <w:p w:rsidR="00004E51" w:rsidRPr="00FF0CB8" w:rsidRDefault="00FF0CB8" w:rsidP="00114D84">
            <w:pPr>
              <w:ind w:firstLine="28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F0CB8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Projekts šo jomu neskar. </w:t>
            </w:r>
          </w:p>
        </w:tc>
      </w:tr>
      <w:tr w:rsidR="00BB09C5" w:rsidRPr="00B03D28" w:rsidTr="004B638C">
        <w:trPr>
          <w:trHeight w:val="912"/>
        </w:trPr>
        <w:tc>
          <w:tcPr>
            <w:tcW w:w="3417" w:type="dxa"/>
            <w:hideMark/>
          </w:tcPr>
          <w:p w:rsidR="00BB09C5" w:rsidRPr="00B03D28" w:rsidRDefault="00E07DF2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5. Projekta izpildes ietekmes uz pārvaldes institucionālo struktūru. Esošu institūciju reorganizācija</w:t>
            </w:r>
          </w:p>
        </w:tc>
        <w:tc>
          <w:tcPr>
            <w:tcW w:w="5670" w:type="dxa"/>
            <w:hideMark/>
          </w:tcPr>
          <w:p w:rsidR="00004E51" w:rsidRPr="00FF0CB8" w:rsidRDefault="00FF0CB8" w:rsidP="00114D84">
            <w:pPr>
              <w:ind w:firstLine="28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F0CB8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Projekts šo jomu neskar. </w:t>
            </w:r>
          </w:p>
        </w:tc>
      </w:tr>
      <w:tr w:rsidR="00BB09C5" w:rsidRPr="00B03D28" w:rsidTr="004B638C">
        <w:tc>
          <w:tcPr>
            <w:tcW w:w="3417" w:type="dxa"/>
            <w:hideMark/>
          </w:tcPr>
          <w:p w:rsidR="00BB09C5" w:rsidRPr="00B03D28" w:rsidRDefault="00E07DF2" w:rsidP="00CE5A53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6</w:t>
            </w:r>
            <w:r w:rsidR="00BB09C5" w:rsidRPr="00B03D28">
              <w:rPr>
                <w:rFonts w:eastAsia="Times New Roman"/>
                <w:sz w:val="24"/>
                <w:szCs w:val="24"/>
                <w:lang w:val="lv-LV" w:eastAsia="lv-LV"/>
              </w:rPr>
              <w:t>. Cita informācija</w:t>
            </w:r>
          </w:p>
        </w:tc>
        <w:tc>
          <w:tcPr>
            <w:tcW w:w="5670" w:type="dxa"/>
            <w:hideMark/>
          </w:tcPr>
          <w:p w:rsidR="00004E51" w:rsidRPr="00B03D28" w:rsidRDefault="007E5D4D" w:rsidP="00114D84">
            <w:pPr>
              <w:ind w:firstLine="284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03D28">
              <w:rPr>
                <w:rFonts w:eastAsia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403EAD" w:rsidRPr="00B03D28" w:rsidRDefault="00403EAD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4B638C" w:rsidRPr="00BF3371" w:rsidRDefault="00BF3371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  <w:r w:rsidRPr="00BF3371">
        <w:rPr>
          <w:b/>
          <w:sz w:val="24"/>
          <w:szCs w:val="24"/>
          <w:lang w:val="lv-LV"/>
        </w:rPr>
        <w:t>Anotācijas III</w:t>
      </w:r>
      <w:r>
        <w:rPr>
          <w:b/>
          <w:sz w:val="24"/>
          <w:szCs w:val="24"/>
          <w:lang w:val="lv-LV"/>
        </w:rPr>
        <w:t>.,</w:t>
      </w:r>
      <w:r w:rsidRPr="00BF3371">
        <w:rPr>
          <w:b/>
          <w:sz w:val="24"/>
          <w:szCs w:val="24"/>
          <w:lang w:val="lv-LV"/>
        </w:rPr>
        <w:t xml:space="preserve"> V</w:t>
      </w:r>
      <w:r>
        <w:rPr>
          <w:b/>
          <w:sz w:val="24"/>
          <w:szCs w:val="24"/>
          <w:lang w:val="lv-LV"/>
        </w:rPr>
        <w:t>.</w:t>
      </w:r>
      <w:r w:rsidR="00400336">
        <w:rPr>
          <w:b/>
          <w:sz w:val="24"/>
          <w:szCs w:val="24"/>
          <w:lang w:val="lv-LV"/>
        </w:rPr>
        <w:t xml:space="preserve"> un</w:t>
      </w:r>
      <w:r w:rsidRPr="00BF3371">
        <w:rPr>
          <w:b/>
          <w:sz w:val="24"/>
          <w:szCs w:val="24"/>
          <w:lang w:val="lv-LV"/>
        </w:rPr>
        <w:t xml:space="preserve"> VI</w:t>
      </w:r>
      <w:r>
        <w:rPr>
          <w:b/>
          <w:sz w:val="24"/>
          <w:szCs w:val="24"/>
          <w:lang w:val="lv-LV"/>
        </w:rPr>
        <w:t>.</w:t>
      </w:r>
      <w:r w:rsidRPr="00BF3371">
        <w:rPr>
          <w:b/>
          <w:sz w:val="24"/>
          <w:szCs w:val="24"/>
          <w:lang w:val="lv-LV"/>
        </w:rPr>
        <w:t xml:space="preserve"> sadaļa – projekts šīs jomas neskar.</w:t>
      </w:r>
    </w:p>
    <w:p w:rsidR="00CE5A53" w:rsidRPr="00BF3371" w:rsidRDefault="00CE5A53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BF3371" w:rsidRPr="00BF3371" w:rsidRDefault="00BF3371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BF3371" w:rsidRPr="00BF3371" w:rsidRDefault="00BF3371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</w:p>
    <w:p w:rsidR="00403EAD" w:rsidRPr="00BF3371" w:rsidRDefault="00C82B27" w:rsidP="00CE5A53">
      <w:pPr>
        <w:tabs>
          <w:tab w:val="left" w:pos="7655"/>
        </w:tabs>
        <w:jc w:val="both"/>
        <w:rPr>
          <w:bCs/>
          <w:sz w:val="24"/>
          <w:szCs w:val="24"/>
          <w:lang w:val="lv-LV"/>
        </w:rPr>
      </w:pPr>
      <w:r w:rsidRPr="00BF3371">
        <w:rPr>
          <w:bCs/>
          <w:sz w:val="24"/>
          <w:szCs w:val="24"/>
          <w:lang w:val="lv-LV"/>
        </w:rPr>
        <w:t>Ekonomikas ministrs</w:t>
      </w:r>
      <w:r w:rsidRPr="00BF3371">
        <w:rPr>
          <w:bCs/>
          <w:sz w:val="24"/>
          <w:szCs w:val="24"/>
          <w:lang w:val="lv-LV"/>
        </w:rPr>
        <w:tab/>
        <w:t>A.Kampars</w:t>
      </w:r>
    </w:p>
    <w:p w:rsidR="00860FDE" w:rsidRPr="00BF3371" w:rsidRDefault="00860FDE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E5A53" w:rsidRPr="00BF3371" w:rsidRDefault="00CE5A53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B638C" w:rsidRPr="00BF3371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B638C" w:rsidRPr="00B03D28" w:rsidRDefault="004B638C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403EAD" w:rsidRPr="00B03D28" w:rsidRDefault="00C82B27" w:rsidP="00CE5A53">
      <w:pPr>
        <w:pStyle w:val="EnvelopeReturn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>Vīza: Valsts sekretār</w:t>
      </w:r>
      <w:r w:rsidR="0054660D" w:rsidRPr="00B03D28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54660D"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  <w:t xml:space="preserve">      </w:t>
      </w:r>
      <w:r w:rsidR="0054660D" w:rsidRPr="00B03D28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BF3371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54660D" w:rsidRPr="00B03D28">
        <w:rPr>
          <w:rFonts w:ascii="Times New Roman" w:hAnsi="Times New Roman"/>
          <w:color w:val="000000"/>
          <w:sz w:val="24"/>
          <w:szCs w:val="24"/>
          <w:lang w:val="lv-LV"/>
        </w:rPr>
        <w:t>J</w:t>
      </w:r>
      <w:r w:rsidRPr="00B03D28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54660D" w:rsidRPr="00B03D28">
        <w:rPr>
          <w:rFonts w:ascii="Times New Roman" w:hAnsi="Times New Roman"/>
          <w:color w:val="000000"/>
          <w:sz w:val="24"/>
          <w:szCs w:val="24"/>
          <w:lang w:val="lv-LV"/>
        </w:rPr>
        <w:t>Pūce</w:t>
      </w:r>
    </w:p>
    <w:p w:rsidR="00403EAD" w:rsidRPr="00B03D28" w:rsidRDefault="00403EAD" w:rsidP="00CE5A53">
      <w:pPr>
        <w:jc w:val="both"/>
        <w:rPr>
          <w:color w:val="000000"/>
          <w:sz w:val="24"/>
          <w:szCs w:val="24"/>
          <w:lang w:val="lv-LV"/>
        </w:rPr>
      </w:pPr>
    </w:p>
    <w:p w:rsidR="00403EAD" w:rsidRPr="00B03D28" w:rsidRDefault="00403EAD" w:rsidP="00CE5A53">
      <w:pPr>
        <w:jc w:val="both"/>
        <w:rPr>
          <w:color w:val="000000"/>
          <w:sz w:val="24"/>
          <w:szCs w:val="24"/>
          <w:lang w:val="lv-LV"/>
        </w:rPr>
      </w:pPr>
    </w:p>
    <w:p w:rsidR="00710EA1" w:rsidRPr="00B03D28" w:rsidRDefault="00710EA1" w:rsidP="00CE5A53">
      <w:pPr>
        <w:jc w:val="both"/>
        <w:rPr>
          <w:color w:val="000000"/>
          <w:sz w:val="24"/>
          <w:szCs w:val="24"/>
          <w:lang w:val="lv-LV"/>
        </w:rPr>
      </w:pPr>
    </w:p>
    <w:p w:rsidR="00710EA1" w:rsidRPr="00B03D28" w:rsidRDefault="00710EA1" w:rsidP="00CE5A53">
      <w:pPr>
        <w:jc w:val="both"/>
        <w:rPr>
          <w:color w:val="000000"/>
          <w:sz w:val="24"/>
          <w:szCs w:val="24"/>
          <w:lang w:val="lv-LV"/>
        </w:rPr>
      </w:pPr>
    </w:p>
    <w:p w:rsidR="00265959" w:rsidRPr="00B03D28" w:rsidRDefault="00265959" w:rsidP="00CE5A53">
      <w:pPr>
        <w:jc w:val="both"/>
        <w:rPr>
          <w:color w:val="000000"/>
          <w:sz w:val="24"/>
          <w:szCs w:val="24"/>
          <w:lang w:val="lv-LV"/>
        </w:rPr>
      </w:pPr>
    </w:p>
    <w:p w:rsidR="005146C9" w:rsidRDefault="006E7625" w:rsidP="00CE5A53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2011.10.13. 9:50</w:t>
      </w:r>
    </w:p>
    <w:p w:rsidR="00D07CDB" w:rsidRPr="00B03D28" w:rsidRDefault="003E1FCB" w:rsidP="00CE5A53">
      <w:pPr>
        <w:jc w:val="both"/>
        <w:rPr>
          <w:color w:val="000000"/>
          <w:lang w:val="lv-LV"/>
        </w:rPr>
      </w:pPr>
      <w:fldSimple w:instr=" NUMWORDS   \* MERGEFORMAT ">
        <w:r w:rsidR="006E7625" w:rsidRPr="006E7625">
          <w:rPr>
            <w:noProof/>
            <w:color w:val="000000"/>
            <w:lang w:val="lv-LV"/>
          </w:rPr>
          <w:t>612</w:t>
        </w:r>
      </w:fldSimple>
    </w:p>
    <w:p w:rsidR="00004E51" w:rsidRPr="00B03D28" w:rsidRDefault="00885AEF" w:rsidP="00CE5A53">
      <w:pPr>
        <w:jc w:val="both"/>
        <w:rPr>
          <w:color w:val="000000"/>
          <w:lang w:val="lv-LV"/>
        </w:rPr>
      </w:pPr>
      <w:r w:rsidRPr="00B03D28">
        <w:rPr>
          <w:color w:val="000000"/>
          <w:lang w:val="lv-LV"/>
        </w:rPr>
        <w:t>Māris Krūmiņš</w:t>
      </w:r>
    </w:p>
    <w:p w:rsidR="00FA1511" w:rsidRPr="00B03D28" w:rsidRDefault="00456ADC" w:rsidP="00CE5A53">
      <w:pPr>
        <w:jc w:val="both"/>
        <w:rPr>
          <w:lang w:val="lv-LV"/>
        </w:rPr>
      </w:pPr>
      <w:r w:rsidRPr="00B03D28">
        <w:rPr>
          <w:color w:val="000000"/>
          <w:lang w:val="lv-LV"/>
        </w:rPr>
        <w:t>67013</w:t>
      </w:r>
      <w:r w:rsidR="00885AEF" w:rsidRPr="00B03D28">
        <w:rPr>
          <w:color w:val="000000"/>
          <w:lang w:val="lv-LV"/>
        </w:rPr>
        <w:t>082</w:t>
      </w:r>
      <w:r w:rsidR="00C852AB" w:rsidRPr="00B03D28">
        <w:rPr>
          <w:color w:val="000000"/>
          <w:lang w:val="lv-LV"/>
        </w:rPr>
        <w:t>,</w:t>
      </w:r>
      <w:r w:rsidR="00492376">
        <w:rPr>
          <w:color w:val="000000"/>
          <w:lang w:val="lv-LV"/>
        </w:rPr>
        <w:t xml:space="preserve"> </w:t>
      </w:r>
      <w:r w:rsidR="00885AEF" w:rsidRPr="00B03D28">
        <w:rPr>
          <w:lang w:val="lv-LV"/>
        </w:rPr>
        <w:t>Maris.Krumins</w:t>
      </w:r>
      <w:r w:rsidR="00C852AB" w:rsidRPr="00B03D28">
        <w:rPr>
          <w:lang w:val="lv-LV"/>
        </w:rPr>
        <w:t>@em.gov.lv</w:t>
      </w:r>
    </w:p>
    <w:sectPr w:rsidR="00FA1511" w:rsidRPr="00B03D28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2E" w:rsidRDefault="00E8342E" w:rsidP="00B014C2">
      <w:r>
        <w:separator/>
      </w:r>
    </w:p>
  </w:endnote>
  <w:endnote w:type="continuationSeparator" w:id="0">
    <w:p w:rsidR="00E8342E" w:rsidRDefault="00E8342E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2C" w:rsidRPr="00A144C6" w:rsidRDefault="003E1FCB" w:rsidP="00A144C6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A144C6" w:rsidRPr="00A144C6">
        <w:rPr>
          <w:noProof/>
        </w:rPr>
        <w:t>EMAnot_</w:t>
      </w:r>
      <w:r w:rsidR="006E7625">
        <w:rPr>
          <w:noProof/>
        </w:rPr>
        <w:t>13</w:t>
      </w:r>
      <w:r w:rsidR="005146C9">
        <w:rPr>
          <w:noProof/>
        </w:rPr>
        <w:t>10</w:t>
      </w:r>
      <w:r w:rsidR="00A144C6" w:rsidRPr="00A144C6">
        <w:rPr>
          <w:noProof/>
        </w:rPr>
        <w:t>11_groz</w:t>
      </w:r>
      <w:r w:rsidR="00053E8C">
        <w:rPr>
          <w:noProof/>
        </w:rPr>
        <w:t>200</w:t>
      </w:r>
    </w:fldSimple>
    <w:r w:rsidR="00A144C6" w:rsidRPr="00A144C6">
      <w:t xml:space="preserve">; </w:t>
    </w:r>
    <w:r w:rsidR="00A144C6" w:rsidRPr="00A144C6">
      <w:rPr>
        <w:lang w:val="lv-LV"/>
      </w:rPr>
      <w:t>Ministru kabineta noteikumu projekta „Grozījumi Ministru kabineta 2009.gada 24.februāra noteikumos Nr.200 „</w:t>
    </w:r>
    <w:r w:rsidR="00A144C6" w:rsidRPr="00A144C6">
      <w:rPr>
        <w:rFonts w:eastAsia="Times New Roman"/>
        <w:bCs/>
        <w:lang w:val="lv-LV" w:eastAsia="lv-LV"/>
      </w:rPr>
      <w:t>Noteikumi par darbības programmas „Uzņēmējdarbība un inovācijas” papildinājuma 2.1.2.4. aktivitāti „Augstas pievienotās vērtības investīcijas””</w:t>
    </w:r>
    <w:r w:rsidR="00A144C6" w:rsidRPr="00A144C6">
      <w:rPr>
        <w:bCs/>
        <w:lang w:val="lv-LV" w:eastAsia="lv-LV"/>
      </w:rPr>
      <w:t>”</w:t>
    </w:r>
    <w:r w:rsidR="00A144C6" w:rsidRPr="00A144C6">
      <w:rPr>
        <w:rFonts w:eastAsia="Times New Roman"/>
        <w:lang w:val="lv-LV" w:eastAsia="lv-LV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2C" w:rsidRPr="00A144C6" w:rsidRDefault="003E1FCB" w:rsidP="003E6D2C">
    <w:pPr>
      <w:jc w:val="both"/>
      <w:outlineLvl w:val="0"/>
      <w:rPr>
        <w:rFonts w:eastAsia="Times New Roman"/>
        <w:lang w:val="lv-LV" w:eastAsia="lv-LV"/>
      </w:rPr>
    </w:pPr>
    <w:fldSimple w:instr=" FILENAME   \* MERGEFORMAT ">
      <w:r w:rsidR="0054660D" w:rsidRPr="00A144C6">
        <w:rPr>
          <w:noProof/>
        </w:rPr>
        <w:t>EMAnot_</w:t>
      </w:r>
      <w:r w:rsidR="006E7625">
        <w:rPr>
          <w:noProof/>
        </w:rPr>
        <w:t>13</w:t>
      </w:r>
      <w:r w:rsidR="005146C9">
        <w:rPr>
          <w:noProof/>
        </w:rPr>
        <w:t>10</w:t>
      </w:r>
      <w:r w:rsidR="00C112CE" w:rsidRPr="00A144C6">
        <w:rPr>
          <w:noProof/>
        </w:rPr>
        <w:t>11</w:t>
      </w:r>
      <w:r w:rsidR="0054660D" w:rsidRPr="00A144C6">
        <w:rPr>
          <w:noProof/>
        </w:rPr>
        <w:t>_groz</w:t>
      </w:r>
      <w:r w:rsidR="00053E8C">
        <w:rPr>
          <w:noProof/>
        </w:rPr>
        <w:t>200</w:t>
      </w:r>
    </w:fldSimple>
    <w:r w:rsidR="000D1257" w:rsidRPr="00A144C6">
      <w:t xml:space="preserve">; </w:t>
    </w:r>
    <w:bookmarkStart w:id="11" w:name="OLE_LINK12"/>
    <w:bookmarkStart w:id="12" w:name="OLE_LINK13"/>
    <w:r w:rsidR="00A144C6" w:rsidRPr="00A144C6">
      <w:rPr>
        <w:lang w:val="lv-LV"/>
      </w:rPr>
      <w:t>Ministru kabineta noteikumu projekta „Grozījumi Ministru kabineta 2009.gada 24.februāra noteikumos Nr.200 „</w:t>
    </w:r>
    <w:r w:rsidR="00A144C6" w:rsidRPr="00A144C6">
      <w:rPr>
        <w:rFonts w:eastAsia="Times New Roman"/>
        <w:bCs/>
        <w:lang w:val="lv-LV" w:eastAsia="lv-LV"/>
      </w:rPr>
      <w:t>Noteikumi par darbības programmas „Uzņēmējdarbība un inovācijas” papildinājuma 2.1.2.4. aktivitāti „Augstas pievienotās vērtības investīcijas””</w:t>
    </w:r>
    <w:r w:rsidR="00A144C6" w:rsidRPr="00A144C6">
      <w:rPr>
        <w:bCs/>
        <w:lang w:val="lv-LV" w:eastAsia="lv-LV"/>
      </w:rPr>
      <w:t>”</w:t>
    </w:r>
    <w:r w:rsidR="00A144C6" w:rsidRPr="00A144C6">
      <w:rPr>
        <w:rFonts w:eastAsia="Times New Roman"/>
        <w:lang w:val="lv-LV" w:eastAsia="lv-LV"/>
      </w:rPr>
      <w:t xml:space="preserve"> sākotnējās ietekmes novērtējuma ziņojums (anotācija)</w:t>
    </w:r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2E" w:rsidRDefault="00E8342E" w:rsidP="00B014C2">
      <w:r>
        <w:separator/>
      </w:r>
    </w:p>
  </w:footnote>
  <w:footnote w:type="continuationSeparator" w:id="0">
    <w:p w:rsidR="00E8342E" w:rsidRDefault="00E8342E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3E1FCB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6E7625">
      <w:rPr>
        <w:noProof/>
        <w:sz w:val="24"/>
        <w:szCs w:val="24"/>
      </w:rPr>
      <w:t>3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07BDC"/>
    <w:multiLevelType w:val="hybridMultilevel"/>
    <w:tmpl w:val="5888F1D4"/>
    <w:lvl w:ilvl="0" w:tplc="387439E4">
      <w:numFmt w:val="bullet"/>
      <w:lvlText w:val="-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26D52"/>
    <w:multiLevelType w:val="hybridMultilevel"/>
    <w:tmpl w:val="5AE0C3F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C5"/>
    <w:rsid w:val="000016AB"/>
    <w:rsid w:val="00004C53"/>
    <w:rsid w:val="00004E51"/>
    <w:rsid w:val="0001186C"/>
    <w:rsid w:val="000158C8"/>
    <w:rsid w:val="0001764D"/>
    <w:rsid w:val="000229E4"/>
    <w:rsid w:val="00025B0A"/>
    <w:rsid w:val="0002603A"/>
    <w:rsid w:val="00026C03"/>
    <w:rsid w:val="0002762A"/>
    <w:rsid w:val="0003046E"/>
    <w:rsid w:val="00036E03"/>
    <w:rsid w:val="000415DE"/>
    <w:rsid w:val="0004167C"/>
    <w:rsid w:val="00047EF5"/>
    <w:rsid w:val="00050EA4"/>
    <w:rsid w:val="00052E89"/>
    <w:rsid w:val="00053E8C"/>
    <w:rsid w:val="00054808"/>
    <w:rsid w:val="000643D5"/>
    <w:rsid w:val="0007058B"/>
    <w:rsid w:val="0007154E"/>
    <w:rsid w:val="000729ED"/>
    <w:rsid w:val="00083227"/>
    <w:rsid w:val="00085E74"/>
    <w:rsid w:val="000921C6"/>
    <w:rsid w:val="0009399C"/>
    <w:rsid w:val="00097583"/>
    <w:rsid w:val="000A434E"/>
    <w:rsid w:val="000A4AED"/>
    <w:rsid w:val="000B0719"/>
    <w:rsid w:val="000B5B40"/>
    <w:rsid w:val="000C2B3A"/>
    <w:rsid w:val="000D0388"/>
    <w:rsid w:val="000D1257"/>
    <w:rsid w:val="000D140B"/>
    <w:rsid w:val="000D16B7"/>
    <w:rsid w:val="000D2F05"/>
    <w:rsid w:val="000D30E0"/>
    <w:rsid w:val="000D4B8D"/>
    <w:rsid w:val="000D72B7"/>
    <w:rsid w:val="000E409F"/>
    <w:rsid w:val="000E4277"/>
    <w:rsid w:val="000F3F4C"/>
    <w:rsid w:val="000F6E9E"/>
    <w:rsid w:val="001002E4"/>
    <w:rsid w:val="00101FE0"/>
    <w:rsid w:val="0010410B"/>
    <w:rsid w:val="001047E8"/>
    <w:rsid w:val="00110E66"/>
    <w:rsid w:val="00113586"/>
    <w:rsid w:val="00114D84"/>
    <w:rsid w:val="00115CC4"/>
    <w:rsid w:val="00115E25"/>
    <w:rsid w:val="001170A8"/>
    <w:rsid w:val="0011745E"/>
    <w:rsid w:val="001226E1"/>
    <w:rsid w:val="001237C7"/>
    <w:rsid w:val="00130C6B"/>
    <w:rsid w:val="00131C62"/>
    <w:rsid w:val="00141EF2"/>
    <w:rsid w:val="00142CBB"/>
    <w:rsid w:val="001507B4"/>
    <w:rsid w:val="00156BF0"/>
    <w:rsid w:val="00157107"/>
    <w:rsid w:val="00166B88"/>
    <w:rsid w:val="001705C0"/>
    <w:rsid w:val="001720E2"/>
    <w:rsid w:val="0017312C"/>
    <w:rsid w:val="001764E7"/>
    <w:rsid w:val="00177A26"/>
    <w:rsid w:val="00177DD5"/>
    <w:rsid w:val="001831F7"/>
    <w:rsid w:val="001871BB"/>
    <w:rsid w:val="00190417"/>
    <w:rsid w:val="00191102"/>
    <w:rsid w:val="00193BE3"/>
    <w:rsid w:val="00195030"/>
    <w:rsid w:val="001973A7"/>
    <w:rsid w:val="001A0D4B"/>
    <w:rsid w:val="001A6894"/>
    <w:rsid w:val="001B3236"/>
    <w:rsid w:val="001B3656"/>
    <w:rsid w:val="001B5F59"/>
    <w:rsid w:val="001B6A67"/>
    <w:rsid w:val="001B6D15"/>
    <w:rsid w:val="001C1BFF"/>
    <w:rsid w:val="001D1BF7"/>
    <w:rsid w:val="001D37CE"/>
    <w:rsid w:val="001D5E9C"/>
    <w:rsid w:val="001D6919"/>
    <w:rsid w:val="001D76FC"/>
    <w:rsid w:val="001E5031"/>
    <w:rsid w:val="001E667B"/>
    <w:rsid w:val="001E7AD3"/>
    <w:rsid w:val="001F02C1"/>
    <w:rsid w:val="001F7479"/>
    <w:rsid w:val="001F7527"/>
    <w:rsid w:val="0020388F"/>
    <w:rsid w:val="00205FEE"/>
    <w:rsid w:val="0021241F"/>
    <w:rsid w:val="00213D6A"/>
    <w:rsid w:val="002167AA"/>
    <w:rsid w:val="00217BC1"/>
    <w:rsid w:val="00222C39"/>
    <w:rsid w:val="00223C20"/>
    <w:rsid w:val="0023085A"/>
    <w:rsid w:val="00230FB6"/>
    <w:rsid w:val="00233657"/>
    <w:rsid w:val="00240CAE"/>
    <w:rsid w:val="00243A9D"/>
    <w:rsid w:val="00247529"/>
    <w:rsid w:val="002507A0"/>
    <w:rsid w:val="00257A14"/>
    <w:rsid w:val="00257EAE"/>
    <w:rsid w:val="00265959"/>
    <w:rsid w:val="0026604A"/>
    <w:rsid w:val="00271DF1"/>
    <w:rsid w:val="002720E3"/>
    <w:rsid w:val="002748FF"/>
    <w:rsid w:val="00277740"/>
    <w:rsid w:val="0028114E"/>
    <w:rsid w:val="00284615"/>
    <w:rsid w:val="0028698C"/>
    <w:rsid w:val="0029015A"/>
    <w:rsid w:val="002A0CEE"/>
    <w:rsid w:val="002A126D"/>
    <w:rsid w:val="002A646A"/>
    <w:rsid w:val="002A7A96"/>
    <w:rsid w:val="002B2588"/>
    <w:rsid w:val="002B4D01"/>
    <w:rsid w:val="002B7140"/>
    <w:rsid w:val="002C0E0E"/>
    <w:rsid w:val="002C20C8"/>
    <w:rsid w:val="002C7CFA"/>
    <w:rsid w:val="002C7E3B"/>
    <w:rsid w:val="002D6D3A"/>
    <w:rsid w:val="002D7773"/>
    <w:rsid w:val="002D7DF1"/>
    <w:rsid w:val="002E0D23"/>
    <w:rsid w:val="002E507C"/>
    <w:rsid w:val="002E6122"/>
    <w:rsid w:val="002E7530"/>
    <w:rsid w:val="002F063C"/>
    <w:rsid w:val="002F2FD6"/>
    <w:rsid w:val="002F423D"/>
    <w:rsid w:val="002F4553"/>
    <w:rsid w:val="002F53BF"/>
    <w:rsid w:val="002F5BBF"/>
    <w:rsid w:val="002F6D2C"/>
    <w:rsid w:val="003000F0"/>
    <w:rsid w:val="00303B7C"/>
    <w:rsid w:val="003108D5"/>
    <w:rsid w:val="00315F0A"/>
    <w:rsid w:val="003205FD"/>
    <w:rsid w:val="00320B71"/>
    <w:rsid w:val="00322A15"/>
    <w:rsid w:val="0032394F"/>
    <w:rsid w:val="00325B53"/>
    <w:rsid w:val="0033352C"/>
    <w:rsid w:val="00335837"/>
    <w:rsid w:val="003372CD"/>
    <w:rsid w:val="003426A6"/>
    <w:rsid w:val="0034284E"/>
    <w:rsid w:val="0034329B"/>
    <w:rsid w:val="003451DA"/>
    <w:rsid w:val="00347805"/>
    <w:rsid w:val="00350552"/>
    <w:rsid w:val="003525FA"/>
    <w:rsid w:val="00355E68"/>
    <w:rsid w:val="0035647E"/>
    <w:rsid w:val="00360437"/>
    <w:rsid w:val="00361D73"/>
    <w:rsid w:val="00361DA6"/>
    <w:rsid w:val="003633B3"/>
    <w:rsid w:val="00363B7B"/>
    <w:rsid w:val="003727B9"/>
    <w:rsid w:val="00374BCF"/>
    <w:rsid w:val="003756B1"/>
    <w:rsid w:val="00375A4C"/>
    <w:rsid w:val="00382BEB"/>
    <w:rsid w:val="00383500"/>
    <w:rsid w:val="00384799"/>
    <w:rsid w:val="003970C6"/>
    <w:rsid w:val="003A2B62"/>
    <w:rsid w:val="003A4736"/>
    <w:rsid w:val="003A5963"/>
    <w:rsid w:val="003C3FA4"/>
    <w:rsid w:val="003C5D28"/>
    <w:rsid w:val="003D6CD4"/>
    <w:rsid w:val="003E0167"/>
    <w:rsid w:val="003E1FCB"/>
    <w:rsid w:val="003E28D2"/>
    <w:rsid w:val="003E2968"/>
    <w:rsid w:val="003E3604"/>
    <w:rsid w:val="003E6CB3"/>
    <w:rsid w:val="003E6D2C"/>
    <w:rsid w:val="003F095C"/>
    <w:rsid w:val="003F464F"/>
    <w:rsid w:val="003F4E09"/>
    <w:rsid w:val="00400336"/>
    <w:rsid w:val="00402B2B"/>
    <w:rsid w:val="00403279"/>
    <w:rsid w:val="00403EAD"/>
    <w:rsid w:val="00404D4B"/>
    <w:rsid w:val="00404E4B"/>
    <w:rsid w:val="004124AF"/>
    <w:rsid w:val="00420FC8"/>
    <w:rsid w:val="0042395B"/>
    <w:rsid w:val="0042472B"/>
    <w:rsid w:val="00425536"/>
    <w:rsid w:val="004260C8"/>
    <w:rsid w:val="0043243D"/>
    <w:rsid w:val="004368B2"/>
    <w:rsid w:val="00436E6A"/>
    <w:rsid w:val="00441595"/>
    <w:rsid w:val="004527EA"/>
    <w:rsid w:val="00456ADC"/>
    <w:rsid w:val="00460A29"/>
    <w:rsid w:val="00465662"/>
    <w:rsid w:val="004657AC"/>
    <w:rsid w:val="00471B85"/>
    <w:rsid w:val="00472755"/>
    <w:rsid w:val="0047316A"/>
    <w:rsid w:val="004775F4"/>
    <w:rsid w:val="004829AD"/>
    <w:rsid w:val="00484C10"/>
    <w:rsid w:val="00485D96"/>
    <w:rsid w:val="004878E3"/>
    <w:rsid w:val="00492376"/>
    <w:rsid w:val="004A19D5"/>
    <w:rsid w:val="004A1A10"/>
    <w:rsid w:val="004A20FA"/>
    <w:rsid w:val="004A3CF2"/>
    <w:rsid w:val="004A7CF9"/>
    <w:rsid w:val="004B3CA5"/>
    <w:rsid w:val="004B638C"/>
    <w:rsid w:val="004C54F0"/>
    <w:rsid w:val="004C7B7E"/>
    <w:rsid w:val="004D4997"/>
    <w:rsid w:val="004D6AC5"/>
    <w:rsid w:val="004E36C8"/>
    <w:rsid w:val="004E5E7D"/>
    <w:rsid w:val="004E7663"/>
    <w:rsid w:val="004E7F2B"/>
    <w:rsid w:val="004F2F91"/>
    <w:rsid w:val="00502E9A"/>
    <w:rsid w:val="005064C9"/>
    <w:rsid w:val="00510235"/>
    <w:rsid w:val="005146C9"/>
    <w:rsid w:val="00517C20"/>
    <w:rsid w:val="00522B62"/>
    <w:rsid w:val="005279FC"/>
    <w:rsid w:val="00531E23"/>
    <w:rsid w:val="00533893"/>
    <w:rsid w:val="0053500F"/>
    <w:rsid w:val="00535FD4"/>
    <w:rsid w:val="00537A29"/>
    <w:rsid w:val="005422C3"/>
    <w:rsid w:val="00542F49"/>
    <w:rsid w:val="00543C3A"/>
    <w:rsid w:val="0054660D"/>
    <w:rsid w:val="005471CA"/>
    <w:rsid w:val="00551B3C"/>
    <w:rsid w:val="00554A7A"/>
    <w:rsid w:val="00556A56"/>
    <w:rsid w:val="00560311"/>
    <w:rsid w:val="00561CB9"/>
    <w:rsid w:val="0056528D"/>
    <w:rsid w:val="00575602"/>
    <w:rsid w:val="00575C67"/>
    <w:rsid w:val="00576B09"/>
    <w:rsid w:val="00580317"/>
    <w:rsid w:val="0058249F"/>
    <w:rsid w:val="0058679B"/>
    <w:rsid w:val="005867C2"/>
    <w:rsid w:val="005867EB"/>
    <w:rsid w:val="005877DA"/>
    <w:rsid w:val="005B1EC4"/>
    <w:rsid w:val="005B29DE"/>
    <w:rsid w:val="005B4178"/>
    <w:rsid w:val="005B4D4E"/>
    <w:rsid w:val="005B5AEF"/>
    <w:rsid w:val="005C03F5"/>
    <w:rsid w:val="005C251D"/>
    <w:rsid w:val="005C3235"/>
    <w:rsid w:val="005C6DDB"/>
    <w:rsid w:val="005D3658"/>
    <w:rsid w:val="005E1B0A"/>
    <w:rsid w:val="005E2C40"/>
    <w:rsid w:val="005E5CE8"/>
    <w:rsid w:val="005F129D"/>
    <w:rsid w:val="005F36F7"/>
    <w:rsid w:val="005F5121"/>
    <w:rsid w:val="005F65CE"/>
    <w:rsid w:val="006056A8"/>
    <w:rsid w:val="00606694"/>
    <w:rsid w:val="006113D3"/>
    <w:rsid w:val="006126A9"/>
    <w:rsid w:val="00613019"/>
    <w:rsid w:val="00616CBC"/>
    <w:rsid w:val="006218A6"/>
    <w:rsid w:val="006224F7"/>
    <w:rsid w:val="006232A1"/>
    <w:rsid w:val="00623730"/>
    <w:rsid w:val="00630367"/>
    <w:rsid w:val="00631039"/>
    <w:rsid w:val="006316BA"/>
    <w:rsid w:val="006349DF"/>
    <w:rsid w:val="00636440"/>
    <w:rsid w:val="006456BB"/>
    <w:rsid w:val="00647FA6"/>
    <w:rsid w:val="00650716"/>
    <w:rsid w:val="00651669"/>
    <w:rsid w:val="006679C7"/>
    <w:rsid w:val="00672A2F"/>
    <w:rsid w:val="00674BA7"/>
    <w:rsid w:val="00676770"/>
    <w:rsid w:val="00681496"/>
    <w:rsid w:val="006910BE"/>
    <w:rsid w:val="00693FAB"/>
    <w:rsid w:val="00696772"/>
    <w:rsid w:val="0069780B"/>
    <w:rsid w:val="006A7638"/>
    <w:rsid w:val="006B1596"/>
    <w:rsid w:val="006B584A"/>
    <w:rsid w:val="006C04B0"/>
    <w:rsid w:val="006C136E"/>
    <w:rsid w:val="006C1797"/>
    <w:rsid w:val="006D0B9B"/>
    <w:rsid w:val="006D1F62"/>
    <w:rsid w:val="006D3A18"/>
    <w:rsid w:val="006D4C40"/>
    <w:rsid w:val="006D69A4"/>
    <w:rsid w:val="006E2C3C"/>
    <w:rsid w:val="006E3C5D"/>
    <w:rsid w:val="006E3F59"/>
    <w:rsid w:val="006E53FC"/>
    <w:rsid w:val="006E67D7"/>
    <w:rsid w:val="006E6F33"/>
    <w:rsid w:val="006E7625"/>
    <w:rsid w:val="006F0C19"/>
    <w:rsid w:val="006F24A8"/>
    <w:rsid w:val="006F56C1"/>
    <w:rsid w:val="006F6E45"/>
    <w:rsid w:val="00700070"/>
    <w:rsid w:val="007058E9"/>
    <w:rsid w:val="0071026C"/>
    <w:rsid w:val="0071061F"/>
    <w:rsid w:val="00710EA1"/>
    <w:rsid w:val="0071224D"/>
    <w:rsid w:val="0071657D"/>
    <w:rsid w:val="007217E4"/>
    <w:rsid w:val="00725107"/>
    <w:rsid w:val="0072668A"/>
    <w:rsid w:val="007278CF"/>
    <w:rsid w:val="007315C5"/>
    <w:rsid w:val="007355DD"/>
    <w:rsid w:val="007363F2"/>
    <w:rsid w:val="00737AB8"/>
    <w:rsid w:val="00741F6A"/>
    <w:rsid w:val="007523CC"/>
    <w:rsid w:val="007543C1"/>
    <w:rsid w:val="007547B1"/>
    <w:rsid w:val="00755A93"/>
    <w:rsid w:val="00760465"/>
    <w:rsid w:val="00767185"/>
    <w:rsid w:val="0077435A"/>
    <w:rsid w:val="007821CF"/>
    <w:rsid w:val="00787BED"/>
    <w:rsid w:val="00794B98"/>
    <w:rsid w:val="007A0D95"/>
    <w:rsid w:val="007A14D0"/>
    <w:rsid w:val="007A1D95"/>
    <w:rsid w:val="007A25F6"/>
    <w:rsid w:val="007A3DB5"/>
    <w:rsid w:val="007A7FC5"/>
    <w:rsid w:val="007B1BE8"/>
    <w:rsid w:val="007B5DBA"/>
    <w:rsid w:val="007C2992"/>
    <w:rsid w:val="007D64E1"/>
    <w:rsid w:val="007D6900"/>
    <w:rsid w:val="007D7613"/>
    <w:rsid w:val="007D7A8A"/>
    <w:rsid w:val="007E34D8"/>
    <w:rsid w:val="007E5D4D"/>
    <w:rsid w:val="007E6FF9"/>
    <w:rsid w:val="007E7623"/>
    <w:rsid w:val="007F0242"/>
    <w:rsid w:val="007F0C15"/>
    <w:rsid w:val="007F65B0"/>
    <w:rsid w:val="00810454"/>
    <w:rsid w:val="00812990"/>
    <w:rsid w:val="00817839"/>
    <w:rsid w:val="00823419"/>
    <w:rsid w:val="0082376A"/>
    <w:rsid w:val="00823CBA"/>
    <w:rsid w:val="008265EF"/>
    <w:rsid w:val="00827407"/>
    <w:rsid w:val="00832642"/>
    <w:rsid w:val="008370D7"/>
    <w:rsid w:val="00843294"/>
    <w:rsid w:val="00845F2C"/>
    <w:rsid w:val="008549AE"/>
    <w:rsid w:val="0085607C"/>
    <w:rsid w:val="00860387"/>
    <w:rsid w:val="00860FDE"/>
    <w:rsid w:val="00862D34"/>
    <w:rsid w:val="008665F2"/>
    <w:rsid w:val="00872146"/>
    <w:rsid w:val="00874C25"/>
    <w:rsid w:val="00877265"/>
    <w:rsid w:val="00877FED"/>
    <w:rsid w:val="00880D7E"/>
    <w:rsid w:val="00885AEF"/>
    <w:rsid w:val="00890831"/>
    <w:rsid w:val="0089090B"/>
    <w:rsid w:val="00891DAA"/>
    <w:rsid w:val="008927D8"/>
    <w:rsid w:val="0089622A"/>
    <w:rsid w:val="008972A4"/>
    <w:rsid w:val="00897C16"/>
    <w:rsid w:val="008A515D"/>
    <w:rsid w:val="008A6918"/>
    <w:rsid w:val="008B6C2F"/>
    <w:rsid w:val="008C37BE"/>
    <w:rsid w:val="008C446D"/>
    <w:rsid w:val="008C47D6"/>
    <w:rsid w:val="008C76E4"/>
    <w:rsid w:val="008C7B79"/>
    <w:rsid w:val="008D0A17"/>
    <w:rsid w:val="008D17E5"/>
    <w:rsid w:val="008D6725"/>
    <w:rsid w:val="008D78FF"/>
    <w:rsid w:val="008D790F"/>
    <w:rsid w:val="008E0248"/>
    <w:rsid w:val="008E2ECE"/>
    <w:rsid w:val="008E45A6"/>
    <w:rsid w:val="008F122D"/>
    <w:rsid w:val="008F48C1"/>
    <w:rsid w:val="008F4C9D"/>
    <w:rsid w:val="008F5394"/>
    <w:rsid w:val="0090048A"/>
    <w:rsid w:val="009032FE"/>
    <w:rsid w:val="0090395A"/>
    <w:rsid w:val="0090449A"/>
    <w:rsid w:val="0090536A"/>
    <w:rsid w:val="009062D3"/>
    <w:rsid w:val="0090670A"/>
    <w:rsid w:val="00906840"/>
    <w:rsid w:val="00906909"/>
    <w:rsid w:val="00911B94"/>
    <w:rsid w:val="00914CB3"/>
    <w:rsid w:val="00916054"/>
    <w:rsid w:val="00916509"/>
    <w:rsid w:val="009243DD"/>
    <w:rsid w:val="0092468A"/>
    <w:rsid w:val="00925417"/>
    <w:rsid w:val="00925C96"/>
    <w:rsid w:val="00927127"/>
    <w:rsid w:val="00931177"/>
    <w:rsid w:val="00932C66"/>
    <w:rsid w:val="009347CA"/>
    <w:rsid w:val="00937618"/>
    <w:rsid w:val="00940388"/>
    <w:rsid w:val="009414BE"/>
    <w:rsid w:val="00944628"/>
    <w:rsid w:val="00944903"/>
    <w:rsid w:val="00945AEE"/>
    <w:rsid w:val="0094732D"/>
    <w:rsid w:val="00953044"/>
    <w:rsid w:val="0095696B"/>
    <w:rsid w:val="00962CEA"/>
    <w:rsid w:val="0096699E"/>
    <w:rsid w:val="009741BB"/>
    <w:rsid w:val="00976DE4"/>
    <w:rsid w:val="00981078"/>
    <w:rsid w:val="00981D69"/>
    <w:rsid w:val="00990026"/>
    <w:rsid w:val="0099344A"/>
    <w:rsid w:val="00995388"/>
    <w:rsid w:val="009967CF"/>
    <w:rsid w:val="009A164D"/>
    <w:rsid w:val="009A38AD"/>
    <w:rsid w:val="009A4789"/>
    <w:rsid w:val="009B0DB2"/>
    <w:rsid w:val="009B2624"/>
    <w:rsid w:val="009B2F66"/>
    <w:rsid w:val="009B4731"/>
    <w:rsid w:val="009B623D"/>
    <w:rsid w:val="009C2C6F"/>
    <w:rsid w:val="009C2CF9"/>
    <w:rsid w:val="009C34B1"/>
    <w:rsid w:val="009C412F"/>
    <w:rsid w:val="009C7064"/>
    <w:rsid w:val="009D10C0"/>
    <w:rsid w:val="009D6B85"/>
    <w:rsid w:val="009E116E"/>
    <w:rsid w:val="009E182A"/>
    <w:rsid w:val="009E1AEA"/>
    <w:rsid w:val="009E2143"/>
    <w:rsid w:val="009E22D0"/>
    <w:rsid w:val="009E2489"/>
    <w:rsid w:val="009E604D"/>
    <w:rsid w:val="009E66C4"/>
    <w:rsid w:val="009E7DF3"/>
    <w:rsid w:val="009F37B4"/>
    <w:rsid w:val="009F5980"/>
    <w:rsid w:val="00A14437"/>
    <w:rsid w:val="00A144C6"/>
    <w:rsid w:val="00A15971"/>
    <w:rsid w:val="00A20A03"/>
    <w:rsid w:val="00A30576"/>
    <w:rsid w:val="00A30F97"/>
    <w:rsid w:val="00A326B1"/>
    <w:rsid w:val="00A34AC6"/>
    <w:rsid w:val="00A419B3"/>
    <w:rsid w:val="00A425FC"/>
    <w:rsid w:val="00A44590"/>
    <w:rsid w:val="00A47339"/>
    <w:rsid w:val="00A47536"/>
    <w:rsid w:val="00A50326"/>
    <w:rsid w:val="00A52BA6"/>
    <w:rsid w:val="00A54D4C"/>
    <w:rsid w:val="00A54E1A"/>
    <w:rsid w:val="00A55C87"/>
    <w:rsid w:val="00A6113D"/>
    <w:rsid w:val="00A6164F"/>
    <w:rsid w:val="00A62C9B"/>
    <w:rsid w:val="00A7667E"/>
    <w:rsid w:val="00A806F1"/>
    <w:rsid w:val="00A92DAD"/>
    <w:rsid w:val="00A963C3"/>
    <w:rsid w:val="00AA46D0"/>
    <w:rsid w:val="00AA5C4F"/>
    <w:rsid w:val="00AA5F61"/>
    <w:rsid w:val="00AB067F"/>
    <w:rsid w:val="00AB248D"/>
    <w:rsid w:val="00AB2498"/>
    <w:rsid w:val="00AB2B93"/>
    <w:rsid w:val="00AB488D"/>
    <w:rsid w:val="00AB5B30"/>
    <w:rsid w:val="00AC0231"/>
    <w:rsid w:val="00AC51C0"/>
    <w:rsid w:val="00AD01D2"/>
    <w:rsid w:val="00AD1A52"/>
    <w:rsid w:val="00AD1A60"/>
    <w:rsid w:val="00AD2F9E"/>
    <w:rsid w:val="00AD452A"/>
    <w:rsid w:val="00AD5849"/>
    <w:rsid w:val="00AE05F1"/>
    <w:rsid w:val="00AE1659"/>
    <w:rsid w:val="00AE51EC"/>
    <w:rsid w:val="00AE52B6"/>
    <w:rsid w:val="00AE6E0C"/>
    <w:rsid w:val="00AF1E99"/>
    <w:rsid w:val="00B014C2"/>
    <w:rsid w:val="00B033B8"/>
    <w:rsid w:val="00B03D28"/>
    <w:rsid w:val="00B166B5"/>
    <w:rsid w:val="00B17C2B"/>
    <w:rsid w:val="00B219DE"/>
    <w:rsid w:val="00B221CA"/>
    <w:rsid w:val="00B23B0C"/>
    <w:rsid w:val="00B26A25"/>
    <w:rsid w:val="00B26E18"/>
    <w:rsid w:val="00B30133"/>
    <w:rsid w:val="00B31842"/>
    <w:rsid w:val="00B37ECA"/>
    <w:rsid w:val="00B40127"/>
    <w:rsid w:val="00B4309E"/>
    <w:rsid w:val="00B45132"/>
    <w:rsid w:val="00B45711"/>
    <w:rsid w:val="00B46611"/>
    <w:rsid w:val="00B5466B"/>
    <w:rsid w:val="00B55CC8"/>
    <w:rsid w:val="00B6151B"/>
    <w:rsid w:val="00B62197"/>
    <w:rsid w:val="00B626F8"/>
    <w:rsid w:val="00B67838"/>
    <w:rsid w:val="00B74BCA"/>
    <w:rsid w:val="00B7774A"/>
    <w:rsid w:val="00B81E82"/>
    <w:rsid w:val="00B8222C"/>
    <w:rsid w:val="00B82499"/>
    <w:rsid w:val="00B85F43"/>
    <w:rsid w:val="00B912E7"/>
    <w:rsid w:val="00B931D1"/>
    <w:rsid w:val="00B97180"/>
    <w:rsid w:val="00BA0A22"/>
    <w:rsid w:val="00BA7293"/>
    <w:rsid w:val="00BB09C5"/>
    <w:rsid w:val="00BB1832"/>
    <w:rsid w:val="00BB4180"/>
    <w:rsid w:val="00BB4E63"/>
    <w:rsid w:val="00BB6516"/>
    <w:rsid w:val="00BB6D20"/>
    <w:rsid w:val="00BC06E8"/>
    <w:rsid w:val="00BC16B4"/>
    <w:rsid w:val="00BC1DE4"/>
    <w:rsid w:val="00BC262B"/>
    <w:rsid w:val="00BC486B"/>
    <w:rsid w:val="00BC4AAD"/>
    <w:rsid w:val="00BC51A3"/>
    <w:rsid w:val="00BC70FB"/>
    <w:rsid w:val="00BD1934"/>
    <w:rsid w:val="00BD22EA"/>
    <w:rsid w:val="00BE0EC8"/>
    <w:rsid w:val="00BE1338"/>
    <w:rsid w:val="00BE4131"/>
    <w:rsid w:val="00BE4892"/>
    <w:rsid w:val="00BF13E2"/>
    <w:rsid w:val="00BF1C29"/>
    <w:rsid w:val="00BF3371"/>
    <w:rsid w:val="00BF599F"/>
    <w:rsid w:val="00C044F2"/>
    <w:rsid w:val="00C04B3F"/>
    <w:rsid w:val="00C0764D"/>
    <w:rsid w:val="00C10877"/>
    <w:rsid w:val="00C10CEA"/>
    <w:rsid w:val="00C112CE"/>
    <w:rsid w:val="00C11C6A"/>
    <w:rsid w:val="00C12C72"/>
    <w:rsid w:val="00C15794"/>
    <w:rsid w:val="00C1663D"/>
    <w:rsid w:val="00C16BBF"/>
    <w:rsid w:val="00C20EF9"/>
    <w:rsid w:val="00C21702"/>
    <w:rsid w:val="00C257B7"/>
    <w:rsid w:val="00C307D2"/>
    <w:rsid w:val="00C31F73"/>
    <w:rsid w:val="00C32F05"/>
    <w:rsid w:val="00C37B14"/>
    <w:rsid w:val="00C40FDA"/>
    <w:rsid w:val="00C43F6F"/>
    <w:rsid w:val="00C51843"/>
    <w:rsid w:val="00C5549D"/>
    <w:rsid w:val="00C7152A"/>
    <w:rsid w:val="00C73791"/>
    <w:rsid w:val="00C82A06"/>
    <w:rsid w:val="00C82B27"/>
    <w:rsid w:val="00C85068"/>
    <w:rsid w:val="00C852AB"/>
    <w:rsid w:val="00CA0B16"/>
    <w:rsid w:val="00CA181C"/>
    <w:rsid w:val="00CA334F"/>
    <w:rsid w:val="00CA4ADF"/>
    <w:rsid w:val="00CA5DE0"/>
    <w:rsid w:val="00CA6526"/>
    <w:rsid w:val="00CA7E59"/>
    <w:rsid w:val="00CB2CB2"/>
    <w:rsid w:val="00CB4D81"/>
    <w:rsid w:val="00CB5D7B"/>
    <w:rsid w:val="00CB6A16"/>
    <w:rsid w:val="00CB7A76"/>
    <w:rsid w:val="00CC69CD"/>
    <w:rsid w:val="00CC76C2"/>
    <w:rsid w:val="00CE09F6"/>
    <w:rsid w:val="00CE46A5"/>
    <w:rsid w:val="00CE5257"/>
    <w:rsid w:val="00CE5A53"/>
    <w:rsid w:val="00CF05DA"/>
    <w:rsid w:val="00CF370C"/>
    <w:rsid w:val="00CF5C7C"/>
    <w:rsid w:val="00D03BE9"/>
    <w:rsid w:val="00D07CDB"/>
    <w:rsid w:val="00D11D2F"/>
    <w:rsid w:val="00D135FA"/>
    <w:rsid w:val="00D16BE8"/>
    <w:rsid w:val="00D17FC9"/>
    <w:rsid w:val="00D215C9"/>
    <w:rsid w:val="00D22F5A"/>
    <w:rsid w:val="00D23AF2"/>
    <w:rsid w:val="00D25DF0"/>
    <w:rsid w:val="00D270A9"/>
    <w:rsid w:val="00D30469"/>
    <w:rsid w:val="00D315BC"/>
    <w:rsid w:val="00D33BC8"/>
    <w:rsid w:val="00D347F4"/>
    <w:rsid w:val="00D402F5"/>
    <w:rsid w:val="00D5184D"/>
    <w:rsid w:val="00D51E6D"/>
    <w:rsid w:val="00D56E5F"/>
    <w:rsid w:val="00D62CCB"/>
    <w:rsid w:val="00D67CD0"/>
    <w:rsid w:val="00D71175"/>
    <w:rsid w:val="00D7256E"/>
    <w:rsid w:val="00D7304B"/>
    <w:rsid w:val="00D74282"/>
    <w:rsid w:val="00D751F5"/>
    <w:rsid w:val="00D77F11"/>
    <w:rsid w:val="00D84793"/>
    <w:rsid w:val="00D97223"/>
    <w:rsid w:val="00DA080E"/>
    <w:rsid w:val="00DA61A3"/>
    <w:rsid w:val="00DA6793"/>
    <w:rsid w:val="00DA7414"/>
    <w:rsid w:val="00DB28DC"/>
    <w:rsid w:val="00DB35ED"/>
    <w:rsid w:val="00DB3BCB"/>
    <w:rsid w:val="00DB41C8"/>
    <w:rsid w:val="00DC406B"/>
    <w:rsid w:val="00DC44CC"/>
    <w:rsid w:val="00DC4C6D"/>
    <w:rsid w:val="00DC5ABA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4AB"/>
    <w:rsid w:val="00DE5D69"/>
    <w:rsid w:val="00DE67FC"/>
    <w:rsid w:val="00DF0637"/>
    <w:rsid w:val="00DF0A7E"/>
    <w:rsid w:val="00DF4F04"/>
    <w:rsid w:val="00DF6B2B"/>
    <w:rsid w:val="00E007C1"/>
    <w:rsid w:val="00E03A78"/>
    <w:rsid w:val="00E07DF2"/>
    <w:rsid w:val="00E10D14"/>
    <w:rsid w:val="00E147E0"/>
    <w:rsid w:val="00E22EBE"/>
    <w:rsid w:val="00E26AAA"/>
    <w:rsid w:val="00E26E54"/>
    <w:rsid w:val="00E374A8"/>
    <w:rsid w:val="00E40BE9"/>
    <w:rsid w:val="00E4147B"/>
    <w:rsid w:val="00E42E89"/>
    <w:rsid w:val="00E45814"/>
    <w:rsid w:val="00E47E61"/>
    <w:rsid w:val="00E53C62"/>
    <w:rsid w:val="00E60458"/>
    <w:rsid w:val="00E65238"/>
    <w:rsid w:val="00E65F36"/>
    <w:rsid w:val="00E65F64"/>
    <w:rsid w:val="00E67992"/>
    <w:rsid w:val="00E70B81"/>
    <w:rsid w:val="00E73425"/>
    <w:rsid w:val="00E76A2A"/>
    <w:rsid w:val="00E77E51"/>
    <w:rsid w:val="00E8342E"/>
    <w:rsid w:val="00E8387C"/>
    <w:rsid w:val="00E83E29"/>
    <w:rsid w:val="00E90C7E"/>
    <w:rsid w:val="00E91702"/>
    <w:rsid w:val="00E93D72"/>
    <w:rsid w:val="00E943FC"/>
    <w:rsid w:val="00E96283"/>
    <w:rsid w:val="00EA2820"/>
    <w:rsid w:val="00EA50BA"/>
    <w:rsid w:val="00EA5412"/>
    <w:rsid w:val="00EA57EF"/>
    <w:rsid w:val="00EB03F5"/>
    <w:rsid w:val="00EB1BE8"/>
    <w:rsid w:val="00EB263C"/>
    <w:rsid w:val="00EC2AD9"/>
    <w:rsid w:val="00EC59C9"/>
    <w:rsid w:val="00EC5C1C"/>
    <w:rsid w:val="00ED29AD"/>
    <w:rsid w:val="00ED377B"/>
    <w:rsid w:val="00EE1948"/>
    <w:rsid w:val="00EE2B7B"/>
    <w:rsid w:val="00EE424E"/>
    <w:rsid w:val="00EE4FC3"/>
    <w:rsid w:val="00EF0674"/>
    <w:rsid w:val="00EF26A5"/>
    <w:rsid w:val="00EF335B"/>
    <w:rsid w:val="00EF662A"/>
    <w:rsid w:val="00EF6E5B"/>
    <w:rsid w:val="00EF7A99"/>
    <w:rsid w:val="00EF7D9D"/>
    <w:rsid w:val="00F010E4"/>
    <w:rsid w:val="00F067B2"/>
    <w:rsid w:val="00F103C0"/>
    <w:rsid w:val="00F15932"/>
    <w:rsid w:val="00F210C4"/>
    <w:rsid w:val="00F213B5"/>
    <w:rsid w:val="00F23B1B"/>
    <w:rsid w:val="00F24674"/>
    <w:rsid w:val="00F25271"/>
    <w:rsid w:val="00F258DB"/>
    <w:rsid w:val="00F27161"/>
    <w:rsid w:val="00F3042A"/>
    <w:rsid w:val="00F34F76"/>
    <w:rsid w:val="00F35826"/>
    <w:rsid w:val="00F4498B"/>
    <w:rsid w:val="00F45FC6"/>
    <w:rsid w:val="00F53491"/>
    <w:rsid w:val="00F53820"/>
    <w:rsid w:val="00F541AD"/>
    <w:rsid w:val="00F54C76"/>
    <w:rsid w:val="00F621F0"/>
    <w:rsid w:val="00F6350C"/>
    <w:rsid w:val="00F6526D"/>
    <w:rsid w:val="00F73226"/>
    <w:rsid w:val="00F73CBA"/>
    <w:rsid w:val="00F73E4D"/>
    <w:rsid w:val="00F74837"/>
    <w:rsid w:val="00F768B2"/>
    <w:rsid w:val="00F80221"/>
    <w:rsid w:val="00F86808"/>
    <w:rsid w:val="00F87207"/>
    <w:rsid w:val="00F93338"/>
    <w:rsid w:val="00F942CC"/>
    <w:rsid w:val="00F94B10"/>
    <w:rsid w:val="00F9656B"/>
    <w:rsid w:val="00FA1511"/>
    <w:rsid w:val="00FA2035"/>
    <w:rsid w:val="00FA3614"/>
    <w:rsid w:val="00FA6053"/>
    <w:rsid w:val="00FA6507"/>
    <w:rsid w:val="00FB1448"/>
    <w:rsid w:val="00FB2469"/>
    <w:rsid w:val="00FC1889"/>
    <w:rsid w:val="00FC4CC7"/>
    <w:rsid w:val="00FC6E18"/>
    <w:rsid w:val="00FD42A6"/>
    <w:rsid w:val="00FF0CB8"/>
    <w:rsid w:val="00FF54DF"/>
    <w:rsid w:val="00FF5C7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BF43BC-270F-4945-A3D8-DFD4DB2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623</Words>
  <Characters>4680</Characters>
  <Application>Microsoft Office Word</Application>
  <DocSecurity>0</DocSecurity>
  <Lines>173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31.marta noteikumos Nr.293 „Noteikumi par darbības programmas "Cilvēkresursi un nodarbinātība" papildinājuma 1.3.1.2.aktivitāti "Atbalsts pašnodarbinātības un uzņēmējdarbības uzsā</vt:lpstr>
    </vt:vector>
  </TitlesOfParts>
  <Company>LR Ekonomikas ministrija</Company>
  <LinksUpToDate>false</LinksUpToDate>
  <CharactersWithSpaces>5224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24.februāra noteikumos Nr.200 „Noteikumi par darbības programmas „Uzņēmējdarbība un inovācijas” papildinājuma 2.1.2.4. aktivitāti „Augstas pievienotās vērtības investīcijas””” sākotnējās ietekmes novērtējuma ziņojums (anotācija)</dc:title>
  <dc:subject>Anotācija</dc:subject>
  <dc:creator>Māris Krūmiņš</dc:creator>
  <dc:description>Maris.Krumins@em.gov.lv, 67013082</dc:description>
  <cp:lastModifiedBy>kruminsM</cp:lastModifiedBy>
  <cp:revision>56</cp:revision>
  <cp:lastPrinted>2010-03-29T10:15:00Z</cp:lastPrinted>
  <dcterms:created xsi:type="dcterms:W3CDTF">2010-12-25T15:54:00Z</dcterms:created>
  <dcterms:modified xsi:type="dcterms:W3CDTF">2011-10-13T06:50:00Z</dcterms:modified>
</cp:coreProperties>
</file>