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E69" w:rsidRPr="00535E69" w:rsidRDefault="00535E69" w:rsidP="00535E69">
      <w:pPr>
        <w:spacing w:after="0" w:line="240" w:lineRule="auto"/>
        <w:contextualSpacing/>
        <w:jc w:val="center"/>
        <w:outlineLvl w:val="0"/>
        <w:rPr>
          <w:rFonts w:ascii="Times New Roman" w:hAnsi="Times New Roman"/>
          <w:b/>
          <w:color w:val="000000" w:themeColor="text1"/>
          <w:sz w:val="24"/>
          <w:szCs w:val="24"/>
        </w:rPr>
      </w:pPr>
      <w:bookmarkStart w:id="0" w:name="_GoBack"/>
      <w:bookmarkEnd w:id="0"/>
      <w:r w:rsidRPr="00412555">
        <w:rPr>
          <w:rFonts w:ascii="Times New Roman" w:hAnsi="Times New Roman"/>
          <w:b/>
          <w:color w:val="000000" w:themeColor="text1"/>
          <w:sz w:val="24"/>
          <w:szCs w:val="24"/>
        </w:rPr>
        <w:t xml:space="preserve">Ministru kabineta noteikumu </w:t>
      </w:r>
      <w:r w:rsidR="00844388">
        <w:rPr>
          <w:rFonts w:ascii="Times New Roman" w:hAnsi="Times New Roman"/>
          <w:b/>
          <w:color w:val="000000" w:themeColor="text1"/>
          <w:sz w:val="24"/>
          <w:szCs w:val="24"/>
        </w:rPr>
        <w:t>projekta „Grozījumi Ministru kabineta 2011.gada 29.novembra noteikumos Nr.914</w:t>
      </w:r>
      <w:r w:rsidR="00206A03" w:rsidRPr="00412555">
        <w:rPr>
          <w:rFonts w:ascii="Times New Roman" w:hAnsi="Times New Roman"/>
          <w:b/>
          <w:color w:val="000000" w:themeColor="text1"/>
          <w:sz w:val="24"/>
          <w:szCs w:val="24"/>
        </w:rPr>
        <w:t xml:space="preserve"> </w:t>
      </w:r>
      <w:r w:rsidRPr="00412555">
        <w:rPr>
          <w:rFonts w:ascii="Times New Roman" w:hAnsi="Times New Roman"/>
          <w:b/>
          <w:color w:val="000000" w:themeColor="text1"/>
          <w:sz w:val="24"/>
          <w:szCs w:val="24"/>
        </w:rPr>
        <w:t>„Elektroenerģijas tirdzniecības un lietošanas noteikumi”</w:t>
      </w:r>
      <w:r w:rsidR="00844388">
        <w:rPr>
          <w:rFonts w:ascii="Times New Roman" w:hAnsi="Times New Roman"/>
          <w:b/>
          <w:color w:val="000000" w:themeColor="text1"/>
          <w:sz w:val="24"/>
          <w:szCs w:val="24"/>
        </w:rPr>
        <w:t>”</w:t>
      </w:r>
      <w:r w:rsidRPr="00412555">
        <w:rPr>
          <w:rFonts w:ascii="Times New Roman" w:hAnsi="Times New Roman"/>
          <w:b/>
          <w:color w:val="000000" w:themeColor="text1"/>
          <w:sz w:val="24"/>
          <w:szCs w:val="24"/>
        </w:rPr>
        <w:t xml:space="preserve"> sākotnējās ietekmes </w:t>
      </w:r>
      <w:r w:rsidRPr="00535E69">
        <w:rPr>
          <w:rFonts w:ascii="Times New Roman" w:hAnsi="Times New Roman"/>
          <w:b/>
          <w:color w:val="000000" w:themeColor="text1"/>
          <w:sz w:val="24"/>
          <w:szCs w:val="24"/>
        </w:rPr>
        <w:t>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574"/>
        <w:gridCol w:w="6601"/>
      </w:tblGrid>
      <w:tr w:rsidR="007C40CB" w:rsidRPr="00A12A32" w:rsidTr="001B0457">
        <w:tc>
          <w:tcPr>
            <w:tcW w:w="9725" w:type="dxa"/>
            <w:gridSpan w:val="3"/>
            <w:vAlign w:val="center"/>
          </w:tcPr>
          <w:p w:rsidR="007C40CB" w:rsidRPr="00A12A32" w:rsidRDefault="007C40CB" w:rsidP="001B0457">
            <w:pPr>
              <w:pStyle w:val="naisnod"/>
              <w:spacing w:before="0" w:after="0"/>
              <w:rPr>
                <w:color w:val="000000" w:themeColor="text1"/>
              </w:rPr>
            </w:pPr>
            <w:r w:rsidRPr="00A12A32">
              <w:rPr>
                <w:color w:val="000000" w:themeColor="text1"/>
              </w:rPr>
              <w:t>I. Tiesību akta projekta izstrādes nepieciešamība</w:t>
            </w:r>
          </w:p>
        </w:tc>
      </w:tr>
      <w:tr w:rsidR="007C40CB" w:rsidRPr="00A12A32" w:rsidTr="00606F99">
        <w:trPr>
          <w:trHeight w:val="2678"/>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1.</w:t>
            </w:r>
          </w:p>
        </w:tc>
        <w:tc>
          <w:tcPr>
            <w:tcW w:w="2574" w:type="dxa"/>
          </w:tcPr>
          <w:p w:rsidR="007C40CB" w:rsidRPr="00A12A32" w:rsidRDefault="007C40CB" w:rsidP="001B0457">
            <w:pPr>
              <w:pStyle w:val="naiskr"/>
              <w:spacing w:before="0" w:after="0"/>
              <w:ind w:hanging="10"/>
              <w:rPr>
                <w:color w:val="000000" w:themeColor="text1"/>
              </w:rPr>
            </w:pPr>
            <w:r w:rsidRPr="00A12A32">
              <w:rPr>
                <w:color w:val="000000" w:themeColor="text1"/>
              </w:rPr>
              <w:t>Pamatojums</w:t>
            </w:r>
          </w:p>
        </w:tc>
        <w:tc>
          <w:tcPr>
            <w:tcW w:w="6601" w:type="dxa"/>
          </w:tcPr>
          <w:p w:rsidR="00535E69" w:rsidRPr="00294714" w:rsidRDefault="00535E69" w:rsidP="00606F99">
            <w:pPr>
              <w:spacing w:after="120" w:line="240" w:lineRule="auto"/>
              <w:jc w:val="both"/>
              <w:rPr>
                <w:rFonts w:ascii="Times New Roman" w:hAnsi="Times New Roman"/>
                <w:color w:val="000000" w:themeColor="text1"/>
                <w:sz w:val="24"/>
                <w:szCs w:val="24"/>
              </w:rPr>
            </w:pPr>
            <w:r w:rsidRPr="00294714">
              <w:rPr>
                <w:rFonts w:ascii="Times New Roman" w:hAnsi="Times New Roman"/>
                <w:color w:val="000000" w:themeColor="text1"/>
                <w:sz w:val="24"/>
                <w:szCs w:val="24"/>
              </w:rPr>
              <w:t>Mini</w:t>
            </w:r>
            <w:r w:rsidR="00412555" w:rsidRPr="00294714">
              <w:rPr>
                <w:rFonts w:ascii="Times New Roman" w:hAnsi="Times New Roman"/>
                <w:color w:val="000000" w:themeColor="text1"/>
                <w:sz w:val="24"/>
                <w:szCs w:val="24"/>
              </w:rPr>
              <w:t>stru kabineta noteikumu projekt</w:t>
            </w:r>
            <w:r w:rsidR="008A7906" w:rsidRPr="00294714">
              <w:rPr>
                <w:rFonts w:ascii="Times New Roman" w:hAnsi="Times New Roman"/>
                <w:color w:val="000000" w:themeColor="text1"/>
                <w:sz w:val="24"/>
                <w:szCs w:val="24"/>
              </w:rPr>
              <w:t>s</w:t>
            </w:r>
            <w:r w:rsidR="00412555" w:rsidRPr="00294714">
              <w:rPr>
                <w:rFonts w:ascii="Times New Roman" w:hAnsi="Times New Roman"/>
                <w:color w:val="000000" w:themeColor="text1"/>
                <w:sz w:val="24"/>
                <w:szCs w:val="24"/>
              </w:rPr>
              <w:t xml:space="preserve"> </w:t>
            </w:r>
            <w:r w:rsidRPr="00294714">
              <w:rPr>
                <w:rFonts w:ascii="Times New Roman" w:hAnsi="Times New Roman"/>
                <w:color w:val="000000" w:themeColor="text1"/>
                <w:sz w:val="24"/>
                <w:szCs w:val="24"/>
              </w:rPr>
              <w:t>„Elektroenerģijas tirdzniecības un lietošanas noteikumi” (turpmāk – noteikumu projekts) ir izstrādāts, pamatojoties uz Elektroenerģijas tirgus likuma 30.</w:t>
            </w:r>
            <w:r w:rsidRPr="00294714">
              <w:rPr>
                <w:rFonts w:ascii="Times New Roman" w:hAnsi="Times New Roman"/>
                <w:color w:val="000000" w:themeColor="text1"/>
                <w:sz w:val="24"/>
                <w:szCs w:val="24"/>
                <w:vertAlign w:val="superscript"/>
              </w:rPr>
              <w:t>1</w:t>
            </w:r>
            <w:r w:rsidRPr="00294714">
              <w:rPr>
                <w:rFonts w:ascii="Times New Roman" w:hAnsi="Times New Roman"/>
                <w:color w:val="000000" w:themeColor="text1"/>
                <w:sz w:val="24"/>
                <w:szCs w:val="24"/>
              </w:rPr>
              <w:t xml:space="preserve"> panta </w:t>
            </w:r>
            <w:r w:rsidR="00490E7E" w:rsidRPr="00294714">
              <w:rPr>
                <w:rFonts w:ascii="Times New Roman" w:hAnsi="Times New Roman"/>
                <w:color w:val="000000" w:themeColor="text1"/>
                <w:sz w:val="24"/>
                <w:szCs w:val="24"/>
              </w:rPr>
              <w:t>ceturtajā</w:t>
            </w:r>
            <w:r w:rsidR="00606F99" w:rsidRPr="00294714">
              <w:rPr>
                <w:rFonts w:ascii="Times New Roman" w:hAnsi="Times New Roman"/>
                <w:color w:val="000000" w:themeColor="text1"/>
                <w:sz w:val="24"/>
                <w:szCs w:val="24"/>
              </w:rPr>
              <w:t xml:space="preserve"> daļā</w:t>
            </w:r>
            <w:r w:rsidR="00DE42D1" w:rsidRPr="00294714">
              <w:rPr>
                <w:rFonts w:ascii="Times New Roman" w:hAnsi="Times New Roman"/>
                <w:color w:val="000000" w:themeColor="text1"/>
                <w:sz w:val="24"/>
                <w:szCs w:val="24"/>
              </w:rPr>
              <w:t>, kā arī</w:t>
            </w:r>
            <w:r w:rsidR="00A20271" w:rsidRPr="00294714">
              <w:rPr>
                <w:rFonts w:ascii="Times New Roman" w:hAnsi="Times New Roman"/>
                <w:color w:val="000000" w:themeColor="text1"/>
                <w:sz w:val="24"/>
                <w:szCs w:val="24"/>
              </w:rPr>
              <w:t xml:space="preserve"> </w:t>
            </w:r>
            <w:r w:rsidR="009E28FD" w:rsidRPr="00294714">
              <w:rPr>
                <w:rFonts w:ascii="Times New Roman" w:hAnsi="Times New Roman"/>
                <w:color w:val="000000" w:themeColor="text1"/>
                <w:sz w:val="24"/>
                <w:szCs w:val="24"/>
              </w:rPr>
              <w:t xml:space="preserve">35.panta </w:t>
            </w:r>
            <w:r w:rsidR="00490E7E" w:rsidRPr="00294714">
              <w:rPr>
                <w:rFonts w:ascii="Times New Roman" w:hAnsi="Times New Roman"/>
                <w:color w:val="000000" w:themeColor="text1"/>
                <w:sz w:val="24"/>
                <w:szCs w:val="24"/>
              </w:rPr>
              <w:t>otrajā</w:t>
            </w:r>
            <w:r w:rsidR="00CA0741" w:rsidRPr="00294714">
              <w:rPr>
                <w:rFonts w:ascii="Times New Roman" w:hAnsi="Times New Roman"/>
                <w:color w:val="000000" w:themeColor="text1"/>
                <w:sz w:val="24"/>
                <w:szCs w:val="24"/>
              </w:rPr>
              <w:t xml:space="preserve"> daļā doto deleģējumu</w:t>
            </w:r>
            <w:r w:rsidR="00490E7E" w:rsidRPr="00294714">
              <w:rPr>
                <w:rFonts w:ascii="Times New Roman" w:hAnsi="Times New Roman"/>
                <w:color w:val="000000" w:themeColor="text1"/>
                <w:sz w:val="24"/>
                <w:szCs w:val="24"/>
              </w:rPr>
              <w:t>.</w:t>
            </w:r>
          </w:p>
          <w:p w:rsidR="004D131C" w:rsidRDefault="00197286" w:rsidP="00CA0741">
            <w:pPr>
              <w:spacing w:after="120" w:line="240" w:lineRule="auto"/>
              <w:jc w:val="both"/>
              <w:rPr>
                <w:rFonts w:ascii="Times New Roman" w:hAnsi="Times New Roman"/>
                <w:color w:val="000000" w:themeColor="text1"/>
                <w:sz w:val="24"/>
                <w:szCs w:val="24"/>
              </w:rPr>
            </w:pPr>
            <w:r w:rsidRPr="00294714">
              <w:rPr>
                <w:rFonts w:ascii="Times New Roman" w:hAnsi="Times New Roman"/>
                <w:color w:val="000000" w:themeColor="text1"/>
                <w:sz w:val="24"/>
                <w:szCs w:val="24"/>
              </w:rPr>
              <w:t>2013. gada 29.oktobrī ir</w:t>
            </w:r>
            <w:r w:rsidRPr="000D2B94">
              <w:rPr>
                <w:rFonts w:ascii="Times New Roman" w:hAnsi="Times New Roman"/>
                <w:color w:val="000000" w:themeColor="text1"/>
                <w:sz w:val="24"/>
                <w:szCs w:val="24"/>
              </w:rPr>
              <w:t xml:space="preserve"> izsludināts likums „Grozījumu Elektroenerģijas tirgus likumā”, un   Elektroenerģijas tirgus likuma  pārejas noteikumu 28.punktā tika noteikts, ka Ministru kabinets līdz 2014.gada 1.janvārim izdod šā likuma 30.</w:t>
            </w:r>
            <w:r w:rsidRPr="000D2B94">
              <w:rPr>
                <w:rFonts w:ascii="Times New Roman" w:hAnsi="Times New Roman"/>
                <w:color w:val="000000" w:themeColor="text1"/>
                <w:sz w:val="24"/>
                <w:szCs w:val="24"/>
                <w:vertAlign w:val="superscript"/>
              </w:rPr>
              <w:t>1</w:t>
            </w:r>
            <w:r w:rsidRPr="000D2B94">
              <w:rPr>
                <w:rFonts w:ascii="Times New Roman" w:hAnsi="Times New Roman"/>
                <w:color w:val="000000" w:themeColor="text1"/>
                <w:sz w:val="24"/>
                <w:szCs w:val="24"/>
              </w:rPr>
              <w:t xml:space="preserve"> panta ceturtajā daļā minētos noteikumus.</w:t>
            </w:r>
          </w:p>
          <w:p w:rsidR="00490E7E" w:rsidRPr="005F4485" w:rsidRDefault="00490E7E" w:rsidP="009E2BC6">
            <w:pPr>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w:t>
            </w:r>
            <w:r w:rsidRPr="00490E7E">
              <w:rPr>
                <w:rFonts w:ascii="Times New Roman" w:hAnsi="Times New Roman"/>
                <w:color w:val="000000" w:themeColor="text1"/>
                <w:sz w:val="24"/>
                <w:szCs w:val="24"/>
              </w:rPr>
              <w:t>ikumprojekt</w:t>
            </w:r>
            <w:r w:rsidR="009E2BC6">
              <w:rPr>
                <w:rFonts w:ascii="Times New Roman" w:hAnsi="Times New Roman"/>
                <w:color w:val="000000" w:themeColor="text1"/>
                <w:sz w:val="24"/>
                <w:szCs w:val="24"/>
              </w:rPr>
              <w:t>s</w:t>
            </w:r>
            <w:r w:rsidRPr="00490E7E">
              <w:rPr>
                <w:rFonts w:ascii="Times New Roman" w:hAnsi="Times New Roman"/>
                <w:color w:val="000000" w:themeColor="text1"/>
                <w:sz w:val="24"/>
                <w:szCs w:val="24"/>
              </w:rPr>
              <w:t xml:space="preserve"> „Grozījumi Elektroenerģijas tirgus likumā” (turpmāk - Likumprojekts), kas spēkā stāsies 2014. gada 1. </w:t>
            </w:r>
            <w:r>
              <w:rPr>
                <w:rFonts w:ascii="Times New Roman" w:hAnsi="Times New Roman"/>
                <w:color w:val="000000" w:themeColor="text1"/>
                <w:sz w:val="24"/>
                <w:szCs w:val="24"/>
              </w:rPr>
              <w:t>j</w:t>
            </w:r>
            <w:r w:rsidRPr="00490E7E">
              <w:rPr>
                <w:rFonts w:ascii="Times New Roman" w:hAnsi="Times New Roman"/>
                <w:color w:val="000000" w:themeColor="text1"/>
                <w:sz w:val="24"/>
                <w:szCs w:val="24"/>
              </w:rPr>
              <w:t>anvārī</w:t>
            </w:r>
            <w:r>
              <w:rPr>
                <w:rFonts w:ascii="Times New Roman" w:hAnsi="Times New Roman"/>
                <w:color w:val="000000" w:themeColor="text1"/>
                <w:sz w:val="24"/>
                <w:szCs w:val="24"/>
              </w:rPr>
              <w:t xml:space="preserve">, tika pieņemts </w:t>
            </w:r>
            <w:r w:rsidRPr="00490E7E">
              <w:rPr>
                <w:rFonts w:ascii="Times New Roman" w:hAnsi="Times New Roman"/>
                <w:color w:val="000000" w:themeColor="text1"/>
                <w:sz w:val="24"/>
                <w:szCs w:val="24"/>
              </w:rPr>
              <w:t>Sae</w:t>
            </w:r>
            <w:r>
              <w:rPr>
                <w:rFonts w:ascii="Times New Roman" w:hAnsi="Times New Roman"/>
                <w:color w:val="000000" w:themeColor="text1"/>
                <w:sz w:val="24"/>
                <w:szCs w:val="24"/>
              </w:rPr>
              <w:t>ima 2013.gada. 6. novembra sēdē.</w:t>
            </w:r>
          </w:p>
        </w:tc>
      </w:tr>
      <w:tr w:rsidR="007C40CB" w:rsidRPr="00A12A32" w:rsidTr="00F35451">
        <w:trPr>
          <w:trHeight w:val="132"/>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t>2.</w:t>
            </w:r>
          </w:p>
        </w:tc>
        <w:tc>
          <w:tcPr>
            <w:tcW w:w="2574" w:type="dxa"/>
          </w:tcPr>
          <w:p w:rsidR="007C40CB" w:rsidRPr="00A12A32" w:rsidRDefault="007C40CB" w:rsidP="001B0457">
            <w:pPr>
              <w:pStyle w:val="naiskr"/>
              <w:tabs>
                <w:tab w:val="left" w:pos="170"/>
              </w:tabs>
              <w:spacing w:before="0" w:after="0"/>
              <w:rPr>
                <w:color w:val="000000" w:themeColor="text1"/>
              </w:rPr>
            </w:pPr>
            <w:r w:rsidRPr="00A12A32">
              <w:rPr>
                <w:color w:val="000000" w:themeColor="text1"/>
              </w:rPr>
              <w:t>Pašreizējā situācija un problēmas</w:t>
            </w:r>
          </w:p>
        </w:tc>
        <w:tc>
          <w:tcPr>
            <w:tcW w:w="6601" w:type="dxa"/>
          </w:tcPr>
          <w:p w:rsidR="00606F99" w:rsidRPr="00490E7E" w:rsidRDefault="00197286" w:rsidP="00490E7E">
            <w:pPr>
              <w:tabs>
                <w:tab w:val="left" w:pos="6095"/>
              </w:tabs>
              <w:spacing w:after="120" w:line="240" w:lineRule="auto"/>
              <w:jc w:val="both"/>
              <w:rPr>
                <w:rFonts w:ascii="Times New Roman" w:hAnsi="Times New Roman"/>
                <w:iCs/>
                <w:color w:val="000000" w:themeColor="text1"/>
                <w:sz w:val="24"/>
                <w:szCs w:val="24"/>
              </w:rPr>
            </w:pPr>
            <w:r w:rsidRPr="00490E7E">
              <w:rPr>
                <w:rFonts w:ascii="Times New Roman" w:hAnsi="Times New Roman"/>
                <w:iCs/>
                <w:color w:val="000000" w:themeColor="text1"/>
                <w:sz w:val="24"/>
                <w:szCs w:val="24"/>
              </w:rPr>
              <w:t xml:space="preserve">Šobrīd elektroenerģijas tirdzniecības un piegādes kārtību nosaka Ministru kabineta 2011.gada 29.novembra noteikumi </w:t>
            </w:r>
            <w:proofErr w:type="spellStart"/>
            <w:r w:rsidRPr="00490E7E">
              <w:rPr>
                <w:rFonts w:ascii="Times New Roman" w:hAnsi="Times New Roman"/>
                <w:iCs/>
                <w:color w:val="000000" w:themeColor="text1"/>
                <w:sz w:val="24"/>
                <w:szCs w:val="24"/>
              </w:rPr>
              <w:t>Nr</w:t>
            </w:r>
            <w:proofErr w:type="spellEnd"/>
            <w:r w:rsidRPr="00490E7E">
              <w:rPr>
                <w:rFonts w:ascii="Times New Roman" w:hAnsi="Times New Roman"/>
                <w:iCs/>
                <w:color w:val="000000" w:themeColor="text1"/>
                <w:sz w:val="24"/>
                <w:szCs w:val="24"/>
              </w:rPr>
              <w:t>. 914 „</w:t>
            </w:r>
            <w:r w:rsidRPr="00490E7E">
              <w:rPr>
                <w:rFonts w:ascii="Times New Roman" w:hAnsi="Times New Roman"/>
                <w:bCs/>
                <w:iCs/>
                <w:color w:val="000000" w:themeColor="text1"/>
                <w:sz w:val="24"/>
                <w:szCs w:val="24"/>
              </w:rPr>
              <w:t>Elektroenerģijas tirdzniecības un lietošanas noteikumi</w:t>
            </w:r>
            <w:r w:rsidRPr="00490E7E">
              <w:rPr>
                <w:rFonts w:ascii="Times New Roman" w:hAnsi="Times New Roman"/>
                <w:iCs/>
                <w:color w:val="000000" w:themeColor="text1"/>
                <w:sz w:val="24"/>
                <w:szCs w:val="24"/>
              </w:rPr>
              <w:t>” (turpmāk –</w:t>
            </w:r>
            <w:r w:rsidR="00432718">
              <w:rPr>
                <w:rFonts w:ascii="Times New Roman" w:hAnsi="Times New Roman"/>
                <w:iCs/>
                <w:color w:val="000000" w:themeColor="text1"/>
                <w:sz w:val="24"/>
                <w:szCs w:val="24"/>
              </w:rPr>
              <w:t>N</w:t>
            </w:r>
            <w:r w:rsidRPr="00490E7E">
              <w:rPr>
                <w:rFonts w:ascii="Times New Roman" w:hAnsi="Times New Roman"/>
                <w:iCs/>
                <w:color w:val="000000" w:themeColor="text1"/>
                <w:sz w:val="24"/>
                <w:szCs w:val="24"/>
              </w:rPr>
              <w:t xml:space="preserve">oteikumi).   </w:t>
            </w:r>
          </w:p>
          <w:p w:rsidR="00606F99" w:rsidRPr="00490E7E" w:rsidRDefault="00606F99" w:rsidP="00AD0952">
            <w:pPr>
              <w:tabs>
                <w:tab w:val="left" w:pos="6095"/>
              </w:tabs>
              <w:spacing w:after="120" w:line="240" w:lineRule="auto"/>
              <w:jc w:val="both"/>
              <w:rPr>
                <w:rFonts w:ascii="Times New Roman" w:hAnsi="Times New Roman"/>
                <w:color w:val="000000" w:themeColor="text1"/>
                <w:sz w:val="24"/>
                <w:szCs w:val="24"/>
              </w:rPr>
            </w:pPr>
            <w:r w:rsidRPr="00490E7E">
              <w:rPr>
                <w:rFonts w:ascii="Times New Roman" w:hAnsi="Times New Roman"/>
                <w:color w:val="000000" w:themeColor="text1"/>
                <w:sz w:val="24"/>
                <w:szCs w:val="24"/>
              </w:rPr>
              <w:t xml:space="preserve">2013. gada 29.oktobrī ir izsludināts likums „Grozījumu Elektroenerģijas tirgus likumā”, kas paredz ieviest </w:t>
            </w:r>
            <w:r w:rsidR="00CA0741" w:rsidRPr="00490E7E">
              <w:rPr>
                <w:rFonts w:ascii="Times New Roman" w:hAnsi="Times New Roman"/>
                <w:color w:val="000000" w:themeColor="text1"/>
                <w:sz w:val="24"/>
                <w:szCs w:val="24"/>
              </w:rPr>
              <w:t xml:space="preserve">elektroenerģijas </w:t>
            </w:r>
            <w:r w:rsidRPr="00490E7E">
              <w:rPr>
                <w:rFonts w:ascii="Times New Roman" w:hAnsi="Times New Roman"/>
                <w:color w:val="000000" w:themeColor="text1"/>
                <w:sz w:val="24"/>
                <w:szCs w:val="24"/>
              </w:rPr>
              <w:t>neto norēķinu sistēmu par patērēto elektroenerģiju  mājsaimniecībām</w:t>
            </w:r>
            <w:r w:rsidR="00CA0741" w:rsidRPr="00490E7E">
              <w:rPr>
                <w:rFonts w:ascii="Times New Roman" w:hAnsi="Times New Roman"/>
                <w:color w:val="000000" w:themeColor="text1"/>
                <w:sz w:val="24"/>
                <w:szCs w:val="24"/>
              </w:rPr>
              <w:t>, kuras</w:t>
            </w:r>
            <w:r w:rsidRPr="00490E7E">
              <w:rPr>
                <w:rFonts w:ascii="Times New Roman" w:hAnsi="Times New Roman"/>
                <w:color w:val="000000" w:themeColor="text1"/>
                <w:sz w:val="24"/>
                <w:szCs w:val="24"/>
              </w:rPr>
              <w:t xml:space="preserve"> viena elektroenerģijas pieslēguma ietvaros</w:t>
            </w:r>
            <w:r w:rsidR="00CA0741" w:rsidRPr="00490E7E">
              <w:rPr>
                <w:rFonts w:ascii="Times New Roman" w:hAnsi="Times New Roman"/>
                <w:color w:val="000000" w:themeColor="text1"/>
                <w:sz w:val="24"/>
                <w:szCs w:val="24"/>
              </w:rPr>
              <w:t xml:space="preserve"> </w:t>
            </w:r>
            <w:r w:rsidRPr="00490E7E">
              <w:rPr>
                <w:rFonts w:ascii="Times New Roman" w:hAnsi="Times New Roman"/>
                <w:color w:val="000000" w:themeColor="text1"/>
                <w:sz w:val="24"/>
                <w:szCs w:val="24"/>
              </w:rPr>
              <w:t>gan saņem elektroenerģiju no publiskā elektrotīkla, gan nodod elektroenerģiju</w:t>
            </w:r>
            <w:r w:rsidR="00CA0741" w:rsidRPr="00490E7E">
              <w:rPr>
                <w:rFonts w:ascii="Times New Roman" w:hAnsi="Times New Roman"/>
                <w:color w:val="000000" w:themeColor="text1"/>
                <w:sz w:val="24"/>
                <w:szCs w:val="24"/>
              </w:rPr>
              <w:t xml:space="preserve">, kas </w:t>
            </w:r>
            <w:r w:rsidRPr="00490E7E">
              <w:rPr>
                <w:rFonts w:ascii="Times New Roman" w:hAnsi="Times New Roman"/>
                <w:color w:val="000000" w:themeColor="text1"/>
                <w:sz w:val="24"/>
                <w:szCs w:val="24"/>
              </w:rPr>
              <w:t xml:space="preserve"> </w:t>
            </w:r>
            <w:r w:rsidR="00CA0741" w:rsidRPr="00490E7E">
              <w:rPr>
                <w:rFonts w:ascii="Times New Roman" w:hAnsi="Times New Roman"/>
                <w:color w:val="000000" w:themeColor="text1"/>
                <w:sz w:val="24"/>
                <w:szCs w:val="24"/>
              </w:rPr>
              <w:t xml:space="preserve">ražota, izmantojot atjaunojamos energoresursus, </w:t>
            </w:r>
            <w:r w:rsidRPr="00490E7E">
              <w:rPr>
                <w:rFonts w:ascii="Times New Roman" w:hAnsi="Times New Roman"/>
                <w:color w:val="000000" w:themeColor="text1"/>
                <w:sz w:val="24"/>
                <w:szCs w:val="24"/>
              </w:rPr>
              <w:t xml:space="preserve">publiskajā elektrotīklā. </w:t>
            </w:r>
          </w:p>
          <w:p w:rsidR="00AD0952" w:rsidRDefault="00606F99" w:rsidP="00AD0952">
            <w:pPr>
              <w:tabs>
                <w:tab w:val="left" w:pos="6095"/>
              </w:tabs>
              <w:spacing w:after="120" w:line="240" w:lineRule="auto"/>
              <w:jc w:val="both"/>
              <w:rPr>
                <w:rFonts w:ascii="Times New Roman" w:hAnsi="Times New Roman"/>
                <w:color w:val="000000" w:themeColor="text1"/>
                <w:sz w:val="24"/>
                <w:szCs w:val="24"/>
              </w:rPr>
            </w:pPr>
            <w:r w:rsidRPr="00490E7E">
              <w:rPr>
                <w:rFonts w:ascii="Times New Roman" w:hAnsi="Times New Roman"/>
                <w:iCs/>
                <w:color w:val="000000" w:themeColor="text1"/>
                <w:sz w:val="24"/>
                <w:szCs w:val="24"/>
              </w:rPr>
              <w:t xml:space="preserve">Elektroenerģijas tirgus likuma </w:t>
            </w:r>
            <w:r w:rsidRPr="00490E7E">
              <w:rPr>
                <w:rFonts w:ascii="Times New Roman" w:hAnsi="Times New Roman"/>
                <w:color w:val="000000" w:themeColor="text1"/>
                <w:sz w:val="24"/>
                <w:szCs w:val="24"/>
              </w:rPr>
              <w:t>30.</w:t>
            </w:r>
            <w:r w:rsidRPr="00490E7E">
              <w:rPr>
                <w:rFonts w:ascii="Times New Roman" w:hAnsi="Times New Roman"/>
                <w:color w:val="000000" w:themeColor="text1"/>
                <w:sz w:val="24"/>
                <w:szCs w:val="24"/>
                <w:vertAlign w:val="superscript"/>
              </w:rPr>
              <w:t>1</w:t>
            </w:r>
            <w:r w:rsidRPr="00490E7E">
              <w:rPr>
                <w:rFonts w:ascii="Times New Roman" w:hAnsi="Times New Roman"/>
                <w:color w:val="000000" w:themeColor="text1"/>
                <w:sz w:val="24"/>
                <w:szCs w:val="24"/>
              </w:rPr>
              <w:t xml:space="preserve"> panta ceturtā daļa dod Ministru kabinetam deleģējumu noteikt kārtību, kādā mājsaimniecības lietotājs vienojas ar sadales sistēmas operatoru par elektroenerģijas neto norēķinu sistēmas piemērošanu, un kārtību, kādā tā piemērojama. </w:t>
            </w:r>
          </w:p>
          <w:p w:rsidR="00AD0952" w:rsidRPr="0068719F" w:rsidRDefault="00AD0952" w:rsidP="00AD0952">
            <w:pPr>
              <w:tabs>
                <w:tab w:val="left" w:pos="6095"/>
              </w:tabs>
              <w:spacing w:after="120" w:line="240" w:lineRule="auto"/>
              <w:jc w:val="both"/>
              <w:rPr>
                <w:rFonts w:ascii="Times New Roman" w:hAnsi="Times New Roman"/>
                <w:color w:val="000000" w:themeColor="text1"/>
                <w:sz w:val="24"/>
                <w:szCs w:val="24"/>
              </w:rPr>
            </w:pPr>
            <w:r w:rsidRPr="0068719F">
              <w:rPr>
                <w:rFonts w:ascii="Times New Roman" w:hAnsi="Times New Roman"/>
                <w:color w:val="000000" w:themeColor="text1"/>
                <w:sz w:val="24"/>
                <w:szCs w:val="24"/>
              </w:rPr>
              <w:t>Saeimas 2013. gada 6. novembra sēdē pieņemtais Likumprojekts, kas spēkā stāsies 2014. gada 1. janvārī, nosaka regulējumu elektroenerģi</w:t>
            </w:r>
            <w:r w:rsidR="00686D3A">
              <w:rPr>
                <w:rFonts w:ascii="Times New Roman" w:hAnsi="Times New Roman"/>
                <w:color w:val="000000" w:themeColor="text1"/>
                <w:sz w:val="24"/>
                <w:szCs w:val="24"/>
              </w:rPr>
              <w:t>jas tirgus pilnīgai atvēršanai, un Pārejas noteikumu 33.punkts paredz, ka</w:t>
            </w:r>
            <w:r w:rsidR="00686D3A">
              <w:t xml:space="preserve"> </w:t>
            </w:r>
            <w:r w:rsidR="00686D3A" w:rsidRPr="00686D3A">
              <w:rPr>
                <w:rFonts w:ascii="Times New Roman" w:hAnsi="Times New Roman"/>
                <w:color w:val="000000" w:themeColor="text1"/>
                <w:sz w:val="24"/>
                <w:szCs w:val="24"/>
              </w:rPr>
              <w:t>Ministru kabinets līdz 2014.gada 1.aprīlim izdod šā likuma 32.panta trešajā daļā, 34.panta trešajā daļā un 35.panta otrajā daļā minētos noteikumus. Līdz šo noteikumu spēkā stāšanās dienai, bet ne ilgāk kā līdz 2014.gada 1.aprīlim ir spēkā Ministru kabineta 2011.gada 29.novembra noteikumi Nr.914 “Elektroenerģijas tirdzniecības un lietošanas noteikumi”, ciktāl tie nav pretrunā ar šo likumu.</w:t>
            </w:r>
          </w:p>
          <w:p w:rsidR="00AD0952" w:rsidRPr="0068719F" w:rsidRDefault="00432718" w:rsidP="00AD0952">
            <w:pPr>
              <w:tabs>
                <w:tab w:val="left" w:pos="6095"/>
              </w:tabs>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686D3A">
              <w:rPr>
                <w:rFonts w:ascii="Times New Roman" w:hAnsi="Times New Roman"/>
                <w:color w:val="000000" w:themeColor="text1"/>
                <w:sz w:val="24"/>
                <w:szCs w:val="24"/>
              </w:rPr>
              <w:t>oteikumu 90. un 91.punkts</w:t>
            </w:r>
            <w:r w:rsidR="00AD0952" w:rsidRPr="0068719F">
              <w:rPr>
                <w:rFonts w:ascii="Times New Roman" w:hAnsi="Times New Roman"/>
                <w:color w:val="000000" w:themeColor="text1"/>
                <w:sz w:val="24"/>
                <w:szCs w:val="24"/>
              </w:rPr>
              <w:t xml:space="preserve"> nosaka, kādu informāciju tirdzniecības piedāvājumos un tirdzniecības līgumos tirgotājs ietver, ja tas piedāvā elektroenerģijas tirdzniecību saistītajam lietotājam. Šie punkti tiks saglabāti arī tajā Elektroenerģijas tirdzniecības un </w:t>
            </w:r>
            <w:r w:rsidR="00AD0952" w:rsidRPr="0068719F">
              <w:rPr>
                <w:rFonts w:ascii="Times New Roman" w:hAnsi="Times New Roman"/>
                <w:color w:val="000000" w:themeColor="text1"/>
                <w:sz w:val="24"/>
                <w:szCs w:val="24"/>
              </w:rPr>
              <w:lastRenderedPageBreak/>
              <w:t xml:space="preserve">lietošanas noteikumu redakcijā, kas tiks izdoti atbilstoši Elektroenerģijas tirgus likuma jaunajiem nosacījumiem, kuri stāsies spēkā 2014.gada 1.aprīlī, kad saistīto lietotāju jēdziens tiks aizstāts ar </w:t>
            </w:r>
            <w:r w:rsidR="009E2BC6" w:rsidRPr="0068719F">
              <w:rPr>
                <w:rFonts w:ascii="Times New Roman" w:hAnsi="Times New Roman"/>
                <w:color w:val="000000" w:themeColor="text1"/>
                <w:sz w:val="24"/>
                <w:szCs w:val="24"/>
              </w:rPr>
              <w:t xml:space="preserve">jēdzienu </w:t>
            </w:r>
            <w:r w:rsidR="00AD0952" w:rsidRPr="0068719F">
              <w:rPr>
                <w:rFonts w:ascii="Times New Roman" w:hAnsi="Times New Roman"/>
                <w:color w:val="000000" w:themeColor="text1"/>
                <w:sz w:val="24"/>
                <w:szCs w:val="24"/>
              </w:rPr>
              <w:t>mājsa</w:t>
            </w:r>
            <w:r w:rsidR="009E2BC6" w:rsidRPr="0068719F">
              <w:rPr>
                <w:rFonts w:ascii="Times New Roman" w:hAnsi="Times New Roman"/>
                <w:color w:val="000000" w:themeColor="text1"/>
                <w:sz w:val="24"/>
                <w:szCs w:val="24"/>
              </w:rPr>
              <w:t>imniecības lietotājs</w:t>
            </w:r>
            <w:r w:rsidR="00AD0952" w:rsidRPr="0068719F">
              <w:rPr>
                <w:rFonts w:ascii="Times New Roman" w:hAnsi="Times New Roman"/>
                <w:color w:val="000000" w:themeColor="text1"/>
                <w:sz w:val="24"/>
                <w:szCs w:val="24"/>
              </w:rPr>
              <w:t>.</w:t>
            </w:r>
          </w:p>
          <w:p w:rsidR="009E2BC6" w:rsidRPr="0068719F" w:rsidRDefault="00AD0952" w:rsidP="00AD0952">
            <w:pPr>
              <w:tabs>
                <w:tab w:val="left" w:pos="6095"/>
              </w:tabs>
              <w:spacing w:after="120" w:line="240" w:lineRule="auto"/>
              <w:jc w:val="both"/>
              <w:rPr>
                <w:rFonts w:ascii="Times New Roman" w:hAnsi="Times New Roman"/>
                <w:color w:val="000000" w:themeColor="text1"/>
                <w:sz w:val="24"/>
                <w:szCs w:val="24"/>
              </w:rPr>
            </w:pPr>
            <w:r w:rsidRPr="0068719F">
              <w:rPr>
                <w:rFonts w:ascii="Times New Roman" w:hAnsi="Times New Roman"/>
                <w:color w:val="000000" w:themeColor="text1"/>
                <w:sz w:val="24"/>
                <w:szCs w:val="24"/>
              </w:rPr>
              <w:t>Tas nozīmē, ka arī tirgus apstākļos tirgotājiem būs jāņem vērā īpaši nosacījumi, kas attieksies uz tirdzniecības piedāvājumu un līgumu saturu</w:t>
            </w:r>
            <w:r w:rsidR="009E2BC6" w:rsidRPr="0068719F">
              <w:rPr>
                <w:rFonts w:ascii="Times New Roman" w:hAnsi="Times New Roman"/>
                <w:color w:val="000000" w:themeColor="text1"/>
                <w:sz w:val="24"/>
                <w:szCs w:val="24"/>
              </w:rPr>
              <w:t xml:space="preserve"> mājsaimniecību lietotājiem</w:t>
            </w:r>
            <w:r w:rsidRPr="0068719F">
              <w:rPr>
                <w:rFonts w:ascii="Times New Roman" w:hAnsi="Times New Roman"/>
                <w:color w:val="000000" w:themeColor="text1"/>
                <w:sz w:val="24"/>
                <w:szCs w:val="24"/>
              </w:rPr>
              <w:t xml:space="preserve">. Īpašo nosacījumu mērķis ir aizsargāt mājsaimniecības lietotājus un radīt vienotus apstākļus, tajā skaitā saprotamu informāciju par elektroenerģijas tirdzniecības produktiem, lai tiem būtu vienkāršas un  vienlīdzīgas iespēja izvēlēties savu tirgotāju. </w:t>
            </w:r>
          </w:p>
          <w:p w:rsidR="00AD0952" w:rsidRPr="0068719F" w:rsidRDefault="00AD0952" w:rsidP="00AD0952">
            <w:pPr>
              <w:tabs>
                <w:tab w:val="left" w:pos="6095"/>
              </w:tabs>
              <w:spacing w:after="120" w:line="240" w:lineRule="auto"/>
              <w:jc w:val="both"/>
              <w:rPr>
                <w:rFonts w:ascii="Times New Roman" w:hAnsi="Times New Roman"/>
                <w:color w:val="000000" w:themeColor="text1"/>
                <w:sz w:val="24"/>
                <w:szCs w:val="24"/>
              </w:rPr>
            </w:pPr>
            <w:r w:rsidRPr="0068719F">
              <w:rPr>
                <w:rFonts w:ascii="Times New Roman" w:hAnsi="Times New Roman"/>
                <w:color w:val="000000" w:themeColor="text1"/>
                <w:sz w:val="24"/>
                <w:szCs w:val="24"/>
              </w:rPr>
              <w:t xml:space="preserve">Esošā </w:t>
            </w:r>
            <w:r w:rsidR="009E2BC6" w:rsidRPr="0068719F">
              <w:rPr>
                <w:rFonts w:ascii="Times New Roman" w:hAnsi="Times New Roman"/>
                <w:color w:val="000000" w:themeColor="text1"/>
                <w:sz w:val="24"/>
                <w:szCs w:val="24"/>
              </w:rPr>
              <w:t xml:space="preserve">noteikumu </w:t>
            </w:r>
            <w:r w:rsidRPr="0068719F">
              <w:rPr>
                <w:rFonts w:ascii="Times New Roman" w:hAnsi="Times New Roman"/>
                <w:color w:val="000000" w:themeColor="text1"/>
                <w:sz w:val="24"/>
                <w:szCs w:val="24"/>
              </w:rPr>
              <w:t>90.punkta redakcija pieprasa nodrošināt nesamērīgi daudz informācijas tirdzniecības piedāvājumos, piemēram, tirgotājam jāuzrāda rēķinu paraugi, saturs, citu iespējamo maksājumu saturs un apmērs</w:t>
            </w:r>
            <w:r w:rsidR="009E2BC6" w:rsidRPr="0068719F">
              <w:rPr>
                <w:rFonts w:ascii="Times New Roman" w:hAnsi="Times New Roman"/>
                <w:color w:val="000000" w:themeColor="text1"/>
                <w:sz w:val="24"/>
                <w:szCs w:val="24"/>
              </w:rPr>
              <w:t>. Pilnīgi atvērta</w:t>
            </w:r>
            <w:r w:rsidRPr="0068719F">
              <w:rPr>
                <w:rFonts w:ascii="Times New Roman" w:hAnsi="Times New Roman"/>
                <w:color w:val="000000" w:themeColor="text1"/>
                <w:sz w:val="24"/>
                <w:szCs w:val="24"/>
              </w:rPr>
              <w:t xml:space="preserve"> tirgus apstākļos šie nosacījumi radīs nopietnus šķēršļus un apgrūtinājumu tirgotājiem</w:t>
            </w:r>
            <w:r w:rsidR="009E2BC6" w:rsidRPr="0068719F">
              <w:rPr>
                <w:rFonts w:ascii="Times New Roman" w:hAnsi="Times New Roman"/>
                <w:color w:val="000000" w:themeColor="text1"/>
                <w:sz w:val="24"/>
                <w:szCs w:val="24"/>
              </w:rPr>
              <w:t>,</w:t>
            </w:r>
            <w:r w:rsidRPr="0068719F">
              <w:rPr>
                <w:rFonts w:ascii="Times New Roman" w:hAnsi="Times New Roman"/>
                <w:color w:val="000000" w:themeColor="text1"/>
                <w:sz w:val="24"/>
                <w:szCs w:val="24"/>
              </w:rPr>
              <w:t xml:space="preserve"> izsakot piedāvājumus mājsaimniecības lietotājiem, jo vairumā gadījumā piedāvājumu izsniegšana un saziņa ar klientu notiks ar distances saziņas līdzekļiem, kā rezultātā šīs prasības ir apgrūtinoši izpildīt. Jāņem vērā, ka jau šobrīd tirgotāji izsaka tirdzniecības piedāvājumus saistītajiem lietotājiem</w:t>
            </w:r>
            <w:r w:rsidR="00686D3A">
              <w:rPr>
                <w:rFonts w:ascii="Times New Roman" w:hAnsi="Times New Roman"/>
                <w:color w:val="000000" w:themeColor="text1"/>
                <w:sz w:val="24"/>
                <w:szCs w:val="24"/>
              </w:rPr>
              <w:t>,</w:t>
            </w:r>
            <w:r w:rsidRPr="0068719F">
              <w:rPr>
                <w:rFonts w:ascii="Times New Roman" w:hAnsi="Times New Roman"/>
                <w:color w:val="000000" w:themeColor="text1"/>
                <w:sz w:val="24"/>
                <w:szCs w:val="24"/>
              </w:rPr>
              <w:t xml:space="preserve"> un </w:t>
            </w:r>
            <w:r w:rsidR="009E2BC6" w:rsidRPr="0068719F">
              <w:rPr>
                <w:rFonts w:ascii="Times New Roman" w:hAnsi="Times New Roman"/>
                <w:color w:val="000000" w:themeColor="text1"/>
                <w:sz w:val="24"/>
                <w:szCs w:val="24"/>
              </w:rPr>
              <w:t>ir konstatēts</w:t>
            </w:r>
            <w:r w:rsidRPr="0068719F">
              <w:rPr>
                <w:rFonts w:ascii="Times New Roman" w:hAnsi="Times New Roman"/>
                <w:color w:val="000000" w:themeColor="text1"/>
                <w:sz w:val="24"/>
                <w:szCs w:val="24"/>
              </w:rPr>
              <w:t xml:space="preserve">, ka to informācijas piedāvājumi tikai daļēji saskan ar 90.punktā noteiktajiem nosacījumiem. </w:t>
            </w:r>
            <w:r w:rsidR="009E2BC6" w:rsidRPr="0068719F">
              <w:rPr>
                <w:rFonts w:ascii="Times New Roman" w:hAnsi="Times New Roman"/>
                <w:color w:val="000000" w:themeColor="text1"/>
                <w:sz w:val="24"/>
                <w:szCs w:val="24"/>
              </w:rPr>
              <w:t>Saskaņā ar tirgotāju sniegto informāciju, daļa no tiem</w:t>
            </w:r>
            <w:r w:rsidRPr="0068719F">
              <w:rPr>
                <w:rFonts w:ascii="Times New Roman" w:hAnsi="Times New Roman"/>
                <w:color w:val="000000" w:themeColor="text1"/>
                <w:sz w:val="24"/>
                <w:szCs w:val="24"/>
              </w:rPr>
              <w:t xml:space="preserve"> tirdzniecības piedāvājumu kampaņu </w:t>
            </w:r>
            <w:r w:rsidR="009E2BC6" w:rsidRPr="0068719F">
              <w:rPr>
                <w:rFonts w:ascii="Times New Roman" w:hAnsi="Times New Roman"/>
                <w:color w:val="000000" w:themeColor="text1"/>
                <w:sz w:val="24"/>
                <w:szCs w:val="24"/>
              </w:rPr>
              <w:t xml:space="preserve">plāno </w:t>
            </w:r>
            <w:r w:rsidRPr="0068719F">
              <w:rPr>
                <w:rFonts w:ascii="Times New Roman" w:hAnsi="Times New Roman"/>
                <w:color w:val="000000" w:themeColor="text1"/>
                <w:sz w:val="24"/>
                <w:szCs w:val="24"/>
              </w:rPr>
              <w:t xml:space="preserve">sāk </w:t>
            </w:r>
            <w:r w:rsidR="009E2BC6" w:rsidRPr="0068719F">
              <w:rPr>
                <w:rFonts w:ascii="Times New Roman" w:hAnsi="Times New Roman"/>
                <w:color w:val="000000" w:themeColor="text1"/>
                <w:sz w:val="24"/>
                <w:szCs w:val="24"/>
              </w:rPr>
              <w:t xml:space="preserve">jau </w:t>
            </w:r>
            <w:r w:rsidRPr="0068719F">
              <w:rPr>
                <w:rFonts w:ascii="Times New Roman" w:hAnsi="Times New Roman"/>
                <w:color w:val="000000" w:themeColor="text1"/>
                <w:sz w:val="24"/>
                <w:szCs w:val="24"/>
              </w:rPr>
              <w:t>2014. gada janvāra vidū</w:t>
            </w:r>
            <w:r w:rsidR="009E2BC6" w:rsidRPr="0068719F">
              <w:rPr>
                <w:rFonts w:ascii="Times New Roman" w:hAnsi="Times New Roman"/>
                <w:color w:val="000000" w:themeColor="text1"/>
                <w:sz w:val="24"/>
                <w:szCs w:val="24"/>
              </w:rPr>
              <w:t>.</w:t>
            </w:r>
            <w:r w:rsidRPr="0068719F">
              <w:rPr>
                <w:rFonts w:ascii="Times New Roman" w:hAnsi="Times New Roman"/>
                <w:color w:val="000000" w:themeColor="text1"/>
                <w:sz w:val="24"/>
                <w:szCs w:val="24"/>
              </w:rPr>
              <w:t xml:space="preserve"> </w:t>
            </w:r>
            <w:r w:rsidR="009E2BC6" w:rsidRPr="0068719F">
              <w:rPr>
                <w:rFonts w:ascii="Times New Roman" w:hAnsi="Times New Roman"/>
                <w:color w:val="000000" w:themeColor="text1"/>
                <w:sz w:val="24"/>
                <w:szCs w:val="24"/>
              </w:rPr>
              <w:t>Lai</w:t>
            </w:r>
            <w:r w:rsidRPr="0068719F">
              <w:rPr>
                <w:rFonts w:ascii="Times New Roman" w:hAnsi="Times New Roman"/>
                <w:color w:val="000000" w:themeColor="text1"/>
                <w:sz w:val="24"/>
                <w:szCs w:val="24"/>
              </w:rPr>
              <w:t xml:space="preserve"> </w:t>
            </w:r>
            <w:r w:rsidR="009E2BC6" w:rsidRPr="0068719F">
              <w:rPr>
                <w:rFonts w:ascii="Times New Roman" w:hAnsi="Times New Roman"/>
                <w:color w:val="000000" w:themeColor="text1"/>
                <w:sz w:val="24"/>
                <w:szCs w:val="24"/>
              </w:rPr>
              <w:t xml:space="preserve">piedāvājumu saturu </w:t>
            </w:r>
            <w:r w:rsidRPr="0068719F">
              <w:rPr>
                <w:rFonts w:ascii="Times New Roman" w:hAnsi="Times New Roman"/>
                <w:color w:val="000000" w:themeColor="text1"/>
                <w:sz w:val="24"/>
                <w:szCs w:val="24"/>
              </w:rPr>
              <w:t xml:space="preserve">vienkāršotu un </w:t>
            </w:r>
            <w:r w:rsidR="009E2BC6" w:rsidRPr="0068719F">
              <w:rPr>
                <w:rFonts w:ascii="Times New Roman" w:hAnsi="Times New Roman"/>
                <w:color w:val="000000" w:themeColor="text1"/>
                <w:sz w:val="24"/>
                <w:szCs w:val="24"/>
              </w:rPr>
              <w:t xml:space="preserve">padarītu pārskatāmu un viegli saprotamu, nepieciešams </w:t>
            </w:r>
            <w:r w:rsidRPr="0068719F">
              <w:rPr>
                <w:rFonts w:ascii="Times New Roman" w:hAnsi="Times New Roman"/>
                <w:color w:val="000000" w:themeColor="text1"/>
                <w:sz w:val="24"/>
                <w:szCs w:val="24"/>
              </w:rPr>
              <w:t xml:space="preserve"> veikt izmaiņas regulējumā, kas nosaka informācijas un līgumu saturu.</w:t>
            </w:r>
          </w:p>
          <w:p w:rsidR="00CE34CB" w:rsidRPr="00686D3A" w:rsidRDefault="009E2BC6" w:rsidP="00686D3A">
            <w:pPr>
              <w:tabs>
                <w:tab w:val="left" w:pos="6095"/>
              </w:tabs>
              <w:spacing w:after="0" w:line="240" w:lineRule="auto"/>
              <w:jc w:val="both"/>
              <w:rPr>
                <w:rFonts w:ascii="Times New Roman" w:hAnsi="Times New Roman"/>
                <w:color w:val="000000" w:themeColor="text1"/>
                <w:sz w:val="24"/>
                <w:szCs w:val="24"/>
              </w:rPr>
            </w:pPr>
            <w:r w:rsidRPr="0068719F">
              <w:rPr>
                <w:rFonts w:ascii="Times New Roman" w:hAnsi="Times New Roman"/>
                <w:color w:val="000000" w:themeColor="text1"/>
                <w:sz w:val="24"/>
                <w:szCs w:val="24"/>
              </w:rPr>
              <w:t xml:space="preserve">Likumprojekts </w:t>
            </w:r>
            <w:r w:rsidR="00686D3A">
              <w:rPr>
                <w:rFonts w:ascii="Times New Roman" w:hAnsi="Times New Roman"/>
                <w:color w:val="000000" w:themeColor="text1"/>
                <w:sz w:val="24"/>
                <w:szCs w:val="24"/>
              </w:rPr>
              <w:t>maina</w:t>
            </w:r>
            <w:r w:rsidR="00490E7E" w:rsidRPr="0068719F">
              <w:rPr>
                <w:rFonts w:ascii="Times New Roman" w:hAnsi="Times New Roman"/>
                <w:color w:val="000000" w:themeColor="text1"/>
                <w:sz w:val="24"/>
                <w:szCs w:val="24"/>
              </w:rPr>
              <w:t xml:space="preserve"> termiņu, kura laikā sistēmas operatoram ir jānodrošina tirgotāja maiņa lietotājam, kurš ir izvēlējies citu tirgotāju. Tirgotāja maiņas procesa laiks no esošā  pienākuma maiņu nodrošināt vismaz 21 dienas laikā ir saīsināts līdz 15 dienām.</w:t>
            </w:r>
            <w:r w:rsidR="00927F06" w:rsidRPr="0068719F">
              <w:rPr>
                <w:rFonts w:ascii="Times New Roman" w:hAnsi="Times New Roman"/>
                <w:color w:val="000000" w:themeColor="text1"/>
                <w:sz w:val="24"/>
                <w:szCs w:val="24"/>
              </w:rPr>
              <w:t xml:space="preserve"> Šīs izmaiņas ir būtiskas</w:t>
            </w:r>
            <w:r w:rsidR="00453D52" w:rsidRPr="0068719F">
              <w:rPr>
                <w:rFonts w:ascii="Times New Roman" w:hAnsi="Times New Roman"/>
                <w:color w:val="000000" w:themeColor="text1"/>
                <w:sz w:val="24"/>
                <w:szCs w:val="24"/>
              </w:rPr>
              <w:t>,</w:t>
            </w:r>
            <w:r w:rsidR="00927F06" w:rsidRPr="0068719F">
              <w:rPr>
                <w:rFonts w:ascii="Times New Roman" w:hAnsi="Times New Roman"/>
                <w:color w:val="000000" w:themeColor="text1"/>
                <w:sz w:val="24"/>
                <w:szCs w:val="24"/>
              </w:rPr>
              <w:t xml:space="preserve"> raugoties uz mājsaimniecību tirgus atvēršanu 2014.gada 1.aprīlī, jo lietotājiem un tirgotājiem būs par 5 dienām garāks izvēlēs un pakalpojumu pārdošanas laiks, kas ir svarīgi plānotājos apstākļos, kad izvēli par turpmāko elektroenerģijas piegādi ar tirgotājiem būs jāpieņem ļoti lielam skaitam elektroenerģijas lietotājiem.</w:t>
            </w:r>
            <w:r w:rsidR="00453D52" w:rsidRPr="0068719F">
              <w:rPr>
                <w:rFonts w:ascii="Times New Roman" w:hAnsi="Times New Roman"/>
                <w:color w:val="000000" w:themeColor="text1"/>
                <w:sz w:val="24"/>
                <w:szCs w:val="24"/>
              </w:rPr>
              <w:t xml:space="preserve"> Ja šīs izmaiņas stātos spēkā 2014.gada 1.janvārī, tas dos iespēju tirgotājiem un arī sistēmas operatoram pielāgoties jaunajiem tirgotāja maiņas termiņiem, kuru obligāta piemērošana bū</w:t>
            </w:r>
            <w:r w:rsidR="00D23956">
              <w:rPr>
                <w:rFonts w:ascii="Times New Roman" w:hAnsi="Times New Roman"/>
                <w:color w:val="000000" w:themeColor="text1"/>
                <w:sz w:val="24"/>
                <w:szCs w:val="24"/>
              </w:rPr>
              <w:t>tu jāsāk no 2014. gada 1.aprīļa</w:t>
            </w:r>
            <w:r w:rsidR="00453D52" w:rsidRPr="0068719F">
              <w:rPr>
                <w:rFonts w:ascii="Times New Roman" w:hAnsi="Times New Roman"/>
                <w:color w:val="000000" w:themeColor="text1"/>
                <w:sz w:val="24"/>
                <w:szCs w:val="24"/>
              </w:rPr>
              <w:t xml:space="preserve">, ņemot vērā Likumprojektā noteikto. </w:t>
            </w:r>
          </w:p>
        </w:tc>
      </w:tr>
      <w:tr w:rsidR="007C40CB" w:rsidRPr="00A12A32" w:rsidTr="00F35451">
        <w:trPr>
          <w:trHeight w:val="655"/>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lastRenderedPageBreak/>
              <w:t>3.</w:t>
            </w:r>
          </w:p>
        </w:tc>
        <w:tc>
          <w:tcPr>
            <w:tcW w:w="2574" w:type="dxa"/>
          </w:tcPr>
          <w:p w:rsidR="007C40CB" w:rsidRPr="00A12A32" w:rsidRDefault="007C40CB" w:rsidP="001B0457">
            <w:pPr>
              <w:pStyle w:val="naiskr"/>
              <w:spacing w:before="0" w:after="0"/>
              <w:rPr>
                <w:color w:val="000000" w:themeColor="text1"/>
              </w:rPr>
            </w:pPr>
            <w:r w:rsidRPr="00A12A32">
              <w:rPr>
                <w:color w:val="000000" w:themeColor="text1"/>
              </w:rPr>
              <w:t>Saistītie politikas ietekmes novērtējumi un pētījumi</w:t>
            </w:r>
          </w:p>
        </w:tc>
        <w:tc>
          <w:tcPr>
            <w:tcW w:w="6601" w:type="dxa"/>
          </w:tcPr>
          <w:p w:rsidR="007C40CB" w:rsidRPr="00A12A32" w:rsidRDefault="00E75316" w:rsidP="009E1B1E">
            <w:pPr>
              <w:pStyle w:val="FootnoteText"/>
              <w:jc w:val="both"/>
              <w:rPr>
                <w:color w:val="000000" w:themeColor="text1"/>
                <w:sz w:val="24"/>
                <w:szCs w:val="24"/>
              </w:rPr>
            </w:pPr>
            <w:r w:rsidRPr="009E1B1E">
              <w:rPr>
                <w:color w:val="000000" w:themeColor="text1"/>
                <w:sz w:val="24"/>
                <w:szCs w:val="24"/>
              </w:rPr>
              <w:t>Pēdējā gada laikā Ministru kabinets ir skatījis un pieņēmis zināšanai vairākus Ekonomikas ministrijas sagatavotus informatīvus ziņojumus par elektroenerģijas tirgus pilnīg</w:t>
            </w:r>
            <w:r w:rsidR="009E1B1E" w:rsidRPr="009E1B1E">
              <w:rPr>
                <w:color w:val="000000" w:themeColor="text1"/>
                <w:sz w:val="24"/>
                <w:szCs w:val="24"/>
              </w:rPr>
              <w:t xml:space="preserve">u liberalizāciju un </w:t>
            </w:r>
            <w:r w:rsidRPr="009E1B1E">
              <w:rPr>
                <w:color w:val="000000" w:themeColor="text1"/>
                <w:sz w:val="24"/>
                <w:szCs w:val="24"/>
              </w:rPr>
              <w:t xml:space="preserve">problēmām, kas </w:t>
            </w:r>
            <w:r w:rsidR="009E1B1E" w:rsidRPr="009E1B1E">
              <w:rPr>
                <w:color w:val="000000" w:themeColor="text1"/>
                <w:sz w:val="24"/>
                <w:szCs w:val="24"/>
              </w:rPr>
              <w:t>saistītas ar šo procesu</w:t>
            </w:r>
            <w:r w:rsidRPr="009E1B1E">
              <w:rPr>
                <w:color w:val="000000" w:themeColor="text1"/>
                <w:sz w:val="24"/>
                <w:szCs w:val="24"/>
              </w:rPr>
              <w:t xml:space="preserve">. Tā 2012.gada 20.novembrī Ministru kabineta sēdē tika izskatīts informatīvais ziņojums „Par Latvijas elektroenerģijas tirgus pilnīgu atvēršanu” un  2013.gada 13.augustā tika skatīts informatīvais ziņojums „Komplekss </w:t>
            </w:r>
            <w:r w:rsidRPr="009E1B1E">
              <w:rPr>
                <w:color w:val="000000" w:themeColor="text1"/>
                <w:sz w:val="24"/>
                <w:szCs w:val="24"/>
              </w:rPr>
              <w:lastRenderedPageBreak/>
              <w:t>risinājums elektroenerģijas tirgus problemātikai”.</w:t>
            </w:r>
          </w:p>
        </w:tc>
      </w:tr>
      <w:tr w:rsidR="007C40CB" w:rsidRPr="00A12A32" w:rsidTr="00F35451">
        <w:trPr>
          <w:trHeight w:val="604"/>
        </w:trPr>
        <w:tc>
          <w:tcPr>
            <w:tcW w:w="550" w:type="dxa"/>
          </w:tcPr>
          <w:p w:rsidR="007C40CB" w:rsidRPr="00A12A32" w:rsidRDefault="007C40CB" w:rsidP="001B0457">
            <w:pPr>
              <w:pStyle w:val="naiskr"/>
              <w:spacing w:before="0" w:after="0"/>
              <w:rPr>
                <w:color w:val="000000" w:themeColor="text1"/>
              </w:rPr>
            </w:pPr>
            <w:r w:rsidRPr="00A12A32">
              <w:rPr>
                <w:color w:val="000000" w:themeColor="text1"/>
              </w:rPr>
              <w:lastRenderedPageBreak/>
              <w:t>4.</w:t>
            </w:r>
          </w:p>
        </w:tc>
        <w:tc>
          <w:tcPr>
            <w:tcW w:w="2574" w:type="dxa"/>
          </w:tcPr>
          <w:p w:rsidR="007C40CB" w:rsidRPr="00A12A32" w:rsidRDefault="007C40CB" w:rsidP="001B0457">
            <w:pPr>
              <w:pStyle w:val="naiskr"/>
              <w:spacing w:before="0" w:after="0"/>
              <w:rPr>
                <w:color w:val="000000" w:themeColor="text1"/>
              </w:rPr>
            </w:pPr>
            <w:r w:rsidRPr="00A12A32">
              <w:rPr>
                <w:color w:val="000000" w:themeColor="text1"/>
              </w:rPr>
              <w:t>Tiesiskā regulējuma mērķis un būtība</w:t>
            </w:r>
          </w:p>
        </w:tc>
        <w:tc>
          <w:tcPr>
            <w:tcW w:w="6601" w:type="dxa"/>
          </w:tcPr>
          <w:p w:rsidR="00CC763B" w:rsidRDefault="00E75316" w:rsidP="004C5669">
            <w:pPr>
              <w:spacing w:after="120" w:line="240" w:lineRule="auto"/>
              <w:jc w:val="both"/>
              <w:rPr>
                <w:rFonts w:ascii="Times New Roman" w:hAnsi="Times New Roman"/>
                <w:color w:val="000000"/>
                <w:sz w:val="24"/>
                <w:szCs w:val="24"/>
              </w:rPr>
            </w:pPr>
            <w:r w:rsidRPr="00294714">
              <w:rPr>
                <w:rFonts w:ascii="Times New Roman" w:hAnsi="Times New Roman"/>
                <w:color w:val="000000"/>
                <w:sz w:val="24"/>
                <w:szCs w:val="24"/>
              </w:rPr>
              <w:t xml:space="preserve">Noteikumu projekta mērķis ir izpildīt </w:t>
            </w:r>
            <w:r w:rsidR="00D23956" w:rsidRPr="00294714">
              <w:rPr>
                <w:rFonts w:ascii="Times New Roman" w:hAnsi="Times New Roman"/>
                <w:color w:val="000000"/>
                <w:sz w:val="24"/>
                <w:szCs w:val="24"/>
              </w:rPr>
              <w:t>Elektroenerģijas tirgus likuma 30.</w:t>
            </w:r>
            <w:r w:rsidR="00D23956" w:rsidRPr="00294714">
              <w:rPr>
                <w:rFonts w:ascii="Times New Roman" w:hAnsi="Times New Roman"/>
                <w:color w:val="000000"/>
                <w:sz w:val="24"/>
                <w:szCs w:val="24"/>
                <w:vertAlign w:val="superscript"/>
              </w:rPr>
              <w:t>1</w:t>
            </w:r>
            <w:r w:rsidR="00D23956" w:rsidRPr="00294714">
              <w:rPr>
                <w:rFonts w:ascii="Times New Roman" w:hAnsi="Times New Roman"/>
                <w:color w:val="000000"/>
                <w:sz w:val="24"/>
                <w:szCs w:val="24"/>
              </w:rPr>
              <w:t xml:space="preserve"> panta ceturtā daļā </w:t>
            </w:r>
            <w:r w:rsidR="00CA4632" w:rsidRPr="00294714">
              <w:rPr>
                <w:rFonts w:ascii="Times New Roman" w:hAnsi="Times New Roman"/>
                <w:color w:val="000000"/>
                <w:sz w:val="24"/>
                <w:szCs w:val="24"/>
              </w:rPr>
              <w:t>ietverto deleģējumu</w:t>
            </w:r>
            <w:r w:rsidRPr="00294714">
              <w:rPr>
                <w:rFonts w:ascii="Times New Roman" w:hAnsi="Times New Roman"/>
                <w:color w:val="000000"/>
                <w:sz w:val="24"/>
                <w:szCs w:val="24"/>
              </w:rPr>
              <w:t xml:space="preserve"> </w:t>
            </w:r>
            <w:r w:rsidR="00D23956" w:rsidRPr="00294714">
              <w:rPr>
                <w:rFonts w:ascii="Times New Roman" w:hAnsi="Times New Roman"/>
                <w:color w:val="000000"/>
                <w:sz w:val="24"/>
                <w:szCs w:val="24"/>
              </w:rPr>
              <w:t xml:space="preserve"> Ministru kabinetam </w:t>
            </w:r>
            <w:r w:rsidRPr="00294714">
              <w:rPr>
                <w:rFonts w:ascii="Times New Roman" w:hAnsi="Times New Roman"/>
                <w:color w:val="000000"/>
                <w:sz w:val="24"/>
                <w:szCs w:val="24"/>
              </w:rPr>
              <w:t xml:space="preserve">un noteikt kārtību, kādā </w:t>
            </w:r>
            <w:r w:rsidR="00111B10" w:rsidRPr="00294714">
              <w:rPr>
                <w:rFonts w:ascii="Times New Roman" w:hAnsi="Times New Roman"/>
                <w:color w:val="000000"/>
                <w:sz w:val="24"/>
                <w:szCs w:val="24"/>
              </w:rPr>
              <w:t xml:space="preserve">īstenojamas </w:t>
            </w:r>
            <w:r w:rsidR="00CC763B" w:rsidRPr="00294714">
              <w:rPr>
                <w:rFonts w:ascii="Times New Roman" w:hAnsi="Times New Roman"/>
                <w:color w:val="000000"/>
                <w:sz w:val="24"/>
                <w:szCs w:val="24"/>
              </w:rPr>
              <w:t>mājsaimniecīb</w:t>
            </w:r>
            <w:r w:rsidR="004C5669" w:rsidRPr="00294714">
              <w:rPr>
                <w:rFonts w:ascii="Times New Roman" w:hAnsi="Times New Roman"/>
                <w:color w:val="000000"/>
                <w:sz w:val="24"/>
                <w:szCs w:val="24"/>
              </w:rPr>
              <w:t>as</w:t>
            </w:r>
            <w:r w:rsidR="00CC763B" w:rsidRPr="00294714">
              <w:rPr>
                <w:rFonts w:ascii="Times New Roman" w:hAnsi="Times New Roman"/>
                <w:color w:val="000000"/>
                <w:sz w:val="24"/>
                <w:szCs w:val="24"/>
              </w:rPr>
              <w:t xml:space="preserve"> lietotāja, kas  viena elekt</w:t>
            </w:r>
            <w:r w:rsidR="00D02D0C">
              <w:rPr>
                <w:rFonts w:ascii="Times New Roman" w:hAnsi="Times New Roman"/>
                <w:color w:val="000000"/>
                <w:sz w:val="24"/>
                <w:szCs w:val="24"/>
              </w:rPr>
              <w:t>roenerģijas pieslēguma ietvaros</w:t>
            </w:r>
            <w:r w:rsidR="00CC763B" w:rsidRPr="00294714">
              <w:rPr>
                <w:rFonts w:ascii="Times New Roman" w:hAnsi="Times New Roman"/>
                <w:color w:val="000000"/>
                <w:sz w:val="24"/>
                <w:szCs w:val="24"/>
              </w:rPr>
              <w:t xml:space="preserve"> gan saņem elektroenerģiju no </w:t>
            </w:r>
            <w:r w:rsidR="004C5669" w:rsidRPr="00294714">
              <w:rPr>
                <w:rFonts w:ascii="Times New Roman" w:hAnsi="Times New Roman"/>
                <w:color w:val="000000"/>
                <w:sz w:val="24"/>
                <w:szCs w:val="24"/>
              </w:rPr>
              <w:t xml:space="preserve">sadales sistēmas operatora </w:t>
            </w:r>
            <w:r w:rsidR="00626151" w:rsidRPr="00294714">
              <w:rPr>
                <w:rFonts w:ascii="Times New Roman" w:hAnsi="Times New Roman"/>
                <w:color w:val="000000"/>
                <w:sz w:val="24"/>
                <w:szCs w:val="24"/>
              </w:rPr>
              <w:t>elektro</w:t>
            </w:r>
            <w:r w:rsidR="004C5669" w:rsidRPr="00294714">
              <w:rPr>
                <w:rFonts w:ascii="Times New Roman" w:hAnsi="Times New Roman"/>
                <w:color w:val="000000"/>
                <w:sz w:val="24"/>
                <w:szCs w:val="24"/>
              </w:rPr>
              <w:t>tīkla</w:t>
            </w:r>
            <w:r w:rsidR="00CC763B" w:rsidRPr="00294714">
              <w:rPr>
                <w:rFonts w:ascii="Times New Roman" w:hAnsi="Times New Roman"/>
                <w:color w:val="000000"/>
                <w:sz w:val="24"/>
                <w:szCs w:val="24"/>
              </w:rPr>
              <w:t xml:space="preserve">, gan nodod </w:t>
            </w:r>
            <w:r w:rsidR="004C5669" w:rsidRPr="00294714">
              <w:rPr>
                <w:rFonts w:ascii="Times New Roman" w:hAnsi="Times New Roman"/>
                <w:color w:val="000000"/>
                <w:sz w:val="24"/>
                <w:szCs w:val="24"/>
              </w:rPr>
              <w:t>tajā</w:t>
            </w:r>
            <w:r w:rsidR="00CC763B" w:rsidRPr="00294714">
              <w:rPr>
                <w:rFonts w:ascii="Times New Roman" w:hAnsi="Times New Roman"/>
                <w:color w:val="000000"/>
                <w:sz w:val="24"/>
                <w:szCs w:val="24"/>
              </w:rPr>
              <w:t xml:space="preserve"> </w:t>
            </w:r>
            <w:r w:rsidR="004C5669" w:rsidRPr="00294714">
              <w:rPr>
                <w:rFonts w:ascii="Times New Roman" w:hAnsi="Times New Roman"/>
                <w:color w:val="000000"/>
                <w:sz w:val="24"/>
                <w:szCs w:val="24"/>
              </w:rPr>
              <w:t>elektroenerģijas ražošanas iekārtu, kuru darba spriegums nepārsniedz 400 voltu un kopējā darba strāva vienfāzes vai trīsfāzu pieslēgumā nepārsniedz 16 ampēru</w:t>
            </w:r>
            <w:r w:rsidR="006972EA">
              <w:rPr>
                <w:rFonts w:ascii="Times New Roman" w:hAnsi="Times New Roman"/>
                <w:color w:val="000000"/>
                <w:sz w:val="24"/>
                <w:szCs w:val="24"/>
              </w:rPr>
              <w:t xml:space="preserve"> (turpmāk – </w:t>
            </w:r>
            <w:proofErr w:type="spellStart"/>
            <w:r w:rsidR="006972EA">
              <w:rPr>
                <w:rFonts w:ascii="Times New Roman" w:hAnsi="Times New Roman"/>
                <w:color w:val="000000"/>
                <w:sz w:val="24"/>
                <w:szCs w:val="24"/>
              </w:rPr>
              <w:t>mikroģeneratoru</w:t>
            </w:r>
            <w:proofErr w:type="spellEnd"/>
            <w:r w:rsidR="006972EA">
              <w:rPr>
                <w:rFonts w:ascii="Times New Roman" w:hAnsi="Times New Roman"/>
                <w:color w:val="000000"/>
                <w:sz w:val="24"/>
                <w:szCs w:val="24"/>
              </w:rPr>
              <w:t>)</w:t>
            </w:r>
            <w:r w:rsidR="00D02D0C">
              <w:rPr>
                <w:rFonts w:ascii="Times New Roman" w:hAnsi="Times New Roman"/>
                <w:color w:val="000000"/>
                <w:sz w:val="24"/>
                <w:szCs w:val="24"/>
              </w:rPr>
              <w:t>,</w:t>
            </w:r>
            <w:r w:rsidR="00CC763B" w:rsidRPr="00294714">
              <w:rPr>
                <w:rFonts w:ascii="Times New Roman" w:hAnsi="Times New Roman"/>
                <w:color w:val="000000"/>
                <w:sz w:val="24"/>
                <w:szCs w:val="24"/>
              </w:rPr>
              <w:t xml:space="preserve"> saražoto elektroenerģiju, un sadales sistēmas operatora tiesiskās attiecības.</w:t>
            </w:r>
            <w:r w:rsidR="00CC763B" w:rsidRPr="00CC763B">
              <w:rPr>
                <w:rFonts w:ascii="Times New Roman" w:hAnsi="Times New Roman"/>
                <w:color w:val="000000"/>
                <w:sz w:val="24"/>
                <w:szCs w:val="24"/>
              </w:rPr>
              <w:t xml:space="preserve"> </w:t>
            </w:r>
          </w:p>
          <w:p w:rsidR="00626151" w:rsidRDefault="004C5669" w:rsidP="004C5669">
            <w:pPr>
              <w:pStyle w:val="ListParagraph"/>
              <w:spacing w:after="120"/>
              <w:ind w:left="0"/>
              <w:jc w:val="both"/>
              <w:rPr>
                <w:rFonts w:ascii="Times New Roman" w:hAnsi="Times New Roman"/>
                <w:sz w:val="24"/>
                <w:szCs w:val="24"/>
              </w:rPr>
            </w:pPr>
            <w:r>
              <w:rPr>
                <w:rFonts w:ascii="Times New Roman" w:hAnsi="Times New Roman"/>
                <w:sz w:val="24"/>
                <w:szCs w:val="24"/>
              </w:rPr>
              <w:t>Noteikumu projektā</w:t>
            </w:r>
            <w:r w:rsidR="00D23956" w:rsidRPr="00AB7A06">
              <w:rPr>
                <w:rFonts w:ascii="Times New Roman" w:hAnsi="Times New Roman"/>
                <w:sz w:val="24"/>
                <w:szCs w:val="24"/>
              </w:rPr>
              <w:t xml:space="preserve"> ietvertās normas nosaka</w:t>
            </w:r>
            <w:r>
              <w:rPr>
                <w:rFonts w:ascii="Times New Roman" w:hAnsi="Times New Roman"/>
                <w:sz w:val="24"/>
                <w:szCs w:val="24"/>
              </w:rPr>
              <w:t>,</w:t>
            </w:r>
            <w:r w:rsidR="00D23956" w:rsidRPr="00AB7A06">
              <w:rPr>
                <w:rFonts w:ascii="Times New Roman" w:hAnsi="Times New Roman"/>
                <w:sz w:val="24"/>
                <w:szCs w:val="24"/>
              </w:rPr>
              <w:t xml:space="preserve"> kā mājsaimniecības lietotājs kļūst par </w:t>
            </w:r>
            <w:r>
              <w:rPr>
                <w:rFonts w:ascii="Times New Roman" w:hAnsi="Times New Roman"/>
                <w:sz w:val="24"/>
                <w:szCs w:val="24"/>
              </w:rPr>
              <w:t xml:space="preserve">elektroenerģijas </w:t>
            </w:r>
            <w:r w:rsidR="00D23956" w:rsidRPr="00AB7A06">
              <w:rPr>
                <w:rFonts w:ascii="Times New Roman" w:hAnsi="Times New Roman"/>
                <w:sz w:val="24"/>
                <w:szCs w:val="24"/>
              </w:rPr>
              <w:t>neto norēķinu sistēmas lietotāju</w:t>
            </w:r>
            <w:r>
              <w:rPr>
                <w:rFonts w:ascii="Times New Roman" w:hAnsi="Times New Roman"/>
                <w:sz w:val="24"/>
                <w:szCs w:val="24"/>
              </w:rPr>
              <w:t>,</w:t>
            </w:r>
            <w:r w:rsidR="00D23956" w:rsidRPr="00AB7A06">
              <w:rPr>
                <w:rFonts w:ascii="Times New Roman" w:hAnsi="Times New Roman"/>
                <w:sz w:val="24"/>
                <w:szCs w:val="24"/>
              </w:rPr>
              <w:t xml:space="preserve"> un tāpat ietver sadales sistēmas operatora un mājsaimniecības lietotāja tiesības un pienākumus.</w:t>
            </w:r>
            <w:r w:rsidR="00D23956">
              <w:rPr>
                <w:rFonts w:ascii="Times New Roman" w:hAnsi="Times New Roman"/>
                <w:sz w:val="24"/>
                <w:szCs w:val="24"/>
              </w:rPr>
              <w:t xml:space="preserve"> </w:t>
            </w:r>
          </w:p>
          <w:p w:rsidR="00D23956" w:rsidRPr="00AB7A06" w:rsidRDefault="00B51D9E" w:rsidP="00A77916">
            <w:pPr>
              <w:pStyle w:val="ListParagraph"/>
              <w:spacing w:after="120"/>
              <w:ind w:left="0"/>
              <w:jc w:val="both"/>
              <w:rPr>
                <w:rFonts w:ascii="Times New Roman" w:hAnsi="Times New Roman"/>
                <w:sz w:val="24"/>
                <w:szCs w:val="24"/>
              </w:rPr>
            </w:pPr>
            <w:r>
              <w:rPr>
                <w:rFonts w:ascii="Times New Roman" w:hAnsi="Times New Roman"/>
                <w:sz w:val="24"/>
                <w:szCs w:val="24"/>
              </w:rPr>
              <w:t>Lai</w:t>
            </w:r>
            <w:r w:rsidR="00626151">
              <w:rPr>
                <w:rFonts w:ascii="Times New Roman" w:hAnsi="Times New Roman"/>
                <w:sz w:val="24"/>
                <w:szCs w:val="24"/>
              </w:rPr>
              <w:t xml:space="preserve"> precīzi izteiktu, kād</w:t>
            </w:r>
            <w:r>
              <w:rPr>
                <w:rFonts w:ascii="Times New Roman" w:hAnsi="Times New Roman"/>
                <w:sz w:val="24"/>
                <w:szCs w:val="24"/>
              </w:rPr>
              <w:t>s</w:t>
            </w:r>
            <w:r w:rsidR="00626151">
              <w:rPr>
                <w:rFonts w:ascii="Times New Roman" w:hAnsi="Times New Roman"/>
                <w:sz w:val="24"/>
                <w:szCs w:val="24"/>
              </w:rPr>
              <w:t xml:space="preserve"> elektroenerģijas </w:t>
            </w:r>
            <w:r>
              <w:rPr>
                <w:rFonts w:ascii="Times New Roman" w:hAnsi="Times New Roman"/>
                <w:sz w:val="24"/>
                <w:szCs w:val="24"/>
              </w:rPr>
              <w:t xml:space="preserve">apjoms tiek ņemts vērā </w:t>
            </w:r>
            <w:r w:rsidR="00626151">
              <w:rPr>
                <w:rFonts w:ascii="Times New Roman" w:hAnsi="Times New Roman"/>
                <w:sz w:val="24"/>
                <w:szCs w:val="24"/>
              </w:rPr>
              <w:t xml:space="preserve">elektroenerģijas neto norēķinu sistēmas ietvaros, </w:t>
            </w:r>
            <w:r w:rsidR="00D23956" w:rsidRPr="00AB7A06">
              <w:rPr>
                <w:rFonts w:ascii="Times New Roman" w:hAnsi="Times New Roman"/>
                <w:sz w:val="24"/>
                <w:szCs w:val="24"/>
              </w:rPr>
              <w:t>un ievērojot normatīvo aktu izstrādes principus</w:t>
            </w:r>
            <w:r>
              <w:rPr>
                <w:rFonts w:ascii="Times New Roman" w:hAnsi="Times New Roman"/>
                <w:sz w:val="24"/>
                <w:szCs w:val="24"/>
              </w:rPr>
              <w:t>,</w:t>
            </w:r>
            <w:r w:rsidR="00D23956" w:rsidRPr="00AB7A06">
              <w:rPr>
                <w:rFonts w:ascii="Times New Roman" w:hAnsi="Times New Roman"/>
                <w:sz w:val="24"/>
                <w:szCs w:val="24"/>
              </w:rPr>
              <w:t xml:space="preserve"> </w:t>
            </w:r>
            <w:r w:rsidR="00432718">
              <w:rPr>
                <w:rFonts w:ascii="Times New Roman" w:hAnsi="Times New Roman"/>
                <w:sz w:val="24"/>
                <w:szCs w:val="24"/>
              </w:rPr>
              <w:t>N</w:t>
            </w:r>
            <w:r w:rsidR="00D23956" w:rsidRPr="00AB7A06">
              <w:rPr>
                <w:rFonts w:ascii="Times New Roman" w:hAnsi="Times New Roman"/>
                <w:sz w:val="24"/>
                <w:szCs w:val="24"/>
              </w:rPr>
              <w:t xml:space="preserve">oteikumu 2.punkts tiek papildināts ar </w:t>
            </w:r>
            <w:r w:rsidR="00626151">
              <w:rPr>
                <w:rFonts w:ascii="Times New Roman" w:hAnsi="Times New Roman"/>
                <w:sz w:val="24"/>
                <w:szCs w:val="24"/>
              </w:rPr>
              <w:t>terminu „neto patēriņš”</w:t>
            </w:r>
            <w:r w:rsidR="00D23956" w:rsidRPr="00AB7A06">
              <w:rPr>
                <w:rFonts w:ascii="Times New Roman" w:hAnsi="Times New Roman"/>
                <w:sz w:val="24"/>
                <w:szCs w:val="24"/>
              </w:rPr>
              <w:t xml:space="preserve">, </w:t>
            </w:r>
            <w:r w:rsidR="00626151">
              <w:rPr>
                <w:rFonts w:ascii="Times New Roman" w:hAnsi="Times New Roman"/>
                <w:sz w:val="24"/>
                <w:szCs w:val="24"/>
              </w:rPr>
              <w:t>skaidrojot tā jēgu</w:t>
            </w:r>
            <w:r w:rsidR="00D23956" w:rsidRPr="00AB7A06">
              <w:rPr>
                <w:rFonts w:ascii="Times New Roman" w:hAnsi="Times New Roman"/>
                <w:sz w:val="24"/>
                <w:szCs w:val="24"/>
              </w:rPr>
              <w:t xml:space="preserve">. </w:t>
            </w:r>
          </w:p>
          <w:p w:rsidR="003A71D2" w:rsidRDefault="006972EA" w:rsidP="006972EA">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Elektroenerģijas neto norēķinu sistēmas darbības uzsākšanai lietotājs un sadales sistēmas operators slēdz vienošanos, kura ir </w:t>
            </w:r>
            <w:r w:rsidRPr="006972EA">
              <w:rPr>
                <w:rFonts w:ascii="Times New Roman" w:hAnsi="Times New Roman"/>
                <w:color w:val="000000"/>
                <w:sz w:val="24"/>
                <w:szCs w:val="24"/>
              </w:rPr>
              <w:t xml:space="preserve"> </w:t>
            </w:r>
            <w:r w:rsidR="00AB498F" w:rsidRPr="00AB498F">
              <w:rPr>
                <w:rFonts w:ascii="Times New Roman" w:hAnsi="Times New Roman"/>
                <w:color w:val="000000"/>
                <w:sz w:val="24"/>
                <w:szCs w:val="24"/>
              </w:rPr>
              <w:t xml:space="preserve">elektroenerģijas pieslēguma līguma </w:t>
            </w:r>
            <w:r w:rsidR="00AB498F">
              <w:rPr>
                <w:rFonts w:ascii="Times New Roman" w:hAnsi="Times New Roman"/>
                <w:color w:val="000000"/>
                <w:sz w:val="24"/>
                <w:szCs w:val="24"/>
              </w:rPr>
              <w:t xml:space="preserve">vai </w:t>
            </w:r>
            <w:r w:rsidRPr="006972EA">
              <w:rPr>
                <w:rFonts w:ascii="Times New Roman" w:hAnsi="Times New Roman"/>
                <w:color w:val="000000"/>
                <w:sz w:val="24"/>
                <w:szCs w:val="24"/>
              </w:rPr>
              <w:t>sistēmas pakalpojuma līguma sastāvdaļa</w:t>
            </w:r>
            <w:r w:rsidR="003A71D2">
              <w:rPr>
                <w:rFonts w:ascii="Times New Roman" w:hAnsi="Times New Roman"/>
                <w:color w:val="000000"/>
                <w:sz w:val="24"/>
                <w:szCs w:val="24"/>
              </w:rPr>
              <w:t xml:space="preserve">. </w:t>
            </w:r>
          </w:p>
          <w:p w:rsidR="001C08A9" w:rsidRDefault="00D23956" w:rsidP="001C08A9">
            <w:pPr>
              <w:spacing w:after="120" w:line="240" w:lineRule="auto"/>
              <w:jc w:val="both"/>
              <w:rPr>
                <w:rFonts w:ascii="Times New Roman" w:hAnsi="Times New Roman"/>
                <w:color w:val="000000"/>
                <w:sz w:val="24"/>
                <w:szCs w:val="24"/>
              </w:rPr>
            </w:pPr>
            <w:r>
              <w:rPr>
                <w:rFonts w:ascii="Times New Roman" w:hAnsi="Times New Roman"/>
                <w:sz w:val="24"/>
                <w:szCs w:val="24"/>
              </w:rPr>
              <w:t xml:space="preserve">Viens no nosacījumiem, lai </w:t>
            </w:r>
            <w:r w:rsidR="00B51D9E">
              <w:rPr>
                <w:rFonts w:ascii="Times New Roman" w:hAnsi="Times New Roman"/>
                <w:sz w:val="24"/>
                <w:szCs w:val="24"/>
              </w:rPr>
              <w:t xml:space="preserve">elektroenerģijas </w:t>
            </w:r>
            <w:r>
              <w:rPr>
                <w:rFonts w:ascii="Times New Roman" w:hAnsi="Times New Roman"/>
                <w:sz w:val="24"/>
                <w:szCs w:val="24"/>
              </w:rPr>
              <w:t xml:space="preserve">neto norēķinu </w:t>
            </w:r>
            <w:r w:rsidR="00B51D9E">
              <w:rPr>
                <w:rFonts w:ascii="Times New Roman" w:hAnsi="Times New Roman"/>
                <w:sz w:val="24"/>
                <w:szCs w:val="24"/>
              </w:rPr>
              <w:t>sistēma tiktu</w:t>
            </w:r>
            <w:r>
              <w:rPr>
                <w:rFonts w:ascii="Times New Roman" w:hAnsi="Times New Roman"/>
                <w:sz w:val="24"/>
                <w:szCs w:val="24"/>
              </w:rPr>
              <w:t xml:space="preserve"> īstenot</w:t>
            </w:r>
            <w:r w:rsidR="00B51D9E">
              <w:rPr>
                <w:rFonts w:ascii="Times New Roman" w:hAnsi="Times New Roman"/>
                <w:sz w:val="24"/>
                <w:szCs w:val="24"/>
              </w:rPr>
              <w:t>a, ir</w:t>
            </w:r>
            <w:r>
              <w:rPr>
                <w:rFonts w:ascii="Times New Roman" w:hAnsi="Times New Roman"/>
                <w:sz w:val="24"/>
                <w:szCs w:val="24"/>
              </w:rPr>
              <w:t xml:space="preserve"> </w:t>
            </w:r>
            <w:r w:rsidR="00B51D9E">
              <w:rPr>
                <w:rFonts w:ascii="Times New Roman" w:hAnsi="Times New Roman"/>
                <w:sz w:val="24"/>
                <w:szCs w:val="24"/>
              </w:rPr>
              <w:t xml:space="preserve">iespēja </w:t>
            </w:r>
            <w:r>
              <w:rPr>
                <w:rFonts w:ascii="Times New Roman" w:hAnsi="Times New Roman"/>
                <w:sz w:val="24"/>
                <w:szCs w:val="24"/>
              </w:rPr>
              <w:t xml:space="preserve">uzskaitīt elektroenerģijas </w:t>
            </w:r>
            <w:r w:rsidR="00A17455">
              <w:rPr>
                <w:rFonts w:ascii="Times New Roman" w:hAnsi="Times New Roman"/>
                <w:sz w:val="24"/>
                <w:szCs w:val="24"/>
              </w:rPr>
              <w:t>divvirzienu plūsmas</w:t>
            </w:r>
            <w:r>
              <w:rPr>
                <w:rFonts w:ascii="Times New Roman" w:hAnsi="Times New Roman"/>
                <w:sz w:val="24"/>
                <w:szCs w:val="24"/>
              </w:rPr>
              <w:t xml:space="preserve">, tādēļ </w:t>
            </w:r>
            <w:r w:rsidR="00D02D0C">
              <w:rPr>
                <w:rFonts w:ascii="Times New Roman" w:hAnsi="Times New Roman"/>
                <w:sz w:val="24"/>
                <w:szCs w:val="24"/>
              </w:rPr>
              <w:t xml:space="preserve">sadales sistēmas operatoram ir jāuzstāda </w:t>
            </w:r>
            <w:r w:rsidR="00B51D9E">
              <w:rPr>
                <w:rFonts w:ascii="Times New Roman" w:hAnsi="Times New Roman"/>
                <w:sz w:val="24"/>
                <w:szCs w:val="24"/>
              </w:rPr>
              <w:t xml:space="preserve">elektroenerģijas </w:t>
            </w:r>
            <w:r>
              <w:rPr>
                <w:rFonts w:ascii="Times New Roman" w:hAnsi="Times New Roman"/>
                <w:sz w:val="24"/>
                <w:szCs w:val="24"/>
              </w:rPr>
              <w:t>neto norēķinu sistēmas lietot</w:t>
            </w:r>
            <w:r w:rsidR="00B51D9E">
              <w:rPr>
                <w:rFonts w:ascii="Times New Roman" w:hAnsi="Times New Roman"/>
                <w:sz w:val="24"/>
                <w:szCs w:val="24"/>
              </w:rPr>
              <w:t xml:space="preserve">ājiem </w:t>
            </w:r>
            <w:r w:rsidR="00D02D0C">
              <w:rPr>
                <w:rFonts w:ascii="Times New Roman" w:hAnsi="Times New Roman"/>
                <w:sz w:val="24"/>
                <w:szCs w:val="24"/>
              </w:rPr>
              <w:t>attiecīgs skaitītājs</w:t>
            </w:r>
            <w:r>
              <w:rPr>
                <w:rFonts w:ascii="Times New Roman" w:hAnsi="Times New Roman"/>
                <w:sz w:val="24"/>
                <w:szCs w:val="24"/>
              </w:rPr>
              <w:t xml:space="preserve">. </w:t>
            </w:r>
            <w:r w:rsidR="001C08A9">
              <w:rPr>
                <w:rFonts w:ascii="Times New Roman" w:hAnsi="Times New Roman"/>
                <w:color w:val="000000"/>
                <w:sz w:val="24"/>
                <w:szCs w:val="24"/>
              </w:rPr>
              <w:t xml:space="preserve"> </w:t>
            </w:r>
          </w:p>
          <w:p w:rsidR="001C08A9" w:rsidRPr="00A17455" w:rsidRDefault="001C08A9" w:rsidP="001C08A9">
            <w:pPr>
              <w:spacing w:after="120" w:line="240" w:lineRule="auto"/>
              <w:jc w:val="both"/>
              <w:rPr>
                <w:rFonts w:ascii="Times New Roman" w:hAnsi="Times New Roman"/>
                <w:bCs/>
                <w:sz w:val="24"/>
                <w:szCs w:val="24"/>
              </w:rPr>
            </w:pPr>
            <w:r>
              <w:rPr>
                <w:rFonts w:ascii="Times New Roman" w:hAnsi="Times New Roman"/>
                <w:color w:val="000000"/>
                <w:sz w:val="24"/>
                <w:szCs w:val="24"/>
              </w:rPr>
              <w:t xml:space="preserve">Lai </w:t>
            </w:r>
            <w:r w:rsidRPr="00A17455">
              <w:rPr>
                <w:rFonts w:ascii="Times New Roman" w:hAnsi="Times New Roman"/>
                <w:color w:val="000000"/>
                <w:sz w:val="24"/>
                <w:szCs w:val="24"/>
              </w:rPr>
              <w:t xml:space="preserve">nodrošinātu, ka elektroenerģijas neto norēķinu sistēmas lietotāja </w:t>
            </w:r>
            <w:proofErr w:type="spellStart"/>
            <w:r w:rsidRPr="00A17455">
              <w:rPr>
                <w:rFonts w:ascii="Times New Roman" w:hAnsi="Times New Roman"/>
                <w:color w:val="000000"/>
                <w:sz w:val="24"/>
                <w:szCs w:val="24"/>
              </w:rPr>
              <w:t>mikroģenerators</w:t>
            </w:r>
            <w:proofErr w:type="spellEnd"/>
            <w:r w:rsidRPr="00A17455">
              <w:rPr>
                <w:rFonts w:ascii="Times New Roman" w:hAnsi="Times New Roman"/>
                <w:color w:val="000000"/>
                <w:sz w:val="24"/>
                <w:szCs w:val="24"/>
              </w:rPr>
              <w:t xml:space="preserve"> nerada elektrotīkla darbības traucējumus, ietekmējot pārējo lietotāju saņemtā sadales sistēmas pakalpojuma kvalitāti, noteikumu projekts arī paredz, ka, </w:t>
            </w:r>
            <w:r w:rsidRPr="00A17455">
              <w:rPr>
                <w:rFonts w:ascii="Times New Roman" w:hAnsi="Times New Roman"/>
                <w:bCs/>
                <w:sz w:val="24"/>
                <w:szCs w:val="24"/>
              </w:rPr>
              <w:t xml:space="preserve"> iepriekš brīdinot,  sadales sistēmas operatoram ir tiesības veikt mājsaimniecības</w:t>
            </w:r>
            <w:r w:rsidRPr="001C54F3">
              <w:rPr>
                <w:rFonts w:ascii="Times New Roman" w:hAnsi="Times New Roman"/>
                <w:bCs/>
                <w:sz w:val="24"/>
                <w:szCs w:val="24"/>
              </w:rPr>
              <w:t xml:space="preserve"> lietotāja </w:t>
            </w:r>
            <w:proofErr w:type="spellStart"/>
            <w:r w:rsidRPr="001C54F3">
              <w:rPr>
                <w:rFonts w:ascii="Times New Roman" w:hAnsi="Times New Roman"/>
                <w:bCs/>
                <w:sz w:val="24"/>
                <w:szCs w:val="24"/>
              </w:rPr>
              <w:t>mikroģeneratora</w:t>
            </w:r>
            <w:proofErr w:type="spellEnd"/>
            <w:r w:rsidRPr="001C54F3">
              <w:rPr>
                <w:rFonts w:ascii="Times New Roman" w:hAnsi="Times New Roman"/>
                <w:bCs/>
                <w:sz w:val="24"/>
                <w:szCs w:val="24"/>
              </w:rPr>
              <w:t xml:space="preserve"> apskati un </w:t>
            </w:r>
            <w:r>
              <w:rPr>
                <w:rFonts w:ascii="Times New Roman" w:hAnsi="Times New Roman"/>
                <w:bCs/>
                <w:sz w:val="24"/>
                <w:szCs w:val="24"/>
              </w:rPr>
              <w:t>tā</w:t>
            </w:r>
            <w:r w:rsidRPr="001C54F3">
              <w:rPr>
                <w:rFonts w:ascii="Times New Roman" w:hAnsi="Times New Roman"/>
                <w:bCs/>
                <w:sz w:val="24"/>
                <w:szCs w:val="24"/>
              </w:rPr>
              <w:t xml:space="preserve"> aizsardzības iestatījumu pārbaudi ekspluatācijas laikā</w:t>
            </w:r>
            <w:r>
              <w:rPr>
                <w:rFonts w:ascii="Times New Roman" w:hAnsi="Times New Roman"/>
                <w:bCs/>
                <w:sz w:val="24"/>
                <w:szCs w:val="24"/>
              </w:rPr>
              <w:t>.</w:t>
            </w:r>
            <w:r w:rsidRPr="003A71D2">
              <w:rPr>
                <w:rFonts w:ascii="Times New Roman" w:hAnsi="Times New Roman"/>
                <w:color w:val="000000"/>
                <w:sz w:val="24"/>
                <w:szCs w:val="24"/>
              </w:rPr>
              <w:t xml:space="preserve"> </w:t>
            </w:r>
            <w:r>
              <w:rPr>
                <w:rFonts w:ascii="Times New Roman" w:hAnsi="Times New Roman"/>
                <w:color w:val="000000"/>
                <w:sz w:val="24"/>
                <w:szCs w:val="24"/>
              </w:rPr>
              <w:t xml:space="preserve"> </w:t>
            </w:r>
          </w:p>
          <w:p w:rsidR="00A77916" w:rsidRDefault="00D23956" w:rsidP="00A77916">
            <w:pPr>
              <w:pStyle w:val="ListParagraph"/>
              <w:ind w:left="0"/>
              <w:jc w:val="both"/>
              <w:rPr>
                <w:rFonts w:ascii="Times New Roman" w:hAnsi="Times New Roman"/>
                <w:sz w:val="24"/>
                <w:szCs w:val="24"/>
              </w:rPr>
            </w:pPr>
            <w:r>
              <w:rPr>
                <w:rFonts w:ascii="Times New Roman" w:hAnsi="Times New Roman"/>
                <w:sz w:val="24"/>
                <w:szCs w:val="24"/>
              </w:rPr>
              <w:t xml:space="preserve">Sistēmas lietotājam ikmēneša norēķins par elektroenerģiju būs atkarīgs no </w:t>
            </w:r>
            <w:r w:rsidR="00B51D9E">
              <w:rPr>
                <w:rFonts w:ascii="Times New Roman" w:hAnsi="Times New Roman"/>
                <w:sz w:val="24"/>
                <w:szCs w:val="24"/>
              </w:rPr>
              <w:t xml:space="preserve">sadales </w:t>
            </w:r>
            <w:r>
              <w:rPr>
                <w:rFonts w:ascii="Times New Roman" w:hAnsi="Times New Roman"/>
                <w:sz w:val="24"/>
                <w:szCs w:val="24"/>
              </w:rPr>
              <w:t>sistēmas operatora aprēķinātā neto patēriņa, proti</w:t>
            </w:r>
            <w:r w:rsidR="00B51D9E">
              <w:rPr>
                <w:rFonts w:ascii="Times New Roman" w:hAnsi="Times New Roman"/>
                <w:sz w:val="24"/>
                <w:szCs w:val="24"/>
              </w:rPr>
              <w:t>,</w:t>
            </w:r>
            <w:r>
              <w:rPr>
                <w:rFonts w:ascii="Times New Roman" w:hAnsi="Times New Roman"/>
                <w:sz w:val="24"/>
                <w:szCs w:val="24"/>
              </w:rPr>
              <w:t xml:space="preserve"> operators uzskaitīs gan </w:t>
            </w:r>
            <w:r w:rsidR="00B51D9E">
              <w:rPr>
                <w:rFonts w:ascii="Times New Roman" w:hAnsi="Times New Roman"/>
                <w:sz w:val="24"/>
                <w:szCs w:val="24"/>
              </w:rPr>
              <w:t xml:space="preserve">saņemto, gan </w:t>
            </w:r>
            <w:r>
              <w:rPr>
                <w:rFonts w:ascii="Times New Roman" w:hAnsi="Times New Roman"/>
                <w:sz w:val="24"/>
                <w:szCs w:val="24"/>
              </w:rPr>
              <w:t xml:space="preserve">elektrotīklā </w:t>
            </w:r>
            <w:r w:rsidR="00D02D0C">
              <w:rPr>
                <w:rFonts w:ascii="Times New Roman" w:hAnsi="Times New Roman"/>
                <w:sz w:val="24"/>
                <w:szCs w:val="24"/>
              </w:rPr>
              <w:t xml:space="preserve"> nodoto </w:t>
            </w:r>
            <w:r w:rsidR="00B51D9E">
              <w:rPr>
                <w:rFonts w:ascii="Times New Roman" w:hAnsi="Times New Roman"/>
                <w:sz w:val="24"/>
                <w:szCs w:val="24"/>
              </w:rPr>
              <w:t>elektroenerģiju</w:t>
            </w:r>
            <w:r>
              <w:rPr>
                <w:rFonts w:ascii="Times New Roman" w:hAnsi="Times New Roman"/>
                <w:sz w:val="24"/>
                <w:szCs w:val="24"/>
              </w:rPr>
              <w:t xml:space="preserve">. Šo plūsmu starpība ir lietotāja neto patēriņš. Ja neto patēriņš </w:t>
            </w:r>
            <w:r w:rsidR="00A77916">
              <w:rPr>
                <w:rFonts w:ascii="Times New Roman" w:hAnsi="Times New Roman"/>
                <w:sz w:val="24"/>
                <w:szCs w:val="24"/>
              </w:rPr>
              <w:t>ir:</w:t>
            </w:r>
          </w:p>
          <w:p w:rsidR="00A77916" w:rsidRDefault="00D23956" w:rsidP="00A77916">
            <w:pPr>
              <w:pStyle w:val="ListParagraph"/>
              <w:numPr>
                <w:ilvl w:val="0"/>
                <w:numId w:val="19"/>
              </w:numPr>
              <w:jc w:val="both"/>
              <w:rPr>
                <w:rFonts w:ascii="Times New Roman" w:hAnsi="Times New Roman"/>
                <w:sz w:val="24"/>
                <w:szCs w:val="24"/>
              </w:rPr>
            </w:pPr>
            <w:r>
              <w:rPr>
                <w:rFonts w:ascii="Times New Roman" w:hAnsi="Times New Roman"/>
                <w:sz w:val="24"/>
                <w:szCs w:val="24"/>
              </w:rPr>
              <w:t>pozitīvs (no elektrotīkla ir patērēts</w:t>
            </w:r>
            <w:r w:rsidR="00B51D9E">
              <w:rPr>
                <w:rFonts w:ascii="Times New Roman" w:hAnsi="Times New Roman"/>
                <w:sz w:val="24"/>
                <w:szCs w:val="24"/>
              </w:rPr>
              <w:t>,</w:t>
            </w:r>
            <w:r>
              <w:rPr>
                <w:rFonts w:ascii="Times New Roman" w:hAnsi="Times New Roman"/>
                <w:sz w:val="24"/>
                <w:szCs w:val="24"/>
              </w:rPr>
              <w:t xml:space="preserve"> vairāk nekā tajā nodots), tad lietotājam būs pienākums norēķināties par </w:t>
            </w:r>
            <w:r w:rsidR="00A77916">
              <w:rPr>
                <w:rFonts w:ascii="Times New Roman" w:hAnsi="Times New Roman"/>
                <w:sz w:val="24"/>
                <w:szCs w:val="24"/>
              </w:rPr>
              <w:t>neto patēriņu</w:t>
            </w:r>
            <w:r w:rsidR="00A17455">
              <w:rPr>
                <w:rFonts w:ascii="Times New Roman" w:hAnsi="Times New Roman"/>
                <w:sz w:val="24"/>
                <w:szCs w:val="24"/>
              </w:rPr>
              <w:t>;</w:t>
            </w:r>
          </w:p>
          <w:p w:rsidR="00A17455" w:rsidRPr="00A17455" w:rsidRDefault="00D23956" w:rsidP="00A77916">
            <w:pPr>
              <w:pStyle w:val="ListParagraph"/>
              <w:numPr>
                <w:ilvl w:val="0"/>
                <w:numId w:val="19"/>
              </w:numPr>
              <w:spacing w:after="120"/>
              <w:jc w:val="both"/>
              <w:rPr>
                <w:rFonts w:ascii="Times New Roman" w:hAnsi="Times New Roman"/>
                <w:sz w:val="24"/>
                <w:szCs w:val="24"/>
                <w:u w:val="single"/>
              </w:rPr>
            </w:pPr>
            <w:r w:rsidRPr="00AB7A06">
              <w:rPr>
                <w:rFonts w:ascii="Times New Roman" w:hAnsi="Times New Roman"/>
                <w:sz w:val="24"/>
                <w:szCs w:val="24"/>
              </w:rPr>
              <w:t>negatīvs</w:t>
            </w:r>
            <w:r w:rsidR="00B51D9E">
              <w:rPr>
                <w:rFonts w:ascii="Times New Roman" w:hAnsi="Times New Roman"/>
                <w:sz w:val="24"/>
                <w:szCs w:val="24"/>
              </w:rPr>
              <w:t>,</w:t>
            </w:r>
            <w:r w:rsidR="00A77916">
              <w:rPr>
                <w:rFonts w:ascii="Times New Roman" w:hAnsi="Times New Roman"/>
                <w:sz w:val="24"/>
                <w:szCs w:val="24"/>
              </w:rPr>
              <w:t xml:space="preserve"> tad to ieskaita nākamā</w:t>
            </w:r>
            <w:r w:rsidRPr="00AB7A06">
              <w:rPr>
                <w:rFonts w:ascii="Times New Roman" w:hAnsi="Times New Roman"/>
                <w:sz w:val="24"/>
                <w:szCs w:val="24"/>
              </w:rPr>
              <w:t xml:space="preserve"> norēķinu perioda neto aprēķinā</w:t>
            </w:r>
            <w:r w:rsidR="00A77916">
              <w:rPr>
                <w:rFonts w:ascii="Times New Roman" w:hAnsi="Times New Roman"/>
                <w:sz w:val="24"/>
                <w:szCs w:val="24"/>
              </w:rPr>
              <w:t>,</w:t>
            </w:r>
            <w:r w:rsidRPr="00AB7A06">
              <w:rPr>
                <w:rFonts w:ascii="Times New Roman" w:hAnsi="Times New Roman"/>
                <w:sz w:val="24"/>
                <w:szCs w:val="24"/>
              </w:rPr>
              <w:t xml:space="preserve"> un konkrētajā mēnesī par </w:t>
            </w:r>
            <w:r w:rsidR="00A77916">
              <w:rPr>
                <w:rFonts w:ascii="Times New Roman" w:hAnsi="Times New Roman"/>
                <w:sz w:val="24"/>
                <w:szCs w:val="24"/>
              </w:rPr>
              <w:t>elektro</w:t>
            </w:r>
            <w:r w:rsidRPr="00AB7A06">
              <w:rPr>
                <w:rFonts w:ascii="Times New Roman" w:hAnsi="Times New Roman"/>
                <w:sz w:val="24"/>
                <w:szCs w:val="24"/>
              </w:rPr>
              <w:t>enerģiju lietotājs nenorēķinās.</w:t>
            </w:r>
            <w:r w:rsidR="00A77916">
              <w:rPr>
                <w:rFonts w:ascii="Times New Roman" w:hAnsi="Times New Roman"/>
                <w:sz w:val="24"/>
                <w:szCs w:val="24"/>
              </w:rPr>
              <w:t xml:space="preserve"> </w:t>
            </w:r>
          </w:p>
          <w:p w:rsidR="00D23956" w:rsidRPr="00A17455" w:rsidRDefault="00A77916" w:rsidP="00D02D0C">
            <w:pPr>
              <w:spacing w:after="120" w:line="240" w:lineRule="auto"/>
              <w:jc w:val="both"/>
              <w:rPr>
                <w:rFonts w:ascii="Times New Roman" w:hAnsi="Times New Roman"/>
                <w:sz w:val="24"/>
                <w:szCs w:val="24"/>
                <w:u w:val="single"/>
              </w:rPr>
            </w:pPr>
            <w:r w:rsidRPr="00A17455">
              <w:rPr>
                <w:rFonts w:ascii="Times New Roman" w:hAnsi="Times New Roman"/>
                <w:sz w:val="24"/>
                <w:szCs w:val="24"/>
              </w:rPr>
              <w:lastRenderedPageBreak/>
              <w:t xml:space="preserve">Lietotājs gan pozitīva, gan negatīva neto patēriņa gadījumā norēķināsies par saņemtajiem sistēmas pakalpojumiem un obligātā iepirkuma komponenti par </w:t>
            </w:r>
            <w:r w:rsidRPr="00A17455">
              <w:rPr>
                <w:rFonts w:ascii="Times New Roman" w:hAnsi="Times New Roman"/>
                <w:sz w:val="24"/>
                <w:szCs w:val="24"/>
                <w:u w:val="single"/>
              </w:rPr>
              <w:t>visu elektroenerģijas apjomu, kas  norēķinu periodā ir saņemta no elektrotīkla.</w:t>
            </w:r>
          </w:p>
          <w:p w:rsidR="0068719F" w:rsidRDefault="00E75316" w:rsidP="00432718">
            <w:pPr>
              <w:tabs>
                <w:tab w:val="left" w:pos="6095"/>
              </w:tabs>
              <w:spacing w:after="120" w:line="240" w:lineRule="auto"/>
              <w:jc w:val="both"/>
              <w:rPr>
                <w:rFonts w:ascii="Times New Roman" w:hAnsi="Times New Roman"/>
                <w:color w:val="FF0000"/>
                <w:sz w:val="24"/>
                <w:szCs w:val="24"/>
              </w:rPr>
            </w:pPr>
            <w:r w:rsidRPr="00CC763B">
              <w:rPr>
                <w:rFonts w:ascii="Times New Roman" w:hAnsi="Times New Roman"/>
                <w:color w:val="000000"/>
                <w:sz w:val="24"/>
                <w:szCs w:val="24"/>
              </w:rPr>
              <w:t>Noteikumu projekts satur virkni grozījumu, kas maina un uzlabo elektroenerģijas tirgus darbības principus</w:t>
            </w:r>
            <w:r w:rsidR="003D482E">
              <w:rPr>
                <w:rFonts w:ascii="Times New Roman" w:hAnsi="Times New Roman"/>
                <w:color w:val="000000"/>
                <w:sz w:val="24"/>
                <w:szCs w:val="24"/>
              </w:rPr>
              <w:t>,</w:t>
            </w:r>
            <w:r w:rsidRPr="00CC763B">
              <w:rPr>
                <w:rFonts w:ascii="Times New Roman" w:hAnsi="Times New Roman"/>
                <w:color w:val="000000"/>
                <w:sz w:val="24"/>
                <w:szCs w:val="24"/>
              </w:rPr>
              <w:t xml:space="preserve"> un būtiskākās  izmaiņas ir saistītas ar Elektroenerģijas</w:t>
            </w:r>
            <w:r w:rsidRPr="00E75316">
              <w:rPr>
                <w:rFonts w:ascii="Times New Roman" w:hAnsi="Times New Roman"/>
                <w:color w:val="000000"/>
                <w:sz w:val="24"/>
                <w:szCs w:val="24"/>
              </w:rPr>
              <w:t xml:space="preserve"> tirgus likuma  aktuālajām izmaiņām, kas paredz, no 2014.gada 1.aprīļa pilnībā liberalizēt elektroenerģijas tirgu un izbeigt elektroenerģijas cenu regulāciju</w:t>
            </w:r>
            <w:r w:rsidR="00CC763B">
              <w:rPr>
                <w:rFonts w:ascii="Times New Roman" w:hAnsi="Times New Roman"/>
                <w:color w:val="000000"/>
                <w:sz w:val="24"/>
                <w:szCs w:val="24"/>
              </w:rPr>
              <w:t>.</w:t>
            </w:r>
            <w:r w:rsidR="0068719F" w:rsidRPr="00606F99">
              <w:rPr>
                <w:rFonts w:ascii="Times New Roman" w:hAnsi="Times New Roman"/>
                <w:color w:val="FF0000"/>
                <w:sz w:val="24"/>
                <w:szCs w:val="24"/>
              </w:rPr>
              <w:t xml:space="preserve"> </w:t>
            </w:r>
          </w:p>
          <w:p w:rsidR="00432718" w:rsidRPr="0068719F" w:rsidRDefault="00432718" w:rsidP="00432718">
            <w:pPr>
              <w:tabs>
                <w:tab w:val="left" w:pos="6095"/>
              </w:tabs>
              <w:spacing w:after="120" w:line="240" w:lineRule="auto"/>
              <w:jc w:val="both"/>
              <w:rPr>
                <w:rFonts w:ascii="Times New Roman" w:hAnsi="Times New Roman"/>
                <w:color w:val="000000" w:themeColor="text1"/>
                <w:sz w:val="24"/>
                <w:szCs w:val="24"/>
              </w:rPr>
            </w:pPr>
            <w:r w:rsidRPr="0068719F">
              <w:rPr>
                <w:rFonts w:ascii="Times New Roman" w:hAnsi="Times New Roman"/>
                <w:color w:val="000000" w:themeColor="text1"/>
                <w:sz w:val="24"/>
                <w:szCs w:val="24"/>
              </w:rPr>
              <w:t>Saskaņā ar tirgotāju sniegto informāciju, daļa no tiem tirdzniecības piedāvājumu kampaņu</w:t>
            </w:r>
            <w:r w:rsidR="00697DE8">
              <w:rPr>
                <w:rFonts w:ascii="Times New Roman" w:hAnsi="Times New Roman"/>
                <w:color w:val="000000" w:themeColor="text1"/>
                <w:sz w:val="24"/>
                <w:szCs w:val="24"/>
              </w:rPr>
              <w:t>, kas saistīta ar elektroenerģijas tirgus pilnīgu atvēršanu,</w:t>
            </w:r>
            <w:r w:rsidRPr="0068719F">
              <w:rPr>
                <w:rFonts w:ascii="Times New Roman" w:hAnsi="Times New Roman"/>
                <w:color w:val="000000" w:themeColor="text1"/>
                <w:sz w:val="24"/>
                <w:szCs w:val="24"/>
              </w:rPr>
              <w:t xml:space="preserve"> plāno sāk jau 2014. gada janvāra vidū. Lai piedāvājumu saturu vienkāršotu un padarītu pārskatāmu un viegli saprotamu, </w:t>
            </w:r>
            <w:r>
              <w:rPr>
                <w:rFonts w:ascii="Times New Roman" w:hAnsi="Times New Roman"/>
                <w:color w:val="000000" w:themeColor="text1"/>
                <w:sz w:val="24"/>
                <w:szCs w:val="24"/>
              </w:rPr>
              <w:t>veiktas</w:t>
            </w:r>
            <w:r w:rsidRPr="0068719F">
              <w:rPr>
                <w:rFonts w:ascii="Times New Roman" w:hAnsi="Times New Roman"/>
                <w:color w:val="000000" w:themeColor="text1"/>
                <w:sz w:val="24"/>
                <w:szCs w:val="24"/>
              </w:rPr>
              <w:t xml:space="preserve"> izmaiņas regulējumā</w:t>
            </w:r>
            <w:r>
              <w:rPr>
                <w:rFonts w:ascii="Times New Roman" w:hAnsi="Times New Roman"/>
                <w:color w:val="000000" w:themeColor="text1"/>
                <w:sz w:val="24"/>
                <w:szCs w:val="24"/>
              </w:rPr>
              <w:t xml:space="preserve"> (Noteikumu 90. un 91.punkts)</w:t>
            </w:r>
            <w:r w:rsidRPr="0068719F">
              <w:rPr>
                <w:rFonts w:ascii="Times New Roman" w:hAnsi="Times New Roman"/>
                <w:color w:val="000000" w:themeColor="text1"/>
                <w:sz w:val="24"/>
                <w:szCs w:val="24"/>
              </w:rPr>
              <w:t>, kas nosaka</w:t>
            </w:r>
            <w:r>
              <w:t xml:space="preserve"> </w:t>
            </w:r>
            <w:r>
              <w:rPr>
                <w:rFonts w:ascii="Times New Roman" w:hAnsi="Times New Roman"/>
                <w:color w:val="000000" w:themeColor="text1"/>
                <w:sz w:val="24"/>
                <w:szCs w:val="24"/>
              </w:rPr>
              <w:t>e</w:t>
            </w:r>
            <w:r w:rsidRPr="00432718">
              <w:rPr>
                <w:rFonts w:ascii="Times New Roman" w:hAnsi="Times New Roman"/>
                <w:color w:val="000000" w:themeColor="text1"/>
                <w:sz w:val="24"/>
                <w:szCs w:val="24"/>
              </w:rPr>
              <w:t>lektroenerģijas tirdzniecības piedāvājumos</w:t>
            </w:r>
            <w:r>
              <w:rPr>
                <w:rFonts w:ascii="Times New Roman" w:hAnsi="Times New Roman"/>
                <w:color w:val="000000" w:themeColor="text1"/>
                <w:sz w:val="24"/>
                <w:szCs w:val="24"/>
              </w:rPr>
              <w:t xml:space="preserve"> iekļaujamās</w:t>
            </w:r>
            <w:r w:rsidRPr="0068719F">
              <w:rPr>
                <w:rFonts w:ascii="Times New Roman" w:hAnsi="Times New Roman"/>
                <w:color w:val="000000" w:themeColor="text1"/>
                <w:sz w:val="24"/>
                <w:szCs w:val="24"/>
              </w:rPr>
              <w:t xml:space="preserve"> informācijas un līgumu saturu.</w:t>
            </w:r>
            <w:r>
              <w:rPr>
                <w:rFonts w:ascii="Times New Roman" w:hAnsi="Times New Roman"/>
                <w:color w:val="000000" w:themeColor="text1"/>
                <w:sz w:val="24"/>
                <w:szCs w:val="24"/>
              </w:rPr>
              <w:t xml:space="preserve"> No </w:t>
            </w:r>
            <w:r w:rsidR="00697DE8">
              <w:rPr>
                <w:rFonts w:ascii="Times New Roman" w:hAnsi="Times New Roman"/>
                <w:color w:val="000000" w:themeColor="text1"/>
                <w:sz w:val="24"/>
                <w:szCs w:val="24"/>
              </w:rPr>
              <w:t>e</w:t>
            </w:r>
            <w:r w:rsidR="00697DE8" w:rsidRPr="00432718">
              <w:rPr>
                <w:rFonts w:ascii="Times New Roman" w:hAnsi="Times New Roman"/>
                <w:color w:val="000000" w:themeColor="text1"/>
                <w:sz w:val="24"/>
                <w:szCs w:val="24"/>
              </w:rPr>
              <w:t>lektroenerģijas tirdzniecības piedāvājumos</w:t>
            </w:r>
            <w:r w:rsidR="00697DE8">
              <w:rPr>
                <w:rFonts w:ascii="Times New Roman" w:hAnsi="Times New Roman"/>
                <w:color w:val="000000" w:themeColor="text1"/>
                <w:sz w:val="24"/>
                <w:szCs w:val="24"/>
              </w:rPr>
              <w:t xml:space="preserve"> iekļaujamās informācijas </w:t>
            </w:r>
            <w:r>
              <w:rPr>
                <w:rFonts w:ascii="Times New Roman" w:hAnsi="Times New Roman"/>
                <w:color w:val="000000" w:themeColor="text1"/>
                <w:sz w:val="24"/>
                <w:szCs w:val="24"/>
              </w:rPr>
              <w:t>izslēgt</w:t>
            </w:r>
            <w:r w:rsidR="00697DE8">
              <w:rPr>
                <w:rFonts w:ascii="Times New Roman" w:hAnsi="Times New Roman"/>
                <w:color w:val="000000" w:themeColor="text1"/>
                <w:sz w:val="24"/>
                <w:szCs w:val="24"/>
              </w:rPr>
              <w:t>a informācija par</w:t>
            </w:r>
            <w:r>
              <w:rPr>
                <w:rFonts w:ascii="Times New Roman" w:hAnsi="Times New Roman"/>
                <w:color w:val="000000" w:themeColor="text1"/>
                <w:sz w:val="24"/>
                <w:szCs w:val="24"/>
              </w:rPr>
              <w:t xml:space="preserve"> </w:t>
            </w:r>
            <w:r w:rsidRPr="00432718">
              <w:rPr>
                <w:rFonts w:ascii="Times New Roman" w:hAnsi="Times New Roman"/>
                <w:color w:val="000000" w:themeColor="text1"/>
                <w:sz w:val="24"/>
                <w:szCs w:val="24"/>
              </w:rPr>
              <w:t>lietotājam izrakstāmo rēķinu paraug</w:t>
            </w:r>
            <w:r w:rsidR="00697DE8">
              <w:rPr>
                <w:rFonts w:ascii="Times New Roman" w:hAnsi="Times New Roman"/>
                <w:color w:val="000000" w:themeColor="text1"/>
                <w:sz w:val="24"/>
                <w:szCs w:val="24"/>
              </w:rPr>
              <w:t>u</w:t>
            </w:r>
            <w:r w:rsidRPr="00432718">
              <w:rPr>
                <w:rFonts w:ascii="Times New Roman" w:hAnsi="Times New Roman"/>
                <w:color w:val="000000" w:themeColor="text1"/>
                <w:sz w:val="24"/>
                <w:szCs w:val="24"/>
              </w:rPr>
              <w:t>, satur</w:t>
            </w:r>
            <w:r w:rsidR="00697DE8">
              <w:rPr>
                <w:rFonts w:ascii="Times New Roman" w:hAnsi="Times New Roman"/>
                <w:color w:val="000000" w:themeColor="text1"/>
                <w:sz w:val="24"/>
                <w:szCs w:val="24"/>
              </w:rPr>
              <w:t>u</w:t>
            </w:r>
            <w:r w:rsidRPr="00432718">
              <w:rPr>
                <w:rFonts w:ascii="Times New Roman" w:hAnsi="Times New Roman"/>
                <w:color w:val="000000" w:themeColor="text1"/>
                <w:sz w:val="24"/>
                <w:szCs w:val="24"/>
              </w:rPr>
              <w:t>, izrakstīšanas biežum</w:t>
            </w:r>
            <w:r w:rsidR="00697DE8">
              <w:rPr>
                <w:rFonts w:ascii="Times New Roman" w:hAnsi="Times New Roman"/>
                <w:color w:val="000000" w:themeColor="text1"/>
                <w:sz w:val="24"/>
                <w:szCs w:val="24"/>
              </w:rPr>
              <w:t>u</w:t>
            </w:r>
            <w:r w:rsidRPr="00432718">
              <w:rPr>
                <w:rFonts w:ascii="Times New Roman" w:hAnsi="Times New Roman"/>
                <w:color w:val="000000" w:themeColor="text1"/>
                <w:sz w:val="24"/>
                <w:szCs w:val="24"/>
              </w:rPr>
              <w:t xml:space="preserve">, </w:t>
            </w:r>
            <w:r w:rsidR="00697DE8">
              <w:rPr>
                <w:rFonts w:ascii="Times New Roman" w:hAnsi="Times New Roman"/>
                <w:color w:val="000000" w:themeColor="text1"/>
                <w:sz w:val="24"/>
                <w:szCs w:val="24"/>
              </w:rPr>
              <w:t xml:space="preserve"> </w:t>
            </w:r>
            <w:r w:rsidR="00697DE8" w:rsidRPr="00697DE8">
              <w:rPr>
                <w:rFonts w:ascii="Times New Roman" w:hAnsi="Times New Roman"/>
                <w:color w:val="000000" w:themeColor="text1"/>
                <w:sz w:val="24"/>
                <w:szCs w:val="24"/>
              </w:rPr>
              <w:t>iespējamo maksājumu satur</w:t>
            </w:r>
            <w:r w:rsidR="00697DE8">
              <w:rPr>
                <w:rFonts w:ascii="Times New Roman" w:hAnsi="Times New Roman"/>
                <w:color w:val="000000" w:themeColor="text1"/>
                <w:sz w:val="24"/>
                <w:szCs w:val="24"/>
              </w:rPr>
              <w:t xml:space="preserve">u un apmēru, bet, paredzot iekļaut informāciju </w:t>
            </w:r>
            <w:r w:rsidR="00697DE8" w:rsidRPr="00697DE8">
              <w:rPr>
                <w:rFonts w:ascii="Times New Roman" w:hAnsi="Times New Roman"/>
                <w:color w:val="000000" w:themeColor="text1"/>
                <w:sz w:val="24"/>
                <w:szCs w:val="24"/>
              </w:rPr>
              <w:t>par kopējām sagaidāmajām elektroenerģijas izmaksām par 100 kilovatstundām elektroenerģijas, atsevišķi uzrādot</w:t>
            </w:r>
            <w:r w:rsidR="00697DE8">
              <w:rPr>
                <w:rFonts w:ascii="Times New Roman" w:hAnsi="Times New Roman"/>
                <w:color w:val="000000" w:themeColor="text1"/>
                <w:sz w:val="24"/>
                <w:szCs w:val="24"/>
              </w:rPr>
              <w:t xml:space="preserve"> tās veidojošos elementus</w:t>
            </w:r>
            <w:r w:rsidR="00697DE8" w:rsidRPr="00697DE8">
              <w:rPr>
                <w:rFonts w:ascii="Times New Roman" w:hAnsi="Times New Roman"/>
                <w:color w:val="000000" w:themeColor="text1"/>
                <w:sz w:val="24"/>
                <w:szCs w:val="24"/>
              </w:rPr>
              <w:t xml:space="preserve"> elektroenerģijas cenu, maksu par sistēmas pakalpojumiem, obligātā iepirkuma komponentes, un pievienotās vērtības nodokli</w:t>
            </w:r>
            <w:r w:rsidR="00697DE8">
              <w:rPr>
                <w:rFonts w:ascii="Times New Roman" w:hAnsi="Times New Roman"/>
                <w:color w:val="000000" w:themeColor="text1"/>
                <w:sz w:val="24"/>
                <w:szCs w:val="24"/>
              </w:rPr>
              <w:t>.</w:t>
            </w:r>
          </w:p>
          <w:p w:rsidR="004D131C" w:rsidRPr="00A903B8" w:rsidRDefault="003A71D2" w:rsidP="00CB4A18">
            <w:pPr>
              <w:tabs>
                <w:tab w:val="left" w:pos="6095"/>
              </w:tabs>
              <w:spacing w:after="0" w:line="240" w:lineRule="auto"/>
              <w:jc w:val="both"/>
              <w:rPr>
                <w:rFonts w:ascii="Times New Roman" w:hAnsi="Times New Roman"/>
                <w:color w:val="000000"/>
                <w:sz w:val="24"/>
                <w:szCs w:val="24"/>
              </w:rPr>
            </w:pPr>
            <w:r>
              <w:rPr>
                <w:rFonts w:ascii="Times New Roman" w:hAnsi="Times New Roman"/>
                <w:sz w:val="24"/>
                <w:szCs w:val="24"/>
              </w:rPr>
              <w:t>Noteikumu projektā</w:t>
            </w:r>
            <w:r w:rsidR="003D482E" w:rsidRPr="0033576A">
              <w:rPr>
                <w:rFonts w:ascii="Times New Roman" w:hAnsi="Times New Roman"/>
                <w:sz w:val="24"/>
                <w:szCs w:val="24"/>
              </w:rPr>
              <w:t xml:space="preserve">  paredzētās izmaiņas, kas saistītas ar laika, kurā sadales sistēmas operatoram jāveic </w:t>
            </w:r>
            <w:r w:rsidR="004F446E" w:rsidRPr="0033576A">
              <w:rPr>
                <w:rFonts w:ascii="Times New Roman" w:hAnsi="Times New Roman"/>
                <w:sz w:val="24"/>
                <w:szCs w:val="24"/>
              </w:rPr>
              <w:t xml:space="preserve"> lietotāja izvēlētā tirgotāja maiņa saīsināšanu no 21 dienas uz 15 dienām, palielinās laika ietvaru, kurā lietotājs var veikt  tirgotāja izvēli un pieteikt tā maiņu, kura ierasti stājas spēkā nākamajā mēneša pirmajā datumā. Kaut arī </w:t>
            </w:r>
            <w:r w:rsidR="00DA7A7A" w:rsidRPr="0033576A">
              <w:rPr>
                <w:rFonts w:ascii="Times New Roman" w:hAnsi="Times New Roman"/>
                <w:sz w:val="24"/>
                <w:szCs w:val="24"/>
              </w:rPr>
              <w:t xml:space="preserve"> </w:t>
            </w:r>
            <w:r w:rsidR="00CB4A18" w:rsidRPr="0033576A">
              <w:rPr>
                <w:rFonts w:ascii="Times New Roman" w:hAnsi="Times New Roman"/>
                <w:sz w:val="24"/>
                <w:szCs w:val="24"/>
              </w:rPr>
              <w:t>Pārejas noteikumi paredz, ka</w:t>
            </w:r>
            <w:r w:rsidR="003D482E" w:rsidRPr="0033576A">
              <w:rPr>
                <w:rFonts w:ascii="Times New Roman" w:hAnsi="Times New Roman"/>
                <w:sz w:val="24"/>
                <w:szCs w:val="24"/>
              </w:rPr>
              <w:t xml:space="preserve"> izmaiņas Elektroenerģijas tirgus likuma 35.pantā stājas spēkā 2014.gada 1.aprīlī līdz ar elektroenerģijas tirgus atvēršanu mājsaimniecības lietotājiem, </w:t>
            </w:r>
            <w:r w:rsidR="00CB4A18" w:rsidRPr="0033576A">
              <w:rPr>
                <w:rFonts w:ascii="Times New Roman" w:hAnsi="Times New Roman"/>
                <w:sz w:val="24"/>
                <w:szCs w:val="24"/>
              </w:rPr>
              <w:t>šādu</w:t>
            </w:r>
            <w:r w:rsidR="003D482E" w:rsidRPr="0033576A">
              <w:rPr>
                <w:rFonts w:ascii="Times New Roman" w:hAnsi="Times New Roman"/>
                <w:sz w:val="24"/>
                <w:szCs w:val="24"/>
              </w:rPr>
              <w:t xml:space="preserve"> izmaiņ</w:t>
            </w:r>
            <w:r w:rsidR="00CB4A18" w:rsidRPr="0033576A">
              <w:rPr>
                <w:rFonts w:ascii="Times New Roman" w:hAnsi="Times New Roman"/>
                <w:sz w:val="24"/>
                <w:szCs w:val="24"/>
              </w:rPr>
              <w:t>u ieviešana</w:t>
            </w:r>
            <w:r w:rsidR="003D482E" w:rsidRPr="0033576A">
              <w:rPr>
                <w:rFonts w:ascii="Times New Roman" w:hAnsi="Times New Roman"/>
                <w:sz w:val="24"/>
                <w:szCs w:val="24"/>
              </w:rPr>
              <w:t xml:space="preserve"> </w:t>
            </w:r>
            <w:r w:rsidR="00CB4A18" w:rsidRPr="0033576A">
              <w:rPr>
                <w:rFonts w:ascii="Times New Roman" w:hAnsi="Times New Roman"/>
                <w:sz w:val="24"/>
                <w:szCs w:val="24"/>
              </w:rPr>
              <w:t>ar 2014.gada 1.janvārī</w:t>
            </w:r>
            <w:r w:rsidR="003D482E" w:rsidRPr="0033576A">
              <w:rPr>
                <w:rFonts w:ascii="Times New Roman" w:hAnsi="Times New Roman"/>
                <w:sz w:val="24"/>
                <w:szCs w:val="24"/>
              </w:rPr>
              <w:t xml:space="preserve"> dos iespēju tirgotājiem un arī sistēmas operatoram </w:t>
            </w:r>
            <w:r w:rsidR="00CB4A18" w:rsidRPr="0033576A">
              <w:rPr>
                <w:rFonts w:ascii="Times New Roman" w:hAnsi="Times New Roman"/>
                <w:sz w:val="24"/>
                <w:szCs w:val="24"/>
              </w:rPr>
              <w:t>pieskaņoties</w:t>
            </w:r>
            <w:r w:rsidR="003D482E" w:rsidRPr="0033576A">
              <w:rPr>
                <w:rFonts w:ascii="Times New Roman" w:hAnsi="Times New Roman"/>
                <w:sz w:val="24"/>
                <w:szCs w:val="24"/>
              </w:rPr>
              <w:t xml:space="preserve"> </w:t>
            </w:r>
            <w:r w:rsidR="00CB4A18" w:rsidRPr="0033576A">
              <w:rPr>
                <w:rFonts w:ascii="Times New Roman" w:hAnsi="Times New Roman"/>
                <w:sz w:val="24"/>
                <w:szCs w:val="24"/>
              </w:rPr>
              <w:t xml:space="preserve">un sagatavoties </w:t>
            </w:r>
            <w:r w:rsidR="003D482E" w:rsidRPr="0033576A">
              <w:rPr>
                <w:rFonts w:ascii="Times New Roman" w:hAnsi="Times New Roman"/>
                <w:sz w:val="24"/>
                <w:szCs w:val="24"/>
              </w:rPr>
              <w:t>jaunaj</w:t>
            </w:r>
            <w:r w:rsidR="00CB4A18" w:rsidRPr="0033576A">
              <w:rPr>
                <w:rFonts w:ascii="Times New Roman" w:hAnsi="Times New Roman"/>
                <w:sz w:val="24"/>
                <w:szCs w:val="24"/>
              </w:rPr>
              <w:t xml:space="preserve">iem tirgotāja maiņas termiņiem, </w:t>
            </w:r>
            <w:r w:rsidR="0033576A" w:rsidRPr="0033576A">
              <w:rPr>
                <w:rFonts w:ascii="Times New Roman" w:hAnsi="Times New Roman"/>
                <w:sz w:val="24"/>
                <w:szCs w:val="24"/>
              </w:rPr>
              <w:t>līdz brīdim, kad vairāk kā 800 000 mājsaimniecības lietotāju kļūs par tirgus dalībniekiem un uzsāks tirgotāju maiņu.</w:t>
            </w:r>
          </w:p>
        </w:tc>
      </w:tr>
      <w:tr w:rsidR="007C40CB" w:rsidRPr="001C76B3" w:rsidTr="00F35451">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5.</w:t>
            </w:r>
          </w:p>
        </w:tc>
        <w:tc>
          <w:tcPr>
            <w:tcW w:w="2574" w:type="dxa"/>
          </w:tcPr>
          <w:p w:rsidR="007C40CB" w:rsidRPr="001C76B3" w:rsidRDefault="007C40CB" w:rsidP="001B0457">
            <w:pPr>
              <w:pStyle w:val="naiskr"/>
              <w:spacing w:before="0" w:after="0"/>
              <w:rPr>
                <w:color w:val="000000" w:themeColor="text1"/>
              </w:rPr>
            </w:pPr>
            <w:r w:rsidRPr="001C76B3">
              <w:rPr>
                <w:color w:val="000000" w:themeColor="text1"/>
              </w:rPr>
              <w:t>Projekta izstrādē iesaistītās institūcijas</w:t>
            </w:r>
          </w:p>
        </w:tc>
        <w:tc>
          <w:tcPr>
            <w:tcW w:w="6601" w:type="dxa"/>
          </w:tcPr>
          <w:p w:rsidR="007C40CB" w:rsidRPr="0033576A" w:rsidRDefault="0033576A" w:rsidP="00AB10E0">
            <w:pPr>
              <w:spacing w:after="0" w:line="240" w:lineRule="auto"/>
              <w:jc w:val="both"/>
              <w:rPr>
                <w:rFonts w:ascii="Times New Roman" w:hAnsi="Times New Roman"/>
                <w:color w:val="000000" w:themeColor="text1"/>
                <w:sz w:val="24"/>
                <w:szCs w:val="24"/>
                <w:highlight w:val="cyan"/>
              </w:rPr>
            </w:pPr>
            <w:r w:rsidRPr="00FA185A">
              <w:rPr>
                <w:rFonts w:ascii="Times New Roman" w:hAnsi="Times New Roman"/>
                <w:color w:val="000000" w:themeColor="text1"/>
                <w:sz w:val="24"/>
                <w:szCs w:val="24"/>
              </w:rPr>
              <w:t>Nav attiecināms.</w:t>
            </w:r>
          </w:p>
        </w:tc>
      </w:tr>
      <w:tr w:rsidR="007C40CB" w:rsidRPr="001C76B3" w:rsidTr="00F35451">
        <w:trPr>
          <w:trHeight w:val="41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2574" w:type="dxa"/>
          </w:tcPr>
          <w:p w:rsidR="007C40CB" w:rsidRPr="001C76B3" w:rsidRDefault="007C40CB" w:rsidP="001B0457">
            <w:pPr>
              <w:pStyle w:val="naiskr"/>
              <w:spacing w:before="0" w:after="0"/>
              <w:jc w:val="both"/>
              <w:rPr>
                <w:i/>
                <w:color w:val="000000" w:themeColor="text1"/>
                <w:highlight w:val="yellow"/>
              </w:rPr>
            </w:pPr>
            <w:r w:rsidRPr="001C76B3">
              <w:rPr>
                <w:color w:val="000000" w:themeColor="text1"/>
              </w:rPr>
              <w:t>Iemesli, kādēļ netika nodrošināta sabiedrības līdzdalība</w:t>
            </w:r>
          </w:p>
        </w:tc>
        <w:tc>
          <w:tcPr>
            <w:tcW w:w="6601" w:type="dxa"/>
          </w:tcPr>
          <w:p w:rsidR="00E8371C" w:rsidRPr="00726C79" w:rsidRDefault="00E8371C" w:rsidP="00E8371C">
            <w:pPr>
              <w:spacing w:after="0" w:line="240" w:lineRule="auto"/>
              <w:ind w:right="81"/>
              <w:jc w:val="both"/>
              <w:rPr>
                <w:rFonts w:ascii="Times New Roman" w:eastAsia="Times New Roman" w:hAnsi="Times New Roman"/>
                <w:color w:val="000000" w:themeColor="text1"/>
                <w:sz w:val="24"/>
                <w:szCs w:val="24"/>
                <w:lang w:eastAsia="lv-LV"/>
              </w:rPr>
            </w:pPr>
            <w:r w:rsidRPr="00726C79">
              <w:rPr>
                <w:rFonts w:ascii="Times New Roman" w:eastAsia="Times New Roman" w:hAnsi="Times New Roman"/>
                <w:color w:val="000000" w:themeColor="text1"/>
                <w:sz w:val="24"/>
                <w:szCs w:val="24"/>
                <w:lang w:eastAsia="lv-LV"/>
              </w:rPr>
              <w:t>Par noteikumu projektā iekļautajām izmaiņā, to mēr</w:t>
            </w:r>
            <w:r w:rsidR="00726C79">
              <w:rPr>
                <w:rFonts w:ascii="Times New Roman" w:eastAsia="Times New Roman" w:hAnsi="Times New Roman"/>
                <w:color w:val="000000" w:themeColor="text1"/>
                <w:sz w:val="24"/>
                <w:szCs w:val="24"/>
                <w:lang w:eastAsia="lv-LV"/>
              </w:rPr>
              <w:t xml:space="preserve">ķi un konceptuālo risinājumu vairakkārt </w:t>
            </w:r>
            <w:r w:rsidRPr="00726C79">
              <w:rPr>
                <w:rFonts w:ascii="Times New Roman" w:eastAsia="Times New Roman" w:hAnsi="Times New Roman"/>
                <w:color w:val="000000" w:themeColor="text1"/>
                <w:sz w:val="24"/>
                <w:szCs w:val="24"/>
                <w:lang w:eastAsia="lv-LV"/>
              </w:rPr>
              <w:t>diskutēts</w:t>
            </w:r>
            <w:r w:rsidR="00453D52">
              <w:rPr>
                <w:rFonts w:ascii="Times New Roman" w:eastAsia="Times New Roman" w:hAnsi="Times New Roman"/>
                <w:color w:val="000000" w:themeColor="text1"/>
                <w:sz w:val="24"/>
                <w:szCs w:val="24"/>
                <w:lang w:eastAsia="lv-LV"/>
              </w:rPr>
              <w:t xml:space="preserve"> </w:t>
            </w:r>
            <w:r w:rsidR="00453D52" w:rsidRPr="00453D52">
              <w:rPr>
                <w:rFonts w:ascii="Times New Roman" w:eastAsia="Times New Roman" w:hAnsi="Times New Roman"/>
                <w:color w:val="000000" w:themeColor="text1"/>
                <w:sz w:val="24"/>
                <w:szCs w:val="24"/>
                <w:lang w:eastAsia="lv-LV"/>
              </w:rPr>
              <w:t>2013. gada 29.oktobrī izsludināt</w:t>
            </w:r>
            <w:r w:rsidR="00453D52">
              <w:rPr>
                <w:rFonts w:ascii="Times New Roman" w:eastAsia="Times New Roman" w:hAnsi="Times New Roman"/>
                <w:color w:val="000000" w:themeColor="text1"/>
                <w:sz w:val="24"/>
                <w:szCs w:val="24"/>
                <w:lang w:eastAsia="lv-LV"/>
              </w:rPr>
              <w:t>ā likuma</w:t>
            </w:r>
            <w:r w:rsidR="00453D52" w:rsidRPr="00453D52">
              <w:rPr>
                <w:rFonts w:ascii="Times New Roman" w:eastAsia="Times New Roman" w:hAnsi="Times New Roman"/>
                <w:color w:val="000000" w:themeColor="text1"/>
                <w:sz w:val="24"/>
                <w:szCs w:val="24"/>
                <w:lang w:eastAsia="lv-LV"/>
              </w:rPr>
              <w:t xml:space="preserve"> „Grozījumu Elektroenerģijas tirgus likumā”</w:t>
            </w:r>
            <w:r w:rsidR="00453D52">
              <w:rPr>
                <w:rFonts w:ascii="Times New Roman" w:eastAsia="Times New Roman" w:hAnsi="Times New Roman"/>
                <w:color w:val="000000" w:themeColor="text1"/>
                <w:sz w:val="24"/>
                <w:szCs w:val="24"/>
                <w:lang w:eastAsia="lv-LV"/>
              </w:rPr>
              <w:t>, gan</w:t>
            </w:r>
            <w:r w:rsidRPr="00726C79">
              <w:rPr>
                <w:rFonts w:ascii="Times New Roman" w:eastAsia="Times New Roman" w:hAnsi="Times New Roman"/>
                <w:color w:val="000000" w:themeColor="text1"/>
                <w:sz w:val="24"/>
                <w:szCs w:val="24"/>
                <w:lang w:eastAsia="lv-LV"/>
              </w:rPr>
              <w:t xml:space="preserve"> </w:t>
            </w:r>
            <w:r w:rsidR="00453D52">
              <w:rPr>
                <w:rFonts w:ascii="Times New Roman" w:eastAsia="Times New Roman" w:hAnsi="Times New Roman"/>
                <w:color w:val="000000" w:themeColor="text1"/>
                <w:sz w:val="24"/>
                <w:szCs w:val="24"/>
                <w:lang w:eastAsia="lv-LV"/>
              </w:rPr>
              <w:t>L</w:t>
            </w:r>
            <w:r w:rsidRPr="00726C79">
              <w:rPr>
                <w:rFonts w:ascii="Times New Roman" w:eastAsia="Times New Roman" w:hAnsi="Times New Roman"/>
                <w:color w:val="000000" w:themeColor="text1"/>
                <w:sz w:val="24"/>
                <w:szCs w:val="24"/>
                <w:lang w:eastAsia="lv-LV"/>
              </w:rPr>
              <w:t xml:space="preserve">ikumprojekta (apstiprināts Saeimā </w:t>
            </w:r>
            <w:r w:rsidR="00453D52">
              <w:rPr>
                <w:rFonts w:ascii="Times New Roman" w:eastAsia="Times New Roman" w:hAnsi="Times New Roman"/>
                <w:color w:val="000000" w:themeColor="text1"/>
                <w:sz w:val="24"/>
                <w:szCs w:val="24"/>
                <w:lang w:eastAsia="lv-LV"/>
              </w:rPr>
              <w:t xml:space="preserve">2013.gada </w:t>
            </w:r>
            <w:r w:rsidRPr="00726C79">
              <w:rPr>
                <w:rFonts w:ascii="Times New Roman" w:eastAsia="Times New Roman" w:hAnsi="Times New Roman"/>
                <w:color w:val="000000" w:themeColor="text1"/>
                <w:sz w:val="24"/>
                <w:szCs w:val="24"/>
                <w:lang w:eastAsia="lv-LV"/>
              </w:rPr>
              <w:t>6.novembrī) izstrādes gaitā, gan Ministru kabineta līmenī, gan Saeimas komisi</w:t>
            </w:r>
            <w:r w:rsidR="004E0113" w:rsidRPr="00726C79">
              <w:rPr>
                <w:rFonts w:ascii="Times New Roman" w:eastAsia="Times New Roman" w:hAnsi="Times New Roman"/>
                <w:color w:val="000000" w:themeColor="text1"/>
                <w:sz w:val="24"/>
                <w:szCs w:val="24"/>
                <w:lang w:eastAsia="lv-LV"/>
              </w:rPr>
              <w:t>jās.</w:t>
            </w:r>
          </w:p>
          <w:p w:rsidR="007C40CB" w:rsidRDefault="00E8371C" w:rsidP="00726C79">
            <w:pPr>
              <w:spacing w:after="0" w:line="240" w:lineRule="auto"/>
              <w:ind w:right="81"/>
              <w:jc w:val="both"/>
              <w:rPr>
                <w:rFonts w:ascii="Times New Roman" w:eastAsia="Times New Roman" w:hAnsi="Times New Roman"/>
                <w:color w:val="000000" w:themeColor="text1"/>
                <w:sz w:val="24"/>
                <w:szCs w:val="24"/>
                <w:lang w:eastAsia="lv-LV"/>
              </w:rPr>
            </w:pPr>
            <w:r w:rsidRPr="00726C79">
              <w:rPr>
                <w:rFonts w:ascii="Times New Roman" w:eastAsia="Times New Roman" w:hAnsi="Times New Roman"/>
                <w:color w:val="000000" w:themeColor="text1"/>
                <w:sz w:val="24"/>
                <w:szCs w:val="24"/>
                <w:lang w:eastAsia="lv-LV"/>
              </w:rPr>
              <w:t xml:space="preserve">Tirgus atvēršanas </w:t>
            </w:r>
            <w:r w:rsidR="00453D52">
              <w:rPr>
                <w:rFonts w:ascii="Times New Roman" w:eastAsia="Times New Roman" w:hAnsi="Times New Roman"/>
                <w:color w:val="000000" w:themeColor="text1"/>
                <w:sz w:val="24"/>
                <w:szCs w:val="24"/>
                <w:lang w:eastAsia="lv-LV"/>
              </w:rPr>
              <w:t xml:space="preserve"> un elektroenerģijas neto norēķinu </w:t>
            </w:r>
            <w:r w:rsidRPr="00726C79">
              <w:rPr>
                <w:rFonts w:ascii="Times New Roman" w:eastAsia="Times New Roman" w:hAnsi="Times New Roman"/>
                <w:color w:val="000000" w:themeColor="text1"/>
                <w:sz w:val="24"/>
                <w:szCs w:val="24"/>
                <w:lang w:eastAsia="lv-LV"/>
              </w:rPr>
              <w:t xml:space="preserve">jautājumi tāpat ir </w:t>
            </w:r>
            <w:r w:rsidR="00726C79">
              <w:rPr>
                <w:rFonts w:ascii="Times New Roman" w:eastAsia="Times New Roman" w:hAnsi="Times New Roman"/>
                <w:color w:val="000000" w:themeColor="text1"/>
                <w:sz w:val="24"/>
                <w:szCs w:val="24"/>
                <w:lang w:eastAsia="lv-LV"/>
              </w:rPr>
              <w:t>apspriesti</w:t>
            </w:r>
            <w:r w:rsidRPr="00726C79">
              <w:rPr>
                <w:rFonts w:ascii="Times New Roman" w:eastAsia="Times New Roman" w:hAnsi="Times New Roman"/>
                <w:color w:val="000000" w:themeColor="text1"/>
                <w:sz w:val="24"/>
                <w:szCs w:val="24"/>
                <w:lang w:eastAsia="lv-LV"/>
              </w:rPr>
              <w:t xml:space="preserve"> Elektroenerģijas tirgus konsultatīvās padomes un Tautsaimniecības padomes Enerģētikas komitejas sēdēs, kur viedokli par izvēlēto konceptu ir izteikušiem elektroapgādes </w:t>
            </w:r>
            <w:r w:rsidRPr="00726C79">
              <w:rPr>
                <w:rFonts w:ascii="Times New Roman" w:eastAsia="Times New Roman" w:hAnsi="Times New Roman"/>
                <w:color w:val="000000" w:themeColor="text1"/>
                <w:sz w:val="24"/>
                <w:szCs w:val="24"/>
                <w:lang w:eastAsia="lv-LV"/>
              </w:rPr>
              <w:lastRenderedPageBreak/>
              <w:t>nozares uzņēmumi, uzraugošās institūcijas un citi privātā sektora savdabības partneri.</w:t>
            </w:r>
          </w:p>
          <w:p w:rsidR="00CB4A18" w:rsidRPr="00726C79" w:rsidRDefault="00CB4A18" w:rsidP="00CB4A18">
            <w:pPr>
              <w:spacing w:after="0" w:line="240" w:lineRule="auto"/>
              <w:ind w:right="81"/>
              <w:jc w:val="both"/>
              <w:rPr>
                <w:rFonts w:ascii="Times New Roman" w:hAnsi="Times New Roman"/>
                <w:color w:val="000000" w:themeColor="text1"/>
                <w:sz w:val="24"/>
                <w:szCs w:val="24"/>
              </w:rPr>
            </w:pPr>
            <w:r w:rsidRPr="00CB4A18">
              <w:rPr>
                <w:rFonts w:ascii="Times New Roman" w:hAnsi="Times New Roman"/>
                <w:color w:val="000000" w:themeColor="text1"/>
                <w:sz w:val="24"/>
                <w:szCs w:val="24"/>
              </w:rPr>
              <w:t xml:space="preserve">Sabiedrība savu viedokli var izteikt pēc </w:t>
            </w:r>
            <w:r w:rsidR="0033576A">
              <w:rPr>
                <w:rFonts w:ascii="Times New Roman" w:hAnsi="Times New Roman"/>
                <w:color w:val="000000" w:themeColor="text1"/>
                <w:sz w:val="24"/>
                <w:szCs w:val="24"/>
              </w:rPr>
              <w:t xml:space="preserve">noteikumu </w:t>
            </w:r>
            <w:r w:rsidRPr="00CB4A18">
              <w:rPr>
                <w:rFonts w:ascii="Times New Roman" w:hAnsi="Times New Roman"/>
                <w:color w:val="000000" w:themeColor="text1"/>
                <w:sz w:val="24"/>
                <w:szCs w:val="24"/>
              </w:rPr>
              <w:t xml:space="preserve">projekta izsludināšanas 2013. gada </w:t>
            </w:r>
            <w:r>
              <w:rPr>
                <w:rFonts w:ascii="Times New Roman" w:hAnsi="Times New Roman"/>
                <w:color w:val="000000" w:themeColor="text1"/>
                <w:sz w:val="24"/>
                <w:szCs w:val="24"/>
              </w:rPr>
              <w:t>21</w:t>
            </w:r>
            <w:r w:rsidRPr="00CB4A18">
              <w:rPr>
                <w:rFonts w:ascii="Times New Roman" w:hAnsi="Times New Roman"/>
                <w:color w:val="000000" w:themeColor="text1"/>
                <w:sz w:val="24"/>
                <w:szCs w:val="24"/>
              </w:rPr>
              <w:t>. novembra Valsts sekretāru sanāksmē.</w:t>
            </w:r>
          </w:p>
        </w:tc>
      </w:tr>
      <w:tr w:rsidR="007C40CB" w:rsidRPr="001C76B3" w:rsidTr="00F35451">
        <w:tc>
          <w:tcPr>
            <w:tcW w:w="550" w:type="dxa"/>
          </w:tcPr>
          <w:p w:rsidR="007C40CB" w:rsidRPr="001C76B3" w:rsidRDefault="007C40CB" w:rsidP="001B0457">
            <w:pPr>
              <w:pStyle w:val="naiskr"/>
              <w:spacing w:before="0" w:after="0"/>
              <w:rPr>
                <w:color w:val="000000" w:themeColor="text1"/>
              </w:rPr>
            </w:pPr>
            <w:r w:rsidRPr="001C76B3">
              <w:rPr>
                <w:color w:val="000000" w:themeColor="text1"/>
              </w:rPr>
              <w:lastRenderedPageBreak/>
              <w:t>7.</w:t>
            </w:r>
          </w:p>
        </w:tc>
        <w:tc>
          <w:tcPr>
            <w:tcW w:w="2574" w:type="dxa"/>
          </w:tcPr>
          <w:p w:rsidR="007C40CB" w:rsidRPr="001C76B3" w:rsidRDefault="007C40CB" w:rsidP="001B0457">
            <w:pPr>
              <w:pStyle w:val="naiskr"/>
              <w:spacing w:before="0" w:after="0"/>
              <w:rPr>
                <w:color w:val="000000" w:themeColor="text1"/>
              </w:rPr>
            </w:pPr>
            <w:r w:rsidRPr="001C76B3">
              <w:rPr>
                <w:color w:val="000000" w:themeColor="text1"/>
              </w:rPr>
              <w:t>Cita informācija</w:t>
            </w:r>
          </w:p>
        </w:tc>
        <w:tc>
          <w:tcPr>
            <w:tcW w:w="6601" w:type="dxa"/>
          </w:tcPr>
          <w:p w:rsidR="007C40CB" w:rsidRPr="00726C79" w:rsidRDefault="007C40CB" w:rsidP="001B0457">
            <w:pPr>
              <w:pStyle w:val="naiskr"/>
              <w:spacing w:before="0" w:after="0"/>
              <w:jc w:val="both"/>
              <w:rPr>
                <w:color w:val="000000" w:themeColor="text1"/>
              </w:rPr>
            </w:pPr>
            <w:r w:rsidRPr="00726C79">
              <w:rPr>
                <w:color w:val="000000" w:themeColor="text1"/>
              </w:rPr>
              <w:t>Nav.</w:t>
            </w:r>
          </w:p>
        </w:tc>
      </w:tr>
    </w:tbl>
    <w:p w:rsidR="007C40CB" w:rsidRPr="001C76B3" w:rsidRDefault="007C40CB" w:rsidP="007C40CB">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558"/>
        <w:gridCol w:w="4617"/>
      </w:tblGrid>
      <w:tr w:rsidR="007C40CB" w:rsidRPr="001C76B3" w:rsidTr="001B0457">
        <w:tc>
          <w:tcPr>
            <w:tcW w:w="9725" w:type="dxa"/>
            <w:gridSpan w:val="3"/>
            <w:vAlign w:val="center"/>
          </w:tcPr>
          <w:p w:rsidR="007C40CB" w:rsidRPr="001C76B3" w:rsidRDefault="007C40CB" w:rsidP="001B0457">
            <w:pPr>
              <w:pStyle w:val="naisnod"/>
              <w:spacing w:before="0" w:after="0"/>
              <w:rPr>
                <w:color w:val="000000" w:themeColor="text1"/>
              </w:rPr>
            </w:pPr>
            <w:r w:rsidRPr="001C76B3">
              <w:rPr>
                <w:color w:val="000000" w:themeColor="text1"/>
              </w:rPr>
              <w:t>II. Tiesību akta projekta ietekme uz sabiedrību</w:t>
            </w:r>
          </w:p>
        </w:tc>
      </w:tr>
      <w:tr w:rsidR="007C40CB" w:rsidRPr="001C76B3" w:rsidTr="00433BC2">
        <w:trPr>
          <w:trHeight w:val="630"/>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1.</w:t>
            </w:r>
          </w:p>
        </w:tc>
        <w:tc>
          <w:tcPr>
            <w:tcW w:w="4558" w:type="dxa"/>
          </w:tcPr>
          <w:p w:rsidR="007C40CB" w:rsidRPr="001C76B3" w:rsidRDefault="007C40CB" w:rsidP="001B0457">
            <w:pPr>
              <w:pStyle w:val="naiskr"/>
              <w:spacing w:before="0" w:after="0"/>
              <w:ind w:hanging="10"/>
              <w:rPr>
                <w:color w:val="000000" w:themeColor="text1"/>
              </w:rPr>
            </w:pPr>
            <w:r w:rsidRPr="001C76B3">
              <w:rPr>
                <w:color w:val="000000" w:themeColor="text1"/>
              </w:rPr>
              <w:t>Sabiedrības mērķgrupa</w:t>
            </w:r>
          </w:p>
        </w:tc>
        <w:tc>
          <w:tcPr>
            <w:tcW w:w="4617" w:type="dxa"/>
          </w:tcPr>
          <w:p w:rsidR="00A968BE" w:rsidRPr="001C76B3" w:rsidRDefault="00E8371C" w:rsidP="001C0D35">
            <w:pPr>
              <w:pStyle w:val="Default"/>
              <w:jc w:val="both"/>
              <w:rPr>
                <w:rFonts w:ascii="Times New Roman" w:hAnsi="Times New Roman" w:cs="Times New Roman"/>
                <w:bCs/>
                <w:color w:val="000000" w:themeColor="text1"/>
              </w:rPr>
            </w:pPr>
            <w:r w:rsidRPr="00FA185A">
              <w:rPr>
                <w:rFonts w:ascii="Times New Roman" w:hAnsi="Times New Roman"/>
                <w:color w:val="000000" w:themeColor="text1"/>
              </w:rPr>
              <w:t xml:space="preserve">Aptuveni 847300 elektroenerģijas </w:t>
            </w:r>
            <w:r w:rsidR="00096456" w:rsidRPr="00FA185A">
              <w:rPr>
                <w:rFonts w:ascii="Times New Roman" w:hAnsi="Times New Roman"/>
                <w:color w:val="000000" w:themeColor="text1"/>
              </w:rPr>
              <w:t xml:space="preserve">mājsaimniecību </w:t>
            </w:r>
            <w:r w:rsidRPr="00FA185A">
              <w:rPr>
                <w:rFonts w:ascii="Times New Roman" w:hAnsi="Times New Roman"/>
                <w:color w:val="000000" w:themeColor="text1"/>
              </w:rPr>
              <w:t>galalietotāju,</w:t>
            </w:r>
            <w:r w:rsidR="00096456" w:rsidRPr="00FA185A">
              <w:rPr>
                <w:rFonts w:ascii="Times New Roman" w:hAnsi="Times New Roman"/>
                <w:color w:val="000000" w:themeColor="text1"/>
              </w:rPr>
              <w:t xml:space="preserve"> </w:t>
            </w:r>
            <w:r w:rsidRPr="00FA185A">
              <w:rPr>
                <w:rFonts w:ascii="Times New Roman" w:hAnsi="Times New Roman"/>
                <w:color w:val="000000" w:themeColor="text1"/>
              </w:rPr>
              <w:t xml:space="preserve"> </w:t>
            </w:r>
            <w:r w:rsidR="00096456" w:rsidRPr="00FA185A">
              <w:rPr>
                <w:rFonts w:ascii="Times New Roman" w:hAnsi="Times New Roman"/>
                <w:color w:val="000000" w:themeColor="text1"/>
              </w:rPr>
              <w:t xml:space="preserve">aptuveni </w:t>
            </w:r>
            <w:r w:rsidR="001C0D35" w:rsidRPr="00FA185A">
              <w:rPr>
                <w:rFonts w:ascii="Times New Roman" w:hAnsi="Times New Roman"/>
                <w:color w:val="auto"/>
              </w:rPr>
              <w:t>260</w:t>
            </w:r>
            <w:r w:rsidR="00096456" w:rsidRPr="00FA185A">
              <w:rPr>
                <w:rFonts w:ascii="Times New Roman" w:hAnsi="Times New Roman"/>
                <w:b/>
                <w:color w:val="FF0000"/>
              </w:rPr>
              <w:t xml:space="preserve"> </w:t>
            </w:r>
            <w:r w:rsidR="00096456" w:rsidRPr="00FA185A">
              <w:rPr>
                <w:rFonts w:ascii="Times New Roman" w:hAnsi="Times New Roman"/>
                <w:color w:val="000000" w:themeColor="text1"/>
              </w:rPr>
              <w:t xml:space="preserve"> mājsaimniecību galalietotāju, uz kuriem šobrīd attiecas elektroenerģijas neto norēķinu sistēmas ieviešana</w:t>
            </w:r>
            <w:r w:rsidRPr="00FA185A">
              <w:rPr>
                <w:rFonts w:ascii="Times New Roman" w:hAnsi="Times New Roman"/>
                <w:color w:val="000000" w:themeColor="text1"/>
              </w:rPr>
              <w:t>,  sistēmu operatori.</w:t>
            </w:r>
          </w:p>
        </w:tc>
      </w:tr>
      <w:tr w:rsidR="007C40CB" w:rsidRPr="001C76B3" w:rsidTr="00433BC2">
        <w:trPr>
          <w:trHeight w:val="472"/>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2.</w:t>
            </w:r>
          </w:p>
        </w:tc>
        <w:tc>
          <w:tcPr>
            <w:tcW w:w="4558" w:type="dxa"/>
          </w:tcPr>
          <w:p w:rsidR="007C40CB" w:rsidRPr="001C76B3" w:rsidRDefault="007C40CB" w:rsidP="001B0457">
            <w:pPr>
              <w:pStyle w:val="naiskr"/>
              <w:tabs>
                <w:tab w:val="left" w:pos="170"/>
              </w:tabs>
              <w:spacing w:before="0" w:after="0"/>
              <w:rPr>
                <w:color w:val="000000" w:themeColor="text1"/>
              </w:rPr>
            </w:pPr>
            <w:r w:rsidRPr="001C76B3">
              <w:rPr>
                <w:color w:val="000000" w:themeColor="text1"/>
              </w:rPr>
              <w:t>Citas sabiedrības grupas (bez mērķgrupas), kuras tiesiskais regulējums arī ietekmē vai varētu ietekmēt</w:t>
            </w:r>
          </w:p>
        </w:tc>
        <w:tc>
          <w:tcPr>
            <w:tcW w:w="4617" w:type="dxa"/>
          </w:tcPr>
          <w:p w:rsidR="00C144B4" w:rsidRPr="001C76B3" w:rsidRDefault="00A96DC4" w:rsidP="00A31589">
            <w:pPr>
              <w:spacing w:after="0" w:line="240" w:lineRule="auto"/>
              <w:jc w:val="both"/>
              <w:rPr>
                <w:rFonts w:ascii="Times New Roman" w:hAnsi="Times New Roman"/>
                <w:color w:val="000000" w:themeColor="text1"/>
                <w:sz w:val="24"/>
                <w:szCs w:val="24"/>
              </w:rPr>
            </w:pPr>
            <w:r>
              <w:rPr>
                <w:rFonts w:ascii="Times New Roman" w:hAnsi="Times New Roman"/>
                <w:iCs/>
                <w:color w:val="000000" w:themeColor="text1"/>
                <w:sz w:val="24"/>
                <w:szCs w:val="24"/>
              </w:rPr>
              <w:t>Nav</w:t>
            </w:r>
          </w:p>
        </w:tc>
      </w:tr>
      <w:tr w:rsidR="00E8371C" w:rsidRPr="001C76B3" w:rsidTr="00433BC2">
        <w:trPr>
          <w:trHeight w:val="655"/>
        </w:trPr>
        <w:tc>
          <w:tcPr>
            <w:tcW w:w="550" w:type="dxa"/>
          </w:tcPr>
          <w:p w:rsidR="00E8371C" w:rsidRPr="001C76B3" w:rsidRDefault="00E8371C" w:rsidP="00E8371C">
            <w:pPr>
              <w:pStyle w:val="naiskr"/>
              <w:spacing w:before="0" w:after="0"/>
              <w:rPr>
                <w:color w:val="000000" w:themeColor="text1"/>
              </w:rPr>
            </w:pPr>
            <w:r w:rsidRPr="001C76B3">
              <w:rPr>
                <w:color w:val="000000" w:themeColor="text1"/>
              </w:rPr>
              <w:t>3.</w:t>
            </w:r>
          </w:p>
        </w:tc>
        <w:tc>
          <w:tcPr>
            <w:tcW w:w="4558" w:type="dxa"/>
          </w:tcPr>
          <w:p w:rsidR="00E8371C" w:rsidRPr="001C76B3" w:rsidRDefault="00E8371C" w:rsidP="00E8371C">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finansiālā ietekme</w:t>
            </w:r>
          </w:p>
        </w:tc>
        <w:tc>
          <w:tcPr>
            <w:tcW w:w="4617" w:type="dxa"/>
          </w:tcPr>
          <w:p w:rsidR="00CD1CB4" w:rsidRPr="00CD1CB4" w:rsidRDefault="00E8371C" w:rsidP="00CD1CB4">
            <w:pPr>
              <w:pStyle w:val="naiskr"/>
              <w:spacing w:before="0" w:after="120"/>
              <w:jc w:val="both"/>
              <w:rPr>
                <w:iCs/>
              </w:rPr>
            </w:pPr>
            <w:r>
              <w:rPr>
                <w:iCs/>
              </w:rPr>
              <w:t xml:space="preserve">Plānotās elektroenerģijas tirgus atvēršanas </w:t>
            </w:r>
            <w:r w:rsidRPr="00CD1CB4">
              <w:rPr>
                <w:iCs/>
              </w:rPr>
              <w:t xml:space="preserve">rezultātā vairs nepastāvēs regulētie elektroenerģijas tarifi un paredzams, ka elektroenerģijas kopējā cena mājsaimniecībām 2014. gadā pieaugs par 7% </w:t>
            </w:r>
            <w:r w:rsidR="0033576A" w:rsidRPr="00CD1CB4">
              <w:rPr>
                <w:iCs/>
              </w:rPr>
              <w:t xml:space="preserve">salīdzinājumā ar </w:t>
            </w:r>
            <w:r w:rsidRPr="00CD1CB4">
              <w:rPr>
                <w:iCs/>
              </w:rPr>
              <w:t xml:space="preserve">šobrīd spēkā esošo elektroenerģijas tirdzniecības gala tarifu „Pamata tarifs”. Pieauguma iemesls </w:t>
            </w:r>
            <w:r w:rsidR="001E542A" w:rsidRPr="00CD1CB4">
              <w:rPr>
                <w:iCs/>
              </w:rPr>
              <w:t>-</w:t>
            </w:r>
            <w:r w:rsidRPr="00CD1CB4">
              <w:rPr>
                <w:iCs/>
              </w:rPr>
              <w:t xml:space="preserve"> </w:t>
            </w:r>
            <w:r w:rsidR="001E542A" w:rsidRPr="00CD1CB4">
              <w:rPr>
                <w:iCs/>
              </w:rPr>
              <w:t xml:space="preserve"> elektroenerģijas cena</w:t>
            </w:r>
            <w:r w:rsidR="00CD1CB4" w:rsidRPr="00CD1CB4">
              <w:rPr>
                <w:iCs/>
              </w:rPr>
              <w:t>, kas  ir</w:t>
            </w:r>
            <w:r w:rsidR="001E542A" w:rsidRPr="00CD1CB4">
              <w:rPr>
                <w:iCs/>
              </w:rPr>
              <w:t xml:space="preserve"> </w:t>
            </w:r>
            <w:r w:rsidRPr="00CD1CB4">
              <w:rPr>
                <w:iCs/>
              </w:rPr>
              <w:t xml:space="preserve">viena </w:t>
            </w:r>
            <w:r w:rsidR="00CD1CB4" w:rsidRPr="00CD1CB4">
              <w:rPr>
                <w:iCs/>
              </w:rPr>
              <w:t>no elektroenerģijas kopējo cenu veidojošām</w:t>
            </w:r>
            <w:r w:rsidRPr="00CD1CB4">
              <w:rPr>
                <w:iCs/>
              </w:rPr>
              <w:t xml:space="preserve"> sastāvdaļas</w:t>
            </w:r>
            <w:r w:rsidR="00CD1CB4" w:rsidRPr="00CD1CB4">
              <w:rPr>
                <w:iCs/>
              </w:rPr>
              <w:t>, atbildīs faktiskajai elektroenerģijas tirgus cenai.</w:t>
            </w:r>
          </w:p>
          <w:p w:rsidR="00E8371C" w:rsidRDefault="000A0935" w:rsidP="00CD1CB4">
            <w:pPr>
              <w:pStyle w:val="naiskr"/>
              <w:spacing w:before="0" w:after="0"/>
              <w:jc w:val="both"/>
            </w:pPr>
            <w:r w:rsidRPr="00CD1CB4">
              <w:rPr>
                <w:iCs/>
              </w:rPr>
              <w:t xml:space="preserve">Paredzams, ka </w:t>
            </w:r>
            <w:r w:rsidRPr="00CD1CB4">
              <w:rPr>
                <w:color w:val="000000" w:themeColor="text1"/>
              </w:rPr>
              <w:t xml:space="preserve">elektroenerģijas neto norēķinu sistēmas </w:t>
            </w:r>
            <w:r w:rsidR="009A59F4" w:rsidRPr="00CD1CB4">
              <w:rPr>
                <w:color w:val="000000" w:themeColor="text1"/>
              </w:rPr>
              <w:t xml:space="preserve">lietotāji </w:t>
            </w:r>
            <w:r w:rsidR="009A59F4" w:rsidRPr="00CD1CB4">
              <w:rPr>
                <w:iCs/>
              </w:rPr>
              <w:t xml:space="preserve"> elektroenerģijas kopējās cena pieaugumu </w:t>
            </w:r>
            <w:r w:rsidR="00151DF8" w:rsidRPr="00CD1CB4">
              <w:rPr>
                <w:iCs/>
              </w:rPr>
              <w:t xml:space="preserve">pēc  regulētie elektroenerģijas tarifu atcelšanas </w:t>
            </w:r>
            <w:r w:rsidR="0052796A" w:rsidRPr="00CD1CB4">
              <w:rPr>
                <w:iCs/>
              </w:rPr>
              <w:t>varētu izjust</w:t>
            </w:r>
            <w:r w:rsidR="009A59F4" w:rsidRPr="00CD1CB4">
              <w:rPr>
                <w:iCs/>
              </w:rPr>
              <w:t xml:space="preserve"> mazākā mērā</w:t>
            </w:r>
            <w:r w:rsidR="001E542A" w:rsidRPr="00CD1CB4">
              <w:rPr>
                <w:iCs/>
              </w:rPr>
              <w:t>,</w:t>
            </w:r>
            <w:r w:rsidR="009A59F4" w:rsidRPr="00CD1CB4">
              <w:rPr>
                <w:iCs/>
              </w:rPr>
              <w:t xml:space="preserve"> </w:t>
            </w:r>
            <w:r w:rsidR="0052796A" w:rsidRPr="00CD1CB4">
              <w:rPr>
                <w:iCs/>
              </w:rPr>
              <w:t>ne</w:t>
            </w:r>
            <w:r w:rsidR="009A59F4" w:rsidRPr="00CD1CB4">
              <w:rPr>
                <w:iCs/>
              </w:rPr>
              <w:t>kā t</w:t>
            </w:r>
            <w:r w:rsidR="00A85125" w:rsidRPr="00CD1CB4">
              <w:rPr>
                <w:iCs/>
              </w:rPr>
              <w:t>ā</w:t>
            </w:r>
            <w:r w:rsidR="009A59F4" w:rsidRPr="00CD1CB4">
              <w:rPr>
                <w:iCs/>
              </w:rPr>
              <w:t xml:space="preserve"> mājsaimniec</w:t>
            </w:r>
            <w:r w:rsidR="00A85125" w:rsidRPr="00CD1CB4">
              <w:rPr>
                <w:iCs/>
              </w:rPr>
              <w:t>ību elektroenerģijas</w:t>
            </w:r>
            <w:r w:rsidR="009A59F4" w:rsidRPr="00CD1CB4">
              <w:rPr>
                <w:iCs/>
              </w:rPr>
              <w:t xml:space="preserve"> lietot</w:t>
            </w:r>
            <w:r w:rsidR="00A85125" w:rsidRPr="00CD1CB4">
              <w:rPr>
                <w:iCs/>
              </w:rPr>
              <w:t>āju grupa</w:t>
            </w:r>
            <w:r w:rsidR="009A59F4" w:rsidRPr="00CD1CB4">
              <w:rPr>
                <w:iCs/>
              </w:rPr>
              <w:t>, uz ku</w:t>
            </w:r>
            <w:r w:rsidR="00A85125" w:rsidRPr="00CD1CB4">
              <w:rPr>
                <w:iCs/>
              </w:rPr>
              <w:t>ru</w:t>
            </w:r>
            <w:r w:rsidR="009A59F4" w:rsidRPr="00CD1CB4">
              <w:rPr>
                <w:iCs/>
              </w:rPr>
              <w:t xml:space="preserve"> </w:t>
            </w:r>
            <w:r w:rsidR="009A59F4" w:rsidRPr="00CD1CB4">
              <w:rPr>
                <w:color w:val="000000" w:themeColor="text1"/>
              </w:rPr>
              <w:t>elektroenerģijas neto norēķinu sistēma neattiecas.</w:t>
            </w:r>
            <w:r w:rsidR="009A59F4">
              <w:rPr>
                <w:color w:val="000000" w:themeColor="text1"/>
              </w:rPr>
              <w:t xml:space="preserve"> </w:t>
            </w:r>
            <w:r w:rsidR="009A59F4">
              <w:rPr>
                <w:iCs/>
              </w:rPr>
              <w:t xml:space="preserve">  </w:t>
            </w:r>
            <w:r w:rsidR="009A59F4">
              <w:rPr>
                <w:color w:val="000000" w:themeColor="text1"/>
              </w:rPr>
              <w:t xml:space="preserve"> </w:t>
            </w:r>
          </w:p>
        </w:tc>
      </w:tr>
      <w:tr w:rsidR="00E8371C" w:rsidRPr="001C76B3" w:rsidTr="00CD1CB4">
        <w:trPr>
          <w:trHeight w:val="641"/>
        </w:trPr>
        <w:tc>
          <w:tcPr>
            <w:tcW w:w="550" w:type="dxa"/>
          </w:tcPr>
          <w:p w:rsidR="00E8371C" w:rsidRPr="001C76B3" w:rsidRDefault="00E8371C" w:rsidP="00E8371C">
            <w:pPr>
              <w:pStyle w:val="naiskr"/>
              <w:spacing w:before="0" w:after="0"/>
              <w:rPr>
                <w:color w:val="000000" w:themeColor="text1"/>
              </w:rPr>
            </w:pPr>
            <w:r w:rsidRPr="001C76B3">
              <w:rPr>
                <w:color w:val="000000" w:themeColor="text1"/>
              </w:rPr>
              <w:t>4.</w:t>
            </w:r>
          </w:p>
        </w:tc>
        <w:tc>
          <w:tcPr>
            <w:tcW w:w="4558" w:type="dxa"/>
          </w:tcPr>
          <w:p w:rsidR="00E8371C" w:rsidRPr="001C76B3" w:rsidRDefault="00E8371C" w:rsidP="00E8371C">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Tiesiskā regulējuma nefinansiālā ietekme</w:t>
            </w:r>
          </w:p>
        </w:tc>
        <w:tc>
          <w:tcPr>
            <w:tcW w:w="4617" w:type="dxa"/>
            <w:shd w:val="clear" w:color="auto" w:fill="auto"/>
          </w:tcPr>
          <w:p w:rsidR="00E8371C" w:rsidRDefault="00E8371C" w:rsidP="00FE5093">
            <w:pPr>
              <w:pStyle w:val="naiskr"/>
              <w:spacing w:before="0" w:after="0"/>
              <w:jc w:val="both"/>
            </w:pPr>
            <w:r w:rsidRPr="00CD1CB4">
              <w:rPr>
                <w:iCs/>
              </w:rPr>
              <w:t xml:space="preserve">Noteikumu projekts noteiks </w:t>
            </w:r>
            <w:r w:rsidR="002C6B4A" w:rsidRPr="00CD1CB4">
              <w:rPr>
                <w:iCs/>
              </w:rPr>
              <w:t xml:space="preserve">sadales sistēmas operatoriem jaunas prasības un deleģēs jaunas funkcijas attiecībās ar </w:t>
            </w:r>
            <w:r w:rsidR="002C6B4A" w:rsidRPr="00CD1CB4">
              <w:rPr>
                <w:color w:val="000000"/>
              </w:rPr>
              <w:t xml:space="preserve">mājsaimniecību elektroenerģijas lietotājiem, </w:t>
            </w:r>
            <w:r w:rsidR="00FE5093" w:rsidRPr="00CD1CB4">
              <w:rPr>
                <w:color w:val="000000"/>
              </w:rPr>
              <w:t xml:space="preserve">uz kuriem attiecas </w:t>
            </w:r>
            <w:r w:rsidR="00FE5093" w:rsidRPr="00CD1CB4">
              <w:rPr>
                <w:color w:val="000000" w:themeColor="text1"/>
              </w:rPr>
              <w:t xml:space="preserve"> elektroenerģijas neto norēķinu sistēma.</w:t>
            </w:r>
          </w:p>
        </w:tc>
      </w:tr>
      <w:tr w:rsidR="007C40CB" w:rsidRPr="001C76B3" w:rsidTr="00433BC2">
        <w:trPr>
          <w:trHeight w:val="476"/>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5.</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Administratīvās procedūras raksturojums</w:t>
            </w:r>
          </w:p>
        </w:tc>
        <w:tc>
          <w:tcPr>
            <w:tcW w:w="4617" w:type="dxa"/>
          </w:tcPr>
          <w:p w:rsidR="007C40CB" w:rsidRPr="002C6B4A" w:rsidRDefault="00A31589" w:rsidP="00955A22">
            <w:pPr>
              <w:spacing w:after="0" w:line="240" w:lineRule="auto"/>
              <w:jc w:val="both"/>
              <w:rPr>
                <w:rFonts w:ascii="Times New Roman" w:hAnsi="Times New Roman"/>
                <w:color w:val="000000" w:themeColor="text1"/>
                <w:sz w:val="24"/>
                <w:szCs w:val="24"/>
              </w:rPr>
            </w:pPr>
            <w:r w:rsidRPr="002C6B4A">
              <w:rPr>
                <w:rFonts w:ascii="Times New Roman" w:hAnsi="Times New Roman"/>
                <w:iCs/>
                <w:color w:val="000000" w:themeColor="text1"/>
                <w:sz w:val="24"/>
                <w:szCs w:val="24"/>
              </w:rPr>
              <w:t>Projekts šo jomu neskar.</w:t>
            </w:r>
          </w:p>
        </w:tc>
      </w:tr>
      <w:tr w:rsidR="007C40CB" w:rsidRPr="001C76B3" w:rsidTr="00433BC2">
        <w:trPr>
          <w:trHeight w:val="423"/>
        </w:trPr>
        <w:tc>
          <w:tcPr>
            <w:tcW w:w="550" w:type="dxa"/>
          </w:tcPr>
          <w:p w:rsidR="007C40CB" w:rsidRPr="001C76B3" w:rsidRDefault="007C40CB" w:rsidP="001B0457">
            <w:pPr>
              <w:pStyle w:val="naiskr"/>
              <w:spacing w:before="0" w:after="0"/>
              <w:rPr>
                <w:color w:val="000000" w:themeColor="text1"/>
              </w:rPr>
            </w:pPr>
            <w:r w:rsidRPr="001C76B3">
              <w:rPr>
                <w:color w:val="000000" w:themeColor="text1"/>
              </w:rPr>
              <w:t>6.</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Administratīvo izmaksu monetārs novērtējums</w:t>
            </w:r>
          </w:p>
        </w:tc>
        <w:tc>
          <w:tcPr>
            <w:tcW w:w="4617" w:type="dxa"/>
          </w:tcPr>
          <w:p w:rsidR="007C40CB" w:rsidRPr="002C6B4A" w:rsidRDefault="007C40CB" w:rsidP="001B0457">
            <w:pPr>
              <w:spacing w:after="0" w:line="240" w:lineRule="auto"/>
              <w:jc w:val="both"/>
              <w:rPr>
                <w:rFonts w:ascii="Times New Roman" w:eastAsia="Times New Roman" w:hAnsi="Times New Roman"/>
                <w:color w:val="000000" w:themeColor="text1"/>
                <w:sz w:val="24"/>
                <w:szCs w:val="24"/>
                <w:lang w:eastAsia="lv-LV"/>
              </w:rPr>
            </w:pPr>
            <w:r w:rsidRPr="002C6B4A">
              <w:rPr>
                <w:rFonts w:ascii="Times New Roman" w:hAnsi="Times New Roman"/>
                <w:iCs/>
                <w:color w:val="000000" w:themeColor="text1"/>
                <w:sz w:val="24"/>
                <w:szCs w:val="24"/>
              </w:rPr>
              <w:t>Projekts šo jomu neskar.</w:t>
            </w:r>
          </w:p>
        </w:tc>
      </w:tr>
      <w:tr w:rsidR="007C40CB" w:rsidRPr="001C76B3" w:rsidTr="00433BC2">
        <w:tc>
          <w:tcPr>
            <w:tcW w:w="550" w:type="dxa"/>
          </w:tcPr>
          <w:p w:rsidR="007C40CB" w:rsidRPr="001C76B3" w:rsidRDefault="007C40CB" w:rsidP="001B0457">
            <w:pPr>
              <w:pStyle w:val="naiskr"/>
              <w:spacing w:before="0" w:after="0"/>
              <w:rPr>
                <w:color w:val="000000" w:themeColor="text1"/>
              </w:rPr>
            </w:pPr>
            <w:r w:rsidRPr="001C76B3">
              <w:rPr>
                <w:color w:val="000000" w:themeColor="text1"/>
              </w:rPr>
              <w:t>7.</w:t>
            </w:r>
          </w:p>
        </w:tc>
        <w:tc>
          <w:tcPr>
            <w:tcW w:w="4558" w:type="dxa"/>
          </w:tcPr>
          <w:p w:rsidR="007C40CB" w:rsidRPr="001C76B3" w:rsidRDefault="007C40CB" w:rsidP="001B0457">
            <w:pPr>
              <w:spacing w:after="0" w:line="240" w:lineRule="auto"/>
              <w:rPr>
                <w:rFonts w:ascii="Times New Roman" w:eastAsia="Times New Roman" w:hAnsi="Times New Roman"/>
                <w:color w:val="000000" w:themeColor="text1"/>
                <w:sz w:val="24"/>
                <w:szCs w:val="24"/>
                <w:lang w:eastAsia="lv-LV"/>
              </w:rPr>
            </w:pPr>
            <w:r w:rsidRPr="001C76B3">
              <w:rPr>
                <w:rFonts w:ascii="Times New Roman" w:eastAsia="Times New Roman" w:hAnsi="Times New Roman"/>
                <w:color w:val="000000" w:themeColor="text1"/>
                <w:sz w:val="24"/>
                <w:szCs w:val="24"/>
                <w:lang w:eastAsia="lv-LV"/>
              </w:rPr>
              <w:t>Cita informācija</w:t>
            </w:r>
          </w:p>
        </w:tc>
        <w:tc>
          <w:tcPr>
            <w:tcW w:w="4617" w:type="dxa"/>
          </w:tcPr>
          <w:p w:rsidR="007C40CB" w:rsidRPr="002C6B4A" w:rsidRDefault="007C40CB" w:rsidP="001B0457">
            <w:pPr>
              <w:spacing w:after="0" w:line="240" w:lineRule="auto"/>
              <w:rPr>
                <w:rFonts w:ascii="Times New Roman" w:eastAsia="Times New Roman" w:hAnsi="Times New Roman"/>
                <w:color w:val="000000" w:themeColor="text1"/>
                <w:sz w:val="24"/>
                <w:szCs w:val="24"/>
                <w:lang w:eastAsia="lv-LV"/>
              </w:rPr>
            </w:pPr>
            <w:r w:rsidRPr="002C6B4A">
              <w:rPr>
                <w:rFonts w:ascii="Times New Roman" w:eastAsia="Times New Roman" w:hAnsi="Times New Roman"/>
                <w:color w:val="000000" w:themeColor="text1"/>
                <w:sz w:val="24"/>
                <w:szCs w:val="24"/>
                <w:lang w:eastAsia="lv-LV"/>
              </w:rPr>
              <w:t>Nav.</w:t>
            </w:r>
          </w:p>
        </w:tc>
      </w:tr>
    </w:tbl>
    <w:p w:rsidR="00D972B2" w:rsidRDefault="00D972B2" w:rsidP="00D64BF8">
      <w:pPr>
        <w:spacing w:after="0" w:line="240" w:lineRule="auto"/>
        <w:rPr>
          <w:rFonts w:ascii="Times New Roman" w:eastAsia="Times New Roman" w:hAnsi="Times New Roman"/>
          <w:color w:val="000000" w:themeColor="text1"/>
          <w:sz w:val="24"/>
          <w:szCs w:val="24"/>
          <w:lang w:eastAsia="lv-LV"/>
        </w:rPr>
      </w:pPr>
    </w:p>
    <w:p w:rsidR="00E8371C" w:rsidRDefault="00E8371C" w:rsidP="00E8371C">
      <w:pPr>
        <w:pStyle w:val="naiskr"/>
        <w:tabs>
          <w:tab w:val="left" w:pos="2628"/>
        </w:tabs>
        <w:spacing w:before="0" w:after="0"/>
        <w:rPr>
          <w:i/>
        </w:rPr>
      </w:pPr>
    </w:p>
    <w:tbl>
      <w:tblPr>
        <w:tblpPr w:leftFromText="180" w:rightFromText="180" w:vertAnchor="text" w:horzAnchor="margin" w:tblpXSpec="center" w:tblpY="189"/>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
        <w:gridCol w:w="4217"/>
        <w:gridCol w:w="5154"/>
      </w:tblGrid>
      <w:tr w:rsidR="006A689D" w:rsidRPr="006A689D" w:rsidTr="006A689D">
        <w:tc>
          <w:tcPr>
            <w:tcW w:w="9966" w:type="dxa"/>
            <w:gridSpan w:val="3"/>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pPr>
            <w:r w:rsidRPr="006A689D">
              <w:t>VII. Tiesību akta projekta izpildes nodrošināšana un tās ietekme uz institūcijām</w:t>
            </w:r>
          </w:p>
        </w:tc>
      </w:tr>
      <w:tr w:rsidR="006A689D" w:rsidRPr="006A689D" w:rsidTr="00294714">
        <w:trPr>
          <w:trHeight w:val="427"/>
        </w:trPr>
        <w:tc>
          <w:tcPr>
            <w:tcW w:w="595"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jc w:val="left"/>
              <w:rPr>
                <w:b w:val="0"/>
              </w:rPr>
            </w:pPr>
            <w:r w:rsidRPr="006A689D">
              <w:rPr>
                <w:b w:val="0"/>
              </w:rPr>
              <w:t>1.</w:t>
            </w:r>
          </w:p>
        </w:tc>
        <w:tc>
          <w:tcPr>
            <w:tcW w:w="4217"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f"/>
              <w:spacing w:before="0" w:after="0"/>
              <w:ind w:left="57" w:right="57" w:firstLine="0"/>
              <w:jc w:val="left"/>
            </w:pPr>
            <w:r w:rsidRPr="006A689D">
              <w:t xml:space="preserve">Projekta izpildē iesaistītās institūcijas </w:t>
            </w:r>
          </w:p>
        </w:tc>
        <w:tc>
          <w:tcPr>
            <w:tcW w:w="5154" w:type="dxa"/>
            <w:tcBorders>
              <w:top w:val="single" w:sz="4" w:space="0" w:color="auto"/>
              <w:left w:val="single" w:sz="4" w:space="0" w:color="auto"/>
              <w:bottom w:val="single" w:sz="4" w:space="0" w:color="auto"/>
              <w:right w:val="single" w:sz="4" w:space="0" w:color="auto"/>
            </w:tcBorders>
            <w:hideMark/>
          </w:tcPr>
          <w:p w:rsidR="006A689D" w:rsidRPr="006A689D" w:rsidRDefault="00294714" w:rsidP="00294714">
            <w:pPr>
              <w:pStyle w:val="naisnod"/>
              <w:spacing w:before="0" w:after="0"/>
              <w:ind w:left="57" w:right="57"/>
              <w:jc w:val="both"/>
              <w:rPr>
                <w:b w:val="0"/>
              </w:rPr>
            </w:pPr>
            <w:r>
              <w:rPr>
                <w:b w:val="0"/>
                <w:iCs/>
              </w:rPr>
              <w:t>Noteikumu p</w:t>
            </w:r>
            <w:r w:rsidRPr="00294714">
              <w:rPr>
                <w:b w:val="0"/>
                <w:iCs/>
              </w:rPr>
              <w:t xml:space="preserve">rojekta izpildi nodrošina </w:t>
            </w:r>
            <w:r w:rsidRPr="00294714">
              <w:rPr>
                <w:b w:val="0"/>
                <w:iCs/>
              </w:rPr>
              <w:lastRenderedPageBreak/>
              <w:t>elektroenerģijas sadales sistēmas operato</w:t>
            </w:r>
            <w:r>
              <w:rPr>
                <w:b w:val="0"/>
                <w:iCs/>
              </w:rPr>
              <w:t>ri,  elektroenerģijas tirgotāji.</w:t>
            </w:r>
          </w:p>
        </w:tc>
      </w:tr>
      <w:tr w:rsidR="006A689D" w:rsidRPr="006A689D" w:rsidTr="00294714">
        <w:trPr>
          <w:trHeight w:val="463"/>
        </w:trPr>
        <w:tc>
          <w:tcPr>
            <w:tcW w:w="595"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jc w:val="left"/>
              <w:rPr>
                <w:b w:val="0"/>
              </w:rPr>
            </w:pPr>
            <w:r w:rsidRPr="006A689D">
              <w:rPr>
                <w:b w:val="0"/>
              </w:rPr>
              <w:lastRenderedPageBreak/>
              <w:t>2.</w:t>
            </w:r>
          </w:p>
        </w:tc>
        <w:tc>
          <w:tcPr>
            <w:tcW w:w="4217"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f"/>
              <w:spacing w:before="0" w:after="0"/>
              <w:ind w:left="57" w:right="57" w:firstLine="0"/>
              <w:jc w:val="left"/>
            </w:pPr>
            <w:r w:rsidRPr="006A689D">
              <w:t xml:space="preserve">Projekta izpildes ietekme uz pārvaldes funkcijām </w:t>
            </w:r>
          </w:p>
        </w:tc>
        <w:tc>
          <w:tcPr>
            <w:tcW w:w="5154" w:type="dxa"/>
            <w:tcBorders>
              <w:top w:val="single" w:sz="4" w:space="0" w:color="auto"/>
              <w:left w:val="single" w:sz="4" w:space="0" w:color="auto"/>
              <w:bottom w:val="single" w:sz="4" w:space="0" w:color="auto"/>
              <w:right w:val="single" w:sz="4" w:space="0" w:color="auto"/>
            </w:tcBorders>
          </w:tcPr>
          <w:p w:rsidR="006A689D" w:rsidRPr="006A689D" w:rsidRDefault="006A689D">
            <w:pPr>
              <w:ind w:left="57" w:right="57"/>
              <w:rPr>
                <w:rFonts w:ascii="Times New Roman" w:hAnsi="Times New Roman"/>
                <w:bCs/>
                <w:color w:val="000000"/>
                <w:sz w:val="24"/>
                <w:szCs w:val="24"/>
              </w:rPr>
            </w:pPr>
            <w:r w:rsidRPr="006A689D">
              <w:rPr>
                <w:rFonts w:ascii="Times New Roman" w:hAnsi="Times New Roman"/>
                <w:bCs/>
                <w:color w:val="000000"/>
                <w:sz w:val="24"/>
                <w:szCs w:val="24"/>
              </w:rPr>
              <w:t>Projekts neparedz funkciju paplašināšanu.</w:t>
            </w:r>
          </w:p>
          <w:p w:rsidR="006A689D" w:rsidRPr="006A689D" w:rsidRDefault="006A689D">
            <w:pPr>
              <w:pStyle w:val="naisnod"/>
              <w:spacing w:before="0" w:after="0"/>
              <w:ind w:left="57" w:right="57"/>
              <w:jc w:val="left"/>
              <w:rPr>
                <w:b w:val="0"/>
              </w:rPr>
            </w:pPr>
          </w:p>
        </w:tc>
      </w:tr>
      <w:tr w:rsidR="006A689D" w:rsidRPr="006A689D" w:rsidTr="00294714">
        <w:trPr>
          <w:trHeight w:val="725"/>
        </w:trPr>
        <w:tc>
          <w:tcPr>
            <w:tcW w:w="595"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jc w:val="left"/>
              <w:rPr>
                <w:b w:val="0"/>
              </w:rPr>
            </w:pPr>
            <w:r w:rsidRPr="006A689D">
              <w:rPr>
                <w:b w:val="0"/>
              </w:rPr>
              <w:t>3.</w:t>
            </w:r>
          </w:p>
        </w:tc>
        <w:tc>
          <w:tcPr>
            <w:tcW w:w="4217"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f"/>
              <w:spacing w:before="0" w:after="0"/>
              <w:ind w:left="57" w:right="57" w:firstLine="0"/>
              <w:jc w:val="left"/>
            </w:pPr>
            <w:r w:rsidRPr="006A689D">
              <w:t>Projekta izpildes ietekme uz pārvaldes institucionālo struktūru.</w:t>
            </w:r>
          </w:p>
          <w:p w:rsidR="006A689D" w:rsidRPr="006A689D" w:rsidRDefault="006A689D">
            <w:pPr>
              <w:pStyle w:val="naisf"/>
              <w:spacing w:before="0" w:after="0"/>
              <w:ind w:left="57" w:right="57" w:firstLine="0"/>
              <w:jc w:val="left"/>
            </w:pPr>
            <w:r w:rsidRPr="006A689D">
              <w:t>Jaunu institūciju izveide</w:t>
            </w:r>
          </w:p>
        </w:tc>
        <w:tc>
          <w:tcPr>
            <w:tcW w:w="5154" w:type="dxa"/>
            <w:tcBorders>
              <w:top w:val="single" w:sz="4" w:space="0" w:color="auto"/>
              <w:left w:val="single" w:sz="4" w:space="0" w:color="auto"/>
              <w:bottom w:val="single" w:sz="4" w:space="0" w:color="auto"/>
              <w:right w:val="single" w:sz="4" w:space="0" w:color="auto"/>
            </w:tcBorders>
          </w:tcPr>
          <w:p w:rsidR="006A689D" w:rsidRPr="006A689D" w:rsidRDefault="006A689D">
            <w:pPr>
              <w:pStyle w:val="naisnod"/>
              <w:jc w:val="left"/>
              <w:rPr>
                <w:b w:val="0"/>
                <w:iCs/>
              </w:rPr>
            </w:pPr>
            <w:r w:rsidRPr="006A689D">
              <w:rPr>
                <w:b w:val="0"/>
                <w:iCs/>
              </w:rPr>
              <w:t>Projekts neparedz veidot jaunas valsts institūcijas.</w:t>
            </w:r>
          </w:p>
          <w:p w:rsidR="006A689D" w:rsidRPr="006A689D" w:rsidRDefault="006A689D">
            <w:pPr>
              <w:pStyle w:val="naisnod"/>
              <w:spacing w:before="0" w:after="0"/>
              <w:ind w:left="57" w:right="57"/>
              <w:jc w:val="left"/>
              <w:rPr>
                <w:b w:val="0"/>
              </w:rPr>
            </w:pPr>
          </w:p>
        </w:tc>
      </w:tr>
      <w:tr w:rsidR="006A689D" w:rsidRPr="006A689D" w:rsidTr="00294714">
        <w:trPr>
          <w:trHeight w:val="780"/>
        </w:trPr>
        <w:tc>
          <w:tcPr>
            <w:tcW w:w="595"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jc w:val="left"/>
              <w:rPr>
                <w:b w:val="0"/>
              </w:rPr>
            </w:pPr>
            <w:r w:rsidRPr="006A689D">
              <w:rPr>
                <w:b w:val="0"/>
              </w:rPr>
              <w:t>4.</w:t>
            </w:r>
          </w:p>
        </w:tc>
        <w:tc>
          <w:tcPr>
            <w:tcW w:w="4217"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f"/>
              <w:spacing w:before="0" w:after="0"/>
              <w:ind w:left="57" w:right="57" w:firstLine="0"/>
              <w:jc w:val="left"/>
            </w:pPr>
            <w:r w:rsidRPr="006A689D">
              <w:t>Projekta izpildes ietekme uz pārvaldes institucionālo struktūru.</w:t>
            </w:r>
          </w:p>
          <w:p w:rsidR="006A689D" w:rsidRPr="006A689D" w:rsidRDefault="006A689D">
            <w:pPr>
              <w:pStyle w:val="naisf"/>
              <w:spacing w:before="0" w:after="0"/>
              <w:ind w:left="57" w:right="57" w:firstLine="0"/>
              <w:jc w:val="left"/>
            </w:pPr>
            <w:r w:rsidRPr="006A689D">
              <w:t>Esošu institūciju likvidācija</w:t>
            </w:r>
          </w:p>
        </w:tc>
        <w:tc>
          <w:tcPr>
            <w:tcW w:w="5154"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jc w:val="left"/>
              <w:rPr>
                <w:b w:val="0"/>
              </w:rPr>
            </w:pPr>
            <w:r w:rsidRPr="006A689D">
              <w:rPr>
                <w:b w:val="0"/>
                <w:iCs/>
              </w:rPr>
              <w:t>Projekts šo jomu neskar.</w:t>
            </w:r>
          </w:p>
        </w:tc>
      </w:tr>
      <w:tr w:rsidR="006A689D" w:rsidRPr="006A689D" w:rsidTr="00294714">
        <w:trPr>
          <w:trHeight w:val="703"/>
        </w:trPr>
        <w:tc>
          <w:tcPr>
            <w:tcW w:w="595"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jc w:val="left"/>
              <w:rPr>
                <w:b w:val="0"/>
              </w:rPr>
            </w:pPr>
            <w:r w:rsidRPr="006A689D">
              <w:rPr>
                <w:b w:val="0"/>
              </w:rPr>
              <w:t>5.</w:t>
            </w:r>
          </w:p>
        </w:tc>
        <w:tc>
          <w:tcPr>
            <w:tcW w:w="4217"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f"/>
              <w:spacing w:before="0" w:after="0"/>
              <w:ind w:left="57" w:right="57" w:firstLine="0"/>
              <w:jc w:val="left"/>
            </w:pPr>
            <w:r w:rsidRPr="006A689D">
              <w:t>Projekta izpildes ietekme uz pārvaldes institucionālo struktūru.</w:t>
            </w:r>
          </w:p>
          <w:p w:rsidR="006A689D" w:rsidRPr="006A689D" w:rsidRDefault="006A689D">
            <w:pPr>
              <w:pStyle w:val="naisf"/>
              <w:spacing w:before="0" w:after="0"/>
              <w:ind w:left="57" w:right="57" w:firstLine="0"/>
              <w:jc w:val="left"/>
            </w:pPr>
            <w:r w:rsidRPr="006A689D">
              <w:t>Esošu institūciju reorganizācija</w:t>
            </w:r>
          </w:p>
        </w:tc>
        <w:tc>
          <w:tcPr>
            <w:tcW w:w="5154"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nod"/>
              <w:spacing w:before="0" w:after="0"/>
              <w:ind w:left="57" w:right="57"/>
              <w:jc w:val="left"/>
              <w:rPr>
                <w:b w:val="0"/>
              </w:rPr>
            </w:pPr>
            <w:r w:rsidRPr="006A689D">
              <w:rPr>
                <w:b w:val="0"/>
                <w:iCs/>
              </w:rPr>
              <w:t>Projekts šo jomu neskar.</w:t>
            </w:r>
          </w:p>
        </w:tc>
      </w:tr>
      <w:tr w:rsidR="006A689D" w:rsidRPr="006A689D" w:rsidTr="00294714">
        <w:trPr>
          <w:trHeight w:val="476"/>
        </w:trPr>
        <w:tc>
          <w:tcPr>
            <w:tcW w:w="595"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kr"/>
              <w:spacing w:before="0" w:after="0"/>
              <w:ind w:left="57" w:right="57"/>
            </w:pPr>
            <w:r w:rsidRPr="006A689D">
              <w:t>6.</w:t>
            </w:r>
          </w:p>
        </w:tc>
        <w:tc>
          <w:tcPr>
            <w:tcW w:w="4217"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kr"/>
              <w:spacing w:before="0" w:after="0"/>
              <w:ind w:left="57" w:right="57"/>
            </w:pPr>
            <w:r w:rsidRPr="006A689D">
              <w:t>Cita informācija</w:t>
            </w:r>
          </w:p>
        </w:tc>
        <w:tc>
          <w:tcPr>
            <w:tcW w:w="5154" w:type="dxa"/>
            <w:tcBorders>
              <w:top w:val="single" w:sz="4" w:space="0" w:color="auto"/>
              <w:left w:val="single" w:sz="4" w:space="0" w:color="auto"/>
              <w:bottom w:val="single" w:sz="4" w:space="0" w:color="auto"/>
              <w:right w:val="single" w:sz="4" w:space="0" w:color="auto"/>
            </w:tcBorders>
            <w:hideMark/>
          </w:tcPr>
          <w:p w:rsidR="006A689D" w:rsidRPr="006A689D" w:rsidRDefault="006A689D">
            <w:pPr>
              <w:pStyle w:val="naiskr"/>
              <w:spacing w:before="0" w:after="0"/>
              <w:ind w:right="57"/>
            </w:pPr>
            <w:r w:rsidRPr="006A689D">
              <w:t xml:space="preserve"> Nav</w:t>
            </w:r>
          </w:p>
        </w:tc>
      </w:tr>
    </w:tbl>
    <w:p w:rsidR="006A689D" w:rsidRDefault="00CD1CB4" w:rsidP="00294714">
      <w:pPr>
        <w:spacing w:after="0" w:line="240" w:lineRule="auto"/>
        <w:jc w:val="both"/>
        <w:rPr>
          <w:rFonts w:ascii="Times New Roman" w:eastAsia="Times New Roman" w:hAnsi="Times New Roman"/>
          <w:i/>
          <w:color w:val="000000"/>
          <w:sz w:val="24"/>
          <w:szCs w:val="24"/>
          <w:lang w:eastAsia="lv-LV"/>
        </w:rPr>
      </w:pPr>
      <w:r w:rsidRPr="00294714">
        <w:rPr>
          <w:rFonts w:ascii="Times New Roman" w:eastAsia="Times New Roman" w:hAnsi="Times New Roman"/>
          <w:i/>
          <w:color w:val="000000"/>
          <w:sz w:val="24"/>
          <w:szCs w:val="24"/>
          <w:lang w:eastAsia="lv-LV"/>
        </w:rPr>
        <w:t>Anotācijas III, IV, V un VI sadaļa – projekts šīs jomas neskar.</w:t>
      </w:r>
    </w:p>
    <w:p w:rsidR="00294714" w:rsidRDefault="00294714" w:rsidP="00294714">
      <w:pPr>
        <w:spacing w:after="0" w:line="240" w:lineRule="auto"/>
        <w:jc w:val="both"/>
        <w:rPr>
          <w:rFonts w:ascii="Times New Roman" w:eastAsia="Times New Roman" w:hAnsi="Times New Roman"/>
          <w:i/>
          <w:color w:val="000000"/>
          <w:sz w:val="24"/>
          <w:szCs w:val="24"/>
          <w:lang w:eastAsia="lv-LV"/>
        </w:rPr>
      </w:pPr>
    </w:p>
    <w:p w:rsidR="00294714" w:rsidRDefault="00294714" w:rsidP="00294714">
      <w:pPr>
        <w:spacing w:after="0" w:line="240" w:lineRule="auto"/>
        <w:jc w:val="both"/>
        <w:rPr>
          <w:rFonts w:ascii="Times New Roman" w:hAnsi="Times New Roman"/>
          <w:color w:val="000000"/>
          <w:sz w:val="28"/>
        </w:rPr>
      </w:pPr>
    </w:p>
    <w:p w:rsidR="00294714" w:rsidRDefault="00294714" w:rsidP="00294714">
      <w:pPr>
        <w:spacing w:after="0" w:line="240" w:lineRule="auto"/>
        <w:jc w:val="both"/>
        <w:rPr>
          <w:rFonts w:ascii="Times New Roman" w:hAnsi="Times New Roman"/>
          <w:color w:val="000000"/>
          <w:sz w:val="28"/>
        </w:rPr>
      </w:pPr>
    </w:p>
    <w:p w:rsidR="003B0E10" w:rsidRPr="003B0E10" w:rsidRDefault="003B0E10" w:rsidP="00294714">
      <w:pPr>
        <w:suppressLineNumbers/>
        <w:spacing w:after="0" w:line="240" w:lineRule="auto"/>
        <w:rPr>
          <w:rFonts w:ascii="Times New Roman" w:hAnsi="Times New Roman"/>
          <w:color w:val="000000"/>
          <w:sz w:val="28"/>
        </w:rPr>
      </w:pPr>
      <w:r w:rsidRPr="003B0E10">
        <w:rPr>
          <w:rFonts w:ascii="Times New Roman" w:hAnsi="Times New Roman"/>
          <w:color w:val="000000"/>
          <w:sz w:val="28"/>
        </w:rPr>
        <w:t>Ekonomikas ministr</w:t>
      </w:r>
      <w:r w:rsidR="009E265F">
        <w:rPr>
          <w:rFonts w:ascii="Times New Roman" w:hAnsi="Times New Roman"/>
          <w:color w:val="000000"/>
          <w:sz w:val="28"/>
        </w:rPr>
        <w:t xml:space="preserve">s </w:t>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r>
      <w:r w:rsidR="009E265F">
        <w:rPr>
          <w:rFonts w:ascii="Times New Roman" w:hAnsi="Times New Roman"/>
          <w:color w:val="000000"/>
          <w:sz w:val="28"/>
        </w:rPr>
        <w:tab/>
      </w:r>
      <w:r w:rsidR="00CA00AA">
        <w:rPr>
          <w:rFonts w:ascii="Times New Roman" w:hAnsi="Times New Roman"/>
          <w:color w:val="000000"/>
          <w:sz w:val="28"/>
        </w:rPr>
        <w:tab/>
      </w:r>
      <w:r w:rsidR="00CA00AA">
        <w:rPr>
          <w:rFonts w:ascii="Times New Roman" w:hAnsi="Times New Roman"/>
          <w:color w:val="000000"/>
          <w:sz w:val="28"/>
        </w:rPr>
        <w:tab/>
      </w:r>
      <w:proofErr w:type="spellStart"/>
      <w:r w:rsidR="009E265F">
        <w:rPr>
          <w:rFonts w:ascii="Times New Roman" w:hAnsi="Times New Roman"/>
          <w:color w:val="000000"/>
          <w:sz w:val="28"/>
        </w:rPr>
        <w:t>D.Pavļuts</w:t>
      </w:r>
      <w:proofErr w:type="spellEnd"/>
    </w:p>
    <w:p w:rsidR="009B349B" w:rsidRDefault="009B349B" w:rsidP="00294714">
      <w:pPr>
        <w:pStyle w:val="EnvelopeReturn"/>
        <w:tabs>
          <w:tab w:val="left" w:pos="6480"/>
          <w:tab w:val="right" w:pos="7560"/>
        </w:tabs>
        <w:spacing w:before="0"/>
        <w:rPr>
          <w:color w:val="000000" w:themeColor="text1"/>
          <w:sz w:val="28"/>
          <w:szCs w:val="28"/>
          <w:lang w:val="lv-LV"/>
        </w:rPr>
      </w:pPr>
    </w:p>
    <w:p w:rsidR="00294714" w:rsidRPr="00BE656F" w:rsidRDefault="00294714" w:rsidP="00294714">
      <w:pPr>
        <w:pStyle w:val="EnvelopeReturn"/>
        <w:tabs>
          <w:tab w:val="left" w:pos="6480"/>
          <w:tab w:val="right" w:pos="7560"/>
        </w:tabs>
        <w:spacing w:before="0"/>
        <w:rPr>
          <w:color w:val="000000" w:themeColor="text1"/>
          <w:sz w:val="28"/>
          <w:szCs w:val="28"/>
          <w:lang w:val="lv-LV"/>
        </w:rPr>
      </w:pPr>
    </w:p>
    <w:p w:rsidR="000E3217" w:rsidRPr="00BE656F" w:rsidRDefault="000E3217" w:rsidP="00294714">
      <w:pPr>
        <w:pStyle w:val="naisf"/>
        <w:spacing w:before="0" w:after="120"/>
        <w:ind w:firstLine="0"/>
        <w:rPr>
          <w:b/>
          <w:bCs/>
          <w:color w:val="000000" w:themeColor="text1"/>
          <w:sz w:val="28"/>
          <w:szCs w:val="20"/>
        </w:rPr>
      </w:pPr>
      <w:r w:rsidRPr="00BE656F">
        <w:rPr>
          <w:bCs/>
          <w:color w:val="000000" w:themeColor="text1"/>
          <w:sz w:val="28"/>
          <w:szCs w:val="20"/>
        </w:rPr>
        <w:t>Vīza:</w:t>
      </w:r>
    </w:p>
    <w:p w:rsidR="00CA00AA" w:rsidRDefault="00CA00AA" w:rsidP="00CA00AA">
      <w:pPr>
        <w:spacing w:after="0" w:line="240" w:lineRule="auto"/>
        <w:jc w:val="both"/>
        <w:rPr>
          <w:rFonts w:ascii="Times New Roman" w:hAnsi="Times New Roman"/>
          <w:color w:val="000000"/>
          <w:sz w:val="28"/>
          <w:szCs w:val="28"/>
        </w:rPr>
      </w:pPr>
      <w:r>
        <w:rPr>
          <w:rFonts w:ascii="Times New Roman" w:hAnsi="Times New Roman"/>
          <w:color w:val="000000"/>
          <w:sz w:val="28"/>
          <w:szCs w:val="28"/>
        </w:rPr>
        <w:t>valsts sekretāra pienākumu izpildītājs,</w:t>
      </w:r>
    </w:p>
    <w:p w:rsidR="00CA00AA" w:rsidRPr="000614F3" w:rsidRDefault="00CA00AA" w:rsidP="00CA00AA">
      <w:pPr>
        <w:spacing w:after="0" w:line="240" w:lineRule="auto"/>
        <w:jc w:val="both"/>
        <w:rPr>
          <w:rFonts w:ascii="Times New Roman" w:eastAsia="Times New Roman" w:hAnsi="Times New Roman"/>
          <w:color w:val="000000"/>
          <w:sz w:val="28"/>
          <w:szCs w:val="28"/>
          <w:lang w:eastAsia="lv-LV"/>
        </w:rPr>
      </w:pPr>
      <w:r>
        <w:rPr>
          <w:rFonts w:ascii="Times New Roman" w:hAnsi="Times New Roman"/>
          <w:color w:val="000000"/>
          <w:sz w:val="28"/>
          <w:szCs w:val="28"/>
        </w:rPr>
        <w:t>valsts sekretāra vietnieks</w:t>
      </w:r>
      <w:r w:rsidRPr="000614F3">
        <w:rPr>
          <w:rFonts w:ascii="Times New Roman" w:hAnsi="Times New Roman"/>
          <w:color w:val="000000"/>
          <w:sz w:val="28"/>
          <w:szCs w:val="28"/>
        </w:rPr>
        <w:tab/>
      </w:r>
      <w:r w:rsidRPr="000614F3">
        <w:rPr>
          <w:rFonts w:ascii="Times New Roman" w:hAnsi="Times New Roman"/>
          <w:color w:val="000000"/>
          <w:sz w:val="28"/>
          <w:szCs w:val="28"/>
        </w:rPr>
        <w:tab/>
      </w:r>
      <w:r w:rsidRPr="000614F3">
        <w:rPr>
          <w:rFonts w:ascii="Times New Roman" w:hAnsi="Times New Roman"/>
          <w:color w:val="000000"/>
          <w:sz w:val="28"/>
          <w:szCs w:val="28"/>
        </w:rPr>
        <w:tab/>
      </w:r>
      <w:r w:rsidRPr="000614F3">
        <w:rPr>
          <w:rFonts w:ascii="Times New Roman" w:hAnsi="Times New Roman"/>
          <w:color w:val="000000"/>
          <w:sz w:val="28"/>
          <w:szCs w:val="28"/>
        </w:rPr>
        <w:tab/>
      </w:r>
      <w:r w:rsidRPr="000614F3">
        <w:rPr>
          <w:rFonts w:ascii="Times New Roman" w:hAnsi="Times New Roman"/>
          <w:color w:val="000000"/>
          <w:sz w:val="28"/>
          <w:szCs w:val="28"/>
        </w:rPr>
        <w:tab/>
      </w:r>
      <w:r w:rsidRPr="000614F3">
        <w:rPr>
          <w:rFonts w:ascii="Times New Roman" w:hAnsi="Times New Roman"/>
          <w:color w:val="000000"/>
          <w:sz w:val="28"/>
          <w:szCs w:val="28"/>
        </w:rPr>
        <w:tab/>
      </w:r>
      <w:r w:rsidRPr="000614F3">
        <w:rPr>
          <w:rFonts w:ascii="Times New Roman" w:hAnsi="Times New Roman"/>
          <w:color w:val="000000"/>
          <w:sz w:val="28"/>
          <w:szCs w:val="28"/>
        </w:rPr>
        <w:tab/>
        <w:t xml:space="preserve">      </w:t>
      </w:r>
      <w:r w:rsidRPr="000614F3">
        <w:rPr>
          <w:rFonts w:ascii="Times New Roman" w:hAnsi="Times New Roman"/>
          <w:color w:val="000000"/>
          <w:sz w:val="28"/>
          <w:szCs w:val="28"/>
        </w:rPr>
        <w:tab/>
      </w:r>
      <w:r>
        <w:rPr>
          <w:rFonts w:ascii="Times New Roman" w:hAnsi="Times New Roman"/>
          <w:color w:val="000000"/>
          <w:sz w:val="28"/>
          <w:szCs w:val="28"/>
        </w:rPr>
        <w:t>A.Liepiņš</w:t>
      </w:r>
    </w:p>
    <w:p w:rsidR="00F10A78" w:rsidRDefault="00F10A78" w:rsidP="00294714">
      <w:pPr>
        <w:pStyle w:val="Header"/>
        <w:tabs>
          <w:tab w:val="clear" w:pos="4153"/>
          <w:tab w:val="clear" w:pos="8306"/>
        </w:tabs>
        <w:spacing w:after="0" w:line="240" w:lineRule="auto"/>
        <w:rPr>
          <w:rFonts w:ascii="Times New Roman" w:hAnsi="Times New Roman"/>
          <w:color w:val="000000" w:themeColor="text1"/>
          <w:sz w:val="20"/>
          <w:szCs w:val="20"/>
        </w:rPr>
      </w:pPr>
    </w:p>
    <w:p w:rsidR="00F10A78" w:rsidRDefault="00F10A7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F10A78" w:rsidRDefault="00F10A78"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3B0E10" w:rsidRPr="006D120D" w:rsidRDefault="003B0E10" w:rsidP="00B92BE3">
      <w:pPr>
        <w:pStyle w:val="Header"/>
        <w:tabs>
          <w:tab w:val="clear" w:pos="4153"/>
          <w:tab w:val="clear" w:pos="8306"/>
        </w:tabs>
        <w:spacing w:after="0" w:line="240" w:lineRule="auto"/>
        <w:rPr>
          <w:rFonts w:ascii="Times New Roman" w:hAnsi="Times New Roman"/>
          <w:color w:val="000000" w:themeColor="text1"/>
          <w:sz w:val="20"/>
          <w:szCs w:val="20"/>
        </w:rPr>
      </w:pPr>
    </w:p>
    <w:p w:rsidR="00294714" w:rsidRPr="00294714" w:rsidRDefault="00294714" w:rsidP="00294714">
      <w:pPr>
        <w:pStyle w:val="Header"/>
        <w:spacing w:after="0" w:line="240" w:lineRule="auto"/>
        <w:rPr>
          <w:rFonts w:ascii="Times New Roman" w:hAnsi="Times New Roman"/>
          <w:color w:val="000000" w:themeColor="text1"/>
          <w:sz w:val="20"/>
          <w:szCs w:val="20"/>
        </w:rPr>
      </w:pPr>
    </w:p>
    <w:p w:rsidR="00294714" w:rsidRPr="00294714" w:rsidRDefault="00CA00AA" w:rsidP="00294714">
      <w:pPr>
        <w:pStyle w:val="Heade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1</w:t>
      </w:r>
      <w:r w:rsidR="002901A6">
        <w:rPr>
          <w:rFonts w:ascii="Times New Roman" w:hAnsi="Times New Roman"/>
          <w:color w:val="000000" w:themeColor="text1"/>
          <w:sz w:val="20"/>
          <w:szCs w:val="20"/>
        </w:rPr>
        <w:t>3</w:t>
      </w:r>
      <w:r>
        <w:rPr>
          <w:rFonts w:ascii="Times New Roman" w:hAnsi="Times New Roman"/>
          <w:color w:val="000000" w:themeColor="text1"/>
          <w:sz w:val="20"/>
          <w:szCs w:val="20"/>
        </w:rPr>
        <w:t>.12</w:t>
      </w:r>
      <w:r w:rsidR="00294714" w:rsidRPr="00294714">
        <w:rPr>
          <w:rFonts w:ascii="Times New Roman" w:hAnsi="Times New Roman"/>
          <w:color w:val="000000" w:themeColor="text1"/>
          <w:sz w:val="20"/>
          <w:szCs w:val="20"/>
        </w:rPr>
        <w:t xml:space="preserve">.2013. </w:t>
      </w:r>
      <w:r w:rsidR="002901A6">
        <w:rPr>
          <w:rFonts w:ascii="Times New Roman" w:hAnsi="Times New Roman"/>
          <w:color w:val="000000" w:themeColor="text1"/>
          <w:sz w:val="20"/>
          <w:szCs w:val="20"/>
        </w:rPr>
        <w:t>09:15</w:t>
      </w:r>
    </w:p>
    <w:p w:rsidR="00294714" w:rsidRDefault="00294714" w:rsidP="00294714">
      <w:pPr>
        <w:pStyle w:val="Heade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fldChar w:fldCharType="begin"/>
      </w:r>
      <w:r>
        <w:rPr>
          <w:rFonts w:ascii="Times New Roman" w:hAnsi="Times New Roman"/>
          <w:color w:val="000000" w:themeColor="text1"/>
          <w:sz w:val="20"/>
          <w:szCs w:val="20"/>
        </w:rPr>
        <w:instrText xml:space="preserve"> NUMWORDS   \* MERGEFORMAT </w:instrText>
      </w:r>
      <w:r>
        <w:rPr>
          <w:rFonts w:ascii="Times New Roman" w:hAnsi="Times New Roman"/>
          <w:color w:val="000000" w:themeColor="text1"/>
          <w:sz w:val="20"/>
          <w:szCs w:val="20"/>
        </w:rPr>
        <w:fldChar w:fldCharType="separate"/>
      </w:r>
      <w:r w:rsidR="002901A6">
        <w:rPr>
          <w:rFonts w:ascii="Times New Roman" w:hAnsi="Times New Roman"/>
          <w:noProof/>
          <w:color w:val="000000" w:themeColor="text1"/>
          <w:sz w:val="20"/>
          <w:szCs w:val="20"/>
        </w:rPr>
        <w:t>1684</w:t>
      </w:r>
      <w:r>
        <w:rPr>
          <w:rFonts w:ascii="Times New Roman" w:hAnsi="Times New Roman"/>
          <w:color w:val="000000" w:themeColor="text1"/>
          <w:sz w:val="20"/>
          <w:szCs w:val="20"/>
        </w:rPr>
        <w:fldChar w:fldCharType="end"/>
      </w:r>
    </w:p>
    <w:p w:rsidR="00294714" w:rsidRPr="00294714" w:rsidRDefault="00294714" w:rsidP="00294714">
      <w:pPr>
        <w:pStyle w:val="Header"/>
        <w:spacing w:after="0" w:line="240" w:lineRule="auto"/>
        <w:rPr>
          <w:rFonts w:ascii="Times New Roman" w:hAnsi="Times New Roman"/>
          <w:color w:val="000000" w:themeColor="text1"/>
          <w:sz w:val="20"/>
          <w:szCs w:val="20"/>
        </w:rPr>
      </w:pPr>
      <w:r w:rsidRPr="00294714">
        <w:rPr>
          <w:rFonts w:ascii="Times New Roman" w:hAnsi="Times New Roman"/>
          <w:color w:val="000000" w:themeColor="text1"/>
          <w:sz w:val="20"/>
          <w:szCs w:val="20"/>
        </w:rPr>
        <w:t xml:space="preserve">I.Niedrīte, </w:t>
      </w:r>
    </w:p>
    <w:p w:rsidR="00294714" w:rsidRPr="00294714" w:rsidRDefault="00294714" w:rsidP="00294714">
      <w:pPr>
        <w:pStyle w:val="Header"/>
        <w:spacing w:after="0" w:line="240" w:lineRule="auto"/>
        <w:rPr>
          <w:rFonts w:ascii="Times New Roman" w:hAnsi="Times New Roman"/>
          <w:color w:val="000000" w:themeColor="text1"/>
          <w:sz w:val="20"/>
          <w:szCs w:val="20"/>
        </w:rPr>
      </w:pPr>
      <w:r w:rsidRPr="00294714">
        <w:rPr>
          <w:rFonts w:ascii="Times New Roman" w:hAnsi="Times New Roman"/>
          <w:color w:val="000000" w:themeColor="text1"/>
          <w:sz w:val="20"/>
          <w:szCs w:val="20"/>
        </w:rPr>
        <w:t>67013168</w:t>
      </w:r>
    </w:p>
    <w:p w:rsidR="006D120D" w:rsidRDefault="00EA0138" w:rsidP="00294714">
      <w:pPr>
        <w:pStyle w:val="Header"/>
        <w:tabs>
          <w:tab w:val="clear" w:pos="4153"/>
          <w:tab w:val="clear" w:pos="8306"/>
        </w:tabs>
        <w:spacing w:after="0" w:line="240" w:lineRule="auto"/>
        <w:rPr>
          <w:rFonts w:ascii="Times New Roman" w:hAnsi="Times New Roman"/>
          <w:color w:val="000000" w:themeColor="text1"/>
          <w:sz w:val="20"/>
          <w:szCs w:val="20"/>
        </w:rPr>
      </w:pPr>
      <w:hyperlink r:id="rId9" w:history="1">
        <w:r w:rsidR="00294714" w:rsidRPr="003168D2">
          <w:rPr>
            <w:rStyle w:val="Hyperlink"/>
            <w:rFonts w:ascii="Times New Roman" w:hAnsi="Times New Roman"/>
            <w:sz w:val="20"/>
            <w:szCs w:val="20"/>
          </w:rPr>
          <w:t>Indra.Niedrite@em.gov.lv</w:t>
        </w:r>
      </w:hyperlink>
    </w:p>
    <w:p w:rsidR="00294714" w:rsidRPr="006D120D" w:rsidRDefault="00294714" w:rsidP="00294714">
      <w:pPr>
        <w:pStyle w:val="Header"/>
        <w:tabs>
          <w:tab w:val="clear" w:pos="4153"/>
          <w:tab w:val="clear" w:pos="8306"/>
        </w:tabs>
        <w:spacing w:after="0" w:line="240" w:lineRule="auto"/>
        <w:rPr>
          <w:rFonts w:ascii="Times New Roman" w:hAnsi="Times New Roman"/>
          <w:color w:val="000000" w:themeColor="text1"/>
          <w:sz w:val="20"/>
          <w:szCs w:val="20"/>
        </w:rPr>
      </w:pPr>
    </w:p>
    <w:sectPr w:rsidR="00294714" w:rsidRPr="006D120D" w:rsidSect="00AB57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138" w:rsidRDefault="00EA0138" w:rsidP="009640EB">
      <w:pPr>
        <w:spacing w:after="0" w:line="240" w:lineRule="auto"/>
      </w:pPr>
      <w:r>
        <w:separator/>
      </w:r>
    </w:p>
  </w:endnote>
  <w:endnote w:type="continuationSeparator" w:id="0">
    <w:p w:rsidR="00EA0138" w:rsidRDefault="00EA0138"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7" w:rsidRPr="004E0113" w:rsidRDefault="004E0113" w:rsidP="00A46F97">
    <w:pPr>
      <w:spacing w:after="0" w:line="240" w:lineRule="auto"/>
      <w:contextualSpacing/>
      <w:jc w:val="both"/>
      <w:outlineLvl w:val="0"/>
    </w:pPr>
    <w:r w:rsidRPr="003E45BF">
      <w:rPr>
        <w:rFonts w:ascii="Times New Roman" w:hAnsi="Times New Roman"/>
        <w:sz w:val="20"/>
        <w:szCs w:val="20"/>
      </w:rPr>
      <w:t>EMAnot_</w:t>
    </w:r>
    <w:r w:rsidR="002901A6">
      <w:rPr>
        <w:rFonts w:ascii="Times New Roman" w:hAnsi="Times New Roman"/>
        <w:sz w:val="20"/>
        <w:szCs w:val="20"/>
      </w:rPr>
      <w:t>13</w:t>
    </w:r>
    <w:r w:rsidR="00CA00AA">
      <w:rPr>
        <w:rFonts w:ascii="Times New Roman" w:hAnsi="Times New Roman"/>
        <w:sz w:val="20"/>
        <w:szCs w:val="20"/>
      </w:rPr>
      <w:t>12</w:t>
    </w:r>
    <w:r>
      <w:rPr>
        <w:rFonts w:ascii="Times New Roman" w:hAnsi="Times New Roman"/>
        <w:sz w:val="20"/>
        <w:szCs w:val="20"/>
      </w:rPr>
      <w:t>13</w:t>
    </w:r>
    <w:r w:rsidRPr="00686BCB">
      <w:rPr>
        <w:rFonts w:ascii="Times New Roman" w:hAnsi="Times New Roman"/>
        <w:sz w:val="20"/>
        <w:szCs w:val="20"/>
      </w:rPr>
      <w:t>_</w:t>
    </w:r>
    <w:r w:rsidR="00294714">
      <w:rPr>
        <w:rFonts w:ascii="Times New Roman" w:hAnsi="Times New Roman"/>
        <w:sz w:val="20"/>
        <w:szCs w:val="20"/>
      </w:rPr>
      <w:t>194</w:t>
    </w:r>
    <w:r w:rsidRPr="003E45BF">
      <w:rPr>
        <w:rFonts w:ascii="Times New Roman" w:hAnsi="Times New Roman"/>
        <w:sz w:val="20"/>
        <w:szCs w:val="20"/>
      </w:rPr>
      <w:t xml:space="preserve">; </w:t>
    </w:r>
    <w:r w:rsidRPr="004E0113">
      <w:rPr>
        <w:rFonts w:ascii="Times New Roman" w:hAnsi="Times New Roman"/>
        <w:sz w:val="20"/>
        <w:szCs w:val="20"/>
      </w:rPr>
      <w:t>Ministru kabineta noteikumu projekta „Elektroenerģijas tirdzniecības un lietošanas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57" w:rsidRPr="002901A6" w:rsidRDefault="002901A6" w:rsidP="002901A6">
    <w:pPr>
      <w:spacing w:after="0" w:line="240" w:lineRule="auto"/>
      <w:contextualSpacing/>
      <w:jc w:val="both"/>
      <w:outlineLvl w:val="0"/>
    </w:pPr>
    <w:r w:rsidRPr="003E45BF">
      <w:rPr>
        <w:rFonts w:ascii="Times New Roman" w:hAnsi="Times New Roman"/>
        <w:sz w:val="20"/>
        <w:szCs w:val="20"/>
      </w:rPr>
      <w:t>EMAnot_</w:t>
    </w:r>
    <w:r>
      <w:rPr>
        <w:rFonts w:ascii="Times New Roman" w:hAnsi="Times New Roman"/>
        <w:sz w:val="20"/>
        <w:szCs w:val="20"/>
      </w:rPr>
      <w:t>131213</w:t>
    </w:r>
    <w:r w:rsidRPr="00686BCB">
      <w:rPr>
        <w:rFonts w:ascii="Times New Roman" w:hAnsi="Times New Roman"/>
        <w:sz w:val="20"/>
        <w:szCs w:val="20"/>
      </w:rPr>
      <w:t>_</w:t>
    </w:r>
    <w:r>
      <w:rPr>
        <w:rFonts w:ascii="Times New Roman" w:hAnsi="Times New Roman"/>
        <w:sz w:val="20"/>
        <w:szCs w:val="20"/>
      </w:rPr>
      <w:t>194</w:t>
    </w:r>
    <w:r w:rsidRPr="003E45BF">
      <w:rPr>
        <w:rFonts w:ascii="Times New Roman" w:hAnsi="Times New Roman"/>
        <w:sz w:val="20"/>
        <w:szCs w:val="20"/>
      </w:rPr>
      <w:t xml:space="preserve">; </w:t>
    </w:r>
    <w:r w:rsidRPr="004E0113">
      <w:rPr>
        <w:rFonts w:ascii="Times New Roman" w:hAnsi="Times New Roman"/>
        <w:sz w:val="20"/>
        <w:szCs w:val="20"/>
      </w:rPr>
      <w:t>Ministru kabineta noteikumu projekta „Elektroenerģijas tirdzniecības un lietošanas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138" w:rsidRDefault="00EA0138" w:rsidP="009640EB">
      <w:pPr>
        <w:spacing w:after="0" w:line="240" w:lineRule="auto"/>
      </w:pPr>
      <w:r>
        <w:separator/>
      </w:r>
    </w:p>
  </w:footnote>
  <w:footnote w:type="continuationSeparator" w:id="0">
    <w:p w:rsidR="00EA0138" w:rsidRDefault="00EA0138" w:rsidP="00964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0376"/>
      <w:docPartObj>
        <w:docPartGallery w:val="Page Numbers (Top of Page)"/>
        <w:docPartUnique/>
      </w:docPartObj>
    </w:sdtPr>
    <w:sdtEndPr/>
    <w:sdtContent>
      <w:p w:rsidR="001B0457" w:rsidRDefault="00CC46FE">
        <w:pPr>
          <w:pStyle w:val="Header"/>
          <w:jc w:val="center"/>
        </w:pPr>
        <w:r w:rsidRPr="001A092C">
          <w:rPr>
            <w:rFonts w:ascii="Times New Roman" w:hAnsi="Times New Roman"/>
            <w:sz w:val="24"/>
            <w:szCs w:val="24"/>
          </w:rPr>
          <w:fldChar w:fldCharType="begin"/>
        </w:r>
        <w:r w:rsidR="00342715" w:rsidRPr="001A092C">
          <w:rPr>
            <w:rFonts w:ascii="Times New Roman" w:hAnsi="Times New Roman"/>
            <w:sz w:val="24"/>
            <w:szCs w:val="24"/>
          </w:rPr>
          <w:instrText xml:space="preserve"> PAGE   \* MERGEFORMAT </w:instrText>
        </w:r>
        <w:r w:rsidRPr="001A092C">
          <w:rPr>
            <w:rFonts w:ascii="Times New Roman" w:hAnsi="Times New Roman"/>
            <w:sz w:val="24"/>
            <w:szCs w:val="24"/>
          </w:rPr>
          <w:fldChar w:fldCharType="separate"/>
        </w:r>
        <w:r w:rsidR="002901A6">
          <w:rPr>
            <w:rFonts w:ascii="Times New Roman" w:hAnsi="Times New Roman"/>
            <w:noProof/>
            <w:sz w:val="24"/>
            <w:szCs w:val="24"/>
          </w:rPr>
          <w:t>6</w:t>
        </w:r>
        <w:r w:rsidRPr="001A092C">
          <w:rPr>
            <w:rFonts w:ascii="Times New Roman" w:hAnsi="Times New Roman"/>
            <w:sz w:val="24"/>
            <w:szCs w:val="24"/>
          </w:rPr>
          <w:fldChar w:fldCharType="end"/>
        </w:r>
      </w:p>
    </w:sdtContent>
  </w:sdt>
  <w:p w:rsidR="001B0457" w:rsidRDefault="001B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41EEC"/>
    <w:multiLevelType w:val="hybridMultilevel"/>
    <w:tmpl w:val="53762BD4"/>
    <w:lvl w:ilvl="0" w:tplc="AFF26DE4">
      <w:start w:val="1"/>
      <w:numFmt w:val="upperLetter"/>
      <w:lvlText w:val="%1."/>
      <w:lvlJc w:val="left"/>
      <w:pPr>
        <w:ind w:left="1440" w:hanging="360"/>
      </w:pPr>
      <w:rPr>
        <w:b/>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nsid w:val="0A4B20CA"/>
    <w:multiLevelType w:val="hybridMultilevel"/>
    <w:tmpl w:val="24123992"/>
    <w:lvl w:ilvl="0" w:tplc="04260011">
      <w:start w:val="1"/>
      <w:numFmt w:val="decimal"/>
      <w:lvlText w:val="%1)"/>
      <w:lvlJc w:val="left"/>
      <w:pPr>
        <w:ind w:left="644" w:hanging="360"/>
      </w:pPr>
      <w:rPr>
        <w:rFont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nsid w:val="17B65D5F"/>
    <w:multiLevelType w:val="hybridMultilevel"/>
    <w:tmpl w:val="BD0264A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3852A1A"/>
    <w:multiLevelType w:val="hybridMultilevel"/>
    <w:tmpl w:val="DBBAEBFA"/>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8FE4FC0"/>
    <w:multiLevelType w:val="hybridMultilevel"/>
    <w:tmpl w:val="5B60F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9CE0B29"/>
    <w:multiLevelType w:val="hybridMultilevel"/>
    <w:tmpl w:val="BA20D90A"/>
    <w:lvl w:ilvl="0" w:tplc="BE22B314">
      <w:start w:val="2013"/>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246978"/>
    <w:multiLevelType w:val="hybridMultilevel"/>
    <w:tmpl w:val="F50ECD16"/>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65AE235F"/>
    <w:multiLevelType w:val="hybridMultilevel"/>
    <w:tmpl w:val="6C428FD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6273758"/>
    <w:multiLevelType w:val="hybridMultilevel"/>
    <w:tmpl w:val="F59ACF26"/>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5">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905060"/>
    <w:multiLevelType w:val="hybridMultilevel"/>
    <w:tmpl w:val="5304113A"/>
    <w:lvl w:ilvl="0" w:tplc="04260001">
      <w:start w:val="1"/>
      <w:numFmt w:val="bullet"/>
      <w:lvlText w:val=""/>
      <w:lvlJc w:val="left"/>
      <w:pPr>
        <w:ind w:left="783" w:hanging="360"/>
      </w:pPr>
      <w:rPr>
        <w:rFonts w:ascii="Symbol" w:hAnsi="Symbol" w:hint="default"/>
      </w:rPr>
    </w:lvl>
    <w:lvl w:ilvl="1" w:tplc="04260003">
      <w:start w:val="1"/>
      <w:numFmt w:val="bullet"/>
      <w:lvlText w:val="o"/>
      <w:lvlJc w:val="left"/>
      <w:pPr>
        <w:ind w:left="1503" w:hanging="360"/>
      </w:pPr>
      <w:rPr>
        <w:rFonts w:ascii="Courier New" w:hAnsi="Courier New" w:cs="Courier New" w:hint="default"/>
      </w:rPr>
    </w:lvl>
    <w:lvl w:ilvl="2" w:tplc="04260005">
      <w:start w:val="1"/>
      <w:numFmt w:val="bullet"/>
      <w:lvlText w:val=""/>
      <w:lvlJc w:val="left"/>
      <w:pPr>
        <w:ind w:left="2223" w:hanging="360"/>
      </w:pPr>
      <w:rPr>
        <w:rFonts w:ascii="Wingdings" w:hAnsi="Wingdings" w:hint="default"/>
      </w:rPr>
    </w:lvl>
    <w:lvl w:ilvl="3" w:tplc="0426000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7">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5"/>
  </w:num>
  <w:num w:numId="2">
    <w:abstractNumId w:val="4"/>
  </w:num>
  <w:num w:numId="3">
    <w:abstractNumId w:val="15"/>
  </w:num>
  <w:num w:numId="4">
    <w:abstractNumId w:val="7"/>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2"/>
  </w:num>
  <w:num w:numId="10">
    <w:abstractNumId w:val="11"/>
  </w:num>
  <w:num w:numId="11">
    <w:abstractNumId w:val="3"/>
  </w:num>
  <w:num w:numId="12">
    <w:abstractNumId w:val="2"/>
  </w:num>
  <w:num w:numId="13">
    <w:abstractNumId w:val="13"/>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0B57"/>
    <w:rsid w:val="00003FD8"/>
    <w:rsid w:val="00006C2E"/>
    <w:rsid w:val="00007BCE"/>
    <w:rsid w:val="00012FD9"/>
    <w:rsid w:val="00014144"/>
    <w:rsid w:val="00015401"/>
    <w:rsid w:val="00015EC6"/>
    <w:rsid w:val="0001667A"/>
    <w:rsid w:val="00022FBD"/>
    <w:rsid w:val="00023E70"/>
    <w:rsid w:val="00030D50"/>
    <w:rsid w:val="000350AF"/>
    <w:rsid w:val="00040F73"/>
    <w:rsid w:val="00041E7C"/>
    <w:rsid w:val="00042198"/>
    <w:rsid w:val="00042E1B"/>
    <w:rsid w:val="00043735"/>
    <w:rsid w:val="00053E9B"/>
    <w:rsid w:val="00062832"/>
    <w:rsid w:val="00063DEB"/>
    <w:rsid w:val="000769FB"/>
    <w:rsid w:val="0008206C"/>
    <w:rsid w:val="000820A2"/>
    <w:rsid w:val="000833E2"/>
    <w:rsid w:val="00084090"/>
    <w:rsid w:val="00084488"/>
    <w:rsid w:val="00087FEB"/>
    <w:rsid w:val="00092065"/>
    <w:rsid w:val="00094AFA"/>
    <w:rsid w:val="0009535E"/>
    <w:rsid w:val="00096456"/>
    <w:rsid w:val="000A0345"/>
    <w:rsid w:val="000A0935"/>
    <w:rsid w:val="000A3B9D"/>
    <w:rsid w:val="000A67F8"/>
    <w:rsid w:val="000A747F"/>
    <w:rsid w:val="000B2860"/>
    <w:rsid w:val="000B2A4E"/>
    <w:rsid w:val="000C24CC"/>
    <w:rsid w:val="000C4F39"/>
    <w:rsid w:val="000D29B1"/>
    <w:rsid w:val="000D2B94"/>
    <w:rsid w:val="000D51D2"/>
    <w:rsid w:val="000E11EE"/>
    <w:rsid w:val="000E183F"/>
    <w:rsid w:val="000E2B3C"/>
    <w:rsid w:val="000E3217"/>
    <w:rsid w:val="000E3396"/>
    <w:rsid w:val="000E7335"/>
    <w:rsid w:val="000F2E2F"/>
    <w:rsid w:val="000F357B"/>
    <w:rsid w:val="000F417A"/>
    <w:rsid w:val="00101C84"/>
    <w:rsid w:val="00105E88"/>
    <w:rsid w:val="00110AA1"/>
    <w:rsid w:val="00111B10"/>
    <w:rsid w:val="001128BE"/>
    <w:rsid w:val="0011488C"/>
    <w:rsid w:val="0011734D"/>
    <w:rsid w:val="00127EFE"/>
    <w:rsid w:val="00131592"/>
    <w:rsid w:val="00131E98"/>
    <w:rsid w:val="00132DCA"/>
    <w:rsid w:val="001347E4"/>
    <w:rsid w:val="00135A4F"/>
    <w:rsid w:val="0013646C"/>
    <w:rsid w:val="00136969"/>
    <w:rsid w:val="00136A18"/>
    <w:rsid w:val="00136D2E"/>
    <w:rsid w:val="001418F5"/>
    <w:rsid w:val="00144B9B"/>
    <w:rsid w:val="001518DE"/>
    <w:rsid w:val="00151DF8"/>
    <w:rsid w:val="0015356E"/>
    <w:rsid w:val="00154B5E"/>
    <w:rsid w:val="001565D2"/>
    <w:rsid w:val="00163352"/>
    <w:rsid w:val="00164291"/>
    <w:rsid w:val="00167AA3"/>
    <w:rsid w:val="00172BD9"/>
    <w:rsid w:val="001759C5"/>
    <w:rsid w:val="001767E4"/>
    <w:rsid w:val="00183532"/>
    <w:rsid w:val="001915B6"/>
    <w:rsid w:val="00192763"/>
    <w:rsid w:val="0019421E"/>
    <w:rsid w:val="00197286"/>
    <w:rsid w:val="00197B4D"/>
    <w:rsid w:val="001A092C"/>
    <w:rsid w:val="001A1D25"/>
    <w:rsid w:val="001A2478"/>
    <w:rsid w:val="001A2AB7"/>
    <w:rsid w:val="001A65B8"/>
    <w:rsid w:val="001B0457"/>
    <w:rsid w:val="001B0ADD"/>
    <w:rsid w:val="001B2AEC"/>
    <w:rsid w:val="001B71F0"/>
    <w:rsid w:val="001C08A9"/>
    <w:rsid w:val="001C0D35"/>
    <w:rsid w:val="001C1FD7"/>
    <w:rsid w:val="001C2969"/>
    <w:rsid w:val="001C4D97"/>
    <w:rsid w:val="001C76B3"/>
    <w:rsid w:val="001D4937"/>
    <w:rsid w:val="001E2F36"/>
    <w:rsid w:val="001E542A"/>
    <w:rsid w:val="001E7695"/>
    <w:rsid w:val="001E7B5F"/>
    <w:rsid w:val="001E7E17"/>
    <w:rsid w:val="001F495A"/>
    <w:rsid w:val="001F5BCD"/>
    <w:rsid w:val="00201F48"/>
    <w:rsid w:val="0020265D"/>
    <w:rsid w:val="00204EC1"/>
    <w:rsid w:val="00206A03"/>
    <w:rsid w:val="00207DF9"/>
    <w:rsid w:val="00212A4B"/>
    <w:rsid w:val="00215B3E"/>
    <w:rsid w:val="00215FD3"/>
    <w:rsid w:val="0021779E"/>
    <w:rsid w:val="002229F9"/>
    <w:rsid w:val="00222A3D"/>
    <w:rsid w:val="00224736"/>
    <w:rsid w:val="0023040B"/>
    <w:rsid w:val="00234E0B"/>
    <w:rsid w:val="00234F55"/>
    <w:rsid w:val="0023533F"/>
    <w:rsid w:val="00240A58"/>
    <w:rsid w:val="00240E03"/>
    <w:rsid w:val="002424BD"/>
    <w:rsid w:val="00244F55"/>
    <w:rsid w:val="00246011"/>
    <w:rsid w:val="0024723F"/>
    <w:rsid w:val="0024758B"/>
    <w:rsid w:val="00247888"/>
    <w:rsid w:val="00253443"/>
    <w:rsid w:val="00255ED8"/>
    <w:rsid w:val="0025630E"/>
    <w:rsid w:val="00257702"/>
    <w:rsid w:val="002579BC"/>
    <w:rsid w:val="002617FF"/>
    <w:rsid w:val="00261B4C"/>
    <w:rsid w:val="002628E5"/>
    <w:rsid w:val="0026471F"/>
    <w:rsid w:val="00265DAE"/>
    <w:rsid w:val="0027040A"/>
    <w:rsid w:val="00271409"/>
    <w:rsid w:val="002746B3"/>
    <w:rsid w:val="00275B3A"/>
    <w:rsid w:val="00275C23"/>
    <w:rsid w:val="002811AB"/>
    <w:rsid w:val="00281EDE"/>
    <w:rsid w:val="00282506"/>
    <w:rsid w:val="00283BBD"/>
    <w:rsid w:val="00283D0E"/>
    <w:rsid w:val="00285E7C"/>
    <w:rsid w:val="002901A6"/>
    <w:rsid w:val="0029129B"/>
    <w:rsid w:val="00291DFC"/>
    <w:rsid w:val="00292375"/>
    <w:rsid w:val="00292822"/>
    <w:rsid w:val="00292D0F"/>
    <w:rsid w:val="002939D6"/>
    <w:rsid w:val="00294714"/>
    <w:rsid w:val="0029471D"/>
    <w:rsid w:val="00294BE6"/>
    <w:rsid w:val="00294E26"/>
    <w:rsid w:val="00295D0F"/>
    <w:rsid w:val="002A277A"/>
    <w:rsid w:val="002B2E69"/>
    <w:rsid w:val="002B488A"/>
    <w:rsid w:val="002B5ADD"/>
    <w:rsid w:val="002B7FD6"/>
    <w:rsid w:val="002C0D62"/>
    <w:rsid w:val="002C3BCC"/>
    <w:rsid w:val="002C6B4A"/>
    <w:rsid w:val="002C7399"/>
    <w:rsid w:val="002D5D47"/>
    <w:rsid w:val="002D6CAC"/>
    <w:rsid w:val="002E097F"/>
    <w:rsid w:val="002E26E0"/>
    <w:rsid w:val="002E43E8"/>
    <w:rsid w:val="002E64F4"/>
    <w:rsid w:val="002F014D"/>
    <w:rsid w:val="002F045B"/>
    <w:rsid w:val="002F67CF"/>
    <w:rsid w:val="002F6EAE"/>
    <w:rsid w:val="00301403"/>
    <w:rsid w:val="00307410"/>
    <w:rsid w:val="00313B1A"/>
    <w:rsid w:val="00314B96"/>
    <w:rsid w:val="00323244"/>
    <w:rsid w:val="00324A66"/>
    <w:rsid w:val="0033129E"/>
    <w:rsid w:val="00331BFB"/>
    <w:rsid w:val="0033576A"/>
    <w:rsid w:val="00337A55"/>
    <w:rsid w:val="00341F3F"/>
    <w:rsid w:val="00342129"/>
    <w:rsid w:val="00342715"/>
    <w:rsid w:val="00345A48"/>
    <w:rsid w:val="00347938"/>
    <w:rsid w:val="0035285F"/>
    <w:rsid w:val="0035348B"/>
    <w:rsid w:val="00355629"/>
    <w:rsid w:val="00357966"/>
    <w:rsid w:val="00360110"/>
    <w:rsid w:val="00360314"/>
    <w:rsid w:val="00360629"/>
    <w:rsid w:val="00361FBA"/>
    <w:rsid w:val="003623D1"/>
    <w:rsid w:val="00362404"/>
    <w:rsid w:val="00364C79"/>
    <w:rsid w:val="0036509B"/>
    <w:rsid w:val="003658D1"/>
    <w:rsid w:val="00367CEC"/>
    <w:rsid w:val="0037632F"/>
    <w:rsid w:val="0037757A"/>
    <w:rsid w:val="003802FE"/>
    <w:rsid w:val="00381D0E"/>
    <w:rsid w:val="003820FC"/>
    <w:rsid w:val="0038289F"/>
    <w:rsid w:val="00383490"/>
    <w:rsid w:val="003A1E4D"/>
    <w:rsid w:val="003A2269"/>
    <w:rsid w:val="003A3AFB"/>
    <w:rsid w:val="003A3DDD"/>
    <w:rsid w:val="003A5446"/>
    <w:rsid w:val="003A705C"/>
    <w:rsid w:val="003A716C"/>
    <w:rsid w:val="003A71D2"/>
    <w:rsid w:val="003B0E10"/>
    <w:rsid w:val="003B1D5F"/>
    <w:rsid w:val="003B3305"/>
    <w:rsid w:val="003B3870"/>
    <w:rsid w:val="003B6D86"/>
    <w:rsid w:val="003B7A1B"/>
    <w:rsid w:val="003B7E09"/>
    <w:rsid w:val="003C3D9D"/>
    <w:rsid w:val="003C47DD"/>
    <w:rsid w:val="003C53D2"/>
    <w:rsid w:val="003C5B40"/>
    <w:rsid w:val="003D482E"/>
    <w:rsid w:val="003D7D5E"/>
    <w:rsid w:val="003E408D"/>
    <w:rsid w:val="003E45BF"/>
    <w:rsid w:val="003E6785"/>
    <w:rsid w:val="003F04CE"/>
    <w:rsid w:val="003F1FE3"/>
    <w:rsid w:val="003F245C"/>
    <w:rsid w:val="003F30BC"/>
    <w:rsid w:val="003F50D9"/>
    <w:rsid w:val="003F7599"/>
    <w:rsid w:val="003F7C5C"/>
    <w:rsid w:val="00403675"/>
    <w:rsid w:val="00404742"/>
    <w:rsid w:val="0040530D"/>
    <w:rsid w:val="00406DD1"/>
    <w:rsid w:val="00410AC4"/>
    <w:rsid w:val="00410BC7"/>
    <w:rsid w:val="004115F3"/>
    <w:rsid w:val="00412555"/>
    <w:rsid w:val="00420FCF"/>
    <w:rsid w:val="0042471A"/>
    <w:rsid w:val="00425740"/>
    <w:rsid w:val="00426B13"/>
    <w:rsid w:val="00432718"/>
    <w:rsid w:val="004327BA"/>
    <w:rsid w:val="00433BC2"/>
    <w:rsid w:val="004343C4"/>
    <w:rsid w:val="004361C9"/>
    <w:rsid w:val="004425C2"/>
    <w:rsid w:val="00445AFF"/>
    <w:rsid w:val="00453D52"/>
    <w:rsid w:val="00453E91"/>
    <w:rsid w:val="00454A52"/>
    <w:rsid w:val="00455D64"/>
    <w:rsid w:val="00463DCC"/>
    <w:rsid w:val="0046537E"/>
    <w:rsid w:val="00474834"/>
    <w:rsid w:val="00480B0B"/>
    <w:rsid w:val="004814AD"/>
    <w:rsid w:val="0049057D"/>
    <w:rsid w:val="00490E7E"/>
    <w:rsid w:val="00493030"/>
    <w:rsid w:val="0049560B"/>
    <w:rsid w:val="004961A7"/>
    <w:rsid w:val="0049643F"/>
    <w:rsid w:val="00497A25"/>
    <w:rsid w:val="004A2809"/>
    <w:rsid w:val="004A2EE3"/>
    <w:rsid w:val="004A45BE"/>
    <w:rsid w:val="004B2780"/>
    <w:rsid w:val="004B527B"/>
    <w:rsid w:val="004C0015"/>
    <w:rsid w:val="004C49A1"/>
    <w:rsid w:val="004C5669"/>
    <w:rsid w:val="004C5D6A"/>
    <w:rsid w:val="004C7262"/>
    <w:rsid w:val="004D131C"/>
    <w:rsid w:val="004D266A"/>
    <w:rsid w:val="004D3161"/>
    <w:rsid w:val="004D377B"/>
    <w:rsid w:val="004D7BAB"/>
    <w:rsid w:val="004E0113"/>
    <w:rsid w:val="004E0B41"/>
    <w:rsid w:val="004E4E97"/>
    <w:rsid w:val="004E7448"/>
    <w:rsid w:val="004F446E"/>
    <w:rsid w:val="004F454F"/>
    <w:rsid w:val="005023E3"/>
    <w:rsid w:val="00503C19"/>
    <w:rsid w:val="00504636"/>
    <w:rsid w:val="005047B6"/>
    <w:rsid w:val="005108A2"/>
    <w:rsid w:val="00513575"/>
    <w:rsid w:val="0052099E"/>
    <w:rsid w:val="00520C10"/>
    <w:rsid w:val="00522F8A"/>
    <w:rsid w:val="0052646A"/>
    <w:rsid w:val="0052796A"/>
    <w:rsid w:val="00531F7A"/>
    <w:rsid w:val="005346A1"/>
    <w:rsid w:val="00535E69"/>
    <w:rsid w:val="0053712D"/>
    <w:rsid w:val="00544474"/>
    <w:rsid w:val="0054750B"/>
    <w:rsid w:val="00552139"/>
    <w:rsid w:val="00554045"/>
    <w:rsid w:val="00556CAE"/>
    <w:rsid w:val="00565900"/>
    <w:rsid w:val="00575F8B"/>
    <w:rsid w:val="0057662F"/>
    <w:rsid w:val="005831F2"/>
    <w:rsid w:val="00583925"/>
    <w:rsid w:val="00591150"/>
    <w:rsid w:val="00593CCC"/>
    <w:rsid w:val="00595EDF"/>
    <w:rsid w:val="00596956"/>
    <w:rsid w:val="00597D20"/>
    <w:rsid w:val="005A056C"/>
    <w:rsid w:val="005A5782"/>
    <w:rsid w:val="005B19DD"/>
    <w:rsid w:val="005B2BE8"/>
    <w:rsid w:val="005B3974"/>
    <w:rsid w:val="005B6493"/>
    <w:rsid w:val="005C0248"/>
    <w:rsid w:val="005C04E9"/>
    <w:rsid w:val="005C426E"/>
    <w:rsid w:val="005D5ECF"/>
    <w:rsid w:val="005D767E"/>
    <w:rsid w:val="005E2A92"/>
    <w:rsid w:val="005E76E0"/>
    <w:rsid w:val="005F0626"/>
    <w:rsid w:val="005F2596"/>
    <w:rsid w:val="005F28AA"/>
    <w:rsid w:val="005F2A46"/>
    <w:rsid w:val="005F3302"/>
    <w:rsid w:val="005F3D89"/>
    <w:rsid w:val="005F4485"/>
    <w:rsid w:val="005F63E1"/>
    <w:rsid w:val="006018E5"/>
    <w:rsid w:val="00602904"/>
    <w:rsid w:val="00603E8F"/>
    <w:rsid w:val="00606F99"/>
    <w:rsid w:val="00607895"/>
    <w:rsid w:val="00607ACA"/>
    <w:rsid w:val="0061113D"/>
    <w:rsid w:val="00621B02"/>
    <w:rsid w:val="0062389B"/>
    <w:rsid w:val="006249A4"/>
    <w:rsid w:val="00626151"/>
    <w:rsid w:val="006324B1"/>
    <w:rsid w:val="00635B4A"/>
    <w:rsid w:val="0063631B"/>
    <w:rsid w:val="00637BB9"/>
    <w:rsid w:val="00637F84"/>
    <w:rsid w:val="006402D8"/>
    <w:rsid w:val="006433E2"/>
    <w:rsid w:val="00644BBD"/>
    <w:rsid w:val="00645E9A"/>
    <w:rsid w:val="0064673F"/>
    <w:rsid w:val="006527AB"/>
    <w:rsid w:val="00654A0E"/>
    <w:rsid w:val="00654D86"/>
    <w:rsid w:val="00655DD7"/>
    <w:rsid w:val="006564DA"/>
    <w:rsid w:val="006571D7"/>
    <w:rsid w:val="0066154E"/>
    <w:rsid w:val="006641FF"/>
    <w:rsid w:val="00666184"/>
    <w:rsid w:val="00671021"/>
    <w:rsid w:val="00673290"/>
    <w:rsid w:val="00673947"/>
    <w:rsid w:val="006761DB"/>
    <w:rsid w:val="0067623F"/>
    <w:rsid w:val="00676CAB"/>
    <w:rsid w:val="006775F1"/>
    <w:rsid w:val="006776FD"/>
    <w:rsid w:val="006806F7"/>
    <w:rsid w:val="00680FF6"/>
    <w:rsid w:val="00683D14"/>
    <w:rsid w:val="0068430A"/>
    <w:rsid w:val="006851B0"/>
    <w:rsid w:val="00686BCB"/>
    <w:rsid w:val="00686D3A"/>
    <w:rsid w:val="0068719F"/>
    <w:rsid w:val="00687BE0"/>
    <w:rsid w:val="00693B03"/>
    <w:rsid w:val="006960C4"/>
    <w:rsid w:val="006972EA"/>
    <w:rsid w:val="00697D31"/>
    <w:rsid w:val="00697DE8"/>
    <w:rsid w:val="006A2CD9"/>
    <w:rsid w:val="006A2DB6"/>
    <w:rsid w:val="006A4AFA"/>
    <w:rsid w:val="006A689D"/>
    <w:rsid w:val="006A7BAE"/>
    <w:rsid w:val="006B1C7C"/>
    <w:rsid w:val="006B4AFF"/>
    <w:rsid w:val="006B710B"/>
    <w:rsid w:val="006D0AC1"/>
    <w:rsid w:val="006D120D"/>
    <w:rsid w:val="006D1CF8"/>
    <w:rsid w:val="006D39AF"/>
    <w:rsid w:val="006D645D"/>
    <w:rsid w:val="006D754C"/>
    <w:rsid w:val="006E369F"/>
    <w:rsid w:val="006E4402"/>
    <w:rsid w:val="006E5543"/>
    <w:rsid w:val="006E660F"/>
    <w:rsid w:val="006E729D"/>
    <w:rsid w:val="006F1156"/>
    <w:rsid w:val="006F1FD9"/>
    <w:rsid w:val="006F2200"/>
    <w:rsid w:val="006F6E8F"/>
    <w:rsid w:val="006F6FC1"/>
    <w:rsid w:val="006F7F3E"/>
    <w:rsid w:val="007005F7"/>
    <w:rsid w:val="007024FD"/>
    <w:rsid w:val="00704931"/>
    <w:rsid w:val="007049CC"/>
    <w:rsid w:val="00706910"/>
    <w:rsid w:val="00707C95"/>
    <w:rsid w:val="00710FD1"/>
    <w:rsid w:val="00721E9E"/>
    <w:rsid w:val="00726C79"/>
    <w:rsid w:val="007315EA"/>
    <w:rsid w:val="0073204C"/>
    <w:rsid w:val="00736CCC"/>
    <w:rsid w:val="00742AAF"/>
    <w:rsid w:val="00742F8A"/>
    <w:rsid w:val="0074362B"/>
    <w:rsid w:val="007439C3"/>
    <w:rsid w:val="007441FC"/>
    <w:rsid w:val="007470A1"/>
    <w:rsid w:val="00756610"/>
    <w:rsid w:val="00761B53"/>
    <w:rsid w:val="0076333E"/>
    <w:rsid w:val="00766058"/>
    <w:rsid w:val="00772103"/>
    <w:rsid w:val="0077575D"/>
    <w:rsid w:val="00777FBA"/>
    <w:rsid w:val="00781414"/>
    <w:rsid w:val="00781C1C"/>
    <w:rsid w:val="0078370B"/>
    <w:rsid w:val="007842BE"/>
    <w:rsid w:val="00784696"/>
    <w:rsid w:val="00792BA4"/>
    <w:rsid w:val="00794E73"/>
    <w:rsid w:val="00796A59"/>
    <w:rsid w:val="007A1945"/>
    <w:rsid w:val="007A27F5"/>
    <w:rsid w:val="007B37A4"/>
    <w:rsid w:val="007B5017"/>
    <w:rsid w:val="007B5A08"/>
    <w:rsid w:val="007C2C4B"/>
    <w:rsid w:val="007C330B"/>
    <w:rsid w:val="007C40CB"/>
    <w:rsid w:val="007C6779"/>
    <w:rsid w:val="007D0A73"/>
    <w:rsid w:val="007D0C1B"/>
    <w:rsid w:val="007D61B3"/>
    <w:rsid w:val="007D6EDF"/>
    <w:rsid w:val="007D7A48"/>
    <w:rsid w:val="007E1B59"/>
    <w:rsid w:val="007E2AFA"/>
    <w:rsid w:val="007E3427"/>
    <w:rsid w:val="007E4833"/>
    <w:rsid w:val="007E7135"/>
    <w:rsid w:val="007E7EAE"/>
    <w:rsid w:val="007F1C80"/>
    <w:rsid w:val="007F22D3"/>
    <w:rsid w:val="007F7888"/>
    <w:rsid w:val="0080302C"/>
    <w:rsid w:val="00805012"/>
    <w:rsid w:val="00806D96"/>
    <w:rsid w:val="00810434"/>
    <w:rsid w:val="00812A41"/>
    <w:rsid w:val="00815A38"/>
    <w:rsid w:val="00815DA0"/>
    <w:rsid w:val="0081799D"/>
    <w:rsid w:val="00820623"/>
    <w:rsid w:val="00820772"/>
    <w:rsid w:val="00820E7D"/>
    <w:rsid w:val="0082289E"/>
    <w:rsid w:val="008242F6"/>
    <w:rsid w:val="00824D5A"/>
    <w:rsid w:val="00827C03"/>
    <w:rsid w:val="00827D44"/>
    <w:rsid w:val="00831730"/>
    <w:rsid w:val="008322EB"/>
    <w:rsid w:val="00834A08"/>
    <w:rsid w:val="00841A74"/>
    <w:rsid w:val="00844388"/>
    <w:rsid w:val="008519B3"/>
    <w:rsid w:val="00852A5B"/>
    <w:rsid w:val="00854FE9"/>
    <w:rsid w:val="008619FD"/>
    <w:rsid w:val="00861C82"/>
    <w:rsid w:val="008652AA"/>
    <w:rsid w:val="0086575F"/>
    <w:rsid w:val="008659F9"/>
    <w:rsid w:val="008718F3"/>
    <w:rsid w:val="008744DA"/>
    <w:rsid w:val="00880859"/>
    <w:rsid w:val="0088539B"/>
    <w:rsid w:val="00885C59"/>
    <w:rsid w:val="00887E75"/>
    <w:rsid w:val="008A2149"/>
    <w:rsid w:val="008A2348"/>
    <w:rsid w:val="008A2BC9"/>
    <w:rsid w:val="008A5338"/>
    <w:rsid w:val="008A5B25"/>
    <w:rsid w:val="008A6CEF"/>
    <w:rsid w:val="008A7906"/>
    <w:rsid w:val="008A7E29"/>
    <w:rsid w:val="008B0F57"/>
    <w:rsid w:val="008B683B"/>
    <w:rsid w:val="008C0309"/>
    <w:rsid w:val="008C43AC"/>
    <w:rsid w:val="008C4C68"/>
    <w:rsid w:val="008D31F5"/>
    <w:rsid w:val="008D43C3"/>
    <w:rsid w:val="008D43ED"/>
    <w:rsid w:val="008D526A"/>
    <w:rsid w:val="008D59C2"/>
    <w:rsid w:val="008D671F"/>
    <w:rsid w:val="008E17FD"/>
    <w:rsid w:val="008E1E57"/>
    <w:rsid w:val="008E38FB"/>
    <w:rsid w:val="008E4952"/>
    <w:rsid w:val="008E744B"/>
    <w:rsid w:val="008E78F4"/>
    <w:rsid w:val="008F0699"/>
    <w:rsid w:val="008F10C3"/>
    <w:rsid w:val="008F1E81"/>
    <w:rsid w:val="008F767C"/>
    <w:rsid w:val="009002FB"/>
    <w:rsid w:val="00901BBE"/>
    <w:rsid w:val="009053E2"/>
    <w:rsid w:val="0091006D"/>
    <w:rsid w:val="00913554"/>
    <w:rsid w:val="009216EE"/>
    <w:rsid w:val="00927F06"/>
    <w:rsid w:val="0093001F"/>
    <w:rsid w:val="00934B9B"/>
    <w:rsid w:val="009375EB"/>
    <w:rsid w:val="009405FF"/>
    <w:rsid w:val="0094101B"/>
    <w:rsid w:val="00941DED"/>
    <w:rsid w:val="009448C4"/>
    <w:rsid w:val="0095013B"/>
    <w:rsid w:val="0095090D"/>
    <w:rsid w:val="00951411"/>
    <w:rsid w:val="00951FE0"/>
    <w:rsid w:val="009528D0"/>
    <w:rsid w:val="009541A5"/>
    <w:rsid w:val="009545D9"/>
    <w:rsid w:val="00955A22"/>
    <w:rsid w:val="009636F7"/>
    <w:rsid w:val="009640EB"/>
    <w:rsid w:val="00966219"/>
    <w:rsid w:val="00967FA7"/>
    <w:rsid w:val="00970BF7"/>
    <w:rsid w:val="00971E44"/>
    <w:rsid w:val="00972F36"/>
    <w:rsid w:val="009730AE"/>
    <w:rsid w:val="00973569"/>
    <w:rsid w:val="00973706"/>
    <w:rsid w:val="009827A4"/>
    <w:rsid w:val="00982D75"/>
    <w:rsid w:val="00983B2F"/>
    <w:rsid w:val="00984F36"/>
    <w:rsid w:val="00986D21"/>
    <w:rsid w:val="009878C5"/>
    <w:rsid w:val="0099382C"/>
    <w:rsid w:val="009A02E2"/>
    <w:rsid w:val="009A0AF6"/>
    <w:rsid w:val="009A46EE"/>
    <w:rsid w:val="009A59D9"/>
    <w:rsid w:val="009A59F4"/>
    <w:rsid w:val="009A6481"/>
    <w:rsid w:val="009A66E2"/>
    <w:rsid w:val="009B01C8"/>
    <w:rsid w:val="009B349B"/>
    <w:rsid w:val="009C0FC5"/>
    <w:rsid w:val="009C1DFC"/>
    <w:rsid w:val="009C28BB"/>
    <w:rsid w:val="009C342E"/>
    <w:rsid w:val="009C4059"/>
    <w:rsid w:val="009C409F"/>
    <w:rsid w:val="009C46FD"/>
    <w:rsid w:val="009C6353"/>
    <w:rsid w:val="009C6ACA"/>
    <w:rsid w:val="009C713D"/>
    <w:rsid w:val="009C71EC"/>
    <w:rsid w:val="009D354D"/>
    <w:rsid w:val="009D5727"/>
    <w:rsid w:val="009D669E"/>
    <w:rsid w:val="009D67C0"/>
    <w:rsid w:val="009E1B1E"/>
    <w:rsid w:val="009E265F"/>
    <w:rsid w:val="009E28FD"/>
    <w:rsid w:val="009E2B59"/>
    <w:rsid w:val="009E2BC6"/>
    <w:rsid w:val="009E2F83"/>
    <w:rsid w:val="009E45DF"/>
    <w:rsid w:val="009E69DC"/>
    <w:rsid w:val="009F151D"/>
    <w:rsid w:val="009F26F2"/>
    <w:rsid w:val="009F2D07"/>
    <w:rsid w:val="009F5601"/>
    <w:rsid w:val="009F6ECA"/>
    <w:rsid w:val="00A07F86"/>
    <w:rsid w:val="00A12A32"/>
    <w:rsid w:val="00A12DF2"/>
    <w:rsid w:val="00A14CD9"/>
    <w:rsid w:val="00A14F6C"/>
    <w:rsid w:val="00A161D6"/>
    <w:rsid w:val="00A1679C"/>
    <w:rsid w:val="00A17455"/>
    <w:rsid w:val="00A20271"/>
    <w:rsid w:val="00A223E3"/>
    <w:rsid w:val="00A22FDC"/>
    <w:rsid w:val="00A25C95"/>
    <w:rsid w:val="00A25F7B"/>
    <w:rsid w:val="00A31589"/>
    <w:rsid w:val="00A363C9"/>
    <w:rsid w:val="00A37062"/>
    <w:rsid w:val="00A37682"/>
    <w:rsid w:val="00A40345"/>
    <w:rsid w:val="00A41A03"/>
    <w:rsid w:val="00A469CB"/>
    <w:rsid w:val="00A46F97"/>
    <w:rsid w:val="00A52271"/>
    <w:rsid w:val="00A64C77"/>
    <w:rsid w:val="00A6661C"/>
    <w:rsid w:val="00A67D40"/>
    <w:rsid w:val="00A7071F"/>
    <w:rsid w:val="00A71A6F"/>
    <w:rsid w:val="00A7286D"/>
    <w:rsid w:val="00A72D98"/>
    <w:rsid w:val="00A73F25"/>
    <w:rsid w:val="00A7479B"/>
    <w:rsid w:val="00A77916"/>
    <w:rsid w:val="00A8192B"/>
    <w:rsid w:val="00A81C97"/>
    <w:rsid w:val="00A82C52"/>
    <w:rsid w:val="00A85125"/>
    <w:rsid w:val="00A87D38"/>
    <w:rsid w:val="00A903B8"/>
    <w:rsid w:val="00A91151"/>
    <w:rsid w:val="00A9126C"/>
    <w:rsid w:val="00A91920"/>
    <w:rsid w:val="00A968BE"/>
    <w:rsid w:val="00A96DC4"/>
    <w:rsid w:val="00A972C7"/>
    <w:rsid w:val="00AA32D8"/>
    <w:rsid w:val="00AA531F"/>
    <w:rsid w:val="00AB10E0"/>
    <w:rsid w:val="00AB34E4"/>
    <w:rsid w:val="00AB498F"/>
    <w:rsid w:val="00AB5795"/>
    <w:rsid w:val="00AC2C7F"/>
    <w:rsid w:val="00AC65D8"/>
    <w:rsid w:val="00AC6E4C"/>
    <w:rsid w:val="00AC7C70"/>
    <w:rsid w:val="00AC7E98"/>
    <w:rsid w:val="00AD0952"/>
    <w:rsid w:val="00AD1660"/>
    <w:rsid w:val="00AD2B57"/>
    <w:rsid w:val="00AD2BB7"/>
    <w:rsid w:val="00AD3151"/>
    <w:rsid w:val="00AD4122"/>
    <w:rsid w:val="00AD42B8"/>
    <w:rsid w:val="00AE1427"/>
    <w:rsid w:val="00AE47C1"/>
    <w:rsid w:val="00AE6A7C"/>
    <w:rsid w:val="00AF0D4E"/>
    <w:rsid w:val="00B03469"/>
    <w:rsid w:val="00B0365A"/>
    <w:rsid w:val="00B0375D"/>
    <w:rsid w:val="00B06F37"/>
    <w:rsid w:val="00B1070D"/>
    <w:rsid w:val="00B10B42"/>
    <w:rsid w:val="00B113D2"/>
    <w:rsid w:val="00B151BF"/>
    <w:rsid w:val="00B160F2"/>
    <w:rsid w:val="00B21706"/>
    <w:rsid w:val="00B27E45"/>
    <w:rsid w:val="00B328EA"/>
    <w:rsid w:val="00B32B34"/>
    <w:rsid w:val="00B33496"/>
    <w:rsid w:val="00B3409E"/>
    <w:rsid w:val="00B353CA"/>
    <w:rsid w:val="00B467C4"/>
    <w:rsid w:val="00B46F4C"/>
    <w:rsid w:val="00B51226"/>
    <w:rsid w:val="00B51D9E"/>
    <w:rsid w:val="00B53559"/>
    <w:rsid w:val="00B53767"/>
    <w:rsid w:val="00B54F7A"/>
    <w:rsid w:val="00B56412"/>
    <w:rsid w:val="00B56616"/>
    <w:rsid w:val="00B5796F"/>
    <w:rsid w:val="00B61191"/>
    <w:rsid w:val="00B66CA8"/>
    <w:rsid w:val="00B7196D"/>
    <w:rsid w:val="00B7241C"/>
    <w:rsid w:val="00B762B5"/>
    <w:rsid w:val="00B76846"/>
    <w:rsid w:val="00B85B9C"/>
    <w:rsid w:val="00B875D7"/>
    <w:rsid w:val="00B91BFA"/>
    <w:rsid w:val="00B92BE3"/>
    <w:rsid w:val="00B96DF6"/>
    <w:rsid w:val="00BA35D1"/>
    <w:rsid w:val="00BA452E"/>
    <w:rsid w:val="00BA7EF8"/>
    <w:rsid w:val="00BA7F1A"/>
    <w:rsid w:val="00BB4227"/>
    <w:rsid w:val="00BB66C5"/>
    <w:rsid w:val="00BB6AC4"/>
    <w:rsid w:val="00BC0847"/>
    <w:rsid w:val="00BC2390"/>
    <w:rsid w:val="00BD033A"/>
    <w:rsid w:val="00BD461E"/>
    <w:rsid w:val="00BD6D3B"/>
    <w:rsid w:val="00BE1391"/>
    <w:rsid w:val="00BE2E3F"/>
    <w:rsid w:val="00BE2E68"/>
    <w:rsid w:val="00BE656F"/>
    <w:rsid w:val="00BF10B9"/>
    <w:rsid w:val="00C02828"/>
    <w:rsid w:val="00C035CA"/>
    <w:rsid w:val="00C03A43"/>
    <w:rsid w:val="00C043A4"/>
    <w:rsid w:val="00C0622E"/>
    <w:rsid w:val="00C06BF6"/>
    <w:rsid w:val="00C1015B"/>
    <w:rsid w:val="00C144B4"/>
    <w:rsid w:val="00C16C38"/>
    <w:rsid w:val="00C207FD"/>
    <w:rsid w:val="00C208B9"/>
    <w:rsid w:val="00C22F56"/>
    <w:rsid w:val="00C237AC"/>
    <w:rsid w:val="00C2486E"/>
    <w:rsid w:val="00C300B6"/>
    <w:rsid w:val="00C333FC"/>
    <w:rsid w:val="00C3559A"/>
    <w:rsid w:val="00C37D83"/>
    <w:rsid w:val="00C438C4"/>
    <w:rsid w:val="00C50EBC"/>
    <w:rsid w:val="00C5113E"/>
    <w:rsid w:val="00C5235B"/>
    <w:rsid w:val="00C52919"/>
    <w:rsid w:val="00C534CD"/>
    <w:rsid w:val="00C633EE"/>
    <w:rsid w:val="00C63C98"/>
    <w:rsid w:val="00C65CBF"/>
    <w:rsid w:val="00C6679A"/>
    <w:rsid w:val="00C71687"/>
    <w:rsid w:val="00C73D9F"/>
    <w:rsid w:val="00C771B1"/>
    <w:rsid w:val="00C77D3B"/>
    <w:rsid w:val="00C811F3"/>
    <w:rsid w:val="00C8200D"/>
    <w:rsid w:val="00C838B9"/>
    <w:rsid w:val="00C86378"/>
    <w:rsid w:val="00C8685C"/>
    <w:rsid w:val="00C91BEA"/>
    <w:rsid w:val="00C93ABC"/>
    <w:rsid w:val="00CA00AA"/>
    <w:rsid w:val="00CA0741"/>
    <w:rsid w:val="00CA18E7"/>
    <w:rsid w:val="00CA4632"/>
    <w:rsid w:val="00CB3031"/>
    <w:rsid w:val="00CB4A18"/>
    <w:rsid w:val="00CC230E"/>
    <w:rsid w:val="00CC38D2"/>
    <w:rsid w:val="00CC46FE"/>
    <w:rsid w:val="00CC763B"/>
    <w:rsid w:val="00CD13EC"/>
    <w:rsid w:val="00CD157C"/>
    <w:rsid w:val="00CD1CB4"/>
    <w:rsid w:val="00CD1F13"/>
    <w:rsid w:val="00CD3DB8"/>
    <w:rsid w:val="00CD49FB"/>
    <w:rsid w:val="00CD59A2"/>
    <w:rsid w:val="00CD6583"/>
    <w:rsid w:val="00CE1AA5"/>
    <w:rsid w:val="00CE2599"/>
    <w:rsid w:val="00CE2B4C"/>
    <w:rsid w:val="00CE34CB"/>
    <w:rsid w:val="00CE3EDE"/>
    <w:rsid w:val="00CF0C2C"/>
    <w:rsid w:val="00CF2A6E"/>
    <w:rsid w:val="00CF4497"/>
    <w:rsid w:val="00CF50DF"/>
    <w:rsid w:val="00D007AF"/>
    <w:rsid w:val="00D00F5F"/>
    <w:rsid w:val="00D01276"/>
    <w:rsid w:val="00D02D0C"/>
    <w:rsid w:val="00D03CCB"/>
    <w:rsid w:val="00D10E20"/>
    <w:rsid w:val="00D12396"/>
    <w:rsid w:val="00D15BBE"/>
    <w:rsid w:val="00D23956"/>
    <w:rsid w:val="00D25B04"/>
    <w:rsid w:val="00D303F5"/>
    <w:rsid w:val="00D30E31"/>
    <w:rsid w:val="00D33344"/>
    <w:rsid w:val="00D34F09"/>
    <w:rsid w:val="00D354E2"/>
    <w:rsid w:val="00D363EE"/>
    <w:rsid w:val="00D372C2"/>
    <w:rsid w:val="00D3766F"/>
    <w:rsid w:val="00D3787B"/>
    <w:rsid w:val="00D40B93"/>
    <w:rsid w:val="00D4763E"/>
    <w:rsid w:val="00D51D7E"/>
    <w:rsid w:val="00D52420"/>
    <w:rsid w:val="00D53548"/>
    <w:rsid w:val="00D53D99"/>
    <w:rsid w:val="00D5541B"/>
    <w:rsid w:val="00D608DF"/>
    <w:rsid w:val="00D64BF8"/>
    <w:rsid w:val="00D7033A"/>
    <w:rsid w:val="00D729EA"/>
    <w:rsid w:val="00D73A3B"/>
    <w:rsid w:val="00D73FA4"/>
    <w:rsid w:val="00D77FBB"/>
    <w:rsid w:val="00D80DB1"/>
    <w:rsid w:val="00D82D0F"/>
    <w:rsid w:val="00D836CF"/>
    <w:rsid w:val="00D84AD3"/>
    <w:rsid w:val="00D85B5F"/>
    <w:rsid w:val="00D9119B"/>
    <w:rsid w:val="00D9228C"/>
    <w:rsid w:val="00D937B5"/>
    <w:rsid w:val="00D94400"/>
    <w:rsid w:val="00D94626"/>
    <w:rsid w:val="00D972B2"/>
    <w:rsid w:val="00D97740"/>
    <w:rsid w:val="00DA0815"/>
    <w:rsid w:val="00DA1EEB"/>
    <w:rsid w:val="00DA593A"/>
    <w:rsid w:val="00DA5B2A"/>
    <w:rsid w:val="00DA7644"/>
    <w:rsid w:val="00DA7A7A"/>
    <w:rsid w:val="00DB1888"/>
    <w:rsid w:val="00DC15FC"/>
    <w:rsid w:val="00DC1C8D"/>
    <w:rsid w:val="00DC6B05"/>
    <w:rsid w:val="00DC71B4"/>
    <w:rsid w:val="00DD1181"/>
    <w:rsid w:val="00DD2C61"/>
    <w:rsid w:val="00DE002C"/>
    <w:rsid w:val="00DE0266"/>
    <w:rsid w:val="00DE0D0B"/>
    <w:rsid w:val="00DE24FC"/>
    <w:rsid w:val="00DE42D1"/>
    <w:rsid w:val="00DE43AE"/>
    <w:rsid w:val="00DF4A09"/>
    <w:rsid w:val="00DF5505"/>
    <w:rsid w:val="00E01401"/>
    <w:rsid w:val="00E03B73"/>
    <w:rsid w:val="00E1000A"/>
    <w:rsid w:val="00E15714"/>
    <w:rsid w:val="00E17422"/>
    <w:rsid w:val="00E23F2F"/>
    <w:rsid w:val="00E30AAF"/>
    <w:rsid w:val="00E30EF2"/>
    <w:rsid w:val="00E31167"/>
    <w:rsid w:val="00E3196E"/>
    <w:rsid w:val="00E32F88"/>
    <w:rsid w:val="00E33BFE"/>
    <w:rsid w:val="00E36F00"/>
    <w:rsid w:val="00E409E6"/>
    <w:rsid w:val="00E43AE2"/>
    <w:rsid w:val="00E4440D"/>
    <w:rsid w:val="00E5051A"/>
    <w:rsid w:val="00E52F07"/>
    <w:rsid w:val="00E53C34"/>
    <w:rsid w:val="00E53D27"/>
    <w:rsid w:val="00E56F04"/>
    <w:rsid w:val="00E600F5"/>
    <w:rsid w:val="00E60E78"/>
    <w:rsid w:val="00E6245E"/>
    <w:rsid w:val="00E6283A"/>
    <w:rsid w:val="00E67607"/>
    <w:rsid w:val="00E67813"/>
    <w:rsid w:val="00E715BA"/>
    <w:rsid w:val="00E73AC8"/>
    <w:rsid w:val="00E75316"/>
    <w:rsid w:val="00E801A1"/>
    <w:rsid w:val="00E8371C"/>
    <w:rsid w:val="00E841D3"/>
    <w:rsid w:val="00E85073"/>
    <w:rsid w:val="00E86277"/>
    <w:rsid w:val="00E866C7"/>
    <w:rsid w:val="00E8679B"/>
    <w:rsid w:val="00E910AE"/>
    <w:rsid w:val="00E9293E"/>
    <w:rsid w:val="00E92B28"/>
    <w:rsid w:val="00E94EDB"/>
    <w:rsid w:val="00E9519C"/>
    <w:rsid w:val="00E953B3"/>
    <w:rsid w:val="00E958BA"/>
    <w:rsid w:val="00E97749"/>
    <w:rsid w:val="00EA0138"/>
    <w:rsid w:val="00EA0E49"/>
    <w:rsid w:val="00EA2796"/>
    <w:rsid w:val="00EA2C6F"/>
    <w:rsid w:val="00EA3224"/>
    <w:rsid w:val="00EA417A"/>
    <w:rsid w:val="00EA44AC"/>
    <w:rsid w:val="00EA648D"/>
    <w:rsid w:val="00EB09C7"/>
    <w:rsid w:val="00EB2613"/>
    <w:rsid w:val="00EB3E3C"/>
    <w:rsid w:val="00EC5250"/>
    <w:rsid w:val="00EC59A5"/>
    <w:rsid w:val="00EC5A6E"/>
    <w:rsid w:val="00EC7E30"/>
    <w:rsid w:val="00ED1E7F"/>
    <w:rsid w:val="00ED4292"/>
    <w:rsid w:val="00ED57B8"/>
    <w:rsid w:val="00ED6DEF"/>
    <w:rsid w:val="00EE269B"/>
    <w:rsid w:val="00EE4661"/>
    <w:rsid w:val="00EF1BB7"/>
    <w:rsid w:val="00EF2D28"/>
    <w:rsid w:val="00EF4FFB"/>
    <w:rsid w:val="00EF5602"/>
    <w:rsid w:val="00EF5B48"/>
    <w:rsid w:val="00EF6F1B"/>
    <w:rsid w:val="00F00140"/>
    <w:rsid w:val="00F00BCA"/>
    <w:rsid w:val="00F03617"/>
    <w:rsid w:val="00F10A78"/>
    <w:rsid w:val="00F10B9A"/>
    <w:rsid w:val="00F122F6"/>
    <w:rsid w:val="00F1477E"/>
    <w:rsid w:val="00F156CB"/>
    <w:rsid w:val="00F20AC1"/>
    <w:rsid w:val="00F22C71"/>
    <w:rsid w:val="00F23D20"/>
    <w:rsid w:val="00F24E52"/>
    <w:rsid w:val="00F24EC1"/>
    <w:rsid w:val="00F3027A"/>
    <w:rsid w:val="00F30B00"/>
    <w:rsid w:val="00F33023"/>
    <w:rsid w:val="00F330F2"/>
    <w:rsid w:val="00F35451"/>
    <w:rsid w:val="00F36140"/>
    <w:rsid w:val="00F4099B"/>
    <w:rsid w:val="00F5198C"/>
    <w:rsid w:val="00F51C36"/>
    <w:rsid w:val="00F53393"/>
    <w:rsid w:val="00F636DD"/>
    <w:rsid w:val="00F641F3"/>
    <w:rsid w:val="00F65D87"/>
    <w:rsid w:val="00F73413"/>
    <w:rsid w:val="00F768D7"/>
    <w:rsid w:val="00F77788"/>
    <w:rsid w:val="00F84192"/>
    <w:rsid w:val="00F85BD7"/>
    <w:rsid w:val="00F85E1C"/>
    <w:rsid w:val="00F9061E"/>
    <w:rsid w:val="00F91E36"/>
    <w:rsid w:val="00F940DF"/>
    <w:rsid w:val="00F94839"/>
    <w:rsid w:val="00F97423"/>
    <w:rsid w:val="00F97601"/>
    <w:rsid w:val="00FA003C"/>
    <w:rsid w:val="00FA185A"/>
    <w:rsid w:val="00FA33F5"/>
    <w:rsid w:val="00FA5696"/>
    <w:rsid w:val="00FA6036"/>
    <w:rsid w:val="00FB394E"/>
    <w:rsid w:val="00FB3F32"/>
    <w:rsid w:val="00FC0D60"/>
    <w:rsid w:val="00FC3A6B"/>
    <w:rsid w:val="00FC4DE6"/>
    <w:rsid w:val="00FD0A86"/>
    <w:rsid w:val="00FD28F1"/>
    <w:rsid w:val="00FD2FFA"/>
    <w:rsid w:val="00FD5011"/>
    <w:rsid w:val="00FE1040"/>
    <w:rsid w:val="00FE2353"/>
    <w:rsid w:val="00FE5093"/>
    <w:rsid w:val="00FF0411"/>
    <w:rsid w:val="00FF06C1"/>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paragraph" w:customStyle="1" w:styleId="naisnod">
    <w:name w:val="naisnod"/>
    <w:basedOn w:val="Normal"/>
    <w:rsid w:val="007C40C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7C40CB"/>
    <w:pPr>
      <w:autoSpaceDE w:val="0"/>
      <w:autoSpaceDN w:val="0"/>
      <w:adjustRightInd w:val="0"/>
    </w:pPr>
    <w:rPr>
      <w:rFonts w:ascii="EUAlbertina" w:eastAsia="Times New Roman" w:hAnsi="EUAlbertina" w:cs="EUAlbertina"/>
      <w:color w:val="000000"/>
      <w:sz w:val="24"/>
      <w:szCs w:val="24"/>
    </w:rPr>
  </w:style>
  <w:style w:type="paragraph" w:styleId="ListBullet">
    <w:name w:val="List Bullet"/>
    <w:basedOn w:val="Normal"/>
    <w:uiPriority w:val="99"/>
    <w:semiHidden/>
    <w:unhideWhenUsed/>
    <w:rsid w:val="007C40CB"/>
    <w:pPr>
      <w:numPr>
        <w:numId w:val="7"/>
      </w:numPr>
      <w:spacing w:after="0" w:line="240" w:lineRule="auto"/>
      <w:contextualSpacing/>
    </w:pPr>
    <w:rPr>
      <w:rFonts w:ascii="Times New Roman" w:eastAsia="Times New Roman" w:hAnsi="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7C40C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7C40CB"/>
    <w:rPr>
      <w:rFonts w:ascii="Times New Roman" w:eastAsia="Times New Roman" w:hAnsi="Times New Roman"/>
    </w:rPr>
  </w:style>
  <w:style w:type="character" w:customStyle="1" w:styleId="naisfChar">
    <w:name w:val="naisf Char"/>
    <w:basedOn w:val="DefaultParagraphFont"/>
    <w:link w:val="naisf"/>
    <w:locked/>
    <w:rsid w:val="00197B4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C4F39"/>
    <w:pPr>
      <w:spacing w:after="120"/>
    </w:pPr>
    <w:rPr>
      <w:sz w:val="16"/>
      <w:szCs w:val="16"/>
    </w:rPr>
  </w:style>
  <w:style w:type="character" w:customStyle="1" w:styleId="BodyText3Char">
    <w:name w:val="Body Text 3 Char"/>
    <w:basedOn w:val="DefaultParagraphFont"/>
    <w:link w:val="BodyText3"/>
    <w:uiPriority w:val="99"/>
    <w:semiHidden/>
    <w:rsid w:val="000C4F39"/>
    <w:rPr>
      <w:sz w:val="16"/>
      <w:szCs w:val="16"/>
      <w:lang w:eastAsia="en-US"/>
    </w:rPr>
  </w:style>
  <w:style w:type="paragraph" w:styleId="BodyTextIndent2">
    <w:name w:val="Body Text Indent 2"/>
    <w:basedOn w:val="Normal"/>
    <w:link w:val="BodyTextIndent2Char"/>
    <w:uiPriority w:val="99"/>
    <w:unhideWhenUsed/>
    <w:rsid w:val="00BE656F"/>
    <w:pPr>
      <w:spacing w:after="120" w:line="480" w:lineRule="auto"/>
      <w:ind w:left="283"/>
    </w:pPr>
  </w:style>
  <w:style w:type="character" w:customStyle="1" w:styleId="BodyTextIndent2Char">
    <w:name w:val="Body Text Indent 2 Char"/>
    <w:basedOn w:val="DefaultParagraphFont"/>
    <w:link w:val="BodyTextIndent2"/>
    <w:uiPriority w:val="99"/>
    <w:rsid w:val="00BE656F"/>
    <w:rPr>
      <w:sz w:val="22"/>
      <w:szCs w:val="22"/>
      <w:lang w:eastAsia="en-US"/>
    </w:rPr>
  </w:style>
  <w:style w:type="character" w:customStyle="1" w:styleId="apple-converted-space">
    <w:name w:val="apple-converted-space"/>
    <w:basedOn w:val="DefaultParagraphFont"/>
    <w:rsid w:val="009A46EE"/>
  </w:style>
  <w:style w:type="character" w:styleId="FootnoteReference">
    <w:name w:val="footnote reference"/>
    <w:aliases w:val="Footnote Reference Number,SUPERS"/>
    <w:semiHidden/>
    <w:unhideWhenUsed/>
    <w:rsid w:val="00556C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uiPriority w:val="99"/>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semiHidden/>
    <w:unhideWhenUsed/>
    <w:rsid w:val="003A705C"/>
    <w:rPr>
      <w:sz w:val="16"/>
      <w:szCs w:val="16"/>
    </w:rPr>
  </w:style>
  <w:style w:type="paragraph" w:styleId="BodyText">
    <w:name w:val="Body Text"/>
    <w:basedOn w:val="Normal"/>
    <w:link w:val="BodyTextChar"/>
    <w:uiPriority w:val="99"/>
    <w:unhideWhenUsed/>
    <w:rsid w:val="00DD1181"/>
    <w:pPr>
      <w:spacing w:after="120"/>
    </w:pPr>
  </w:style>
  <w:style w:type="character" w:customStyle="1" w:styleId="BodyTextChar">
    <w:name w:val="Body Text Char"/>
    <w:basedOn w:val="DefaultParagraphFont"/>
    <w:link w:val="BodyText"/>
    <w:uiPriority w:val="99"/>
    <w:rsid w:val="00DD1181"/>
    <w:rPr>
      <w:sz w:val="22"/>
      <w:szCs w:val="22"/>
      <w:lang w:eastAsia="en-US"/>
    </w:rPr>
  </w:style>
  <w:style w:type="paragraph" w:customStyle="1" w:styleId="naisnod">
    <w:name w:val="naisnod"/>
    <w:basedOn w:val="Normal"/>
    <w:rsid w:val="007C40C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7C40CB"/>
    <w:pPr>
      <w:autoSpaceDE w:val="0"/>
      <w:autoSpaceDN w:val="0"/>
      <w:adjustRightInd w:val="0"/>
    </w:pPr>
    <w:rPr>
      <w:rFonts w:ascii="EUAlbertina" w:eastAsia="Times New Roman" w:hAnsi="EUAlbertina" w:cs="EUAlbertina"/>
      <w:color w:val="000000"/>
      <w:sz w:val="24"/>
      <w:szCs w:val="24"/>
    </w:rPr>
  </w:style>
  <w:style w:type="paragraph" w:styleId="ListBullet">
    <w:name w:val="List Bullet"/>
    <w:basedOn w:val="Normal"/>
    <w:uiPriority w:val="99"/>
    <w:semiHidden/>
    <w:unhideWhenUsed/>
    <w:rsid w:val="007C40CB"/>
    <w:pPr>
      <w:numPr>
        <w:numId w:val="7"/>
      </w:numPr>
      <w:spacing w:after="0" w:line="240" w:lineRule="auto"/>
      <w:contextualSpacing/>
    </w:pPr>
    <w:rPr>
      <w:rFonts w:ascii="Times New Roman" w:eastAsia="Times New Roman" w:hAnsi="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7C40CB"/>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7C40CB"/>
    <w:rPr>
      <w:rFonts w:ascii="Times New Roman" w:eastAsia="Times New Roman" w:hAnsi="Times New Roman"/>
    </w:rPr>
  </w:style>
  <w:style w:type="character" w:customStyle="1" w:styleId="naisfChar">
    <w:name w:val="naisf Char"/>
    <w:basedOn w:val="DefaultParagraphFont"/>
    <w:link w:val="naisf"/>
    <w:locked/>
    <w:rsid w:val="00197B4D"/>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0C4F39"/>
    <w:pPr>
      <w:spacing w:after="120"/>
    </w:pPr>
    <w:rPr>
      <w:sz w:val="16"/>
      <w:szCs w:val="16"/>
    </w:rPr>
  </w:style>
  <w:style w:type="character" w:customStyle="1" w:styleId="BodyText3Char">
    <w:name w:val="Body Text 3 Char"/>
    <w:basedOn w:val="DefaultParagraphFont"/>
    <w:link w:val="BodyText3"/>
    <w:uiPriority w:val="99"/>
    <w:semiHidden/>
    <w:rsid w:val="000C4F39"/>
    <w:rPr>
      <w:sz w:val="16"/>
      <w:szCs w:val="16"/>
      <w:lang w:eastAsia="en-US"/>
    </w:rPr>
  </w:style>
  <w:style w:type="paragraph" w:styleId="BodyTextIndent2">
    <w:name w:val="Body Text Indent 2"/>
    <w:basedOn w:val="Normal"/>
    <w:link w:val="BodyTextIndent2Char"/>
    <w:uiPriority w:val="99"/>
    <w:unhideWhenUsed/>
    <w:rsid w:val="00BE656F"/>
    <w:pPr>
      <w:spacing w:after="120" w:line="480" w:lineRule="auto"/>
      <w:ind w:left="283"/>
    </w:pPr>
  </w:style>
  <w:style w:type="character" w:customStyle="1" w:styleId="BodyTextIndent2Char">
    <w:name w:val="Body Text Indent 2 Char"/>
    <w:basedOn w:val="DefaultParagraphFont"/>
    <w:link w:val="BodyTextIndent2"/>
    <w:uiPriority w:val="99"/>
    <w:rsid w:val="00BE656F"/>
    <w:rPr>
      <w:sz w:val="22"/>
      <w:szCs w:val="22"/>
      <w:lang w:eastAsia="en-US"/>
    </w:rPr>
  </w:style>
  <w:style w:type="character" w:customStyle="1" w:styleId="apple-converted-space">
    <w:name w:val="apple-converted-space"/>
    <w:basedOn w:val="DefaultParagraphFont"/>
    <w:rsid w:val="009A46EE"/>
  </w:style>
  <w:style w:type="character" w:styleId="FootnoteReference">
    <w:name w:val="footnote reference"/>
    <w:aliases w:val="Footnote Reference Number,SUPERS"/>
    <w:semiHidden/>
    <w:unhideWhenUsed/>
    <w:rsid w:val="00556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817">
      <w:bodyDiv w:val="1"/>
      <w:marLeft w:val="0"/>
      <w:marRight w:val="0"/>
      <w:marTop w:val="0"/>
      <w:marBottom w:val="0"/>
      <w:divBdr>
        <w:top w:val="none" w:sz="0" w:space="0" w:color="auto"/>
        <w:left w:val="none" w:sz="0" w:space="0" w:color="auto"/>
        <w:bottom w:val="none" w:sz="0" w:space="0" w:color="auto"/>
        <w:right w:val="none" w:sz="0" w:space="0" w:color="auto"/>
      </w:divBdr>
    </w:div>
    <w:div w:id="189613606">
      <w:bodyDiv w:val="1"/>
      <w:marLeft w:val="0"/>
      <w:marRight w:val="0"/>
      <w:marTop w:val="0"/>
      <w:marBottom w:val="0"/>
      <w:divBdr>
        <w:top w:val="none" w:sz="0" w:space="0" w:color="auto"/>
        <w:left w:val="none" w:sz="0" w:space="0" w:color="auto"/>
        <w:bottom w:val="none" w:sz="0" w:space="0" w:color="auto"/>
        <w:right w:val="none" w:sz="0" w:space="0" w:color="auto"/>
      </w:divBdr>
    </w:div>
    <w:div w:id="225995284">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67739101">
      <w:bodyDiv w:val="1"/>
      <w:marLeft w:val="0"/>
      <w:marRight w:val="0"/>
      <w:marTop w:val="0"/>
      <w:marBottom w:val="0"/>
      <w:divBdr>
        <w:top w:val="none" w:sz="0" w:space="0" w:color="auto"/>
        <w:left w:val="none" w:sz="0" w:space="0" w:color="auto"/>
        <w:bottom w:val="none" w:sz="0" w:space="0" w:color="auto"/>
        <w:right w:val="none" w:sz="0" w:space="0" w:color="auto"/>
      </w:divBdr>
    </w:div>
    <w:div w:id="326057236">
      <w:bodyDiv w:val="1"/>
      <w:marLeft w:val="0"/>
      <w:marRight w:val="0"/>
      <w:marTop w:val="0"/>
      <w:marBottom w:val="0"/>
      <w:divBdr>
        <w:top w:val="none" w:sz="0" w:space="0" w:color="auto"/>
        <w:left w:val="none" w:sz="0" w:space="0" w:color="auto"/>
        <w:bottom w:val="none" w:sz="0" w:space="0" w:color="auto"/>
        <w:right w:val="none" w:sz="0" w:space="0" w:color="auto"/>
      </w:divBdr>
    </w:div>
    <w:div w:id="363486875">
      <w:bodyDiv w:val="1"/>
      <w:marLeft w:val="0"/>
      <w:marRight w:val="0"/>
      <w:marTop w:val="0"/>
      <w:marBottom w:val="0"/>
      <w:divBdr>
        <w:top w:val="none" w:sz="0" w:space="0" w:color="auto"/>
        <w:left w:val="none" w:sz="0" w:space="0" w:color="auto"/>
        <w:bottom w:val="none" w:sz="0" w:space="0" w:color="auto"/>
        <w:right w:val="none" w:sz="0" w:space="0" w:color="auto"/>
      </w:divBdr>
    </w:div>
    <w:div w:id="478768009">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0891390">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776104236">
      <w:bodyDiv w:val="1"/>
      <w:marLeft w:val="0"/>
      <w:marRight w:val="0"/>
      <w:marTop w:val="0"/>
      <w:marBottom w:val="0"/>
      <w:divBdr>
        <w:top w:val="none" w:sz="0" w:space="0" w:color="auto"/>
        <w:left w:val="none" w:sz="0" w:space="0" w:color="auto"/>
        <w:bottom w:val="none" w:sz="0" w:space="0" w:color="auto"/>
        <w:right w:val="none" w:sz="0" w:space="0" w:color="auto"/>
      </w:divBdr>
    </w:div>
    <w:div w:id="845632980">
      <w:bodyDiv w:val="1"/>
      <w:marLeft w:val="0"/>
      <w:marRight w:val="0"/>
      <w:marTop w:val="0"/>
      <w:marBottom w:val="0"/>
      <w:divBdr>
        <w:top w:val="none" w:sz="0" w:space="0" w:color="auto"/>
        <w:left w:val="none" w:sz="0" w:space="0" w:color="auto"/>
        <w:bottom w:val="none" w:sz="0" w:space="0" w:color="auto"/>
        <w:right w:val="none" w:sz="0" w:space="0" w:color="auto"/>
      </w:divBdr>
      <w:divsChild>
        <w:div w:id="1245266619">
          <w:marLeft w:val="0"/>
          <w:marRight w:val="0"/>
          <w:marTop w:val="0"/>
          <w:marBottom w:val="0"/>
          <w:divBdr>
            <w:top w:val="none" w:sz="0" w:space="0" w:color="auto"/>
            <w:left w:val="none" w:sz="0" w:space="0" w:color="auto"/>
            <w:bottom w:val="none" w:sz="0" w:space="0" w:color="auto"/>
            <w:right w:val="none" w:sz="0" w:space="0" w:color="auto"/>
          </w:divBdr>
        </w:div>
        <w:div w:id="179972797">
          <w:marLeft w:val="0"/>
          <w:marRight w:val="0"/>
          <w:marTop w:val="0"/>
          <w:marBottom w:val="0"/>
          <w:divBdr>
            <w:top w:val="none" w:sz="0" w:space="0" w:color="auto"/>
            <w:left w:val="none" w:sz="0" w:space="0" w:color="auto"/>
            <w:bottom w:val="none" w:sz="0" w:space="0" w:color="auto"/>
            <w:right w:val="none" w:sz="0" w:space="0" w:color="auto"/>
          </w:divBdr>
        </w:div>
      </w:divsChild>
    </w:div>
    <w:div w:id="966278987">
      <w:bodyDiv w:val="1"/>
      <w:marLeft w:val="0"/>
      <w:marRight w:val="0"/>
      <w:marTop w:val="0"/>
      <w:marBottom w:val="0"/>
      <w:divBdr>
        <w:top w:val="none" w:sz="0" w:space="0" w:color="auto"/>
        <w:left w:val="none" w:sz="0" w:space="0" w:color="auto"/>
        <w:bottom w:val="none" w:sz="0" w:space="0" w:color="auto"/>
        <w:right w:val="none" w:sz="0" w:space="0" w:color="auto"/>
      </w:divBdr>
    </w:div>
    <w:div w:id="1043090349">
      <w:bodyDiv w:val="1"/>
      <w:marLeft w:val="0"/>
      <w:marRight w:val="0"/>
      <w:marTop w:val="0"/>
      <w:marBottom w:val="0"/>
      <w:divBdr>
        <w:top w:val="none" w:sz="0" w:space="0" w:color="auto"/>
        <w:left w:val="none" w:sz="0" w:space="0" w:color="auto"/>
        <w:bottom w:val="none" w:sz="0" w:space="0" w:color="auto"/>
        <w:right w:val="none" w:sz="0" w:space="0" w:color="auto"/>
      </w:divBdr>
    </w:div>
    <w:div w:id="1076048460">
      <w:bodyDiv w:val="1"/>
      <w:marLeft w:val="0"/>
      <w:marRight w:val="0"/>
      <w:marTop w:val="0"/>
      <w:marBottom w:val="0"/>
      <w:divBdr>
        <w:top w:val="none" w:sz="0" w:space="0" w:color="auto"/>
        <w:left w:val="none" w:sz="0" w:space="0" w:color="auto"/>
        <w:bottom w:val="none" w:sz="0" w:space="0" w:color="auto"/>
        <w:right w:val="none" w:sz="0" w:space="0" w:color="auto"/>
      </w:divBdr>
    </w:div>
    <w:div w:id="1124614425">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72726892">
      <w:bodyDiv w:val="1"/>
      <w:marLeft w:val="0"/>
      <w:marRight w:val="0"/>
      <w:marTop w:val="0"/>
      <w:marBottom w:val="0"/>
      <w:divBdr>
        <w:top w:val="none" w:sz="0" w:space="0" w:color="auto"/>
        <w:left w:val="none" w:sz="0" w:space="0" w:color="auto"/>
        <w:bottom w:val="none" w:sz="0" w:space="0" w:color="auto"/>
        <w:right w:val="none" w:sz="0" w:space="0" w:color="auto"/>
      </w:divBdr>
    </w:div>
    <w:div w:id="17565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dra.Niedrite@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A674-033C-4645-998F-D90A7F29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1708</Words>
  <Characters>12643</Characters>
  <Application>Microsoft Office Word</Application>
  <DocSecurity>0</DocSecurity>
  <Lines>332</Lines>
  <Paragraphs>115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29.novembra noteikumos Nr.914 „Elektroenerģijas tirdzniecības un lietošanas noteikumi”” sākotnējās ietekmes novērtējuma ziņojums (anotācija)</vt:lpstr>
    </vt:vector>
  </TitlesOfParts>
  <Company>LR Ekonomikas ministrija</Company>
  <LinksUpToDate>false</LinksUpToDate>
  <CharactersWithSpaces>14236</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29.novembra noteikumos Nr.914 „Elektroenerģijas tirdzniecības un lietošanas noteikumi”” sākotnējās ietekmes novērtējuma ziņojums (anotācija)</dc:title>
  <dc:subject>Anotācija</dc:subject>
  <dc:creator>Indra.Niedrite@em.gov.lv</dc:creator>
  <dc:description>Indra.Niedrite@em.gov.lv Tālr.: 67013168</dc:description>
  <cp:lastModifiedBy>Indra Niedrīte</cp:lastModifiedBy>
  <cp:revision>2</cp:revision>
  <cp:lastPrinted>2013-11-15T10:50:00Z</cp:lastPrinted>
  <dcterms:created xsi:type="dcterms:W3CDTF">2013-12-13T07:15:00Z</dcterms:created>
  <dcterms:modified xsi:type="dcterms:W3CDTF">2013-12-13T07:15:00Z</dcterms:modified>
</cp:coreProperties>
</file>