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AA" w:rsidRPr="008D45B0" w:rsidRDefault="00D45BAA" w:rsidP="000D343A">
      <w:pPr>
        <w:spacing w:after="200"/>
        <w:jc w:val="center"/>
        <w:rPr>
          <w:b/>
          <w:bCs/>
          <w:sz w:val="28"/>
          <w:szCs w:val="28"/>
          <w:lang w:val="lv-LV"/>
        </w:rPr>
      </w:pPr>
      <w:bookmarkStart w:id="0" w:name="OLE_LINK6"/>
      <w:bookmarkStart w:id="1" w:name="OLE_LINK7"/>
      <w:bookmarkStart w:id="2" w:name="OLE_LINK5"/>
      <w:bookmarkStart w:id="3" w:name="OLE_LINK9"/>
      <w:bookmarkStart w:id="4" w:name="OLE_LINK10"/>
      <w:bookmarkStart w:id="5" w:name="OLE_LINK8"/>
      <w:bookmarkStart w:id="6" w:name="OLE_LINK11"/>
      <w:bookmarkStart w:id="7" w:name="OLE_LINK3"/>
      <w:bookmarkStart w:id="8" w:name="OLE_LINK1"/>
      <w:bookmarkStart w:id="9" w:name="OLE_LINK2"/>
      <w:r w:rsidRPr="008D45B0">
        <w:rPr>
          <w:b/>
          <w:sz w:val="28"/>
          <w:szCs w:val="28"/>
          <w:lang w:val="lv-LV" w:eastAsia="lv-LV"/>
        </w:rPr>
        <w:t>Ministru kabineta noteikumu projekta</w:t>
      </w:r>
      <w:r w:rsidR="00F7200E" w:rsidRPr="008D45B0">
        <w:rPr>
          <w:b/>
          <w:sz w:val="28"/>
          <w:szCs w:val="28"/>
          <w:lang w:val="lv-LV" w:eastAsia="lv-LV"/>
        </w:rPr>
        <w:t xml:space="preserve"> </w:t>
      </w:r>
      <w:r w:rsidRPr="008D45B0">
        <w:rPr>
          <w:b/>
          <w:sz w:val="28"/>
          <w:szCs w:val="28"/>
          <w:lang w:val="lv-LV"/>
        </w:rPr>
        <w:t>„</w:t>
      </w:r>
      <w:r w:rsidR="00CC494D" w:rsidRPr="008D45B0">
        <w:rPr>
          <w:b/>
          <w:sz w:val="28"/>
          <w:szCs w:val="28"/>
          <w:lang w:val="lv-LV"/>
        </w:rPr>
        <w:t>Grozījumi</w:t>
      </w:r>
      <w:r w:rsidR="008A5558" w:rsidRPr="008D45B0">
        <w:rPr>
          <w:b/>
          <w:sz w:val="28"/>
          <w:szCs w:val="28"/>
          <w:lang w:val="lv-LV"/>
        </w:rPr>
        <w:t xml:space="preserve"> Ministru kabineta 2010.gada 21</w:t>
      </w:r>
      <w:r w:rsidR="00CC494D" w:rsidRPr="008D45B0">
        <w:rPr>
          <w:b/>
          <w:sz w:val="28"/>
          <w:szCs w:val="28"/>
          <w:lang w:val="lv-LV"/>
        </w:rPr>
        <w:t>.</w:t>
      </w:r>
      <w:r w:rsidR="008A5558" w:rsidRPr="008D45B0">
        <w:rPr>
          <w:b/>
          <w:sz w:val="28"/>
          <w:szCs w:val="28"/>
          <w:lang w:val="lv-LV"/>
        </w:rPr>
        <w:t>septembra</w:t>
      </w:r>
      <w:r w:rsidR="00CC494D" w:rsidRPr="008D45B0">
        <w:rPr>
          <w:b/>
          <w:sz w:val="28"/>
          <w:szCs w:val="28"/>
          <w:lang w:val="lv-LV"/>
        </w:rPr>
        <w:t xml:space="preserve"> noteikumos N</w:t>
      </w:r>
      <w:r w:rsidR="008A5558" w:rsidRPr="008D45B0">
        <w:rPr>
          <w:b/>
          <w:sz w:val="28"/>
          <w:szCs w:val="28"/>
          <w:lang w:val="lv-LV"/>
        </w:rPr>
        <w:t>r.888</w:t>
      </w:r>
      <w:r w:rsidR="00CC494D" w:rsidRPr="008D45B0">
        <w:rPr>
          <w:b/>
          <w:sz w:val="28"/>
          <w:szCs w:val="28"/>
          <w:lang w:val="lv-LV"/>
        </w:rPr>
        <w:t xml:space="preserve"> „</w:t>
      </w:r>
      <w:r w:rsidR="008A5558" w:rsidRPr="008D45B0">
        <w:rPr>
          <w:b/>
          <w:sz w:val="28"/>
          <w:szCs w:val="28"/>
          <w:lang w:val="lv-LV"/>
        </w:rPr>
        <w:t>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r w:rsidR="00CC494D" w:rsidRPr="008D45B0">
        <w:rPr>
          <w:b/>
          <w:sz w:val="28"/>
          <w:szCs w:val="28"/>
          <w:lang w:val="lv-LV"/>
        </w:rPr>
        <w:t>”</w:t>
      </w:r>
      <w:r w:rsidRPr="008D45B0">
        <w:rPr>
          <w:b/>
          <w:sz w:val="28"/>
          <w:szCs w:val="28"/>
          <w:lang w:val="lv-LV"/>
        </w:rPr>
        <w:t>”</w:t>
      </w:r>
      <w:bookmarkStart w:id="10" w:name="OLE_LINK4"/>
      <w:r w:rsidR="00F7200E" w:rsidRPr="008D45B0">
        <w:rPr>
          <w:b/>
          <w:sz w:val="28"/>
          <w:szCs w:val="28"/>
          <w:lang w:val="lv-LV" w:eastAsia="lv-LV"/>
        </w:rPr>
        <w:t xml:space="preserve"> </w:t>
      </w:r>
      <w:r w:rsidRPr="008D45B0">
        <w:rPr>
          <w:b/>
          <w:sz w:val="28"/>
          <w:szCs w:val="28"/>
          <w:lang w:val="lv-LV" w:eastAsia="lv-LV"/>
        </w:rPr>
        <w:t>sākotnējās ietekmes novērtējuma ziņojums (anotācija)</w:t>
      </w:r>
      <w:bookmarkEnd w:id="0"/>
      <w:bookmarkEnd w:id="1"/>
      <w:bookmarkEnd w:id="2"/>
      <w:bookmarkEnd w:id="10"/>
    </w:p>
    <w:bookmarkEnd w:id="3"/>
    <w:bookmarkEnd w:id="4"/>
    <w:bookmarkEnd w:id="5"/>
    <w:bookmarkEnd w:id="6"/>
    <w:p w:rsidR="00D45BAA" w:rsidRPr="008D45B0" w:rsidRDefault="00D45BAA" w:rsidP="000D343A">
      <w:pPr>
        <w:jc w:val="center"/>
        <w:rPr>
          <w:b/>
          <w:sz w:val="28"/>
          <w:szCs w:val="28"/>
          <w:lang w:val="lv-LV" w:eastAsia="lv-LV"/>
        </w:rPr>
      </w:pPr>
    </w:p>
    <w:p w:rsidR="00BB3D21" w:rsidRPr="008D45B0" w:rsidRDefault="00BB3D21" w:rsidP="000D343A">
      <w:pPr>
        <w:jc w:val="center"/>
        <w:rPr>
          <w:b/>
          <w:sz w:val="28"/>
          <w:szCs w:val="28"/>
          <w:lang w:val="lv-LV"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828"/>
        <w:gridCol w:w="5528"/>
      </w:tblGrid>
      <w:tr w:rsidR="00D45BAA" w:rsidRPr="005F771D" w:rsidTr="001B5ADF">
        <w:tc>
          <w:tcPr>
            <w:tcW w:w="9356" w:type="dxa"/>
            <w:gridSpan w:val="2"/>
            <w:vAlign w:val="center"/>
          </w:tcPr>
          <w:bookmarkEnd w:id="7"/>
          <w:bookmarkEnd w:id="8"/>
          <w:bookmarkEnd w:id="9"/>
          <w:p w:rsidR="00D45BAA" w:rsidRPr="008D45B0" w:rsidRDefault="00D45BAA" w:rsidP="000D343A">
            <w:pPr>
              <w:jc w:val="center"/>
              <w:rPr>
                <w:b/>
                <w:sz w:val="28"/>
                <w:szCs w:val="28"/>
                <w:lang w:val="lv-LV" w:eastAsia="lv-LV"/>
              </w:rPr>
            </w:pPr>
            <w:r w:rsidRPr="008D45B0">
              <w:rPr>
                <w:b/>
                <w:sz w:val="28"/>
                <w:szCs w:val="28"/>
                <w:lang w:val="lv-LV" w:eastAsia="lv-LV"/>
              </w:rPr>
              <w:t>I.Tiesību akta projekta izstrādes nepieciešamība</w:t>
            </w:r>
          </w:p>
        </w:tc>
      </w:tr>
      <w:tr w:rsidR="00D45BAA" w:rsidRPr="005F771D" w:rsidTr="00F655B2">
        <w:tc>
          <w:tcPr>
            <w:tcW w:w="3828" w:type="dxa"/>
          </w:tcPr>
          <w:p w:rsidR="00D45BAA" w:rsidRPr="008D45B0" w:rsidRDefault="00D45BAA" w:rsidP="000D343A">
            <w:pPr>
              <w:rPr>
                <w:sz w:val="28"/>
                <w:szCs w:val="28"/>
                <w:lang w:val="lv-LV" w:eastAsia="lv-LV"/>
              </w:rPr>
            </w:pPr>
            <w:r w:rsidRPr="008D45B0">
              <w:rPr>
                <w:sz w:val="28"/>
                <w:szCs w:val="28"/>
                <w:lang w:val="lv-LV" w:eastAsia="lv-LV"/>
              </w:rPr>
              <w:t>1. Pamatojums</w:t>
            </w:r>
          </w:p>
        </w:tc>
        <w:tc>
          <w:tcPr>
            <w:tcW w:w="5528" w:type="dxa"/>
          </w:tcPr>
          <w:p w:rsidR="007C1E82" w:rsidRPr="008D45B0" w:rsidRDefault="00BA4E13" w:rsidP="00BB3D21">
            <w:pPr>
              <w:spacing w:before="120" w:after="120"/>
              <w:ind w:firstLine="720"/>
              <w:jc w:val="both"/>
              <w:rPr>
                <w:sz w:val="28"/>
                <w:lang w:val="lv-LV"/>
              </w:rPr>
            </w:pPr>
            <w:r w:rsidRPr="008D45B0">
              <w:rPr>
                <w:sz w:val="28"/>
                <w:szCs w:val="28"/>
                <w:lang w:val="lv-LV"/>
              </w:rPr>
              <w:t>Tiesību akta projekts ir izstrādāts pamatojoties uz Eiropas Savienības struktūrfondu un Kohēzijas fonda vadības likuma 18.panta 10.punktu.</w:t>
            </w:r>
          </w:p>
        </w:tc>
      </w:tr>
      <w:tr w:rsidR="00D45BAA" w:rsidRPr="005F771D" w:rsidTr="00F655B2">
        <w:trPr>
          <w:trHeight w:val="360"/>
        </w:trPr>
        <w:tc>
          <w:tcPr>
            <w:tcW w:w="3828" w:type="dxa"/>
          </w:tcPr>
          <w:p w:rsidR="00D45BAA" w:rsidRPr="008D45B0" w:rsidRDefault="00D45BAA" w:rsidP="000D343A">
            <w:pPr>
              <w:rPr>
                <w:sz w:val="28"/>
                <w:szCs w:val="28"/>
                <w:lang w:val="lv-LV" w:eastAsia="lv-LV"/>
              </w:rPr>
            </w:pPr>
            <w:r w:rsidRPr="008D45B0">
              <w:rPr>
                <w:sz w:val="28"/>
                <w:szCs w:val="28"/>
                <w:lang w:val="lv-LV" w:eastAsia="lv-LV"/>
              </w:rPr>
              <w:t>2. Pašreizējā situācija un problēmas</w:t>
            </w:r>
          </w:p>
        </w:tc>
        <w:tc>
          <w:tcPr>
            <w:tcW w:w="5528" w:type="dxa"/>
          </w:tcPr>
          <w:p w:rsidR="00FA408F" w:rsidRPr="00F655B2" w:rsidRDefault="00FA408F" w:rsidP="00FA408F">
            <w:pPr>
              <w:jc w:val="both"/>
              <w:rPr>
                <w:bCs/>
                <w:sz w:val="28"/>
                <w:szCs w:val="28"/>
                <w:lang w:val="lv-LV"/>
              </w:rPr>
            </w:pPr>
            <w:r w:rsidRPr="008D45B0">
              <w:rPr>
                <w:bCs/>
                <w:sz w:val="28"/>
                <w:szCs w:val="28"/>
                <w:lang w:val="lv-LV"/>
              </w:rPr>
              <w:tab/>
            </w:r>
            <w:r w:rsidRPr="00F655B2">
              <w:rPr>
                <w:bCs/>
                <w:sz w:val="28"/>
                <w:szCs w:val="28"/>
                <w:lang w:val="lv-LV"/>
              </w:rPr>
              <w:t>Tranzīta un loģistikas nozarē komersantiem ir ierobežotas iespējas saņemt atbalstu, jo netiek piešķirts atbalsts iekraušanas, izkraušanas, pārkraušanas iekārtu iegādei.</w:t>
            </w:r>
          </w:p>
          <w:p w:rsidR="00FA408F" w:rsidRPr="00F655B2" w:rsidRDefault="00FA408F" w:rsidP="00FA408F">
            <w:pPr>
              <w:ind w:firstLine="34"/>
              <w:jc w:val="both"/>
              <w:rPr>
                <w:bCs/>
                <w:sz w:val="28"/>
                <w:szCs w:val="28"/>
                <w:lang w:val="lv-LV"/>
              </w:rPr>
            </w:pPr>
            <w:r w:rsidRPr="00F655B2">
              <w:rPr>
                <w:bCs/>
                <w:sz w:val="28"/>
                <w:szCs w:val="28"/>
                <w:lang w:val="lv-LV"/>
              </w:rPr>
              <w:tab/>
              <w:t xml:space="preserve">Starpposma pārskatā var iekļaut izmaksas par iekārtām, kuras nav finansējuma saņēmēja īpašumā Latvijā. T.i. tās tiek izgatavotas vai tiek transportētas, bet finansējuma saņēmējs par tām ir samaksājis pirmos maksājumus. </w:t>
            </w:r>
            <w:r w:rsidR="00E42A43" w:rsidRPr="00F655B2">
              <w:rPr>
                <w:bCs/>
                <w:sz w:val="28"/>
                <w:szCs w:val="28"/>
                <w:lang w:val="lv-LV"/>
              </w:rPr>
              <w:t>Kā rezultātā pastāv risks</w:t>
            </w:r>
            <w:r w:rsidRPr="00F655B2">
              <w:rPr>
                <w:bCs/>
                <w:sz w:val="28"/>
                <w:szCs w:val="28"/>
                <w:lang w:val="lv-LV"/>
              </w:rPr>
              <w:t xml:space="preserve">, ka sadarbības iestāde ir veikusi maksājumu finansējuma saņēmējam par pasūtīto iekārtu, bet </w:t>
            </w:r>
            <w:r w:rsidR="00E42A43" w:rsidRPr="00F655B2">
              <w:rPr>
                <w:bCs/>
                <w:sz w:val="28"/>
                <w:szCs w:val="28"/>
                <w:lang w:val="lv-LV"/>
              </w:rPr>
              <w:t>tā</w:t>
            </w:r>
            <w:r w:rsidRPr="00F655B2">
              <w:rPr>
                <w:bCs/>
                <w:sz w:val="28"/>
                <w:szCs w:val="28"/>
                <w:lang w:val="lv-LV"/>
              </w:rPr>
              <w:t xml:space="preserve"> netiks piegādāta. </w:t>
            </w:r>
          </w:p>
          <w:p w:rsidR="00FA408F" w:rsidRPr="00F655B2" w:rsidRDefault="00FA408F" w:rsidP="00FA408F">
            <w:pPr>
              <w:ind w:firstLine="34"/>
              <w:jc w:val="both"/>
              <w:rPr>
                <w:sz w:val="28"/>
                <w:szCs w:val="28"/>
                <w:lang w:val="lv-LV"/>
              </w:rPr>
            </w:pPr>
            <w:r w:rsidRPr="00F655B2">
              <w:rPr>
                <w:sz w:val="28"/>
                <w:szCs w:val="28"/>
                <w:lang w:val="lv-LV"/>
              </w:rPr>
              <w:tab/>
              <w:t>Lai noslēgtu līgumu ar sadarbības iestādi par projekta īstenošanu, projekta iesniedzējs iesniedz sadarbības iestādē kredītiestādes kredītkomitejas lēmumu par kredīta piešķiršanu projekta īstenošanai, līdz ar to var veidoties situācija, ka sadarbības iestāde noslēdz līgumu ar projekta iesniedzēju, bet kredītiestāde  nenoslēdz līgumu par kredīta piešķiršanu. Rezultātā projekta iesniedzējs nevar īstenot projektu, bet projektam piešķirtais atbalsts ir „iesaldēts”, jo to nevar piešķirt citam projektam.</w:t>
            </w:r>
          </w:p>
          <w:p w:rsidR="006D146C" w:rsidRPr="00F655B2" w:rsidRDefault="00FA408F" w:rsidP="00FA408F">
            <w:pPr>
              <w:spacing w:before="120" w:after="120"/>
              <w:ind w:firstLine="720"/>
              <w:jc w:val="both"/>
              <w:rPr>
                <w:bCs/>
                <w:sz w:val="28"/>
                <w:szCs w:val="28"/>
                <w:lang w:val="lv-LV"/>
              </w:rPr>
            </w:pPr>
            <w:r w:rsidRPr="00F655B2">
              <w:rPr>
                <w:bCs/>
                <w:sz w:val="28"/>
                <w:szCs w:val="28"/>
                <w:lang w:val="lv-LV"/>
              </w:rPr>
              <w:lastRenderedPageBreak/>
              <w:t xml:space="preserve">Projekta īstenošanas laikā finansējuma saņēmējs var saņemt avansa maksājumu, kas nepārsniedz 35 % no pieprasītā finansējuma apmēra. Lai saņemtu avansa maksājumu, finansējuma saņēmējs triju mēnešu laikā pēc līguma par projekta īstenošanu noslēgšanas iesniedz sadarbības iestādē bankas garantiju par avansa summu. Bankas garantijas termiņš nav īsāks par projekta īstenošanas termiņu. Līdz ar to veidojas situācija, ka avanss tiek segts ar pēdējā maksājuma pieprasījumu, kura izvērtēšanai ir nepieciešams laiks, </w:t>
            </w:r>
            <w:r w:rsidR="00E42A43" w:rsidRPr="00F655B2">
              <w:rPr>
                <w:bCs/>
                <w:sz w:val="28"/>
                <w:szCs w:val="28"/>
                <w:lang w:val="lv-LV"/>
              </w:rPr>
              <w:t xml:space="preserve">kā rezultātā </w:t>
            </w:r>
            <w:r w:rsidRPr="00F655B2">
              <w:rPr>
                <w:bCs/>
                <w:sz w:val="28"/>
                <w:szCs w:val="28"/>
                <w:lang w:val="lv-LV"/>
              </w:rPr>
              <w:t>bankas garantija beidzas pirms sadarbības iestāde ir izvērtējusi projekta noslēguma maksājumu.</w:t>
            </w:r>
          </w:p>
          <w:p w:rsidR="003F601B" w:rsidRPr="008D45B0" w:rsidRDefault="00AB3257" w:rsidP="00AB3257">
            <w:pPr>
              <w:ind w:firstLine="451"/>
              <w:jc w:val="both"/>
              <w:rPr>
                <w:b/>
                <w:sz w:val="28"/>
                <w:szCs w:val="28"/>
                <w:lang w:val="lv-LV"/>
              </w:rPr>
            </w:pPr>
            <w:r w:rsidRPr="00F655B2">
              <w:rPr>
                <w:sz w:val="28"/>
                <w:szCs w:val="28"/>
                <w:lang w:val="lv-LV"/>
              </w:rPr>
              <w:t>2.1.2.2.2.apakšaktivitātes projektu iesniegumu atlases pirmajā kārtā 15% no apstiprinātajiem projektiem tika pārtraukti, tādēļ, lai nodrošinātu 100% ES fondu līdzekļu apguvi, ir nepieciešams  apstiprināt vairāk projektus, līdz ar to apakšaktivitātes ietvaros ir nepieciešams piešķirt lielāku finansējumu.</w:t>
            </w:r>
          </w:p>
        </w:tc>
      </w:tr>
      <w:tr w:rsidR="00D45BAA" w:rsidRPr="008D45B0" w:rsidTr="00F655B2">
        <w:trPr>
          <w:trHeight w:val="360"/>
        </w:trPr>
        <w:tc>
          <w:tcPr>
            <w:tcW w:w="3828" w:type="dxa"/>
          </w:tcPr>
          <w:p w:rsidR="00D45BAA" w:rsidRPr="008D45B0" w:rsidRDefault="00D45BAA" w:rsidP="000D343A">
            <w:pPr>
              <w:rPr>
                <w:sz w:val="28"/>
                <w:szCs w:val="28"/>
                <w:lang w:val="lv-LV" w:eastAsia="lv-LV"/>
              </w:rPr>
            </w:pPr>
            <w:r w:rsidRPr="008D45B0">
              <w:rPr>
                <w:sz w:val="28"/>
                <w:szCs w:val="28"/>
                <w:lang w:val="lv-LV" w:eastAsia="lv-LV"/>
              </w:rPr>
              <w:lastRenderedPageBreak/>
              <w:t>3. Saistītie politikas ietekmes novērtējumi un pētījumi</w:t>
            </w:r>
          </w:p>
        </w:tc>
        <w:tc>
          <w:tcPr>
            <w:tcW w:w="5528" w:type="dxa"/>
          </w:tcPr>
          <w:p w:rsidR="007C1E82" w:rsidRPr="008D45B0" w:rsidRDefault="00D45BAA" w:rsidP="000D343A">
            <w:pPr>
              <w:ind w:firstLine="720"/>
              <w:jc w:val="both"/>
              <w:rPr>
                <w:color w:val="000000"/>
                <w:sz w:val="28"/>
                <w:szCs w:val="28"/>
                <w:lang w:val="lv-LV"/>
              </w:rPr>
            </w:pPr>
            <w:r w:rsidRPr="008D45B0">
              <w:rPr>
                <w:color w:val="000000"/>
                <w:sz w:val="28"/>
                <w:szCs w:val="28"/>
                <w:lang w:val="lv-LV"/>
              </w:rPr>
              <w:t>Nav.</w:t>
            </w:r>
          </w:p>
        </w:tc>
      </w:tr>
      <w:tr w:rsidR="00D45BAA" w:rsidRPr="005F771D" w:rsidTr="00F655B2">
        <w:trPr>
          <w:trHeight w:val="366"/>
        </w:trPr>
        <w:tc>
          <w:tcPr>
            <w:tcW w:w="3828" w:type="dxa"/>
          </w:tcPr>
          <w:p w:rsidR="00D45BAA" w:rsidRPr="008D45B0" w:rsidRDefault="00D45BAA" w:rsidP="000D343A">
            <w:pPr>
              <w:rPr>
                <w:sz w:val="28"/>
                <w:szCs w:val="28"/>
                <w:lang w:val="lv-LV" w:eastAsia="lv-LV"/>
              </w:rPr>
            </w:pPr>
            <w:r w:rsidRPr="008D45B0">
              <w:rPr>
                <w:sz w:val="28"/>
                <w:szCs w:val="28"/>
                <w:lang w:val="lv-LV" w:eastAsia="lv-LV"/>
              </w:rPr>
              <w:t>4. Tiesiskā regulējuma mērķis un būtība</w:t>
            </w:r>
          </w:p>
        </w:tc>
        <w:tc>
          <w:tcPr>
            <w:tcW w:w="5528" w:type="dxa"/>
          </w:tcPr>
          <w:p w:rsidR="00CE3984" w:rsidRPr="00F655B2" w:rsidRDefault="00CE3984" w:rsidP="00BB3D21">
            <w:pPr>
              <w:spacing w:before="120" w:after="120"/>
              <w:ind w:firstLine="720"/>
              <w:jc w:val="both"/>
              <w:rPr>
                <w:sz w:val="28"/>
                <w:lang w:val="lv-LV"/>
              </w:rPr>
            </w:pPr>
            <w:r w:rsidRPr="00F655B2">
              <w:rPr>
                <w:sz w:val="28"/>
                <w:lang w:val="lv-LV"/>
              </w:rPr>
              <w:t xml:space="preserve">Svītrot </w:t>
            </w:r>
            <w:r w:rsidR="00436765" w:rsidRPr="00F655B2">
              <w:rPr>
                <w:sz w:val="28"/>
                <w:lang w:val="lv-LV"/>
              </w:rPr>
              <w:t>iekraušanas, izkraušanas, pārkraušanas iekārtu izmaksas no neattiecināmajām izmaksām. Joprojām atbalsts netiek piešķirts jebkāda veida pārvietojamās tehnikas, transportlīdzekļu un kuģošanas līdzekļu iegāde</w:t>
            </w:r>
            <w:r w:rsidR="004A3F20" w:rsidRPr="00F655B2">
              <w:rPr>
                <w:sz w:val="28"/>
                <w:lang w:val="lv-LV"/>
              </w:rPr>
              <w:t>i</w:t>
            </w:r>
            <w:r w:rsidR="00436765" w:rsidRPr="00F655B2">
              <w:rPr>
                <w:sz w:val="28"/>
                <w:lang w:val="lv-LV"/>
              </w:rPr>
              <w:t xml:space="preserve">, ja tiem saskaņā ar Ceļu satiksmes likumu ir nepieciešama reģistrācija Ceļu satiksmes drošības direkcijā vai Valsts tehniskās uzraudzības aģentūras Traktortehnikas reģistrā vai ja tie tiek reģistrēti Civilās aviācijas aģentūras Gaisa kuģu reģistrā vai kādā no Latvijas Jūras administrācijas kuģu reģistriem, vai ja uz tiem attiecas Latvijas Republikas normatīvie akti par kuģošanas līdzekļu satiksmi </w:t>
            </w:r>
            <w:r w:rsidR="00436765" w:rsidRPr="00F655B2">
              <w:rPr>
                <w:sz w:val="28"/>
                <w:lang w:val="lv-LV"/>
              </w:rPr>
              <w:lastRenderedPageBreak/>
              <w:t>iekšējos ūdeņos</w:t>
            </w:r>
            <w:r w:rsidR="004A3F20" w:rsidRPr="00F655B2">
              <w:rPr>
                <w:sz w:val="28"/>
                <w:lang w:val="lv-LV"/>
              </w:rPr>
              <w:t>.</w:t>
            </w:r>
          </w:p>
          <w:p w:rsidR="004A3F20" w:rsidRPr="00F655B2" w:rsidRDefault="004A3F20" w:rsidP="00BB3D21">
            <w:pPr>
              <w:spacing w:before="120" w:after="120"/>
              <w:ind w:firstLine="720"/>
              <w:jc w:val="both"/>
              <w:rPr>
                <w:sz w:val="28"/>
                <w:lang w:val="lv-LV"/>
              </w:rPr>
            </w:pPr>
            <w:r w:rsidRPr="00F655B2">
              <w:rPr>
                <w:sz w:val="28"/>
                <w:lang w:val="lv-LV"/>
              </w:rPr>
              <w:t>Attiecināmajās izmaksās iekļauj tikai tos sākotnējos ieguldījumus, par kuriem projekta noslēguma vai starpposma pārskata iesniegšanas dienā būs pilnībā samaksāts, kuri būs finansējuma saņēmēja īpašumā Latvijā un kuri tiks izmantoti projektā paredzētās saimnieciskās darbības veikšanai. Starpposma pārskatā attiecināmajās izmaksās var iekļaut atbilstoši projekta iesniegumam faktiski veiktos izdevumus, ja tie neatbilst augstāk minētajām prasībām, bet par attiecīgo finansējuma apmēru ir iesniegta bankas garantija, kuras termiņš ir vismaz divi mēneši pēc līgumā par projekta īstenošanu noteiktā projekta pabeigšanas datuma.</w:t>
            </w:r>
          </w:p>
          <w:p w:rsidR="004A3F20" w:rsidRPr="00F655B2" w:rsidRDefault="004A3F20" w:rsidP="004A3F20">
            <w:pPr>
              <w:spacing w:before="120" w:after="120"/>
              <w:ind w:firstLine="720"/>
              <w:jc w:val="both"/>
              <w:rPr>
                <w:sz w:val="28"/>
                <w:szCs w:val="28"/>
                <w:lang w:val="lv-LV"/>
              </w:rPr>
            </w:pPr>
            <w:r w:rsidRPr="00F655B2">
              <w:rPr>
                <w:sz w:val="28"/>
                <w:szCs w:val="28"/>
                <w:lang w:val="lv-LV"/>
              </w:rPr>
              <w:t xml:space="preserve">Lai veicinātu efektīvu </w:t>
            </w:r>
            <w:r w:rsidRPr="00F655B2">
              <w:rPr>
                <w:sz w:val="28"/>
                <w:lang w:val="lv-LV"/>
              </w:rPr>
              <w:t xml:space="preserve">Eiropas Savienības struktūrfondu apguvi ir nepieciešams grozīt prasību, ka projekta iesniedzējam, lai noslēgtu līgumu </w:t>
            </w:r>
            <w:r w:rsidRPr="00F655B2">
              <w:rPr>
                <w:sz w:val="28"/>
                <w:szCs w:val="28"/>
                <w:lang w:val="lv-LV"/>
              </w:rPr>
              <w:t>ar sadarbības iestādi par projekta īstenošanu, projekta iesniedzējs iesniedz sadarbības iestādē kredītiestādes kredītkomitejas lēmumu par kredīta piešķiršanu projekta īstenošanai. Minētā prasība ir nepieciešams aizstāt ar prasību, ka projekta iesniedzējs,</w:t>
            </w:r>
            <w:r w:rsidRPr="00F655B2">
              <w:rPr>
                <w:sz w:val="28"/>
                <w:lang w:val="lv-LV"/>
              </w:rPr>
              <w:t xml:space="preserve"> lai noslēgtu līgumu </w:t>
            </w:r>
            <w:r w:rsidRPr="00F655B2">
              <w:rPr>
                <w:sz w:val="28"/>
                <w:szCs w:val="28"/>
                <w:lang w:val="lv-LV"/>
              </w:rPr>
              <w:t>ar sadarbības iestādi par projekta īstenošanu, projekta iesniedzējs iesniedz sadarbības iestādē līgumu, kas noslēgts ar kredītiestādi par kredīta piešķiršanu projekta īstenošanai.</w:t>
            </w:r>
          </w:p>
          <w:p w:rsidR="00FA408F" w:rsidRPr="00F655B2" w:rsidRDefault="00FA408F" w:rsidP="004A3F20">
            <w:pPr>
              <w:spacing w:before="120" w:after="120"/>
              <w:ind w:firstLine="720"/>
              <w:jc w:val="both"/>
              <w:rPr>
                <w:sz w:val="28"/>
                <w:szCs w:val="28"/>
                <w:lang w:val="lv-LV"/>
              </w:rPr>
            </w:pPr>
            <w:r w:rsidRPr="00F655B2">
              <w:rPr>
                <w:sz w:val="28"/>
                <w:szCs w:val="28"/>
                <w:lang w:val="lv-LV"/>
              </w:rPr>
              <w:t>Finansējuma saņēmējam pēc projekta apstiprināšanas un pirms līguma slēgšanas ar sadarbības iestādi ir nepieciešams laiks</w:t>
            </w:r>
            <w:r w:rsidR="00E42A43" w:rsidRPr="00F655B2">
              <w:rPr>
                <w:sz w:val="28"/>
                <w:szCs w:val="28"/>
                <w:lang w:val="lv-LV"/>
              </w:rPr>
              <w:t>,</w:t>
            </w:r>
            <w:r w:rsidRPr="00F655B2">
              <w:rPr>
                <w:sz w:val="28"/>
                <w:szCs w:val="28"/>
                <w:lang w:val="lv-LV"/>
              </w:rPr>
              <w:t xml:space="preserve"> kamēr kredītiestāde izskata pieteikumu un noslēdz līgumu par kredīta piešķiršanu. Ja sadarbības iestāde apstiprina projekta iesniegumu bez nosacījumiem, tad termiņš līguma ar kredītiestādi iesniegšanai tiek paredzēts divi mēneši pēc sadarbības iestādes uzaicinājuma </w:t>
            </w:r>
            <w:r w:rsidRPr="00F655B2">
              <w:rPr>
                <w:sz w:val="28"/>
                <w:szCs w:val="28"/>
                <w:lang w:val="lv-LV"/>
              </w:rPr>
              <w:lastRenderedPageBreak/>
              <w:t>noslēgt līgumu. Ja sadarbības iestāde apstiprina projekta iesniegumu ar nosacījumiem, tad termiņš līgumam ar kredītiestādi iesniegšanai tiek paredzēts divas nedēļas pēc sadarbības iestādes uzaicinājuma noslēgt līgumu, jo sarunas ar banku par kredīta piešķiršanu var veikt paralēli ar sadarbības iestādes nosacījumu izpildi. Sadarbības iestādes nosacījumu izpildei ir atvēlēti divi mēneši, kā arī divi mēneši ir atvēlēti sadarbības iestādei, lai izvērtētu vai nosacījumi ir izpildīti.</w:t>
            </w:r>
          </w:p>
          <w:p w:rsidR="007C1E82" w:rsidRPr="00F655B2" w:rsidRDefault="00436765" w:rsidP="007574BB">
            <w:pPr>
              <w:spacing w:before="120" w:after="120"/>
              <w:ind w:firstLine="720"/>
              <w:jc w:val="both"/>
              <w:rPr>
                <w:sz w:val="28"/>
                <w:szCs w:val="28"/>
                <w:lang w:val="lv-LV"/>
              </w:rPr>
            </w:pPr>
            <w:r w:rsidRPr="00F655B2">
              <w:rPr>
                <w:bCs/>
                <w:sz w:val="28"/>
                <w:szCs w:val="28"/>
                <w:lang w:val="lv-LV"/>
              </w:rPr>
              <w:t xml:space="preserve">Ņemot vērā, ka pēc projekta īstenošanas pabeigšanas sadarbības iestādei ir nepieciešams laiks un tas ir noteikts normatīvajos aktos un līgumā par projekta īstenošanu, kurā jāizvērtē noslēguma pārskats un jāapstiprina maksājuma pieprasījums, tad avansa maksājuma garantijas termiņam ir praktiska un finansiāla nodrošinājuma nozīme tikai tad, ja šis garantijas darbības laiks pārsniedz projekta īstenošanas un izdevumu apstiprināšanas termiņu, līdz ar to ir nepieciešams noteikt, ka </w:t>
            </w:r>
            <w:r w:rsidRPr="00F655B2">
              <w:rPr>
                <w:sz w:val="28"/>
                <w:szCs w:val="28"/>
                <w:lang w:val="lv-LV"/>
              </w:rPr>
              <w:t>Bankas garantijas termiņš nav īsāks par diviem mēnešiem pēc līgumā par projekta īstenošanu noteiktā projekta pabeigšanas datuma.</w:t>
            </w:r>
          </w:p>
          <w:p w:rsidR="002A7153" w:rsidRPr="008D45B0" w:rsidRDefault="002A7153" w:rsidP="002A7153">
            <w:pPr>
              <w:ind w:firstLine="451"/>
              <w:jc w:val="both"/>
              <w:rPr>
                <w:sz w:val="28"/>
                <w:szCs w:val="28"/>
                <w:lang w:val="lv-LV"/>
              </w:rPr>
            </w:pPr>
            <w:r w:rsidRPr="00F655B2">
              <w:rPr>
                <w:sz w:val="28"/>
                <w:szCs w:val="28"/>
                <w:lang w:val="lv-LV"/>
              </w:rPr>
              <w:t>Darbības programmas „Uzņēmējdarbība un inovācijas” 2.1.2.2.2.apakšaktivitātes „Jaunu produktu un tehnoloģiju izstrāde – atbalsts jaunu produktu un tehnoloģiju ieviešanai ražošanā” projektu iesniegumu atlases otrajai kārtā pieejamais finansējums ir 34 023 106 lati. Noteikumu projekts paredz uzņemties virssaistības 3 402 311 latu apmērā, kas sastāda 10% no pieejamā finansējuma otrajai kārtai.</w:t>
            </w:r>
          </w:p>
        </w:tc>
      </w:tr>
      <w:tr w:rsidR="00D45BAA" w:rsidRPr="008D45B0" w:rsidTr="00F655B2">
        <w:tc>
          <w:tcPr>
            <w:tcW w:w="3828" w:type="dxa"/>
          </w:tcPr>
          <w:p w:rsidR="00D45BAA" w:rsidRPr="008D45B0" w:rsidRDefault="00D45BAA" w:rsidP="000D343A">
            <w:pPr>
              <w:rPr>
                <w:sz w:val="28"/>
                <w:szCs w:val="28"/>
                <w:lang w:val="lv-LV" w:eastAsia="lv-LV"/>
              </w:rPr>
            </w:pPr>
            <w:r w:rsidRPr="008D45B0">
              <w:rPr>
                <w:sz w:val="28"/>
                <w:szCs w:val="28"/>
                <w:lang w:val="lv-LV" w:eastAsia="lv-LV"/>
              </w:rPr>
              <w:lastRenderedPageBreak/>
              <w:t>5. Projekta izstrādē iesaistītās institūcijas</w:t>
            </w:r>
          </w:p>
        </w:tc>
        <w:tc>
          <w:tcPr>
            <w:tcW w:w="5528" w:type="dxa"/>
          </w:tcPr>
          <w:p w:rsidR="007C1E82" w:rsidRPr="008D45B0" w:rsidRDefault="003357A1" w:rsidP="009C6B3F">
            <w:pPr>
              <w:pStyle w:val="BodyText"/>
              <w:ind w:right="142"/>
              <w:rPr>
                <w:szCs w:val="28"/>
              </w:rPr>
            </w:pPr>
            <w:r w:rsidRPr="008D45B0">
              <w:rPr>
                <w:szCs w:val="28"/>
              </w:rPr>
              <w:t>Projekts šo jomu neskar</w:t>
            </w:r>
            <w:r w:rsidR="00E32DD6" w:rsidRPr="008D45B0">
              <w:rPr>
                <w:szCs w:val="28"/>
              </w:rPr>
              <w:t>.</w:t>
            </w:r>
          </w:p>
        </w:tc>
      </w:tr>
      <w:tr w:rsidR="00D45BAA" w:rsidRPr="008D45B0" w:rsidTr="00F655B2">
        <w:tc>
          <w:tcPr>
            <w:tcW w:w="3828" w:type="dxa"/>
          </w:tcPr>
          <w:p w:rsidR="00D45BAA" w:rsidRPr="008D45B0" w:rsidRDefault="00D45BAA" w:rsidP="000D343A">
            <w:pPr>
              <w:rPr>
                <w:sz w:val="28"/>
                <w:szCs w:val="28"/>
                <w:lang w:val="lv-LV" w:eastAsia="lv-LV"/>
              </w:rPr>
            </w:pPr>
            <w:r w:rsidRPr="008D45B0">
              <w:rPr>
                <w:sz w:val="28"/>
                <w:szCs w:val="28"/>
                <w:lang w:val="lv-LV" w:eastAsia="lv-LV"/>
              </w:rPr>
              <w:t>6. Iemesli, kādēļ netika nodrošināta sabiedrības līdzdalība</w:t>
            </w:r>
          </w:p>
        </w:tc>
        <w:tc>
          <w:tcPr>
            <w:tcW w:w="5528" w:type="dxa"/>
          </w:tcPr>
          <w:p w:rsidR="007C1E82" w:rsidRPr="008D45B0" w:rsidRDefault="003357A1" w:rsidP="009C6B3F">
            <w:pPr>
              <w:pStyle w:val="BodyText"/>
              <w:ind w:right="142"/>
              <w:rPr>
                <w:szCs w:val="28"/>
              </w:rPr>
            </w:pPr>
            <w:r w:rsidRPr="008D45B0">
              <w:rPr>
                <w:szCs w:val="28"/>
              </w:rPr>
              <w:t>Projekts šo jomu neskar</w:t>
            </w:r>
            <w:r w:rsidR="00D45BAA" w:rsidRPr="008D45B0">
              <w:rPr>
                <w:szCs w:val="28"/>
              </w:rPr>
              <w:t>.</w:t>
            </w:r>
          </w:p>
        </w:tc>
      </w:tr>
      <w:tr w:rsidR="00D45BAA" w:rsidRPr="008D45B0" w:rsidTr="00F655B2">
        <w:tc>
          <w:tcPr>
            <w:tcW w:w="3828" w:type="dxa"/>
          </w:tcPr>
          <w:p w:rsidR="00D45BAA" w:rsidRPr="008D45B0" w:rsidRDefault="00D45BAA" w:rsidP="000D343A">
            <w:pPr>
              <w:rPr>
                <w:sz w:val="28"/>
                <w:szCs w:val="28"/>
                <w:lang w:val="lv-LV" w:eastAsia="lv-LV"/>
              </w:rPr>
            </w:pPr>
            <w:r w:rsidRPr="008D45B0">
              <w:rPr>
                <w:sz w:val="28"/>
                <w:szCs w:val="28"/>
                <w:lang w:val="lv-LV" w:eastAsia="lv-LV"/>
              </w:rPr>
              <w:lastRenderedPageBreak/>
              <w:t> 7. Cita informācija</w:t>
            </w:r>
          </w:p>
        </w:tc>
        <w:tc>
          <w:tcPr>
            <w:tcW w:w="5528" w:type="dxa"/>
          </w:tcPr>
          <w:p w:rsidR="007C1E82" w:rsidRPr="008D45B0" w:rsidRDefault="00D45BAA" w:rsidP="009C6B3F">
            <w:pPr>
              <w:jc w:val="both"/>
              <w:rPr>
                <w:sz w:val="28"/>
                <w:szCs w:val="28"/>
                <w:lang w:val="lv-LV"/>
              </w:rPr>
            </w:pPr>
            <w:r w:rsidRPr="008D45B0">
              <w:rPr>
                <w:sz w:val="28"/>
                <w:szCs w:val="28"/>
                <w:lang w:val="lv-LV"/>
              </w:rPr>
              <w:t>Nav.</w:t>
            </w:r>
          </w:p>
        </w:tc>
      </w:tr>
    </w:tbl>
    <w:p w:rsidR="00D45BAA" w:rsidRPr="008D45B0" w:rsidRDefault="00D45BAA" w:rsidP="000D343A">
      <w:pPr>
        <w:pStyle w:val="NormalWeb"/>
        <w:spacing w:before="0" w:beforeAutospacing="0" w:after="0" w:afterAutospacing="0"/>
        <w:rPr>
          <w:b/>
          <w:sz w:val="28"/>
          <w:szCs w:val="28"/>
          <w:lang w:val="lv-LV"/>
        </w:rPr>
      </w:pPr>
    </w:p>
    <w:p w:rsidR="00C534B1" w:rsidRPr="008D45B0" w:rsidRDefault="00D45BAA" w:rsidP="000D343A">
      <w:pPr>
        <w:pStyle w:val="NormalWeb"/>
        <w:spacing w:before="0" w:beforeAutospacing="0" w:after="0" w:afterAutospacing="0"/>
        <w:jc w:val="center"/>
        <w:rPr>
          <w:b/>
          <w:sz w:val="28"/>
          <w:szCs w:val="28"/>
          <w:lang w:val="lv-LV"/>
        </w:rPr>
      </w:pPr>
      <w:r w:rsidRPr="008D45B0">
        <w:rPr>
          <w:b/>
          <w:sz w:val="28"/>
          <w:szCs w:val="28"/>
          <w:lang w:val="lv-LV"/>
        </w:rPr>
        <w:t xml:space="preserve">Anotācijas </w:t>
      </w:r>
      <w:r w:rsidR="00C534B1" w:rsidRPr="008D45B0">
        <w:rPr>
          <w:b/>
          <w:sz w:val="28"/>
          <w:szCs w:val="28"/>
          <w:lang w:val="lv-LV"/>
        </w:rPr>
        <w:t>II sadaļa – projekts šo jomu neskar.</w:t>
      </w:r>
    </w:p>
    <w:p w:rsidR="00C534B1" w:rsidRPr="008D45B0" w:rsidRDefault="00C534B1" w:rsidP="000D343A">
      <w:pPr>
        <w:pStyle w:val="NormalWeb"/>
        <w:spacing w:before="0" w:beforeAutospacing="0" w:after="0" w:afterAutospacing="0"/>
        <w:jc w:val="center"/>
        <w:rPr>
          <w:b/>
          <w:sz w:val="28"/>
          <w:szCs w:val="28"/>
          <w:lang w:val="lv-LV"/>
        </w:rPr>
      </w:pPr>
    </w:p>
    <w:tbl>
      <w:tblPr>
        <w:tblW w:w="5041"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000"/>
      </w:tblPr>
      <w:tblGrid>
        <w:gridCol w:w="2695"/>
        <w:gridCol w:w="1375"/>
        <w:gridCol w:w="1355"/>
        <w:gridCol w:w="1514"/>
        <w:gridCol w:w="1417"/>
        <w:gridCol w:w="926"/>
        <w:gridCol w:w="75"/>
      </w:tblGrid>
      <w:tr w:rsidR="00C534B1" w:rsidRPr="005F771D" w:rsidTr="00C534B1">
        <w:trPr>
          <w:trHeight w:val="432"/>
        </w:trPr>
        <w:tc>
          <w:tcPr>
            <w:tcW w:w="5000" w:type="pct"/>
            <w:gridSpan w:val="7"/>
            <w:vAlign w:val="center"/>
          </w:tcPr>
          <w:p w:rsidR="00C534B1" w:rsidRPr="008D45B0" w:rsidRDefault="00C534B1" w:rsidP="009F53CC">
            <w:pPr>
              <w:jc w:val="center"/>
              <w:rPr>
                <w:b/>
                <w:sz w:val="28"/>
                <w:szCs w:val="28"/>
                <w:lang w:val="lv-LV"/>
              </w:rPr>
            </w:pPr>
            <w:r w:rsidRPr="008D45B0">
              <w:rPr>
                <w:b/>
                <w:sz w:val="28"/>
                <w:szCs w:val="28"/>
                <w:lang w:val="lv-LV"/>
              </w:rPr>
              <w:br w:type="page"/>
              <w:t>III. Tiesību akta projekta ietekme uz valsts budžetu un pašvaldību budžetiem</w:t>
            </w:r>
          </w:p>
        </w:tc>
      </w:tr>
      <w:tr w:rsidR="00C534B1" w:rsidRPr="005F771D" w:rsidTr="00F655B2">
        <w:tblPrEx>
          <w:jc w:val="center"/>
          <w:tblCellMar>
            <w:top w:w="0" w:type="dxa"/>
            <w:left w:w="108" w:type="dxa"/>
            <w:bottom w:w="0" w:type="dxa"/>
            <w:right w:w="108" w:type="dxa"/>
          </w:tblCellMar>
          <w:tblLook w:val="01E0"/>
        </w:tblPrEx>
        <w:trPr>
          <w:gridAfter w:val="1"/>
          <w:wAfter w:w="40" w:type="pct"/>
          <w:jc w:val="center"/>
        </w:trPr>
        <w:tc>
          <w:tcPr>
            <w:tcW w:w="1440" w:type="pct"/>
            <w:vMerge w:val="restart"/>
            <w:vAlign w:val="center"/>
          </w:tcPr>
          <w:p w:rsidR="00C534B1" w:rsidRPr="008D45B0" w:rsidRDefault="00C534B1" w:rsidP="009F53CC">
            <w:pPr>
              <w:pStyle w:val="naisf"/>
              <w:spacing w:before="0" w:after="0"/>
              <w:jc w:val="center"/>
              <w:rPr>
                <w:b/>
                <w:sz w:val="28"/>
                <w:szCs w:val="28"/>
              </w:rPr>
            </w:pPr>
            <w:r w:rsidRPr="008D45B0">
              <w:rPr>
                <w:b/>
                <w:sz w:val="28"/>
                <w:szCs w:val="28"/>
              </w:rPr>
              <w:t>Rādītāji</w:t>
            </w:r>
          </w:p>
        </w:tc>
        <w:tc>
          <w:tcPr>
            <w:tcW w:w="1459" w:type="pct"/>
            <w:gridSpan w:val="2"/>
            <w:vMerge w:val="restart"/>
            <w:vAlign w:val="center"/>
          </w:tcPr>
          <w:p w:rsidR="00C534B1" w:rsidRPr="008D45B0" w:rsidRDefault="00A5124A" w:rsidP="009F53CC">
            <w:pPr>
              <w:pStyle w:val="naisf"/>
              <w:spacing w:before="0" w:after="0"/>
              <w:jc w:val="center"/>
              <w:rPr>
                <w:b/>
                <w:sz w:val="28"/>
                <w:szCs w:val="28"/>
              </w:rPr>
            </w:pPr>
            <w:r w:rsidRPr="008D45B0">
              <w:rPr>
                <w:b/>
                <w:sz w:val="28"/>
                <w:szCs w:val="28"/>
              </w:rPr>
              <w:t>2011</w:t>
            </w:r>
            <w:r w:rsidR="00C534B1" w:rsidRPr="008D45B0">
              <w:rPr>
                <w:b/>
                <w:sz w:val="28"/>
                <w:szCs w:val="28"/>
              </w:rPr>
              <w:t>.</w:t>
            </w:r>
          </w:p>
        </w:tc>
        <w:tc>
          <w:tcPr>
            <w:tcW w:w="2061" w:type="pct"/>
            <w:gridSpan w:val="3"/>
            <w:vAlign w:val="center"/>
          </w:tcPr>
          <w:p w:rsidR="00C534B1" w:rsidRPr="008D45B0" w:rsidRDefault="00C534B1" w:rsidP="009F53CC">
            <w:pPr>
              <w:pStyle w:val="naisf"/>
              <w:spacing w:before="0" w:after="0"/>
              <w:jc w:val="center"/>
              <w:rPr>
                <w:b/>
                <w:i/>
                <w:sz w:val="28"/>
                <w:szCs w:val="28"/>
              </w:rPr>
            </w:pPr>
            <w:r w:rsidRPr="008D45B0">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8D45B0">
                <w:rPr>
                  <w:sz w:val="28"/>
                  <w:szCs w:val="28"/>
                </w:rPr>
                <w:t>. latu</w:t>
              </w:r>
            </w:smartTag>
            <w:r w:rsidRPr="008D45B0">
              <w:rPr>
                <w:sz w:val="28"/>
                <w:szCs w:val="28"/>
              </w:rPr>
              <w:t>)</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vAlign w:val="center"/>
          </w:tcPr>
          <w:p w:rsidR="00C534B1" w:rsidRPr="008D45B0" w:rsidRDefault="00C534B1" w:rsidP="009F53CC">
            <w:pPr>
              <w:pStyle w:val="naisf"/>
              <w:spacing w:before="0" w:after="0"/>
              <w:jc w:val="center"/>
              <w:rPr>
                <w:b/>
                <w:i/>
                <w:sz w:val="28"/>
                <w:szCs w:val="28"/>
              </w:rPr>
            </w:pPr>
          </w:p>
        </w:tc>
        <w:tc>
          <w:tcPr>
            <w:tcW w:w="1459" w:type="pct"/>
            <w:gridSpan w:val="2"/>
            <w:vMerge/>
            <w:vAlign w:val="center"/>
          </w:tcPr>
          <w:p w:rsidR="00C534B1" w:rsidRPr="008D45B0" w:rsidRDefault="00C534B1" w:rsidP="009F53CC">
            <w:pPr>
              <w:pStyle w:val="naisf"/>
              <w:spacing w:before="0" w:after="0"/>
              <w:jc w:val="center"/>
              <w:rPr>
                <w:b/>
                <w:i/>
                <w:sz w:val="28"/>
                <w:szCs w:val="28"/>
              </w:rPr>
            </w:pPr>
          </w:p>
        </w:tc>
        <w:tc>
          <w:tcPr>
            <w:tcW w:w="809" w:type="pct"/>
            <w:vAlign w:val="center"/>
          </w:tcPr>
          <w:p w:rsidR="00C534B1" w:rsidRPr="008D45B0" w:rsidRDefault="00A5124A" w:rsidP="009F53CC">
            <w:pPr>
              <w:pStyle w:val="naisf"/>
              <w:spacing w:before="0" w:after="0"/>
              <w:jc w:val="center"/>
              <w:rPr>
                <w:b/>
                <w:i/>
                <w:sz w:val="28"/>
                <w:szCs w:val="28"/>
              </w:rPr>
            </w:pPr>
            <w:r w:rsidRPr="008D45B0">
              <w:rPr>
                <w:b/>
                <w:bCs/>
                <w:sz w:val="28"/>
                <w:szCs w:val="28"/>
              </w:rPr>
              <w:t>2012</w:t>
            </w:r>
            <w:r w:rsidR="00C534B1" w:rsidRPr="008D45B0">
              <w:rPr>
                <w:b/>
                <w:bCs/>
                <w:sz w:val="28"/>
                <w:szCs w:val="28"/>
              </w:rPr>
              <w:t>.</w:t>
            </w:r>
          </w:p>
        </w:tc>
        <w:tc>
          <w:tcPr>
            <w:tcW w:w="757" w:type="pct"/>
            <w:vAlign w:val="center"/>
          </w:tcPr>
          <w:p w:rsidR="00C534B1" w:rsidRPr="008D45B0" w:rsidRDefault="00A5124A" w:rsidP="00C534B1">
            <w:pPr>
              <w:pStyle w:val="naisf"/>
              <w:spacing w:before="0" w:after="0"/>
              <w:ind w:firstLine="0"/>
              <w:jc w:val="center"/>
              <w:rPr>
                <w:b/>
                <w:i/>
                <w:sz w:val="28"/>
                <w:szCs w:val="28"/>
              </w:rPr>
            </w:pPr>
            <w:r w:rsidRPr="008D45B0">
              <w:rPr>
                <w:b/>
                <w:bCs/>
                <w:sz w:val="28"/>
                <w:szCs w:val="28"/>
              </w:rPr>
              <w:t>2013</w:t>
            </w:r>
            <w:r w:rsidR="00C534B1" w:rsidRPr="008D45B0">
              <w:rPr>
                <w:b/>
                <w:bCs/>
                <w:sz w:val="28"/>
                <w:szCs w:val="28"/>
              </w:rPr>
              <w:t>.</w:t>
            </w:r>
          </w:p>
        </w:tc>
        <w:tc>
          <w:tcPr>
            <w:tcW w:w="495" w:type="pct"/>
            <w:vAlign w:val="center"/>
          </w:tcPr>
          <w:p w:rsidR="00C534B1" w:rsidRPr="008D45B0" w:rsidRDefault="00A5124A" w:rsidP="00C534B1">
            <w:pPr>
              <w:pStyle w:val="naisf"/>
              <w:spacing w:before="0" w:after="0"/>
              <w:ind w:firstLine="0"/>
              <w:jc w:val="center"/>
              <w:rPr>
                <w:b/>
                <w:i/>
                <w:sz w:val="28"/>
                <w:szCs w:val="28"/>
              </w:rPr>
            </w:pPr>
            <w:r w:rsidRPr="008D45B0">
              <w:rPr>
                <w:b/>
                <w:bCs/>
                <w:sz w:val="28"/>
                <w:szCs w:val="28"/>
              </w:rPr>
              <w:t>2014</w:t>
            </w:r>
            <w:r w:rsidR="00C534B1" w:rsidRPr="008D45B0">
              <w:rPr>
                <w:b/>
                <w:bCs/>
                <w:sz w:val="28"/>
                <w:szCs w:val="28"/>
              </w:rPr>
              <w:t>.</w:t>
            </w:r>
          </w:p>
        </w:tc>
      </w:tr>
      <w:tr w:rsidR="00C534B1" w:rsidRPr="005F771D"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vAlign w:val="center"/>
          </w:tcPr>
          <w:p w:rsidR="00C534B1" w:rsidRPr="008D45B0" w:rsidRDefault="00C534B1" w:rsidP="009F53CC">
            <w:pPr>
              <w:pStyle w:val="naisf"/>
              <w:spacing w:before="0" w:after="0"/>
              <w:jc w:val="center"/>
              <w:rPr>
                <w:b/>
                <w:i/>
                <w:sz w:val="28"/>
                <w:szCs w:val="28"/>
              </w:rPr>
            </w:pPr>
          </w:p>
        </w:tc>
        <w:tc>
          <w:tcPr>
            <w:tcW w:w="735" w:type="pct"/>
            <w:vAlign w:val="center"/>
          </w:tcPr>
          <w:p w:rsidR="00C534B1" w:rsidRPr="008D45B0" w:rsidRDefault="00C534B1" w:rsidP="00C534B1">
            <w:pPr>
              <w:pStyle w:val="naisf"/>
              <w:spacing w:before="0" w:after="0"/>
              <w:ind w:firstLine="0"/>
              <w:jc w:val="center"/>
              <w:rPr>
                <w:b/>
                <w:i/>
                <w:sz w:val="28"/>
                <w:szCs w:val="28"/>
              </w:rPr>
            </w:pPr>
            <w:r w:rsidRPr="008D45B0">
              <w:rPr>
                <w:sz w:val="28"/>
                <w:szCs w:val="28"/>
              </w:rPr>
              <w:t>Saskaņā ar valsts budžetu kārtējam gadam</w:t>
            </w:r>
          </w:p>
        </w:tc>
        <w:tc>
          <w:tcPr>
            <w:tcW w:w="724" w:type="pct"/>
            <w:vAlign w:val="center"/>
          </w:tcPr>
          <w:p w:rsidR="00C534B1" w:rsidRPr="008D45B0" w:rsidRDefault="00C534B1" w:rsidP="00C534B1">
            <w:pPr>
              <w:pStyle w:val="naisf"/>
              <w:spacing w:before="0" w:after="0"/>
              <w:ind w:firstLine="0"/>
              <w:jc w:val="center"/>
              <w:rPr>
                <w:b/>
                <w:i/>
                <w:sz w:val="28"/>
                <w:szCs w:val="28"/>
              </w:rPr>
            </w:pPr>
            <w:r w:rsidRPr="008D45B0">
              <w:rPr>
                <w:sz w:val="28"/>
                <w:szCs w:val="28"/>
              </w:rPr>
              <w:t>Izmaiņas kārtējā gadā, salīdzinot ar budžetu kārtējam gadam</w:t>
            </w:r>
          </w:p>
        </w:tc>
        <w:tc>
          <w:tcPr>
            <w:tcW w:w="809" w:type="pct"/>
            <w:vAlign w:val="center"/>
          </w:tcPr>
          <w:p w:rsidR="00C534B1" w:rsidRPr="008D45B0" w:rsidRDefault="00C534B1" w:rsidP="00C534B1">
            <w:pPr>
              <w:pStyle w:val="naisf"/>
              <w:spacing w:before="0" w:after="0"/>
              <w:ind w:firstLine="0"/>
              <w:jc w:val="center"/>
              <w:rPr>
                <w:b/>
                <w:i/>
                <w:sz w:val="28"/>
                <w:szCs w:val="28"/>
              </w:rPr>
            </w:pPr>
            <w:r w:rsidRPr="008D45B0">
              <w:rPr>
                <w:sz w:val="28"/>
                <w:szCs w:val="28"/>
              </w:rPr>
              <w:t>Izmaiņas, salīdzinot ar kārtējo (n) gadu</w:t>
            </w:r>
          </w:p>
        </w:tc>
        <w:tc>
          <w:tcPr>
            <w:tcW w:w="757" w:type="pct"/>
            <w:vAlign w:val="center"/>
          </w:tcPr>
          <w:p w:rsidR="00C534B1" w:rsidRPr="008D45B0" w:rsidRDefault="00C534B1" w:rsidP="00C534B1">
            <w:pPr>
              <w:pStyle w:val="naisf"/>
              <w:spacing w:before="0" w:after="0"/>
              <w:ind w:firstLine="0"/>
              <w:jc w:val="center"/>
              <w:rPr>
                <w:b/>
                <w:i/>
                <w:sz w:val="28"/>
                <w:szCs w:val="28"/>
              </w:rPr>
            </w:pPr>
            <w:r w:rsidRPr="008D45B0">
              <w:rPr>
                <w:sz w:val="28"/>
                <w:szCs w:val="28"/>
              </w:rPr>
              <w:t>Izmaiņas, salīdzinot ar kārtējo (n) gadu</w:t>
            </w:r>
          </w:p>
        </w:tc>
        <w:tc>
          <w:tcPr>
            <w:tcW w:w="495" w:type="pct"/>
            <w:vAlign w:val="center"/>
          </w:tcPr>
          <w:p w:rsidR="00C534B1" w:rsidRPr="008D45B0" w:rsidRDefault="00C534B1" w:rsidP="00C534B1">
            <w:pPr>
              <w:pStyle w:val="naisf"/>
              <w:spacing w:before="0" w:after="0"/>
              <w:ind w:firstLine="0"/>
              <w:jc w:val="center"/>
              <w:rPr>
                <w:b/>
                <w:i/>
                <w:sz w:val="28"/>
                <w:szCs w:val="28"/>
              </w:rPr>
            </w:pPr>
            <w:r w:rsidRPr="008D45B0">
              <w:rPr>
                <w:sz w:val="28"/>
                <w:szCs w:val="28"/>
              </w:rPr>
              <w:t>Izmaiņas, salīdzinot ar kārtējo (n) gadu</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Align w:val="center"/>
          </w:tcPr>
          <w:p w:rsidR="00C534B1" w:rsidRPr="008D45B0" w:rsidRDefault="00C534B1" w:rsidP="009F53CC">
            <w:pPr>
              <w:pStyle w:val="naisf"/>
              <w:spacing w:before="0" w:after="0"/>
              <w:jc w:val="center"/>
              <w:rPr>
                <w:bCs/>
                <w:sz w:val="28"/>
                <w:szCs w:val="28"/>
              </w:rPr>
            </w:pPr>
            <w:r w:rsidRPr="008D45B0">
              <w:rPr>
                <w:bCs/>
                <w:sz w:val="28"/>
                <w:szCs w:val="28"/>
              </w:rPr>
              <w:t>1</w:t>
            </w:r>
          </w:p>
        </w:tc>
        <w:tc>
          <w:tcPr>
            <w:tcW w:w="735" w:type="pct"/>
            <w:vAlign w:val="center"/>
          </w:tcPr>
          <w:p w:rsidR="00C534B1" w:rsidRPr="008D45B0" w:rsidRDefault="00C534B1" w:rsidP="009F53CC">
            <w:pPr>
              <w:pStyle w:val="naisf"/>
              <w:spacing w:before="0" w:after="0"/>
              <w:jc w:val="center"/>
              <w:rPr>
                <w:bCs/>
                <w:sz w:val="28"/>
                <w:szCs w:val="28"/>
              </w:rPr>
            </w:pPr>
            <w:r w:rsidRPr="008D45B0">
              <w:rPr>
                <w:bCs/>
                <w:sz w:val="28"/>
                <w:szCs w:val="28"/>
              </w:rPr>
              <w:t>2</w:t>
            </w:r>
          </w:p>
        </w:tc>
        <w:tc>
          <w:tcPr>
            <w:tcW w:w="724" w:type="pct"/>
            <w:vAlign w:val="center"/>
          </w:tcPr>
          <w:p w:rsidR="00C534B1" w:rsidRPr="008D45B0" w:rsidRDefault="00C534B1" w:rsidP="009F53CC">
            <w:pPr>
              <w:pStyle w:val="naisf"/>
              <w:spacing w:before="0" w:after="0"/>
              <w:jc w:val="center"/>
              <w:rPr>
                <w:bCs/>
                <w:sz w:val="28"/>
                <w:szCs w:val="28"/>
              </w:rPr>
            </w:pPr>
            <w:r w:rsidRPr="008D45B0">
              <w:rPr>
                <w:bCs/>
                <w:sz w:val="28"/>
                <w:szCs w:val="28"/>
              </w:rPr>
              <w:t>3</w:t>
            </w:r>
          </w:p>
        </w:tc>
        <w:tc>
          <w:tcPr>
            <w:tcW w:w="809" w:type="pct"/>
            <w:vAlign w:val="center"/>
          </w:tcPr>
          <w:p w:rsidR="00C534B1" w:rsidRPr="008D45B0" w:rsidRDefault="00C534B1" w:rsidP="009F53CC">
            <w:pPr>
              <w:pStyle w:val="naisf"/>
              <w:spacing w:before="0" w:after="0"/>
              <w:jc w:val="center"/>
              <w:rPr>
                <w:bCs/>
                <w:sz w:val="28"/>
                <w:szCs w:val="28"/>
              </w:rPr>
            </w:pPr>
            <w:r w:rsidRPr="008D45B0">
              <w:rPr>
                <w:bCs/>
                <w:sz w:val="28"/>
                <w:szCs w:val="28"/>
              </w:rPr>
              <w:t>4</w:t>
            </w:r>
          </w:p>
        </w:tc>
        <w:tc>
          <w:tcPr>
            <w:tcW w:w="757" w:type="pct"/>
            <w:vAlign w:val="center"/>
          </w:tcPr>
          <w:p w:rsidR="00C534B1" w:rsidRPr="008D45B0" w:rsidRDefault="00C534B1" w:rsidP="009F53CC">
            <w:pPr>
              <w:pStyle w:val="naisf"/>
              <w:spacing w:before="0" w:after="0"/>
              <w:jc w:val="center"/>
              <w:rPr>
                <w:bCs/>
                <w:sz w:val="28"/>
                <w:szCs w:val="28"/>
              </w:rPr>
            </w:pPr>
            <w:r w:rsidRPr="008D45B0">
              <w:rPr>
                <w:bCs/>
                <w:sz w:val="28"/>
                <w:szCs w:val="28"/>
              </w:rPr>
              <w:t>5</w:t>
            </w:r>
          </w:p>
        </w:tc>
        <w:tc>
          <w:tcPr>
            <w:tcW w:w="495" w:type="pct"/>
            <w:vAlign w:val="center"/>
          </w:tcPr>
          <w:p w:rsidR="00C534B1" w:rsidRPr="008D45B0" w:rsidRDefault="00C534B1" w:rsidP="009F53CC">
            <w:pPr>
              <w:pStyle w:val="naisf"/>
              <w:spacing w:before="0" w:after="0"/>
              <w:jc w:val="center"/>
              <w:rPr>
                <w:bCs/>
                <w:sz w:val="28"/>
                <w:szCs w:val="28"/>
              </w:rPr>
            </w:pPr>
            <w:r w:rsidRPr="008D45B0">
              <w:rPr>
                <w:bCs/>
                <w:sz w:val="28"/>
                <w:szCs w:val="28"/>
              </w:rPr>
              <w:t>6</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pStyle w:val="naisf"/>
              <w:spacing w:before="0" w:after="0"/>
              <w:rPr>
                <w:i/>
                <w:sz w:val="28"/>
                <w:szCs w:val="28"/>
              </w:rPr>
            </w:pPr>
            <w:r w:rsidRPr="008D45B0">
              <w:rPr>
                <w:sz w:val="28"/>
                <w:szCs w:val="28"/>
              </w:rPr>
              <w:t>1. Budžeta ieņēmumi:</w:t>
            </w:r>
          </w:p>
        </w:tc>
        <w:tc>
          <w:tcPr>
            <w:tcW w:w="735" w:type="pct"/>
          </w:tcPr>
          <w:p w:rsidR="00C534B1" w:rsidRPr="008D45B0" w:rsidRDefault="00C534B1" w:rsidP="009F53CC">
            <w:pPr>
              <w:pStyle w:val="naisf"/>
              <w:spacing w:before="0" w:after="0"/>
              <w:rPr>
                <w:b/>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pStyle w:val="naisf"/>
              <w:spacing w:before="0" w:after="0"/>
              <w:rPr>
                <w:i/>
                <w:sz w:val="28"/>
                <w:szCs w:val="28"/>
              </w:rPr>
            </w:pPr>
            <w:r w:rsidRPr="008D45B0">
              <w:rPr>
                <w:sz w:val="28"/>
                <w:szCs w:val="28"/>
              </w:rPr>
              <w:t>1.1. valsts pamatbudžets, tai skaitā ieņēmumi no maksas pakalpojumiem un citi pašu ieņēmumi</w:t>
            </w:r>
          </w:p>
        </w:tc>
        <w:tc>
          <w:tcPr>
            <w:tcW w:w="735" w:type="pct"/>
          </w:tcPr>
          <w:p w:rsidR="00C534B1" w:rsidRPr="008D45B0" w:rsidRDefault="00A5124A" w:rsidP="00207D15">
            <w:pPr>
              <w:pStyle w:val="naisf"/>
              <w:spacing w:before="0" w:after="0"/>
              <w:ind w:firstLine="0"/>
              <w:rPr>
                <w:sz w:val="28"/>
                <w:szCs w:val="28"/>
              </w:rPr>
            </w:pPr>
            <w:r w:rsidRPr="008D45B0">
              <w:rPr>
                <w:sz w:val="28"/>
                <w:szCs w:val="28"/>
              </w:rPr>
              <w:t>Nav attiecināms</w:t>
            </w:r>
          </w:p>
        </w:tc>
        <w:tc>
          <w:tcPr>
            <w:tcW w:w="724" w:type="pct"/>
          </w:tcPr>
          <w:p w:rsidR="00C534B1" w:rsidRPr="008D45B0" w:rsidRDefault="00A5124A" w:rsidP="009F53CC">
            <w:pPr>
              <w:pStyle w:val="naisf"/>
              <w:spacing w:before="0" w:after="0"/>
              <w:rPr>
                <w:sz w:val="28"/>
                <w:szCs w:val="28"/>
              </w:rPr>
            </w:pPr>
            <w:r w:rsidRPr="008D45B0">
              <w:rPr>
                <w:sz w:val="28"/>
                <w:szCs w:val="28"/>
              </w:rPr>
              <w:t>Nav attiecināms</w:t>
            </w:r>
          </w:p>
        </w:tc>
        <w:tc>
          <w:tcPr>
            <w:tcW w:w="809" w:type="pct"/>
          </w:tcPr>
          <w:p w:rsidR="00C534B1" w:rsidRPr="008D45B0" w:rsidRDefault="00A5124A" w:rsidP="009F53CC">
            <w:pPr>
              <w:pStyle w:val="naisf"/>
              <w:spacing w:before="0" w:after="0"/>
              <w:rPr>
                <w:sz w:val="28"/>
                <w:szCs w:val="28"/>
              </w:rPr>
            </w:pPr>
            <w:r w:rsidRPr="008D45B0">
              <w:rPr>
                <w:sz w:val="28"/>
                <w:szCs w:val="28"/>
              </w:rPr>
              <w:t>Nav attiecināms</w:t>
            </w:r>
          </w:p>
        </w:tc>
        <w:tc>
          <w:tcPr>
            <w:tcW w:w="757" w:type="pct"/>
          </w:tcPr>
          <w:p w:rsidR="00C534B1" w:rsidRPr="008D45B0" w:rsidRDefault="00A5124A" w:rsidP="009F53CC">
            <w:pPr>
              <w:pStyle w:val="naisf"/>
              <w:spacing w:before="0" w:after="0"/>
              <w:rPr>
                <w:sz w:val="28"/>
                <w:szCs w:val="28"/>
              </w:rPr>
            </w:pPr>
            <w:r w:rsidRPr="008D45B0">
              <w:rPr>
                <w:sz w:val="28"/>
                <w:szCs w:val="28"/>
              </w:rPr>
              <w:t>Nav attiecināms</w:t>
            </w:r>
          </w:p>
        </w:tc>
        <w:tc>
          <w:tcPr>
            <w:tcW w:w="495" w:type="pct"/>
          </w:tcPr>
          <w:p w:rsidR="00C534B1" w:rsidRPr="008D45B0" w:rsidRDefault="00A5124A" w:rsidP="009F53CC">
            <w:pPr>
              <w:pStyle w:val="naisf"/>
              <w:spacing w:before="0" w:after="0"/>
              <w:rPr>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pStyle w:val="naisf"/>
              <w:spacing w:before="0" w:after="0"/>
              <w:rPr>
                <w:i/>
                <w:sz w:val="28"/>
                <w:szCs w:val="28"/>
              </w:rPr>
            </w:pPr>
            <w:r w:rsidRPr="008D45B0">
              <w:rPr>
                <w:sz w:val="28"/>
                <w:szCs w:val="28"/>
              </w:rPr>
              <w:t>1.2. valsts speciālais budžets</w:t>
            </w:r>
          </w:p>
        </w:tc>
        <w:tc>
          <w:tcPr>
            <w:tcW w:w="735" w:type="pct"/>
          </w:tcPr>
          <w:p w:rsidR="00C534B1" w:rsidRPr="008D45B0" w:rsidRDefault="00C534B1" w:rsidP="009F53CC">
            <w:pPr>
              <w:pStyle w:val="naisf"/>
              <w:spacing w:before="0" w:after="0"/>
              <w:rPr>
                <w:b/>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pStyle w:val="naisf"/>
              <w:spacing w:before="0" w:after="0"/>
              <w:rPr>
                <w:i/>
                <w:sz w:val="28"/>
                <w:szCs w:val="28"/>
              </w:rPr>
            </w:pPr>
            <w:r w:rsidRPr="008D45B0">
              <w:rPr>
                <w:sz w:val="28"/>
                <w:szCs w:val="28"/>
              </w:rPr>
              <w:t>1.3. pašvaldību budžets</w:t>
            </w:r>
          </w:p>
        </w:tc>
        <w:tc>
          <w:tcPr>
            <w:tcW w:w="735" w:type="pct"/>
          </w:tcPr>
          <w:p w:rsidR="00C534B1" w:rsidRPr="008D45B0" w:rsidRDefault="00C534B1" w:rsidP="009F53CC">
            <w:pPr>
              <w:pStyle w:val="naisf"/>
              <w:spacing w:before="0" w:after="0"/>
              <w:rPr>
                <w:b/>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2. Budžeta izdevumi:</w:t>
            </w:r>
          </w:p>
        </w:tc>
        <w:tc>
          <w:tcPr>
            <w:tcW w:w="735" w:type="pct"/>
          </w:tcPr>
          <w:p w:rsidR="00C534B1" w:rsidRPr="008D45B0" w:rsidRDefault="00C534B1" w:rsidP="009F53CC">
            <w:pPr>
              <w:pStyle w:val="naisf"/>
              <w:spacing w:before="0" w:after="0"/>
              <w:rPr>
                <w:b/>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2.1. valsts pamatbudžets</w:t>
            </w:r>
          </w:p>
        </w:tc>
        <w:tc>
          <w:tcPr>
            <w:tcW w:w="735" w:type="pct"/>
          </w:tcPr>
          <w:p w:rsidR="00C534B1" w:rsidRPr="008D45B0" w:rsidRDefault="00A5124A" w:rsidP="009F53CC">
            <w:pPr>
              <w:pStyle w:val="naisf"/>
              <w:spacing w:before="0" w:after="0"/>
              <w:rPr>
                <w:sz w:val="28"/>
                <w:szCs w:val="28"/>
              </w:rPr>
            </w:pPr>
            <w:r w:rsidRPr="008D45B0">
              <w:rPr>
                <w:sz w:val="28"/>
                <w:szCs w:val="28"/>
              </w:rPr>
              <w:t>Nav attiecināms</w:t>
            </w:r>
          </w:p>
        </w:tc>
        <w:tc>
          <w:tcPr>
            <w:tcW w:w="724" w:type="pct"/>
          </w:tcPr>
          <w:p w:rsidR="00C534B1" w:rsidRPr="008D45B0" w:rsidRDefault="00A5124A" w:rsidP="009F53CC">
            <w:pPr>
              <w:pStyle w:val="naisf"/>
              <w:spacing w:before="0" w:after="0"/>
              <w:rPr>
                <w:sz w:val="28"/>
                <w:szCs w:val="28"/>
              </w:rPr>
            </w:pPr>
            <w:r w:rsidRPr="008D45B0">
              <w:rPr>
                <w:sz w:val="28"/>
                <w:szCs w:val="28"/>
              </w:rPr>
              <w:t>Nav attiecināms</w:t>
            </w:r>
          </w:p>
        </w:tc>
        <w:tc>
          <w:tcPr>
            <w:tcW w:w="809" w:type="pct"/>
          </w:tcPr>
          <w:p w:rsidR="00C534B1" w:rsidRPr="008D45B0" w:rsidRDefault="00A5124A" w:rsidP="009F53CC">
            <w:pPr>
              <w:pStyle w:val="naisf"/>
              <w:spacing w:before="0" w:after="0"/>
              <w:rPr>
                <w:sz w:val="28"/>
                <w:szCs w:val="28"/>
              </w:rPr>
            </w:pPr>
            <w:r w:rsidRPr="008D45B0">
              <w:rPr>
                <w:sz w:val="28"/>
                <w:szCs w:val="28"/>
              </w:rPr>
              <w:t>Nav attiecināms</w:t>
            </w:r>
          </w:p>
        </w:tc>
        <w:tc>
          <w:tcPr>
            <w:tcW w:w="757" w:type="pct"/>
          </w:tcPr>
          <w:p w:rsidR="00C534B1" w:rsidRPr="008D45B0" w:rsidRDefault="00A5124A" w:rsidP="009F53CC">
            <w:pPr>
              <w:pStyle w:val="naisf"/>
              <w:spacing w:before="0" w:after="0"/>
              <w:rPr>
                <w:sz w:val="28"/>
                <w:szCs w:val="28"/>
              </w:rPr>
            </w:pPr>
            <w:r w:rsidRPr="008D45B0">
              <w:rPr>
                <w:sz w:val="28"/>
                <w:szCs w:val="28"/>
              </w:rPr>
              <w:t>Nav attiecināms</w:t>
            </w:r>
          </w:p>
        </w:tc>
        <w:tc>
          <w:tcPr>
            <w:tcW w:w="495" w:type="pct"/>
          </w:tcPr>
          <w:p w:rsidR="00C534B1" w:rsidRPr="008D45B0" w:rsidRDefault="00A5124A" w:rsidP="009F53CC">
            <w:pPr>
              <w:pStyle w:val="naisf"/>
              <w:spacing w:before="0" w:after="0"/>
              <w:rPr>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2.2. valsts speciālais budžets</w:t>
            </w:r>
          </w:p>
        </w:tc>
        <w:tc>
          <w:tcPr>
            <w:tcW w:w="735" w:type="pct"/>
          </w:tcPr>
          <w:p w:rsidR="00C534B1" w:rsidRPr="008D45B0" w:rsidRDefault="00C534B1" w:rsidP="009F53CC">
            <w:pPr>
              <w:pStyle w:val="naisf"/>
              <w:spacing w:before="0" w:after="0"/>
              <w:rPr>
                <w:b/>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lastRenderedPageBreak/>
              <w:t xml:space="preserve">2.3. pašvaldību budžets </w:t>
            </w:r>
          </w:p>
        </w:tc>
        <w:tc>
          <w:tcPr>
            <w:tcW w:w="735" w:type="pct"/>
          </w:tcPr>
          <w:p w:rsidR="00C534B1" w:rsidRPr="008D45B0" w:rsidRDefault="00C534B1" w:rsidP="009F53CC">
            <w:pPr>
              <w:pStyle w:val="naisf"/>
              <w:spacing w:before="0" w:after="0"/>
              <w:rPr>
                <w:b/>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3. Finansiālā ietekme:</w:t>
            </w:r>
          </w:p>
        </w:tc>
        <w:tc>
          <w:tcPr>
            <w:tcW w:w="735" w:type="pct"/>
            <w:shd w:val="clear" w:color="auto" w:fill="auto"/>
            <w:vAlign w:val="center"/>
          </w:tcPr>
          <w:p w:rsidR="00C534B1" w:rsidRPr="008D45B0" w:rsidRDefault="00C534B1" w:rsidP="009F53CC">
            <w:pPr>
              <w:pStyle w:val="naisf"/>
              <w:spacing w:before="0" w:after="0"/>
              <w:jc w:val="center"/>
              <w:rPr>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3.1. valsts pamatbudžets</w:t>
            </w:r>
          </w:p>
        </w:tc>
        <w:tc>
          <w:tcPr>
            <w:tcW w:w="735" w:type="pct"/>
            <w:shd w:val="clear" w:color="auto" w:fill="auto"/>
          </w:tcPr>
          <w:p w:rsidR="00C534B1" w:rsidRPr="008D45B0" w:rsidRDefault="00A5124A" w:rsidP="009F53CC">
            <w:pPr>
              <w:pStyle w:val="naisf"/>
              <w:spacing w:before="0" w:after="0"/>
              <w:rPr>
                <w:i/>
                <w:sz w:val="28"/>
                <w:szCs w:val="28"/>
              </w:rPr>
            </w:pPr>
            <w:r w:rsidRPr="008D45B0">
              <w:rPr>
                <w:sz w:val="28"/>
                <w:szCs w:val="28"/>
              </w:rPr>
              <w:t>Nav attiecināms</w:t>
            </w:r>
          </w:p>
        </w:tc>
        <w:tc>
          <w:tcPr>
            <w:tcW w:w="724" w:type="pct"/>
          </w:tcPr>
          <w:p w:rsidR="00C534B1" w:rsidRPr="008D45B0" w:rsidRDefault="00A5124A" w:rsidP="009F53CC">
            <w:pPr>
              <w:rPr>
                <w:sz w:val="28"/>
                <w:szCs w:val="28"/>
                <w:vertAlign w:val="subscript"/>
                <w:lang w:val="lv-LV"/>
              </w:rPr>
            </w:pPr>
            <w:r w:rsidRPr="008D45B0">
              <w:rPr>
                <w:sz w:val="28"/>
                <w:szCs w:val="28"/>
              </w:rPr>
              <w:t xml:space="preserve">Nav </w:t>
            </w:r>
            <w:proofErr w:type="spellStart"/>
            <w:r w:rsidRPr="008D45B0">
              <w:rPr>
                <w:sz w:val="28"/>
                <w:szCs w:val="28"/>
              </w:rPr>
              <w:t>attiecināms</w:t>
            </w:r>
            <w:proofErr w:type="spellEnd"/>
          </w:p>
        </w:tc>
        <w:tc>
          <w:tcPr>
            <w:tcW w:w="809" w:type="pct"/>
          </w:tcPr>
          <w:p w:rsidR="00C534B1" w:rsidRPr="008D45B0" w:rsidRDefault="00A5124A" w:rsidP="009F53CC">
            <w:pPr>
              <w:pStyle w:val="naisf"/>
              <w:spacing w:before="0" w:after="0"/>
              <w:rPr>
                <w:sz w:val="28"/>
                <w:szCs w:val="28"/>
              </w:rPr>
            </w:pPr>
            <w:r w:rsidRPr="008D45B0">
              <w:rPr>
                <w:sz w:val="28"/>
                <w:szCs w:val="28"/>
              </w:rPr>
              <w:t>Nav attiecināms</w:t>
            </w:r>
          </w:p>
        </w:tc>
        <w:tc>
          <w:tcPr>
            <w:tcW w:w="757" w:type="pct"/>
          </w:tcPr>
          <w:p w:rsidR="00C534B1" w:rsidRPr="008D45B0" w:rsidRDefault="00A5124A" w:rsidP="009F53CC">
            <w:pPr>
              <w:pStyle w:val="naisf"/>
              <w:spacing w:before="0" w:after="0"/>
              <w:rPr>
                <w:sz w:val="28"/>
                <w:szCs w:val="28"/>
              </w:rPr>
            </w:pPr>
            <w:r w:rsidRPr="008D45B0">
              <w:rPr>
                <w:sz w:val="28"/>
                <w:szCs w:val="28"/>
              </w:rPr>
              <w:t>Nav attiecināms</w:t>
            </w:r>
          </w:p>
        </w:tc>
        <w:tc>
          <w:tcPr>
            <w:tcW w:w="495" w:type="pct"/>
          </w:tcPr>
          <w:p w:rsidR="00C534B1" w:rsidRPr="008D45B0" w:rsidRDefault="00A5124A" w:rsidP="009F53CC">
            <w:pPr>
              <w:pStyle w:val="naisf"/>
              <w:spacing w:before="0" w:after="0"/>
              <w:rPr>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3.2. speciālais budžets</w:t>
            </w:r>
          </w:p>
        </w:tc>
        <w:tc>
          <w:tcPr>
            <w:tcW w:w="735" w:type="pct"/>
            <w:shd w:val="clear" w:color="auto" w:fill="auto"/>
          </w:tcPr>
          <w:p w:rsidR="00C534B1" w:rsidRPr="008D45B0" w:rsidRDefault="00C534B1" w:rsidP="009F53CC">
            <w:pPr>
              <w:pStyle w:val="naisf"/>
              <w:spacing w:before="0" w:after="0"/>
              <w:rPr>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 xml:space="preserve">3.3. pašvaldību budžets </w:t>
            </w:r>
          </w:p>
        </w:tc>
        <w:tc>
          <w:tcPr>
            <w:tcW w:w="735" w:type="pct"/>
            <w:shd w:val="clear" w:color="auto" w:fill="auto"/>
          </w:tcPr>
          <w:p w:rsidR="00C534B1" w:rsidRPr="008D45B0" w:rsidRDefault="00C534B1" w:rsidP="009F53CC">
            <w:pPr>
              <w:pStyle w:val="naisf"/>
              <w:spacing w:before="0" w:after="0"/>
              <w:rPr>
                <w:i/>
                <w:sz w:val="28"/>
                <w:szCs w:val="28"/>
              </w:rPr>
            </w:pPr>
          </w:p>
        </w:tc>
        <w:tc>
          <w:tcPr>
            <w:tcW w:w="724" w:type="pct"/>
          </w:tcPr>
          <w:p w:rsidR="00C534B1" w:rsidRPr="008D45B0" w:rsidRDefault="00C534B1" w:rsidP="009F53CC">
            <w:pPr>
              <w:pStyle w:val="naisf"/>
              <w:spacing w:before="0" w:after="0"/>
              <w:rPr>
                <w:b/>
                <w:i/>
                <w:sz w:val="28"/>
                <w:szCs w:val="28"/>
              </w:rPr>
            </w:pPr>
          </w:p>
        </w:tc>
        <w:tc>
          <w:tcPr>
            <w:tcW w:w="809" w:type="pct"/>
          </w:tcPr>
          <w:p w:rsidR="00C534B1" w:rsidRPr="008D45B0" w:rsidRDefault="00C534B1" w:rsidP="009F53CC">
            <w:pPr>
              <w:pStyle w:val="naisf"/>
              <w:spacing w:before="0" w:after="0"/>
              <w:rPr>
                <w:b/>
                <w:i/>
                <w:sz w:val="28"/>
                <w:szCs w:val="28"/>
              </w:rPr>
            </w:pPr>
          </w:p>
        </w:tc>
        <w:tc>
          <w:tcPr>
            <w:tcW w:w="757" w:type="pct"/>
          </w:tcPr>
          <w:p w:rsidR="00C534B1" w:rsidRPr="008D45B0" w:rsidRDefault="00C534B1" w:rsidP="009F53CC">
            <w:pPr>
              <w:pStyle w:val="naisf"/>
              <w:spacing w:before="0" w:after="0"/>
              <w:rPr>
                <w:b/>
                <w:i/>
                <w:sz w:val="28"/>
                <w:szCs w:val="28"/>
              </w:rPr>
            </w:pPr>
          </w:p>
        </w:tc>
        <w:tc>
          <w:tcPr>
            <w:tcW w:w="495" w:type="pct"/>
          </w:tcPr>
          <w:p w:rsidR="00C534B1" w:rsidRPr="008D45B0" w:rsidRDefault="00C534B1" w:rsidP="009F53CC">
            <w:pPr>
              <w:pStyle w:val="naisf"/>
              <w:spacing w:before="0" w:after="0"/>
              <w:rPr>
                <w:b/>
                <w:i/>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val="restart"/>
          </w:tcPr>
          <w:p w:rsidR="00C534B1" w:rsidRPr="008D45B0" w:rsidRDefault="00C534B1" w:rsidP="009F53CC">
            <w:pPr>
              <w:jc w:val="both"/>
              <w:rPr>
                <w:sz w:val="28"/>
                <w:szCs w:val="28"/>
                <w:lang w:val="lv-LV"/>
              </w:rPr>
            </w:pPr>
            <w:r w:rsidRPr="008D45B0">
              <w:rPr>
                <w:sz w:val="28"/>
                <w:szCs w:val="28"/>
                <w:lang w:val="lv-LV"/>
              </w:rPr>
              <w:t>4. Finanšu līdzekļi papildu izde</w:t>
            </w:r>
            <w:r w:rsidRPr="008D45B0">
              <w:rPr>
                <w:sz w:val="28"/>
                <w:szCs w:val="28"/>
                <w:lang w:val="lv-LV"/>
              </w:rPr>
              <w:softHyphen/>
              <w:t>vumu finansēšanai (kompensējošu izdevumu samazinājumu norāda ar "+" zīmi)</w:t>
            </w:r>
          </w:p>
        </w:tc>
        <w:tc>
          <w:tcPr>
            <w:tcW w:w="735" w:type="pct"/>
            <w:vMerge w:val="restart"/>
            <w:vAlign w:val="center"/>
          </w:tcPr>
          <w:p w:rsidR="00C534B1" w:rsidRPr="008D45B0" w:rsidRDefault="00C534B1" w:rsidP="009F53CC">
            <w:pPr>
              <w:pStyle w:val="naisf"/>
              <w:spacing w:before="0" w:after="0"/>
              <w:jc w:val="left"/>
              <w:rPr>
                <w:sz w:val="28"/>
                <w:szCs w:val="28"/>
              </w:rPr>
            </w:pPr>
            <w:r w:rsidRPr="008D45B0">
              <w:rPr>
                <w:sz w:val="28"/>
                <w:szCs w:val="28"/>
              </w:rPr>
              <w:t>X</w:t>
            </w:r>
          </w:p>
          <w:p w:rsidR="00C534B1" w:rsidRPr="008D45B0" w:rsidRDefault="00C534B1" w:rsidP="009F53CC">
            <w:pPr>
              <w:rPr>
                <w:sz w:val="28"/>
                <w:szCs w:val="28"/>
                <w:lang w:val="lv-LV"/>
              </w:rPr>
            </w:pPr>
          </w:p>
        </w:tc>
        <w:tc>
          <w:tcPr>
            <w:tcW w:w="724" w:type="pct"/>
          </w:tcPr>
          <w:p w:rsidR="00C534B1" w:rsidRPr="008D45B0" w:rsidRDefault="00C534B1" w:rsidP="009F53CC">
            <w:pPr>
              <w:pStyle w:val="naisf"/>
              <w:spacing w:before="0" w:after="0"/>
              <w:jc w:val="left"/>
              <w:rPr>
                <w:b/>
                <w:sz w:val="28"/>
                <w:szCs w:val="28"/>
              </w:rPr>
            </w:pPr>
            <w:r w:rsidRPr="008D45B0">
              <w:rPr>
                <w:sz w:val="28"/>
                <w:szCs w:val="28"/>
              </w:rPr>
              <w:t>Nav attiecināms</w:t>
            </w:r>
          </w:p>
        </w:tc>
        <w:tc>
          <w:tcPr>
            <w:tcW w:w="809" w:type="pct"/>
          </w:tcPr>
          <w:p w:rsidR="00C534B1" w:rsidRPr="008D45B0" w:rsidRDefault="00C534B1" w:rsidP="009F53CC">
            <w:pPr>
              <w:pStyle w:val="naisf"/>
              <w:spacing w:before="0" w:after="0"/>
              <w:jc w:val="left"/>
              <w:rPr>
                <w:b/>
                <w:sz w:val="28"/>
                <w:szCs w:val="28"/>
              </w:rPr>
            </w:pPr>
            <w:r w:rsidRPr="008D45B0">
              <w:rPr>
                <w:sz w:val="28"/>
                <w:szCs w:val="28"/>
              </w:rPr>
              <w:t>Nav attiecināms</w:t>
            </w:r>
          </w:p>
        </w:tc>
        <w:tc>
          <w:tcPr>
            <w:tcW w:w="757" w:type="pct"/>
          </w:tcPr>
          <w:p w:rsidR="00C534B1" w:rsidRPr="008D45B0" w:rsidRDefault="00C534B1" w:rsidP="009F53CC">
            <w:pPr>
              <w:pStyle w:val="naisf"/>
              <w:spacing w:before="0" w:after="0"/>
              <w:jc w:val="left"/>
              <w:rPr>
                <w:b/>
                <w:sz w:val="28"/>
                <w:szCs w:val="28"/>
              </w:rPr>
            </w:pPr>
            <w:r w:rsidRPr="008D45B0">
              <w:rPr>
                <w:sz w:val="28"/>
                <w:szCs w:val="28"/>
              </w:rPr>
              <w:t>Nav attiecināms</w:t>
            </w:r>
          </w:p>
        </w:tc>
        <w:tc>
          <w:tcPr>
            <w:tcW w:w="495" w:type="pct"/>
          </w:tcPr>
          <w:p w:rsidR="00C534B1" w:rsidRPr="008D45B0" w:rsidRDefault="00C534B1" w:rsidP="009F53CC">
            <w:pPr>
              <w:pStyle w:val="naisf"/>
              <w:spacing w:before="0" w:after="0"/>
              <w:jc w:val="left"/>
              <w:rPr>
                <w:b/>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tcPr>
          <w:p w:rsidR="00C534B1" w:rsidRPr="008D45B0" w:rsidRDefault="00C534B1" w:rsidP="009F53CC">
            <w:pPr>
              <w:jc w:val="both"/>
              <w:rPr>
                <w:sz w:val="28"/>
                <w:szCs w:val="28"/>
                <w:lang w:val="lv-LV"/>
              </w:rPr>
            </w:pPr>
          </w:p>
        </w:tc>
        <w:tc>
          <w:tcPr>
            <w:tcW w:w="735" w:type="pct"/>
            <w:vMerge/>
            <w:vAlign w:val="center"/>
          </w:tcPr>
          <w:p w:rsidR="00C534B1" w:rsidRPr="008D45B0" w:rsidRDefault="00C534B1" w:rsidP="009F53CC">
            <w:pPr>
              <w:pStyle w:val="naisf"/>
              <w:spacing w:before="0" w:after="0"/>
              <w:jc w:val="center"/>
              <w:rPr>
                <w:sz w:val="28"/>
                <w:szCs w:val="28"/>
              </w:rPr>
            </w:pPr>
          </w:p>
        </w:tc>
        <w:tc>
          <w:tcPr>
            <w:tcW w:w="724" w:type="pct"/>
          </w:tcPr>
          <w:p w:rsidR="00C534B1" w:rsidRPr="008D45B0" w:rsidRDefault="00C534B1" w:rsidP="009F53CC">
            <w:pPr>
              <w:pStyle w:val="naisf"/>
              <w:spacing w:before="0" w:after="0"/>
              <w:jc w:val="left"/>
              <w:rPr>
                <w:b/>
                <w:sz w:val="28"/>
                <w:szCs w:val="28"/>
              </w:rPr>
            </w:pPr>
            <w:r w:rsidRPr="008D45B0">
              <w:rPr>
                <w:sz w:val="28"/>
                <w:szCs w:val="28"/>
              </w:rPr>
              <w:t>Nav attiecināms</w:t>
            </w:r>
          </w:p>
        </w:tc>
        <w:tc>
          <w:tcPr>
            <w:tcW w:w="809" w:type="pct"/>
          </w:tcPr>
          <w:p w:rsidR="00C534B1" w:rsidRPr="008D45B0" w:rsidRDefault="00C534B1" w:rsidP="009F53CC">
            <w:pPr>
              <w:pStyle w:val="naisf"/>
              <w:spacing w:before="0" w:after="0"/>
              <w:jc w:val="left"/>
              <w:rPr>
                <w:b/>
                <w:sz w:val="28"/>
                <w:szCs w:val="28"/>
              </w:rPr>
            </w:pPr>
            <w:r w:rsidRPr="008D45B0">
              <w:rPr>
                <w:sz w:val="28"/>
                <w:szCs w:val="28"/>
              </w:rPr>
              <w:t>Nav attiecināms</w:t>
            </w:r>
          </w:p>
        </w:tc>
        <w:tc>
          <w:tcPr>
            <w:tcW w:w="757" w:type="pct"/>
          </w:tcPr>
          <w:p w:rsidR="00C534B1" w:rsidRPr="008D45B0" w:rsidRDefault="00C534B1" w:rsidP="009F53CC">
            <w:pPr>
              <w:pStyle w:val="naisf"/>
              <w:spacing w:before="0" w:after="0"/>
              <w:jc w:val="left"/>
              <w:rPr>
                <w:b/>
                <w:sz w:val="28"/>
                <w:szCs w:val="28"/>
              </w:rPr>
            </w:pPr>
            <w:r w:rsidRPr="008D45B0">
              <w:rPr>
                <w:sz w:val="28"/>
                <w:szCs w:val="28"/>
              </w:rPr>
              <w:t>Nav attiecināms</w:t>
            </w:r>
          </w:p>
        </w:tc>
        <w:tc>
          <w:tcPr>
            <w:tcW w:w="495" w:type="pct"/>
          </w:tcPr>
          <w:p w:rsidR="00C534B1" w:rsidRPr="008D45B0" w:rsidRDefault="00C534B1" w:rsidP="009F53CC">
            <w:pPr>
              <w:pStyle w:val="naisf"/>
              <w:spacing w:before="0" w:after="0"/>
              <w:jc w:val="left"/>
              <w:rPr>
                <w:b/>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tcPr>
          <w:p w:rsidR="00C534B1" w:rsidRPr="008D45B0" w:rsidRDefault="00C534B1" w:rsidP="009F53CC">
            <w:pPr>
              <w:jc w:val="both"/>
              <w:rPr>
                <w:sz w:val="28"/>
                <w:szCs w:val="28"/>
                <w:lang w:val="lv-LV"/>
              </w:rPr>
            </w:pPr>
          </w:p>
        </w:tc>
        <w:tc>
          <w:tcPr>
            <w:tcW w:w="735" w:type="pct"/>
            <w:vMerge/>
            <w:vAlign w:val="center"/>
          </w:tcPr>
          <w:p w:rsidR="00C534B1" w:rsidRPr="008D45B0" w:rsidRDefault="00C534B1" w:rsidP="009F53CC">
            <w:pPr>
              <w:pStyle w:val="naisf"/>
              <w:spacing w:before="0" w:after="0"/>
              <w:jc w:val="center"/>
              <w:rPr>
                <w:i/>
                <w:sz w:val="28"/>
                <w:szCs w:val="28"/>
              </w:rPr>
            </w:pPr>
          </w:p>
        </w:tc>
        <w:tc>
          <w:tcPr>
            <w:tcW w:w="724" w:type="pct"/>
          </w:tcPr>
          <w:p w:rsidR="00C534B1" w:rsidRPr="008D45B0" w:rsidRDefault="00C534B1" w:rsidP="00C534B1">
            <w:pPr>
              <w:pStyle w:val="naisf"/>
              <w:spacing w:before="0" w:after="0"/>
              <w:ind w:firstLine="0"/>
              <w:jc w:val="left"/>
              <w:rPr>
                <w:b/>
                <w:sz w:val="28"/>
                <w:szCs w:val="28"/>
              </w:rPr>
            </w:pPr>
            <w:r w:rsidRPr="008D45B0">
              <w:rPr>
                <w:sz w:val="28"/>
                <w:szCs w:val="28"/>
              </w:rPr>
              <w:t>Nav attiecināms</w:t>
            </w:r>
          </w:p>
        </w:tc>
        <w:tc>
          <w:tcPr>
            <w:tcW w:w="809" w:type="pct"/>
          </w:tcPr>
          <w:p w:rsidR="00C534B1" w:rsidRPr="008D45B0" w:rsidRDefault="00C534B1" w:rsidP="00C534B1">
            <w:pPr>
              <w:pStyle w:val="naisf"/>
              <w:spacing w:before="0" w:after="0"/>
              <w:ind w:firstLine="0"/>
              <w:jc w:val="left"/>
              <w:rPr>
                <w:b/>
                <w:sz w:val="28"/>
                <w:szCs w:val="28"/>
              </w:rPr>
            </w:pPr>
            <w:r w:rsidRPr="008D45B0">
              <w:rPr>
                <w:sz w:val="28"/>
                <w:szCs w:val="28"/>
              </w:rPr>
              <w:t>Nav attiecināms</w:t>
            </w:r>
          </w:p>
        </w:tc>
        <w:tc>
          <w:tcPr>
            <w:tcW w:w="757" w:type="pct"/>
          </w:tcPr>
          <w:p w:rsidR="00C534B1" w:rsidRPr="008D45B0" w:rsidRDefault="00C534B1" w:rsidP="00C534B1">
            <w:pPr>
              <w:pStyle w:val="naisf"/>
              <w:spacing w:before="0" w:after="0"/>
              <w:ind w:firstLine="0"/>
              <w:jc w:val="left"/>
              <w:rPr>
                <w:b/>
                <w:sz w:val="28"/>
                <w:szCs w:val="28"/>
              </w:rPr>
            </w:pPr>
            <w:r w:rsidRPr="008D45B0">
              <w:rPr>
                <w:sz w:val="28"/>
                <w:szCs w:val="28"/>
              </w:rPr>
              <w:t>Nav attiecināms</w:t>
            </w:r>
          </w:p>
        </w:tc>
        <w:tc>
          <w:tcPr>
            <w:tcW w:w="495" w:type="pct"/>
          </w:tcPr>
          <w:p w:rsidR="00C534B1" w:rsidRPr="008D45B0" w:rsidRDefault="00C534B1" w:rsidP="00C534B1">
            <w:pPr>
              <w:pStyle w:val="naisf"/>
              <w:spacing w:before="0" w:after="0"/>
              <w:ind w:firstLine="0"/>
              <w:jc w:val="left"/>
              <w:rPr>
                <w:b/>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5. Precizēta finansiālā ietekme:</w:t>
            </w:r>
          </w:p>
        </w:tc>
        <w:tc>
          <w:tcPr>
            <w:tcW w:w="735" w:type="pct"/>
            <w:vMerge w:val="restart"/>
            <w:vAlign w:val="center"/>
          </w:tcPr>
          <w:p w:rsidR="00C534B1" w:rsidRPr="008D45B0" w:rsidRDefault="00C534B1" w:rsidP="009F53CC">
            <w:pPr>
              <w:pStyle w:val="naisf"/>
              <w:spacing w:before="0" w:after="0"/>
              <w:jc w:val="left"/>
              <w:rPr>
                <w:sz w:val="28"/>
                <w:szCs w:val="28"/>
              </w:rPr>
            </w:pPr>
            <w:r w:rsidRPr="008D45B0">
              <w:rPr>
                <w:sz w:val="28"/>
                <w:szCs w:val="28"/>
              </w:rPr>
              <w:t>X</w:t>
            </w:r>
          </w:p>
          <w:p w:rsidR="00C534B1" w:rsidRPr="008D45B0" w:rsidRDefault="00C534B1" w:rsidP="009F53CC">
            <w:pPr>
              <w:pStyle w:val="naisf"/>
              <w:spacing w:before="0" w:after="0"/>
              <w:jc w:val="center"/>
              <w:rPr>
                <w:sz w:val="28"/>
                <w:szCs w:val="28"/>
              </w:rPr>
            </w:pPr>
          </w:p>
        </w:tc>
        <w:tc>
          <w:tcPr>
            <w:tcW w:w="724" w:type="pct"/>
          </w:tcPr>
          <w:p w:rsidR="00C534B1" w:rsidRPr="008D45B0" w:rsidRDefault="00C534B1" w:rsidP="009F53CC">
            <w:pPr>
              <w:pStyle w:val="naisf"/>
              <w:spacing w:before="0" w:after="0"/>
              <w:rPr>
                <w:b/>
                <w:sz w:val="28"/>
                <w:szCs w:val="28"/>
              </w:rPr>
            </w:pPr>
          </w:p>
        </w:tc>
        <w:tc>
          <w:tcPr>
            <w:tcW w:w="809" w:type="pct"/>
          </w:tcPr>
          <w:p w:rsidR="00C534B1" w:rsidRPr="008D45B0" w:rsidRDefault="00C534B1" w:rsidP="009F53CC">
            <w:pPr>
              <w:pStyle w:val="naisf"/>
              <w:spacing w:before="0" w:after="0"/>
              <w:rPr>
                <w:b/>
                <w:sz w:val="28"/>
                <w:szCs w:val="28"/>
              </w:rPr>
            </w:pPr>
          </w:p>
        </w:tc>
        <w:tc>
          <w:tcPr>
            <w:tcW w:w="757" w:type="pct"/>
          </w:tcPr>
          <w:p w:rsidR="00C534B1" w:rsidRPr="008D45B0" w:rsidRDefault="00C534B1" w:rsidP="009F53CC">
            <w:pPr>
              <w:pStyle w:val="naisf"/>
              <w:spacing w:before="0" w:after="0"/>
              <w:rPr>
                <w:b/>
                <w:sz w:val="28"/>
                <w:szCs w:val="28"/>
              </w:rPr>
            </w:pPr>
          </w:p>
        </w:tc>
        <w:tc>
          <w:tcPr>
            <w:tcW w:w="495" w:type="pct"/>
          </w:tcPr>
          <w:p w:rsidR="00C534B1" w:rsidRPr="008D45B0" w:rsidRDefault="00C534B1" w:rsidP="009F53CC">
            <w:pPr>
              <w:pStyle w:val="naisf"/>
              <w:spacing w:before="0" w:after="0"/>
              <w:rPr>
                <w:b/>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5.1. valsts pamatbudžets</w:t>
            </w:r>
          </w:p>
        </w:tc>
        <w:tc>
          <w:tcPr>
            <w:tcW w:w="735" w:type="pct"/>
            <w:vMerge/>
            <w:vAlign w:val="center"/>
          </w:tcPr>
          <w:p w:rsidR="00C534B1" w:rsidRPr="008D45B0" w:rsidRDefault="00C534B1" w:rsidP="009F53CC">
            <w:pPr>
              <w:pStyle w:val="naisf"/>
              <w:spacing w:before="0" w:after="0"/>
              <w:jc w:val="center"/>
              <w:rPr>
                <w:i/>
                <w:sz w:val="28"/>
                <w:szCs w:val="28"/>
              </w:rPr>
            </w:pPr>
          </w:p>
        </w:tc>
        <w:tc>
          <w:tcPr>
            <w:tcW w:w="724" w:type="pct"/>
          </w:tcPr>
          <w:p w:rsidR="00C534B1" w:rsidRPr="008D45B0" w:rsidRDefault="00A5124A" w:rsidP="009F53CC">
            <w:pPr>
              <w:rPr>
                <w:sz w:val="28"/>
                <w:szCs w:val="28"/>
                <w:vertAlign w:val="subscript"/>
                <w:lang w:val="lv-LV"/>
              </w:rPr>
            </w:pPr>
            <w:r w:rsidRPr="008D45B0">
              <w:rPr>
                <w:sz w:val="28"/>
                <w:szCs w:val="28"/>
              </w:rPr>
              <w:t xml:space="preserve">Nav </w:t>
            </w:r>
            <w:proofErr w:type="spellStart"/>
            <w:r w:rsidRPr="008D45B0">
              <w:rPr>
                <w:sz w:val="28"/>
                <w:szCs w:val="28"/>
              </w:rPr>
              <w:t>attiecināms</w:t>
            </w:r>
            <w:proofErr w:type="spellEnd"/>
          </w:p>
        </w:tc>
        <w:tc>
          <w:tcPr>
            <w:tcW w:w="809" w:type="pct"/>
          </w:tcPr>
          <w:p w:rsidR="00C534B1" w:rsidRPr="008D45B0" w:rsidRDefault="00A5124A" w:rsidP="009F53CC">
            <w:pPr>
              <w:pStyle w:val="naisf"/>
              <w:spacing w:before="0" w:after="0"/>
              <w:rPr>
                <w:sz w:val="28"/>
                <w:szCs w:val="28"/>
              </w:rPr>
            </w:pPr>
            <w:r w:rsidRPr="008D45B0">
              <w:rPr>
                <w:sz w:val="28"/>
                <w:szCs w:val="28"/>
              </w:rPr>
              <w:t>Nav attiecināms</w:t>
            </w:r>
          </w:p>
        </w:tc>
        <w:tc>
          <w:tcPr>
            <w:tcW w:w="757" w:type="pct"/>
          </w:tcPr>
          <w:p w:rsidR="00C534B1" w:rsidRPr="008D45B0" w:rsidRDefault="00A5124A" w:rsidP="009F53CC">
            <w:pPr>
              <w:pStyle w:val="naisf"/>
              <w:spacing w:before="0" w:after="0"/>
              <w:rPr>
                <w:sz w:val="28"/>
                <w:szCs w:val="28"/>
              </w:rPr>
            </w:pPr>
            <w:r w:rsidRPr="008D45B0">
              <w:rPr>
                <w:sz w:val="28"/>
                <w:szCs w:val="28"/>
              </w:rPr>
              <w:t>Nav attiecināms</w:t>
            </w:r>
          </w:p>
        </w:tc>
        <w:tc>
          <w:tcPr>
            <w:tcW w:w="495" w:type="pct"/>
          </w:tcPr>
          <w:p w:rsidR="00C534B1" w:rsidRPr="008D45B0" w:rsidRDefault="00A5124A" w:rsidP="009F53CC">
            <w:pPr>
              <w:pStyle w:val="naisf"/>
              <w:spacing w:before="0" w:after="0"/>
              <w:rPr>
                <w:sz w:val="28"/>
                <w:szCs w:val="28"/>
              </w:rPr>
            </w:pPr>
            <w:r w:rsidRPr="008D45B0">
              <w:rPr>
                <w:sz w:val="28"/>
                <w:szCs w:val="28"/>
              </w:rPr>
              <w:t>Nav attiecināms</w:t>
            </w: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5.2. speciālais budžets</w:t>
            </w:r>
          </w:p>
        </w:tc>
        <w:tc>
          <w:tcPr>
            <w:tcW w:w="735" w:type="pct"/>
            <w:vMerge/>
            <w:vAlign w:val="center"/>
          </w:tcPr>
          <w:p w:rsidR="00C534B1" w:rsidRPr="008D45B0" w:rsidRDefault="00C534B1" w:rsidP="009F53CC">
            <w:pPr>
              <w:pStyle w:val="naisf"/>
              <w:spacing w:before="0" w:after="0"/>
              <w:jc w:val="center"/>
              <w:rPr>
                <w:i/>
                <w:sz w:val="28"/>
                <w:szCs w:val="28"/>
              </w:rPr>
            </w:pPr>
          </w:p>
        </w:tc>
        <w:tc>
          <w:tcPr>
            <w:tcW w:w="724" w:type="pct"/>
          </w:tcPr>
          <w:p w:rsidR="00C534B1" w:rsidRPr="008D45B0" w:rsidRDefault="00C534B1" w:rsidP="009F53CC">
            <w:pPr>
              <w:pStyle w:val="naisf"/>
              <w:spacing w:before="0" w:after="0"/>
              <w:rPr>
                <w:b/>
                <w:sz w:val="28"/>
                <w:szCs w:val="28"/>
              </w:rPr>
            </w:pPr>
          </w:p>
        </w:tc>
        <w:tc>
          <w:tcPr>
            <w:tcW w:w="809" w:type="pct"/>
          </w:tcPr>
          <w:p w:rsidR="00C534B1" w:rsidRPr="008D45B0" w:rsidRDefault="00C534B1" w:rsidP="009F53CC">
            <w:pPr>
              <w:pStyle w:val="naisf"/>
              <w:spacing w:before="0" w:after="0"/>
              <w:rPr>
                <w:b/>
                <w:sz w:val="28"/>
                <w:szCs w:val="28"/>
              </w:rPr>
            </w:pPr>
          </w:p>
        </w:tc>
        <w:tc>
          <w:tcPr>
            <w:tcW w:w="757" w:type="pct"/>
          </w:tcPr>
          <w:p w:rsidR="00C534B1" w:rsidRPr="008D45B0" w:rsidRDefault="00C534B1" w:rsidP="009F53CC">
            <w:pPr>
              <w:pStyle w:val="naisf"/>
              <w:spacing w:before="0" w:after="0"/>
              <w:rPr>
                <w:b/>
                <w:sz w:val="28"/>
                <w:szCs w:val="28"/>
              </w:rPr>
            </w:pPr>
          </w:p>
        </w:tc>
        <w:tc>
          <w:tcPr>
            <w:tcW w:w="495" w:type="pct"/>
          </w:tcPr>
          <w:p w:rsidR="00C534B1" w:rsidRPr="008D45B0" w:rsidRDefault="00C534B1" w:rsidP="009F53CC">
            <w:pPr>
              <w:pStyle w:val="naisf"/>
              <w:spacing w:before="0" w:after="0"/>
              <w:rPr>
                <w:b/>
                <w:sz w:val="28"/>
                <w:szCs w:val="28"/>
              </w:rPr>
            </w:pPr>
          </w:p>
        </w:tc>
      </w:tr>
      <w:tr w:rsidR="00C534B1" w:rsidRPr="008D45B0" w:rsidTr="00F655B2">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 xml:space="preserve">5.3. pašvaldību budžets </w:t>
            </w:r>
          </w:p>
        </w:tc>
        <w:tc>
          <w:tcPr>
            <w:tcW w:w="735" w:type="pct"/>
            <w:vMerge/>
            <w:vAlign w:val="center"/>
          </w:tcPr>
          <w:p w:rsidR="00C534B1" w:rsidRPr="008D45B0" w:rsidRDefault="00C534B1" w:rsidP="009F53CC">
            <w:pPr>
              <w:pStyle w:val="naisf"/>
              <w:spacing w:before="0" w:after="0"/>
              <w:jc w:val="center"/>
              <w:rPr>
                <w:i/>
                <w:sz w:val="28"/>
                <w:szCs w:val="28"/>
              </w:rPr>
            </w:pPr>
          </w:p>
        </w:tc>
        <w:tc>
          <w:tcPr>
            <w:tcW w:w="724" w:type="pct"/>
          </w:tcPr>
          <w:p w:rsidR="00C534B1" w:rsidRPr="008D45B0" w:rsidRDefault="00C534B1" w:rsidP="009F53CC">
            <w:pPr>
              <w:pStyle w:val="naisf"/>
              <w:spacing w:before="0" w:after="0"/>
              <w:rPr>
                <w:b/>
                <w:sz w:val="28"/>
                <w:szCs w:val="28"/>
              </w:rPr>
            </w:pPr>
          </w:p>
        </w:tc>
        <w:tc>
          <w:tcPr>
            <w:tcW w:w="809" w:type="pct"/>
          </w:tcPr>
          <w:p w:rsidR="00C534B1" w:rsidRPr="008D45B0" w:rsidRDefault="00C534B1" w:rsidP="009F53CC">
            <w:pPr>
              <w:pStyle w:val="naisf"/>
              <w:spacing w:before="0" w:after="0"/>
              <w:rPr>
                <w:b/>
                <w:sz w:val="28"/>
                <w:szCs w:val="28"/>
              </w:rPr>
            </w:pPr>
          </w:p>
        </w:tc>
        <w:tc>
          <w:tcPr>
            <w:tcW w:w="757" w:type="pct"/>
          </w:tcPr>
          <w:p w:rsidR="00C534B1" w:rsidRPr="008D45B0" w:rsidRDefault="00C534B1" w:rsidP="009F53CC">
            <w:pPr>
              <w:pStyle w:val="naisf"/>
              <w:spacing w:before="0" w:after="0"/>
              <w:rPr>
                <w:b/>
                <w:sz w:val="28"/>
                <w:szCs w:val="28"/>
              </w:rPr>
            </w:pPr>
          </w:p>
        </w:tc>
        <w:tc>
          <w:tcPr>
            <w:tcW w:w="495" w:type="pct"/>
          </w:tcPr>
          <w:p w:rsidR="00C534B1" w:rsidRPr="008D45B0" w:rsidRDefault="00C534B1" w:rsidP="009F53CC">
            <w:pPr>
              <w:pStyle w:val="naisf"/>
              <w:spacing w:before="0" w:after="0"/>
              <w:rPr>
                <w:b/>
                <w:sz w:val="28"/>
                <w:szCs w:val="28"/>
              </w:rPr>
            </w:pPr>
          </w:p>
        </w:tc>
      </w:tr>
      <w:tr w:rsidR="00C534B1" w:rsidRPr="005F771D" w:rsidTr="00F655B2">
        <w:tblPrEx>
          <w:jc w:val="center"/>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6. Detalizēts ieņēmumu un izdevu</w:t>
            </w:r>
            <w:r w:rsidRPr="008D45B0">
              <w:rPr>
                <w:sz w:val="28"/>
                <w:szCs w:val="28"/>
                <w:lang w:val="lv-LV"/>
              </w:rPr>
              <w:softHyphen/>
              <w:t xml:space="preserve">mu aprēķins (ja nepieciešams, detalizētu ieņēmumu </w:t>
            </w:r>
            <w:r w:rsidRPr="008D45B0">
              <w:rPr>
                <w:sz w:val="28"/>
                <w:szCs w:val="28"/>
                <w:lang w:val="lv-LV"/>
              </w:rPr>
              <w:lastRenderedPageBreak/>
              <w:t>un izdevumu aprēķinu var pievienot anotācijas pielikumā):</w:t>
            </w:r>
          </w:p>
        </w:tc>
        <w:tc>
          <w:tcPr>
            <w:tcW w:w="3520" w:type="pct"/>
            <w:gridSpan w:val="5"/>
            <w:vMerge w:val="restart"/>
            <w:vAlign w:val="center"/>
          </w:tcPr>
          <w:p w:rsidR="00C534B1" w:rsidRPr="008D45B0" w:rsidRDefault="00C534B1" w:rsidP="009F53CC">
            <w:pPr>
              <w:ind w:firstLine="451"/>
              <w:jc w:val="both"/>
              <w:rPr>
                <w:sz w:val="28"/>
                <w:szCs w:val="28"/>
                <w:lang w:val="lv-LV"/>
              </w:rPr>
            </w:pPr>
            <w:r w:rsidRPr="008D45B0">
              <w:rPr>
                <w:sz w:val="28"/>
                <w:szCs w:val="28"/>
                <w:lang w:val="lv-LV"/>
              </w:rPr>
              <w:lastRenderedPageBreak/>
              <w:t xml:space="preserve">Darbības programmas „Uzņēmējdarbība un inovācijas” 2.1.2.2.2.apakšaktivitātes „Jaunu produktu un tehnoloģiju izstrāde – atbalsts jaunu produktu un tehnoloģiju ieviešanai ražošanā” projektu iesniegumu atlases otrajai kārtā pieejamais finansējums ir </w:t>
            </w:r>
            <w:r w:rsidRPr="008D45B0">
              <w:rPr>
                <w:sz w:val="28"/>
                <w:szCs w:val="28"/>
                <w:lang w:val="lv-LV"/>
              </w:rPr>
              <w:lastRenderedPageBreak/>
              <w:t>34 023 106 lati.</w:t>
            </w:r>
          </w:p>
          <w:p w:rsidR="00C534B1" w:rsidRPr="008D45B0" w:rsidRDefault="00C534B1" w:rsidP="009F53CC">
            <w:pPr>
              <w:ind w:firstLine="451"/>
              <w:jc w:val="both"/>
              <w:rPr>
                <w:sz w:val="28"/>
                <w:szCs w:val="28"/>
                <w:lang w:val="lv-LV"/>
              </w:rPr>
            </w:pPr>
            <w:r w:rsidRPr="008D45B0">
              <w:rPr>
                <w:sz w:val="28"/>
                <w:szCs w:val="28"/>
                <w:lang w:val="lv-LV"/>
              </w:rPr>
              <w:t xml:space="preserve">Noteikumu projekts paredz uzņemties virssaistības 3 402 311 latu apmērā, kas sastāda 10% no pieejamā finansējuma otrajai kārtai. </w:t>
            </w:r>
          </w:p>
          <w:p w:rsidR="00C534B1" w:rsidRPr="008D45B0" w:rsidRDefault="00C534B1" w:rsidP="009F53CC">
            <w:pPr>
              <w:ind w:firstLine="451"/>
              <w:jc w:val="both"/>
              <w:rPr>
                <w:sz w:val="28"/>
                <w:szCs w:val="28"/>
                <w:lang w:val="lv-LV"/>
              </w:rPr>
            </w:pPr>
            <w:r w:rsidRPr="008D45B0">
              <w:rPr>
                <w:sz w:val="28"/>
                <w:szCs w:val="28"/>
                <w:lang w:val="lv-LV"/>
              </w:rPr>
              <w:t xml:space="preserve">Virssaistības šai gadījumā nozīmē atļauju apstiprināt projektus un noslēgt līgumus par lielāku summu, nekā projektu iesniegumu atlases kārtai noteiktais finansējums. Projektu īstenošanas laikā daļa no projektiem netiek pabeigti, vai arī to izmaksas ir mazākas nekā sākotnēji plānots, līdz ar to uzņemtās virssaistības faktiski izmaksātas netiek. </w:t>
            </w:r>
          </w:p>
          <w:p w:rsidR="00C534B1" w:rsidRPr="008D45B0" w:rsidRDefault="00C534B1" w:rsidP="009F53CC">
            <w:pPr>
              <w:ind w:firstLine="451"/>
              <w:jc w:val="both"/>
              <w:rPr>
                <w:sz w:val="28"/>
                <w:szCs w:val="28"/>
                <w:lang w:val="lv-LV"/>
              </w:rPr>
            </w:pPr>
            <w:r w:rsidRPr="008D45B0">
              <w:rPr>
                <w:sz w:val="28"/>
                <w:szCs w:val="28"/>
                <w:lang w:val="lv-LV"/>
              </w:rPr>
              <w:t>Piemēram, 2.1.2.2.2.apakšaktivitātes projektu iesniegumu atlases pirmajā kārtā 15% no apstiprināta</w:t>
            </w:r>
            <w:r w:rsidR="00AB3257" w:rsidRPr="008D45B0">
              <w:rPr>
                <w:sz w:val="28"/>
                <w:szCs w:val="28"/>
                <w:lang w:val="lv-LV"/>
              </w:rPr>
              <w:t>jiem projektiem tika pārtraukti.</w:t>
            </w:r>
          </w:p>
          <w:p w:rsidR="00C534B1" w:rsidRPr="008D45B0" w:rsidRDefault="00C534B1" w:rsidP="009F53CC">
            <w:pPr>
              <w:ind w:firstLine="451"/>
              <w:jc w:val="both"/>
              <w:rPr>
                <w:sz w:val="28"/>
                <w:szCs w:val="28"/>
                <w:lang w:val="lv-LV"/>
              </w:rPr>
            </w:pPr>
            <w:r w:rsidRPr="008D45B0">
              <w:rPr>
                <w:sz w:val="28"/>
                <w:szCs w:val="28"/>
                <w:lang w:val="lv-LV"/>
              </w:rPr>
              <w:t>Gadījumā, ja visi 2.1.2.2.2.apakšaktivitātes projektu iesniegumu atlases otrajā kārtā apstiprinātie projekti tiks sekmīgi īstenoti, tad ietekme uz 2011.gada budžetu būs 20% no piešķirto virssaistību apjoma (finansējuma saņēmējiem izmaksātie avansi). Savukārt 2012.gadā un 2013.gadā ietekme uz valsts budžetu būs 40% no piešķirto virssaistību apjoma katru gadu. Projektu īstenošana tiks uzsākta 2010.gada vidū un tiks pabeigti ne vēlāk kā pēc 18 mēnešiem. Lielākā daļa no izmaksām ir plānota projektu beigās.</w:t>
            </w:r>
            <w:bookmarkStart w:id="11" w:name="_GoBack"/>
            <w:bookmarkEnd w:id="11"/>
          </w:p>
          <w:p w:rsidR="00C534B1" w:rsidRPr="008D45B0" w:rsidRDefault="00C534B1" w:rsidP="009F53CC">
            <w:pPr>
              <w:ind w:firstLine="451"/>
              <w:jc w:val="both"/>
              <w:rPr>
                <w:sz w:val="28"/>
                <w:szCs w:val="28"/>
                <w:lang w:val="lv-LV"/>
              </w:rPr>
            </w:pPr>
            <w:r w:rsidRPr="008D45B0">
              <w:rPr>
                <w:sz w:val="28"/>
                <w:szCs w:val="28"/>
                <w:lang w:val="lv-LV"/>
              </w:rPr>
              <w:t xml:space="preserve">Vienlaikus izmaksātās </w:t>
            </w:r>
            <w:proofErr w:type="spellStart"/>
            <w:r w:rsidRPr="008D45B0">
              <w:rPr>
                <w:sz w:val="28"/>
                <w:szCs w:val="28"/>
                <w:lang w:val="lv-LV"/>
              </w:rPr>
              <w:t>virssaistības</w:t>
            </w:r>
            <w:proofErr w:type="spellEnd"/>
            <w:r w:rsidRPr="008D45B0">
              <w:rPr>
                <w:sz w:val="28"/>
                <w:szCs w:val="28"/>
                <w:lang w:val="lv-LV"/>
              </w:rPr>
              <w:t xml:space="preserve"> tiks deklarētas Eiropas Komisijai un līdzekļi 100% apjomā </w:t>
            </w:r>
            <w:r w:rsidR="00E42A43" w:rsidRPr="008D45B0">
              <w:rPr>
                <w:sz w:val="28"/>
                <w:szCs w:val="28"/>
                <w:lang w:val="lv-LV"/>
              </w:rPr>
              <w:t xml:space="preserve">atgriezti </w:t>
            </w:r>
            <w:r w:rsidRPr="008D45B0">
              <w:rPr>
                <w:sz w:val="28"/>
                <w:szCs w:val="28"/>
                <w:lang w:val="lv-LV"/>
              </w:rPr>
              <w:t>valsts budžetā.</w:t>
            </w:r>
          </w:p>
          <w:p w:rsidR="00C534B1" w:rsidRPr="008D45B0" w:rsidRDefault="00C534B1" w:rsidP="009F53CC">
            <w:pPr>
              <w:ind w:firstLine="451"/>
              <w:jc w:val="both"/>
              <w:rPr>
                <w:sz w:val="28"/>
                <w:szCs w:val="28"/>
                <w:lang w:val="lv-LV"/>
              </w:rPr>
            </w:pPr>
            <w:r w:rsidRPr="008D45B0">
              <w:rPr>
                <w:sz w:val="28"/>
                <w:szCs w:val="28"/>
                <w:lang w:val="lv-LV"/>
              </w:rPr>
              <w:t>Ja virssaistības būs nepieciešams izmaksāt, tad izmaksa tiks veikta no Ekonomikas ministrijas budžeta apakšprogrammas "Eiropas Reģionālās attīstības fonda (ERAF) projektu (2007-2013) īstenošana" (62.06.00). Kā liecina 2010.gada pieredze, šajā budžeta apakšprogrammā veidojās līdzekļu pārpalikums, jo ne visi projekti, kuriem ir ieplānoti budžeta līdzekļi, tiek īstenoti.</w:t>
            </w:r>
          </w:p>
        </w:tc>
      </w:tr>
      <w:tr w:rsidR="00C534B1" w:rsidRPr="008D45B0" w:rsidTr="00F655B2">
        <w:tblPrEx>
          <w:jc w:val="center"/>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lastRenderedPageBreak/>
              <w:t>6.1. detalizēts ieņēmumu aprēķins</w:t>
            </w:r>
          </w:p>
          <w:p w:rsidR="00C534B1" w:rsidRPr="008D45B0" w:rsidRDefault="00C534B1" w:rsidP="009F53CC">
            <w:pPr>
              <w:jc w:val="both"/>
              <w:rPr>
                <w:sz w:val="28"/>
                <w:szCs w:val="28"/>
                <w:lang w:val="lv-LV"/>
              </w:rPr>
            </w:pPr>
          </w:p>
          <w:p w:rsidR="00C534B1" w:rsidRPr="008D45B0" w:rsidRDefault="00C534B1" w:rsidP="009F53CC">
            <w:pPr>
              <w:jc w:val="both"/>
              <w:rPr>
                <w:sz w:val="28"/>
                <w:szCs w:val="28"/>
                <w:lang w:val="lv-LV"/>
              </w:rPr>
            </w:pPr>
          </w:p>
        </w:tc>
        <w:tc>
          <w:tcPr>
            <w:tcW w:w="3520" w:type="pct"/>
            <w:gridSpan w:val="5"/>
            <w:vMerge/>
          </w:tcPr>
          <w:p w:rsidR="00C534B1" w:rsidRPr="008D45B0" w:rsidRDefault="00C534B1" w:rsidP="009F53CC">
            <w:pPr>
              <w:pStyle w:val="naisf"/>
              <w:spacing w:before="0" w:after="0"/>
              <w:rPr>
                <w:b/>
                <w:i/>
                <w:sz w:val="28"/>
                <w:szCs w:val="28"/>
              </w:rPr>
            </w:pPr>
          </w:p>
        </w:tc>
      </w:tr>
      <w:tr w:rsidR="00C534B1" w:rsidRPr="008D45B0" w:rsidTr="00F655B2">
        <w:tblPrEx>
          <w:jc w:val="center"/>
          <w:tblCellMar>
            <w:top w:w="0" w:type="dxa"/>
            <w:left w:w="108" w:type="dxa"/>
            <w:bottom w:w="0" w:type="dxa"/>
            <w:right w:w="108" w:type="dxa"/>
          </w:tblCellMar>
          <w:tblLook w:val="01E0"/>
        </w:tblPrEx>
        <w:trPr>
          <w:gridAfter w:val="1"/>
          <w:wAfter w:w="40" w:type="pct"/>
          <w:trHeight w:val="2936"/>
          <w:jc w:val="center"/>
        </w:trPr>
        <w:tc>
          <w:tcPr>
            <w:tcW w:w="1440" w:type="pct"/>
          </w:tcPr>
          <w:p w:rsidR="00C534B1" w:rsidRPr="008D45B0" w:rsidRDefault="00C534B1" w:rsidP="009F53CC">
            <w:pPr>
              <w:jc w:val="both"/>
              <w:rPr>
                <w:sz w:val="28"/>
                <w:szCs w:val="28"/>
                <w:lang w:val="lv-LV"/>
              </w:rPr>
            </w:pPr>
            <w:r w:rsidRPr="008D45B0">
              <w:rPr>
                <w:sz w:val="28"/>
                <w:szCs w:val="28"/>
                <w:lang w:val="lv-LV"/>
              </w:rPr>
              <w:t>6.2. detalizēts izdevumu aprēķins</w:t>
            </w:r>
          </w:p>
        </w:tc>
        <w:tc>
          <w:tcPr>
            <w:tcW w:w="3520" w:type="pct"/>
            <w:gridSpan w:val="5"/>
            <w:vMerge/>
          </w:tcPr>
          <w:p w:rsidR="00C534B1" w:rsidRPr="008D45B0" w:rsidRDefault="00C534B1" w:rsidP="009F53CC">
            <w:pPr>
              <w:pStyle w:val="naisf"/>
              <w:spacing w:before="0" w:after="0"/>
              <w:rPr>
                <w:b/>
                <w:i/>
                <w:sz w:val="28"/>
                <w:szCs w:val="28"/>
              </w:rPr>
            </w:pPr>
          </w:p>
        </w:tc>
      </w:tr>
      <w:tr w:rsidR="00C534B1" w:rsidRPr="005F771D" w:rsidTr="00F655B2">
        <w:tblPrEx>
          <w:jc w:val="center"/>
          <w:tblCellMar>
            <w:top w:w="0" w:type="dxa"/>
            <w:left w:w="108" w:type="dxa"/>
            <w:bottom w:w="0" w:type="dxa"/>
            <w:right w:w="108" w:type="dxa"/>
          </w:tblCellMar>
          <w:tblLook w:val="01E0"/>
        </w:tblPrEx>
        <w:trPr>
          <w:gridAfter w:val="1"/>
          <w:wAfter w:w="40" w:type="pct"/>
          <w:jc w:val="center"/>
        </w:trPr>
        <w:tc>
          <w:tcPr>
            <w:tcW w:w="1440" w:type="pct"/>
          </w:tcPr>
          <w:p w:rsidR="00C534B1" w:rsidRPr="008D45B0" w:rsidRDefault="00C534B1" w:rsidP="009F53CC">
            <w:pPr>
              <w:jc w:val="both"/>
              <w:rPr>
                <w:sz w:val="28"/>
                <w:szCs w:val="28"/>
                <w:lang w:val="lv-LV"/>
              </w:rPr>
            </w:pPr>
            <w:r w:rsidRPr="008D45B0">
              <w:rPr>
                <w:sz w:val="28"/>
                <w:szCs w:val="28"/>
                <w:lang w:val="lv-LV"/>
              </w:rPr>
              <w:t>7. Cita informācija</w:t>
            </w:r>
          </w:p>
        </w:tc>
        <w:tc>
          <w:tcPr>
            <w:tcW w:w="3520" w:type="pct"/>
            <w:gridSpan w:val="5"/>
          </w:tcPr>
          <w:p w:rsidR="00C534B1" w:rsidRPr="008D45B0" w:rsidRDefault="00C534B1" w:rsidP="009F53CC">
            <w:pPr>
              <w:pStyle w:val="naisf"/>
              <w:tabs>
                <w:tab w:val="left" w:pos="4644"/>
              </w:tabs>
              <w:spacing w:before="0" w:after="0"/>
              <w:rPr>
                <w:sz w:val="28"/>
                <w:szCs w:val="28"/>
              </w:rPr>
            </w:pPr>
            <w:r w:rsidRPr="008D45B0">
              <w:rPr>
                <w:sz w:val="28"/>
                <w:szCs w:val="28"/>
              </w:rPr>
              <w:t>Virssaistības tiks deklarētas Eiropas Komisijai pēc attiecināmo izdevumu rašanās.</w:t>
            </w:r>
          </w:p>
        </w:tc>
      </w:tr>
    </w:tbl>
    <w:p w:rsidR="00C534B1" w:rsidRPr="008D45B0" w:rsidRDefault="00C534B1" w:rsidP="000D343A">
      <w:pPr>
        <w:pStyle w:val="NormalWeb"/>
        <w:spacing w:before="0" w:beforeAutospacing="0" w:after="0" w:afterAutospacing="0"/>
        <w:jc w:val="center"/>
        <w:rPr>
          <w:b/>
          <w:sz w:val="28"/>
          <w:szCs w:val="28"/>
          <w:lang w:val="lv-LV"/>
        </w:rPr>
      </w:pPr>
    </w:p>
    <w:p w:rsidR="00C534B1" w:rsidRPr="008D45B0" w:rsidRDefault="00C534B1" w:rsidP="000D343A">
      <w:pPr>
        <w:pStyle w:val="NormalWeb"/>
        <w:spacing w:before="0" w:beforeAutospacing="0" w:after="0" w:afterAutospacing="0"/>
        <w:jc w:val="center"/>
        <w:rPr>
          <w:b/>
          <w:sz w:val="28"/>
          <w:szCs w:val="28"/>
          <w:lang w:val="lv-LV"/>
        </w:rPr>
      </w:pPr>
    </w:p>
    <w:p w:rsidR="00AC1512" w:rsidRPr="008D45B0" w:rsidRDefault="00FE2959" w:rsidP="000D343A">
      <w:pPr>
        <w:pStyle w:val="NormalWeb"/>
        <w:spacing w:before="0" w:beforeAutospacing="0" w:after="0" w:afterAutospacing="0"/>
        <w:jc w:val="center"/>
        <w:rPr>
          <w:b/>
          <w:sz w:val="28"/>
          <w:szCs w:val="28"/>
          <w:lang w:val="lv-LV"/>
        </w:rPr>
      </w:pPr>
      <w:r w:rsidRPr="008D45B0">
        <w:rPr>
          <w:b/>
          <w:sz w:val="28"/>
          <w:szCs w:val="28"/>
          <w:lang w:val="lv-LV"/>
        </w:rPr>
        <w:lastRenderedPageBreak/>
        <w:t>I</w:t>
      </w:r>
      <w:r w:rsidR="00D45BAA" w:rsidRPr="008D45B0">
        <w:rPr>
          <w:b/>
          <w:sz w:val="28"/>
          <w:szCs w:val="28"/>
          <w:lang w:val="lv-LV"/>
        </w:rPr>
        <w:t>V</w:t>
      </w:r>
      <w:r w:rsidR="00EA3B33" w:rsidRPr="008D45B0">
        <w:rPr>
          <w:b/>
          <w:sz w:val="28"/>
          <w:szCs w:val="28"/>
          <w:lang w:val="lv-LV"/>
        </w:rPr>
        <w:t xml:space="preserve"> sadaļa</w:t>
      </w:r>
      <w:r w:rsidR="003A16D0" w:rsidRPr="008D45B0">
        <w:rPr>
          <w:b/>
          <w:sz w:val="28"/>
          <w:szCs w:val="28"/>
          <w:lang w:val="lv-LV"/>
        </w:rPr>
        <w:t xml:space="preserve"> </w:t>
      </w:r>
      <w:r w:rsidR="003357A1" w:rsidRPr="008D45B0">
        <w:rPr>
          <w:b/>
          <w:sz w:val="28"/>
          <w:szCs w:val="28"/>
          <w:lang w:val="lv-LV"/>
        </w:rPr>
        <w:t>–</w:t>
      </w:r>
      <w:r w:rsidR="00D45BAA" w:rsidRPr="008D45B0">
        <w:rPr>
          <w:b/>
          <w:sz w:val="28"/>
          <w:szCs w:val="28"/>
          <w:lang w:val="lv-LV"/>
        </w:rPr>
        <w:t xml:space="preserve"> </w:t>
      </w:r>
      <w:r w:rsidR="003357A1" w:rsidRPr="008D45B0">
        <w:rPr>
          <w:b/>
          <w:sz w:val="28"/>
          <w:szCs w:val="28"/>
          <w:lang w:val="lv-LV"/>
        </w:rPr>
        <w:t>projekts šo jomu neskar</w:t>
      </w:r>
      <w:r w:rsidR="00D45BAA" w:rsidRPr="008D45B0">
        <w:rPr>
          <w:b/>
          <w:sz w:val="28"/>
          <w:szCs w:val="28"/>
          <w:lang w:val="lv-LV"/>
        </w:rPr>
        <w:t>.</w:t>
      </w:r>
    </w:p>
    <w:p w:rsidR="00EA3B33" w:rsidRPr="008D45B0" w:rsidRDefault="00EA3B33" w:rsidP="000D343A">
      <w:pPr>
        <w:pStyle w:val="NormalWeb"/>
        <w:spacing w:before="0" w:beforeAutospacing="0" w:after="0" w:afterAutospacing="0"/>
        <w:jc w:val="center"/>
        <w:rPr>
          <w:b/>
          <w:sz w:val="28"/>
          <w:szCs w:val="28"/>
          <w:lang w:val="lv-LV"/>
        </w:rPr>
      </w:pPr>
    </w:p>
    <w:tbl>
      <w:tblPr>
        <w:tblW w:w="5057" w:type="pct"/>
        <w:tblInd w:w="-104" w:type="dxa"/>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30" w:type="dxa"/>
          <w:left w:w="30" w:type="dxa"/>
          <w:bottom w:w="30" w:type="dxa"/>
          <w:right w:w="30" w:type="dxa"/>
        </w:tblCellMar>
        <w:tblLook w:val="04A0"/>
      </w:tblPr>
      <w:tblGrid>
        <w:gridCol w:w="652"/>
        <w:gridCol w:w="3378"/>
        <w:gridCol w:w="5205"/>
      </w:tblGrid>
      <w:tr w:rsidR="005A72B0" w:rsidRPr="005F771D" w:rsidTr="00124829">
        <w:tc>
          <w:tcPr>
            <w:tcW w:w="5000" w:type="pct"/>
            <w:gridSpan w:val="3"/>
            <w:vAlign w:val="center"/>
            <w:hideMark/>
          </w:tcPr>
          <w:p w:rsidR="005A72B0" w:rsidRPr="008D45B0" w:rsidRDefault="005A72B0" w:rsidP="005A72B0">
            <w:pPr>
              <w:spacing w:before="100" w:beforeAutospacing="1" w:after="100" w:afterAutospacing="1"/>
              <w:jc w:val="center"/>
              <w:rPr>
                <w:rFonts w:eastAsia="Times New Roman"/>
                <w:sz w:val="28"/>
                <w:szCs w:val="28"/>
                <w:lang w:val="lv-LV" w:eastAsia="lv-LV"/>
              </w:rPr>
            </w:pPr>
            <w:r w:rsidRPr="008D45B0">
              <w:rPr>
                <w:rFonts w:eastAsia="Times New Roman"/>
                <w:b/>
                <w:bCs/>
                <w:sz w:val="28"/>
                <w:szCs w:val="28"/>
                <w:bdr w:val="none" w:sz="0" w:space="0" w:color="auto" w:frame="1"/>
                <w:lang w:val="lv-LV" w:eastAsia="lv-LV"/>
              </w:rPr>
              <w:t>V. Tiesību akta projekta atbilstība Latvijas Republikas starptautiskajām saistībām</w:t>
            </w:r>
          </w:p>
        </w:tc>
      </w:tr>
      <w:tr w:rsidR="005A72B0" w:rsidRPr="005F771D" w:rsidTr="00124829">
        <w:tc>
          <w:tcPr>
            <w:tcW w:w="353"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1.</w:t>
            </w:r>
          </w:p>
        </w:tc>
        <w:tc>
          <w:tcPr>
            <w:tcW w:w="182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Saistības pret Eiropas Savienību</w:t>
            </w:r>
          </w:p>
        </w:tc>
        <w:tc>
          <w:tcPr>
            <w:tcW w:w="2818" w:type="pct"/>
            <w:hideMark/>
          </w:tcPr>
          <w:p w:rsidR="005A72B0" w:rsidRPr="008D45B0" w:rsidRDefault="004A5931" w:rsidP="005A72B0">
            <w:pPr>
              <w:spacing w:line="245" w:lineRule="atLeast"/>
              <w:rPr>
                <w:rFonts w:eastAsia="Times New Roman"/>
                <w:sz w:val="28"/>
                <w:szCs w:val="28"/>
                <w:lang w:val="lv-LV" w:eastAsia="lv-LV"/>
              </w:rPr>
            </w:pPr>
            <w:r w:rsidRPr="008D45B0">
              <w:rPr>
                <w:sz w:val="28"/>
                <w:szCs w:val="28"/>
                <w:lang w:val="lv-LV"/>
              </w:rPr>
              <w:t>Komisijas 2008.gada 6.augusta Regula (EK) Nr.800/2008, kas atzīst noteiktas atbalsta kategorijas par saderīgām ar kopējo tirgu, piemērojot Līguma 87. un 88.pantu (vispārējā grupu atbrīvojuma regula) (turpmāk – Regula Nr.800/2008).</w:t>
            </w:r>
          </w:p>
        </w:tc>
      </w:tr>
      <w:tr w:rsidR="005A72B0" w:rsidRPr="008D45B0" w:rsidTr="00124829">
        <w:tc>
          <w:tcPr>
            <w:tcW w:w="353"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2.</w:t>
            </w:r>
          </w:p>
        </w:tc>
        <w:tc>
          <w:tcPr>
            <w:tcW w:w="182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Citas starptautiskās saistības</w:t>
            </w:r>
          </w:p>
        </w:tc>
        <w:tc>
          <w:tcPr>
            <w:tcW w:w="2818" w:type="pct"/>
            <w:hideMark/>
          </w:tcPr>
          <w:p w:rsidR="005A72B0" w:rsidRPr="008D45B0" w:rsidRDefault="004A5931" w:rsidP="005A72B0">
            <w:pPr>
              <w:spacing w:line="245" w:lineRule="atLeast"/>
              <w:rPr>
                <w:rFonts w:eastAsia="Times New Roman"/>
                <w:sz w:val="28"/>
                <w:szCs w:val="28"/>
                <w:lang w:val="lv-LV" w:eastAsia="lv-LV"/>
              </w:rPr>
            </w:pPr>
            <w:r w:rsidRPr="008D45B0">
              <w:rPr>
                <w:rFonts w:eastAsia="Times New Roman"/>
                <w:sz w:val="28"/>
                <w:szCs w:val="28"/>
                <w:lang w:val="lv-LV" w:eastAsia="lv-LV"/>
              </w:rPr>
              <w:t xml:space="preserve"> Nav</w:t>
            </w:r>
          </w:p>
        </w:tc>
      </w:tr>
      <w:tr w:rsidR="005A72B0" w:rsidRPr="008D45B0" w:rsidTr="00124829">
        <w:trPr>
          <w:trHeight w:val="1305"/>
        </w:trPr>
        <w:tc>
          <w:tcPr>
            <w:tcW w:w="353"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3.</w:t>
            </w:r>
          </w:p>
        </w:tc>
        <w:tc>
          <w:tcPr>
            <w:tcW w:w="182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Cita informācija</w:t>
            </w:r>
          </w:p>
        </w:tc>
        <w:tc>
          <w:tcPr>
            <w:tcW w:w="2818" w:type="pct"/>
            <w:hideMark/>
          </w:tcPr>
          <w:p w:rsidR="005A72B0" w:rsidRPr="008D45B0" w:rsidRDefault="004A5931" w:rsidP="004A5931">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 xml:space="preserve"> </w:t>
            </w:r>
            <w:r w:rsidR="005A72B0" w:rsidRPr="008D45B0">
              <w:rPr>
                <w:rFonts w:eastAsia="Times New Roman"/>
                <w:sz w:val="28"/>
                <w:szCs w:val="28"/>
                <w:lang w:val="lv-LV" w:eastAsia="lv-LV"/>
              </w:rPr>
              <w:t>Nav</w:t>
            </w:r>
          </w:p>
        </w:tc>
      </w:tr>
    </w:tbl>
    <w:p w:rsidR="005A72B0" w:rsidRPr="008D45B0" w:rsidRDefault="005A72B0" w:rsidP="005A72B0">
      <w:pPr>
        <w:spacing w:line="245" w:lineRule="atLeast"/>
        <w:rPr>
          <w:rFonts w:ascii="Verdana" w:eastAsia="Times New Roman" w:hAnsi="Verdana"/>
          <w:vanish/>
          <w:color w:val="000000"/>
          <w:sz w:val="16"/>
          <w:lang w:val="lv-LV" w:eastAsia="lv-LV"/>
        </w:rPr>
      </w:pPr>
    </w:p>
    <w:tbl>
      <w:tblPr>
        <w:tblW w:w="5061" w:type="pct"/>
        <w:tblInd w:w="-112" w:type="dxa"/>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30" w:type="dxa"/>
          <w:left w:w="30" w:type="dxa"/>
          <w:bottom w:w="30" w:type="dxa"/>
          <w:right w:w="30" w:type="dxa"/>
        </w:tblCellMar>
        <w:tblLook w:val="04A0"/>
      </w:tblPr>
      <w:tblGrid>
        <w:gridCol w:w="1940"/>
        <w:gridCol w:w="1826"/>
        <w:gridCol w:w="2739"/>
        <w:gridCol w:w="2737"/>
      </w:tblGrid>
      <w:tr w:rsidR="005A72B0" w:rsidRPr="005F771D" w:rsidTr="00124829">
        <w:trPr>
          <w:trHeight w:val="510"/>
        </w:trPr>
        <w:tc>
          <w:tcPr>
            <w:tcW w:w="5000" w:type="pct"/>
            <w:gridSpan w:val="4"/>
            <w:vAlign w:val="center"/>
            <w:hideMark/>
          </w:tcPr>
          <w:p w:rsidR="005A72B0" w:rsidRPr="008D45B0" w:rsidRDefault="005A72B0" w:rsidP="005A72B0">
            <w:pPr>
              <w:spacing w:before="100" w:beforeAutospacing="1" w:after="100" w:afterAutospacing="1"/>
              <w:jc w:val="center"/>
              <w:rPr>
                <w:rFonts w:eastAsia="Times New Roman"/>
                <w:sz w:val="28"/>
                <w:szCs w:val="28"/>
                <w:lang w:val="lv-LV" w:eastAsia="lv-LV"/>
              </w:rPr>
            </w:pPr>
            <w:r w:rsidRPr="008D45B0">
              <w:rPr>
                <w:rFonts w:eastAsia="Times New Roman"/>
                <w:b/>
                <w:bCs/>
                <w:sz w:val="28"/>
                <w:szCs w:val="28"/>
                <w:bdr w:val="none" w:sz="0" w:space="0" w:color="auto" w:frame="1"/>
                <w:lang w:val="lv-LV" w:eastAsia="lv-LV"/>
              </w:rPr>
              <w:t>1.tabula</w:t>
            </w:r>
            <w:r w:rsidRPr="008D45B0">
              <w:rPr>
                <w:rFonts w:eastAsia="Times New Roman"/>
                <w:b/>
                <w:bCs/>
                <w:sz w:val="28"/>
                <w:szCs w:val="28"/>
                <w:bdr w:val="none" w:sz="0" w:space="0" w:color="auto" w:frame="1"/>
                <w:lang w:val="lv-LV" w:eastAsia="lv-LV"/>
              </w:rPr>
              <w:br/>
              <w:t>Tiesību akta projekta atbilstība ES tiesību aktiem</w:t>
            </w:r>
          </w:p>
        </w:tc>
      </w:tr>
      <w:tr w:rsidR="005A72B0" w:rsidRPr="005F771D" w:rsidTr="00124829">
        <w:tc>
          <w:tcPr>
            <w:tcW w:w="104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Attiecīgā ES tiesību akta datums, numurs un nosaukums</w:t>
            </w:r>
          </w:p>
        </w:tc>
        <w:tc>
          <w:tcPr>
            <w:tcW w:w="3951" w:type="pct"/>
            <w:gridSpan w:val="3"/>
            <w:hideMark/>
          </w:tcPr>
          <w:p w:rsidR="005A72B0" w:rsidRPr="008D45B0" w:rsidRDefault="00487543" w:rsidP="00860AB0">
            <w:pPr>
              <w:spacing w:line="245" w:lineRule="atLeast"/>
              <w:jc w:val="both"/>
              <w:rPr>
                <w:sz w:val="28"/>
                <w:szCs w:val="28"/>
                <w:lang w:val="lv-LV"/>
              </w:rPr>
            </w:pPr>
            <w:r w:rsidRPr="008D45B0">
              <w:rPr>
                <w:sz w:val="28"/>
                <w:szCs w:val="28"/>
                <w:lang w:val="lv-LV"/>
              </w:rPr>
              <w:t>Ar normatīvo aktu tiek ieviestas šāda Eiropas Savienības tiesību akta prasības:</w:t>
            </w:r>
          </w:p>
          <w:p w:rsidR="00487543" w:rsidRPr="008D45B0" w:rsidRDefault="00487543" w:rsidP="0068623A">
            <w:pPr>
              <w:spacing w:line="245" w:lineRule="atLeast"/>
              <w:jc w:val="both"/>
              <w:rPr>
                <w:rFonts w:eastAsia="Times New Roman"/>
                <w:sz w:val="28"/>
                <w:szCs w:val="28"/>
                <w:lang w:val="lv-LV" w:eastAsia="lv-LV"/>
              </w:rPr>
            </w:pPr>
            <w:r w:rsidRPr="008D45B0">
              <w:rPr>
                <w:sz w:val="28"/>
                <w:szCs w:val="28"/>
                <w:lang w:val="lv-LV"/>
              </w:rPr>
              <w:t>Komi</w:t>
            </w:r>
            <w:r w:rsidR="004A5931" w:rsidRPr="008D45B0">
              <w:rPr>
                <w:sz w:val="28"/>
                <w:szCs w:val="28"/>
                <w:lang w:val="lv-LV"/>
              </w:rPr>
              <w:t>sijas 2008.gada 6.augusta Regula</w:t>
            </w:r>
            <w:r w:rsidRPr="008D45B0">
              <w:rPr>
                <w:sz w:val="28"/>
                <w:szCs w:val="28"/>
                <w:lang w:val="lv-LV"/>
              </w:rPr>
              <w:t xml:space="preserve"> (EK) Nr.800/2008</w:t>
            </w:r>
            <w:r w:rsidR="0068623A" w:rsidRPr="008D45B0">
              <w:rPr>
                <w:sz w:val="28"/>
                <w:szCs w:val="28"/>
                <w:lang w:val="lv-LV"/>
              </w:rPr>
              <w:t>, kas atzīst noteiktas atbalsta kategorijas par saderīgām ar kopējo tirgu, piemērojot Līguma 87. un 88.pantu (vispārējā grupu atbrīvojuma regula) (turpmāk – Regula Nr.800/2008).</w:t>
            </w:r>
          </w:p>
        </w:tc>
      </w:tr>
      <w:tr w:rsidR="005A72B0" w:rsidRPr="008D45B0" w:rsidTr="00124829">
        <w:tc>
          <w:tcPr>
            <w:tcW w:w="1049" w:type="pct"/>
            <w:vAlign w:val="center"/>
            <w:hideMark/>
          </w:tcPr>
          <w:p w:rsidR="005A72B0" w:rsidRPr="008D45B0" w:rsidRDefault="005A72B0" w:rsidP="005A72B0">
            <w:pPr>
              <w:spacing w:before="100" w:beforeAutospacing="1" w:after="100" w:afterAutospacing="1"/>
              <w:jc w:val="center"/>
              <w:rPr>
                <w:rFonts w:eastAsia="Times New Roman"/>
                <w:sz w:val="28"/>
                <w:szCs w:val="28"/>
                <w:lang w:val="lv-LV" w:eastAsia="lv-LV"/>
              </w:rPr>
            </w:pPr>
            <w:r w:rsidRPr="008D45B0">
              <w:rPr>
                <w:rFonts w:eastAsia="Times New Roman"/>
                <w:sz w:val="28"/>
                <w:szCs w:val="28"/>
                <w:lang w:val="lv-LV" w:eastAsia="lv-LV"/>
              </w:rPr>
              <w:t>A</w:t>
            </w:r>
          </w:p>
        </w:tc>
        <w:tc>
          <w:tcPr>
            <w:tcW w:w="988" w:type="pct"/>
            <w:vAlign w:val="center"/>
            <w:hideMark/>
          </w:tcPr>
          <w:p w:rsidR="005A72B0" w:rsidRPr="008D45B0" w:rsidRDefault="005A72B0" w:rsidP="005A72B0">
            <w:pPr>
              <w:spacing w:before="100" w:beforeAutospacing="1" w:after="100" w:afterAutospacing="1"/>
              <w:jc w:val="center"/>
              <w:rPr>
                <w:rFonts w:eastAsia="Times New Roman"/>
                <w:sz w:val="28"/>
                <w:szCs w:val="28"/>
                <w:lang w:val="lv-LV" w:eastAsia="lv-LV"/>
              </w:rPr>
            </w:pPr>
            <w:r w:rsidRPr="008D45B0">
              <w:rPr>
                <w:rFonts w:eastAsia="Times New Roman"/>
                <w:sz w:val="28"/>
                <w:szCs w:val="28"/>
                <w:lang w:val="lv-LV" w:eastAsia="lv-LV"/>
              </w:rPr>
              <w:t>B</w:t>
            </w:r>
          </w:p>
        </w:tc>
        <w:tc>
          <w:tcPr>
            <w:tcW w:w="1482" w:type="pct"/>
            <w:vAlign w:val="center"/>
            <w:hideMark/>
          </w:tcPr>
          <w:p w:rsidR="005A72B0" w:rsidRPr="008D45B0" w:rsidRDefault="005A72B0" w:rsidP="005A72B0">
            <w:pPr>
              <w:spacing w:before="100" w:beforeAutospacing="1" w:after="100" w:afterAutospacing="1"/>
              <w:jc w:val="center"/>
              <w:rPr>
                <w:rFonts w:eastAsia="Times New Roman"/>
                <w:sz w:val="28"/>
                <w:szCs w:val="28"/>
                <w:lang w:val="lv-LV" w:eastAsia="lv-LV"/>
              </w:rPr>
            </w:pPr>
            <w:r w:rsidRPr="008D45B0">
              <w:rPr>
                <w:rFonts w:eastAsia="Times New Roman"/>
                <w:sz w:val="28"/>
                <w:szCs w:val="28"/>
                <w:lang w:val="lv-LV" w:eastAsia="lv-LV"/>
              </w:rPr>
              <w:t>C</w:t>
            </w:r>
          </w:p>
        </w:tc>
        <w:tc>
          <w:tcPr>
            <w:tcW w:w="1482" w:type="pct"/>
            <w:vAlign w:val="center"/>
            <w:hideMark/>
          </w:tcPr>
          <w:p w:rsidR="005A72B0" w:rsidRPr="008D45B0" w:rsidRDefault="005A72B0" w:rsidP="005A72B0">
            <w:pPr>
              <w:spacing w:before="100" w:beforeAutospacing="1" w:after="100" w:afterAutospacing="1"/>
              <w:jc w:val="center"/>
              <w:rPr>
                <w:rFonts w:eastAsia="Times New Roman"/>
                <w:sz w:val="28"/>
                <w:szCs w:val="28"/>
                <w:lang w:val="lv-LV" w:eastAsia="lv-LV"/>
              </w:rPr>
            </w:pPr>
            <w:r w:rsidRPr="008D45B0">
              <w:rPr>
                <w:rFonts w:eastAsia="Times New Roman"/>
                <w:sz w:val="28"/>
                <w:szCs w:val="28"/>
                <w:lang w:val="lv-LV" w:eastAsia="lv-LV"/>
              </w:rPr>
              <w:t>D</w:t>
            </w:r>
          </w:p>
        </w:tc>
      </w:tr>
      <w:tr w:rsidR="005A72B0" w:rsidRPr="005F771D" w:rsidTr="00124829">
        <w:tc>
          <w:tcPr>
            <w:tcW w:w="104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Attiecīgā ES tiesību akta panta numurs (uzskaitot katru tiesību akta vienību – pantu, daļu, punktu, apakšpunktu)</w:t>
            </w:r>
          </w:p>
        </w:tc>
        <w:tc>
          <w:tcPr>
            <w:tcW w:w="988"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 xml:space="preserve">Projekta vienība, kas pārņem vai ievieš katru šīs tabulas A ailē minēto ES tiesību akta vienību, vai tiesību akts, kur attiecīgā ES tiesību akta vienība pārņemta vai </w:t>
            </w:r>
            <w:r w:rsidRPr="008D45B0">
              <w:rPr>
                <w:rFonts w:eastAsia="Times New Roman"/>
                <w:sz w:val="28"/>
                <w:szCs w:val="28"/>
                <w:lang w:val="lv-LV" w:eastAsia="lv-LV"/>
              </w:rPr>
              <w:lastRenderedPageBreak/>
              <w:t>ieviesta</w:t>
            </w:r>
          </w:p>
        </w:tc>
        <w:tc>
          <w:tcPr>
            <w:tcW w:w="1482"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lastRenderedPageBreak/>
              <w:t>Informācija par to, vai šīs tabulas A ailē minētās ES tiesību akta vienības tiek pārņemtas vai ieviestas pilnībā vai daļēji.</w:t>
            </w:r>
          </w:p>
          <w:p w:rsidR="005A72B0" w:rsidRPr="008D45B0" w:rsidRDefault="005A72B0"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 xml:space="preserve">Ja attiecīgā ES tiesību akta vienība tiek pārņemta vai ieviesta daļēji, sniedz attiecīgu skaidrojumu, kā arī precīzi norāda, kad un </w:t>
            </w:r>
            <w:r w:rsidRPr="008D45B0">
              <w:rPr>
                <w:rFonts w:eastAsia="Times New Roman"/>
                <w:sz w:val="28"/>
                <w:szCs w:val="28"/>
                <w:lang w:val="lv-LV" w:eastAsia="lv-LV"/>
              </w:rPr>
              <w:lastRenderedPageBreak/>
              <w:t>kādā veidā ES tiesību akta vienība tiks pārņemta vai ieviesta pilnībā.</w:t>
            </w:r>
          </w:p>
          <w:p w:rsidR="005A72B0" w:rsidRPr="008D45B0" w:rsidRDefault="005A72B0"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Norāda institūciju, kas ir atbildīga par šo saistību izpildi pilnībā</w:t>
            </w:r>
          </w:p>
        </w:tc>
        <w:tc>
          <w:tcPr>
            <w:tcW w:w="1482"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lastRenderedPageBreak/>
              <w:t>Informācija par to, vai šīs tabulas B ailē minētās projekta vienības paredz stingrākas prasības nekā šīs tabulas A ailē minētās ES tiesību akta vienības.</w:t>
            </w:r>
          </w:p>
          <w:p w:rsidR="005A72B0" w:rsidRPr="008D45B0" w:rsidRDefault="005A72B0"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 xml:space="preserve">Ja projekts satur stingrākas prasības nekā attiecīgais ES tiesību akts, norāda </w:t>
            </w:r>
            <w:r w:rsidRPr="008D45B0">
              <w:rPr>
                <w:rFonts w:eastAsia="Times New Roman"/>
                <w:sz w:val="28"/>
                <w:szCs w:val="28"/>
                <w:lang w:val="lv-LV" w:eastAsia="lv-LV"/>
              </w:rPr>
              <w:lastRenderedPageBreak/>
              <w:t>pamatojumu un samērīgumu.</w:t>
            </w:r>
          </w:p>
          <w:p w:rsidR="005A72B0" w:rsidRPr="008D45B0" w:rsidRDefault="005A72B0"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A72B0" w:rsidRPr="008D45B0" w:rsidTr="00124829">
        <w:tc>
          <w:tcPr>
            <w:tcW w:w="1049" w:type="pct"/>
            <w:hideMark/>
          </w:tcPr>
          <w:p w:rsidR="005A72B0" w:rsidRPr="008D45B0" w:rsidRDefault="00FE2959" w:rsidP="005A72B0">
            <w:pPr>
              <w:spacing w:line="245" w:lineRule="atLeast"/>
              <w:rPr>
                <w:sz w:val="28"/>
                <w:szCs w:val="28"/>
                <w:lang w:val="lv-LV"/>
              </w:rPr>
            </w:pPr>
            <w:r w:rsidRPr="008D45B0">
              <w:rPr>
                <w:sz w:val="28"/>
                <w:szCs w:val="28"/>
                <w:lang w:val="lv-LV"/>
              </w:rPr>
              <w:lastRenderedPageBreak/>
              <w:t>Regulas Nr.800/2008 2.panta 10</w:t>
            </w:r>
            <w:r w:rsidR="0068623A" w:rsidRPr="008D45B0">
              <w:rPr>
                <w:sz w:val="28"/>
                <w:szCs w:val="28"/>
                <w:lang w:val="lv-LV"/>
              </w:rPr>
              <w:t>.punkts.</w:t>
            </w:r>
          </w:p>
          <w:p w:rsidR="006344DB" w:rsidRPr="008D45B0" w:rsidRDefault="006344DB" w:rsidP="005A72B0">
            <w:pPr>
              <w:spacing w:line="245" w:lineRule="atLeast"/>
              <w:rPr>
                <w:rFonts w:eastAsia="Times New Roman"/>
                <w:sz w:val="28"/>
                <w:szCs w:val="28"/>
                <w:lang w:val="lv-LV" w:eastAsia="lv-LV"/>
              </w:rPr>
            </w:pPr>
            <w:proofErr w:type="spellStart"/>
            <w:r w:rsidRPr="008D45B0">
              <w:rPr>
                <w:sz w:val="28"/>
                <w:szCs w:val="28"/>
              </w:rPr>
              <w:t>Regulas</w:t>
            </w:r>
            <w:proofErr w:type="spellEnd"/>
            <w:r w:rsidRPr="008D45B0">
              <w:rPr>
                <w:sz w:val="28"/>
                <w:szCs w:val="28"/>
              </w:rPr>
              <w:t xml:space="preserve"> Nr.800/2008 12.panta 1.punkta a) </w:t>
            </w:r>
            <w:proofErr w:type="spellStart"/>
            <w:r w:rsidRPr="008D45B0">
              <w:rPr>
                <w:sz w:val="28"/>
                <w:szCs w:val="28"/>
              </w:rPr>
              <w:t>apakšpunkts</w:t>
            </w:r>
            <w:proofErr w:type="spellEnd"/>
          </w:p>
        </w:tc>
        <w:tc>
          <w:tcPr>
            <w:tcW w:w="988" w:type="pct"/>
            <w:hideMark/>
          </w:tcPr>
          <w:p w:rsidR="005A72B0" w:rsidRPr="008D45B0" w:rsidRDefault="00FE2959" w:rsidP="005A72B0">
            <w:pPr>
              <w:spacing w:line="245" w:lineRule="atLeast"/>
              <w:rPr>
                <w:rFonts w:eastAsia="Times New Roman"/>
                <w:sz w:val="28"/>
                <w:szCs w:val="28"/>
                <w:lang w:val="de-DE" w:eastAsia="lv-LV"/>
              </w:rPr>
            </w:pPr>
            <w:r w:rsidRPr="008D45B0">
              <w:rPr>
                <w:rFonts w:eastAsia="Times New Roman"/>
                <w:sz w:val="28"/>
                <w:szCs w:val="28"/>
                <w:lang w:val="lv-LV" w:eastAsia="lv-LV"/>
              </w:rPr>
              <w:t xml:space="preserve">Ministru kabineta noteikumu </w:t>
            </w:r>
            <w:r w:rsidR="006344DB" w:rsidRPr="008D45B0">
              <w:rPr>
                <w:rFonts w:eastAsia="Times New Roman"/>
                <w:sz w:val="28"/>
                <w:szCs w:val="28"/>
                <w:lang w:val="lv-LV" w:eastAsia="lv-LV"/>
              </w:rPr>
              <w:t xml:space="preserve">projekta </w:t>
            </w:r>
            <w:r w:rsidRPr="008D45B0">
              <w:rPr>
                <w:rFonts w:eastAsia="Times New Roman"/>
                <w:sz w:val="28"/>
                <w:szCs w:val="28"/>
                <w:lang w:val="lv-LV" w:eastAsia="lv-LV"/>
              </w:rPr>
              <w:t>2</w:t>
            </w:r>
            <w:r w:rsidR="0068623A" w:rsidRPr="008D45B0">
              <w:rPr>
                <w:rFonts w:eastAsia="Times New Roman"/>
                <w:sz w:val="28"/>
                <w:szCs w:val="28"/>
                <w:lang w:val="lv-LV" w:eastAsia="lv-LV"/>
              </w:rPr>
              <w:t>.punkts.</w:t>
            </w:r>
            <w:r w:rsidR="006344DB" w:rsidRPr="008D45B0">
              <w:rPr>
                <w:rFonts w:eastAsia="Times New Roman"/>
                <w:sz w:val="28"/>
                <w:szCs w:val="28"/>
                <w:lang w:val="lv-LV" w:eastAsia="lv-LV"/>
              </w:rPr>
              <w:t xml:space="preserve"> </w:t>
            </w:r>
            <w:r w:rsidR="006344DB" w:rsidRPr="008D45B0">
              <w:rPr>
                <w:sz w:val="28"/>
                <w:szCs w:val="28"/>
                <w:lang w:val="de-DE"/>
              </w:rPr>
              <w:t>Ministru kabineta noteikumu projekta 3.punkts.</w:t>
            </w:r>
          </w:p>
        </w:tc>
        <w:tc>
          <w:tcPr>
            <w:tcW w:w="1482" w:type="pct"/>
            <w:hideMark/>
          </w:tcPr>
          <w:p w:rsidR="005A72B0" w:rsidRPr="008D45B0" w:rsidRDefault="0068623A"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Pārņem pilnībā.</w:t>
            </w:r>
          </w:p>
        </w:tc>
        <w:tc>
          <w:tcPr>
            <w:tcW w:w="1482" w:type="pct"/>
            <w:hideMark/>
          </w:tcPr>
          <w:p w:rsidR="005A72B0" w:rsidRPr="008D45B0" w:rsidRDefault="0068623A" w:rsidP="005A72B0">
            <w:pPr>
              <w:spacing w:before="100" w:beforeAutospacing="1" w:after="100" w:afterAutospacing="1"/>
              <w:rPr>
                <w:rFonts w:eastAsia="Times New Roman"/>
                <w:sz w:val="28"/>
                <w:szCs w:val="28"/>
                <w:lang w:val="lv-LV" w:eastAsia="lv-LV"/>
              </w:rPr>
            </w:pPr>
            <w:r w:rsidRPr="008D45B0">
              <w:rPr>
                <w:sz w:val="28"/>
                <w:szCs w:val="28"/>
                <w:lang w:val="lv-LV"/>
              </w:rPr>
              <w:t>Neparedz stingrākas prasības.</w:t>
            </w:r>
          </w:p>
        </w:tc>
      </w:tr>
      <w:tr w:rsidR="005A72B0" w:rsidRPr="005F771D" w:rsidTr="00124829">
        <w:tc>
          <w:tcPr>
            <w:tcW w:w="104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Kā ir izmantota ES tiesību aktā paredzētā rīcības brīvība dalībvalstij pārņemt vai ieviest noteiktas ES tiesību akta normas?</w:t>
            </w:r>
          </w:p>
          <w:p w:rsidR="005A72B0" w:rsidRPr="008D45B0" w:rsidRDefault="005A72B0"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Kādēļ?</w:t>
            </w:r>
          </w:p>
        </w:tc>
        <w:tc>
          <w:tcPr>
            <w:tcW w:w="3951" w:type="pct"/>
            <w:gridSpan w:val="3"/>
            <w:hideMark/>
          </w:tcPr>
          <w:p w:rsidR="00FE2959" w:rsidRPr="008D45B0" w:rsidRDefault="00FE2959" w:rsidP="00FC21D1">
            <w:pPr>
              <w:pStyle w:val="naiskr"/>
              <w:jc w:val="both"/>
              <w:rPr>
                <w:iCs/>
                <w:sz w:val="28"/>
                <w:szCs w:val="28"/>
              </w:rPr>
            </w:pPr>
            <w:r w:rsidRPr="008D45B0">
              <w:rPr>
                <w:iCs/>
                <w:sz w:val="28"/>
                <w:szCs w:val="28"/>
              </w:rPr>
              <w:t>Lai sniegtu reģionālo valsts atbalstu, kā arī piešķirtu struktūrfondu līdzfinansējumu,  dalī</w:t>
            </w:r>
            <w:r w:rsidR="00FC21D1" w:rsidRPr="008D45B0">
              <w:rPr>
                <w:iCs/>
                <w:sz w:val="28"/>
                <w:szCs w:val="28"/>
              </w:rPr>
              <w:t>bvalstij ir obligāti jāpiemēro R</w:t>
            </w:r>
            <w:r w:rsidRPr="008D45B0">
              <w:rPr>
                <w:iCs/>
                <w:sz w:val="28"/>
                <w:szCs w:val="28"/>
              </w:rPr>
              <w:t>egula Nr.800/2008;</w:t>
            </w:r>
          </w:p>
          <w:p w:rsidR="005A72B0" w:rsidRPr="008D45B0" w:rsidRDefault="005A72B0" w:rsidP="00FE2959">
            <w:pPr>
              <w:spacing w:line="245" w:lineRule="atLeast"/>
              <w:rPr>
                <w:rFonts w:eastAsia="Times New Roman"/>
                <w:sz w:val="28"/>
                <w:szCs w:val="28"/>
                <w:lang w:val="lv-LV" w:eastAsia="lv-LV"/>
              </w:rPr>
            </w:pPr>
          </w:p>
        </w:tc>
      </w:tr>
      <w:tr w:rsidR="005A72B0" w:rsidRPr="005F771D" w:rsidTr="00124829">
        <w:tc>
          <w:tcPr>
            <w:tcW w:w="104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t xml:space="preserve">Saistības sniegt paziņojumu ES institūcijām un ES </w:t>
            </w:r>
            <w:r w:rsidRPr="008D45B0">
              <w:rPr>
                <w:rFonts w:eastAsia="Times New Roman"/>
                <w:sz w:val="28"/>
                <w:szCs w:val="28"/>
                <w:lang w:val="lv-LV"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951" w:type="pct"/>
            <w:gridSpan w:val="3"/>
            <w:hideMark/>
          </w:tcPr>
          <w:p w:rsidR="005A72B0" w:rsidRPr="008D45B0" w:rsidRDefault="004A5931" w:rsidP="00FC21D1">
            <w:pPr>
              <w:spacing w:line="245" w:lineRule="atLeast"/>
              <w:jc w:val="both"/>
              <w:rPr>
                <w:rFonts w:eastAsia="Times New Roman"/>
                <w:sz w:val="28"/>
                <w:szCs w:val="28"/>
                <w:lang w:val="lv-LV" w:eastAsia="lv-LV"/>
              </w:rPr>
            </w:pPr>
            <w:r w:rsidRPr="008D45B0">
              <w:rPr>
                <w:iCs/>
                <w:sz w:val="28"/>
                <w:szCs w:val="28"/>
                <w:lang w:val="lv-LV"/>
              </w:rPr>
              <w:lastRenderedPageBreak/>
              <w:t>Paziņojumu Eiropas Komisijai (turpmāk – EK) nav nepieciešams sniegt, jo MK noteikumu projekts saskaņā ar Regulas Nr.800/2008 3.pantu ir atbrīvots no iepriekšējas paziņošanas EK.</w:t>
            </w:r>
            <w:r w:rsidRPr="008D45B0">
              <w:rPr>
                <w:iCs/>
                <w:lang w:val="lv-LV"/>
              </w:rPr>
              <w:t xml:space="preserve"> </w:t>
            </w:r>
            <w:r w:rsidRPr="008D45B0">
              <w:rPr>
                <w:iCs/>
                <w:sz w:val="28"/>
                <w:szCs w:val="28"/>
                <w:lang w:val="lv-LV"/>
              </w:rPr>
              <w:t xml:space="preserve">Par atbalsta programmu saskaņā ar Regulas </w:t>
            </w:r>
            <w:r w:rsidRPr="008D45B0">
              <w:rPr>
                <w:iCs/>
                <w:sz w:val="28"/>
                <w:szCs w:val="28"/>
                <w:lang w:val="lv-LV"/>
              </w:rPr>
              <w:lastRenderedPageBreak/>
              <w:t xml:space="preserve">Nr.800/2008 9.pantu EK ir jānosūta </w:t>
            </w:r>
            <w:r w:rsidR="006344DB" w:rsidRPr="008D45B0">
              <w:rPr>
                <w:sz w:val="28"/>
                <w:szCs w:val="28"/>
                <w:lang w:val="lv-LV"/>
              </w:rPr>
              <w:t xml:space="preserve">informācijas kopsavilkuma veidlapa </w:t>
            </w:r>
            <w:r w:rsidRPr="008D45B0">
              <w:rPr>
                <w:iCs/>
                <w:sz w:val="28"/>
                <w:szCs w:val="28"/>
                <w:lang w:val="lv-LV"/>
              </w:rPr>
              <w:t>20 darba dienu laikā pēc MK noteikumu spēkā stāšanās.</w:t>
            </w:r>
          </w:p>
        </w:tc>
      </w:tr>
      <w:tr w:rsidR="005A72B0" w:rsidRPr="008D45B0" w:rsidTr="00124829">
        <w:tc>
          <w:tcPr>
            <w:tcW w:w="1049" w:type="pct"/>
            <w:hideMark/>
          </w:tcPr>
          <w:p w:rsidR="005A72B0" w:rsidRPr="008D45B0" w:rsidRDefault="005A72B0" w:rsidP="005A72B0">
            <w:pPr>
              <w:spacing w:line="245" w:lineRule="atLeast"/>
              <w:rPr>
                <w:rFonts w:eastAsia="Times New Roman"/>
                <w:sz w:val="28"/>
                <w:szCs w:val="28"/>
                <w:lang w:val="lv-LV" w:eastAsia="lv-LV"/>
              </w:rPr>
            </w:pPr>
            <w:r w:rsidRPr="008D45B0">
              <w:rPr>
                <w:rFonts w:eastAsia="Times New Roman"/>
                <w:sz w:val="28"/>
                <w:szCs w:val="28"/>
                <w:lang w:val="lv-LV" w:eastAsia="lv-LV"/>
              </w:rPr>
              <w:lastRenderedPageBreak/>
              <w:t>Cita informācija</w:t>
            </w:r>
          </w:p>
        </w:tc>
        <w:tc>
          <w:tcPr>
            <w:tcW w:w="3951" w:type="pct"/>
            <w:gridSpan w:val="3"/>
            <w:hideMark/>
          </w:tcPr>
          <w:p w:rsidR="005A72B0" w:rsidRPr="008D45B0" w:rsidRDefault="004A5931" w:rsidP="005A72B0">
            <w:pPr>
              <w:spacing w:before="100" w:beforeAutospacing="1" w:after="100" w:afterAutospacing="1"/>
              <w:rPr>
                <w:rFonts w:eastAsia="Times New Roman"/>
                <w:sz w:val="28"/>
                <w:szCs w:val="28"/>
                <w:lang w:val="lv-LV" w:eastAsia="lv-LV"/>
              </w:rPr>
            </w:pPr>
            <w:r w:rsidRPr="008D45B0">
              <w:rPr>
                <w:rFonts w:eastAsia="Times New Roman"/>
                <w:sz w:val="28"/>
                <w:szCs w:val="28"/>
                <w:lang w:val="lv-LV" w:eastAsia="lv-LV"/>
              </w:rPr>
              <w:t xml:space="preserve"> </w:t>
            </w:r>
            <w:r w:rsidR="005A72B0" w:rsidRPr="008D45B0">
              <w:rPr>
                <w:rFonts w:eastAsia="Times New Roman"/>
                <w:sz w:val="28"/>
                <w:szCs w:val="28"/>
                <w:lang w:val="lv-LV" w:eastAsia="lv-LV"/>
              </w:rPr>
              <w:t>Nav</w:t>
            </w:r>
          </w:p>
        </w:tc>
      </w:tr>
    </w:tbl>
    <w:p w:rsidR="005A72B0" w:rsidRPr="008D45B0" w:rsidRDefault="005A72B0" w:rsidP="005A72B0">
      <w:pPr>
        <w:spacing w:line="245" w:lineRule="atLeast"/>
        <w:rPr>
          <w:rFonts w:ascii="Verdana" w:eastAsia="Times New Roman" w:hAnsi="Verdana"/>
          <w:vanish/>
          <w:color w:val="000000"/>
          <w:sz w:val="16"/>
          <w:lang w:val="lv-LV" w:eastAsia="lv-LV"/>
        </w:rPr>
      </w:pPr>
    </w:p>
    <w:p w:rsidR="00EA3B33" w:rsidRPr="008D45B0" w:rsidRDefault="00EA3B33" w:rsidP="000D343A">
      <w:pPr>
        <w:pStyle w:val="NormalWeb"/>
        <w:spacing w:before="0" w:beforeAutospacing="0" w:after="0" w:afterAutospacing="0"/>
        <w:jc w:val="center"/>
        <w:rPr>
          <w:b/>
          <w:sz w:val="28"/>
          <w:szCs w:val="28"/>
          <w:lang w:val="lv-LV"/>
        </w:rPr>
      </w:pPr>
    </w:p>
    <w:p w:rsidR="00EA3B33" w:rsidRPr="008D45B0" w:rsidRDefault="00EA3B33" w:rsidP="000D343A">
      <w:pPr>
        <w:pStyle w:val="NormalWeb"/>
        <w:spacing w:before="0" w:beforeAutospacing="0" w:after="0" w:afterAutospacing="0"/>
        <w:jc w:val="center"/>
        <w:rPr>
          <w:b/>
          <w:sz w:val="28"/>
          <w:szCs w:val="28"/>
          <w:lang w:val="lv-LV"/>
        </w:rPr>
      </w:pPr>
      <w:r w:rsidRPr="008D45B0">
        <w:rPr>
          <w:b/>
          <w:sz w:val="28"/>
          <w:szCs w:val="28"/>
          <w:lang w:val="lv-LV"/>
        </w:rPr>
        <w:t>Anotācijas VI sadaļa - projekts šo jomu neskar.</w:t>
      </w:r>
    </w:p>
    <w:p w:rsidR="001B5ADF" w:rsidRPr="008D45B0" w:rsidRDefault="001B5ADF" w:rsidP="000D343A">
      <w:pPr>
        <w:pStyle w:val="NormalWeb"/>
        <w:spacing w:before="0" w:beforeAutospacing="0" w:after="0" w:afterAutospacing="0"/>
        <w:rPr>
          <w:b/>
          <w:sz w:val="28"/>
          <w:szCs w:val="28"/>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544"/>
        <w:gridCol w:w="5812"/>
      </w:tblGrid>
      <w:tr w:rsidR="00D45BAA" w:rsidRPr="005F771D" w:rsidTr="00214BE6">
        <w:tc>
          <w:tcPr>
            <w:tcW w:w="9356" w:type="dxa"/>
            <w:gridSpan w:val="2"/>
          </w:tcPr>
          <w:p w:rsidR="00D45BAA" w:rsidRPr="008D45B0" w:rsidRDefault="00D45BAA" w:rsidP="00BB3D21">
            <w:pPr>
              <w:spacing w:before="120" w:after="120"/>
              <w:jc w:val="center"/>
              <w:rPr>
                <w:b/>
                <w:sz w:val="28"/>
                <w:szCs w:val="28"/>
                <w:lang w:val="lv-LV" w:eastAsia="lv-LV"/>
              </w:rPr>
            </w:pPr>
            <w:r w:rsidRPr="008D45B0">
              <w:rPr>
                <w:b/>
                <w:sz w:val="28"/>
                <w:szCs w:val="28"/>
                <w:lang w:val="lv-LV" w:eastAsia="lv-LV"/>
              </w:rPr>
              <w:t>VII. Tiesību akta projekta izpildes nodrošināšana un tās ietekme uz institūcijām</w:t>
            </w:r>
          </w:p>
        </w:tc>
      </w:tr>
      <w:tr w:rsidR="00D45BAA" w:rsidRPr="005F771D" w:rsidTr="00214BE6">
        <w:tc>
          <w:tcPr>
            <w:tcW w:w="3544" w:type="dxa"/>
          </w:tcPr>
          <w:p w:rsidR="00D45BAA" w:rsidRPr="008D45B0" w:rsidRDefault="00D45BAA" w:rsidP="000D343A">
            <w:pPr>
              <w:rPr>
                <w:sz w:val="28"/>
                <w:szCs w:val="28"/>
                <w:lang w:val="lv-LV" w:eastAsia="lv-LV"/>
              </w:rPr>
            </w:pPr>
            <w:r w:rsidRPr="008D45B0">
              <w:rPr>
                <w:sz w:val="28"/>
                <w:szCs w:val="28"/>
                <w:lang w:val="lv-LV" w:eastAsia="lv-LV"/>
              </w:rPr>
              <w:t>1. Projekta izpildē iesaistītās institūcijas</w:t>
            </w:r>
          </w:p>
        </w:tc>
        <w:tc>
          <w:tcPr>
            <w:tcW w:w="5812" w:type="dxa"/>
          </w:tcPr>
          <w:p w:rsidR="007C1E82" w:rsidRPr="008D45B0" w:rsidRDefault="00D45BAA" w:rsidP="00BB3D21">
            <w:pPr>
              <w:spacing w:before="120" w:after="120"/>
              <w:ind w:firstLine="720"/>
              <w:jc w:val="both"/>
              <w:rPr>
                <w:sz w:val="28"/>
                <w:szCs w:val="28"/>
                <w:lang w:val="lv-LV" w:eastAsia="lv-LV"/>
              </w:rPr>
            </w:pPr>
            <w:r w:rsidRPr="008D45B0">
              <w:rPr>
                <w:sz w:val="28"/>
                <w:szCs w:val="28"/>
                <w:lang w:val="lv-LV"/>
              </w:rPr>
              <w:t xml:space="preserve">Noteikumu projekta izpildē ir iesaistīta Ekonomikas ministrija un </w:t>
            </w:r>
            <w:r w:rsidR="003A16D0" w:rsidRPr="008D45B0">
              <w:rPr>
                <w:sz w:val="28"/>
                <w:szCs w:val="28"/>
                <w:lang w:val="lv-LV"/>
              </w:rPr>
              <w:t>valsts aģentūra „Latvijas Investīciju un attīstības aģentūra”</w:t>
            </w:r>
            <w:r w:rsidRPr="008D45B0">
              <w:rPr>
                <w:sz w:val="28"/>
                <w:szCs w:val="28"/>
                <w:lang w:val="lv-LV"/>
              </w:rPr>
              <w:t>.</w:t>
            </w:r>
          </w:p>
        </w:tc>
      </w:tr>
      <w:tr w:rsidR="00D45BAA" w:rsidRPr="005F771D" w:rsidTr="00214BE6">
        <w:tc>
          <w:tcPr>
            <w:tcW w:w="3544" w:type="dxa"/>
          </w:tcPr>
          <w:p w:rsidR="00D45BAA" w:rsidRPr="008D45B0" w:rsidRDefault="00D45BAA" w:rsidP="000D343A">
            <w:pPr>
              <w:rPr>
                <w:sz w:val="28"/>
                <w:szCs w:val="28"/>
                <w:lang w:val="lv-LV" w:eastAsia="lv-LV"/>
              </w:rPr>
            </w:pPr>
            <w:r w:rsidRPr="008D45B0">
              <w:rPr>
                <w:sz w:val="28"/>
                <w:szCs w:val="28"/>
                <w:lang w:val="lv-LV" w:eastAsia="lv-LV"/>
              </w:rPr>
              <w:t>2. Projekta izpildes ietekme uz pārvaldes funkcijā</w:t>
            </w:r>
          </w:p>
        </w:tc>
        <w:tc>
          <w:tcPr>
            <w:tcW w:w="5812" w:type="dxa"/>
          </w:tcPr>
          <w:p w:rsidR="007C1E82" w:rsidRPr="008D45B0" w:rsidRDefault="00D45BAA" w:rsidP="00BB3D21">
            <w:pPr>
              <w:spacing w:before="120" w:after="120"/>
              <w:ind w:firstLine="720"/>
              <w:jc w:val="both"/>
              <w:rPr>
                <w:sz w:val="28"/>
                <w:szCs w:val="28"/>
                <w:lang w:val="lv-LV"/>
              </w:rPr>
            </w:pPr>
            <w:r w:rsidRPr="008D45B0">
              <w:rPr>
                <w:sz w:val="28"/>
                <w:szCs w:val="28"/>
                <w:lang w:val="lv-LV"/>
              </w:rPr>
              <w:t xml:space="preserve">Noteikumu projekta izpildi nodrošinās </w:t>
            </w:r>
            <w:r w:rsidR="003A16D0" w:rsidRPr="008D45B0">
              <w:rPr>
                <w:sz w:val="28"/>
                <w:szCs w:val="28"/>
                <w:lang w:val="lv-LV"/>
              </w:rPr>
              <w:t>valsts aģentūra „Latvijas Investīciju un attīstības aģentūra”</w:t>
            </w:r>
            <w:r w:rsidRPr="008D45B0">
              <w:rPr>
                <w:sz w:val="28"/>
                <w:szCs w:val="28"/>
                <w:lang w:val="lv-LV"/>
              </w:rPr>
              <w:t>.</w:t>
            </w:r>
          </w:p>
        </w:tc>
      </w:tr>
      <w:tr w:rsidR="00D45BAA" w:rsidRPr="005F771D" w:rsidTr="00214BE6">
        <w:trPr>
          <w:trHeight w:val="930"/>
        </w:trPr>
        <w:tc>
          <w:tcPr>
            <w:tcW w:w="3544" w:type="dxa"/>
          </w:tcPr>
          <w:p w:rsidR="00D45BAA" w:rsidRPr="008D45B0" w:rsidRDefault="00D45BAA" w:rsidP="000D343A">
            <w:pPr>
              <w:rPr>
                <w:sz w:val="28"/>
                <w:szCs w:val="28"/>
                <w:lang w:val="lv-LV" w:eastAsia="lv-LV"/>
              </w:rPr>
            </w:pPr>
            <w:r w:rsidRPr="008D45B0">
              <w:rPr>
                <w:sz w:val="28"/>
                <w:szCs w:val="28"/>
                <w:lang w:val="lv-LV" w:eastAsia="lv-LV"/>
              </w:rPr>
              <w:t>3. Projekta izpildes ietekme uz pārvaldes institucionālo struktūru. Jaunu institūciju izveide</w:t>
            </w:r>
          </w:p>
        </w:tc>
        <w:tc>
          <w:tcPr>
            <w:tcW w:w="5812" w:type="dxa"/>
          </w:tcPr>
          <w:p w:rsidR="007C1E82" w:rsidRPr="008D45B0" w:rsidRDefault="00D45BAA" w:rsidP="00BB3D21">
            <w:pPr>
              <w:spacing w:before="120" w:after="120"/>
              <w:ind w:firstLine="720"/>
              <w:jc w:val="both"/>
              <w:rPr>
                <w:sz w:val="28"/>
                <w:szCs w:val="28"/>
                <w:lang w:val="lv-LV" w:eastAsia="lv-LV"/>
              </w:rPr>
            </w:pPr>
            <w:r w:rsidRPr="008D45B0">
              <w:rPr>
                <w:sz w:val="28"/>
                <w:szCs w:val="28"/>
                <w:lang w:val="lv-LV"/>
              </w:rPr>
              <w:t>Noteikumu projekta izpildei nav nepieciešams radīt jaunas institūcijas.</w:t>
            </w:r>
          </w:p>
        </w:tc>
      </w:tr>
      <w:tr w:rsidR="00D45BAA" w:rsidRPr="005F771D" w:rsidTr="00BD44E9">
        <w:trPr>
          <w:trHeight w:val="366"/>
        </w:trPr>
        <w:tc>
          <w:tcPr>
            <w:tcW w:w="3544" w:type="dxa"/>
          </w:tcPr>
          <w:p w:rsidR="00D45BAA" w:rsidRPr="008D45B0" w:rsidRDefault="00D45BAA" w:rsidP="000D343A">
            <w:pPr>
              <w:rPr>
                <w:sz w:val="28"/>
                <w:szCs w:val="28"/>
                <w:lang w:val="lv-LV" w:eastAsia="lv-LV"/>
              </w:rPr>
            </w:pPr>
            <w:r w:rsidRPr="008D45B0">
              <w:rPr>
                <w:sz w:val="28"/>
                <w:szCs w:val="28"/>
                <w:lang w:val="lv-LV" w:eastAsia="lv-LV"/>
              </w:rPr>
              <w:t xml:space="preserve">4. Projekta izpildes ietekmes uz pārvaldes institucionālo struktūru. Esošu institūciju </w:t>
            </w:r>
            <w:r w:rsidRPr="008D45B0">
              <w:rPr>
                <w:sz w:val="28"/>
                <w:szCs w:val="28"/>
                <w:lang w:val="lv-LV" w:eastAsia="lv-LV"/>
              </w:rPr>
              <w:lastRenderedPageBreak/>
              <w:t>likvidācija</w:t>
            </w:r>
          </w:p>
        </w:tc>
        <w:tc>
          <w:tcPr>
            <w:tcW w:w="5812" w:type="dxa"/>
          </w:tcPr>
          <w:p w:rsidR="007C1E82" w:rsidRPr="008D45B0" w:rsidRDefault="00D45BAA" w:rsidP="00BB3D21">
            <w:pPr>
              <w:spacing w:before="120" w:after="120"/>
              <w:ind w:firstLine="720"/>
              <w:jc w:val="both"/>
              <w:rPr>
                <w:sz w:val="28"/>
                <w:szCs w:val="28"/>
                <w:lang w:val="lv-LV" w:eastAsia="lv-LV"/>
              </w:rPr>
            </w:pPr>
            <w:r w:rsidRPr="008D45B0">
              <w:rPr>
                <w:sz w:val="28"/>
                <w:szCs w:val="28"/>
                <w:lang w:val="lv-LV"/>
              </w:rPr>
              <w:lastRenderedPageBreak/>
              <w:t>Noteikumu projekta izpildei nav nepieciešams likvidēt esošās institūcijas.</w:t>
            </w:r>
          </w:p>
        </w:tc>
      </w:tr>
      <w:tr w:rsidR="00D45BAA" w:rsidRPr="005F771D" w:rsidTr="00214BE6">
        <w:trPr>
          <w:trHeight w:val="912"/>
        </w:trPr>
        <w:tc>
          <w:tcPr>
            <w:tcW w:w="3544" w:type="dxa"/>
          </w:tcPr>
          <w:p w:rsidR="00D45BAA" w:rsidRPr="008D45B0" w:rsidRDefault="00D45BAA" w:rsidP="000D343A">
            <w:pPr>
              <w:rPr>
                <w:sz w:val="28"/>
                <w:szCs w:val="28"/>
                <w:lang w:val="lv-LV" w:eastAsia="lv-LV"/>
              </w:rPr>
            </w:pPr>
            <w:r w:rsidRPr="008D45B0">
              <w:rPr>
                <w:sz w:val="28"/>
                <w:szCs w:val="28"/>
                <w:lang w:val="lv-LV" w:eastAsia="lv-LV"/>
              </w:rPr>
              <w:lastRenderedPageBreak/>
              <w:t>5. Projekta izpildes ietekmes uz pārvaldes institucionālo struktūru. Esošu institūciju reorganizācija</w:t>
            </w:r>
          </w:p>
        </w:tc>
        <w:tc>
          <w:tcPr>
            <w:tcW w:w="5812" w:type="dxa"/>
          </w:tcPr>
          <w:p w:rsidR="007C1E82" w:rsidRPr="008D45B0" w:rsidRDefault="00D45BAA" w:rsidP="00BB3D21">
            <w:pPr>
              <w:spacing w:before="120" w:after="120"/>
              <w:ind w:firstLine="720"/>
              <w:jc w:val="both"/>
              <w:rPr>
                <w:sz w:val="28"/>
                <w:szCs w:val="28"/>
                <w:lang w:val="lv-LV" w:eastAsia="lv-LV"/>
              </w:rPr>
            </w:pPr>
            <w:r w:rsidRPr="008D45B0">
              <w:rPr>
                <w:sz w:val="28"/>
                <w:szCs w:val="28"/>
                <w:lang w:val="lv-LV"/>
              </w:rPr>
              <w:t>Noteikumu projekta izpildei nav nepieciešams reorganizēt esošās institūcijas.</w:t>
            </w:r>
          </w:p>
        </w:tc>
      </w:tr>
      <w:tr w:rsidR="00D45BAA" w:rsidRPr="008D45B0" w:rsidTr="00214BE6">
        <w:tc>
          <w:tcPr>
            <w:tcW w:w="3544" w:type="dxa"/>
          </w:tcPr>
          <w:p w:rsidR="00D45BAA" w:rsidRPr="008D45B0" w:rsidRDefault="00D45BAA" w:rsidP="000D343A">
            <w:pPr>
              <w:rPr>
                <w:sz w:val="28"/>
                <w:szCs w:val="28"/>
                <w:lang w:val="lv-LV" w:eastAsia="lv-LV"/>
              </w:rPr>
            </w:pPr>
            <w:r w:rsidRPr="008D45B0">
              <w:rPr>
                <w:sz w:val="28"/>
                <w:szCs w:val="28"/>
                <w:lang w:val="lv-LV" w:eastAsia="lv-LV"/>
              </w:rPr>
              <w:t>6. Cita informācija</w:t>
            </w:r>
          </w:p>
        </w:tc>
        <w:tc>
          <w:tcPr>
            <w:tcW w:w="5812" w:type="dxa"/>
          </w:tcPr>
          <w:p w:rsidR="00D45BAA" w:rsidRPr="008D45B0" w:rsidRDefault="00D45BAA" w:rsidP="000D343A">
            <w:pPr>
              <w:rPr>
                <w:sz w:val="28"/>
                <w:szCs w:val="28"/>
                <w:lang w:val="lv-LV" w:eastAsia="lv-LV"/>
              </w:rPr>
            </w:pPr>
            <w:r w:rsidRPr="008D45B0">
              <w:rPr>
                <w:sz w:val="28"/>
                <w:szCs w:val="28"/>
                <w:lang w:val="lv-LV" w:eastAsia="lv-LV"/>
              </w:rPr>
              <w:t>Nav.</w:t>
            </w:r>
          </w:p>
        </w:tc>
      </w:tr>
    </w:tbl>
    <w:p w:rsidR="00D45BAA" w:rsidRPr="008D45B0" w:rsidRDefault="00D45BAA" w:rsidP="000D343A">
      <w:pPr>
        <w:tabs>
          <w:tab w:val="left" w:pos="7655"/>
        </w:tabs>
        <w:jc w:val="both"/>
        <w:rPr>
          <w:bCs/>
          <w:sz w:val="28"/>
          <w:szCs w:val="28"/>
          <w:lang w:val="lv-LV"/>
        </w:rPr>
      </w:pPr>
    </w:p>
    <w:p w:rsidR="00C643CE" w:rsidRPr="008D45B0" w:rsidRDefault="00C643CE" w:rsidP="000D343A">
      <w:pPr>
        <w:tabs>
          <w:tab w:val="left" w:pos="7655"/>
        </w:tabs>
        <w:jc w:val="both"/>
        <w:rPr>
          <w:bCs/>
          <w:sz w:val="28"/>
          <w:szCs w:val="28"/>
          <w:lang w:val="lv-LV"/>
        </w:rPr>
      </w:pPr>
    </w:p>
    <w:p w:rsidR="00BD44E9" w:rsidRPr="008D45B0" w:rsidRDefault="00BD44E9" w:rsidP="000D343A">
      <w:pPr>
        <w:tabs>
          <w:tab w:val="left" w:pos="7655"/>
        </w:tabs>
        <w:jc w:val="both"/>
        <w:rPr>
          <w:bCs/>
          <w:sz w:val="28"/>
          <w:szCs w:val="28"/>
          <w:lang w:val="lv-LV"/>
        </w:rPr>
      </w:pPr>
    </w:p>
    <w:p w:rsidR="00D45BAA" w:rsidRPr="008D45B0" w:rsidRDefault="00D45BAA" w:rsidP="000D343A">
      <w:pPr>
        <w:tabs>
          <w:tab w:val="left" w:pos="7655"/>
        </w:tabs>
        <w:jc w:val="both"/>
        <w:rPr>
          <w:bCs/>
          <w:sz w:val="28"/>
          <w:szCs w:val="28"/>
          <w:lang w:val="lv-LV"/>
        </w:rPr>
      </w:pPr>
      <w:r w:rsidRPr="008D45B0">
        <w:rPr>
          <w:bCs/>
          <w:sz w:val="28"/>
          <w:szCs w:val="28"/>
          <w:lang w:val="lv-LV"/>
        </w:rPr>
        <w:t>Ekonomikas ministrs</w:t>
      </w:r>
      <w:r w:rsidRPr="008D45B0">
        <w:rPr>
          <w:bCs/>
          <w:sz w:val="28"/>
          <w:szCs w:val="28"/>
          <w:lang w:val="lv-LV"/>
        </w:rPr>
        <w:tab/>
      </w:r>
      <w:r w:rsidR="00A71316" w:rsidRPr="008D45B0">
        <w:rPr>
          <w:bCs/>
          <w:sz w:val="28"/>
          <w:szCs w:val="28"/>
          <w:lang w:val="lv-LV"/>
        </w:rPr>
        <w:t xml:space="preserve"> </w:t>
      </w:r>
      <w:r w:rsidRPr="008D45B0">
        <w:rPr>
          <w:bCs/>
          <w:sz w:val="28"/>
          <w:szCs w:val="28"/>
          <w:lang w:val="lv-LV"/>
        </w:rPr>
        <w:t>A.Kampars</w:t>
      </w:r>
    </w:p>
    <w:p w:rsidR="00D45BAA" w:rsidRPr="008D45B0" w:rsidRDefault="00D45BAA" w:rsidP="000D343A">
      <w:pPr>
        <w:pStyle w:val="EnvelopeReturn"/>
        <w:jc w:val="both"/>
        <w:rPr>
          <w:rFonts w:ascii="Times New Roman" w:hAnsi="Times New Roman"/>
          <w:color w:val="000000"/>
          <w:sz w:val="28"/>
          <w:szCs w:val="28"/>
          <w:lang w:val="lv-LV"/>
        </w:rPr>
      </w:pPr>
    </w:p>
    <w:p w:rsidR="00D031FE" w:rsidRPr="008D45B0" w:rsidRDefault="00D031FE" w:rsidP="000D343A">
      <w:pPr>
        <w:pStyle w:val="EnvelopeReturn"/>
        <w:jc w:val="both"/>
        <w:rPr>
          <w:rFonts w:ascii="Times New Roman" w:hAnsi="Times New Roman"/>
          <w:color w:val="000000"/>
          <w:sz w:val="28"/>
          <w:szCs w:val="28"/>
          <w:lang w:val="lv-LV"/>
        </w:rPr>
      </w:pPr>
    </w:p>
    <w:p w:rsidR="009C6B3F" w:rsidRPr="008D45B0" w:rsidRDefault="009C6B3F" w:rsidP="000D343A">
      <w:pPr>
        <w:pStyle w:val="EnvelopeReturn"/>
        <w:jc w:val="both"/>
        <w:rPr>
          <w:rFonts w:ascii="Times New Roman" w:hAnsi="Times New Roman"/>
          <w:color w:val="000000"/>
          <w:sz w:val="28"/>
          <w:szCs w:val="28"/>
          <w:lang w:val="lv-LV"/>
        </w:rPr>
      </w:pPr>
    </w:p>
    <w:p w:rsidR="00D45BAA" w:rsidRPr="008D45B0" w:rsidRDefault="00FB3DF4" w:rsidP="000D343A">
      <w:pPr>
        <w:pStyle w:val="EnvelopeReturn"/>
        <w:jc w:val="both"/>
        <w:rPr>
          <w:rFonts w:ascii="Times New Roman" w:hAnsi="Times New Roman"/>
          <w:color w:val="000000"/>
          <w:sz w:val="28"/>
          <w:szCs w:val="28"/>
          <w:lang w:val="lv-LV"/>
        </w:rPr>
      </w:pPr>
      <w:r w:rsidRPr="008D45B0">
        <w:rPr>
          <w:rFonts w:ascii="Times New Roman" w:hAnsi="Times New Roman"/>
          <w:color w:val="000000"/>
          <w:sz w:val="28"/>
          <w:szCs w:val="28"/>
          <w:lang w:val="lv-LV"/>
        </w:rPr>
        <w:t>Vīza: Valsts sekretār</w:t>
      </w:r>
      <w:r w:rsidR="00950822" w:rsidRPr="008D45B0">
        <w:rPr>
          <w:rFonts w:ascii="Times New Roman" w:hAnsi="Times New Roman"/>
          <w:color w:val="000000"/>
          <w:sz w:val="28"/>
          <w:szCs w:val="28"/>
          <w:lang w:val="lv-LV"/>
        </w:rPr>
        <w:t>s</w:t>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r>
      <w:r w:rsidR="00950822" w:rsidRPr="008D45B0">
        <w:rPr>
          <w:rFonts w:ascii="Times New Roman" w:hAnsi="Times New Roman"/>
          <w:color w:val="000000"/>
          <w:sz w:val="28"/>
          <w:szCs w:val="28"/>
          <w:lang w:val="lv-LV"/>
        </w:rPr>
        <w:tab/>
        <w:t xml:space="preserve">     J.Pūce</w:t>
      </w:r>
    </w:p>
    <w:p w:rsidR="00C643CE" w:rsidRPr="008D45B0" w:rsidRDefault="00C643CE" w:rsidP="000D343A">
      <w:pPr>
        <w:jc w:val="both"/>
        <w:rPr>
          <w:color w:val="000000"/>
          <w:sz w:val="24"/>
          <w:szCs w:val="28"/>
          <w:lang w:val="lv-LV"/>
        </w:rPr>
      </w:pPr>
    </w:p>
    <w:p w:rsidR="00C643CE" w:rsidRPr="008D45B0" w:rsidRDefault="00C643CE" w:rsidP="000D343A">
      <w:pPr>
        <w:jc w:val="both"/>
        <w:rPr>
          <w:color w:val="000000"/>
          <w:sz w:val="24"/>
          <w:szCs w:val="28"/>
          <w:lang w:val="lv-LV"/>
        </w:rPr>
      </w:pPr>
    </w:p>
    <w:p w:rsidR="00C643CE" w:rsidRPr="008D45B0" w:rsidRDefault="00C643CE" w:rsidP="000D343A">
      <w:pPr>
        <w:jc w:val="both"/>
        <w:rPr>
          <w:color w:val="000000"/>
          <w:sz w:val="24"/>
          <w:szCs w:val="28"/>
          <w:lang w:val="lv-LV"/>
        </w:rPr>
      </w:pPr>
    </w:p>
    <w:p w:rsidR="00C643CE" w:rsidRPr="008D45B0" w:rsidRDefault="00C643CE" w:rsidP="000D343A">
      <w:pPr>
        <w:jc w:val="both"/>
        <w:rPr>
          <w:color w:val="000000"/>
          <w:sz w:val="24"/>
          <w:szCs w:val="28"/>
          <w:lang w:val="lv-LV"/>
        </w:rPr>
      </w:pPr>
    </w:p>
    <w:p w:rsidR="00950822" w:rsidRPr="008D45B0" w:rsidRDefault="00950822" w:rsidP="000D343A">
      <w:pPr>
        <w:jc w:val="both"/>
        <w:rPr>
          <w:color w:val="000000"/>
          <w:lang w:val="lv-LV"/>
        </w:rPr>
      </w:pPr>
    </w:p>
    <w:p w:rsidR="00950822" w:rsidRPr="008D45B0" w:rsidRDefault="00950822" w:rsidP="000D343A">
      <w:pPr>
        <w:jc w:val="both"/>
        <w:rPr>
          <w:color w:val="000000"/>
          <w:lang w:val="lv-LV"/>
        </w:rPr>
      </w:pPr>
    </w:p>
    <w:p w:rsidR="00016C70" w:rsidRPr="008D45B0" w:rsidRDefault="005F771D" w:rsidP="000D343A">
      <w:pPr>
        <w:jc w:val="both"/>
        <w:rPr>
          <w:color w:val="000000"/>
          <w:lang w:val="lv-LV"/>
        </w:rPr>
      </w:pPr>
      <w:r>
        <w:rPr>
          <w:color w:val="000000"/>
          <w:lang w:val="lv-LV"/>
        </w:rPr>
        <w:t>14.01.2011. 12:15</w:t>
      </w:r>
    </w:p>
    <w:p w:rsidR="00D031FE" w:rsidRPr="008D45B0" w:rsidRDefault="003A02BA" w:rsidP="000D343A">
      <w:pPr>
        <w:jc w:val="both"/>
        <w:rPr>
          <w:color w:val="000000"/>
          <w:lang w:val="lv-LV"/>
        </w:rPr>
      </w:pPr>
      <w:fldSimple w:instr=" NUMWORDS   \* MERGEFORMAT ">
        <w:r w:rsidR="005F771D" w:rsidRPr="005F771D">
          <w:rPr>
            <w:noProof/>
            <w:color w:val="000000"/>
            <w:lang w:val="lv-LV"/>
          </w:rPr>
          <w:t>1847</w:t>
        </w:r>
      </w:fldSimple>
    </w:p>
    <w:p w:rsidR="00D031FE" w:rsidRPr="008D45B0" w:rsidRDefault="00950822" w:rsidP="000D343A">
      <w:pPr>
        <w:jc w:val="both"/>
        <w:rPr>
          <w:color w:val="000000"/>
          <w:lang w:val="lv-LV"/>
        </w:rPr>
      </w:pPr>
      <w:r w:rsidRPr="008D45B0">
        <w:rPr>
          <w:color w:val="000000"/>
          <w:lang w:val="lv-LV"/>
        </w:rPr>
        <w:t>Austris Jansons</w:t>
      </w:r>
    </w:p>
    <w:p w:rsidR="00D45BAA" w:rsidRPr="00C534B1" w:rsidRDefault="0045495D" w:rsidP="000D343A">
      <w:pPr>
        <w:jc w:val="both"/>
        <w:rPr>
          <w:color w:val="000000"/>
          <w:lang w:val="lv-LV"/>
        </w:rPr>
      </w:pPr>
      <w:r w:rsidRPr="008D45B0">
        <w:rPr>
          <w:color w:val="000000"/>
          <w:lang w:val="lv-LV"/>
        </w:rPr>
        <w:t>67013062</w:t>
      </w:r>
      <w:r w:rsidR="00D031FE" w:rsidRPr="008D45B0">
        <w:rPr>
          <w:color w:val="000000"/>
          <w:lang w:val="lv-LV"/>
        </w:rPr>
        <w:t xml:space="preserve">, </w:t>
      </w:r>
      <w:r w:rsidR="003416C9" w:rsidRPr="008D45B0">
        <w:rPr>
          <w:color w:val="000000"/>
          <w:lang w:val="lv-LV"/>
        </w:rPr>
        <w:t>Austris.Jansons</w:t>
      </w:r>
      <w:r w:rsidR="00D031FE" w:rsidRPr="008D45B0">
        <w:rPr>
          <w:color w:val="000000"/>
          <w:lang w:val="lv-LV"/>
        </w:rPr>
        <w:t>@em.gov.lv</w:t>
      </w:r>
    </w:p>
    <w:sectPr w:rsidR="00D45BAA" w:rsidRPr="00C534B1"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0C" w:rsidRDefault="00A2280C" w:rsidP="00B014C2">
      <w:r>
        <w:separator/>
      </w:r>
    </w:p>
  </w:endnote>
  <w:endnote w:type="continuationSeparator" w:id="0">
    <w:p w:rsidR="00A2280C" w:rsidRDefault="00A2280C"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CC494D" w:rsidRDefault="003A02BA" w:rsidP="00CC494D">
    <w:pPr>
      <w:tabs>
        <w:tab w:val="left" w:pos="6237"/>
      </w:tabs>
      <w:jc w:val="both"/>
      <w:rPr>
        <w:sz w:val="24"/>
        <w:szCs w:val="24"/>
        <w:lang w:val="lv-LV" w:eastAsia="lv-LV"/>
      </w:rPr>
    </w:pPr>
    <w:fldSimple w:instr=" FILENAME   \* MERGEFORMAT ">
      <w:r w:rsidR="00E37855">
        <w:rPr>
          <w:noProof/>
          <w:sz w:val="24"/>
          <w:szCs w:val="24"/>
        </w:rPr>
        <w:t>EMAnot_14</w:t>
      </w:r>
      <w:r w:rsidR="00FA408F">
        <w:rPr>
          <w:noProof/>
          <w:sz w:val="24"/>
          <w:szCs w:val="24"/>
        </w:rPr>
        <w:t>0111</w:t>
      </w:r>
      <w:r w:rsidR="00D477F6" w:rsidRPr="00D477F6">
        <w:rPr>
          <w:noProof/>
          <w:sz w:val="24"/>
          <w:szCs w:val="24"/>
        </w:rPr>
        <w:t>_groz888</w:t>
      </w:r>
    </w:fldSimple>
    <w:r w:rsidR="00950822" w:rsidRPr="00CC494D">
      <w:rPr>
        <w:sz w:val="24"/>
        <w:szCs w:val="24"/>
      </w:rPr>
      <w:t xml:space="preserve">; </w:t>
    </w:r>
    <w:r w:rsidR="00950822" w:rsidRPr="003A16D0">
      <w:rPr>
        <w:sz w:val="24"/>
        <w:szCs w:val="24"/>
        <w:lang w:val="lv-LV" w:eastAsia="lv-LV"/>
      </w:rPr>
      <w:t xml:space="preserve">Ministru kabineta noteikumu projekta </w:t>
    </w:r>
    <w:r w:rsidR="00950822" w:rsidRPr="003A16D0">
      <w:rPr>
        <w:sz w:val="24"/>
        <w:szCs w:val="24"/>
        <w:lang w:val="lv-LV"/>
      </w:rPr>
      <w:t>„Grozījumi Ministru kabineta 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r w:rsidR="00950822" w:rsidRPr="003A16D0">
      <w:rPr>
        <w:sz w:val="24"/>
        <w:szCs w:val="24"/>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CC494D" w:rsidRDefault="003A02BA" w:rsidP="00950822">
    <w:pPr>
      <w:jc w:val="both"/>
      <w:rPr>
        <w:b/>
        <w:bCs/>
        <w:sz w:val="24"/>
        <w:szCs w:val="24"/>
      </w:rPr>
    </w:pPr>
    <w:fldSimple w:instr=" FILENAME   \* MERGEFORMAT ">
      <w:r w:rsidR="00E37855">
        <w:rPr>
          <w:noProof/>
          <w:sz w:val="24"/>
          <w:szCs w:val="24"/>
        </w:rPr>
        <w:t>EMAnot_14</w:t>
      </w:r>
      <w:r w:rsidR="00FA408F">
        <w:rPr>
          <w:noProof/>
          <w:sz w:val="24"/>
          <w:szCs w:val="24"/>
        </w:rPr>
        <w:t>0111</w:t>
      </w:r>
      <w:r w:rsidR="00D477F6" w:rsidRPr="00D477F6">
        <w:rPr>
          <w:noProof/>
          <w:sz w:val="24"/>
          <w:szCs w:val="24"/>
        </w:rPr>
        <w:t>_groz888</w:t>
      </w:r>
    </w:fldSimple>
    <w:r w:rsidR="00383B98" w:rsidRPr="00CC494D">
      <w:rPr>
        <w:sz w:val="24"/>
        <w:szCs w:val="24"/>
      </w:rPr>
      <w:t xml:space="preserve">; </w:t>
    </w:r>
    <w:r w:rsidR="003A16D0" w:rsidRPr="003A16D0">
      <w:rPr>
        <w:sz w:val="24"/>
        <w:szCs w:val="24"/>
        <w:lang w:val="lv-LV" w:eastAsia="lv-LV"/>
      </w:rPr>
      <w:t xml:space="preserve">Ministru kabineta noteikumu projekta </w:t>
    </w:r>
    <w:r w:rsidR="003A16D0" w:rsidRPr="003A16D0">
      <w:rPr>
        <w:sz w:val="24"/>
        <w:szCs w:val="24"/>
        <w:lang w:val="lv-LV"/>
      </w:rPr>
      <w:t>„Grozījumi Ministru kabineta 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r w:rsidR="003A16D0" w:rsidRPr="003A16D0">
      <w:rPr>
        <w:sz w:val="24"/>
        <w:szCs w:val="24"/>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0C" w:rsidRDefault="00A2280C" w:rsidP="00B014C2">
      <w:r>
        <w:separator/>
      </w:r>
    </w:p>
  </w:footnote>
  <w:footnote w:type="continuationSeparator" w:id="0">
    <w:p w:rsidR="00A2280C" w:rsidRDefault="00A2280C"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B014C2" w:rsidRDefault="003A02BA">
    <w:pPr>
      <w:pStyle w:val="Header"/>
      <w:jc w:val="center"/>
      <w:rPr>
        <w:sz w:val="24"/>
        <w:szCs w:val="24"/>
      </w:rPr>
    </w:pPr>
    <w:r w:rsidRPr="00B014C2">
      <w:rPr>
        <w:sz w:val="24"/>
        <w:szCs w:val="24"/>
      </w:rPr>
      <w:fldChar w:fldCharType="begin"/>
    </w:r>
    <w:r w:rsidR="00383B98" w:rsidRPr="00B014C2">
      <w:rPr>
        <w:sz w:val="24"/>
        <w:szCs w:val="24"/>
      </w:rPr>
      <w:instrText xml:space="preserve"> PAGE   \* MERGEFORMAT </w:instrText>
    </w:r>
    <w:r w:rsidRPr="00B014C2">
      <w:rPr>
        <w:sz w:val="24"/>
        <w:szCs w:val="24"/>
      </w:rPr>
      <w:fldChar w:fldCharType="separate"/>
    </w:r>
    <w:r w:rsidR="005F771D">
      <w:rPr>
        <w:noProof/>
        <w:sz w:val="24"/>
        <w:szCs w:val="24"/>
      </w:rPr>
      <w:t>11</w:t>
    </w:r>
    <w:r w:rsidRPr="00B014C2">
      <w:rPr>
        <w:sz w:val="24"/>
        <w:szCs w:val="24"/>
      </w:rPr>
      <w:fldChar w:fldCharType="end"/>
    </w:r>
  </w:p>
  <w:p w:rsidR="00383B98" w:rsidRDefault="00383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B09C5"/>
    <w:rsid w:val="000016AB"/>
    <w:rsid w:val="00004E51"/>
    <w:rsid w:val="0001186C"/>
    <w:rsid w:val="000149E8"/>
    <w:rsid w:val="000158C8"/>
    <w:rsid w:val="00016C70"/>
    <w:rsid w:val="0001764D"/>
    <w:rsid w:val="000229C8"/>
    <w:rsid w:val="00025B0A"/>
    <w:rsid w:val="0002603A"/>
    <w:rsid w:val="00026C03"/>
    <w:rsid w:val="0002762A"/>
    <w:rsid w:val="0003046E"/>
    <w:rsid w:val="00031274"/>
    <w:rsid w:val="00031610"/>
    <w:rsid w:val="00036856"/>
    <w:rsid w:val="00036E03"/>
    <w:rsid w:val="0004167C"/>
    <w:rsid w:val="00043E7F"/>
    <w:rsid w:val="0004692D"/>
    <w:rsid w:val="00047EF5"/>
    <w:rsid w:val="00050EA4"/>
    <w:rsid w:val="00052E89"/>
    <w:rsid w:val="000534AE"/>
    <w:rsid w:val="00054E04"/>
    <w:rsid w:val="0005799A"/>
    <w:rsid w:val="000643D5"/>
    <w:rsid w:val="0007058B"/>
    <w:rsid w:val="000729ED"/>
    <w:rsid w:val="000803DD"/>
    <w:rsid w:val="00083227"/>
    <w:rsid w:val="0008358D"/>
    <w:rsid w:val="00085E74"/>
    <w:rsid w:val="000921C6"/>
    <w:rsid w:val="00092FAA"/>
    <w:rsid w:val="00097583"/>
    <w:rsid w:val="000A164A"/>
    <w:rsid w:val="000A434E"/>
    <w:rsid w:val="000A4AED"/>
    <w:rsid w:val="000B0719"/>
    <w:rsid w:val="000B0CDD"/>
    <w:rsid w:val="000D0388"/>
    <w:rsid w:val="000D1257"/>
    <w:rsid w:val="000D2265"/>
    <w:rsid w:val="000D2F05"/>
    <w:rsid w:val="000D30E0"/>
    <w:rsid w:val="000D343A"/>
    <w:rsid w:val="000D4A65"/>
    <w:rsid w:val="000E409F"/>
    <w:rsid w:val="000E4277"/>
    <w:rsid w:val="000E6100"/>
    <w:rsid w:val="000F3F4C"/>
    <w:rsid w:val="000F6E9E"/>
    <w:rsid w:val="001002E4"/>
    <w:rsid w:val="00101FE0"/>
    <w:rsid w:val="0010410B"/>
    <w:rsid w:val="001047E8"/>
    <w:rsid w:val="001054DE"/>
    <w:rsid w:val="00110E66"/>
    <w:rsid w:val="00112E10"/>
    <w:rsid w:val="00113586"/>
    <w:rsid w:val="00115E25"/>
    <w:rsid w:val="00123352"/>
    <w:rsid w:val="00124829"/>
    <w:rsid w:val="001300CE"/>
    <w:rsid w:val="00130B41"/>
    <w:rsid w:val="00130C6B"/>
    <w:rsid w:val="001313DA"/>
    <w:rsid w:val="00131C62"/>
    <w:rsid w:val="0013371B"/>
    <w:rsid w:val="00142CBB"/>
    <w:rsid w:val="001507B4"/>
    <w:rsid w:val="00155749"/>
    <w:rsid w:val="00156BF0"/>
    <w:rsid w:val="00157107"/>
    <w:rsid w:val="001622FC"/>
    <w:rsid w:val="00164571"/>
    <w:rsid w:val="00166B88"/>
    <w:rsid w:val="0017312C"/>
    <w:rsid w:val="00175126"/>
    <w:rsid w:val="001764E7"/>
    <w:rsid w:val="001831F7"/>
    <w:rsid w:val="001871BB"/>
    <w:rsid w:val="00191102"/>
    <w:rsid w:val="00191772"/>
    <w:rsid w:val="001919BF"/>
    <w:rsid w:val="00193BE3"/>
    <w:rsid w:val="00195030"/>
    <w:rsid w:val="001973A7"/>
    <w:rsid w:val="001A6894"/>
    <w:rsid w:val="001B3236"/>
    <w:rsid w:val="001B3656"/>
    <w:rsid w:val="001B5ADF"/>
    <w:rsid w:val="001B5F59"/>
    <w:rsid w:val="001B6D15"/>
    <w:rsid w:val="001C1BFF"/>
    <w:rsid w:val="001C712E"/>
    <w:rsid w:val="001D37CE"/>
    <w:rsid w:val="001D5E9C"/>
    <w:rsid w:val="001D6546"/>
    <w:rsid w:val="001D6919"/>
    <w:rsid w:val="001D76FC"/>
    <w:rsid w:val="001E4B13"/>
    <w:rsid w:val="001E5031"/>
    <w:rsid w:val="001E63EF"/>
    <w:rsid w:val="001F02C1"/>
    <w:rsid w:val="001F7479"/>
    <w:rsid w:val="001F7527"/>
    <w:rsid w:val="00201283"/>
    <w:rsid w:val="00205FEE"/>
    <w:rsid w:val="00207D15"/>
    <w:rsid w:val="0021241F"/>
    <w:rsid w:val="00213D6A"/>
    <w:rsid w:val="00214BE6"/>
    <w:rsid w:val="00217BC1"/>
    <w:rsid w:val="00223C20"/>
    <w:rsid w:val="00226BD5"/>
    <w:rsid w:val="0023085A"/>
    <w:rsid w:val="00230FB6"/>
    <w:rsid w:val="00233657"/>
    <w:rsid w:val="00240CAE"/>
    <w:rsid w:val="00243A9D"/>
    <w:rsid w:val="00243B70"/>
    <w:rsid w:val="0024656E"/>
    <w:rsid w:val="00247529"/>
    <w:rsid w:val="00247754"/>
    <w:rsid w:val="002507A0"/>
    <w:rsid w:val="0025309C"/>
    <w:rsid w:val="002537F6"/>
    <w:rsid w:val="00257A14"/>
    <w:rsid w:val="00257EAE"/>
    <w:rsid w:val="00267698"/>
    <w:rsid w:val="002720E3"/>
    <w:rsid w:val="00273194"/>
    <w:rsid w:val="002748FF"/>
    <w:rsid w:val="00274E58"/>
    <w:rsid w:val="00275E9C"/>
    <w:rsid w:val="00275EDB"/>
    <w:rsid w:val="0028114E"/>
    <w:rsid w:val="00282EAC"/>
    <w:rsid w:val="00284615"/>
    <w:rsid w:val="0028698C"/>
    <w:rsid w:val="002915CB"/>
    <w:rsid w:val="00296061"/>
    <w:rsid w:val="00296A66"/>
    <w:rsid w:val="002A0CEE"/>
    <w:rsid w:val="002A646A"/>
    <w:rsid w:val="002A7153"/>
    <w:rsid w:val="002B4D01"/>
    <w:rsid w:val="002C0E0E"/>
    <w:rsid w:val="002C20C8"/>
    <w:rsid w:val="002C2744"/>
    <w:rsid w:val="002C7CFA"/>
    <w:rsid w:val="002D213E"/>
    <w:rsid w:val="002D76ED"/>
    <w:rsid w:val="002D7DF1"/>
    <w:rsid w:val="002E0D23"/>
    <w:rsid w:val="002E6122"/>
    <w:rsid w:val="002E7093"/>
    <w:rsid w:val="002E7530"/>
    <w:rsid w:val="002F063C"/>
    <w:rsid w:val="002F423D"/>
    <w:rsid w:val="002F4553"/>
    <w:rsid w:val="002F6D2C"/>
    <w:rsid w:val="003000F0"/>
    <w:rsid w:val="00303B7C"/>
    <w:rsid w:val="003108D5"/>
    <w:rsid w:val="003205FD"/>
    <w:rsid w:val="00322A15"/>
    <w:rsid w:val="003357A1"/>
    <w:rsid w:val="00335837"/>
    <w:rsid w:val="003372CD"/>
    <w:rsid w:val="003416C9"/>
    <w:rsid w:val="0034284E"/>
    <w:rsid w:val="00342A47"/>
    <w:rsid w:val="0034329B"/>
    <w:rsid w:val="003451DA"/>
    <w:rsid w:val="00350AF9"/>
    <w:rsid w:val="003525FA"/>
    <w:rsid w:val="0035647E"/>
    <w:rsid w:val="00360437"/>
    <w:rsid w:val="00361DA6"/>
    <w:rsid w:val="003633B3"/>
    <w:rsid w:val="00363B7B"/>
    <w:rsid w:val="003756B1"/>
    <w:rsid w:val="00375A4C"/>
    <w:rsid w:val="00380EDA"/>
    <w:rsid w:val="00382BEB"/>
    <w:rsid w:val="00383438"/>
    <w:rsid w:val="00383500"/>
    <w:rsid w:val="00383B98"/>
    <w:rsid w:val="00384799"/>
    <w:rsid w:val="003970C6"/>
    <w:rsid w:val="003A02BA"/>
    <w:rsid w:val="003A16D0"/>
    <w:rsid w:val="003A3469"/>
    <w:rsid w:val="003A5908"/>
    <w:rsid w:val="003A5963"/>
    <w:rsid w:val="003B5C43"/>
    <w:rsid w:val="003C3FA4"/>
    <w:rsid w:val="003C5D28"/>
    <w:rsid w:val="003D0C12"/>
    <w:rsid w:val="003D37FA"/>
    <w:rsid w:val="003D6481"/>
    <w:rsid w:val="003D79D8"/>
    <w:rsid w:val="003E0167"/>
    <w:rsid w:val="003E28D2"/>
    <w:rsid w:val="003E2968"/>
    <w:rsid w:val="003E3604"/>
    <w:rsid w:val="003E52B0"/>
    <w:rsid w:val="003E6CB3"/>
    <w:rsid w:val="003F095C"/>
    <w:rsid w:val="003F4E09"/>
    <w:rsid w:val="003F601B"/>
    <w:rsid w:val="004012F7"/>
    <w:rsid w:val="00401CC1"/>
    <w:rsid w:val="00402B2B"/>
    <w:rsid w:val="00403279"/>
    <w:rsid w:val="00403EAD"/>
    <w:rsid w:val="0040497F"/>
    <w:rsid w:val="00404D4B"/>
    <w:rsid w:val="004051C2"/>
    <w:rsid w:val="0041461D"/>
    <w:rsid w:val="00415C48"/>
    <w:rsid w:val="00420FC8"/>
    <w:rsid w:val="00421B1B"/>
    <w:rsid w:val="00421C45"/>
    <w:rsid w:val="0042395B"/>
    <w:rsid w:val="004246DD"/>
    <w:rsid w:val="0042472B"/>
    <w:rsid w:val="00425B9C"/>
    <w:rsid w:val="004260C8"/>
    <w:rsid w:val="00431681"/>
    <w:rsid w:val="0043243D"/>
    <w:rsid w:val="00436765"/>
    <w:rsid w:val="004368B2"/>
    <w:rsid w:val="00436A58"/>
    <w:rsid w:val="00436E6A"/>
    <w:rsid w:val="004527EA"/>
    <w:rsid w:val="00453630"/>
    <w:rsid w:val="0045495D"/>
    <w:rsid w:val="00460A29"/>
    <w:rsid w:val="004657AC"/>
    <w:rsid w:val="00472755"/>
    <w:rsid w:val="004775F4"/>
    <w:rsid w:val="00484C10"/>
    <w:rsid w:val="00485D96"/>
    <w:rsid w:val="00487543"/>
    <w:rsid w:val="004878E3"/>
    <w:rsid w:val="004920CF"/>
    <w:rsid w:val="0049423E"/>
    <w:rsid w:val="004970CF"/>
    <w:rsid w:val="004A0D02"/>
    <w:rsid w:val="004A19D5"/>
    <w:rsid w:val="004A1A10"/>
    <w:rsid w:val="004A3A36"/>
    <w:rsid w:val="004A3F20"/>
    <w:rsid w:val="004A5931"/>
    <w:rsid w:val="004A7CF9"/>
    <w:rsid w:val="004B638C"/>
    <w:rsid w:val="004C039A"/>
    <w:rsid w:val="004C4125"/>
    <w:rsid w:val="004C54F0"/>
    <w:rsid w:val="004C66CA"/>
    <w:rsid w:val="004C7B7E"/>
    <w:rsid w:val="004D4997"/>
    <w:rsid w:val="004E2BFC"/>
    <w:rsid w:val="004E7F2B"/>
    <w:rsid w:val="004F2F91"/>
    <w:rsid w:val="004F5F39"/>
    <w:rsid w:val="00506487"/>
    <w:rsid w:val="00510235"/>
    <w:rsid w:val="005115E7"/>
    <w:rsid w:val="0051739B"/>
    <w:rsid w:val="00517C20"/>
    <w:rsid w:val="00522B62"/>
    <w:rsid w:val="00522F77"/>
    <w:rsid w:val="005233BE"/>
    <w:rsid w:val="005279FC"/>
    <w:rsid w:val="00531E23"/>
    <w:rsid w:val="00532147"/>
    <w:rsid w:val="00533893"/>
    <w:rsid w:val="00537A29"/>
    <w:rsid w:val="00540A22"/>
    <w:rsid w:val="005422C3"/>
    <w:rsid w:val="00542F49"/>
    <w:rsid w:val="005471CA"/>
    <w:rsid w:val="00551B3C"/>
    <w:rsid w:val="00554A7A"/>
    <w:rsid w:val="00560311"/>
    <w:rsid w:val="00561CB9"/>
    <w:rsid w:val="0056528D"/>
    <w:rsid w:val="00570C63"/>
    <w:rsid w:val="00576B09"/>
    <w:rsid w:val="00580317"/>
    <w:rsid w:val="00580A25"/>
    <w:rsid w:val="0058249F"/>
    <w:rsid w:val="005850B6"/>
    <w:rsid w:val="0058679B"/>
    <w:rsid w:val="005867EB"/>
    <w:rsid w:val="005877DA"/>
    <w:rsid w:val="00587C6B"/>
    <w:rsid w:val="005A72B0"/>
    <w:rsid w:val="005B1EC4"/>
    <w:rsid w:val="005B2957"/>
    <w:rsid w:val="005B29DE"/>
    <w:rsid w:val="005B4D4E"/>
    <w:rsid w:val="005C03F5"/>
    <w:rsid w:val="005C251D"/>
    <w:rsid w:val="005C3235"/>
    <w:rsid w:val="005C6DDB"/>
    <w:rsid w:val="005D3658"/>
    <w:rsid w:val="005D729C"/>
    <w:rsid w:val="005D7806"/>
    <w:rsid w:val="005E2C40"/>
    <w:rsid w:val="005E5376"/>
    <w:rsid w:val="005F129D"/>
    <w:rsid w:val="005F5121"/>
    <w:rsid w:val="005F771D"/>
    <w:rsid w:val="00606694"/>
    <w:rsid w:val="00613019"/>
    <w:rsid w:val="00616CBC"/>
    <w:rsid w:val="006218A6"/>
    <w:rsid w:val="006224F7"/>
    <w:rsid w:val="00623730"/>
    <w:rsid w:val="00630367"/>
    <w:rsid w:val="00631039"/>
    <w:rsid w:val="006316BA"/>
    <w:rsid w:val="006344DB"/>
    <w:rsid w:val="00634947"/>
    <w:rsid w:val="006349DF"/>
    <w:rsid w:val="00636440"/>
    <w:rsid w:val="00641FD2"/>
    <w:rsid w:val="006456BB"/>
    <w:rsid w:val="00645B16"/>
    <w:rsid w:val="00647FA6"/>
    <w:rsid w:val="00650716"/>
    <w:rsid w:val="00651669"/>
    <w:rsid w:val="00657A76"/>
    <w:rsid w:val="00672A2F"/>
    <w:rsid w:val="00674BA7"/>
    <w:rsid w:val="00676770"/>
    <w:rsid w:val="00681496"/>
    <w:rsid w:val="0068623A"/>
    <w:rsid w:val="006910BE"/>
    <w:rsid w:val="006930C0"/>
    <w:rsid w:val="00695CC7"/>
    <w:rsid w:val="00696772"/>
    <w:rsid w:val="0069780B"/>
    <w:rsid w:val="006A7638"/>
    <w:rsid w:val="006B18E8"/>
    <w:rsid w:val="006B584A"/>
    <w:rsid w:val="006C04B0"/>
    <w:rsid w:val="006C136E"/>
    <w:rsid w:val="006C1797"/>
    <w:rsid w:val="006D0B9B"/>
    <w:rsid w:val="006D146C"/>
    <w:rsid w:val="006D1F62"/>
    <w:rsid w:val="006D3A18"/>
    <w:rsid w:val="006D4C40"/>
    <w:rsid w:val="006D69A4"/>
    <w:rsid w:val="006E1D7D"/>
    <w:rsid w:val="006E53FC"/>
    <w:rsid w:val="006E67D7"/>
    <w:rsid w:val="006E6C0C"/>
    <w:rsid w:val="006F0C19"/>
    <w:rsid w:val="006F24A8"/>
    <w:rsid w:val="006F275D"/>
    <w:rsid w:val="006F56C1"/>
    <w:rsid w:val="007058E9"/>
    <w:rsid w:val="0071026C"/>
    <w:rsid w:val="007119C6"/>
    <w:rsid w:val="00713E7D"/>
    <w:rsid w:val="007217E4"/>
    <w:rsid w:val="00725107"/>
    <w:rsid w:val="0072668A"/>
    <w:rsid w:val="007278CF"/>
    <w:rsid w:val="007315C5"/>
    <w:rsid w:val="007355DD"/>
    <w:rsid w:val="007363F2"/>
    <w:rsid w:val="00737AB8"/>
    <w:rsid w:val="007465B9"/>
    <w:rsid w:val="007547B1"/>
    <w:rsid w:val="00756A03"/>
    <w:rsid w:val="007574BB"/>
    <w:rsid w:val="00760465"/>
    <w:rsid w:val="00767185"/>
    <w:rsid w:val="0077435A"/>
    <w:rsid w:val="00786AFB"/>
    <w:rsid w:val="00787BED"/>
    <w:rsid w:val="00794B98"/>
    <w:rsid w:val="007A0D95"/>
    <w:rsid w:val="007A14D0"/>
    <w:rsid w:val="007A1D56"/>
    <w:rsid w:val="007A1D95"/>
    <w:rsid w:val="007A25F6"/>
    <w:rsid w:val="007A338F"/>
    <w:rsid w:val="007A3DB5"/>
    <w:rsid w:val="007A7FC5"/>
    <w:rsid w:val="007B6A77"/>
    <w:rsid w:val="007C1E82"/>
    <w:rsid w:val="007C2992"/>
    <w:rsid w:val="007D0155"/>
    <w:rsid w:val="007D4EB1"/>
    <w:rsid w:val="007D6900"/>
    <w:rsid w:val="007D7613"/>
    <w:rsid w:val="007D7A8A"/>
    <w:rsid w:val="007E7623"/>
    <w:rsid w:val="007F0242"/>
    <w:rsid w:val="007F0C15"/>
    <w:rsid w:val="007F31E9"/>
    <w:rsid w:val="007F6174"/>
    <w:rsid w:val="008004CE"/>
    <w:rsid w:val="0080350F"/>
    <w:rsid w:val="00810454"/>
    <w:rsid w:val="00812990"/>
    <w:rsid w:val="00817839"/>
    <w:rsid w:val="0082038B"/>
    <w:rsid w:val="00823419"/>
    <w:rsid w:val="0082376A"/>
    <w:rsid w:val="0082421E"/>
    <w:rsid w:val="00824260"/>
    <w:rsid w:val="008265EF"/>
    <w:rsid w:val="00827407"/>
    <w:rsid w:val="00841F31"/>
    <w:rsid w:val="00843294"/>
    <w:rsid w:val="00860387"/>
    <w:rsid w:val="00860AB0"/>
    <w:rsid w:val="00860FDE"/>
    <w:rsid w:val="0087099D"/>
    <w:rsid w:val="00874C25"/>
    <w:rsid w:val="00877FED"/>
    <w:rsid w:val="0089090B"/>
    <w:rsid w:val="00891DAA"/>
    <w:rsid w:val="008927D8"/>
    <w:rsid w:val="008952EB"/>
    <w:rsid w:val="0089622A"/>
    <w:rsid w:val="008972A4"/>
    <w:rsid w:val="00897307"/>
    <w:rsid w:val="00897C16"/>
    <w:rsid w:val="008A515D"/>
    <w:rsid w:val="008A5558"/>
    <w:rsid w:val="008A6918"/>
    <w:rsid w:val="008B6BD1"/>
    <w:rsid w:val="008B6C2F"/>
    <w:rsid w:val="008C16BC"/>
    <w:rsid w:val="008C37BE"/>
    <w:rsid w:val="008C47D6"/>
    <w:rsid w:val="008C76E4"/>
    <w:rsid w:val="008D17E5"/>
    <w:rsid w:val="008D45B0"/>
    <w:rsid w:val="008D54C2"/>
    <w:rsid w:val="008D6725"/>
    <w:rsid w:val="008D78FF"/>
    <w:rsid w:val="008E0248"/>
    <w:rsid w:val="008E2ECE"/>
    <w:rsid w:val="008E581A"/>
    <w:rsid w:val="008F48C1"/>
    <w:rsid w:val="008F4C9D"/>
    <w:rsid w:val="008F51C7"/>
    <w:rsid w:val="008F5394"/>
    <w:rsid w:val="0090048A"/>
    <w:rsid w:val="00903040"/>
    <w:rsid w:val="0090395A"/>
    <w:rsid w:val="0090449A"/>
    <w:rsid w:val="00904580"/>
    <w:rsid w:val="0090536A"/>
    <w:rsid w:val="009062D3"/>
    <w:rsid w:val="00906388"/>
    <w:rsid w:val="00906840"/>
    <w:rsid w:val="00906909"/>
    <w:rsid w:val="00914CB3"/>
    <w:rsid w:val="00916054"/>
    <w:rsid w:val="00916509"/>
    <w:rsid w:val="009243DD"/>
    <w:rsid w:val="0092468A"/>
    <w:rsid w:val="00925417"/>
    <w:rsid w:val="00925C96"/>
    <w:rsid w:val="00927127"/>
    <w:rsid w:val="00932C66"/>
    <w:rsid w:val="009347CA"/>
    <w:rsid w:val="00937618"/>
    <w:rsid w:val="00940388"/>
    <w:rsid w:val="00944903"/>
    <w:rsid w:val="00945AEE"/>
    <w:rsid w:val="009462A8"/>
    <w:rsid w:val="0094732D"/>
    <w:rsid w:val="00950822"/>
    <w:rsid w:val="00953044"/>
    <w:rsid w:val="0095696B"/>
    <w:rsid w:val="00962CEA"/>
    <w:rsid w:val="0096699E"/>
    <w:rsid w:val="009741BB"/>
    <w:rsid w:val="00976DE4"/>
    <w:rsid w:val="00991AE2"/>
    <w:rsid w:val="0099344A"/>
    <w:rsid w:val="009942CE"/>
    <w:rsid w:val="00995388"/>
    <w:rsid w:val="009A164D"/>
    <w:rsid w:val="009A38AD"/>
    <w:rsid w:val="009A4789"/>
    <w:rsid w:val="009A758E"/>
    <w:rsid w:val="009B0DB2"/>
    <w:rsid w:val="009B2624"/>
    <w:rsid w:val="009B2F66"/>
    <w:rsid w:val="009B4731"/>
    <w:rsid w:val="009B623D"/>
    <w:rsid w:val="009C2CF9"/>
    <w:rsid w:val="009C6774"/>
    <w:rsid w:val="009C6B3F"/>
    <w:rsid w:val="009C7064"/>
    <w:rsid w:val="009D10C0"/>
    <w:rsid w:val="009D1408"/>
    <w:rsid w:val="009D4653"/>
    <w:rsid w:val="009D6B85"/>
    <w:rsid w:val="009E116E"/>
    <w:rsid w:val="009E182A"/>
    <w:rsid w:val="009E1AEA"/>
    <w:rsid w:val="009E604D"/>
    <w:rsid w:val="009E66C4"/>
    <w:rsid w:val="009E7DF3"/>
    <w:rsid w:val="009F37B4"/>
    <w:rsid w:val="00A11094"/>
    <w:rsid w:val="00A14437"/>
    <w:rsid w:val="00A15971"/>
    <w:rsid w:val="00A2280C"/>
    <w:rsid w:val="00A24EF0"/>
    <w:rsid w:val="00A26015"/>
    <w:rsid w:val="00A27359"/>
    <w:rsid w:val="00A27C7F"/>
    <w:rsid w:val="00A30576"/>
    <w:rsid w:val="00A30F97"/>
    <w:rsid w:val="00A326B1"/>
    <w:rsid w:val="00A32DF2"/>
    <w:rsid w:val="00A34AC6"/>
    <w:rsid w:val="00A3785C"/>
    <w:rsid w:val="00A419B3"/>
    <w:rsid w:val="00A425FC"/>
    <w:rsid w:val="00A428EA"/>
    <w:rsid w:val="00A44590"/>
    <w:rsid w:val="00A4657F"/>
    <w:rsid w:val="00A47339"/>
    <w:rsid w:val="00A47536"/>
    <w:rsid w:val="00A5124A"/>
    <w:rsid w:val="00A52BA6"/>
    <w:rsid w:val="00A55ECF"/>
    <w:rsid w:val="00A6113D"/>
    <w:rsid w:val="00A6164F"/>
    <w:rsid w:val="00A71316"/>
    <w:rsid w:val="00A74727"/>
    <w:rsid w:val="00A806F1"/>
    <w:rsid w:val="00A92DAD"/>
    <w:rsid w:val="00A963C3"/>
    <w:rsid w:val="00AA0ADF"/>
    <w:rsid w:val="00AA258C"/>
    <w:rsid w:val="00AA5C4F"/>
    <w:rsid w:val="00AA5F61"/>
    <w:rsid w:val="00AB067F"/>
    <w:rsid w:val="00AB248D"/>
    <w:rsid w:val="00AB2B93"/>
    <w:rsid w:val="00AB317B"/>
    <w:rsid w:val="00AB3257"/>
    <w:rsid w:val="00AB488D"/>
    <w:rsid w:val="00AB5A57"/>
    <w:rsid w:val="00AB5B30"/>
    <w:rsid w:val="00AB638F"/>
    <w:rsid w:val="00AC0231"/>
    <w:rsid w:val="00AC1512"/>
    <w:rsid w:val="00AC7873"/>
    <w:rsid w:val="00AD2F9E"/>
    <w:rsid w:val="00AD452A"/>
    <w:rsid w:val="00AD5849"/>
    <w:rsid w:val="00AE05F1"/>
    <w:rsid w:val="00AE1659"/>
    <w:rsid w:val="00AE51EC"/>
    <w:rsid w:val="00AE52B6"/>
    <w:rsid w:val="00AE549D"/>
    <w:rsid w:val="00AE6E0C"/>
    <w:rsid w:val="00AF1E99"/>
    <w:rsid w:val="00AF3496"/>
    <w:rsid w:val="00B014C2"/>
    <w:rsid w:val="00B033B8"/>
    <w:rsid w:val="00B17C2B"/>
    <w:rsid w:val="00B20AEF"/>
    <w:rsid w:val="00B221CA"/>
    <w:rsid w:val="00B23B0C"/>
    <w:rsid w:val="00B26A25"/>
    <w:rsid w:val="00B30133"/>
    <w:rsid w:val="00B31842"/>
    <w:rsid w:val="00B37ECA"/>
    <w:rsid w:val="00B4309E"/>
    <w:rsid w:val="00B45132"/>
    <w:rsid w:val="00B45711"/>
    <w:rsid w:val="00B52F0A"/>
    <w:rsid w:val="00B6151B"/>
    <w:rsid w:val="00B62197"/>
    <w:rsid w:val="00B6620B"/>
    <w:rsid w:val="00B67838"/>
    <w:rsid w:val="00B73144"/>
    <w:rsid w:val="00B74BCA"/>
    <w:rsid w:val="00B7774A"/>
    <w:rsid w:val="00B81E82"/>
    <w:rsid w:val="00B82499"/>
    <w:rsid w:val="00B92402"/>
    <w:rsid w:val="00B931D1"/>
    <w:rsid w:val="00B97180"/>
    <w:rsid w:val="00BA0A22"/>
    <w:rsid w:val="00BA4E13"/>
    <w:rsid w:val="00BA7293"/>
    <w:rsid w:val="00BB09C5"/>
    <w:rsid w:val="00BB1832"/>
    <w:rsid w:val="00BB3D21"/>
    <w:rsid w:val="00BB4180"/>
    <w:rsid w:val="00BB6516"/>
    <w:rsid w:val="00BB71AF"/>
    <w:rsid w:val="00BC06E8"/>
    <w:rsid w:val="00BC16B4"/>
    <w:rsid w:val="00BC1DE4"/>
    <w:rsid w:val="00BC262B"/>
    <w:rsid w:val="00BC486B"/>
    <w:rsid w:val="00BC51A3"/>
    <w:rsid w:val="00BC70FB"/>
    <w:rsid w:val="00BD1934"/>
    <w:rsid w:val="00BD202E"/>
    <w:rsid w:val="00BD22EA"/>
    <w:rsid w:val="00BD4455"/>
    <w:rsid w:val="00BD44E9"/>
    <w:rsid w:val="00BE0EC8"/>
    <w:rsid w:val="00BE1338"/>
    <w:rsid w:val="00BE4892"/>
    <w:rsid w:val="00BF13E2"/>
    <w:rsid w:val="00C01B08"/>
    <w:rsid w:val="00C044F2"/>
    <w:rsid w:val="00C04B3F"/>
    <w:rsid w:val="00C06C5E"/>
    <w:rsid w:val="00C10CEA"/>
    <w:rsid w:val="00C11C6A"/>
    <w:rsid w:val="00C12C72"/>
    <w:rsid w:val="00C148AB"/>
    <w:rsid w:val="00C1663D"/>
    <w:rsid w:val="00C173DC"/>
    <w:rsid w:val="00C20EF9"/>
    <w:rsid w:val="00C21702"/>
    <w:rsid w:val="00C27793"/>
    <w:rsid w:val="00C307D2"/>
    <w:rsid w:val="00C31F73"/>
    <w:rsid w:val="00C32F05"/>
    <w:rsid w:val="00C37B14"/>
    <w:rsid w:val="00C40FDA"/>
    <w:rsid w:val="00C43F6F"/>
    <w:rsid w:val="00C534B1"/>
    <w:rsid w:val="00C537EC"/>
    <w:rsid w:val="00C5549D"/>
    <w:rsid w:val="00C643CE"/>
    <w:rsid w:val="00C70804"/>
    <w:rsid w:val="00C7149F"/>
    <w:rsid w:val="00C7152A"/>
    <w:rsid w:val="00C73791"/>
    <w:rsid w:val="00C85068"/>
    <w:rsid w:val="00C852AB"/>
    <w:rsid w:val="00C91969"/>
    <w:rsid w:val="00CA0B16"/>
    <w:rsid w:val="00CA181C"/>
    <w:rsid w:val="00CA3430"/>
    <w:rsid w:val="00CA4ADF"/>
    <w:rsid w:val="00CA6526"/>
    <w:rsid w:val="00CA7E59"/>
    <w:rsid w:val="00CB0990"/>
    <w:rsid w:val="00CB1F81"/>
    <w:rsid w:val="00CB2CB2"/>
    <w:rsid w:val="00CB5D7B"/>
    <w:rsid w:val="00CB6A16"/>
    <w:rsid w:val="00CB7A76"/>
    <w:rsid w:val="00CC494D"/>
    <w:rsid w:val="00CC76C2"/>
    <w:rsid w:val="00CE09F6"/>
    <w:rsid w:val="00CE3984"/>
    <w:rsid w:val="00CE46A5"/>
    <w:rsid w:val="00CE633A"/>
    <w:rsid w:val="00CF0397"/>
    <w:rsid w:val="00CF05DA"/>
    <w:rsid w:val="00CF3403"/>
    <w:rsid w:val="00CF370C"/>
    <w:rsid w:val="00CF4E99"/>
    <w:rsid w:val="00CF5C7C"/>
    <w:rsid w:val="00CF696C"/>
    <w:rsid w:val="00D0103C"/>
    <w:rsid w:val="00D01FC9"/>
    <w:rsid w:val="00D031FE"/>
    <w:rsid w:val="00D03BE9"/>
    <w:rsid w:val="00D07CDB"/>
    <w:rsid w:val="00D176BC"/>
    <w:rsid w:val="00D17FC9"/>
    <w:rsid w:val="00D215C9"/>
    <w:rsid w:val="00D25DF0"/>
    <w:rsid w:val="00D30469"/>
    <w:rsid w:val="00D315BC"/>
    <w:rsid w:val="00D347F4"/>
    <w:rsid w:val="00D416CF"/>
    <w:rsid w:val="00D45BAA"/>
    <w:rsid w:val="00D477F6"/>
    <w:rsid w:val="00D51E6D"/>
    <w:rsid w:val="00D5483C"/>
    <w:rsid w:val="00D57792"/>
    <w:rsid w:val="00D62CCB"/>
    <w:rsid w:val="00D647EF"/>
    <w:rsid w:val="00D71175"/>
    <w:rsid w:val="00D7256E"/>
    <w:rsid w:val="00D74282"/>
    <w:rsid w:val="00D7513B"/>
    <w:rsid w:val="00D751F5"/>
    <w:rsid w:val="00D80FC6"/>
    <w:rsid w:val="00D84793"/>
    <w:rsid w:val="00D87A84"/>
    <w:rsid w:val="00D905C1"/>
    <w:rsid w:val="00D94162"/>
    <w:rsid w:val="00D975B1"/>
    <w:rsid w:val="00DA61A3"/>
    <w:rsid w:val="00DB28DC"/>
    <w:rsid w:val="00DB35ED"/>
    <w:rsid w:val="00DB42A0"/>
    <w:rsid w:val="00DC15F0"/>
    <w:rsid w:val="00DC406B"/>
    <w:rsid w:val="00DC4C6D"/>
    <w:rsid w:val="00DD0266"/>
    <w:rsid w:val="00DD28ED"/>
    <w:rsid w:val="00DD32A1"/>
    <w:rsid w:val="00DD3C99"/>
    <w:rsid w:val="00DD40E6"/>
    <w:rsid w:val="00DD42C2"/>
    <w:rsid w:val="00DD6F12"/>
    <w:rsid w:val="00DD7A97"/>
    <w:rsid w:val="00DE1404"/>
    <w:rsid w:val="00DE1523"/>
    <w:rsid w:val="00DE5D69"/>
    <w:rsid w:val="00DE67FC"/>
    <w:rsid w:val="00DF0637"/>
    <w:rsid w:val="00DF0A7E"/>
    <w:rsid w:val="00E007C1"/>
    <w:rsid w:val="00E03A78"/>
    <w:rsid w:val="00E07DF2"/>
    <w:rsid w:val="00E10D14"/>
    <w:rsid w:val="00E147E0"/>
    <w:rsid w:val="00E22EBE"/>
    <w:rsid w:val="00E26AAA"/>
    <w:rsid w:val="00E26E54"/>
    <w:rsid w:val="00E32DD6"/>
    <w:rsid w:val="00E374A8"/>
    <w:rsid w:val="00E37855"/>
    <w:rsid w:val="00E42A43"/>
    <w:rsid w:val="00E45814"/>
    <w:rsid w:val="00E53C62"/>
    <w:rsid w:val="00E57468"/>
    <w:rsid w:val="00E65238"/>
    <w:rsid w:val="00E65F36"/>
    <w:rsid w:val="00E65F64"/>
    <w:rsid w:val="00E70B81"/>
    <w:rsid w:val="00E73425"/>
    <w:rsid w:val="00E84D21"/>
    <w:rsid w:val="00E90C7E"/>
    <w:rsid w:val="00EA1779"/>
    <w:rsid w:val="00EA2820"/>
    <w:rsid w:val="00EA3B33"/>
    <w:rsid w:val="00EA5412"/>
    <w:rsid w:val="00EA57EF"/>
    <w:rsid w:val="00EB00D9"/>
    <w:rsid w:val="00EB03F5"/>
    <w:rsid w:val="00EB1BE8"/>
    <w:rsid w:val="00EB263C"/>
    <w:rsid w:val="00ED29AD"/>
    <w:rsid w:val="00ED377B"/>
    <w:rsid w:val="00EE1F5E"/>
    <w:rsid w:val="00EE2B7B"/>
    <w:rsid w:val="00EE424E"/>
    <w:rsid w:val="00EE4FC3"/>
    <w:rsid w:val="00EE570E"/>
    <w:rsid w:val="00EF0674"/>
    <w:rsid w:val="00EF26A5"/>
    <w:rsid w:val="00EF335B"/>
    <w:rsid w:val="00EF662A"/>
    <w:rsid w:val="00EF6E5B"/>
    <w:rsid w:val="00EF7A99"/>
    <w:rsid w:val="00EF7D92"/>
    <w:rsid w:val="00EF7D9D"/>
    <w:rsid w:val="00F067B2"/>
    <w:rsid w:val="00F1009A"/>
    <w:rsid w:val="00F15198"/>
    <w:rsid w:val="00F153B0"/>
    <w:rsid w:val="00F15932"/>
    <w:rsid w:val="00F210C4"/>
    <w:rsid w:val="00F213B5"/>
    <w:rsid w:val="00F22FD8"/>
    <w:rsid w:val="00F25271"/>
    <w:rsid w:val="00F258DB"/>
    <w:rsid w:val="00F27161"/>
    <w:rsid w:val="00F40D51"/>
    <w:rsid w:val="00F449DB"/>
    <w:rsid w:val="00F45FC6"/>
    <w:rsid w:val="00F47577"/>
    <w:rsid w:val="00F5348D"/>
    <w:rsid w:val="00F54C76"/>
    <w:rsid w:val="00F655B2"/>
    <w:rsid w:val="00F7200E"/>
    <w:rsid w:val="00F73226"/>
    <w:rsid w:val="00F73E4D"/>
    <w:rsid w:val="00F768B2"/>
    <w:rsid w:val="00F80221"/>
    <w:rsid w:val="00F84A31"/>
    <w:rsid w:val="00F865A9"/>
    <w:rsid w:val="00F86808"/>
    <w:rsid w:val="00F942CC"/>
    <w:rsid w:val="00F9656B"/>
    <w:rsid w:val="00FA1511"/>
    <w:rsid w:val="00FA1FD7"/>
    <w:rsid w:val="00FA2035"/>
    <w:rsid w:val="00FA3614"/>
    <w:rsid w:val="00FA408F"/>
    <w:rsid w:val="00FA6053"/>
    <w:rsid w:val="00FA6507"/>
    <w:rsid w:val="00FB111D"/>
    <w:rsid w:val="00FB2469"/>
    <w:rsid w:val="00FB3DF4"/>
    <w:rsid w:val="00FC1889"/>
    <w:rsid w:val="00FC21D1"/>
    <w:rsid w:val="00FC3455"/>
    <w:rsid w:val="00FC4CC7"/>
    <w:rsid w:val="00FC6E18"/>
    <w:rsid w:val="00FD42A6"/>
    <w:rsid w:val="00FE2959"/>
    <w:rsid w:val="00FE5447"/>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basedOn w:val="DefaultParagraphFont"/>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basedOn w:val="CommentTextChar"/>
    <w:link w:val="CommentSubject"/>
    <w:uiPriority w:val="99"/>
    <w:semiHidden/>
    <w:rsid w:val="004A3A36"/>
    <w:rPr>
      <w:b/>
      <w:bCs/>
      <w:sz w:val="20"/>
      <w:szCs w:val="20"/>
      <w:lang w:val="en-AU" w:eastAsia="en-US"/>
    </w:rPr>
  </w:style>
  <w:style w:type="character" w:styleId="Strong">
    <w:name w:val="Strong"/>
    <w:basedOn w:val="DefaultParagraphFont"/>
    <w:uiPriority w:val="22"/>
    <w:qFormat/>
    <w:locked/>
    <w:rsid w:val="00380EDA"/>
    <w:rPr>
      <w:b/>
      <w:bCs/>
    </w:rPr>
  </w:style>
  <w:style w:type="paragraph" w:customStyle="1" w:styleId="tvhtml">
    <w:name w:val="tv_html"/>
    <w:basedOn w:val="Normal"/>
    <w:rsid w:val="005A72B0"/>
    <w:pPr>
      <w:spacing w:before="100" w:beforeAutospacing="1" w:after="100" w:afterAutospacing="1"/>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basedOn w:val="DefaultParagraphFont"/>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basedOn w:val="CommentTextChar"/>
    <w:link w:val="CommentSubject"/>
    <w:uiPriority w:val="99"/>
    <w:semiHidden/>
    <w:rsid w:val="004A3A36"/>
    <w:rPr>
      <w:b/>
      <w:bCs/>
      <w:sz w:val="20"/>
      <w:szCs w:val="20"/>
      <w:lang w:val="en-AU" w:eastAsia="en-US"/>
    </w:rPr>
  </w:style>
  <w:style w:type="character" w:styleId="Strong">
    <w:name w:val="Strong"/>
    <w:basedOn w:val="DefaultParagraphFont"/>
    <w:uiPriority w:val="22"/>
    <w:qFormat/>
    <w:locked/>
    <w:rsid w:val="00380EDA"/>
    <w:rPr>
      <w:b/>
      <w:bCs/>
    </w:rPr>
  </w:style>
  <w:style w:type="paragraph" w:customStyle="1" w:styleId="tvhtml">
    <w:name w:val="tv_html"/>
    <w:basedOn w:val="Normal"/>
    <w:rsid w:val="005A72B0"/>
    <w:pPr>
      <w:spacing w:before="100" w:beforeAutospacing="1" w:after="100" w:afterAutospacing="1"/>
    </w:pPr>
    <w:rPr>
      <w:rFonts w:eastAsia="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73043480">
      <w:marLeft w:val="0"/>
      <w:marRight w:val="0"/>
      <w:marTop w:val="0"/>
      <w:marBottom w:val="0"/>
      <w:divBdr>
        <w:top w:val="none" w:sz="0" w:space="0" w:color="auto"/>
        <w:left w:val="none" w:sz="0" w:space="0" w:color="auto"/>
        <w:bottom w:val="none" w:sz="0" w:space="0" w:color="auto"/>
        <w:right w:val="none" w:sz="0" w:space="0" w:color="auto"/>
      </w:divBdr>
    </w:div>
    <w:div w:id="373043481">
      <w:marLeft w:val="0"/>
      <w:marRight w:val="0"/>
      <w:marTop w:val="0"/>
      <w:marBottom w:val="0"/>
      <w:divBdr>
        <w:top w:val="none" w:sz="0" w:space="0" w:color="auto"/>
        <w:left w:val="none" w:sz="0" w:space="0" w:color="auto"/>
        <w:bottom w:val="none" w:sz="0" w:space="0" w:color="auto"/>
        <w:right w:val="none" w:sz="0" w:space="0" w:color="auto"/>
      </w:divBdr>
    </w:div>
    <w:div w:id="373043482">
      <w:marLeft w:val="0"/>
      <w:marRight w:val="0"/>
      <w:marTop w:val="0"/>
      <w:marBottom w:val="0"/>
      <w:divBdr>
        <w:top w:val="none" w:sz="0" w:space="0" w:color="auto"/>
        <w:left w:val="none" w:sz="0" w:space="0" w:color="auto"/>
        <w:bottom w:val="none" w:sz="0" w:space="0" w:color="auto"/>
        <w:right w:val="none" w:sz="0" w:space="0" w:color="auto"/>
      </w:divBdr>
    </w:div>
    <w:div w:id="373043483">
      <w:marLeft w:val="0"/>
      <w:marRight w:val="0"/>
      <w:marTop w:val="0"/>
      <w:marBottom w:val="0"/>
      <w:divBdr>
        <w:top w:val="none" w:sz="0" w:space="0" w:color="auto"/>
        <w:left w:val="none" w:sz="0" w:space="0" w:color="auto"/>
        <w:bottom w:val="none" w:sz="0" w:space="0" w:color="auto"/>
        <w:right w:val="none" w:sz="0" w:space="0" w:color="auto"/>
      </w:divBdr>
    </w:div>
    <w:div w:id="373043484">
      <w:marLeft w:val="0"/>
      <w:marRight w:val="0"/>
      <w:marTop w:val="0"/>
      <w:marBottom w:val="0"/>
      <w:divBdr>
        <w:top w:val="none" w:sz="0" w:space="0" w:color="auto"/>
        <w:left w:val="none" w:sz="0" w:space="0" w:color="auto"/>
        <w:bottom w:val="none" w:sz="0" w:space="0" w:color="auto"/>
        <w:right w:val="none" w:sz="0" w:space="0" w:color="auto"/>
      </w:divBdr>
    </w:div>
    <w:div w:id="1198473110">
      <w:bodyDiv w:val="1"/>
      <w:marLeft w:val="0"/>
      <w:marRight w:val="0"/>
      <w:marTop w:val="0"/>
      <w:marBottom w:val="0"/>
      <w:divBdr>
        <w:top w:val="none" w:sz="0" w:space="0" w:color="auto"/>
        <w:left w:val="none" w:sz="0" w:space="0" w:color="auto"/>
        <w:bottom w:val="none" w:sz="0" w:space="0" w:color="auto"/>
        <w:right w:val="none" w:sz="0" w:space="0" w:color="auto"/>
      </w:divBdr>
    </w:div>
    <w:div w:id="1387334024">
      <w:bodyDiv w:val="1"/>
      <w:marLeft w:val="0"/>
      <w:marRight w:val="0"/>
      <w:marTop w:val="0"/>
      <w:marBottom w:val="0"/>
      <w:divBdr>
        <w:top w:val="none" w:sz="0" w:space="0" w:color="auto"/>
        <w:left w:val="none" w:sz="0" w:space="0" w:color="auto"/>
        <w:bottom w:val="none" w:sz="0" w:space="0" w:color="auto"/>
        <w:right w:val="none" w:sz="0" w:space="0" w:color="auto"/>
      </w:divBdr>
    </w:div>
    <w:div w:id="1713726071">
      <w:bodyDiv w:val="1"/>
      <w:marLeft w:val="0"/>
      <w:marRight w:val="0"/>
      <w:marTop w:val="0"/>
      <w:marBottom w:val="0"/>
      <w:divBdr>
        <w:top w:val="none" w:sz="0" w:space="0" w:color="auto"/>
        <w:left w:val="none" w:sz="0" w:space="0" w:color="auto"/>
        <w:bottom w:val="none" w:sz="0" w:space="0" w:color="auto"/>
        <w:right w:val="none" w:sz="0" w:space="0" w:color="auto"/>
      </w:divBdr>
    </w:div>
    <w:div w:id="19236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0A40-065F-4F43-BA31-0797CF25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1877</Words>
  <Characters>13008</Characters>
  <Application>Microsoft Office Word</Application>
  <DocSecurity>0</DocSecurity>
  <Lines>722</Lines>
  <Paragraphs>190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Nr.888 „Noteikumi par darbības programmas "Uzņēmējdarbība un inovācijas" papildinājuma 2.1.2.2.aktivitātes "Jaunu produktu un tehnoloģiju izstrāde" 2.1.2.2</vt:lpstr>
    </vt:vector>
  </TitlesOfParts>
  <Company>LR Ekonomikas ministrija</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 sākotnējās ietekmes novērtējuma ziņojums (anotācija)</dc:title>
  <dc:subject>Anotācija</dc:subject>
  <dc:creator>Austris Jansons</dc:creator>
  <cp:keywords/>
  <dc:description>67013069, Austris.Jansons@em.gov.lv; </dc:description>
  <cp:lastModifiedBy>JansonsA</cp:lastModifiedBy>
  <cp:revision>6</cp:revision>
  <cp:lastPrinted>2010-12-21T15:34:00Z</cp:lastPrinted>
  <dcterms:created xsi:type="dcterms:W3CDTF">2011-01-14T07:37:00Z</dcterms:created>
  <dcterms:modified xsi:type="dcterms:W3CDTF">2011-01-14T10:15:00Z</dcterms:modified>
</cp:coreProperties>
</file>