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5A" w:rsidRDefault="0072745A"/>
    <w:p w:rsidR="0072745A" w:rsidRDefault="0072745A" w:rsidP="002A0C97">
      <w:pPr>
        <w:pStyle w:val="BodyText"/>
        <w:rPr>
          <w:lang w:eastAsia="lv-LV"/>
        </w:rPr>
      </w:pPr>
      <w:bookmarkStart w:id="0" w:name="OLE_LINK1"/>
      <w:bookmarkStart w:id="1" w:name="OLE_LINK2"/>
      <w:bookmarkStart w:id="2" w:name="OLE_LINK3"/>
      <w:r w:rsidRPr="002A0C97">
        <w:rPr>
          <w:szCs w:val="28"/>
        </w:rPr>
        <w:t xml:space="preserve">Ministru kabineta </w:t>
      </w:r>
      <w:r w:rsidR="00796783">
        <w:rPr>
          <w:szCs w:val="28"/>
        </w:rPr>
        <w:t>noteikumu</w:t>
      </w:r>
      <w:r w:rsidRPr="002A0C97">
        <w:rPr>
          <w:szCs w:val="28"/>
        </w:rPr>
        <w:t xml:space="preserve"> projekta „</w:t>
      </w:r>
      <w:bookmarkEnd w:id="0"/>
      <w:r w:rsidRPr="002A0C97">
        <w:t>Kārtība, kādā sagatavo vispārējās valdības budžeta deficīta un parāda notifikāciju</w:t>
      </w:r>
      <w:r>
        <w:t xml:space="preserve">” </w:t>
      </w:r>
      <w:r w:rsidRPr="00505EA9">
        <w:rPr>
          <w:lang w:eastAsia="lv-LV"/>
        </w:rPr>
        <w:t>sākotnējās ietekmes novērtējuma ziņojums (anotācija)</w:t>
      </w:r>
      <w:bookmarkEnd w:id="1"/>
      <w:bookmarkEnd w:id="2"/>
    </w:p>
    <w:p w:rsidR="0072745A" w:rsidRDefault="0072745A" w:rsidP="002A0C97">
      <w:pPr>
        <w:pStyle w:val="BodyText"/>
        <w:rPr>
          <w:b w:val="0"/>
          <w:bCs w:val="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5493"/>
      </w:tblGrid>
      <w:tr w:rsidR="0072745A" w:rsidRPr="00740A24" w:rsidTr="00740A24">
        <w:tc>
          <w:tcPr>
            <w:tcW w:w="9287" w:type="dxa"/>
            <w:gridSpan w:val="3"/>
            <w:vAlign w:val="center"/>
          </w:tcPr>
          <w:p w:rsidR="0072745A" w:rsidRPr="00740A24" w:rsidRDefault="0072745A" w:rsidP="00740A24">
            <w:pPr>
              <w:spacing w:before="136" w:after="136" w:line="240" w:lineRule="auto"/>
              <w:jc w:val="center"/>
              <w:rPr>
                <w:rFonts w:ascii="Times New Roman" w:hAnsi="Times New Roman"/>
                <w:b/>
                <w:bCs/>
                <w:sz w:val="24"/>
                <w:szCs w:val="24"/>
                <w:lang w:eastAsia="lv-LV"/>
              </w:rPr>
            </w:pPr>
            <w:r w:rsidRPr="00740A24">
              <w:rPr>
                <w:rFonts w:ascii="Times New Roman" w:hAnsi="Times New Roman"/>
                <w:b/>
                <w:bCs/>
                <w:sz w:val="24"/>
                <w:szCs w:val="24"/>
                <w:lang w:eastAsia="lv-LV"/>
              </w:rPr>
              <w:t>I. Tiesību akta projekta izstrādes nepieciešamība</w:t>
            </w:r>
          </w:p>
        </w:tc>
      </w:tr>
      <w:tr w:rsidR="0072745A" w:rsidRPr="00740A24" w:rsidTr="00740A24">
        <w:tc>
          <w:tcPr>
            <w:tcW w:w="675"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1.</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Pamatojums</w:t>
            </w:r>
          </w:p>
        </w:tc>
        <w:tc>
          <w:tcPr>
            <w:tcW w:w="5493" w:type="dxa"/>
          </w:tcPr>
          <w:p w:rsidR="0072745A" w:rsidRPr="00740A24" w:rsidRDefault="0072745A" w:rsidP="00457884">
            <w:pPr>
              <w:pStyle w:val="naislab"/>
              <w:spacing w:before="0" w:beforeAutospacing="0" w:after="120" w:afterAutospacing="0"/>
              <w:jc w:val="both"/>
              <w:rPr>
                <w:rFonts w:ascii="Times New Roman" w:eastAsia="Times New Roman" w:cs="Times New Roman"/>
                <w:bCs/>
                <w:lang w:val="lv-LV" w:eastAsia="lv-LV"/>
              </w:rPr>
            </w:pPr>
            <w:r w:rsidRPr="00740A24">
              <w:rPr>
                <w:rFonts w:ascii="Times New Roman" w:eastAsia="Times New Roman" w:cs="Times New Roman"/>
                <w:bCs/>
                <w:lang w:val="lv-LV" w:eastAsia="lv-LV"/>
              </w:rPr>
              <w:t xml:space="preserve">Ministru kabineta </w:t>
            </w:r>
            <w:r w:rsidR="00796783">
              <w:rPr>
                <w:rFonts w:ascii="Times New Roman" w:eastAsia="Times New Roman" w:cs="Times New Roman"/>
                <w:bCs/>
                <w:lang w:val="lv-LV" w:eastAsia="lv-LV"/>
              </w:rPr>
              <w:t>noteikumu</w:t>
            </w:r>
            <w:r w:rsidRPr="00740A24">
              <w:rPr>
                <w:rFonts w:ascii="Times New Roman" w:eastAsia="Times New Roman" w:cs="Times New Roman"/>
                <w:bCs/>
                <w:lang w:val="lv-LV" w:eastAsia="lv-LV"/>
              </w:rPr>
              <w:t xml:space="preserve"> „</w:t>
            </w:r>
            <w:r w:rsidRPr="00740A24">
              <w:rPr>
                <w:rFonts w:ascii="Times New Roman" w:cs="Times New Roman"/>
                <w:lang w:val="lv-LV"/>
              </w:rPr>
              <w:t xml:space="preserve">Kārtība, kādā sagatavo vispārējās valdības budžeta deficīta un parāda notifikāciju” projekts (turpmāk – MK </w:t>
            </w:r>
            <w:r w:rsidR="00457884">
              <w:rPr>
                <w:rFonts w:ascii="Times New Roman" w:cs="Times New Roman"/>
                <w:lang w:val="lv-LV"/>
              </w:rPr>
              <w:t>noteikumu</w:t>
            </w:r>
            <w:r w:rsidRPr="00740A24">
              <w:rPr>
                <w:rFonts w:ascii="Times New Roman" w:cs="Times New Roman"/>
                <w:lang w:val="lv-LV"/>
              </w:rPr>
              <w:t xml:space="preserve"> projekts) sagatavots saskaņā ar Ministru kabineta iekārtas likuma 3</w:t>
            </w:r>
            <w:r w:rsidR="00796783">
              <w:rPr>
                <w:rFonts w:ascii="Times New Roman" w:cs="Times New Roman"/>
                <w:lang w:val="lv-LV"/>
              </w:rPr>
              <w:t>1</w:t>
            </w:r>
            <w:r w:rsidRPr="00740A24">
              <w:rPr>
                <w:rFonts w:ascii="Times New Roman" w:cs="Times New Roman"/>
                <w:lang w:val="lv-LV"/>
              </w:rPr>
              <w:t>.panta pirm</w:t>
            </w:r>
            <w:r w:rsidR="00796783">
              <w:rPr>
                <w:rFonts w:ascii="Times New Roman" w:cs="Times New Roman"/>
                <w:lang w:val="lv-LV"/>
              </w:rPr>
              <w:t>ās</w:t>
            </w:r>
            <w:r w:rsidRPr="00740A24">
              <w:rPr>
                <w:rFonts w:ascii="Times New Roman" w:cs="Times New Roman"/>
                <w:lang w:val="lv-LV"/>
              </w:rPr>
              <w:t xml:space="preserve"> daļ</w:t>
            </w:r>
            <w:r w:rsidR="00796783">
              <w:rPr>
                <w:rFonts w:ascii="Times New Roman" w:cs="Times New Roman"/>
                <w:lang w:val="lv-LV"/>
              </w:rPr>
              <w:t>as 3.punktu</w:t>
            </w:r>
            <w:r w:rsidRPr="00740A24">
              <w:rPr>
                <w:rFonts w:ascii="Times New Roman" w:cs="Times New Roman"/>
                <w:lang w:val="lv-LV"/>
              </w:rPr>
              <w:t>.</w:t>
            </w:r>
          </w:p>
        </w:tc>
      </w:tr>
      <w:tr w:rsidR="0072745A" w:rsidRPr="00740A24" w:rsidTr="00740A24">
        <w:tc>
          <w:tcPr>
            <w:tcW w:w="675"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2.</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Pašreizējā situācija un problēmas</w:t>
            </w:r>
          </w:p>
        </w:tc>
        <w:tc>
          <w:tcPr>
            <w:tcW w:w="5493" w:type="dxa"/>
          </w:tcPr>
          <w:p w:rsidR="0072745A" w:rsidRPr="00740A24" w:rsidRDefault="0072745A" w:rsidP="00740A24">
            <w:pPr>
              <w:spacing w:after="120" w:line="240" w:lineRule="auto"/>
              <w:jc w:val="both"/>
              <w:rPr>
                <w:rFonts w:ascii="Times New Roman" w:hAnsi="Times New Roman"/>
                <w:sz w:val="24"/>
                <w:szCs w:val="28"/>
              </w:rPr>
            </w:pPr>
            <w:r w:rsidRPr="00740A24">
              <w:rPr>
                <w:rFonts w:ascii="Times New Roman" w:hAnsi="Times New Roman"/>
                <w:sz w:val="24"/>
                <w:szCs w:val="28"/>
              </w:rPr>
              <w:t xml:space="preserve">Ar Padomes 2009.gada 25.maija Regulu (EK) Nr.479/2009 par to, kā piemērot Eiropas Kopienas dibināšanas līgumam pievienoto Protokolu par pārmērīga budžeta deficīta novēršanas procedūru visām dalībvalstīm ir uzdots divas reizes gadā – līdz 1.aprīlim un 1.oktobrim sagatavot un iesniegt statistiskos datus par valsts budžeta deficītu </w:t>
            </w:r>
            <w:r>
              <w:rPr>
                <w:rFonts w:ascii="Times New Roman" w:hAnsi="Times New Roman"/>
                <w:sz w:val="24"/>
                <w:szCs w:val="28"/>
              </w:rPr>
              <w:t xml:space="preserve">vai </w:t>
            </w:r>
            <w:r w:rsidRPr="00740A24">
              <w:rPr>
                <w:rFonts w:ascii="Times New Roman" w:hAnsi="Times New Roman"/>
                <w:sz w:val="24"/>
                <w:szCs w:val="28"/>
              </w:rPr>
              <w:t xml:space="preserve">pārpalikumu un parādu. Lai nodrošinātu šī pienākuma izpildi, līdz 2010.gada 21.jūlijam eksistēja Ministru kabineta 2006.gada 18.jūlija instrukcija Nr.7 „Kārtība, kādā sagatavojama valsts budžeta deficīta un valsts parāda notifikācija”, </w:t>
            </w:r>
            <w:r w:rsidRPr="00676AAB">
              <w:rPr>
                <w:rFonts w:ascii="Times New Roman" w:hAnsi="Times New Roman"/>
                <w:sz w:val="24"/>
                <w:szCs w:val="28"/>
              </w:rPr>
              <w:t>tomēr tā zaudēja spēku, kad tika pieņemts jaunais Ministru kabineta iekārtas likums.</w:t>
            </w:r>
          </w:p>
          <w:p w:rsidR="0072745A" w:rsidRPr="00740A24" w:rsidRDefault="0072745A" w:rsidP="00457884">
            <w:pPr>
              <w:spacing w:after="120" w:line="240" w:lineRule="auto"/>
              <w:jc w:val="both"/>
              <w:rPr>
                <w:rFonts w:ascii="Times New Roman" w:hAnsi="Times New Roman"/>
                <w:bCs/>
                <w:sz w:val="24"/>
                <w:szCs w:val="24"/>
                <w:lang w:eastAsia="lv-LV"/>
              </w:rPr>
            </w:pPr>
            <w:r w:rsidRPr="00740A24">
              <w:rPr>
                <w:rFonts w:ascii="Times New Roman" w:hAnsi="Times New Roman"/>
                <w:sz w:val="24"/>
                <w:szCs w:val="28"/>
              </w:rPr>
              <w:t xml:space="preserve">Eiropas Komisijas ekspertu grupas regulāri apmeklē katru dalībvalsti, veicot tā saucamās dialoga vizītes vai (izņēmuma gadījumos) metodoloģiskās vizītes. Diskutējamo jautājumu programmā kā viens no pirmajiem vienmēr ir iekļauts jautājums par iestāžu atbildību sadali valsts budžeta deficīta un parāda notifikācijas sagatavošanā. Latvijā pēdējā dialoga vizīte notika 2011.gada februārī. Tās gaitā Komisijas eksperti rosināja pēc iespējas ātrāk sagatavot jaunu </w:t>
            </w:r>
            <w:r w:rsidR="00457884">
              <w:rPr>
                <w:rFonts w:ascii="Times New Roman" w:hAnsi="Times New Roman"/>
                <w:sz w:val="24"/>
                <w:szCs w:val="28"/>
              </w:rPr>
              <w:t>normatīvo aktu</w:t>
            </w:r>
            <w:r w:rsidRPr="00740A24">
              <w:rPr>
                <w:rFonts w:ascii="Times New Roman" w:hAnsi="Times New Roman"/>
                <w:sz w:val="24"/>
                <w:szCs w:val="28"/>
              </w:rPr>
              <w:t>, kas definētu institucionālo sadarbību, atbildību sadalījumu un informācijas apriti valsts budžeta deficīta un valsts parāda datu (turpmāk – notifikācijas) sagatavošanas nolūkā.</w:t>
            </w:r>
          </w:p>
        </w:tc>
      </w:tr>
      <w:tr w:rsidR="0072745A" w:rsidRPr="00740A24" w:rsidTr="00740A24">
        <w:tc>
          <w:tcPr>
            <w:tcW w:w="675"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3.</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Saistītie politikas ietekmes novērtējumi un pētījumi</w:t>
            </w:r>
          </w:p>
        </w:tc>
        <w:tc>
          <w:tcPr>
            <w:tcW w:w="5493" w:type="dxa"/>
          </w:tcPr>
          <w:p w:rsidR="0072745A" w:rsidRPr="00316207" w:rsidRDefault="0072745A" w:rsidP="00740A24">
            <w:pPr>
              <w:pStyle w:val="BodyText"/>
              <w:jc w:val="left"/>
              <w:rPr>
                <w:b w:val="0"/>
                <w:bCs w:val="0"/>
                <w:lang w:eastAsia="lv-LV"/>
              </w:rPr>
            </w:pPr>
            <w:r w:rsidRPr="00316207">
              <w:rPr>
                <w:b w:val="0"/>
                <w:bCs w:val="0"/>
              </w:rPr>
              <w:t>Projekts šo jomu neskar</w:t>
            </w:r>
          </w:p>
        </w:tc>
      </w:tr>
      <w:tr w:rsidR="0072745A" w:rsidRPr="00740A24" w:rsidTr="00740A24">
        <w:tc>
          <w:tcPr>
            <w:tcW w:w="675"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4.</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Tiesiskā regulējuma mērķis un būtība</w:t>
            </w:r>
          </w:p>
        </w:tc>
        <w:tc>
          <w:tcPr>
            <w:tcW w:w="5493" w:type="dxa"/>
          </w:tcPr>
          <w:p w:rsidR="0072745A" w:rsidRPr="00740A24" w:rsidRDefault="00796783" w:rsidP="00740A24">
            <w:pPr>
              <w:spacing w:after="120" w:line="240" w:lineRule="auto"/>
              <w:jc w:val="both"/>
              <w:rPr>
                <w:rFonts w:ascii="Times New Roman" w:hAnsi="Times New Roman"/>
                <w:bCs/>
                <w:sz w:val="24"/>
                <w:szCs w:val="24"/>
                <w:lang w:eastAsia="lv-LV"/>
              </w:rPr>
            </w:pPr>
            <w:r>
              <w:rPr>
                <w:rFonts w:ascii="Times New Roman" w:hAnsi="Times New Roman"/>
                <w:bCs/>
                <w:sz w:val="24"/>
                <w:szCs w:val="24"/>
                <w:lang w:eastAsia="lv-LV"/>
              </w:rPr>
              <w:t>Noteikumu</w:t>
            </w:r>
            <w:r w:rsidR="0072745A" w:rsidRPr="00740A24">
              <w:rPr>
                <w:rFonts w:ascii="Times New Roman" w:hAnsi="Times New Roman"/>
                <w:bCs/>
                <w:sz w:val="24"/>
                <w:szCs w:val="24"/>
                <w:lang w:eastAsia="lv-LV"/>
              </w:rPr>
              <w:t xml:space="preserve"> projekts nosaka iestādi, kas ir atbildīga par notifikācijas sagatavošanu un iesniegšanu (Centrālā statistikas pārvalde), kā arī iestādes, kas ir iesaistītas šajā procesā (Ekonomikas ministrija, Finanšu ministrija, Valsts kase), precīzi definējot notifikācijas sagatavošanai nepieciešamās informācijas apjomu, griezumus un iesniegšanas termiņus. Tāpat ir noteikta atbildīgās iestādes un iesaistīto iestāžu sadarbības </w:t>
            </w:r>
            <w:r w:rsidR="0072745A" w:rsidRPr="00740A24">
              <w:rPr>
                <w:rFonts w:ascii="Times New Roman" w:hAnsi="Times New Roman"/>
                <w:bCs/>
                <w:sz w:val="24"/>
                <w:szCs w:val="24"/>
                <w:lang w:eastAsia="lv-LV"/>
              </w:rPr>
              <w:lastRenderedPageBreak/>
              <w:t xml:space="preserve">kārtība gan nacionālā līmenī, gan kontaktos ar Eiropas Savienības Statistikas biroju „Eurostat” jautājumos, kas skar notifikācijas rezultātus un tās kvalitāti. </w:t>
            </w:r>
          </w:p>
          <w:p w:rsidR="0072745A" w:rsidRPr="00740A24" w:rsidRDefault="00796783" w:rsidP="00740A24">
            <w:pPr>
              <w:spacing w:after="120" w:line="240" w:lineRule="auto"/>
              <w:jc w:val="both"/>
              <w:rPr>
                <w:rFonts w:ascii="Times New Roman" w:hAnsi="Times New Roman"/>
                <w:bCs/>
                <w:sz w:val="24"/>
                <w:szCs w:val="24"/>
                <w:lang w:eastAsia="lv-LV"/>
              </w:rPr>
            </w:pPr>
            <w:r>
              <w:rPr>
                <w:rFonts w:ascii="Times New Roman" w:hAnsi="Times New Roman"/>
                <w:bCs/>
                <w:sz w:val="24"/>
                <w:szCs w:val="24"/>
                <w:lang w:eastAsia="lv-LV"/>
              </w:rPr>
              <w:t>Noteikumu</w:t>
            </w:r>
            <w:r w:rsidR="0072745A" w:rsidRPr="00740A24">
              <w:rPr>
                <w:rFonts w:ascii="Times New Roman" w:hAnsi="Times New Roman"/>
                <w:bCs/>
                <w:sz w:val="24"/>
                <w:szCs w:val="24"/>
                <w:lang w:eastAsia="lv-LV"/>
              </w:rPr>
              <w:t xml:space="preserve"> projektā ir paredzēta Centrālās statistikas pārvaldes profesionālā neatkarība, īpaši jautājumos, kas saistīti ar notifikācijas sagatavošanu un iesniegšanu, un tas atbilst normām, kuras ietvertas </w:t>
            </w:r>
            <w:r w:rsidR="0072745A" w:rsidRPr="00740A24">
              <w:rPr>
                <w:rFonts w:ascii="Times New Roman" w:hAnsi="Times New Roman"/>
                <w:sz w:val="24"/>
              </w:rPr>
              <w:t xml:space="preserve">Eiropas Parlamenta un Padomes 2009. gada 11. marta Regulas (EK)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(Dokuments attiecas uz EEZ un Šveici), </w:t>
            </w:r>
            <w:r w:rsidR="0072745A" w:rsidRPr="00CB1112">
              <w:rPr>
                <w:rFonts w:ascii="Times New Roman" w:hAnsi="Times New Roman"/>
                <w:sz w:val="24"/>
              </w:rPr>
              <w:t>2., 11.un 12.pantā</w:t>
            </w:r>
            <w:r w:rsidR="0072745A" w:rsidRPr="00CB1112">
              <w:rPr>
                <w:rFonts w:ascii="Times New Roman" w:hAnsi="Times New Roman"/>
                <w:bCs/>
                <w:sz w:val="24"/>
                <w:szCs w:val="24"/>
                <w:lang w:eastAsia="lv-LV"/>
              </w:rPr>
              <w:t>.</w:t>
            </w:r>
          </w:p>
          <w:p w:rsidR="0072745A" w:rsidRPr="00740A24" w:rsidRDefault="0072745A" w:rsidP="00740A24">
            <w:pPr>
              <w:spacing w:after="120" w:line="240" w:lineRule="auto"/>
              <w:jc w:val="both"/>
              <w:rPr>
                <w:rFonts w:ascii="Times New Roman" w:hAnsi="Times New Roman"/>
                <w:bCs/>
                <w:sz w:val="24"/>
                <w:szCs w:val="24"/>
                <w:lang w:eastAsia="lv-LV"/>
              </w:rPr>
            </w:pPr>
            <w:r w:rsidRPr="00740A24">
              <w:rPr>
                <w:rFonts w:ascii="Times New Roman" w:hAnsi="Times New Roman"/>
                <w:bCs/>
                <w:sz w:val="24"/>
                <w:szCs w:val="24"/>
                <w:lang w:eastAsia="lv-LV"/>
              </w:rPr>
              <w:t xml:space="preserve">Bez tam, </w:t>
            </w:r>
            <w:r w:rsidR="00796783">
              <w:rPr>
                <w:rFonts w:ascii="Times New Roman" w:hAnsi="Times New Roman"/>
                <w:bCs/>
                <w:sz w:val="24"/>
                <w:szCs w:val="24"/>
                <w:lang w:eastAsia="lv-LV"/>
              </w:rPr>
              <w:t>noteikumu</w:t>
            </w:r>
            <w:r w:rsidRPr="00740A24">
              <w:rPr>
                <w:rFonts w:ascii="Times New Roman" w:hAnsi="Times New Roman"/>
                <w:bCs/>
                <w:sz w:val="24"/>
                <w:szCs w:val="24"/>
                <w:lang w:eastAsia="lv-LV"/>
              </w:rPr>
              <w:t xml:space="preserve"> projektā ir iekļaut</w:t>
            </w:r>
            <w:r w:rsidR="009927F8">
              <w:rPr>
                <w:rFonts w:ascii="Times New Roman" w:hAnsi="Times New Roman"/>
                <w:bCs/>
                <w:sz w:val="24"/>
                <w:szCs w:val="24"/>
                <w:lang w:eastAsia="lv-LV"/>
              </w:rPr>
              <w:t>i</w:t>
            </w:r>
            <w:r w:rsidRPr="00740A24">
              <w:rPr>
                <w:rFonts w:ascii="Times New Roman" w:hAnsi="Times New Roman"/>
                <w:bCs/>
                <w:sz w:val="24"/>
                <w:szCs w:val="24"/>
                <w:lang w:eastAsia="lv-LV"/>
              </w:rPr>
              <w:t xml:space="preserve"> punkt</w:t>
            </w:r>
            <w:r w:rsidR="009927F8">
              <w:rPr>
                <w:rFonts w:ascii="Times New Roman" w:hAnsi="Times New Roman"/>
                <w:bCs/>
                <w:sz w:val="24"/>
                <w:szCs w:val="24"/>
                <w:lang w:eastAsia="lv-LV"/>
              </w:rPr>
              <w:t>i</w:t>
            </w:r>
            <w:r w:rsidRPr="00740A24">
              <w:rPr>
                <w:rFonts w:ascii="Times New Roman" w:hAnsi="Times New Roman"/>
                <w:bCs/>
                <w:sz w:val="24"/>
                <w:szCs w:val="24"/>
                <w:lang w:eastAsia="lv-LV"/>
              </w:rPr>
              <w:t>, kas</w:t>
            </w:r>
            <w:r w:rsidR="009927F8">
              <w:rPr>
                <w:rFonts w:ascii="Times New Roman" w:hAnsi="Times New Roman"/>
                <w:bCs/>
                <w:sz w:val="24"/>
                <w:szCs w:val="24"/>
                <w:lang w:eastAsia="lv-LV"/>
              </w:rPr>
              <w:t xml:space="preserve">, pirmkārt, nodrošina Centrālajai statistikas pārvaldei piekļuvi visai notifikācijas sagatavošanai nepieciešamajai informācijai atbilstoši </w:t>
            </w:r>
            <w:r w:rsidR="009927F8" w:rsidRPr="00740A24">
              <w:rPr>
                <w:rFonts w:ascii="Times New Roman" w:hAnsi="Times New Roman"/>
                <w:bCs/>
                <w:sz w:val="24"/>
                <w:szCs w:val="24"/>
                <w:lang w:eastAsia="lv-LV"/>
              </w:rPr>
              <w:t xml:space="preserve">Padomes 2010.gada 26.jūlija Regulas (ES) Nr.679/2010, ar ko </w:t>
            </w:r>
            <w:r w:rsidR="009927F8" w:rsidRPr="00740A24">
              <w:rPr>
                <w:rFonts w:ascii="Times New Roman" w:hAnsi="Times New Roman"/>
                <w:bCs/>
                <w:color w:val="000000"/>
                <w:sz w:val="24"/>
                <w:szCs w:val="24"/>
              </w:rPr>
              <w:t>Regulu (EK) Nr. 479/2009 groza attiecībā uz statistikas datu kvalitāti pārmērīga budžeta deficīta novēršanas procedūras kontekstā</w:t>
            </w:r>
            <w:r w:rsidR="003501A3">
              <w:rPr>
                <w:rFonts w:ascii="Times New Roman" w:hAnsi="Times New Roman"/>
                <w:bCs/>
                <w:color w:val="000000"/>
                <w:sz w:val="24"/>
                <w:szCs w:val="24"/>
              </w:rPr>
              <w:t>,</w:t>
            </w:r>
            <w:r w:rsidR="009927F8" w:rsidRPr="00740A24">
              <w:rPr>
                <w:rFonts w:ascii="Times New Roman" w:hAnsi="Times New Roman"/>
                <w:bCs/>
                <w:sz w:val="24"/>
                <w:szCs w:val="24"/>
                <w:lang w:eastAsia="lv-LV"/>
              </w:rPr>
              <w:t xml:space="preserve"> 16.panta </w:t>
            </w:r>
            <w:r w:rsidR="009927F8">
              <w:rPr>
                <w:rFonts w:ascii="Times New Roman" w:hAnsi="Times New Roman"/>
                <w:bCs/>
                <w:sz w:val="24"/>
                <w:szCs w:val="24"/>
                <w:lang w:eastAsia="lv-LV"/>
              </w:rPr>
              <w:t>pirmās daļas prasīb</w:t>
            </w:r>
            <w:r w:rsidR="003501A3">
              <w:rPr>
                <w:rFonts w:ascii="Times New Roman" w:hAnsi="Times New Roman"/>
                <w:bCs/>
                <w:sz w:val="24"/>
                <w:szCs w:val="24"/>
                <w:lang w:eastAsia="lv-LV"/>
              </w:rPr>
              <w:t>ām</w:t>
            </w:r>
            <w:r w:rsidR="009927F8">
              <w:rPr>
                <w:rFonts w:ascii="Times New Roman" w:hAnsi="Times New Roman"/>
                <w:bCs/>
                <w:sz w:val="24"/>
                <w:szCs w:val="24"/>
                <w:lang w:eastAsia="lv-LV"/>
              </w:rPr>
              <w:t xml:space="preserve"> un, otrkārt, </w:t>
            </w:r>
            <w:r w:rsidRPr="00740A24">
              <w:rPr>
                <w:rFonts w:ascii="Times New Roman" w:hAnsi="Times New Roman"/>
                <w:bCs/>
                <w:sz w:val="24"/>
                <w:szCs w:val="24"/>
                <w:lang w:eastAsia="lv-LV"/>
              </w:rPr>
              <w:t xml:space="preserve">nosaka iesaistīto iestāžu atbildību par tās sniegto datu atbilstību Eiropas statistikas sistēmas kvalitātes kritērijiem, kā tas izriet no </w:t>
            </w:r>
            <w:r w:rsidR="009927F8">
              <w:rPr>
                <w:rFonts w:ascii="Times New Roman" w:hAnsi="Times New Roman"/>
                <w:bCs/>
                <w:sz w:val="24"/>
                <w:szCs w:val="24"/>
                <w:lang w:eastAsia="lv-LV"/>
              </w:rPr>
              <w:t xml:space="preserve">šīs Regulas 16.panta </w:t>
            </w:r>
            <w:r w:rsidRPr="00740A24">
              <w:rPr>
                <w:rFonts w:ascii="Times New Roman" w:hAnsi="Times New Roman"/>
                <w:bCs/>
                <w:sz w:val="24"/>
                <w:szCs w:val="24"/>
                <w:lang w:eastAsia="lv-LV"/>
              </w:rPr>
              <w:t xml:space="preserve">otrās daļas. </w:t>
            </w:r>
          </w:p>
          <w:p w:rsidR="0072745A" w:rsidRPr="00740A24" w:rsidRDefault="0072745A" w:rsidP="00796783">
            <w:pPr>
              <w:spacing w:after="120" w:line="240" w:lineRule="auto"/>
              <w:jc w:val="both"/>
              <w:rPr>
                <w:rFonts w:ascii="Times New Roman" w:hAnsi="Times New Roman"/>
                <w:bCs/>
                <w:sz w:val="24"/>
                <w:szCs w:val="24"/>
                <w:lang w:eastAsia="lv-LV"/>
              </w:rPr>
            </w:pPr>
            <w:r w:rsidRPr="00740A24">
              <w:rPr>
                <w:rFonts w:ascii="Times New Roman" w:hAnsi="Times New Roman"/>
                <w:bCs/>
                <w:sz w:val="24"/>
                <w:szCs w:val="24"/>
                <w:lang w:eastAsia="lv-LV"/>
              </w:rPr>
              <w:t>Pieņemot šo</w:t>
            </w:r>
            <w:r w:rsidR="00796783">
              <w:rPr>
                <w:rFonts w:ascii="Times New Roman" w:hAnsi="Times New Roman"/>
                <w:bCs/>
                <w:sz w:val="24"/>
                <w:szCs w:val="24"/>
                <w:lang w:eastAsia="lv-LV"/>
              </w:rPr>
              <w:t>s</w:t>
            </w:r>
            <w:r w:rsidRPr="00740A24">
              <w:rPr>
                <w:rFonts w:ascii="Times New Roman" w:hAnsi="Times New Roman"/>
                <w:bCs/>
                <w:sz w:val="24"/>
                <w:szCs w:val="24"/>
                <w:lang w:eastAsia="lv-LV"/>
              </w:rPr>
              <w:t xml:space="preserve"> </w:t>
            </w:r>
            <w:r w:rsidR="00796783">
              <w:rPr>
                <w:rFonts w:ascii="Times New Roman" w:hAnsi="Times New Roman"/>
                <w:bCs/>
                <w:sz w:val="24"/>
                <w:szCs w:val="24"/>
                <w:lang w:eastAsia="lv-LV"/>
              </w:rPr>
              <w:t>noteikumus</w:t>
            </w:r>
            <w:r w:rsidRPr="00740A24">
              <w:rPr>
                <w:rFonts w:ascii="Times New Roman" w:hAnsi="Times New Roman"/>
                <w:bCs/>
                <w:sz w:val="24"/>
                <w:szCs w:val="24"/>
                <w:lang w:eastAsia="lv-LV"/>
              </w:rPr>
              <w:t>, tiks sagatavoti nosacījumi, kam būs nozīme Komisijas 2011.gada 15.aprīļa paziņojumā Eiropas Parlamentam un Padomei „Uzticama kvalitātes pārvaldība Eiropas statistikā” aprakstīto darbības pasākumu realizēšanā.</w:t>
            </w:r>
          </w:p>
        </w:tc>
      </w:tr>
      <w:tr w:rsidR="0072745A" w:rsidRPr="00740A24" w:rsidTr="00740A24">
        <w:tc>
          <w:tcPr>
            <w:tcW w:w="675"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lastRenderedPageBreak/>
              <w:t>5.</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Projekta izstrādē iesaistītās institūcijas</w:t>
            </w:r>
          </w:p>
        </w:tc>
        <w:tc>
          <w:tcPr>
            <w:tcW w:w="5493" w:type="dxa"/>
          </w:tcPr>
          <w:p w:rsidR="0072745A" w:rsidRPr="00740A24" w:rsidRDefault="0072745A" w:rsidP="00796783">
            <w:pPr>
              <w:spacing w:after="120" w:line="240" w:lineRule="auto"/>
              <w:jc w:val="both"/>
              <w:rPr>
                <w:rFonts w:ascii="Times New Roman" w:hAnsi="Times New Roman"/>
                <w:bCs/>
                <w:sz w:val="24"/>
                <w:szCs w:val="24"/>
                <w:lang w:eastAsia="lv-LV"/>
              </w:rPr>
            </w:pPr>
            <w:r w:rsidRPr="00740A24">
              <w:rPr>
                <w:rFonts w:ascii="Times New Roman" w:hAnsi="Times New Roman"/>
                <w:bCs/>
                <w:sz w:val="24"/>
                <w:szCs w:val="24"/>
                <w:lang w:eastAsia="lv-LV"/>
              </w:rPr>
              <w:t xml:space="preserve">Centrālā statistikas pārvalde, Finanšu ministrija, Valsts kase, Latvijas Banka – konsultācijas ir notikušas notifikācijas sagatavošanas darba grupas ietvaros. Visu minēto iestāžu eksperti atbalsta </w:t>
            </w:r>
            <w:r w:rsidR="00796783">
              <w:rPr>
                <w:rFonts w:ascii="Times New Roman" w:hAnsi="Times New Roman"/>
                <w:bCs/>
                <w:sz w:val="24"/>
                <w:szCs w:val="24"/>
                <w:lang w:eastAsia="lv-LV"/>
              </w:rPr>
              <w:t>noteikumu</w:t>
            </w:r>
            <w:r w:rsidRPr="00740A24">
              <w:rPr>
                <w:rFonts w:ascii="Times New Roman" w:hAnsi="Times New Roman"/>
                <w:bCs/>
                <w:sz w:val="24"/>
                <w:szCs w:val="24"/>
                <w:lang w:eastAsia="lv-LV"/>
              </w:rPr>
              <w:t xml:space="preserve"> projektu.</w:t>
            </w:r>
          </w:p>
        </w:tc>
      </w:tr>
      <w:tr w:rsidR="0072745A" w:rsidRPr="00740A24" w:rsidTr="00740A24">
        <w:tc>
          <w:tcPr>
            <w:tcW w:w="675"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6.</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sz w:val="24"/>
                <w:szCs w:val="24"/>
                <w:lang w:eastAsia="lv-LV"/>
              </w:rPr>
              <w:t>Iemesli, kādēļ netika nodrošināta sabiedrības līdzdalība</w:t>
            </w:r>
          </w:p>
        </w:tc>
        <w:tc>
          <w:tcPr>
            <w:tcW w:w="5493" w:type="dxa"/>
          </w:tcPr>
          <w:p w:rsidR="0072745A" w:rsidRPr="00740A24" w:rsidRDefault="00796783" w:rsidP="00740A24">
            <w:pPr>
              <w:pStyle w:val="Default"/>
              <w:spacing w:after="120"/>
              <w:jc w:val="both"/>
              <w:rPr>
                <w:rFonts w:ascii="Times New Roman" w:hAnsi="Times New Roman" w:cs="Times New Roman"/>
              </w:rPr>
            </w:pPr>
            <w:r>
              <w:rPr>
                <w:rFonts w:ascii="Times New Roman" w:hAnsi="Times New Roman" w:cs="Times New Roman"/>
              </w:rPr>
              <w:t>Noteikumu</w:t>
            </w:r>
            <w:r w:rsidR="0072745A" w:rsidRPr="00740A24">
              <w:rPr>
                <w:rFonts w:ascii="Times New Roman" w:hAnsi="Times New Roman" w:cs="Times New Roman"/>
              </w:rPr>
              <w:t xml:space="preserve"> projektā aprakstītie procesi skar valsts iestāžu sadarbību tām noteikto funkciju izpildē, plašākas sabiedrības līdzdalība nav nepieciešama.</w:t>
            </w:r>
          </w:p>
          <w:p w:rsidR="0072745A" w:rsidRPr="00740A24" w:rsidRDefault="0072745A" w:rsidP="00740A24">
            <w:pPr>
              <w:pStyle w:val="CM4"/>
              <w:spacing w:after="120"/>
              <w:jc w:val="both"/>
              <w:rPr>
                <w:rFonts w:ascii="Times New Roman" w:hAnsi="Times New Roman"/>
                <w:bCs/>
                <w:lang w:eastAsia="lv-LV"/>
              </w:rPr>
            </w:pPr>
            <w:r w:rsidRPr="00740A24">
              <w:rPr>
                <w:rFonts w:ascii="Times New Roman" w:hAnsi="Times New Roman"/>
              </w:rPr>
              <w:t xml:space="preserve"> </w:t>
            </w:r>
          </w:p>
        </w:tc>
      </w:tr>
      <w:tr w:rsidR="0072745A" w:rsidRPr="00740A24" w:rsidTr="00740A24">
        <w:tc>
          <w:tcPr>
            <w:tcW w:w="675"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7.</w:t>
            </w:r>
          </w:p>
        </w:tc>
        <w:tc>
          <w:tcPr>
            <w:tcW w:w="3119"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Cita informācija</w:t>
            </w:r>
          </w:p>
        </w:tc>
        <w:tc>
          <w:tcPr>
            <w:tcW w:w="5493" w:type="dxa"/>
          </w:tcPr>
          <w:p w:rsidR="0072745A" w:rsidRPr="00740A24" w:rsidRDefault="0072745A" w:rsidP="00740A24">
            <w:pPr>
              <w:spacing w:before="136" w:after="136" w:line="240" w:lineRule="auto"/>
              <w:rPr>
                <w:rFonts w:ascii="Times New Roman" w:hAnsi="Times New Roman"/>
                <w:bCs/>
                <w:sz w:val="24"/>
                <w:szCs w:val="24"/>
                <w:lang w:eastAsia="lv-LV"/>
              </w:rPr>
            </w:pPr>
            <w:r w:rsidRPr="00740A24">
              <w:rPr>
                <w:rFonts w:ascii="Times New Roman" w:hAnsi="Times New Roman"/>
                <w:bCs/>
                <w:sz w:val="24"/>
                <w:szCs w:val="24"/>
                <w:lang w:eastAsia="lv-LV"/>
              </w:rPr>
              <w:t>Nav</w:t>
            </w:r>
          </w:p>
        </w:tc>
      </w:tr>
    </w:tbl>
    <w:p w:rsidR="0072745A" w:rsidRDefault="0072745A" w:rsidP="00BA320C">
      <w:pPr>
        <w:spacing w:before="136" w:after="136" w:line="240" w:lineRule="auto"/>
        <w:rPr>
          <w:rFonts w:ascii="Times New Roman" w:hAnsi="Times New Roman"/>
          <w:b/>
          <w:bCs/>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48"/>
        <w:gridCol w:w="3168"/>
        <w:gridCol w:w="5415"/>
      </w:tblGrid>
      <w:tr w:rsidR="0072745A" w:rsidRPr="00740A24" w:rsidTr="00696C21">
        <w:tc>
          <w:tcPr>
            <w:tcW w:w="0" w:type="auto"/>
            <w:gridSpan w:val="3"/>
            <w:tcBorders>
              <w:top w:val="outset" w:sz="6" w:space="0" w:color="auto"/>
              <w:bottom w:val="outset" w:sz="6" w:space="0" w:color="auto"/>
            </w:tcBorders>
            <w:vAlign w:val="center"/>
          </w:tcPr>
          <w:p w:rsidR="0072745A" w:rsidRPr="00505EA9" w:rsidRDefault="0072745A" w:rsidP="00696C21">
            <w:pPr>
              <w:spacing w:before="68" w:after="68" w:line="240" w:lineRule="auto"/>
              <w:jc w:val="center"/>
              <w:rPr>
                <w:rFonts w:ascii="Times New Roman" w:hAnsi="Times New Roman"/>
                <w:sz w:val="24"/>
                <w:szCs w:val="24"/>
                <w:lang w:eastAsia="lv-LV"/>
              </w:rPr>
            </w:pPr>
            <w:r w:rsidRPr="00505EA9">
              <w:rPr>
                <w:rFonts w:ascii="Times New Roman" w:hAnsi="Times New Roman"/>
                <w:b/>
                <w:bCs/>
                <w:sz w:val="24"/>
                <w:szCs w:val="24"/>
                <w:lang w:eastAsia="lv-LV"/>
              </w:rPr>
              <w:lastRenderedPageBreak/>
              <w:t>V. Tiesību akta projekta atbilstība Latvijas Republikas starptautiskajām saistībām</w:t>
            </w:r>
          </w:p>
        </w:tc>
      </w:tr>
      <w:tr w:rsidR="0072745A" w:rsidRPr="00740A24" w:rsidTr="00915D62">
        <w:tc>
          <w:tcPr>
            <w:tcW w:w="300" w:type="pct"/>
            <w:tcBorders>
              <w:top w:val="outset" w:sz="6"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1.</w:t>
            </w:r>
          </w:p>
        </w:tc>
        <w:tc>
          <w:tcPr>
            <w:tcW w:w="1735" w:type="pct"/>
            <w:tcBorders>
              <w:top w:val="outset" w:sz="6" w:space="0" w:color="auto"/>
              <w:left w:val="outset" w:sz="6"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Saistības pret Eiropas Savienību</w:t>
            </w:r>
          </w:p>
        </w:tc>
        <w:tc>
          <w:tcPr>
            <w:tcW w:w="2965" w:type="pct"/>
            <w:tcBorders>
              <w:top w:val="outset" w:sz="6" w:space="0" w:color="auto"/>
              <w:left w:val="outset" w:sz="6" w:space="0" w:color="auto"/>
              <w:bottom w:val="outset" w:sz="6" w:space="0" w:color="auto"/>
            </w:tcBorders>
          </w:tcPr>
          <w:p w:rsidR="0072745A" w:rsidRPr="00505EA9" w:rsidRDefault="0072745A" w:rsidP="00915D62">
            <w:pPr>
              <w:spacing w:line="240" w:lineRule="auto"/>
              <w:rPr>
                <w:rFonts w:ascii="Times New Roman" w:hAnsi="Times New Roman"/>
                <w:sz w:val="24"/>
                <w:szCs w:val="24"/>
                <w:lang w:eastAsia="lv-LV"/>
              </w:rPr>
            </w:pPr>
            <w:r w:rsidRPr="00740A24">
              <w:rPr>
                <w:rFonts w:ascii="Times New Roman" w:hAnsi="Times New Roman"/>
                <w:sz w:val="24"/>
                <w:szCs w:val="28"/>
              </w:rPr>
              <w:t>Padomes 2009.gada 25.maija Regula (EK) Nr.479/2009 par to, kā piemērot Eiropas Kopienas dibināšanas līgumam pievienoto Protokolu par pārmērīga budžeta deficīta novēršanas procedūru</w:t>
            </w:r>
            <w:r>
              <w:rPr>
                <w:rFonts w:ascii="Times New Roman" w:hAnsi="Times New Roman"/>
                <w:sz w:val="24"/>
                <w:szCs w:val="28"/>
              </w:rPr>
              <w:t xml:space="preserve"> (kodificētā versija, kas iekļauj ar </w:t>
            </w:r>
            <w:r>
              <w:rPr>
                <w:rFonts w:ascii="Times New Roman" w:hAnsi="Times New Roman"/>
                <w:bCs/>
                <w:sz w:val="24"/>
                <w:szCs w:val="24"/>
                <w:lang w:eastAsia="lv-LV"/>
              </w:rPr>
              <w:t xml:space="preserve">Padomes 2010.gada 26.jūlija </w:t>
            </w:r>
            <w:r w:rsidRPr="004750A2">
              <w:rPr>
                <w:rFonts w:ascii="Times New Roman" w:hAnsi="Times New Roman"/>
                <w:bCs/>
                <w:sz w:val="24"/>
                <w:szCs w:val="24"/>
                <w:lang w:eastAsia="lv-LV"/>
              </w:rPr>
              <w:t>R</w:t>
            </w:r>
            <w:r>
              <w:rPr>
                <w:rFonts w:ascii="Times New Roman" w:hAnsi="Times New Roman"/>
                <w:bCs/>
                <w:sz w:val="24"/>
                <w:szCs w:val="24"/>
                <w:lang w:eastAsia="lv-LV"/>
              </w:rPr>
              <w:t>egulu</w:t>
            </w:r>
            <w:r w:rsidRPr="004750A2">
              <w:rPr>
                <w:rFonts w:ascii="Times New Roman" w:hAnsi="Times New Roman"/>
                <w:bCs/>
                <w:sz w:val="24"/>
                <w:szCs w:val="24"/>
                <w:lang w:eastAsia="lv-LV"/>
              </w:rPr>
              <w:t xml:space="preserve"> (ES) Nr.679/2010, ar ko </w:t>
            </w:r>
            <w:r w:rsidRPr="00740A24">
              <w:rPr>
                <w:rFonts w:ascii="Times New Roman" w:hAnsi="Times New Roman"/>
                <w:bCs/>
                <w:color w:val="000000"/>
                <w:sz w:val="24"/>
                <w:szCs w:val="24"/>
              </w:rPr>
              <w:t>Regulu (EK) Nr. 479/2009 groza attiecībā uz statistikas datu kvalitāti pārmērīga budžeta deficīta novēršanas procedūras kontekst</w:t>
            </w:r>
            <w:r>
              <w:rPr>
                <w:rFonts w:ascii="Times New Roman" w:hAnsi="Times New Roman"/>
                <w:bCs/>
                <w:color w:val="000000"/>
                <w:sz w:val="24"/>
                <w:szCs w:val="24"/>
              </w:rPr>
              <w:t>ā, veiktos grozījumus) (turpmāk – Padomes regula Nr.479/2009)</w:t>
            </w:r>
          </w:p>
        </w:tc>
      </w:tr>
      <w:tr w:rsidR="0072745A" w:rsidRPr="00740A24" w:rsidTr="00915D62">
        <w:tc>
          <w:tcPr>
            <w:tcW w:w="300" w:type="pct"/>
            <w:tcBorders>
              <w:top w:val="outset" w:sz="6"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2.</w:t>
            </w:r>
          </w:p>
        </w:tc>
        <w:tc>
          <w:tcPr>
            <w:tcW w:w="1735" w:type="pct"/>
            <w:tcBorders>
              <w:top w:val="outset" w:sz="6" w:space="0" w:color="auto"/>
              <w:left w:val="outset" w:sz="6"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Citas starptautiskās saistības</w:t>
            </w:r>
          </w:p>
        </w:tc>
        <w:tc>
          <w:tcPr>
            <w:tcW w:w="2965" w:type="pct"/>
            <w:tcBorders>
              <w:top w:val="outset" w:sz="6" w:space="0" w:color="auto"/>
              <w:left w:val="outset" w:sz="6" w:space="0" w:color="auto"/>
              <w:bottom w:val="outset" w:sz="6" w:space="0" w:color="auto"/>
            </w:tcBorders>
          </w:tcPr>
          <w:p w:rsidR="0072745A" w:rsidRPr="00505EA9" w:rsidRDefault="0072745A" w:rsidP="00696C21">
            <w:pPr>
              <w:spacing w:line="240" w:lineRule="auto"/>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915D62">
        <w:tc>
          <w:tcPr>
            <w:tcW w:w="300" w:type="pct"/>
            <w:tcBorders>
              <w:top w:val="outset" w:sz="6"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3.</w:t>
            </w:r>
          </w:p>
        </w:tc>
        <w:tc>
          <w:tcPr>
            <w:tcW w:w="1735" w:type="pct"/>
            <w:tcBorders>
              <w:top w:val="outset" w:sz="6" w:space="0" w:color="auto"/>
              <w:left w:val="outset" w:sz="6" w:space="0" w:color="auto"/>
              <w:bottom w:val="outset" w:sz="6" w:space="0" w:color="auto"/>
              <w:right w:val="outset" w:sz="6" w:space="0" w:color="auto"/>
            </w:tcBorders>
          </w:tcPr>
          <w:p w:rsidR="0072745A" w:rsidRPr="00505EA9" w:rsidRDefault="0072745A" w:rsidP="00696C21">
            <w:pPr>
              <w:spacing w:line="240" w:lineRule="auto"/>
              <w:rPr>
                <w:rFonts w:ascii="Times New Roman" w:hAnsi="Times New Roman"/>
                <w:sz w:val="24"/>
                <w:szCs w:val="24"/>
                <w:lang w:eastAsia="lv-LV"/>
              </w:rPr>
            </w:pPr>
            <w:r w:rsidRPr="00505EA9">
              <w:rPr>
                <w:rFonts w:ascii="Times New Roman" w:hAnsi="Times New Roman"/>
                <w:sz w:val="24"/>
                <w:szCs w:val="24"/>
                <w:lang w:eastAsia="lv-LV"/>
              </w:rPr>
              <w:t>Cita informācija</w:t>
            </w:r>
          </w:p>
        </w:tc>
        <w:tc>
          <w:tcPr>
            <w:tcW w:w="2965" w:type="pct"/>
            <w:tcBorders>
              <w:top w:val="outset" w:sz="6" w:space="0" w:color="auto"/>
              <w:left w:val="outset" w:sz="6" w:space="0" w:color="auto"/>
              <w:bottom w:val="outset" w:sz="6" w:space="0" w:color="auto"/>
            </w:tcBorders>
          </w:tcPr>
          <w:p w:rsidR="0072745A" w:rsidRPr="00505EA9" w:rsidRDefault="0072745A" w:rsidP="00915D62">
            <w:pPr>
              <w:spacing w:before="68" w:after="68"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rsidR="0072745A" w:rsidRDefault="0072745A" w:rsidP="00BA320C">
      <w:pPr>
        <w:spacing w:before="136" w:after="136" w:line="240" w:lineRule="auto"/>
        <w:rPr>
          <w:rFonts w:ascii="Times New Roman" w:hAnsi="Times New Roman"/>
          <w:b/>
          <w:bCs/>
          <w:sz w:val="24"/>
          <w:szCs w:val="24"/>
          <w:lang w:eastAsia="lv-LV"/>
        </w:rPr>
      </w:pPr>
    </w:p>
    <w:p w:rsidR="0072745A" w:rsidRPr="00505EA9" w:rsidRDefault="0072745A" w:rsidP="00BA320C">
      <w:pPr>
        <w:spacing w:before="136" w:after="136" w:line="240" w:lineRule="auto"/>
        <w:rPr>
          <w:rFonts w:ascii="Times New Roman" w:hAnsi="Times New Roman"/>
          <w:b/>
          <w:bCs/>
          <w:sz w:val="24"/>
          <w:szCs w:val="24"/>
          <w:lang w:eastAsia="lv-LV"/>
        </w:rPr>
      </w:pPr>
    </w:p>
    <w:p w:rsidR="0072745A" w:rsidRPr="00505EA9" w:rsidRDefault="0072745A" w:rsidP="00BA320C">
      <w:pPr>
        <w:spacing w:line="240" w:lineRule="auto"/>
        <w:rPr>
          <w:rFonts w:ascii="Times New Roman" w:hAnsi="Times New Roman"/>
          <w:vanish/>
          <w:sz w:val="24"/>
          <w:szCs w:val="24"/>
          <w:lang w:eastAsia="lv-LV"/>
        </w:rPr>
      </w:pPr>
    </w:p>
    <w:p w:rsidR="0072745A" w:rsidRPr="00505EA9" w:rsidRDefault="0072745A" w:rsidP="00BA320C">
      <w:pPr>
        <w:spacing w:line="240" w:lineRule="auto"/>
        <w:rPr>
          <w:rFonts w:ascii="Times New Roman" w:hAnsi="Times New Roman"/>
          <w:vanish/>
          <w:sz w:val="24"/>
          <w:szCs w:val="24"/>
          <w:lang w:eastAsia="lv-LV"/>
        </w:rPr>
      </w:pPr>
    </w:p>
    <w:p w:rsidR="0072745A" w:rsidRPr="00505EA9" w:rsidRDefault="0072745A" w:rsidP="00BA320C">
      <w:pPr>
        <w:spacing w:line="240" w:lineRule="auto"/>
        <w:rPr>
          <w:rFonts w:ascii="Times New Roman" w:hAnsi="Times New Roman"/>
          <w:vanish/>
          <w:sz w:val="24"/>
          <w:szCs w:val="24"/>
          <w:lang w:eastAsia="lv-LV"/>
        </w:rPr>
      </w:pPr>
    </w:p>
    <w:p w:rsidR="0072745A" w:rsidRPr="00505EA9" w:rsidRDefault="0072745A" w:rsidP="00BA320C">
      <w:pPr>
        <w:spacing w:line="240" w:lineRule="auto"/>
        <w:rPr>
          <w:rFonts w:ascii="Times New Roman" w:hAnsi="Times New Roman"/>
          <w:vanish/>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827"/>
        <w:gridCol w:w="1826"/>
        <w:gridCol w:w="2739"/>
        <w:gridCol w:w="2739"/>
      </w:tblGrid>
      <w:tr w:rsidR="0072745A" w:rsidRPr="00740A24" w:rsidTr="00B375D8">
        <w:trPr>
          <w:trHeight w:val="510"/>
        </w:trPr>
        <w:tc>
          <w:tcPr>
            <w:tcW w:w="0" w:type="auto"/>
            <w:gridSpan w:val="4"/>
            <w:tcBorders>
              <w:top w:val="outset" w:sz="6" w:space="0" w:color="auto"/>
              <w:bottom w:val="outset" w:sz="6" w:space="0" w:color="auto"/>
            </w:tcBorders>
            <w:vAlign w:val="center"/>
          </w:tcPr>
          <w:p w:rsidR="0072745A" w:rsidRPr="00505EA9" w:rsidRDefault="0072745A" w:rsidP="00B375D8">
            <w:pPr>
              <w:spacing w:before="68" w:after="68" w:line="240" w:lineRule="auto"/>
              <w:jc w:val="center"/>
              <w:rPr>
                <w:rFonts w:ascii="Times New Roman" w:hAnsi="Times New Roman"/>
                <w:sz w:val="24"/>
                <w:szCs w:val="24"/>
                <w:lang w:eastAsia="lv-LV"/>
              </w:rPr>
            </w:pPr>
            <w:r w:rsidRPr="00505EA9">
              <w:rPr>
                <w:rFonts w:ascii="Times New Roman" w:hAnsi="Times New Roman"/>
                <w:b/>
                <w:bCs/>
                <w:sz w:val="24"/>
                <w:szCs w:val="24"/>
                <w:lang w:eastAsia="lv-LV"/>
              </w:rPr>
              <w:t>1.tabula</w:t>
            </w:r>
            <w:r w:rsidRPr="00505EA9">
              <w:rPr>
                <w:rFonts w:ascii="Times New Roman" w:hAnsi="Times New Roman"/>
                <w:b/>
                <w:bCs/>
                <w:sz w:val="24"/>
                <w:szCs w:val="24"/>
                <w:lang w:eastAsia="lv-LV"/>
              </w:rPr>
              <w:br/>
              <w:t>Tiesību akta projekta atbilstība ES tiesību aktiem</w:t>
            </w:r>
          </w:p>
        </w:tc>
      </w:tr>
      <w:tr w:rsidR="0072745A" w:rsidRPr="00740A24" w:rsidTr="00B375D8">
        <w:trPr>
          <w:trHeight w:val="510"/>
        </w:trPr>
        <w:tc>
          <w:tcPr>
            <w:tcW w:w="0" w:type="auto"/>
            <w:gridSpan w:val="4"/>
            <w:tcBorders>
              <w:top w:val="outset" w:sz="6" w:space="0" w:color="auto"/>
              <w:bottom w:val="outset" w:sz="6" w:space="0" w:color="auto"/>
            </w:tcBorders>
            <w:vAlign w:val="center"/>
          </w:tcPr>
          <w:p w:rsidR="0072745A" w:rsidRPr="00505EA9" w:rsidRDefault="0072745A" w:rsidP="00991ACB">
            <w:pPr>
              <w:spacing w:before="68" w:after="68" w:line="240" w:lineRule="auto"/>
              <w:jc w:val="center"/>
              <w:rPr>
                <w:rFonts w:ascii="Times New Roman" w:hAnsi="Times New Roman"/>
                <w:b/>
                <w:bCs/>
                <w:sz w:val="24"/>
                <w:szCs w:val="24"/>
                <w:lang w:eastAsia="lv-LV"/>
              </w:rPr>
            </w:pPr>
            <w:r w:rsidRPr="00740A24">
              <w:rPr>
                <w:rFonts w:ascii="Times New Roman" w:hAnsi="Times New Roman"/>
                <w:sz w:val="24"/>
                <w:szCs w:val="28"/>
              </w:rPr>
              <w:t xml:space="preserve">Padomes </w:t>
            </w:r>
            <w:r>
              <w:rPr>
                <w:rFonts w:ascii="Times New Roman" w:hAnsi="Times New Roman"/>
                <w:sz w:val="24"/>
                <w:szCs w:val="28"/>
              </w:rPr>
              <w:t>regula Nr.479/2009</w:t>
            </w:r>
          </w:p>
        </w:tc>
      </w:tr>
      <w:tr w:rsidR="0072745A" w:rsidRPr="00740A24" w:rsidTr="00B375D8">
        <w:tc>
          <w:tcPr>
            <w:tcW w:w="1000" w:type="pct"/>
            <w:tcBorders>
              <w:top w:val="outset" w:sz="6" w:space="0" w:color="auto"/>
              <w:bottom w:val="outset" w:sz="6" w:space="0" w:color="auto"/>
              <w:right w:val="outset" w:sz="6" w:space="0" w:color="auto"/>
            </w:tcBorders>
            <w:vAlign w:val="center"/>
          </w:tcPr>
          <w:p w:rsidR="0072745A" w:rsidRPr="00505EA9" w:rsidRDefault="0072745A" w:rsidP="00B375D8">
            <w:pPr>
              <w:spacing w:before="68" w:after="68" w:line="240" w:lineRule="auto"/>
              <w:jc w:val="center"/>
              <w:rPr>
                <w:rFonts w:ascii="Times New Roman" w:hAnsi="Times New Roman"/>
                <w:sz w:val="24"/>
                <w:szCs w:val="24"/>
                <w:lang w:eastAsia="lv-LV"/>
              </w:rPr>
            </w:pPr>
            <w:r w:rsidRPr="00505EA9">
              <w:rPr>
                <w:rFonts w:ascii="Times New Roman" w:hAnsi="Times New Roman"/>
                <w:sz w:val="24"/>
                <w:szCs w:val="24"/>
                <w:lang w:eastAsia="lv-LV"/>
              </w:rPr>
              <w:t>A</w:t>
            </w:r>
          </w:p>
        </w:tc>
        <w:tc>
          <w:tcPr>
            <w:tcW w:w="1000" w:type="pct"/>
            <w:tcBorders>
              <w:top w:val="outset" w:sz="6" w:space="0" w:color="auto"/>
              <w:left w:val="outset" w:sz="6" w:space="0" w:color="auto"/>
              <w:bottom w:val="outset" w:sz="6" w:space="0" w:color="auto"/>
              <w:right w:val="outset" w:sz="6" w:space="0" w:color="auto"/>
            </w:tcBorders>
            <w:vAlign w:val="center"/>
          </w:tcPr>
          <w:p w:rsidR="0072745A" w:rsidRPr="00505EA9" w:rsidRDefault="0072745A" w:rsidP="00B375D8">
            <w:pPr>
              <w:spacing w:before="68" w:after="68" w:line="240" w:lineRule="auto"/>
              <w:jc w:val="center"/>
              <w:rPr>
                <w:rFonts w:ascii="Times New Roman" w:hAnsi="Times New Roman"/>
                <w:sz w:val="24"/>
                <w:szCs w:val="24"/>
                <w:lang w:eastAsia="lv-LV"/>
              </w:rPr>
            </w:pPr>
            <w:r w:rsidRPr="00505EA9">
              <w:rPr>
                <w:rFonts w:ascii="Times New Roman" w:hAnsi="Times New Roman"/>
                <w:sz w:val="24"/>
                <w:szCs w:val="24"/>
                <w:lang w:eastAsia="lv-LV"/>
              </w:rPr>
              <w:t>B</w:t>
            </w:r>
          </w:p>
        </w:tc>
        <w:tc>
          <w:tcPr>
            <w:tcW w:w="1500" w:type="pct"/>
            <w:tcBorders>
              <w:top w:val="outset" w:sz="6" w:space="0" w:color="auto"/>
              <w:left w:val="outset" w:sz="6" w:space="0" w:color="auto"/>
              <w:bottom w:val="outset" w:sz="6" w:space="0" w:color="auto"/>
              <w:right w:val="outset" w:sz="6" w:space="0" w:color="auto"/>
            </w:tcBorders>
            <w:vAlign w:val="center"/>
          </w:tcPr>
          <w:p w:rsidR="0072745A" w:rsidRPr="00505EA9" w:rsidRDefault="0072745A" w:rsidP="00B375D8">
            <w:pPr>
              <w:spacing w:before="68" w:after="68" w:line="240" w:lineRule="auto"/>
              <w:jc w:val="center"/>
              <w:rPr>
                <w:rFonts w:ascii="Times New Roman" w:hAnsi="Times New Roman"/>
                <w:sz w:val="24"/>
                <w:szCs w:val="24"/>
                <w:lang w:eastAsia="lv-LV"/>
              </w:rPr>
            </w:pPr>
            <w:r w:rsidRPr="00505EA9">
              <w:rPr>
                <w:rFonts w:ascii="Times New Roman" w:hAnsi="Times New Roman"/>
                <w:sz w:val="24"/>
                <w:szCs w:val="24"/>
                <w:lang w:eastAsia="lv-LV"/>
              </w:rPr>
              <w:t>C</w:t>
            </w:r>
          </w:p>
        </w:tc>
        <w:tc>
          <w:tcPr>
            <w:tcW w:w="1500" w:type="pct"/>
            <w:tcBorders>
              <w:top w:val="outset" w:sz="6" w:space="0" w:color="auto"/>
              <w:left w:val="outset" w:sz="6" w:space="0" w:color="auto"/>
              <w:bottom w:val="outset" w:sz="6" w:space="0" w:color="auto"/>
            </w:tcBorders>
            <w:vAlign w:val="center"/>
          </w:tcPr>
          <w:p w:rsidR="0072745A" w:rsidRPr="00505EA9" w:rsidRDefault="0072745A" w:rsidP="00B375D8">
            <w:pPr>
              <w:spacing w:before="68" w:after="68" w:line="240" w:lineRule="auto"/>
              <w:jc w:val="center"/>
              <w:rPr>
                <w:rFonts w:ascii="Times New Roman" w:hAnsi="Times New Roman"/>
                <w:sz w:val="24"/>
                <w:szCs w:val="24"/>
                <w:lang w:eastAsia="lv-LV"/>
              </w:rPr>
            </w:pPr>
            <w:r w:rsidRPr="00505EA9">
              <w:rPr>
                <w:rFonts w:ascii="Times New Roman" w:hAnsi="Times New Roman"/>
                <w:sz w:val="24"/>
                <w:szCs w:val="24"/>
                <w:lang w:eastAsia="lv-LV"/>
              </w:rPr>
              <w:t>D</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II nodaļa „Ziņojumu saturs un noteikumi”</w:t>
            </w:r>
          </w:p>
          <w:p w:rsidR="0072745A" w:rsidRDefault="0072745A" w:rsidP="000911E9">
            <w:pPr>
              <w:spacing w:line="240" w:lineRule="auto"/>
              <w:rPr>
                <w:rFonts w:ascii="Times New Roman" w:hAnsi="Times New Roman"/>
                <w:sz w:val="24"/>
                <w:szCs w:val="24"/>
                <w:lang w:eastAsia="lv-LV"/>
              </w:rPr>
            </w:pPr>
            <w:r>
              <w:rPr>
                <w:rFonts w:ascii="Times New Roman" w:hAnsi="Times New Roman"/>
                <w:sz w:val="24"/>
                <w:szCs w:val="24"/>
                <w:lang w:eastAsia="lv-LV"/>
              </w:rPr>
              <w:t>3.</w:t>
            </w:r>
            <w:r w:rsidR="000911E9" w:rsidRPr="00A44570">
              <w:rPr>
                <w:rFonts w:ascii="Times New Roman" w:hAnsi="Times New Roman"/>
                <w:sz w:val="24"/>
                <w:szCs w:val="24"/>
                <w:lang w:eastAsia="lv-LV"/>
              </w:rPr>
              <w:t>panta pirmā daļa</w:t>
            </w:r>
          </w:p>
        </w:tc>
        <w:tc>
          <w:tcPr>
            <w:tcW w:w="1000" w:type="pct"/>
            <w:tcBorders>
              <w:top w:val="outset" w:sz="6" w:space="0" w:color="auto"/>
              <w:left w:val="outset" w:sz="6" w:space="0" w:color="auto"/>
              <w:bottom w:val="outset" w:sz="6" w:space="0" w:color="auto"/>
              <w:right w:val="outset" w:sz="6" w:space="0" w:color="auto"/>
            </w:tcBorders>
          </w:tcPr>
          <w:p w:rsidR="0072745A" w:rsidRPr="00BA36EF" w:rsidRDefault="00334A99" w:rsidP="00091CD0">
            <w:pPr>
              <w:spacing w:line="240" w:lineRule="auto"/>
              <w:rPr>
                <w:rFonts w:ascii="Times New Roman" w:hAnsi="Times New Roman"/>
                <w:sz w:val="24"/>
                <w:szCs w:val="24"/>
                <w:lang w:eastAsia="lv-LV"/>
              </w:rPr>
            </w:pPr>
            <w:r>
              <w:rPr>
                <w:rFonts w:ascii="Times New Roman" w:hAnsi="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tcPr>
          <w:p w:rsidR="0072745A" w:rsidRPr="009662BA" w:rsidRDefault="0072745A" w:rsidP="00B375D8">
            <w:pPr>
              <w:spacing w:line="240" w:lineRule="auto"/>
              <w:rPr>
                <w:rFonts w:ascii="Times New Roman" w:hAnsi="Times New Roman"/>
                <w:sz w:val="24"/>
                <w:szCs w:val="24"/>
                <w:lang w:eastAsia="lv-LV"/>
              </w:rPr>
            </w:pPr>
            <w:r w:rsidRPr="00B65BC7">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II nodaļas 3. un 4.panta </w:t>
            </w:r>
            <w:r w:rsidRPr="00B65BC7">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0911E9" w:rsidRPr="00740A24" w:rsidTr="00B375D8">
        <w:tc>
          <w:tcPr>
            <w:tcW w:w="1000" w:type="pct"/>
            <w:tcBorders>
              <w:top w:val="outset" w:sz="6" w:space="0" w:color="auto"/>
              <w:bottom w:val="outset" w:sz="6" w:space="0" w:color="auto"/>
              <w:right w:val="outset" w:sz="6" w:space="0" w:color="auto"/>
            </w:tcBorders>
          </w:tcPr>
          <w:p w:rsidR="000911E9" w:rsidRDefault="00091CD0" w:rsidP="00091CD0">
            <w:pPr>
              <w:spacing w:line="240" w:lineRule="auto"/>
              <w:rPr>
                <w:rFonts w:ascii="Times New Roman" w:hAnsi="Times New Roman"/>
                <w:sz w:val="24"/>
                <w:szCs w:val="24"/>
                <w:lang w:eastAsia="lv-LV"/>
              </w:rPr>
            </w:pPr>
            <w:r>
              <w:rPr>
                <w:rFonts w:ascii="Times New Roman" w:hAnsi="Times New Roman"/>
                <w:sz w:val="24"/>
                <w:szCs w:val="24"/>
                <w:lang w:eastAsia="lv-LV"/>
              </w:rPr>
              <w:t>3.</w:t>
            </w:r>
            <w:r w:rsidRPr="00A44570">
              <w:rPr>
                <w:rFonts w:ascii="Times New Roman" w:hAnsi="Times New Roman"/>
                <w:sz w:val="24"/>
                <w:szCs w:val="24"/>
                <w:lang w:eastAsia="lv-LV"/>
              </w:rPr>
              <w:t>panta otrā un trešā daļa</w:t>
            </w:r>
          </w:p>
        </w:tc>
        <w:tc>
          <w:tcPr>
            <w:tcW w:w="1000" w:type="pct"/>
            <w:tcBorders>
              <w:top w:val="outset" w:sz="6" w:space="0" w:color="auto"/>
              <w:left w:val="outset" w:sz="6" w:space="0" w:color="auto"/>
              <w:bottom w:val="outset" w:sz="6" w:space="0" w:color="auto"/>
              <w:right w:val="outset" w:sz="6" w:space="0" w:color="auto"/>
            </w:tcBorders>
          </w:tcPr>
          <w:p w:rsidR="000911E9" w:rsidRDefault="002F4656" w:rsidP="00B375D8">
            <w:pPr>
              <w:spacing w:line="240" w:lineRule="auto"/>
              <w:rPr>
                <w:rFonts w:ascii="Times New Roman" w:hAnsi="Times New Roman"/>
                <w:sz w:val="24"/>
                <w:szCs w:val="24"/>
                <w:lang w:eastAsia="lv-LV"/>
              </w:rPr>
            </w:pPr>
            <w:r>
              <w:rPr>
                <w:rFonts w:ascii="Times New Roman" w:hAnsi="Times New Roman"/>
                <w:sz w:val="24"/>
                <w:szCs w:val="24"/>
                <w:lang w:eastAsia="lv-LV"/>
              </w:rPr>
              <w:t>9</w:t>
            </w:r>
            <w:r w:rsidR="00091CD0">
              <w:rPr>
                <w:rFonts w:ascii="Times New Roman" w:hAnsi="Times New Roman"/>
                <w:sz w:val="24"/>
                <w:szCs w:val="24"/>
                <w:lang w:eastAsia="lv-LV"/>
              </w:rPr>
              <w:t>.7.</w:t>
            </w:r>
          </w:p>
        </w:tc>
        <w:tc>
          <w:tcPr>
            <w:tcW w:w="1500" w:type="pct"/>
            <w:tcBorders>
              <w:top w:val="outset" w:sz="6" w:space="0" w:color="auto"/>
              <w:left w:val="outset" w:sz="6" w:space="0" w:color="auto"/>
              <w:bottom w:val="outset" w:sz="6" w:space="0" w:color="auto"/>
              <w:right w:val="outset" w:sz="6" w:space="0" w:color="auto"/>
            </w:tcBorders>
          </w:tcPr>
          <w:p w:rsidR="000911E9" w:rsidRPr="00B65BC7" w:rsidRDefault="000911E9" w:rsidP="00B375D8">
            <w:pPr>
              <w:spacing w:line="240" w:lineRule="auto"/>
              <w:rPr>
                <w:rFonts w:ascii="Times New Roman" w:hAnsi="Times New Roman"/>
                <w:sz w:val="24"/>
                <w:szCs w:val="24"/>
              </w:rPr>
            </w:pPr>
          </w:p>
        </w:tc>
        <w:tc>
          <w:tcPr>
            <w:tcW w:w="1500" w:type="pct"/>
            <w:tcBorders>
              <w:top w:val="outset" w:sz="6" w:space="0" w:color="auto"/>
              <w:left w:val="outset" w:sz="6" w:space="0" w:color="auto"/>
              <w:bottom w:val="outset" w:sz="6" w:space="0" w:color="auto"/>
            </w:tcBorders>
          </w:tcPr>
          <w:p w:rsidR="000911E9" w:rsidRDefault="000911E9" w:rsidP="00B375D8">
            <w:pPr>
              <w:spacing w:line="240" w:lineRule="auto"/>
              <w:rPr>
                <w:rFonts w:ascii="Times New Roman" w:hAnsi="Times New Roman"/>
                <w:sz w:val="24"/>
                <w:szCs w:val="24"/>
                <w:lang w:eastAsia="lv-LV"/>
              </w:rPr>
            </w:pP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5.pants</w:t>
            </w:r>
          </w:p>
        </w:tc>
        <w:tc>
          <w:tcPr>
            <w:tcW w:w="1000" w:type="pct"/>
            <w:tcBorders>
              <w:top w:val="outset" w:sz="6" w:space="0" w:color="auto"/>
              <w:left w:val="outset" w:sz="6" w:space="0" w:color="auto"/>
              <w:bottom w:val="outset" w:sz="6" w:space="0" w:color="auto"/>
              <w:right w:val="outset" w:sz="6" w:space="0" w:color="auto"/>
            </w:tcBorders>
          </w:tcPr>
          <w:p w:rsidR="0072745A" w:rsidRDefault="002F4656" w:rsidP="002F4656">
            <w:pPr>
              <w:spacing w:line="240" w:lineRule="auto"/>
              <w:rPr>
                <w:rFonts w:ascii="Times New Roman" w:hAnsi="Times New Roman"/>
                <w:sz w:val="24"/>
                <w:szCs w:val="24"/>
                <w:lang w:eastAsia="lv-LV"/>
              </w:rPr>
            </w:pPr>
            <w:r>
              <w:rPr>
                <w:rFonts w:ascii="Times New Roman" w:hAnsi="Times New Roman"/>
                <w:sz w:val="24"/>
                <w:szCs w:val="24"/>
                <w:lang w:eastAsia="lv-LV"/>
              </w:rPr>
              <w:t>6</w:t>
            </w:r>
            <w:r w:rsidR="0072745A">
              <w:rPr>
                <w:rFonts w:ascii="Times New Roman" w:hAnsi="Times New Roman"/>
                <w:sz w:val="24"/>
                <w:szCs w:val="24"/>
                <w:lang w:eastAsia="lv-LV"/>
              </w:rPr>
              <w:t xml:space="preserve">.1., </w:t>
            </w:r>
            <w:r>
              <w:rPr>
                <w:rFonts w:ascii="Times New Roman" w:hAnsi="Times New Roman"/>
                <w:sz w:val="24"/>
                <w:szCs w:val="24"/>
                <w:lang w:eastAsia="lv-LV"/>
              </w:rPr>
              <w:t>9</w:t>
            </w:r>
            <w:r w:rsidR="0072745A">
              <w:rPr>
                <w:rFonts w:ascii="Times New Roman" w:hAnsi="Times New Roman"/>
                <w:sz w:val="24"/>
                <w:szCs w:val="24"/>
                <w:lang w:eastAsia="lv-LV"/>
              </w:rPr>
              <w:t>.7.</w:t>
            </w:r>
          </w:p>
        </w:tc>
        <w:tc>
          <w:tcPr>
            <w:tcW w:w="1500" w:type="pct"/>
            <w:tcBorders>
              <w:top w:val="outset" w:sz="6" w:space="0" w:color="auto"/>
              <w:left w:val="outset" w:sz="6" w:space="0" w:color="auto"/>
              <w:bottom w:val="outset" w:sz="6" w:space="0" w:color="auto"/>
              <w:right w:val="outset" w:sz="6" w:space="0" w:color="auto"/>
            </w:tcBorders>
          </w:tcPr>
          <w:p w:rsidR="0072745A" w:rsidRPr="00BA36EF" w:rsidRDefault="0072745A" w:rsidP="00A17E9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5</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6.pants</w:t>
            </w:r>
          </w:p>
        </w:tc>
        <w:tc>
          <w:tcPr>
            <w:tcW w:w="1000" w:type="pct"/>
            <w:tcBorders>
              <w:top w:val="outset" w:sz="6" w:space="0" w:color="auto"/>
              <w:left w:val="outset" w:sz="6" w:space="0" w:color="auto"/>
              <w:bottom w:val="outset" w:sz="6" w:space="0" w:color="auto"/>
              <w:right w:val="outset" w:sz="6" w:space="0" w:color="auto"/>
            </w:tcBorders>
          </w:tcPr>
          <w:p w:rsidR="0072745A" w:rsidRDefault="002F4656" w:rsidP="002F4656">
            <w:pPr>
              <w:spacing w:line="240" w:lineRule="auto"/>
              <w:rPr>
                <w:rFonts w:ascii="Times New Roman" w:hAnsi="Times New Roman"/>
                <w:sz w:val="24"/>
                <w:szCs w:val="24"/>
                <w:lang w:eastAsia="lv-LV"/>
              </w:rPr>
            </w:pPr>
            <w:r>
              <w:rPr>
                <w:rFonts w:ascii="Times New Roman" w:hAnsi="Times New Roman"/>
                <w:sz w:val="24"/>
                <w:szCs w:val="24"/>
                <w:lang w:eastAsia="lv-LV"/>
              </w:rPr>
              <w:t>9</w:t>
            </w:r>
            <w:r w:rsidR="0072745A">
              <w:rPr>
                <w:rFonts w:ascii="Times New Roman" w:hAnsi="Times New Roman"/>
                <w:sz w:val="24"/>
                <w:szCs w:val="24"/>
                <w:lang w:eastAsia="lv-LV"/>
              </w:rPr>
              <w:t xml:space="preserve">.7., </w:t>
            </w:r>
            <w:r>
              <w:rPr>
                <w:rFonts w:ascii="Times New Roman" w:hAnsi="Times New Roman"/>
                <w:sz w:val="24"/>
                <w:szCs w:val="24"/>
                <w:lang w:eastAsia="lv-LV"/>
              </w:rPr>
              <w:t>9</w:t>
            </w:r>
            <w:r w:rsidR="0072745A">
              <w:rPr>
                <w:rFonts w:ascii="Times New Roman" w:hAnsi="Times New Roman"/>
                <w:sz w:val="24"/>
                <w:szCs w:val="24"/>
                <w:lang w:eastAsia="lv-LV"/>
              </w:rPr>
              <w:t>.8.</w:t>
            </w:r>
          </w:p>
        </w:tc>
        <w:tc>
          <w:tcPr>
            <w:tcW w:w="1500" w:type="pct"/>
            <w:tcBorders>
              <w:top w:val="outset" w:sz="6" w:space="0" w:color="auto"/>
              <w:left w:val="outset" w:sz="6" w:space="0" w:color="auto"/>
              <w:bottom w:val="outset" w:sz="6" w:space="0" w:color="auto"/>
              <w:right w:val="outset" w:sz="6" w:space="0" w:color="auto"/>
            </w:tcBorders>
          </w:tcPr>
          <w:p w:rsidR="0072745A" w:rsidRPr="00BA36EF" w:rsidRDefault="0072745A" w:rsidP="00A17E9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6.</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7.pants</w:t>
            </w:r>
          </w:p>
        </w:tc>
        <w:tc>
          <w:tcPr>
            <w:tcW w:w="1000" w:type="pct"/>
            <w:tcBorders>
              <w:top w:val="outset" w:sz="6" w:space="0" w:color="auto"/>
              <w:left w:val="outset" w:sz="6" w:space="0" w:color="auto"/>
              <w:bottom w:val="outset" w:sz="6" w:space="0" w:color="auto"/>
              <w:right w:val="outset" w:sz="6" w:space="0" w:color="auto"/>
            </w:tcBorders>
          </w:tcPr>
          <w:p w:rsidR="0072745A" w:rsidRDefault="002F4656" w:rsidP="00B375D8">
            <w:pPr>
              <w:spacing w:line="240" w:lineRule="auto"/>
              <w:rPr>
                <w:rFonts w:ascii="Times New Roman" w:hAnsi="Times New Roman"/>
                <w:sz w:val="24"/>
                <w:szCs w:val="24"/>
                <w:lang w:eastAsia="lv-LV"/>
              </w:rPr>
            </w:pPr>
            <w:r>
              <w:rPr>
                <w:rFonts w:ascii="Times New Roman" w:hAnsi="Times New Roman"/>
                <w:sz w:val="24"/>
                <w:szCs w:val="24"/>
                <w:lang w:eastAsia="lv-LV"/>
              </w:rPr>
              <w:t>9</w:t>
            </w:r>
            <w:r w:rsidR="0072745A">
              <w:rPr>
                <w:rFonts w:ascii="Times New Roman" w:hAnsi="Times New Roman"/>
                <w:sz w:val="24"/>
                <w:szCs w:val="24"/>
                <w:lang w:eastAsia="lv-LV"/>
              </w:rPr>
              <w:t>.9.</w:t>
            </w:r>
          </w:p>
        </w:tc>
        <w:tc>
          <w:tcPr>
            <w:tcW w:w="1500" w:type="pct"/>
            <w:tcBorders>
              <w:top w:val="outset" w:sz="6" w:space="0" w:color="auto"/>
              <w:left w:val="outset" w:sz="6" w:space="0" w:color="auto"/>
              <w:bottom w:val="outset" w:sz="6" w:space="0" w:color="auto"/>
              <w:right w:val="outset" w:sz="6" w:space="0" w:color="auto"/>
            </w:tcBorders>
          </w:tcPr>
          <w:p w:rsidR="0072745A" w:rsidRPr="009662BA" w:rsidRDefault="0072745A" w:rsidP="00E27C15">
            <w:pPr>
              <w:spacing w:line="240" w:lineRule="auto"/>
              <w:rPr>
                <w:rFonts w:ascii="Times New Roman" w:hAnsi="Times New Roman"/>
                <w:sz w:val="24"/>
                <w:szCs w:val="24"/>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7.</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III nodaļa „Datu kvalitāte”</w:t>
            </w:r>
          </w:p>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8.</w:t>
            </w:r>
            <w:r w:rsidRPr="00A44570">
              <w:rPr>
                <w:rFonts w:ascii="Times New Roman" w:hAnsi="Times New Roman"/>
                <w:sz w:val="24"/>
                <w:szCs w:val="24"/>
                <w:lang w:eastAsia="lv-LV"/>
              </w:rPr>
              <w:t>pant</w:t>
            </w:r>
            <w:r w:rsidR="00091CD0" w:rsidRPr="00A44570">
              <w:rPr>
                <w:rFonts w:ascii="Times New Roman" w:hAnsi="Times New Roman"/>
                <w:sz w:val="24"/>
                <w:szCs w:val="24"/>
                <w:lang w:eastAsia="lv-LV"/>
              </w:rPr>
              <w:t>a otrā daļa</w:t>
            </w:r>
          </w:p>
        </w:tc>
        <w:tc>
          <w:tcPr>
            <w:tcW w:w="1000" w:type="pct"/>
            <w:tcBorders>
              <w:top w:val="outset" w:sz="6" w:space="0" w:color="auto"/>
              <w:left w:val="outset" w:sz="6" w:space="0" w:color="auto"/>
              <w:bottom w:val="outset" w:sz="6" w:space="0" w:color="auto"/>
              <w:right w:val="outset" w:sz="6" w:space="0" w:color="auto"/>
            </w:tcBorders>
          </w:tcPr>
          <w:p w:rsidR="0072745A" w:rsidRDefault="002F4656" w:rsidP="002F4656">
            <w:pPr>
              <w:spacing w:line="240" w:lineRule="auto"/>
              <w:rPr>
                <w:rFonts w:ascii="Times New Roman" w:hAnsi="Times New Roman"/>
                <w:sz w:val="24"/>
                <w:szCs w:val="24"/>
                <w:lang w:eastAsia="lv-LV"/>
              </w:rPr>
            </w:pPr>
            <w:r>
              <w:rPr>
                <w:rFonts w:ascii="Times New Roman" w:hAnsi="Times New Roman"/>
                <w:sz w:val="24"/>
                <w:szCs w:val="24"/>
                <w:lang w:eastAsia="lv-LV"/>
              </w:rPr>
              <w:t>9</w:t>
            </w:r>
            <w:r w:rsidR="0072745A">
              <w:rPr>
                <w:rFonts w:ascii="Times New Roman" w:hAnsi="Times New Roman"/>
                <w:sz w:val="24"/>
                <w:szCs w:val="24"/>
                <w:lang w:eastAsia="lv-LV"/>
              </w:rPr>
              <w:t xml:space="preserve">.8., </w:t>
            </w:r>
            <w:r>
              <w:rPr>
                <w:rFonts w:ascii="Times New Roman" w:hAnsi="Times New Roman"/>
                <w:sz w:val="24"/>
                <w:szCs w:val="24"/>
                <w:lang w:eastAsia="lv-LV"/>
              </w:rPr>
              <w:t>10</w:t>
            </w:r>
            <w:r w:rsidR="0072745A">
              <w:rPr>
                <w:rFonts w:ascii="Times New Roman" w:hAnsi="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tcPr>
          <w:p w:rsidR="0072745A" w:rsidRPr="00BA36EF" w:rsidRDefault="0072745A" w:rsidP="00A17E9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Padomes regulas Nr.479/2009 II</w:t>
            </w:r>
            <w:r w:rsidRPr="00B65BC7">
              <w:rPr>
                <w:rFonts w:ascii="Times New Roman" w:hAnsi="Times New Roman"/>
                <w:bCs/>
                <w:color w:val="000000"/>
                <w:sz w:val="24"/>
                <w:szCs w:val="24"/>
              </w:rPr>
              <w:t xml:space="preserve">I </w:t>
            </w:r>
            <w:r w:rsidRPr="009662BA">
              <w:rPr>
                <w:rFonts w:ascii="Times New Roman" w:hAnsi="Times New Roman"/>
                <w:bCs/>
                <w:color w:val="000000"/>
                <w:sz w:val="24"/>
                <w:szCs w:val="24"/>
              </w:rPr>
              <w:t xml:space="preserve">nodaļas </w:t>
            </w:r>
            <w:r>
              <w:rPr>
                <w:rFonts w:ascii="Times New Roman" w:hAnsi="Times New Roman"/>
                <w:bCs/>
                <w:color w:val="000000"/>
                <w:sz w:val="24"/>
                <w:szCs w:val="24"/>
              </w:rPr>
              <w:t>8.</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9.pants</w:t>
            </w:r>
          </w:p>
        </w:tc>
        <w:tc>
          <w:tcPr>
            <w:tcW w:w="1000" w:type="pct"/>
            <w:tcBorders>
              <w:top w:val="outset" w:sz="6" w:space="0" w:color="auto"/>
              <w:left w:val="outset" w:sz="6" w:space="0" w:color="auto"/>
              <w:bottom w:val="outset" w:sz="6" w:space="0" w:color="auto"/>
              <w:right w:val="outset" w:sz="6" w:space="0" w:color="auto"/>
            </w:tcBorders>
          </w:tcPr>
          <w:p w:rsidR="0072745A" w:rsidRDefault="002F4656" w:rsidP="002F4656">
            <w:pPr>
              <w:spacing w:line="240" w:lineRule="auto"/>
              <w:rPr>
                <w:rFonts w:ascii="Times New Roman" w:hAnsi="Times New Roman"/>
                <w:sz w:val="24"/>
                <w:szCs w:val="24"/>
                <w:lang w:eastAsia="lv-LV"/>
              </w:rPr>
            </w:pPr>
            <w:r>
              <w:rPr>
                <w:rFonts w:ascii="Times New Roman" w:hAnsi="Times New Roman"/>
                <w:sz w:val="24"/>
                <w:szCs w:val="24"/>
                <w:lang w:eastAsia="lv-LV"/>
              </w:rPr>
              <w:t>9</w:t>
            </w:r>
            <w:r w:rsidR="0072745A">
              <w:rPr>
                <w:rFonts w:ascii="Times New Roman" w:hAnsi="Times New Roman"/>
                <w:sz w:val="24"/>
                <w:szCs w:val="24"/>
                <w:lang w:eastAsia="lv-LV"/>
              </w:rPr>
              <w:t xml:space="preserve">.7., </w:t>
            </w:r>
            <w:r>
              <w:rPr>
                <w:rFonts w:ascii="Times New Roman" w:hAnsi="Times New Roman"/>
                <w:sz w:val="24"/>
                <w:szCs w:val="24"/>
                <w:lang w:eastAsia="lv-LV"/>
              </w:rPr>
              <w:t>9</w:t>
            </w:r>
            <w:r w:rsidR="0072745A">
              <w:rPr>
                <w:rFonts w:ascii="Times New Roman" w:hAnsi="Times New Roman"/>
                <w:sz w:val="24"/>
                <w:szCs w:val="24"/>
                <w:lang w:eastAsia="lv-LV"/>
              </w:rPr>
              <w:t xml:space="preserve">.9., </w:t>
            </w:r>
            <w:r>
              <w:rPr>
                <w:rFonts w:ascii="Times New Roman" w:hAnsi="Times New Roman"/>
                <w:sz w:val="24"/>
                <w:szCs w:val="24"/>
                <w:lang w:eastAsia="lv-LV"/>
              </w:rPr>
              <w:t>10</w:t>
            </w:r>
            <w:r w:rsidR="0072745A">
              <w:rPr>
                <w:rFonts w:ascii="Times New Roman" w:hAnsi="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tcPr>
          <w:p w:rsidR="0072745A" w:rsidRPr="00BA36EF" w:rsidRDefault="0072745A" w:rsidP="00A17E9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w:t>
            </w:r>
            <w:r w:rsidRPr="009662BA">
              <w:rPr>
                <w:rFonts w:ascii="Times New Roman" w:hAnsi="Times New Roman"/>
                <w:bCs/>
                <w:color w:val="000000"/>
                <w:sz w:val="24"/>
                <w:szCs w:val="24"/>
              </w:rPr>
              <w:lastRenderedPageBreak/>
              <w:t xml:space="preserve">regulas Nr.479/2009 </w:t>
            </w:r>
            <w:r>
              <w:rPr>
                <w:rFonts w:ascii="Times New Roman" w:hAnsi="Times New Roman"/>
                <w:bCs/>
                <w:color w:val="000000"/>
                <w:sz w:val="24"/>
                <w:szCs w:val="24"/>
              </w:rPr>
              <w:t>9</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lastRenderedPageBreak/>
              <w:t>Nav</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lastRenderedPageBreak/>
              <w:t>10.pants</w:t>
            </w:r>
          </w:p>
        </w:tc>
        <w:tc>
          <w:tcPr>
            <w:tcW w:w="1000" w:type="pct"/>
            <w:tcBorders>
              <w:top w:val="outset" w:sz="6" w:space="0" w:color="auto"/>
              <w:left w:val="outset" w:sz="6" w:space="0" w:color="auto"/>
              <w:bottom w:val="outset" w:sz="6" w:space="0" w:color="auto"/>
              <w:right w:val="outset" w:sz="6" w:space="0" w:color="auto"/>
            </w:tcBorders>
          </w:tcPr>
          <w:p w:rsidR="0072745A" w:rsidRDefault="002F4656" w:rsidP="002F4656">
            <w:pPr>
              <w:spacing w:line="240" w:lineRule="auto"/>
              <w:rPr>
                <w:rFonts w:ascii="Times New Roman" w:hAnsi="Times New Roman"/>
                <w:sz w:val="24"/>
                <w:szCs w:val="24"/>
                <w:lang w:eastAsia="lv-LV"/>
              </w:rPr>
            </w:pPr>
            <w:r>
              <w:rPr>
                <w:rFonts w:ascii="Times New Roman" w:hAnsi="Times New Roman"/>
                <w:sz w:val="24"/>
                <w:szCs w:val="24"/>
                <w:lang w:eastAsia="lv-LV"/>
              </w:rPr>
              <w:t>9</w:t>
            </w:r>
            <w:r w:rsidR="0072745A">
              <w:rPr>
                <w:rFonts w:ascii="Times New Roman" w:hAnsi="Times New Roman"/>
                <w:sz w:val="24"/>
                <w:szCs w:val="24"/>
                <w:lang w:eastAsia="lv-LV"/>
              </w:rPr>
              <w:t xml:space="preserve">.3., </w:t>
            </w:r>
            <w:r>
              <w:rPr>
                <w:rFonts w:ascii="Times New Roman" w:hAnsi="Times New Roman"/>
                <w:sz w:val="24"/>
                <w:szCs w:val="24"/>
                <w:lang w:eastAsia="lv-LV"/>
              </w:rPr>
              <w:t>9</w:t>
            </w:r>
            <w:r w:rsidR="0072745A">
              <w:rPr>
                <w:rFonts w:ascii="Times New Roman" w:hAnsi="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tcPr>
          <w:p w:rsidR="0072745A" w:rsidRPr="00BA36EF" w:rsidRDefault="0072745A" w:rsidP="00A17E9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10</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11.pants</w:t>
            </w:r>
          </w:p>
        </w:tc>
        <w:tc>
          <w:tcPr>
            <w:tcW w:w="1000" w:type="pct"/>
            <w:tcBorders>
              <w:top w:val="outset" w:sz="6" w:space="0" w:color="auto"/>
              <w:left w:val="outset" w:sz="6" w:space="0" w:color="auto"/>
              <w:bottom w:val="outset" w:sz="6" w:space="0" w:color="auto"/>
              <w:right w:val="outset" w:sz="6" w:space="0" w:color="auto"/>
            </w:tcBorders>
          </w:tcPr>
          <w:p w:rsidR="0072745A" w:rsidRDefault="002F4656" w:rsidP="002F4656">
            <w:pPr>
              <w:spacing w:line="240" w:lineRule="auto"/>
              <w:rPr>
                <w:rFonts w:ascii="Times New Roman" w:hAnsi="Times New Roman"/>
                <w:sz w:val="24"/>
                <w:szCs w:val="24"/>
                <w:lang w:eastAsia="lv-LV"/>
              </w:rPr>
            </w:pPr>
            <w:r>
              <w:rPr>
                <w:rFonts w:ascii="Times New Roman" w:hAnsi="Times New Roman"/>
                <w:sz w:val="24"/>
                <w:szCs w:val="24"/>
                <w:lang w:eastAsia="lv-LV"/>
              </w:rPr>
              <w:t>9</w:t>
            </w:r>
            <w:r w:rsidR="0072745A">
              <w:rPr>
                <w:rFonts w:ascii="Times New Roman" w:hAnsi="Times New Roman"/>
                <w:sz w:val="24"/>
                <w:szCs w:val="24"/>
                <w:lang w:eastAsia="lv-LV"/>
              </w:rPr>
              <w:t xml:space="preserve">.5., </w:t>
            </w:r>
            <w:r>
              <w:rPr>
                <w:rFonts w:ascii="Times New Roman" w:hAnsi="Times New Roman"/>
                <w:sz w:val="24"/>
                <w:szCs w:val="24"/>
                <w:lang w:eastAsia="lv-LV"/>
              </w:rPr>
              <w:t>10</w:t>
            </w:r>
            <w:r w:rsidR="0072745A">
              <w:rPr>
                <w:rFonts w:ascii="Times New Roman" w:hAnsi="Times New Roman"/>
                <w:sz w:val="24"/>
                <w:szCs w:val="24"/>
                <w:lang w:eastAsia="lv-LV"/>
              </w:rPr>
              <w:t>.5.</w:t>
            </w:r>
          </w:p>
        </w:tc>
        <w:tc>
          <w:tcPr>
            <w:tcW w:w="1500" w:type="pct"/>
            <w:tcBorders>
              <w:top w:val="outset" w:sz="6" w:space="0" w:color="auto"/>
              <w:left w:val="outset" w:sz="6" w:space="0" w:color="auto"/>
              <w:bottom w:val="outset" w:sz="6" w:space="0" w:color="auto"/>
              <w:right w:val="outset" w:sz="6" w:space="0" w:color="auto"/>
            </w:tcBorders>
          </w:tcPr>
          <w:p w:rsidR="0072745A" w:rsidRPr="00BA36EF" w:rsidRDefault="0072745A" w:rsidP="00A17E9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11</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12.pants</w:t>
            </w:r>
          </w:p>
        </w:tc>
        <w:tc>
          <w:tcPr>
            <w:tcW w:w="1000" w:type="pct"/>
            <w:tcBorders>
              <w:top w:val="outset" w:sz="6" w:space="0" w:color="auto"/>
              <w:left w:val="outset" w:sz="6" w:space="0" w:color="auto"/>
              <w:bottom w:val="outset" w:sz="6" w:space="0" w:color="auto"/>
              <w:right w:val="outset" w:sz="6" w:space="0" w:color="auto"/>
            </w:tcBorders>
          </w:tcPr>
          <w:p w:rsidR="0072745A" w:rsidRDefault="0072745A" w:rsidP="002F4656">
            <w:pPr>
              <w:spacing w:line="240" w:lineRule="auto"/>
              <w:rPr>
                <w:rFonts w:ascii="Times New Roman" w:hAnsi="Times New Roman"/>
                <w:sz w:val="24"/>
                <w:szCs w:val="24"/>
                <w:lang w:eastAsia="lv-LV"/>
              </w:rPr>
            </w:pPr>
            <w:r>
              <w:rPr>
                <w:rFonts w:ascii="Times New Roman" w:hAnsi="Times New Roman"/>
                <w:sz w:val="24"/>
                <w:szCs w:val="24"/>
                <w:lang w:eastAsia="lv-LV"/>
              </w:rPr>
              <w:t xml:space="preserve">6., 7., </w:t>
            </w:r>
            <w:r w:rsidR="002F4656">
              <w:rPr>
                <w:rFonts w:ascii="Times New Roman" w:hAnsi="Times New Roman"/>
                <w:sz w:val="24"/>
                <w:szCs w:val="24"/>
                <w:lang w:eastAsia="lv-LV"/>
              </w:rPr>
              <w:t>8., 9</w:t>
            </w:r>
            <w:r>
              <w:rPr>
                <w:rFonts w:ascii="Times New Roman" w:hAnsi="Times New Roman"/>
                <w:sz w:val="24"/>
                <w:szCs w:val="24"/>
                <w:lang w:eastAsia="lv-LV"/>
              </w:rPr>
              <w:t xml:space="preserve">.5., </w:t>
            </w:r>
            <w:r w:rsidR="002F4656">
              <w:rPr>
                <w:rFonts w:ascii="Times New Roman" w:hAnsi="Times New Roman"/>
                <w:sz w:val="24"/>
                <w:szCs w:val="24"/>
                <w:lang w:eastAsia="lv-LV"/>
              </w:rPr>
              <w:t>10</w:t>
            </w:r>
            <w:r>
              <w:rPr>
                <w:rFonts w:ascii="Times New Roman" w:hAnsi="Times New Roman"/>
                <w:sz w:val="24"/>
                <w:szCs w:val="24"/>
                <w:lang w:eastAsia="lv-LV"/>
              </w:rPr>
              <w:t>.5.</w:t>
            </w:r>
          </w:p>
        </w:tc>
        <w:tc>
          <w:tcPr>
            <w:tcW w:w="1500" w:type="pct"/>
            <w:tcBorders>
              <w:top w:val="outset" w:sz="6" w:space="0" w:color="auto"/>
              <w:left w:val="outset" w:sz="6" w:space="0" w:color="auto"/>
              <w:bottom w:val="outset" w:sz="6" w:space="0" w:color="auto"/>
              <w:right w:val="outset" w:sz="6" w:space="0" w:color="auto"/>
            </w:tcBorders>
          </w:tcPr>
          <w:p w:rsidR="0072745A" w:rsidRPr="00BA36EF" w:rsidRDefault="0072745A" w:rsidP="00A17E9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12</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r w:rsidR="0072745A" w:rsidRPr="00740A24" w:rsidTr="00B375D8">
        <w:tc>
          <w:tcPr>
            <w:tcW w:w="1000" w:type="pct"/>
            <w:tcBorders>
              <w:top w:val="outset" w:sz="6" w:space="0" w:color="auto"/>
              <w:bottom w:val="outset" w:sz="6" w:space="0" w:color="auto"/>
              <w:right w:val="outset" w:sz="6" w:space="0" w:color="auto"/>
            </w:tcBorders>
          </w:tcPr>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V nodaļa „Vispārīgie noteikumi”</w:t>
            </w:r>
          </w:p>
          <w:p w:rsidR="0072745A" w:rsidRDefault="0072745A" w:rsidP="00B375D8">
            <w:pPr>
              <w:spacing w:line="240" w:lineRule="auto"/>
              <w:rPr>
                <w:rFonts w:ascii="Times New Roman" w:hAnsi="Times New Roman"/>
                <w:sz w:val="24"/>
                <w:szCs w:val="24"/>
                <w:lang w:eastAsia="lv-LV"/>
              </w:rPr>
            </w:pPr>
            <w:r>
              <w:rPr>
                <w:rFonts w:ascii="Times New Roman" w:hAnsi="Times New Roman"/>
                <w:sz w:val="24"/>
                <w:szCs w:val="24"/>
                <w:lang w:eastAsia="lv-LV"/>
              </w:rPr>
              <w:t>16.</w:t>
            </w:r>
            <w:r w:rsidRPr="00A44570">
              <w:rPr>
                <w:rFonts w:ascii="Times New Roman" w:hAnsi="Times New Roman"/>
                <w:sz w:val="24"/>
                <w:szCs w:val="24"/>
                <w:lang w:eastAsia="lv-LV"/>
              </w:rPr>
              <w:t>pant</w:t>
            </w:r>
            <w:r w:rsidR="000911E9" w:rsidRPr="00A44570">
              <w:rPr>
                <w:rFonts w:ascii="Times New Roman" w:hAnsi="Times New Roman"/>
                <w:sz w:val="24"/>
                <w:szCs w:val="24"/>
                <w:lang w:eastAsia="lv-LV"/>
              </w:rPr>
              <w:t>a pirmā daļa</w:t>
            </w:r>
          </w:p>
        </w:tc>
        <w:tc>
          <w:tcPr>
            <w:tcW w:w="1000" w:type="pct"/>
            <w:tcBorders>
              <w:top w:val="outset" w:sz="6" w:space="0" w:color="auto"/>
              <w:left w:val="outset" w:sz="6" w:space="0" w:color="auto"/>
              <w:bottom w:val="outset" w:sz="6" w:space="0" w:color="auto"/>
              <w:right w:val="outset" w:sz="6" w:space="0" w:color="auto"/>
            </w:tcBorders>
          </w:tcPr>
          <w:p w:rsidR="0072745A" w:rsidRDefault="0072745A" w:rsidP="00E27C15">
            <w:pPr>
              <w:spacing w:line="240" w:lineRule="auto"/>
              <w:rPr>
                <w:rFonts w:ascii="Times New Roman" w:hAnsi="Times New Roman"/>
                <w:sz w:val="24"/>
                <w:szCs w:val="24"/>
                <w:lang w:eastAsia="lv-LV"/>
              </w:rPr>
            </w:pPr>
            <w:r>
              <w:rPr>
                <w:rFonts w:ascii="Times New Roman" w:hAnsi="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tcPr>
          <w:p w:rsidR="0072745A" w:rsidRPr="00BA36EF" w:rsidRDefault="0072745A" w:rsidP="00A17E94">
            <w:pPr>
              <w:spacing w:line="240" w:lineRule="auto"/>
              <w:rPr>
                <w:rFonts w:ascii="Times New Roman" w:hAnsi="Times New Roman"/>
                <w:sz w:val="24"/>
                <w:szCs w:val="24"/>
                <w:lang w:eastAsia="lv-LV"/>
              </w:rPr>
            </w:pPr>
            <w:r w:rsidRPr="009662BA">
              <w:rPr>
                <w:rFonts w:ascii="Times New Roman" w:hAnsi="Times New Roman"/>
                <w:sz w:val="24"/>
                <w:szCs w:val="24"/>
              </w:rPr>
              <w:t xml:space="preserve">Nodrošina </w:t>
            </w:r>
            <w:r w:rsidRPr="009662BA">
              <w:rPr>
                <w:rFonts w:ascii="Times New Roman" w:hAnsi="Times New Roman"/>
                <w:bCs/>
                <w:color w:val="000000"/>
                <w:sz w:val="24"/>
                <w:szCs w:val="24"/>
              </w:rPr>
              <w:t xml:space="preserve">Padomes regulas Nr.479/2009 </w:t>
            </w:r>
            <w:r>
              <w:rPr>
                <w:rFonts w:ascii="Times New Roman" w:hAnsi="Times New Roman"/>
                <w:bCs/>
                <w:color w:val="000000"/>
                <w:sz w:val="24"/>
                <w:szCs w:val="24"/>
              </w:rPr>
              <w:t>V nodaļas 16</w:t>
            </w:r>
            <w:r w:rsidRPr="009662BA">
              <w:rPr>
                <w:rFonts w:ascii="Times New Roman" w:hAnsi="Times New Roman"/>
                <w:bCs/>
                <w:color w:val="000000"/>
                <w:sz w:val="24"/>
                <w:szCs w:val="24"/>
              </w:rPr>
              <w:t xml:space="preserve">.panta </w:t>
            </w:r>
            <w:r w:rsidRPr="009662BA">
              <w:rPr>
                <w:rFonts w:ascii="Times New Roman" w:hAnsi="Times New Roman"/>
                <w:sz w:val="24"/>
                <w:szCs w:val="24"/>
              </w:rPr>
              <w:t>prasību piemērošanu</w:t>
            </w:r>
          </w:p>
        </w:tc>
        <w:tc>
          <w:tcPr>
            <w:tcW w:w="1500" w:type="pct"/>
            <w:tcBorders>
              <w:top w:val="outset" w:sz="6" w:space="0" w:color="auto"/>
              <w:left w:val="outset" w:sz="6" w:space="0" w:color="auto"/>
              <w:bottom w:val="outset" w:sz="6" w:space="0" w:color="auto"/>
            </w:tcBorders>
          </w:tcPr>
          <w:p w:rsidR="0072745A" w:rsidRPr="00BA36EF" w:rsidRDefault="0072745A" w:rsidP="00A17E94">
            <w:pPr>
              <w:spacing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72745A" w:rsidRDefault="0072745A"/>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425"/>
        <w:gridCol w:w="4706"/>
      </w:tblGrid>
      <w:tr w:rsidR="0072745A" w:rsidRPr="00740A24" w:rsidTr="00BB04F5">
        <w:tc>
          <w:tcPr>
            <w:tcW w:w="2423" w:type="pct"/>
            <w:tcBorders>
              <w:top w:val="outset" w:sz="6" w:space="0" w:color="auto"/>
              <w:bottom w:val="outset" w:sz="6" w:space="0" w:color="auto"/>
              <w:right w:val="outset" w:sz="6" w:space="0" w:color="auto"/>
            </w:tcBorders>
          </w:tcPr>
          <w:p w:rsidR="0072745A" w:rsidRPr="00505EA9" w:rsidRDefault="0072745A" w:rsidP="00B375D8">
            <w:pPr>
              <w:spacing w:line="240" w:lineRule="auto"/>
              <w:rPr>
                <w:rFonts w:ascii="Times New Roman" w:hAnsi="Times New Roman"/>
                <w:sz w:val="24"/>
                <w:szCs w:val="24"/>
                <w:lang w:eastAsia="lv-LV"/>
              </w:rPr>
            </w:pPr>
            <w:r w:rsidRPr="00505EA9">
              <w:rPr>
                <w:rFonts w:ascii="Times New Roman" w:hAnsi="Times New Roman"/>
                <w:sz w:val="24"/>
                <w:szCs w:val="24"/>
                <w:lang w:eastAsia="lv-LV"/>
              </w:rPr>
              <w:t xml:space="preserve">Kā ir izmantota ES tiesību aktā paredzētā rīcības brīvība dalībvalstij pārņemt vai ieviest noteiktas ES tiesību akta normas? </w:t>
            </w:r>
          </w:p>
          <w:p w:rsidR="0072745A" w:rsidRPr="00505EA9" w:rsidRDefault="0072745A" w:rsidP="00B375D8">
            <w:pPr>
              <w:spacing w:before="68" w:after="68" w:line="240" w:lineRule="auto"/>
              <w:ind w:firstLine="340"/>
              <w:jc w:val="both"/>
              <w:rPr>
                <w:rFonts w:ascii="Times New Roman" w:hAnsi="Times New Roman"/>
                <w:sz w:val="24"/>
                <w:szCs w:val="24"/>
                <w:lang w:eastAsia="lv-LV"/>
              </w:rPr>
            </w:pPr>
            <w:r w:rsidRPr="00505EA9">
              <w:rPr>
                <w:rFonts w:ascii="Times New Roman" w:hAnsi="Times New Roman"/>
                <w:sz w:val="24"/>
                <w:szCs w:val="24"/>
                <w:lang w:eastAsia="lv-LV"/>
              </w:rPr>
              <w:t>Kādēļ?</w:t>
            </w:r>
          </w:p>
        </w:tc>
        <w:tc>
          <w:tcPr>
            <w:tcW w:w="2577" w:type="pct"/>
            <w:tcBorders>
              <w:top w:val="outset" w:sz="6" w:space="0" w:color="auto"/>
              <w:left w:val="outset" w:sz="6" w:space="0" w:color="auto"/>
              <w:bottom w:val="outset" w:sz="6" w:space="0" w:color="auto"/>
            </w:tcBorders>
          </w:tcPr>
          <w:p w:rsidR="0072745A" w:rsidRPr="00505EA9" w:rsidRDefault="0072745A" w:rsidP="00BB04F5">
            <w:pPr>
              <w:spacing w:line="240" w:lineRule="auto"/>
              <w:ind w:firstLine="111"/>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BB04F5">
        <w:tc>
          <w:tcPr>
            <w:tcW w:w="2423" w:type="pct"/>
            <w:tcBorders>
              <w:top w:val="outset" w:sz="6" w:space="0" w:color="auto"/>
              <w:bottom w:val="outset" w:sz="6" w:space="0" w:color="auto"/>
              <w:right w:val="outset" w:sz="6" w:space="0" w:color="auto"/>
            </w:tcBorders>
          </w:tcPr>
          <w:p w:rsidR="0072745A" w:rsidRPr="00505EA9" w:rsidRDefault="0072745A" w:rsidP="00B375D8">
            <w:pPr>
              <w:spacing w:line="240" w:lineRule="auto"/>
              <w:rPr>
                <w:rFonts w:ascii="Times New Roman" w:hAnsi="Times New Roman"/>
                <w:sz w:val="24"/>
                <w:szCs w:val="24"/>
                <w:lang w:eastAsia="lv-LV"/>
              </w:rPr>
            </w:pPr>
            <w:r w:rsidRPr="00505EA9">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77" w:type="pct"/>
            <w:tcBorders>
              <w:top w:val="outset" w:sz="6" w:space="0" w:color="auto"/>
              <w:left w:val="outset" w:sz="6" w:space="0" w:color="auto"/>
              <w:bottom w:val="outset" w:sz="6" w:space="0" w:color="auto"/>
            </w:tcBorders>
          </w:tcPr>
          <w:p w:rsidR="0072745A" w:rsidRPr="00505EA9" w:rsidRDefault="0072745A" w:rsidP="00BB04F5">
            <w:pPr>
              <w:spacing w:line="240" w:lineRule="auto"/>
              <w:ind w:firstLine="111"/>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BB04F5">
        <w:tc>
          <w:tcPr>
            <w:tcW w:w="2423" w:type="pct"/>
            <w:tcBorders>
              <w:top w:val="outset" w:sz="6" w:space="0" w:color="auto"/>
              <w:bottom w:val="outset" w:sz="6" w:space="0" w:color="auto"/>
              <w:right w:val="outset" w:sz="6" w:space="0" w:color="auto"/>
            </w:tcBorders>
          </w:tcPr>
          <w:p w:rsidR="0072745A" w:rsidRPr="00505EA9" w:rsidRDefault="0072745A" w:rsidP="00B375D8">
            <w:pPr>
              <w:spacing w:line="240" w:lineRule="auto"/>
              <w:rPr>
                <w:rFonts w:ascii="Times New Roman" w:hAnsi="Times New Roman"/>
                <w:sz w:val="24"/>
                <w:szCs w:val="24"/>
                <w:lang w:eastAsia="lv-LV"/>
              </w:rPr>
            </w:pPr>
            <w:r w:rsidRPr="00505EA9">
              <w:rPr>
                <w:rFonts w:ascii="Times New Roman" w:hAnsi="Times New Roman"/>
                <w:sz w:val="24"/>
                <w:szCs w:val="24"/>
                <w:lang w:eastAsia="lv-LV"/>
              </w:rPr>
              <w:t>Cita informācija</w:t>
            </w:r>
          </w:p>
        </w:tc>
        <w:tc>
          <w:tcPr>
            <w:tcW w:w="2577" w:type="pct"/>
            <w:tcBorders>
              <w:top w:val="outset" w:sz="6" w:space="0" w:color="auto"/>
              <w:left w:val="outset" w:sz="6" w:space="0" w:color="auto"/>
              <w:bottom w:val="outset" w:sz="6" w:space="0" w:color="auto"/>
            </w:tcBorders>
          </w:tcPr>
          <w:p w:rsidR="0072745A" w:rsidRPr="00505EA9" w:rsidRDefault="0072745A" w:rsidP="00BB04F5">
            <w:pPr>
              <w:spacing w:before="68" w:after="68" w:line="240" w:lineRule="auto"/>
              <w:ind w:firstLine="111"/>
              <w:jc w:val="both"/>
              <w:rPr>
                <w:rFonts w:ascii="Times New Roman" w:hAnsi="Times New Roman"/>
                <w:sz w:val="24"/>
                <w:szCs w:val="24"/>
                <w:lang w:eastAsia="lv-LV"/>
              </w:rPr>
            </w:pPr>
            <w:r>
              <w:rPr>
                <w:rFonts w:ascii="Times New Roman" w:hAnsi="Times New Roman"/>
                <w:sz w:val="24"/>
                <w:szCs w:val="24"/>
                <w:lang w:eastAsia="lv-LV"/>
              </w:rPr>
              <w:t>Nav</w:t>
            </w:r>
          </w:p>
        </w:tc>
      </w:tr>
    </w:tbl>
    <w:p w:rsidR="0072745A" w:rsidRDefault="0072745A"/>
    <w:p w:rsidR="0072745A" w:rsidRPr="00505EA9" w:rsidRDefault="0072745A" w:rsidP="00BA320C">
      <w:pPr>
        <w:spacing w:line="240" w:lineRule="auto"/>
        <w:rPr>
          <w:rFonts w:ascii="Times New Roman" w:hAnsi="Times New Roman"/>
          <w:vanish/>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425"/>
        <w:gridCol w:w="4706"/>
      </w:tblGrid>
      <w:tr w:rsidR="0072745A" w:rsidRPr="00740A24" w:rsidTr="00B375D8">
        <w:trPr>
          <w:trHeight w:val="15"/>
        </w:trPr>
        <w:tc>
          <w:tcPr>
            <w:tcW w:w="0" w:type="auto"/>
            <w:gridSpan w:val="2"/>
            <w:tcBorders>
              <w:top w:val="outset" w:sz="6" w:space="0" w:color="auto"/>
              <w:bottom w:val="outset" w:sz="6" w:space="0" w:color="auto"/>
            </w:tcBorders>
            <w:vAlign w:val="center"/>
          </w:tcPr>
          <w:p w:rsidR="0072745A" w:rsidRPr="00505EA9" w:rsidRDefault="0072745A" w:rsidP="00B375D8">
            <w:pPr>
              <w:spacing w:before="68" w:after="68" w:line="15" w:lineRule="atLeast"/>
              <w:jc w:val="center"/>
              <w:rPr>
                <w:rFonts w:ascii="Times New Roman" w:hAnsi="Times New Roman"/>
                <w:sz w:val="24"/>
                <w:szCs w:val="24"/>
                <w:lang w:eastAsia="lv-LV"/>
              </w:rPr>
            </w:pPr>
            <w:r w:rsidRPr="00505EA9">
              <w:rPr>
                <w:rFonts w:ascii="Times New Roman" w:hAnsi="Times New Roman"/>
                <w:b/>
                <w:bCs/>
                <w:sz w:val="24"/>
                <w:szCs w:val="24"/>
                <w:lang w:eastAsia="lv-LV"/>
              </w:rPr>
              <w:t>2.tabula</w:t>
            </w:r>
            <w:r w:rsidRPr="00505EA9">
              <w:rPr>
                <w:rFonts w:ascii="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505EA9">
              <w:rPr>
                <w:rFonts w:ascii="Times New Roman" w:hAnsi="Times New Roman"/>
                <w:b/>
                <w:bCs/>
                <w:sz w:val="24"/>
                <w:szCs w:val="24"/>
                <w:lang w:eastAsia="lv-LV"/>
              </w:rPr>
              <w:br/>
              <w:t>Pasākumi šo saistību izpildei</w:t>
            </w:r>
          </w:p>
        </w:tc>
      </w:tr>
      <w:tr w:rsidR="0072745A" w:rsidRPr="00740A24" w:rsidTr="00BB04F5">
        <w:trPr>
          <w:trHeight w:val="15"/>
        </w:trPr>
        <w:tc>
          <w:tcPr>
            <w:tcW w:w="2423" w:type="pct"/>
            <w:tcBorders>
              <w:top w:val="outset" w:sz="6" w:space="0" w:color="auto"/>
              <w:bottom w:val="outset" w:sz="6" w:space="0" w:color="auto"/>
              <w:right w:val="outset" w:sz="6" w:space="0" w:color="auto"/>
            </w:tcBorders>
            <w:vAlign w:val="center"/>
          </w:tcPr>
          <w:p w:rsidR="0072745A" w:rsidRPr="00505EA9" w:rsidRDefault="0072745A" w:rsidP="00B375D8">
            <w:pPr>
              <w:spacing w:line="15" w:lineRule="atLeast"/>
              <w:rPr>
                <w:rFonts w:ascii="Times New Roman" w:hAnsi="Times New Roman"/>
                <w:sz w:val="24"/>
                <w:szCs w:val="24"/>
                <w:lang w:eastAsia="lv-LV"/>
              </w:rPr>
            </w:pPr>
            <w:r w:rsidRPr="00505EA9">
              <w:rPr>
                <w:rFonts w:ascii="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2577" w:type="pct"/>
            <w:tcBorders>
              <w:top w:val="outset" w:sz="6" w:space="0" w:color="auto"/>
              <w:left w:val="outset" w:sz="6" w:space="0" w:color="auto"/>
              <w:bottom w:val="outset" w:sz="6" w:space="0" w:color="auto"/>
            </w:tcBorders>
          </w:tcPr>
          <w:p w:rsidR="0072745A" w:rsidRPr="00505EA9" w:rsidRDefault="0072745A" w:rsidP="00BB04F5">
            <w:pPr>
              <w:spacing w:line="15" w:lineRule="atLeast"/>
              <w:ind w:firstLine="111"/>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BB04F5">
        <w:trPr>
          <w:trHeight w:val="15"/>
        </w:trPr>
        <w:tc>
          <w:tcPr>
            <w:tcW w:w="2423" w:type="pct"/>
            <w:tcBorders>
              <w:top w:val="outset" w:sz="6" w:space="0" w:color="auto"/>
              <w:bottom w:val="outset" w:sz="6" w:space="0" w:color="auto"/>
              <w:right w:val="outset" w:sz="6" w:space="0" w:color="auto"/>
            </w:tcBorders>
          </w:tcPr>
          <w:p w:rsidR="0072745A" w:rsidRPr="00505EA9" w:rsidRDefault="0072745A" w:rsidP="00B375D8">
            <w:pPr>
              <w:spacing w:line="15" w:lineRule="atLeast"/>
              <w:rPr>
                <w:rFonts w:ascii="Times New Roman" w:hAnsi="Times New Roman"/>
                <w:sz w:val="24"/>
                <w:szCs w:val="24"/>
                <w:lang w:eastAsia="lv-LV"/>
              </w:rPr>
            </w:pPr>
            <w:r w:rsidRPr="00505EA9">
              <w:rPr>
                <w:rFonts w:ascii="Times New Roman" w:hAnsi="Times New Roman"/>
                <w:sz w:val="24"/>
                <w:szCs w:val="24"/>
                <w:lang w:eastAsia="lv-LV"/>
              </w:rPr>
              <w:t>Vai starptautiskajā dokumentā paredzētās saistības nav pretrunā ar jau esošajām Latvijas Republikas starptautiskajām saistībām</w:t>
            </w:r>
          </w:p>
        </w:tc>
        <w:tc>
          <w:tcPr>
            <w:tcW w:w="2577" w:type="pct"/>
            <w:tcBorders>
              <w:top w:val="outset" w:sz="6" w:space="0" w:color="auto"/>
              <w:left w:val="outset" w:sz="6" w:space="0" w:color="auto"/>
              <w:bottom w:val="outset" w:sz="6" w:space="0" w:color="auto"/>
            </w:tcBorders>
          </w:tcPr>
          <w:p w:rsidR="0072745A" w:rsidRPr="00505EA9" w:rsidRDefault="0072745A" w:rsidP="00BB04F5">
            <w:pPr>
              <w:spacing w:line="15" w:lineRule="atLeast"/>
              <w:ind w:firstLine="111"/>
              <w:rPr>
                <w:rFonts w:ascii="Times New Roman" w:hAnsi="Times New Roman"/>
                <w:sz w:val="24"/>
                <w:szCs w:val="24"/>
                <w:lang w:eastAsia="lv-LV"/>
              </w:rPr>
            </w:pPr>
            <w:r>
              <w:rPr>
                <w:rFonts w:ascii="Times New Roman" w:hAnsi="Times New Roman"/>
                <w:bCs/>
                <w:sz w:val="24"/>
              </w:rPr>
              <w:t>Projekts šo jomu neskar</w:t>
            </w:r>
          </w:p>
        </w:tc>
      </w:tr>
      <w:tr w:rsidR="0072745A" w:rsidRPr="00740A24" w:rsidTr="00BB04F5">
        <w:trPr>
          <w:trHeight w:val="15"/>
        </w:trPr>
        <w:tc>
          <w:tcPr>
            <w:tcW w:w="2423" w:type="pct"/>
            <w:tcBorders>
              <w:top w:val="outset" w:sz="6" w:space="0" w:color="auto"/>
              <w:bottom w:val="outset" w:sz="6" w:space="0" w:color="auto"/>
              <w:right w:val="outset" w:sz="6" w:space="0" w:color="auto"/>
            </w:tcBorders>
          </w:tcPr>
          <w:p w:rsidR="0072745A" w:rsidRPr="00505EA9" w:rsidRDefault="0072745A" w:rsidP="00B375D8">
            <w:pPr>
              <w:spacing w:line="15" w:lineRule="atLeast"/>
              <w:rPr>
                <w:rFonts w:ascii="Times New Roman" w:hAnsi="Times New Roman"/>
                <w:sz w:val="24"/>
                <w:szCs w:val="24"/>
                <w:lang w:eastAsia="lv-LV"/>
              </w:rPr>
            </w:pPr>
            <w:r w:rsidRPr="00505EA9">
              <w:rPr>
                <w:rFonts w:ascii="Times New Roman" w:hAnsi="Times New Roman"/>
                <w:sz w:val="24"/>
                <w:szCs w:val="24"/>
                <w:lang w:eastAsia="lv-LV"/>
              </w:rPr>
              <w:t>Cita informācija</w:t>
            </w:r>
          </w:p>
        </w:tc>
        <w:tc>
          <w:tcPr>
            <w:tcW w:w="2577" w:type="pct"/>
            <w:tcBorders>
              <w:top w:val="outset" w:sz="6" w:space="0" w:color="auto"/>
              <w:left w:val="outset" w:sz="6" w:space="0" w:color="auto"/>
              <w:bottom w:val="outset" w:sz="6" w:space="0" w:color="auto"/>
            </w:tcBorders>
          </w:tcPr>
          <w:p w:rsidR="0072745A" w:rsidRPr="00505EA9" w:rsidRDefault="0072745A" w:rsidP="00BB04F5">
            <w:pPr>
              <w:spacing w:before="68" w:after="68" w:line="15" w:lineRule="atLeast"/>
              <w:ind w:firstLine="111"/>
              <w:jc w:val="both"/>
              <w:rPr>
                <w:rFonts w:ascii="Times New Roman" w:hAnsi="Times New Roman"/>
                <w:sz w:val="24"/>
                <w:szCs w:val="24"/>
                <w:lang w:eastAsia="lv-LV"/>
              </w:rPr>
            </w:pPr>
            <w:r>
              <w:rPr>
                <w:rFonts w:ascii="Times New Roman" w:hAnsi="Times New Roman"/>
                <w:sz w:val="24"/>
                <w:szCs w:val="24"/>
                <w:lang w:eastAsia="lv-LV"/>
              </w:rPr>
              <w:t>Nav</w:t>
            </w:r>
          </w:p>
        </w:tc>
      </w:tr>
    </w:tbl>
    <w:p w:rsidR="0072745A" w:rsidRDefault="0072745A">
      <w:pPr>
        <w:rPr>
          <w:rFonts w:ascii="Times New Roman" w:hAnsi="Times New Roman"/>
          <w:sz w:val="24"/>
        </w:rPr>
      </w:pPr>
    </w:p>
    <w:p w:rsidR="0072745A" w:rsidRDefault="0072745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828"/>
        <w:gridCol w:w="4784"/>
      </w:tblGrid>
      <w:tr w:rsidR="0072745A" w:rsidRPr="00740A24" w:rsidTr="00740A24">
        <w:tc>
          <w:tcPr>
            <w:tcW w:w="9287" w:type="dxa"/>
            <w:gridSpan w:val="3"/>
            <w:vAlign w:val="center"/>
          </w:tcPr>
          <w:p w:rsidR="0072745A" w:rsidRPr="00740A24" w:rsidRDefault="0072745A" w:rsidP="00740A24">
            <w:pPr>
              <w:spacing w:line="240" w:lineRule="auto"/>
              <w:jc w:val="center"/>
              <w:rPr>
                <w:rFonts w:ascii="Times New Roman" w:hAnsi="Times New Roman"/>
                <w:sz w:val="24"/>
              </w:rPr>
            </w:pPr>
            <w:r w:rsidRPr="00740A24">
              <w:rPr>
                <w:rFonts w:ascii="Times New Roman" w:hAnsi="Times New Roman"/>
                <w:b/>
                <w:bCs/>
                <w:sz w:val="24"/>
                <w:szCs w:val="24"/>
                <w:lang w:eastAsia="lv-LV"/>
              </w:rPr>
              <w:t>VII. Tiesību akta projekta izpildes nodrošināšana un tās ietekme uz institūcijām</w:t>
            </w:r>
          </w:p>
        </w:tc>
      </w:tr>
      <w:tr w:rsidR="0072745A" w:rsidRPr="00740A24" w:rsidTr="00740A24">
        <w:tc>
          <w:tcPr>
            <w:tcW w:w="675"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1.</w:t>
            </w:r>
          </w:p>
        </w:tc>
        <w:tc>
          <w:tcPr>
            <w:tcW w:w="3828"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Projekta izpildē iesaistītās institūcijas</w:t>
            </w:r>
          </w:p>
        </w:tc>
        <w:tc>
          <w:tcPr>
            <w:tcW w:w="4784"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Centrālā statistikas pārvalde, Valsts kase, Finanšu ministrija, Ekonomikas ministrija</w:t>
            </w:r>
            <w:r>
              <w:rPr>
                <w:rFonts w:ascii="Times New Roman" w:hAnsi="Times New Roman"/>
                <w:sz w:val="24"/>
                <w:szCs w:val="24"/>
                <w:lang w:eastAsia="lv-LV"/>
              </w:rPr>
              <w:t>, citas institūcijas, kuru rīcībā ir notifikācijas sagatavošanai nepieciešamā informācija.</w:t>
            </w:r>
          </w:p>
        </w:tc>
      </w:tr>
      <w:tr w:rsidR="0072745A" w:rsidRPr="00740A24" w:rsidTr="00740A24">
        <w:tc>
          <w:tcPr>
            <w:tcW w:w="675"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2.</w:t>
            </w:r>
          </w:p>
        </w:tc>
        <w:tc>
          <w:tcPr>
            <w:tcW w:w="3828"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Projekta izpildes ietekme uz pārvaldes funkcijām</w:t>
            </w:r>
          </w:p>
        </w:tc>
        <w:tc>
          <w:tcPr>
            <w:tcW w:w="4784"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Institūciju funkcijas netiek ietekmētas.</w:t>
            </w:r>
          </w:p>
        </w:tc>
      </w:tr>
      <w:tr w:rsidR="0072745A" w:rsidRPr="00740A24" w:rsidTr="00740A24">
        <w:tc>
          <w:tcPr>
            <w:tcW w:w="675"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3.</w:t>
            </w:r>
          </w:p>
        </w:tc>
        <w:tc>
          <w:tcPr>
            <w:tcW w:w="3828"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Projekta izpildes ietekme uz pārvaldes institucionālo struktūru.</w:t>
            </w:r>
          </w:p>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Jaunu institūciju izveide</w:t>
            </w:r>
          </w:p>
        </w:tc>
        <w:tc>
          <w:tcPr>
            <w:tcW w:w="4784"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Jaunas institūcijas netiek veidotas.</w:t>
            </w:r>
          </w:p>
        </w:tc>
      </w:tr>
      <w:tr w:rsidR="0072745A" w:rsidRPr="00740A24" w:rsidTr="00740A24">
        <w:tc>
          <w:tcPr>
            <w:tcW w:w="675"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4.</w:t>
            </w:r>
          </w:p>
        </w:tc>
        <w:tc>
          <w:tcPr>
            <w:tcW w:w="3828"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Projekta izpildes ietekme uz pārvaldes institucionālo struktūru.</w:t>
            </w:r>
          </w:p>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Esošu institūciju likvidācija</w:t>
            </w:r>
          </w:p>
        </w:tc>
        <w:tc>
          <w:tcPr>
            <w:tcW w:w="4784"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Esošās institūcijas netiek likvidētas.</w:t>
            </w:r>
          </w:p>
        </w:tc>
      </w:tr>
      <w:tr w:rsidR="0072745A" w:rsidRPr="00740A24" w:rsidTr="00740A24">
        <w:tc>
          <w:tcPr>
            <w:tcW w:w="675"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5.</w:t>
            </w:r>
          </w:p>
        </w:tc>
        <w:tc>
          <w:tcPr>
            <w:tcW w:w="3828"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Projekta izpildes ietekme uz pārvaldes institucionālo struktūru.</w:t>
            </w:r>
          </w:p>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Esošu institūciju reorganizācija</w:t>
            </w:r>
          </w:p>
        </w:tc>
        <w:tc>
          <w:tcPr>
            <w:tcW w:w="4784"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Esošo institūciju reorganizācija nav nepieciešama.</w:t>
            </w:r>
          </w:p>
        </w:tc>
      </w:tr>
      <w:tr w:rsidR="0072745A" w:rsidRPr="00740A24" w:rsidTr="00740A24">
        <w:tc>
          <w:tcPr>
            <w:tcW w:w="675"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6.</w:t>
            </w:r>
          </w:p>
        </w:tc>
        <w:tc>
          <w:tcPr>
            <w:tcW w:w="3828"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Cita informācija</w:t>
            </w:r>
          </w:p>
        </w:tc>
        <w:tc>
          <w:tcPr>
            <w:tcW w:w="4784" w:type="dxa"/>
          </w:tcPr>
          <w:p w:rsidR="0072745A" w:rsidRPr="00740A24" w:rsidRDefault="0072745A" w:rsidP="00740A24">
            <w:pPr>
              <w:spacing w:before="68" w:after="68" w:line="240" w:lineRule="auto"/>
              <w:rPr>
                <w:rFonts w:ascii="Times New Roman" w:hAnsi="Times New Roman"/>
                <w:sz w:val="24"/>
                <w:szCs w:val="24"/>
                <w:lang w:eastAsia="lv-LV"/>
              </w:rPr>
            </w:pPr>
            <w:r w:rsidRPr="00740A24">
              <w:rPr>
                <w:rFonts w:ascii="Times New Roman" w:hAnsi="Times New Roman"/>
                <w:sz w:val="24"/>
                <w:szCs w:val="24"/>
                <w:lang w:eastAsia="lv-LV"/>
              </w:rPr>
              <w:t>Nav</w:t>
            </w:r>
          </w:p>
        </w:tc>
      </w:tr>
    </w:tbl>
    <w:p w:rsidR="0072745A" w:rsidRDefault="0072745A">
      <w:pPr>
        <w:rPr>
          <w:rFonts w:ascii="Times New Roman" w:hAnsi="Times New Roman"/>
          <w:sz w:val="24"/>
        </w:rPr>
      </w:pPr>
    </w:p>
    <w:p w:rsidR="0072745A" w:rsidRDefault="0072745A" w:rsidP="00E1410D">
      <w:pPr>
        <w:rPr>
          <w:bCs/>
        </w:rPr>
      </w:pPr>
    </w:p>
    <w:p w:rsidR="0072745A" w:rsidRPr="00A23A42" w:rsidRDefault="0072745A" w:rsidP="00E1410D">
      <w:pPr>
        <w:rPr>
          <w:rFonts w:ascii="Times New Roman" w:hAnsi="Times New Roman"/>
          <w:bCs/>
          <w:sz w:val="24"/>
        </w:rPr>
      </w:pPr>
      <w:r w:rsidRPr="00A23A42">
        <w:rPr>
          <w:rFonts w:ascii="Times New Roman" w:hAnsi="Times New Roman"/>
          <w:bCs/>
          <w:sz w:val="24"/>
        </w:rPr>
        <w:t>Anotācijas II, III</w:t>
      </w:r>
      <w:r>
        <w:rPr>
          <w:rFonts w:ascii="Times New Roman" w:hAnsi="Times New Roman"/>
          <w:bCs/>
          <w:sz w:val="24"/>
        </w:rPr>
        <w:t>, IV, VI sadaļa – projekts šīs jomas neskar</w:t>
      </w:r>
      <w:r w:rsidRPr="00A23A42">
        <w:rPr>
          <w:rFonts w:ascii="Times New Roman" w:hAnsi="Times New Roman"/>
          <w:bCs/>
          <w:sz w:val="24"/>
        </w:rPr>
        <w:t>.</w:t>
      </w:r>
    </w:p>
    <w:p w:rsidR="0072745A" w:rsidRPr="00231851" w:rsidRDefault="0072745A">
      <w:pPr>
        <w:rPr>
          <w:rFonts w:ascii="Times New Roman" w:hAnsi="Times New Roman"/>
          <w:sz w:val="24"/>
        </w:rPr>
      </w:pPr>
    </w:p>
    <w:p w:rsidR="0072745A" w:rsidRPr="00505EA9" w:rsidRDefault="0072745A" w:rsidP="00BA320C">
      <w:pPr>
        <w:spacing w:line="240" w:lineRule="auto"/>
        <w:rPr>
          <w:rFonts w:ascii="Times New Roman" w:hAnsi="Times New Roman"/>
          <w:vanish/>
          <w:sz w:val="24"/>
          <w:szCs w:val="24"/>
          <w:lang w:eastAsia="lv-LV"/>
        </w:rPr>
      </w:pPr>
    </w:p>
    <w:p w:rsidR="0072745A" w:rsidRDefault="0072745A"/>
    <w:p w:rsidR="0072745A" w:rsidRDefault="0072745A"/>
    <w:p w:rsidR="0072745A" w:rsidRDefault="0072745A"/>
    <w:p w:rsidR="0072745A" w:rsidRPr="00DA174A" w:rsidRDefault="0072745A" w:rsidP="00DA174A">
      <w:pPr>
        <w:pStyle w:val="NormalWeb"/>
        <w:spacing w:before="0" w:beforeAutospacing="0" w:after="0" w:afterAutospacing="0"/>
        <w:ind w:left="540"/>
        <w:rPr>
          <w:sz w:val="28"/>
          <w:szCs w:val="28"/>
        </w:rPr>
      </w:pPr>
      <w:r w:rsidRPr="00DA174A">
        <w:rPr>
          <w:sz w:val="28"/>
          <w:szCs w:val="28"/>
        </w:rPr>
        <w:t>Ekonomikas ministrs</w:t>
      </w:r>
      <w:r w:rsidRPr="00DA174A">
        <w:rPr>
          <w:sz w:val="28"/>
          <w:szCs w:val="28"/>
        </w:rPr>
        <w:tab/>
      </w:r>
      <w:r w:rsidRPr="00DA174A">
        <w:rPr>
          <w:sz w:val="28"/>
          <w:szCs w:val="28"/>
        </w:rPr>
        <w:tab/>
      </w:r>
      <w:r w:rsidRPr="00DA174A">
        <w:rPr>
          <w:sz w:val="28"/>
          <w:szCs w:val="28"/>
        </w:rPr>
        <w:tab/>
      </w:r>
      <w:r w:rsidRPr="00DA174A">
        <w:rPr>
          <w:sz w:val="28"/>
          <w:szCs w:val="28"/>
        </w:rPr>
        <w:tab/>
      </w:r>
      <w:r w:rsidRPr="00DA174A">
        <w:rPr>
          <w:sz w:val="28"/>
          <w:szCs w:val="28"/>
        </w:rPr>
        <w:tab/>
        <w:t>A. Kampars</w:t>
      </w:r>
    </w:p>
    <w:p w:rsidR="0072745A" w:rsidRPr="00DA174A" w:rsidRDefault="0072745A" w:rsidP="00DA174A">
      <w:pPr>
        <w:ind w:left="540"/>
        <w:rPr>
          <w:rFonts w:ascii="Times New Roman" w:hAnsi="Times New Roman"/>
          <w:sz w:val="28"/>
          <w:szCs w:val="28"/>
        </w:rPr>
      </w:pPr>
    </w:p>
    <w:p w:rsidR="0072745A" w:rsidRPr="00DA174A" w:rsidRDefault="0072745A" w:rsidP="00DA174A">
      <w:pPr>
        <w:ind w:left="540"/>
        <w:rPr>
          <w:rFonts w:ascii="Times New Roman" w:hAnsi="Times New Roman"/>
          <w:sz w:val="28"/>
          <w:szCs w:val="28"/>
        </w:rPr>
      </w:pPr>
    </w:p>
    <w:p w:rsidR="0072745A" w:rsidRPr="00DA174A" w:rsidRDefault="0072745A" w:rsidP="00DA174A">
      <w:pPr>
        <w:ind w:firstLine="567"/>
        <w:rPr>
          <w:rFonts w:ascii="Times New Roman" w:hAnsi="Times New Roman"/>
          <w:sz w:val="28"/>
          <w:szCs w:val="28"/>
        </w:rPr>
      </w:pPr>
      <w:r w:rsidRPr="00DA174A">
        <w:rPr>
          <w:rFonts w:ascii="Times New Roman" w:hAnsi="Times New Roman"/>
          <w:sz w:val="28"/>
          <w:szCs w:val="28"/>
        </w:rPr>
        <w:t>Vīzē: valsts sekretārs</w:t>
      </w:r>
      <w:r w:rsidRPr="00DA174A">
        <w:rPr>
          <w:rFonts w:ascii="Times New Roman" w:hAnsi="Times New Roman"/>
          <w:sz w:val="28"/>
          <w:szCs w:val="28"/>
        </w:rPr>
        <w:tab/>
      </w:r>
      <w:r w:rsidRPr="00DA174A">
        <w:rPr>
          <w:rFonts w:ascii="Times New Roman" w:hAnsi="Times New Roman"/>
          <w:sz w:val="28"/>
          <w:szCs w:val="28"/>
        </w:rPr>
        <w:tab/>
      </w:r>
      <w:r w:rsidRPr="00DA174A">
        <w:rPr>
          <w:rFonts w:ascii="Times New Roman" w:hAnsi="Times New Roman"/>
          <w:sz w:val="28"/>
          <w:szCs w:val="28"/>
        </w:rPr>
        <w:tab/>
      </w:r>
      <w:r w:rsidRPr="00DA174A">
        <w:rPr>
          <w:rFonts w:ascii="Times New Roman" w:hAnsi="Times New Roman"/>
          <w:sz w:val="28"/>
          <w:szCs w:val="28"/>
        </w:rPr>
        <w:tab/>
      </w:r>
      <w:r w:rsidRPr="00DA174A">
        <w:rPr>
          <w:rFonts w:ascii="Times New Roman" w:hAnsi="Times New Roman"/>
          <w:sz w:val="28"/>
          <w:szCs w:val="28"/>
        </w:rPr>
        <w:tab/>
        <w:t>J.Pūce</w:t>
      </w:r>
    </w:p>
    <w:p w:rsidR="0072745A" w:rsidRDefault="0072745A">
      <w:pPr>
        <w:rPr>
          <w:rFonts w:ascii="Times New Roman" w:hAnsi="Times New Roman"/>
        </w:rPr>
      </w:pPr>
    </w:p>
    <w:p w:rsidR="0072745A" w:rsidRDefault="0072745A">
      <w:pPr>
        <w:rPr>
          <w:rFonts w:ascii="Times New Roman" w:hAnsi="Times New Roman"/>
        </w:rPr>
      </w:pPr>
    </w:p>
    <w:p w:rsidR="0072745A" w:rsidRDefault="0072745A">
      <w:pPr>
        <w:rPr>
          <w:rFonts w:ascii="Times New Roman" w:hAnsi="Times New Roman"/>
        </w:rPr>
      </w:pPr>
    </w:p>
    <w:p w:rsidR="006F2E63" w:rsidRDefault="006F2E63">
      <w:pPr>
        <w:rPr>
          <w:rFonts w:ascii="Times New Roman" w:hAnsi="Times New Roman"/>
          <w:sz w:val="20"/>
          <w:szCs w:val="20"/>
        </w:rPr>
      </w:pPr>
      <w:r>
        <w:rPr>
          <w:rFonts w:ascii="Times New Roman" w:hAnsi="Times New Roman"/>
          <w:sz w:val="20"/>
          <w:szCs w:val="20"/>
        </w:rPr>
        <w:t>14.09.2011 11:18</w:t>
      </w:r>
    </w:p>
    <w:p w:rsidR="0072745A" w:rsidRPr="00CB320A" w:rsidRDefault="001D600D">
      <w:pPr>
        <w:rPr>
          <w:rFonts w:ascii="Times New Roman" w:hAnsi="Times New Roman"/>
          <w:sz w:val="20"/>
          <w:szCs w:val="20"/>
        </w:rPr>
      </w:pPr>
      <w:fldSimple w:instr=" NUMWORDS   \* MERGEFORMAT ">
        <w:r w:rsidR="006F2E63" w:rsidRPr="006F2E63">
          <w:rPr>
            <w:rFonts w:ascii="Times New Roman" w:hAnsi="Times New Roman"/>
            <w:noProof/>
            <w:sz w:val="20"/>
            <w:szCs w:val="20"/>
          </w:rPr>
          <w:t>1049</w:t>
        </w:r>
      </w:fldSimple>
    </w:p>
    <w:p w:rsidR="0072745A" w:rsidRPr="00CB320A" w:rsidRDefault="0072745A" w:rsidP="00CB320A">
      <w:pPr>
        <w:rPr>
          <w:rFonts w:ascii="Times New Roman" w:hAnsi="Times New Roman"/>
          <w:sz w:val="20"/>
          <w:szCs w:val="20"/>
        </w:rPr>
      </w:pPr>
      <w:r w:rsidRPr="00CB320A">
        <w:rPr>
          <w:rFonts w:ascii="Times New Roman" w:hAnsi="Times New Roman"/>
          <w:sz w:val="20"/>
          <w:szCs w:val="20"/>
        </w:rPr>
        <w:t>D.Tomase</w:t>
      </w:r>
    </w:p>
    <w:p w:rsidR="0072745A" w:rsidRPr="00CB320A" w:rsidRDefault="0072745A" w:rsidP="00CB320A">
      <w:pPr>
        <w:rPr>
          <w:rFonts w:ascii="Times New Roman" w:hAnsi="Times New Roman"/>
          <w:sz w:val="20"/>
          <w:szCs w:val="20"/>
        </w:rPr>
      </w:pPr>
      <w:r w:rsidRPr="00CB320A">
        <w:rPr>
          <w:rFonts w:ascii="Times New Roman" w:hAnsi="Times New Roman"/>
          <w:sz w:val="20"/>
          <w:szCs w:val="20"/>
        </w:rPr>
        <w:t xml:space="preserve">67366844, </w:t>
      </w:r>
      <w:hyperlink r:id="rId6" w:history="1">
        <w:r w:rsidRPr="00CB320A">
          <w:rPr>
            <w:rStyle w:val="Hyperlink"/>
            <w:rFonts w:ascii="Times New Roman" w:hAnsi="Times New Roman"/>
            <w:sz w:val="20"/>
            <w:szCs w:val="20"/>
          </w:rPr>
          <w:t>Dace.Tomase@csb.gov.lv</w:t>
        </w:r>
      </w:hyperlink>
      <w:r w:rsidRPr="00CB320A">
        <w:rPr>
          <w:rFonts w:ascii="Times New Roman" w:hAnsi="Times New Roman"/>
          <w:sz w:val="20"/>
          <w:szCs w:val="20"/>
        </w:rPr>
        <w:t xml:space="preserve"> </w:t>
      </w:r>
    </w:p>
    <w:p w:rsidR="0072745A" w:rsidRPr="00CB320A" w:rsidRDefault="0072745A">
      <w:pPr>
        <w:rPr>
          <w:rFonts w:ascii="Times New Roman" w:hAnsi="Times New Roman"/>
        </w:rPr>
      </w:pPr>
    </w:p>
    <w:p w:rsidR="0072745A" w:rsidRPr="00DA174A" w:rsidRDefault="0072745A">
      <w:pPr>
        <w:rPr>
          <w:rFonts w:ascii="Times New Roman" w:hAnsi="Times New Roman"/>
        </w:rPr>
      </w:pPr>
    </w:p>
    <w:sectPr w:rsidR="0072745A" w:rsidRPr="00DA174A" w:rsidSect="00732400">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28" w:rsidRDefault="001F2828" w:rsidP="00732400">
      <w:pPr>
        <w:spacing w:line="240" w:lineRule="auto"/>
      </w:pPr>
      <w:r>
        <w:separator/>
      </w:r>
    </w:p>
  </w:endnote>
  <w:endnote w:type="continuationSeparator" w:id="0">
    <w:p w:rsidR="001F2828" w:rsidRDefault="001F2828" w:rsidP="007324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5A" w:rsidRPr="00732400" w:rsidRDefault="0072745A">
    <w:pPr>
      <w:pStyle w:val="Footer"/>
      <w:rPr>
        <w:rFonts w:ascii="Times New Roman" w:hAnsi="Times New Roman"/>
      </w:rPr>
    </w:pPr>
    <w:r>
      <w:rPr>
        <w:rFonts w:ascii="Times New Roman" w:hAnsi="Times New Roman"/>
        <w:sz w:val="20"/>
        <w:szCs w:val="28"/>
      </w:rPr>
      <w:t xml:space="preserve"> </w:t>
    </w:r>
    <w:fldSimple w:instr=" FILENAME   \* MERGEFORMAT ">
      <w:r w:rsidR="00B15294" w:rsidRPr="00B15294">
        <w:rPr>
          <w:rFonts w:ascii="Times New Roman" w:hAnsi="Times New Roman"/>
          <w:noProof/>
          <w:sz w:val="20"/>
          <w:szCs w:val="28"/>
        </w:rPr>
        <w:t>EMAnot_130911_notifikacija</w:t>
      </w:r>
    </w:fldSimple>
    <w:r>
      <w:rPr>
        <w:rFonts w:ascii="Times New Roman" w:hAnsi="Times New Roman"/>
        <w:sz w:val="20"/>
        <w:szCs w:val="28"/>
      </w:rPr>
      <w:t xml:space="preserve">; </w:t>
    </w:r>
    <w:r w:rsidRPr="00732400">
      <w:rPr>
        <w:rFonts w:ascii="Times New Roman" w:hAnsi="Times New Roman"/>
        <w:sz w:val="20"/>
      </w:rPr>
      <w:t>Kārtība, kādā sagatavo vispārējās valdības budžeta deficīta un parāda notifikāciju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5A" w:rsidRPr="00732400" w:rsidRDefault="001D600D" w:rsidP="00732400">
    <w:pPr>
      <w:pStyle w:val="Footer"/>
      <w:rPr>
        <w:rFonts w:ascii="Times New Roman" w:hAnsi="Times New Roman"/>
      </w:rPr>
    </w:pPr>
    <w:fldSimple w:instr=" FILENAME   \* MERGEFORMAT ">
      <w:r w:rsidR="00B15294" w:rsidRPr="00B15294">
        <w:rPr>
          <w:rFonts w:ascii="Times New Roman" w:hAnsi="Times New Roman"/>
          <w:noProof/>
          <w:sz w:val="20"/>
          <w:szCs w:val="28"/>
        </w:rPr>
        <w:t>EMAnot_130911_notifikacija</w:t>
      </w:r>
    </w:fldSimple>
    <w:r w:rsidR="0072745A">
      <w:rPr>
        <w:rFonts w:ascii="Times New Roman" w:hAnsi="Times New Roman"/>
        <w:sz w:val="20"/>
        <w:szCs w:val="28"/>
      </w:rPr>
      <w:t xml:space="preserve">; </w:t>
    </w:r>
    <w:r w:rsidR="0072745A" w:rsidRPr="00732400">
      <w:rPr>
        <w:rFonts w:ascii="Times New Roman" w:hAnsi="Times New Roman"/>
        <w:sz w:val="20"/>
      </w:rPr>
      <w:t>Kārtība, kādā sagatavo vispārējās valdības budžeta deficīta un parāda notifikāciju</w:t>
    </w:r>
  </w:p>
  <w:p w:rsidR="0072745A" w:rsidRDefault="00727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28" w:rsidRDefault="001F2828" w:rsidP="00732400">
      <w:pPr>
        <w:spacing w:line="240" w:lineRule="auto"/>
      </w:pPr>
      <w:r>
        <w:separator/>
      </w:r>
    </w:p>
  </w:footnote>
  <w:footnote w:type="continuationSeparator" w:id="0">
    <w:p w:rsidR="001F2828" w:rsidRDefault="001F2828" w:rsidP="007324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5A" w:rsidRPr="00732400" w:rsidRDefault="001D600D">
    <w:pPr>
      <w:pStyle w:val="Header"/>
      <w:jc w:val="center"/>
      <w:rPr>
        <w:rFonts w:ascii="Times New Roman" w:hAnsi="Times New Roman"/>
        <w:sz w:val="24"/>
      </w:rPr>
    </w:pPr>
    <w:r w:rsidRPr="00732400">
      <w:rPr>
        <w:rFonts w:ascii="Times New Roman" w:hAnsi="Times New Roman"/>
        <w:sz w:val="24"/>
      </w:rPr>
      <w:fldChar w:fldCharType="begin"/>
    </w:r>
    <w:r w:rsidR="0072745A" w:rsidRPr="00732400">
      <w:rPr>
        <w:rFonts w:ascii="Times New Roman" w:hAnsi="Times New Roman"/>
        <w:sz w:val="24"/>
      </w:rPr>
      <w:instrText xml:space="preserve"> PAGE   \* MERGEFORMAT </w:instrText>
    </w:r>
    <w:r w:rsidRPr="00732400">
      <w:rPr>
        <w:rFonts w:ascii="Times New Roman" w:hAnsi="Times New Roman"/>
        <w:sz w:val="24"/>
      </w:rPr>
      <w:fldChar w:fldCharType="separate"/>
    </w:r>
    <w:r w:rsidR="006F2E63">
      <w:rPr>
        <w:rFonts w:ascii="Times New Roman" w:hAnsi="Times New Roman"/>
        <w:noProof/>
        <w:sz w:val="24"/>
      </w:rPr>
      <w:t>5</w:t>
    </w:r>
    <w:r w:rsidRPr="00732400">
      <w:rPr>
        <w:rFonts w:ascii="Times New Roman" w:hAnsi="Times New Roman"/>
        <w:sz w:val="24"/>
      </w:rPr>
      <w:fldChar w:fldCharType="end"/>
    </w:r>
  </w:p>
  <w:p w:rsidR="0072745A" w:rsidRDefault="0072745A" w:rsidP="0073240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20C"/>
    <w:rsid w:val="00073CFC"/>
    <w:rsid w:val="0008310A"/>
    <w:rsid w:val="000911E9"/>
    <w:rsid w:val="00091684"/>
    <w:rsid w:val="00091CD0"/>
    <w:rsid w:val="000D69A7"/>
    <w:rsid w:val="00123B3E"/>
    <w:rsid w:val="00181395"/>
    <w:rsid w:val="001A7E8F"/>
    <w:rsid w:val="001B11F0"/>
    <w:rsid w:val="001D546F"/>
    <w:rsid w:val="001D600D"/>
    <w:rsid w:val="001F2828"/>
    <w:rsid w:val="001F7101"/>
    <w:rsid w:val="00231851"/>
    <w:rsid w:val="00250EFE"/>
    <w:rsid w:val="00262D2C"/>
    <w:rsid w:val="00291C11"/>
    <w:rsid w:val="002A0C97"/>
    <w:rsid w:val="002B1368"/>
    <w:rsid w:val="002B2756"/>
    <w:rsid w:val="002C488C"/>
    <w:rsid w:val="002F35D2"/>
    <w:rsid w:val="002F4656"/>
    <w:rsid w:val="00316207"/>
    <w:rsid w:val="00334A99"/>
    <w:rsid w:val="003409CD"/>
    <w:rsid w:val="003501A3"/>
    <w:rsid w:val="003D15AD"/>
    <w:rsid w:val="00442059"/>
    <w:rsid w:val="00457884"/>
    <w:rsid w:val="004750A2"/>
    <w:rsid w:val="00486EAC"/>
    <w:rsid w:val="004D62DF"/>
    <w:rsid w:val="00505EA9"/>
    <w:rsid w:val="005422B7"/>
    <w:rsid w:val="0056552B"/>
    <w:rsid w:val="005E22E0"/>
    <w:rsid w:val="005F0E74"/>
    <w:rsid w:val="0063036B"/>
    <w:rsid w:val="006560ED"/>
    <w:rsid w:val="006709A8"/>
    <w:rsid w:val="00676AAB"/>
    <w:rsid w:val="0069580F"/>
    <w:rsid w:val="00696C21"/>
    <w:rsid w:val="006B0178"/>
    <w:rsid w:val="006C3F58"/>
    <w:rsid w:val="006C5392"/>
    <w:rsid w:val="006F2E63"/>
    <w:rsid w:val="00712C9B"/>
    <w:rsid w:val="0072745A"/>
    <w:rsid w:val="00732400"/>
    <w:rsid w:val="00740A24"/>
    <w:rsid w:val="00745BAB"/>
    <w:rsid w:val="00785FB1"/>
    <w:rsid w:val="007926F1"/>
    <w:rsid w:val="00796783"/>
    <w:rsid w:val="00805418"/>
    <w:rsid w:val="008151F4"/>
    <w:rsid w:val="008178B8"/>
    <w:rsid w:val="00830A5B"/>
    <w:rsid w:val="00832569"/>
    <w:rsid w:val="0084165D"/>
    <w:rsid w:val="008F7A7B"/>
    <w:rsid w:val="00903969"/>
    <w:rsid w:val="009109E2"/>
    <w:rsid w:val="0091508F"/>
    <w:rsid w:val="00915D62"/>
    <w:rsid w:val="00930F1A"/>
    <w:rsid w:val="009662BA"/>
    <w:rsid w:val="00991ACB"/>
    <w:rsid w:val="009927F8"/>
    <w:rsid w:val="009F6775"/>
    <w:rsid w:val="00A17E94"/>
    <w:rsid w:val="00A23A42"/>
    <w:rsid w:val="00A33C48"/>
    <w:rsid w:val="00A44570"/>
    <w:rsid w:val="00A94775"/>
    <w:rsid w:val="00AB2CAA"/>
    <w:rsid w:val="00B15294"/>
    <w:rsid w:val="00B375D8"/>
    <w:rsid w:val="00B4290A"/>
    <w:rsid w:val="00B60FEA"/>
    <w:rsid w:val="00B65BC7"/>
    <w:rsid w:val="00B942C6"/>
    <w:rsid w:val="00BA320C"/>
    <w:rsid w:val="00BA36EF"/>
    <w:rsid w:val="00BB04F5"/>
    <w:rsid w:val="00C074EA"/>
    <w:rsid w:val="00C211D0"/>
    <w:rsid w:val="00C31C89"/>
    <w:rsid w:val="00C82B0C"/>
    <w:rsid w:val="00CB1112"/>
    <w:rsid w:val="00CB320A"/>
    <w:rsid w:val="00D3142B"/>
    <w:rsid w:val="00D71B72"/>
    <w:rsid w:val="00DA174A"/>
    <w:rsid w:val="00DD7FA2"/>
    <w:rsid w:val="00DF2878"/>
    <w:rsid w:val="00E1410D"/>
    <w:rsid w:val="00E27C15"/>
    <w:rsid w:val="00E3423E"/>
    <w:rsid w:val="00E9014D"/>
    <w:rsid w:val="00EA089C"/>
    <w:rsid w:val="00F14DD8"/>
    <w:rsid w:val="00F25D53"/>
    <w:rsid w:val="00F576B3"/>
    <w:rsid w:val="00FA4DB1"/>
    <w:rsid w:val="00FB1B99"/>
    <w:rsid w:val="00FC1877"/>
    <w:rsid w:val="00FC2D06"/>
    <w:rsid w:val="00FE05B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0C"/>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250EFE"/>
    <w:pPr>
      <w:spacing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semiHidden/>
    <w:locked/>
    <w:rsid w:val="00250EFE"/>
    <w:rPr>
      <w:rFonts w:ascii="Times New Roman" w:hAnsi="Times New Roman" w:cs="Times New Roman"/>
      <w:b/>
      <w:bCs/>
      <w:sz w:val="24"/>
      <w:szCs w:val="24"/>
    </w:rPr>
  </w:style>
  <w:style w:type="paragraph" w:customStyle="1" w:styleId="naislab">
    <w:name w:val="naislab"/>
    <w:basedOn w:val="Normal"/>
    <w:uiPriority w:val="99"/>
    <w:rsid w:val="00250EFE"/>
    <w:pPr>
      <w:spacing w:before="100" w:beforeAutospacing="1" w:after="100" w:afterAutospacing="1" w:line="240" w:lineRule="auto"/>
    </w:pPr>
    <w:rPr>
      <w:rFonts w:ascii="Arial Unicode MS" w:eastAsia="Arial Unicode MS" w:hAnsi="Times New Roman" w:cs="Arial Unicode MS"/>
      <w:sz w:val="24"/>
      <w:szCs w:val="24"/>
      <w:lang w:val="en-US"/>
    </w:rPr>
  </w:style>
  <w:style w:type="paragraph" w:customStyle="1" w:styleId="Default">
    <w:name w:val="Default"/>
    <w:uiPriority w:val="99"/>
    <w:rsid w:val="00FE05BC"/>
    <w:pPr>
      <w:autoSpaceDE w:val="0"/>
      <w:autoSpaceDN w:val="0"/>
      <w:adjustRightInd w:val="0"/>
    </w:pPr>
    <w:rPr>
      <w:rFonts w:ascii="EUAlbertina" w:hAnsi="EUAlbertina" w:cs="EUAlbertina"/>
      <w:color w:val="000000"/>
      <w:sz w:val="24"/>
      <w:szCs w:val="24"/>
      <w:lang w:eastAsia="en-US"/>
    </w:rPr>
  </w:style>
  <w:style w:type="paragraph" w:customStyle="1" w:styleId="CM4">
    <w:name w:val="CM4"/>
    <w:basedOn w:val="Default"/>
    <w:next w:val="Default"/>
    <w:uiPriority w:val="99"/>
    <w:rsid w:val="00FE05BC"/>
    <w:rPr>
      <w:rFonts w:cs="Times New Roman"/>
      <w:color w:val="auto"/>
    </w:rPr>
  </w:style>
  <w:style w:type="paragraph" w:styleId="NormalWeb">
    <w:name w:val="Normal (Web)"/>
    <w:basedOn w:val="Normal"/>
    <w:link w:val="NormalWebChar"/>
    <w:uiPriority w:val="99"/>
    <w:rsid w:val="00DA174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locked/>
    <w:rsid w:val="00DA174A"/>
    <w:rPr>
      <w:rFonts w:ascii="Times New Roman" w:hAnsi="Times New Roman" w:cs="Times New Roman"/>
      <w:sz w:val="24"/>
      <w:szCs w:val="24"/>
      <w:lang w:eastAsia="lv-LV"/>
    </w:rPr>
  </w:style>
  <w:style w:type="paragraph" w:styleId="Header">
    <w:name w:val="header"/>
    <w:basedOn w:val="Normal"/>
    <w:link w:val="HeaderChar"/>
    <w:uiPriority w:val="99"/>
    <w:rsid w:val="00732400"/>
    <w:pPr>
      <w:tabs>
        <w:tab w:val="center" w:pos="4153"/>
        <w:tab w:val="right" w:pos="8306"/>
      </w:tabs>
      <w:spacing w:line="240" w:lineRule="auto"/>
    </w:pPr>
  </w:style>
  <w:style w:type="character" w:customStyle="1" w:styleId="HeaderChar">
    <w:name w:val="Header Char"/>
    <w:basedOn w:val="DefaultParagraphFont"/>
    <w:link w:val="Header"/>
    <w:uiPriority w:val="99"/>
    <w:locked/>
    <w:rsid w:val="00732400"/>
    <w:rPr>
      <w:rFonts w:cs="Times New Roman"/>
    </w:rPr>
  </w:style>
  <w:style w:type="paragraph" w:styleId="Footer">
    <w:name w:val="footer"/>
    <w:basedOn w:val="Normal"/>
    <w:link w:val="FooterChar"/>
    <w:uiPriority w:val="99"/>
    <w:semiHidden/>
    <w:rsid w:val="00732400"/>
    <w:pPr>
      <w:tabs>
        <w:tab w:val="center" w:pos="4153"/>
        <w:tab w:val="right" w:pos="8306"/>
      </w:tabs>
      <w:spacing w:line="240" w:lineRule="auto"/>
    </w:pPr>
  </w:style>
  <w:style w:type="character" w:customStyle="1" w:styleId="FooterChar">
    <w:name w:val="Footer Char"/>
    <w:basedOn w:val="DefaultParagraphFont"/>
    <w:link w:val="Footer"/>
    <w:uiPriority w:val="99"/>
    <w:semiHidden/>
    <w:locked/>
    <w:rsid w:val="00732400"/>
    <w:rPr>
      <w:rFonts w:cs="Times New Roman"/>
    </w:rPr>
  </w:style>
  <w:style w:type="character" w:styleId="Hyperlink">
    <w:name w:val="Hyperlink"/>
    <w:basedOn w:val="DefaultParagraphFont"/>
    <w:uiPriority w:val="99"/>
    <w:semiHidden/>
    <w:rsid w:val="00CB320A"/>
    <w:rPr>
      <w:rFonts w:cs="Times New Roman"/>
      <w:color w:val="0000FF"/>
      <w:u w:val="single"/>
    </w:rPr>
  </w:style>
  <w:style w:type="character" w:styleId="CommentReference">
    <w:name w:val="annotation reference"/>
    <w:basedOn w:val="DefaultParagraphFont"/>
    <w:uiPriority w:val="99"/>
    <w:semiHidden/>
    <w:rsid w:val="002B2756"/>
    <w:rPr>
      <w:rFonts w:cs="Times New Roman"/>
      <w:sz w:val="16"/>
      <w:szCs w:val="16"/>
    </w:rPr>
  </w:style>
  <w:style w:type="paragraph" w:styleId="CommentText">
    <w:name w:val="annotation text"/>
    <w:basedOn w:val="Normal"/>
    <w:link w:val="CommentTextChar"/>
    <w:uiPriority w:val="99"/>
    <w:semiHidden/>
    <w:rsid w:val="002B2756"/>
    <w:rPr>
      <w:sz w:val="20"/>
      <w:szCs w:val="20"/>
    </w:rPr>
  </w:style>
  <w:style w:type="character" w:customStyle="1" w:styleId="CommentTextChar">
    <w:name w:val="Comment Text Char"/>
    <w:basedOn w:val="DefaultParagraphFont"/>
    <w:link w:val="CommentText"/>
    <w:uiPriority w:val="99"/>
    <w:semiHidden/>
    <w:locked/>
    <w:rsid w:val="001B11F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B2756"/>
    <w:rPr>
      <w:b/>
      <w:bCs/>
    </w:rPr>
  </w:style>
  <w:style w:type="character" w:customStyle="1" w:styleId="CommentSubjectChar">
    <w:name w:val="Comment Subject Char"/>
    <w:basedOn w:val="CommentTextChar"/>
    <w:link w:val="CommentSubject"/>
    <w:uiPriority w:val="99"/>
    <w:semiHidden/>
    <w:locked/>
    <w:rsid w:val="001B11F0"/>
    <w:rPr>
      <w:b/>
      <w:bCs/>
    </w:rPr>
  </w:style>
  <w:style w:type="paragraph" w:styleId="BalloonText">
    <w:name w:val="Balloon Text"/>
    <w:basedOn w:val="Normal"/>
    <w:link w:val="BalloonTextChar"/>
    <w:uiPriority w:val="99"/>
    <w:semiHidden/>
    <w:rsid w:val="002B27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1F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Tomase@csb.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7578</Characters>
  <Application>Microsoft Office Word</Application>
  <DocSecurity>0</DocSecurity>
  <Lines>315</Lines>
  <Paragraphs>151</Paragraphs>
  <ScaleCrop>false</ScaleCrop>
  <HeadingPairs>
    <vt:vector size="2" baseType="variant">
      <vt:variant>
        <vt:lpstr>Title</vt:lpstr>
      </vt:variant>
      <vt:variant>
        <vt:i4>1</vt:i4>
      </vt:variant>
    </vt:vector>
  </HeadingPairs>
  <TitlesOfParts>
    <vt:vector size="1" baseType="lpstr">
      <vt:lpstr>Ministru kabineta noteikumu projekta „Kārtība, kādā sagatavo vispārējās valdības budžeta deficīta un parāda notifikāciju” sākotnējās ietekmes novērtējuma ziņojums (anotācija)</vt:lpstr>
    </vt:vector>
  </TitlesOfParts>
  <Company>Ekonomikas ministrija</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sagatavo vispārējās valdības budžeta deficīta un parāda notifikāciju” sākotnējās ietekmes novērtējuma ziņojums (anotācija)</dc:title>
  <dc:subject>Sākotnējās ietekmes novērtējuma ziņojums (anotācija)</dc:subject>
  <dc:creator>Dace Tomase</dc:creator>
  <dc:description>67366844Dace.Tomase@csb.gov.lv</dc:description>
  <cp:lastModifiedBy>DTomase</cp:lastModifiedBy>
  <cp:revision>2</cp:revision>
  <cp:lastPrinted>2011-05-13T05:53:00Z</cp:lastPrinted>
  <dcterms:created xsi:type="dcterms:W3CDTF">2011-09-14T08:18:00Z</dcterms:created>
  <dcterms:modified xsi:type="dcterms:W3CDTF">2011-09-14T08:18:00Z</dcterms:modified>
</cp:coreProperties>
</file>