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171358" w:rsidRDefault="00D07CDB" w:rsidP="00171358">
      <w:pPr>
        <w:tabs>
          <w:tab w:val="left" w:pos="6237"/>
        </w:tabs>
        <w:jc w:val="center"/>
        <w:rPr>
          <w:b/>
          <w:sz w:val="24"/>
          <w:szCs w:val="24"/>
          <w:lang w:val="lv-LV"/>
        </w:rPr>
      </w:pPr>
      <w:bookmarkStart w:id="0" w:name="OLE_LINK6"/>
      <w:bookmarkStart w:id="1" w:name="OLE_LINK7"/>
      <w:bookmarkStart w:id="2" w:name="OLE_LINK9"/>
      <w:bookmarkStart w:id="3" w:name="OLE_LINK5"/>
      <w:bookmarkStart w:id="4" w:name="OLE_LINK8"/>
      <w:bookmarkStart w:id="5" w:name="OLE_LINK10"/>
      <w:bookmarkStart w:id="6" w:name="OLE_LINK11"/>
      <w:bookmarkStart w:id="7" w:name="OLE_LINK3"/>
      <w:bookmarkStart w:id="8" w:name="OLE_LINK1"/>
      <w:bookmarkStart w:id="9" w:name="OLE_LINK2"/>
      <w:r w:rsidRPr="00171358">
        <w:rPr>
          <w:rFonts w:eastAsia="Times New Roman"/>
          <w:b/>
          <w:sz w:val="24"/>
          <w:szCs w:val="24"/>
          <w:lang w:val="lv-LV" w:eastAsia="lv-LV"/>
        </w:rPr>
        <w:t>Ministru kabineta noteikumu projekta</w:t>
      </w:r>
      <w:bookmarkStart w:id="10" w:name="OLE_LINK4"/>
      <w:r w:rsidR="00DB3BCB" w:rsidRPr="00171358">
        <w:rPr>
          <w:rFonts w:eastAsia="Times New Roman"/>
          <w:b/>
          <w:sz w:val="24"/>
          <w:szCs w:val="24"/>
          <w:lang w:val="lv-LV" w:eastAsia="lv-LV"/>
        </w:rPr>
        <w:t xml:space="preserve"> </w:t>
      </w:r>
      <w:r w:rsidR="00D40A21" w:rsidRPr="00171358">
        <w:rPr>
          <w:b/>
          <w:sz w:val="24"/>
          <w:szCs w:val="24"/>
          <w:lang w:val="lv-LV" w:eastAsia="lv-LV"/>
        </w:rPr>
        <w:t>„</w:t>
      </w:r>
      <w:r w:rsidR="00587374" w:rsidRPr="00171358">
        <w:rPr>
          <w:b/>
          <w:bCs/>
          <w:sz w:val="24"/>
          <w:szCs w:val="24"/>
          <w:lang w:val="lv-LV"/>
        </w:rPr>
        <w:t>Noteikumi par darbības programmas „Uzņēmējdarbība un inovācijas” papildinājuma 2.2.1.1.aktivitāti „Ieguldījumu fonds investīcijām garantijās, paaugstināta riska aizdevumos, riska kapitāla fondos un cita veida finanšu instrumentos”</w:t>
      </w:r>
      <w:r w:rsidR="007E5D4D" w:rsidRPr="00171358">
        <w:rPr>
          <w:rFonts w:eastAsia="Times New Roman"/>
          <w:b/>
          <w:sz w:val="24"/>
          <w:szCs w:val="24"/>
          <w:lang w:val="lv-LV" w:eastAsia="lv-LV"/>
        </w:rPr>
        <w:t xml:space="preserve"> sākotnējās ietekmes novērtējuma ziņojums (anotācija)</w:t>
      </w:r>
      <w:bookmarkEnd w:id="0"/>
      <w:bookmarkEnd w:id="1"/>
      <w:bookmarkEnd w:id="2"/>
      <w:bookmarkEnd w:id="10"/>
    </w:p>
    <w:bookmarkEnd w:id="3"/>
    <w:bookmarkEnd w:id="4"/>
    <w:bookmarkEnd w:id="5"/>
    <w:bookmarkEnd w:id="6"/>
    <w:p w:rsidR="004B638C" w:rsidRPr="00171358" w:rsidRDefault="004B638C" w:rsidP="00171358">
      <w:pPr>
        <w:jc w:val="center"/>
        <w:rPr>
          <w:rFonts w:eastAsia="Times New Roman"/>
          <w:b/>
          <w:sz w:val="24"/>
          <w:szCs w:val="24"/>
          <w:lang w:val="lv-LV" w:eastAsia="lv-LV"/>
        </w:rPr>
      </w:pP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19"/>
        <w:gridCol w:w="5953"/>
      </w:tblGrid>
      <w:tr w:rsidR="00BB09C5" w:rsidRPr="00726275" w:rsidTr="00365D09">
        <w:tc>
          <w:tcPr>
            <w:tcW w:w="9072"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p w:rsidR="00BB09C5" w:rsidRPr="00171358" w:rsidRDefault="00E73425" w:rsidP="00171358">
            <w:pPr>
              <w:jc w:val="center"/>
              <w:rPr>
                <w:rFonts w:eastAsia="Times New Roman"/>
                <w:b/>
                <w:sz w:val="24"/>
                <w:szCs w:val="24"/>
                <w:lang w:val="lv-LV" w:eastAsia="lv-LV"/>
              </w:rPr>
            </w:pPr>
            <w:r w:rsidRPr="00171358">
              <w:rPr>
                <w:rFonts w:eastAsia="Times New Roman"/>
                <w:b/>
                <w:sz w:val="24"/>
                <w:szCs w:val="24"/>
                <w:lang w:val="lv-LV" w:eastAsia="lv-LV"/>
              </w:rPr>
              <w:t xml:space="preserve">I.Tiesību akta projekta izstrādes </w:t>
            </w:r>
            <w:r w:rsidR="007E5D4D" w:rsidRPr="00171358">
              <w:rPr>
                <w:rFonts w:eastAsia="Times New Roman"/>
                <w:b/>
                <w:sz w:val="24"/>
                <w:szCs w:val="24"/>
                <w:lang w:val="lv-LV" w:eastAsia="lv-LV"/>
              </w:rPr>
              <w:t>nepieciešamība</w:t>
            </w:r>
          </w:p>
        </w:tc>
      </w:tr>
      <w:tr w:rsidR="00BB09C5" w:rsidRPr="00726275" w:rsidTr="00365D09">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171358" w:rsidRDefault="00BB09C5" w:rsidP="00171358">
            <w:pPr>
              <w:rPr>
                <w:rFonts w:eastAsia="Times New Roman"/>
                <w:sz w:val="24"/>
                <w:szCs w:val="24"/>
                <w:lang w:val="lv-LV" w:eastAsia="lv-LV"/>
              </w:rPr>
            </w:pPr>
            <w:r w:rsidRPr="00171358">
              <w:rPr>
                <w:rFonts w:eastAsia="Times New Roman"/>
                <w:sz w:val="24"/>
                <w:szCs w:val="24"/>
                <w:lang w:val="lv-LV" w:eastAsia="lv-LV"/>
              </w:rPr>
              <w:t>1</w:t>
            </w:r>
            <w:r w:rsidR="00F15932" w:rsidRPr="00171358">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171358" w:rsidRDefault="00700070" w:rsidP="00171358">
            <w:pPr>
              <w:jc w:val="both"/>
              <w:rPr>
                <w:sz w:val="24"/>
                <w:szCs w:val="24"/>
                <w:lang w:val="lv-LV"/>
              </w:rPr>
            </w:pPr>
            <w:r w:rsidRPr="00171358">
              <w:rPr>
                <w:sz w:val="24"/>
                <w:szCs w:val="24"/>
                <w:lang w:val="lv-LV"/>
              </w:rPr>
              <w:t xml:space="preserve">Noteikumu projekts sagatavots, pamatojoties uz </w:t>
            </w:r>
            <w:r w:rsidR="00D40A21" w:rsidRPr="00171358">
              <w:rPr>
                <w:sz w:val="24"/>
                <w:szCs w:val="24"/>
                <w:lang w:val="lv-LV" w:eastAsia="lv-LV"/>
              </w:rPr>
              <w:t>Ministru kabineta iekārtas likuma 31.panta pirmās daļas 3.punktu</w:t>
            </w:r>
            <w:r w:rsidRPr="00171358">
              <w:rPr>
                <w:sz w:val="24"/>
                <w:szCs w:val="24"/>
                <w:lang w:val="lv-LV"/>
              </w:rPr>
              <w:t>.</w:t>
            </w:r>
          </w:p>
        </w:tc>
      </w:tr>
      <w:tr w:rsidR="00BB09C5" w:rsidRPr="00726275" w:rsidTr="00365D09">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171358" w:rsidRDefault="00BB09C5" w:rsidP="00171358">
            <w:pPr>
              <w:jc w:val="both"/>
              <w:rPr>
                <w:rFonts w:eastAsia="Times New Roman"/>
                <w:sz w:val="24"/>
                <w:szCs w:val="24"/>
                <w:lang w:val="lv-LV" w:eastAsia="lv-LV"/>
              </w:rPr>
            </w:pPr>
            <w:r w:rsidRPr="00171358">
              <w:rPr>
                <w:rFonts w:eastAsia="Times New Roman"/>
                <w:sz w:val="24"/>
                <w:szCs w:val="24"/>
                <w:lang w:val="lv-LV" w:eastAsia="lv-LV"/>
              </w:rPr>
              <w:t>2</w:t>
            </w:r>
            <w:r w:rsidR="00F15932" w:rsidRPr="00171358">
              <w:rPr>
                <w:rFonts w:eastAsia="Times New Roman"/>
                <w:sz w:val="24"/>
                <w:szCs w:val="24"/>
                <w:lang w:val="lv-LV" w:eastAsia="lv-LV"/>
              </w:rPr>
              <w:t>. Pašreizējā situācija un problēma</w:t>
            </w:r>
            <w:r w:rsidR="007E5D4D" w:rsidRPr="00171358">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24D03" w:rsidRPr="00171358" w:rsidRDefault="00F24D03" w:rsidP="00340F1F">
            <w:pPr>
              <w:spacing w:before="60" w:after="60"/>
              <w:jc w:val="both"/>
              <w:rPr>
                <w:sz w:val="24"/>
                <w:szCs w:val="24"/>
                <w:lang w:val="lv-LV"/>
              </w:rPr>
            </w:pPr>
            <w:r w:rsidRPr="00171358">
              <w:rPr>
                <w:sz w:val="24"/>
                <w:szCs w:val="24"/>
                <w:lang w:val="lv-LV"/>
              </w:rPr>
              <w:t>2008.gada 16.jūlijā Latvijas Republikas valdība (turpmāk - valdība), kuru pārstāv Ekonomikas ministrija kā Eiropas Savie</w:t>
            </w:r>
            <w:r w:rsidR="00587374" w:rsidRPr="00171358">
              <w:rPr>
                <w:sz w:val="24"/>
                <w:szCs w:val="24"/>
                <w:lang w:val="lv-LV"/>
              </w:rPr>
              <w:t>nības fondu atbildīgā iestāde, īstenojot Eiropas Savienības</w:t>
            </w:r>
            <w:r w:rsidRPr="00171358">
              <w:rPr>
                <w:sz w:val="24"/>
                <w:szCs w:val="24"/>
                <w:lang w:val="lv-LV"/>
              </w:rPr>
              <w:t xml:space="preserve"> fondu lī</w:t>
            </w:r>
            <w:r w:rsidR="00587374" w:rsidRPr="00171358">
              <w:rPr>
                <w:sz w:val="24"/>
                <w:szCs w:val="24"/>
                <w:lang w:val="lv-LV"/>
              </w:rPr>
              <w:t>dzfinansēto 2.2.1.1.aktivitāti „Ieguldījumu fonds investīcijām garantijās, paaugstināta riska aizdevumos, riska kapitāla fondos un cita veida finanšu instrumentos</w:t>
            </w:r>
            <w:r w:rsidR="00D51AC1" w:rsidRPr="00171358">
              <w:rPr>
                <w:sz w:val="24"/>
                <w:szCs w:val="24"/>
                <w:lang w:val="lv-LV"/>
              </w:rPr>
              <w:t xml:space="preserve">” (turpmāk – </w:t>
            </w:r>
            <w:r w:rsidRPr="00171358">
              <w:rPr>
                <w:sz w:val="24"/>
                <w:szCs w:val="24"/>
                <w:lang w:val="lv-LV"/>
              </w:rPr>
              <w:t xml:space="preserve">aktivitāte), noslēdza līgumu ar Eiropas Investīciju fondu (turpmāk – EIF) par Eiropas Savienības struktūrfondu ieguldījuma fonda ieviešanu (turpmāk – Līgums). Līgums </w:t>
            </w:r>
            <w:r w:rsidR="000320B6" w:rsidRPr="00171358">
              <w:rPr>
                <w:sz w:val="24"/>
                <w:szCs w:val="24"/>
                <w:lang w:val="lv-LV"/>
              </w:rPr>
              <w:t xml:space="preserve">tika </w:t>
            </w:r>
            <w:r w:rsidRPr="00171358">
              <w:rPr>
                <w:sz w:val="24"/>
                <w:szCs w:val="24"/>
                <w:lang w:val="lv-LV"/>
              </w:rPr>
              <w:t>apstiprināts ar Ministru kabineta 2008.gada 10.jūlija noteikumiem Nr.534 „Par Latvijas Republikas valdības un Eiropas Investīciju fonda līgumu par Eiropas Savienības struktūrfondu ieguldījumu fonda ieviešanu”.</w:t>
            </w:r>
          </w:p>
          <w:p w:rsidR="000320B6" w:rsidRPr="00171358" w:rsidRDefault="004840DA" w:rsidP="00340F1F">
            <w:pPr>
              <w:pStyle w:val="Heading3"/>
              <w:spacing w:before="60" w:after="60"/>
              <w:jc w:val="both"/>
              <w:rPr>
                <w:rFonts w:ascii="Times New Roman" w:eastAsia="Calibri" w:hAnsi="Times New Roman" w:cs="Times New Roman"/>
                <w:b w:val="0"/>
                <w:bCs w:val="0"/>
                <w:color w:val="auto"/>
                <w:sz w:val="24"/>
                <w:szCs w:val="24"/>
                <w:lang w:val="lv-LV"/>
              </w:rPr>
            </w:pPr>
            <w:r w:rsidRPr="00171358">
              <w:rPr>
                <w:rFonts w:ascii="Times New Roman" w:eastAsia="Calibri" w:hAnsi="Times New Roman" w:cs="Times New Roman"/>
                <w:b w:val="0"/>
                <w:bCs w:val="0"/>
                <w:color w:val="auto"/>
                <w:sz w:val="24"/>
                <w:szCs w:val="24"/>
                <w:lang w:val="lv-LV"/>
              </w:rPr>
              <w:t xml:space="preserve">Līgumā paredzēts, ka trīs gadus pēc līguma noslēgšanas EIF ieguldījumu fonda ieviešanu var nodot SIA „Latvijas Garantiju aģentūra” (turpmāk - LGA) vai citai institūcijai. </w:t>
            </w:r>
          </w:p>
          <w:p w:rsidR="00087AF6" w:rsidRPr="00171358" w:rsidRDefault="004840DA" w:rsidP="00340F1F">
            <w:pPr>
              <w:pStyle w:val="Heading3"/>
              <w:spacing w:before="60" w:after="60"/>
              <w:jc w:val="both"/>
              <w:rPr>
                <w:rFonts w:ascii="Times New Roman" w:eastAsia="Calibri" w:hAnsi="Times New Roman" w:cs="Times New Roman"/>
                <w:b w:val="0"/>
                <w:bCs w:val="0"/>
                <w:color w:val="auto"/>
                <w:sz w:val="24"/>
                <w:szCs w:val="24"/>
                <w:lang w:val="lv-LV"/>
              </w:rPr>
            </w:pPr>
            <w:r w:rsidRPr="00171358">
              <w:rPr>
                <w:rFonts w:ascii="Times New Roman" w:eastAsia="Calibri" w:hAnsi="Times New Roman" w:cs="Times New Roman"/>
                <w:b w:val="0"/>
                <w:bCs w:val="0"/>
                <w:color w:val="auto"/>
                <w:sz w:val="24"/>
                <w:szCs w:val="24"/>
                <w:lang w:val="lv-LV"/>
              </w:rPr>
              <w:t>2011.gada 16.jūlijā apr</w:t>
            </w:r>
            <w:r w:rsidR="00A2126C" w:rsidRPr="00171358">
              <w:rPr>
                <w:rFonts w:ascii="Times New Roman" w:eastAsia="Calibri" w:hAnsi="Times New Roman" w:cs="Times New Roman"/>
                <w:b w:val="0"/>
                <w:bCs w:val="0"/>
                <w:color w:val="auto"/>
                <w:sz w:val="24"/>
                <w:szCs w:val="24"/>
                <w:lang w:val="lv-LV"/>
              </w:rPr>
              <w:t>it</w:t>
            </w:r>
            <w:r w:rsidRPr="00171358">
              <w:rPr>
                <w:rFonts w:ascii="Times New Roman" w:eastAsia="Calibri" w:hAnsi="Times New Roman" w:cs="Times New Roman"/>
                <w:b w:val="0"/>
                <w:bCs w:val="0"/>
                <w:color w:val="auto"/>
                <w:sz w:val="24"/>
                <w:szCs w:val="24"/>
                <w:lang w:val="lv-LV"/>
              </w:rPr>
              <w:t xml:space="preserve"> trīs gadi kopš līguma noslēgšanas, tādēļ Ekonomikas ministrija izstrādāja koncepciju par ieguldījumu fonda turpmāku ieviešanu, kura apstiprināta ar 2011.gada 22.augusta Ministru kabineta rīkojumu Nr.399 „Par </w:t>
            </w:r>
            <w:hyperlink r:id="rId8" w:tooltip="MK, 18.12.2006, 975, &quot;Par virssaistību uzņemšanos Eiropas Reģionālās attīstības fonda, Eiropas Sociālā fonda un Zivsaimniecības vadības finansēšanas instrumenta līdzfinansētajām Vienotā programmdokumenta aktivitātēm 2004.-2006.gada plānošanas periodā /Aktuālā " w:history="1">
              <w:r w:rsidRPr="00171358">
                <w:rPr>
                  <w:rFonts w:ascii="Times New Roman" w:eastAsia="Calibri" w:hAnsi="Times New Roman" w:cs="Times New Roman"/>
                  <w:b w:val="0"/>
                  <w:bCs w:val="0"/>
                  <w:color w:val="auto"/>
                  <w:sz w:val="24"/>
                  <w:szCs w:val="24"/>
                  <w:lang w:val="lv-LV"/>
                </w:rPr>
                <w:t>Eiropas Reģionālās attīstības fonda</w:t>
              </w:r>
            </w:hyperlink>
            <w:r w:rsidRPr="00171358">
              <w:rPr>
                <w:rFonts w:ascii="Times New Roman" w:eastAsia="Calibri" w:hAnsi="Times New Roman" w:cs="Times New Roman"/>
                <w:b w:val="0"/>
                <w:bCs w:val="0"/>
                <w:color w:val="auto"/>
                <w:sz w:val="24"/>
                <w:szCs w:val="24"/>
                <w:lang w:val="lv-LV"/>
              </w:rPr>
              <w:t xml:space="preserve"> </w:t>
            </w:r>
            <w:hyperlink r:id="rId9" w:tooltip="MK, 02.08.2008, 534, &quot;Par Latvijas Republikas valdības un Eiropas Investīciju fonda līgumu par Eiropas Savienības struktūrfondu ieguldījumu fonda ieviešanu (līguma projekts) /Spēkā esošs/&quot;" w:history="1">
              <w:r w:rsidRPr="00171358">
                <w:rPr>
                  <w:rFonts w:ascii="Times New Roman" w:eastAsia="Calibri" w:hAnsi="Times New Roman" w:cs="Times New Roman"/>
                  <w:b w:val="0"/>
                  <w:bCs w:val="0"/>
                  <w:color w:val="auto"/>
                  <w:sz w:val="24"/>
                  <w:szCs w:val="24"/>
                  <w:lang w:val="lv-LV"/>
                </w:rPr>
                <w:t>ieguldījumu fonda</w:t>
              </w:r>
            </w:hyperlink>
            <w:r w:rsidRPr="00171358">
              <w:rPr>
                <w:rFonts w:ascii="Times New Roman" w:eastAsia="Calibri" w:hAnsi="Times New Roman" w:cs="Times New Roman"/>
                <w:b w:val="0"/>
                <w:bCs w:val="0"/>
                <w:color w:val="auto"/>
                <w:sz w:val="24"/>
                <w:szCs w:val="24"/>
                <w:lang w:val="lv-LV"/>
              </w:rPr>
              <w:t xml:space="preserve"> ieviešanas koncepciju” (turpmāk – MK rīkojums Nr.399). </w:t>
            </w:r>
          </w:p>
          <w:p w:rsidR="00087AF6" w:rsidRPr="00171358" w:rsidRDefault="00087AF6" w:rsidP="00340F1F">
            <w:pPr>
              <w:spacing w:before="60" w:after="60"/>
              <w:jc w:val="both"/>
              <w:rPr>
                <w:sz w:val="24"/>
                <w:szCs w:val="24"/>
                <w:lang w:val="lv-LV"/>
              </w:rPr>
            </w:pPr>
            <w:r w:rsidRPr="00171358">
              <w:rPr>
                <w:sz w:val="24"/>
                <w:szCs w:val="24"/>
                <w:lang w:val="lv-LV"/>
              </w:rPr>
              <w:t>Koncepcijā t</w:t>
            </w:r>
            <w:r w:rsidR="002B1377" w:rsidRPr="00171358">
              <w:rPr>
                <w:sz w:val="24"/>
                <w:szCs w:val="24"/>
                <w:lang w:val="lv-LV"/>
              </w:rPr>
              <w:t>i</w:t>
            </w:r>
            <w:r w:rsidRPr="00171358">
              <w:rPr>
                <w:sz w:val="24"/>
                <w:szCs w:val="24"/>
                <w:lang w:val="lv-LV"/>
              </w:rPr>
              <w:t xml:space="preserve">ka </w:t>
            </w:r>
            <w:r w:rsidR="002B1377" w:rsidRPr="00171358">
              <w:rPr>
                <w:sz w:val="24"/>
                <w:szCs w:val="24"/>
                <w:lang w:val="lv-LV"/>
              </w:rPr>
              <w:t>piedāvāti četri</w:t>
            </w:r>
            <w:r w:rsidRPr="00171358">
              <w:rPr>
                <w:sz w:val="24"/>
                <w:szCs w:val="24"/>
                <w:lang w:val="lv-LV"/>
              </w:rPr>
              <w:t xml:space="preserve"> ieguldījumu fonda ieviešanas </w:t>
            </w:r>
            <w:r w:rsidR="002B1377" w:rsidRPr="00171358">
              <w:rPr>
                <w:sz w:val="24"/>
                <w:szCs w:val="24"/>
                <w:lang w:val="lv-LV"/>
              </w:rPr>
              <w:t>varianti:</w:t>
            </w:r>
          </w:p>
          <w:p w:rsidR="00087AF6" w:rsidRPr="00171358" w:rsidRDefault="002B1377" w:rsidP="00171358">
            <w:pPr>
              <w:jc w:val="both"/>
              <w:rPr>
                <w:sz w:val="24"/>
                <w:szCs w:val="24"/>
                <w:lang w:val="lv-LV"/>
              </w:rPr>
            </w:pPr>
            <w:bookmarkStart w:id="11" w:name="_Toc298929477"/>
            <w:r w:rsidRPr="00171358">
              <w:rPr>
                <w:sz w:val="24"/>
                <w:szCs w:val="24"/>
                <w:lang w:val="lv-LV"/>
              </w:rPr>
              <w:t>1. a</w:t>
            </w:r>
            <w:r w:rsidR="00087AF6" w:rsidRPr="00171358">
              <w:rPr>
                <w:sz w:val="24"/>
                <w:szCs w:val="24"/>
                <w:lang w:val="lv-LV"/>
              </w:rPr>
              <w:t xml:space="preserve">ktivitātes ieviesēja izvēle ar publiskā iepirkuma </w:t>
            </w:r>
            <w:bookmarkEnd w:id="11"/>
            <w:r w:rsidRPr="00171358">
              <w:rPr>
                <w:sz w:val="24"/>
                <w:szCs w:val="24"/>
                <w:lang w:val="lv-LV"/>
              </w:rPr>
              <w:t>starpniecību;</w:t>
            </w:r>
          </w:p>
          <w:p w:rsidR="00087AF6" w:rsidRPr="00171358" w:rsidRDefault="004840DA" w:rsidP="00171358">
            <w:pPr>
              <w:pStyle w:val="2VIRSRAKSTS"/>
              <w:ind w:firstLine="0"/>
              <w:rPr>
                <w:rFonts w:eastAsia="Calibri"/>
                <w:b w:val="0"/>
                <w:bCs w:val="0"/>
                <w:szCs w:val="24"/>
              </w:rPr>
            </w:pPr>
            <w:bookmarkStart w:id="12" w:name="_Toc298929478"/>
            <w:r w:rsidRPr="00171358">
              <w:rPr>
                <w:rFonts w:eastAsia="Calibri"/>
                <w:b w:val="0"/>
                <w:bCs w:val="0"/>
                <w:szCs w:val="24"/>
              </w:rPr>
              <w:t>2. sadarbības turpināšana ar</w:t>
            </w:r>
            <w:bookmarkEnd w:id="12"/>
            <w:r w:rsidRPr="00171358">
              <w:rPr>
                <w:rFonts w:eastAsia="Calibri"/>
                <w:b w:val="0"/>
                <w:bCs w:val="0"/>
                <w:szCs w:val="24"/>
              </w:rPr>
              <w:t xml:space="preserve"> EIF;</w:t>
            </w:r>
          </w:p>
          <w:p w:rsidR="00087AF6" w:rsidRPr="00171358" w:rsidRDefault="004840DA" w:rsidP="00171358">
            <w:pPr>
              <w:pStyle w:val="2VIRSRAKSTS"/>
              <w:ind w:firstLine="0"/>
              <w:rPr>
                <w:rFonts w:eastAsia="Calibri"/>
                <w:b w:val="0"/>
                <w:bCs w:val="0"/>
                <w:szCs w:val="24"/>
              </w:rPr>
            </w:pPr>
            <w:r w:rsidRPr="00171358">
              <w:rPr>
                <w:rFonts w:eastAsia="Calibri"/>
                <w:b w:val="0"/>
                <w:bCs w:val="0"/>
                <w:szCs w:val="24"/>
              </w:rPr>
              <w:t xml:space="preserve">3. </w:t>
            </w:r>
            <w:bookmarkStart w:id="13" w:name="_Toc298929479"/>
            <w:r w:rsidRPr="00171358">
              <w:rPr>
                <w:rFonts w:eastAsia="Calibri"/>
                <w:b w:val="0"/>
                <w:bCs w:val="0"/>
                <w:szCs w:val="24"/>
              </w:rPr>
              <w:t>nacionālās finanšu institūcijas – LGA iz</w:t>
            </w:r>
            <w:bookmarkEnd w:id="13"/>
            <w:r w:rsidRPr="00171358">
              <w:rPr>
                <w:rFonts w:eastAsia="Calibri"/>
                <w:b w:val="0"/>
                <w:bCs w:val="0"/>
                <w:szCs w:val="24"/>
              </w:rPr>
              <w:t>raudzīšanās par aktivitātes ieviesēju;</w:t>
            </w:r>
          </w:p>
          <w:p w:rsidR="00087AF6" w:rsidRPr="00171358" w:rsidRDefault="004840DA" w:rsidP="00171358">
            <w:pPr>
              <w:pStyle w:val="2VIRSRAKSTS"/>
              <w:ind w:firstLine="0"/>
              <w:rPr>
                <w:rFonts w:eastAsia="Calibri"/>
                <w:b w:val="0"/>
                <w:bCs w:val="0"/>
                <w:szCs w:val="24"/>
              </w:rPr>
            </w:pPr>
            <w:r w:rsidRPr="00171358">
              <w:rPr>
                <w:rFonts w:eastAsia="Calibri"/>
                <w:b w:val="0"/>
                <w:bCs w:val="0"/>
                <w:szCs w:val="24"/>
              </w:rPr>
              <w:t>4.</w:t>
            </w:r>
            <w:bookmarkStart w:id="14" w:name="_Toc298929482"/>
            <w:r w:rsidRPr="00171358">
              <w:rPr>
                <w:rFonts w:eastAsia="Calibri"/>
                <w:b w:val="0"/>
                <w:bCs w:val="0"/>
                <w:szCs w:val="24"/>
              </w:rPr>
              <w:t xml:space="preserve"> nacionālās finanšu institūcijas – VAS „Latvijas Hipotēku un zemes banka” vai attīstības institūcijas izraudzīšanās</w:t>
            </w:r>
            <w:bookmarkEnd w:id="14"/>
            <w:r w:rsidRPr="00171358">
              <w:rPr>
                <w:rFonts w:eastAsia="Calibri"/>
                <w:b w:val="0"/>
                <w:bCs w:val="0"/>
                <w:szCs w:val="24"/>
              </w:rPr>
              <w:t xml:space="preserve"> par aktivitātes ieviesēju.</w:t>
            </w:r>
          </w:p>
          <w:p w:rsidR="00A2126C" w:rsidRPr="00171358" w:rsidRDefault="00701E41" w:rsidP="00340F1F">
            <w:pPr>
              <w:spacing w:before="60" w:after="60"/>
              <w:jc w:val="both"/>
              <w:rPr>
                <w:sz w:val="24"/>
                <w:szCs w:val="24"/>
                <w:lang w:val="lv-LV"/>
              </w:rPr>
            </w:pPr>
            <w:r w:rsidRPr="00171358">
              <w:rPr>
                <w:sz w:val="24"/>
                <w:szCs w:val="24"/>
                <w:lang w:val="lv-LV"/>
              </w:rPr>
              <w:t xml:space="preserve">Saskaņā ar </w:t>
            </w:r>
            <w:r w:rsidR="00834368" w:rsidRPr="00171358">
              <w:rPr>
                <w:sz w:val="24"/>
                <w:szCs w:val="24"/>
                <w:lang w:val="lv-LV"/>
              </w:rPr>
              <w:t xml:space="preserve">MK rīkojuma Nr.399 1.punktu tika atbalstīts </w:t>
            </w:r>
            <w:hyperlink r:id="rId10" w:tooltip="MK, 18.12.2006, 975, &quot;Par virssaistību uzņemšanos Eiropas Reģionālās attīstības fonda, Eiropas Sociālā fonda un Zivsaimniecības vadības finansēšanas instrumenta līdzfinansētajām Vienotā programmdokumenta aktivitātēm 2004.-2006.gada plānošanas periodā /Aktuālā " w:history="1">
              <w:r w:rsidR="004840DA" w:rsidRPr="00171358">
                <w:rPr>
                  <w:sz w:val="24"/>
                  <w:szCs w:val="24"/>
                  <w:lang w:val="lv-LV"/>
                </w:rPr>
                <w:t>Eiropas Reģionālās attīstības fonda</w:t>
              </w:r>
            </w:hyperlink>
            <w:r w:rsidR="00834368" w:rsidRPr="00171358">
              <w:rPr>
                <w:sz w:val="24"/>
                <w:szCs w:val="24"/>
                <w:lang w:val="lv-LV"/>
              </w:rPr>
              <w:t xml:space="preserve"> </w:t>
            </w:r>
            <w:hyperlink r:id="rId11" w:tooltip="MK, 02.08.2008, 534, &quot;Par Latvijas Republikas valdības un Eiropas Investīciju fonda līgumu par Eiropas Savienības struktūrfondu ieguldījumu fonda ieviešanu (līguma projekts) /Spēkā esošs/&quot;" w:history="1">
              <w:r w:rsidR="004840DA" w:rsidRPr="00171358">
                <w:rPr>
                  <w:sz w:val="24"/>
                  <w:szCs w:val="24"/>
                  <w:lang w:val="lv-LV"/>
                </w:rPr>
                <w:t>ieguldījumu fonda</w:t>
              </w:r>
            </w:hyperlink>
            <w:r w:rsidR="00834368" w:rsidRPr="00171358">
              <w:rPr>
                <w:sz w:val="24"/>
                <w:szCs w:val="24"/>
                <w:lang w:val="lv-LV"/>
              </w:rPr>
              <w:t xml:space="preserve"> ieviešanas koncepcijas risinājuma 3.variants, proti</w:t>
            </w:r>
            <w:r w:rsidR="00442091" w:rsidRPr="00171358">
              <w:rPr>
                <w:sz w:val="24"/>
                <w:szCs w:val="24"/>
                <w:lang w:val="lv-LV"/>
              </w:rPr>
              <w:t>,</w:t>
            </w:r>
            <w:r w:rsidR="00834368" w:rsidRPr="00171358">
              <w:rPr>
                <w:sz w:val="24"/>
                <w:szCs w:val="24"/>
                <w:lang w:val="lv-LV"/>
              </w:rPr>
              <w:t xml:space="preserve"> </w:t>
            </w:r>
            <w:r w:rsidR="004004FC" w:rsidRPr="00171358">
              <w:rPr>
                <w:sz w:val="24"/>
                <w:szCs w:val="24"/>
                <w:lang w:val="lv-LV"/>
              </w:rPr>
              <w:t>noteikt LGA</w:t>
            </w:r>
            <w:r w:rsidR="005253D3" w:rsidRPr="00171358">
              <w:rPr>
                <w:sz w:val="24"/>
                <w:szCs w:val="24"/>
                <w:lang w:val="lv-LV"/>
              </w:rPr>
              <w:t xml:space="preserve"> </w:t>
            </w:r>
            <w:r w:rsidR="004004FC" w:rsidRPr="00171358">
              <w:rPr>
                <w:sz w:val="24"/>
                <w:szCs w:val="24"/>
                <w:lang w:val="lv-LV"/>
              </w:rPr>
              <w:t>par ieguldījumu fonda ieviesēju</w:t>
            </w:r>
            <w:r w:rsidR="006E41C5" w:rsidRPr="00171358">
              <w:rPr>
                <w:sz w:val="24"/>
                <w:szCs w:val="24"/>
                <w:lang w:val="lv-LV"/>
              </w:rPr>
              <w:t xml:space="preserve">, ievērojot </w:t>
            </w:r>
            <w:hyperlink r:id="rId12" w:tooltip="MK, 18.12.2006, 975, &quot;Par virssaistību uzņemšanos Eiropas Reģionālās attīstības fonda, Eiropas Sociālā fonda un Zivsaimniecības vadības finansēšanas instrumenta līdzfinansētajām Vienotā programmdokumenta aktivitātēm 2004.-2006.gada plānošanas periodā /Aktuālā " w:history="1">
              <w:r w:rsidR="004840DA" w:rsidRPr="00171358">
                <w:rPr>
                  <w:sz w:val="24"/>
                  <w:szCs w:val="24"/>
                  <w:lang w:val="lv-LV"/>
                </w:rPr>
                <w:t>Eiropas Reģionālās attīstības fonda</w:t>
              </w:r>
            </w:hyperlink>
            <w:r w:rsidR="006E41C5" w:rsidRPr="00171358">
              <w:rPr>
                <w:sz w:val="24"/>
                <w:szCs w:val="24"/>
                <w:lang w:val="lv-LV"/>
              </w:rPr>
              <w:t xml:space="preserve"> </w:t>
            </w:r>
            <w:hyperlink r:id="rId13" w:tooltip="MK, 02.08.2008, 534, &quot;Par Latvijas Republikas valdības un Eiropas Investīciju fonda līgumu par Eiropas Savienības struktūrfondu ieguldījumu fonda ieviešanu (līguma projekts) /Spēkā esošs/&quot;" w:history="1">
              <w:r w:rsidR="004840DA" w:rsidRPr="00171358">
                <w:rPr>
                  <w:sz w:val="24"/>
                  <w:szCs w:val="24"/>
                  <w:lang w:val="lv-LV"/>
                </w:rPr>
                <w:t>ieguldījumu fonda</w:t>
              </w:r>
            </w:hyperlink>
            <w:r w:rsidR="006E41C5" w:rsidRPr="00171358">
              <w:rPr>
                <w:sz w:val="24"/>
                <w:szCs w:val="24"/>
                <w:lang w:val="lv-LV"/>
              </w:rPr>
              <w:t xml:space="preserve"> ieviešanas koncepcijā</w:t>
            </w:r>
            <w:r w:rsidR="00E60CDD" w:rsidRPr="00171358">
              <w:rPr>
                <w:sz w:val="24"/>
                <w:szCs w:val="24"/>
                <w:lang w:val="lv-LV"/>
              </w:rPr>
              <w:t xml:space="preserve"> (turpmāk – koncepcija)</w:t>
            </w:r>
            <w:r w:rsidR="006E41C5" w:rsidRPr="00171358">
              <w:rPr>
                <w:sz w:val="24"/>
                <w:szCs w:val="24"/>
                <w:lang w:val="lv-LV"/>
              </w:rPr>
              <w:t xml:space="preserve"> ietvert</w:t>
            </w:r>
            <w:r w:rsidR="00E60CDD" w:rsidRPr="00171358">
              <w:rPr>
                <w:sz w:val="24"/>
                <w:szCs w:val="24"/>
                <w:lang w:val="lv-LV"/>
              </w:rPr>
              <w:t>o</w:t>
            </w:r>
            <w:r w:rsidR="006E41C5" w:rsidRPr="00171358">
              <w:rPr>
                <w:sz w:val="24"/>
                <w:szCs w:val="24"/>
                <w:lang w:val="lv-LV"/>
              </w:rPr>
              <w:t xml:space="preserve"> tiesisko </w:t>
            </w:r>
            <w:r w:rsidR="006E41C5" w:rsidRPr="00171358">
              <w:rPr>
                <w:sz w:val="24"/>
                <w:szCs w:val="24"/>
                <w:lang w:val="lv-LV"/>
              </w:rPr>
              <w:lastRenderedPageBreak/>
              <w:t xml:space="preserve">izvērtējumu. </w:t>
            </w:r>
          </w:p>
          <w:p w:rsidR="000370EA" w:rsidRPr="00171358" w:rsidRDefault="000370EA" w:rsidP="00340F1F">
            <w:pPr>
              <w:spacing w:before="60" w:after="60"/>
              <w:jc w:val="both"/>
              <w:rPr>
                <w:sz w:val="24"/>
                <w:szCs w:val="24"/>
                <w:lang w:val="lv-LV"/>
              </w:rPr>
            </w:pPr>
            <w:r w:rsidRPr="00171358">
              <w:rPr>
                <w:sz w:val="24"/>
                <w:szCs w:val="24"/>
                <w:lang w:val="lv-LV"/>
              </w:rPr>
              <w:t xml:space="preserve">MK rīkojuma Nr.399 4.punktā tika uzdots Ekonomikas ministrijai izstrādāt un iesniegt izskatīšanai </w:t>
            </w:r>
            <w:hyperlink r:id="rId14" w:tooltip="MK, 17.04.2009, 300, &quot;MK kārtības rullis /Aktuālā redakcija/&quot;" w:history="1">
              <w:r w:rsidRPr="00171358">
                <w:rPr>
                  <w:sz w:val="24"/>
                  <w:szCs w:val="24"/>
                  <w:lang w:val="lv-LV"/>
                </w:rPr>
                <w:t>Ministru kabinetā</w:t>
              </w:r>
            </w:hyperlink>
            <w:r w:rsidRPr="00171358">
              <w:rPr>
                <w:sz w:val="24"/>
                <w:szCs w:val="24"/>
                <w:lang w:val="lv-LV"/>
              </w:rPr>
              <w:t xml:space="preserve"> noteikumu projektu par </w:t>
            </w:r>
            <w:hyperlink r:id="rId15" w:tooltip="MK, 02.08.2008, 534, &quot;Par Latvijas Republikas valdības un Eiropas Investīciju fonda līgumu par Eiropas Savienības struktūrfondu ieguldījumu fonda ieviešanu (līguma projekts) /Spēkā esošs/&quot;" w:history="1">
              <w:r w:rsidRPr="00171358">
                <w:rPr>
                  <w:sz w:val="24"/>
                  <w:szCs w:val="24"/>
                  <w:lang w:val="lv-LV"/>
                </w:rPr>
                <w:t>ieguldījumu fonda</w:t>
              </w:r>
            </w:hyperlink>
            <w:r w:rsidRPr="00171358">
              <w:rPr>
                <w:sz w:val="24"/>
                <w:szCs w:val="24"/>
                <w:lang w:val="lv-LV"/>
              </w:rPr>
              <w:t xml:space="preserve"> ieviešanas funkciju nodošanu LGA un </w:t>
            </w:r>
            <w:hyperlink r:id="rId16" w:tooltip="MK, 02.08.2008, 534, &quot;Par Latvijas Republikas valdības un Eiropas Investīciju fonda līgumu par Eiropas Savienības struktūrfondu ieguldījumu fonda ieviešanu (līguma projekts) /Spēkā esošs/&quot;" w:history="1">
              <w:r w:rsidRPr="00171358">
                <w:rPr>
                  <w:sz w:val="24"/>
                  <w:szCs w:val="24"/>
                  <w:lang w:val="lv-LV"/>
                </w:rPr>
                <w:t>ieguldījumu fonda</w:t>
              </w:r>
            </w:hyperlink>
            <w:r w:rsidRPr="00171358">
              <w:rPr>
                <w:sz w:val="24"/>
                <w:szCs w:val="24"/>
                <w:lang w:val="lv-LV"/>
              </w:rPr>
              <w:t xml:space="preserve"> ieviešanas kārtību. Pamatojoties uz minēto, Ekonomikas ministrija ir izstrādājusi Ministru kabineta noteikumu projektu.</w:t>
            </w:r>
          </w:p>
          <w:p w:rsidR="00A2126C" w:rsidRPr="00171358" w:rsidRDefault="00E60CDD" w:rsidP="00340F1F">
            <w:pPr>
              <w:spacing w:before="60" w:after="60"/>
              <w:jc w:val="both"/>
              <w:rPr>
                <w:sz w:val="24"/>
                <w:szCs w:val="24"/>
                <w:lang w:val="lv-LV"/>
              </w:rPr>
            </w:pPr>
            <w:r w:rsidRPr="00171358">
              <w:rPr>
                <w:sz w:val="24"/>
                <w:szCs w:val="24"/>
                <w:lang w:val="lv-LV"/>
              </w:rPr>
              <w:t>Koncepcijā norādīts, ka</w:t>
            </w:r>
            <w:r w:rsidR="00F06D68" w:rsidRPr="00171358">
              <w:rPr>
                <w:sz w:val="24"/>
                <w:szCs w:val="24"/>
                <w:lang w:val="lv-LV"/>
              </w:rPr>
              <w:t>,</w:t>
            </w:r>
            <w:r w:rsidR="00EC75AD" w:rsidRPr="00171358">
              <w:rPr>
                <w:sz w:val="24"/>
                <w:szCs w:val="24"/>
                <w:lang w:val="lv-LV"/>
              </w:rPr>
              <w:t xml:space="preserve"> slēdzot līgumu ar LGA</w:t>
            </w:r>
            <w:r w:rsidR="00A2126C" w:rsidRPr="00171358">
              <w:rPr>
                <w:sz w:val="24"/>
                <w:szCs w:val="24"/>
                <w:lang w:val="lv-LV"/>
              </w:rPr>
              <w:t>,</w:t>
            </w:r>
            <w:r w:rsidR="00EC75AD" w:rsidRPr="00171358">
              <w:rPr>
                <w:sz w:val="24"/>
                <w:szCs w:val="24"/>
                <w:lang w:val="lv-LV"/>
              </w:rPr>
              <w:t xml:space="preserve"> nav piemērojama Publisko iepirkumu likumā iekļautā iepirkuma procedūra, jo </w:t>
            </w:r>
            <w:r w:rsidR="004840DA" w:rsidRPr="00171358">
              <w:rPr>
                <w:sz w:val="24"/>
                <w:szCs w:val="24"/>
                <w:lang w:val="lv-LV"/>
              </w:rPr>
              <w:t>LGA nepastāv peļņas gūšanas nolūks, kā arī LGA atbilst Publisko iepirkumu likuma 3.panta pirmās daļas 7.punktā noteiktajam izņēmuma gadījumam likuma piemērošanā.</w:t>
            </w:r>
            <w:r w:rsidR="00EC75AD" w:rsidRPr="00171358">
              <w:rPr>
                <w:sz w:val="24"/>
                <w:szCs w:val="24"/>
                <w:lang w:val="lv-LV"/>
              </w:rPr>
              <w:t xml:space="preserve"> </w:t>
            </w:r>
            <w:r w:rsidR="004840DA" w:rsidRPr="00171358">
              <w:rPr>
                <w:sz w:val="24"/>
                <w:szCs w:val="24"/>
                <w:lang w:val="lv-LV"/>
              </w:rPr>
              <w:t>Publisk</w:t>
            </w:r>
            <w:r w:rsidR="00A2126C" w:rsidRPr="00171358">
              <w:rPr>
                <w:sz w:val="24"/>
                <w:szCs w:val="24"/>
                <w:lang w:val="lv-LV"/>
              </w:rPr>
              <w:t>o</w:t>
            </w:r>
            <w:r w:rsidR="004840DA" w:rsidRPr="00171358">
              <w:rPr>
                <w:sz w:val="24"/>
                <w:szCs w:val="24"/>
                <w:lang w:val="lv-LV"/>
              </w:rPr>
              <w:t xml:space="preserve"> iepirkum</w:t>
            </w:r>
            <w:r w:rsidR="00A2126C" w:rsidRPr="00171358">
              <w:rPr>
                <w:sz w:val="24"/>
                <w:szCs w:val="24"/>
                <w:lang w:val="lv-LV"/>
              </w:rPr>
              <w:t>u</w:t>
            </w:r>
            <w:r w:rsidR="004840DA" w:rsidRPr="00171358">
              <w:rPr>
                <w:sz w:val="24"/>
                <w:szCs w:val="24"/>
                <w:lang w:val="lv-LV"/>
              </w:rPr>
              <w:t xml:space="preserve"> likuma 3.panta pirmā daļas 7.punkts nosaka, ka publiskā iepirkuma procedūru nepiemēro, ja pasūtītāja (Ekonomikas ministrijas) kontrole pār izpildītāju (LGA) ir tāda pati kā tā, ko pasūtītājs (Ekonomikas ministrija) veic pār saviem dienestiem, un ja izpildītājs īsteno savas galvenās darbības (valsts atbalsta programmu ieviešana) kopā ar pasūtītāju, kas ir tās kapitāla daļu turētāja. Attiecīgais princips tiek definēts kā „iekšējo attiecību” (</w:t>
            </w:r>
            <w:proofErr w:type="spellStart"/>
            <w:r w:rsidR="004840DA" w:rsidRPr="00171358">
              <w:rPr>
                <w:i/>
                <w:sz w:val="24"/>
                <w:szCs w:val="24"/>
                <w:lang w:val="lv-LV"/>
              </w:rPr>
              <w:t>in</w:t>
            </w:r>
            <w:proofErr w:type="spellEnd"/>
            <w:r w:rsidR="004840DA" w:rsidRPr="00171358">
              <w:rPr>
                <w:i/>
                <w:sz w:val="24"/>
                <w:szCs w:val="24"/>
                <w:lang w:val="lv-LV"/>
              </w:rPr>
              <w:t xml:space="preserve"> </w:t>
            </w:r>
            <w:proofErr w:type="spellStart"/>
            <w:r w:rsidR="004840DA" w:rsidRPr="00171358">
              <w:rPr>
                <w:i/>
                <w:sz w:val="24"/>
                <w:szCs w:val="24"/>
                <w:lang w:val="lv-LV"/>
              </w:rPr>
              <w:t>house</w:t>
            </w:r>
            <w:proofErr w:type="spellEnd"/>
            <w:r w:rsidR="004840DA" w:rsidRPr="00171358">
              <w:rPr>
                <w:sz w:val="24"/>
                <w:szCs w:val="24"/>
                <w:lang w:val="lv-LV"/>
              </w:rPr>
              <w:t>) princips.</w:t>
            </w:r>
            <w:r w:rsidR="00EC75AD" w:rsidRPr="00171358">
              <w:rPr>
                <w:sz w:val="24"/>
                <w:szCs w:val="24"/>
                <w:lang w:val="lv-LV"/>
              </w:rPr>
              <w:t xml:space="preserve"> </w:t>
            </w:r>
          </w:p>
          <w:p w:rsidR="00F06D68" w:rsidRPr="00340F1F" w:rsidRDefault="00EC75AD" w:rsidP="00340F1F">
            <w:pPr>
              <w:spacing w:before="60" w:after="60"/>
              <w:jc w:val="both"/>
              <w:rPr>
                <w:sz w:val="24"/>
                <w:szCs w:val="24"/>
                <w:lang w:val="lv-LV"/>
              </w:rPr>
            </w:pPr>
            <w:r w:rsidRPr="00171358">
              <w:rPr>
                <w:sz w:val="24"/>
                <w:szCs w:val="24"/>
                <w:lang w:val="lv-LV"/>
              </w:rPr>
              <w:t>Savukārt</w:t>
            </w:r>
            <w:r w:rsidR="00E60CDD" w:rsidRPr="00171358">
              <w:rPr>
                <w:sz w:val="24"/>
                <w:szCs w:val="24"/>
                <w:lang w:val="lv-LV"/>
              </w:rPr>
              <w:t xml:space="preserve"> atbilstoši </w:t>
            </w:r>
            <w:r w:rsidR="004840DA" w:rsidRPr="00171358">
              <w:rPr>
                <w:sz w:val="24"/>
                <w:szCs w:val="24"/>
                <w:lang w:val="lv-LV"/>
              </w:rPr>
              <w:t>Regula</w:t>
            </w:r>
            <w:r w:rsidR="00F06D68" w:rsidRPr="00171358">
              <w:rPr>
                <w:sz w:val="24"/>
                <w:szCs w:val="24"/>
                <w:lang w:val="lv-LV"/>
              </w:rPr>
              <w:t>s Nr.1083/2006 44.pantā noteiktajam</w:t>
            </w:r>
            <w:r w:rsidR="004840DA" w:rsidRPr="00171358">
              <w:rPr>
                <w:sz w:val="24"/>
                <w:szCs w:val="24"/>
                <w:lang w:val="lv-LV"/>
              </w:rPr>
              <w:t xml:space="preserve"> Ieguldījuma fonda izveidošana publiskā iepirkuma ceļā pēc būtības paredz pakalpojuma līguma slēgšanu par ieguldījuma fonda apsaimniekošanu, ieguldījuma fonda īpašumtiesības saglabājot pakalpojuma</w:t>
            </w:r>
            <w:r w:rsidRPr="00171358">
              <w:rPr>
                <w:sz w:val="24"/>
                <w:szCs w:val="24"/>
                <w:lang w:val="lv-LV"/>
              </w:rPr>
              <w:t xml:space="preserve"> ņēmējam - Latvijas Republikai. Tādejādi ņemot vērā, ka Publisko iepirkumu likuma 3.pantā iekļautie līgumi p</w:t>
            </w:r>
            <w:r w:rsidR="00600AD8" w:rsidRPr="00171358">
              <w:rPr>
                <w:sz w:val="24"/>
                <w:szCs w:val="24"/>
                <w:lang w:val="lv-LV"/>
              </w:rPr>
              <w:t>ēc būtības ir pakalpojuma līgumi</w:t>
            </w:r>
            <w:r w:rsidRPr="00171358">
              <w:rPr>
                <w:sz w:val="24"/>
                <w:szCs w:val="24"/>
                <w:lang w:val="lv-LV"/>
              </w:rPr>
              <w:t xml:space="preserve">, </w:t>
            </w:r>
            <w:r w:rsidR="00600AD8" w:rsidRPr="00171358">
              <w:rPr>
                <w:sz w:val="24"/>
                <w:szCs w:val="24"/>
                <w:lang w:val="lv-LV"/>
              </w:rPr>
              <w:t>kuriem piemērojams izņēmums procedūras piemērošanā,  uzskatāms, ka</w:t>
            </w:r>
            <w:r w:rsidR="00F06D68" w:rsidRPr="00171358">
              <w:rPr>
                <w:sz w:val="24"/>
                <w:szCs w:val="24"/>
                <w:lang w:val="lv-LV"/>
              </w:rPr>
              <w:t xml:space="preserve">, līgums ar LGA </w:t>
            </w:r>
            <w:r w:rsidR="00600AD8" w:rsidRPr="00171358">
              <w:rPr>
                <w:sz w:val="24"/>
                <w:szCs w:val="24"/>
                <w:lang w:val="lv-LV"/>
              </w:rPr>
              <w:t>ir</w:t>
            </w:r>
            <w:r w:rsidR="00F06D68" w:rsidRPr="00171358">
              <w:rPr>
                <w:sz w:val="24"/>
                <w:szCs w:val="24"/>
                <w:lang w:val="lv-LV"/>
              </w:rPr>
              <w:t xml:space="preserve"> pakalpojuma līgum</w:t>
            </w:r>
            <w:r w:rsidR="00600AD8" w:rsidRPr="00171358">
              <w:rPr>
                <w:sz w:val="24"/>
                <w:szCs w:val="24"/>
                <w:lang w:val="lv-LV"/>
              </w:rPr>
              <w:t>s</w:t>
            </w:r>
            <w:r w:rsidR="00F06D68" w:rsidRPr="00171358">
              <w:rPr>
                <w:sz w:val="24"/>
                <w:szCs w:val="24"/>
                <w:lang w:val="lv-LV"/>
              </w:rPr>
              <w:t>. Pamatojoties uz augstāk minēto</w:t>
            </w:r>
            <w:r w:rsidR="00D642B6" w:rsidRPr="00171358">
              <w:rPr>
                <w:sz w:val="24"/>
                <w:szCs w:val="24"/>
                <w:lang w:val="lv-LV"/>
              </w:rPr>
              <w:t>,</w:t>
            </w:r>
            <w:r w:rsidR="00F06D68" w:rsidRPr="00171358">
              <w:rPr>
                <w:sz w:val="24"/>
                <w:szCs w:val="24"/>
                <w:lang w:val="lv-LV"/>
              </w:rPr>
              <w:t xml:space="preserve"> Ministru kabineta noteikumu projektā ir norādīts, ka LGA ieguldījuma fonda aktīvus un saistības saņem kā </w:t>
            </w:r>
            <w:r w:rsidR="00F06D68" w:rsidRPr="00340F1F">
              <w:rPr>
                <w:sz w:val="24"/>
                <w:szCs w:val="24"/>
                <w:lang w:val="lv-LV"/>
              </w:rPr>
              <w:t>pārvaldībā nodotus a</w:t>
            </w:r>
            <w:r w:rsidR="00600AD8" w:rsidRPr="00340F1F">
              <w:rPr>
                <w:sz w:val="24"/>
                <w:szCs w:val="24"/>
                <w:lang w:val="lv-LV"/>
              </w:rPr>
              <w:t>ktīvus un saistības ar uzdevumu</w:t>
            </w:r>
            <w:r w:rsidR="00F06D68" w:rsidRPr="00340F1F">
              <w:rPr>
                <w:sz w:val="24"/>
                <w:szCs w:val="24"/>
                <w:lang w:val="lv-LV"/>
              </w:rPr>
              <w:t>.</w:t>
            </w:r>
          </w:p>
          <w:p w:rsidR="00F7318E" w:rsidRPr="00340F1F" w:rsidRDefault="001E195A" w:rsidP="00340F1F">
            <w:pPr>
              <w:spacing w:before="60" w:after="60"/>
              <w:jc w:val="both"/>
              <w:rPr>
                <w:sz w:val="24"/>
                <w:szCs w:val="24"/>
                <w:lang w:val="lv-LV"/>
              </w:rPr>
            </w:pPr>
            <w:r w:rsidRPr="00340F1F">
              <w:rPr>
                <w:sz w:val="24"/>
                <w:szCs w:val="24"/>
                <w:lang w:val="lv-LV"/>
              </w:rPr>
              <w:t xml:space="preserve">LGA </w:t>
            </w:r>
            <w:r w:rsidR="00F7318E" w:rsidRPr="00340F1F">
              <w:rPr>
                <w:sz w:val="24"/>
                <w:szCs w:val="24"/>
                <w:lang w:val="lv-LV"/>
              </w:rPr>
              <w:t>pārņems šād</w:t>
            </w:r>
            <w:r w:rsidR="00CE7B3D" w:rsidRPr="00340F1F">
              <w:rPr>
                <w:sz w:val="24"/>
                <w:szCs w:val="24"/>
                <w:lang w:val="lv-LV"/>
              </w:rPr>
              <w:t>u</w:t>
            </w:r>
            <w:r w:rsidR="00F7318E" w:rsidRPr="00340F1F">
              <w:rPr>
                <w:sz w:val="24"/>
                <w:szCs w:val="24"/>
                <w:lang w:val="lv-LV"/>
              </w:rPr>
              <w:t xml:space="preserve">s ieguldījumu fonda </w:t>
            </w:r>
            <w:r w:rsidR="00CE7B3D" w:rsidRPr="00340F1F">
              <w:rPr>
                <w:sz w:val="24"/>
                <w:szCs w:val="24"/>
                <w:lang w:val="lv-LV"/>
              </w:rPr>
              <w:t xml:space="preserve">aktīvus un </w:t>
            </w:r>
            <w:r w:rsidR="00F7318E" w:rsidRPr="00340F1F">
              <w:rPr>
                <w:sz w:val="24"/>
                <w:szCs w:val="24"/>
                <w:lang w:val="lv-LV"/>
              </w:rPr>
              <w:t>saistības:</w:t>
            </w:r>
          </w:p>
          <w:p w:rsidR="00F7318E" w:rsidRPr="00340F1F" w:rsidRDefault="00C906C0" w:rsidP="00C906C0">
            <w:pPr>
              <w:pStyle w:val="ListParagraph"/>
              <w:numPr>
                <w:ilvl w:val="0"/>
                <w:numId w:val="15"/>
              </w:numPr>
              <w:jc w:val="both"/>
              <w:rPr>
                <w:sz w:val="24"/>
                <w:szCs w:val="24"/>
                <w:lang w:val="lv-LV"/>
              </w:rPr>
            </w:pPr>
            <w:r w:rsidRPr="00340F1F">
              <w:rPr>
                <w:sz w:val="24"/>
                <w:szCs w:val="24"/>
                <w:lang w:val="lv-LV"/>
              </w:rPr>
              <w:t xml:space="preserve">2010.gada 20.janvāra </w:t>
            </w:r>
            <w:r w:rsidR="00BF20DF">
              <w:rPr>
                <w:sz w:val="24"/>
                <w:szCs w:val="24"/>
                <w:lang w:val="lv-LV"/>
              </w:rPr>
              <w:t>l</w:t>
            </w:r>
            <w:r w:rsidR="00BF20DF" w:rsidRPr="00340F1F">
              <w:rPr>
                <w:sz w:val="24"/>
                <w:szCs w:val="24"/>
                <w:lang w:val="lv-LV"/>
              </w:rPr>
              <w:t xml:space="preserve">īgums </w:t>
            </w:r>
            <w:r w:rsidRPr="00340F1F">
              <w:rPr>
                <w:sz w:val="24"/>
                <w:szCs w:val="24"/>
                <w:lang w:val="lv-LV"/>
              </w:rPr>
              <w:t>par ieguldījumiem „</w:t>
            </w:r>
            <w:proofErr w:type="spellStart"/>
            <w:r w:rsidR="00F7318E" w:rsidRPr="00340F1F">
              <w:rPr>
                <w:sz w:val="24"/>
                <w:szCs w:val="24"/>
                <w:lang w:val="lv-LV"/>
              </w:rPr>
              <w:t>BaltCap</w:t>
            </w:r>
            <w:proofErr w:type="spellEnd"/>
            <w:r w:rsidR="00F7318E" w:rsidRPr="00340F1F">
              <w:rPr>
                <w:sz w:val="24"/>
                <w:szCs w:val="24"/>
                <w:lang w:val="lv-LV"/>
              </w:rPr>
              <w:t xml:space="preserve"> Latvia</w:t>
            </w:r>
            <w:r w:rsidRPr="00340F1F">
              <w:rPr>
                <w:sz w:val="24"/>
                <w:szCs w:val="24"/>
                <w:lang w:val="lv-LV"/>
              </w:rPr>
              <w:t>”</w:t>
            </w:r>
            <w:r w:rsidR="00F7318E" w:rsidRPr="00340F1F">
              <w:rPr>
                <w:sz w:val="24"/>
                <w:szCs w:val="24"/>
                <w:lang w:val="lv-LV"/>
              </w:rPr>
              <w:t xml:space="preserve"> </w:t>
            </w:r>
            <w:r w:rsidRPr="00340F1F">
              <w:rPr>
                <w:sz w:val="24"/>
                <w:szCs w:val="24"/>
                <w:lang w:val="lv-LV"/>
              </w:rPr>
              <w:t>riska kapitāla fondā</w:t>
            </w:r>
            <w:r w:rsidR="00F7318E" w:rsidRPr="00340F1F">
              <w:rPr>
                <w:sz w:val="24"/>
                <w:szCs w:val="24"/>
                <w:lang w:val="lv-LV"/>
              </w:rPr>
              <w:t>;</w:t>
            </w:r>
          </w:p>
          <w:p w:rsidR="00F7318E" w:rsidRPr="00340F1F" w:rsidRDefault="00C906C0" w:rsidP="00C906C0">
            <w:pPr>
              <w:pStyle w:val="ListParagraph"/>
              <w:numPr>
                <w:ilvl w:val="0"/>
                <w:numId w:val="15"/>
              </w:numPr>
              <w:jc w:val="both"/>
              <w:rPr>
                <w:sz w:val="24"/>
                <w:szCs w:val="24"/>
                <w:lang w:val="lv-LV"/>
              </w:rPr>
            </w:pPr>
            <w:r w:rsidRPr="00340F1F">
              <w:rPr>
                <w:sz w:val="24"/>
                <w:szCs w:val="24"/>
                <w:lang w:val="lv-LV"/>
              </w:rPr>
              <w:t xml:space="preserve">2010.gada 11.jūnija </w:t>
            </w:r>
            <w:r w:rsidR="00BF20DF">
              <w:rPr>
                <w:sz w:val="24"/>
                <w:szCs w:val="24"/>
                <w:lang w:val="lv-LV"/>
              </w:rPr>
              <w:t>l</w:t>
            </w:r>
            <w:r w:rsidR="00BF20DF" w:rsidRPr="00340F1F">
              <w:rPr>
                <w:sz w:val="24"/>
                <w:szCs w:val="24"/>
                <w:lang w:val="lv-LV"/>
              </w:rPr>
              <w:t xml:space="preserve">īgums </w:t>
            </w:r>
            <w:r w:rsidRPr="00340F1F">
              <w:rPr>
                <w:sz w:val="24"/>
                <w:szCs w:val="24"/>
                <w:lang w:val="lv-LV"/>
              </w:rPr>
              <w:t>par ieguldījumiem „</w:t>
            </w:r>
            <w:proofErr w:type="spellStart"/>
            <w:r w:rsidR="00F7318E" w:rsidRPr="00340F1F">
              <w:rPr>
                <w:sz w:val="24"/>
                <w:szCs w:val="24"/>
                <w:lang w:val="lv-LV"/>
              </w:rPr>
              <w:t>Imprimatur</w:t>
            </w:r>
            <w:proofErr w:type="spellEnd"/>
            <w:r w:rsidR="00F7318E" w:rsidRPr="00340F1F">
              <w:rPr>
                <w:sz w:val="24"/>
                <w:szCs w:val="24"/>
                <w:lang w:val="lv-LV"/>
              </w:rPr>
              <w:t xml:space="preserve"> </w:t>
            </w:r>
            <w:proofErr w:type="spellStart"/>
            <w:r w:rsidR="00F7318E" w:rsidRPr="00340F1F">
              <w:rPr>
                <w:sz w:val="24"/>
                <w:szCs w:val="24"/>
                <w:lang w:val="lv-LV"/>
              </w:rPr>
              <w:t>Capital</w:t>
            </w:r>
            <w:proofErr w:type="spellEnd"/>
            <w:r w:rsidRPr="00340F1F">
              <w:rPr>
                <w:sz w:val="24"/>
                <w:szCs w:val="24"/>
                <w:lang w:val="lv-LV"/>
              </w:rPr>
              <w:t>”</w:t>
            </w:r>
            <w:r w:rsidR="00CE7B3D" w:rsidRPr="00340F1F">
              <w:rPr>
                <w:sz w:val="24"/>
                <w:szCs w:val="24"/>
                <w:lang w:val="lv-LV"/>
              </w:rPr>
              <w:t xml:space="preserve"> sēklas kapitāla fondā</w:t>
            </w:r>
            <w:r w:rsidR="00F7318E" w:rsidRPr="00340F1F">
              <w:rPr>
                <w:sz w:val="24"/>
                <w:szCs w:val="24"/>
                <w:lang w:val="lv-LV"/>
              </w:rPr>
              <w:t>;</w:t>
            </w:r>
          </w:p>
          <w:p w:rsidR="00C906C0" w:rsidRPr="00340F1F" w:rsidRDefault="00C906C0" w:rsidP="00C906C0">
            <w:pPr>
              <w:pStyle w:val="ListParagraph"/>
              <w:numPr>
                <w:ilvl w:val="0"/>
                <w:numId w:val="15"/>
              </w:numPr>
              <w:jc w:val="both"/>
              <w:rPr>
                <w:sz w:val="24"/>
                <w:szCs w:val="24"/>
                <w:lang w:val="lv-LV"/>
              </w:rPr>
            </w:pPr>
            <w:r w:rsidRPr="00340F1F">
              <w:rPr>
                <w:sz w:val="24"/>
                <w:szCs w:val="24"/>
                <w:lang w:val="lv-LV"/>
              </w:rPr>
              <w:t xml:space="preserve">2010.gada 11.jūnija </w:t>
            </w:r>
            <w:r w:rsidR="00BF20DF">
              <w:rPr>
                <w:sz w:val="24"/>
                <w:szCs w:val="24"/>
                <w:lang w:val="lv-LV"/>
              </w:rPr>
              <w:t>l</w:t>
            </w:r>
            <w:r w:rsidRPr="00340F1F">
              <w:rPr>
                <w:sz w:val="24"/>
                <w:szCs w:val="24"/>
                <w:lang w:val="lv-LV"/>
              </w:rPr>
              <w:t>īgums par ieguldījumiem „</w:t>
            </w:r>
            <w:proofErr w:type="spellStart"/>
            <w:r w:rsidRPr="00340F1F">
              <w:rPr>
                <w:sz w:val="24"/>
                <w:szCs w:val="24"/>
                <w:lang w:val="lv-LV"/>
              </w:rPr>
              <w:t>Imprimatur</w:t>
            </w:r>
            <w:proofErr w:type="spellEnd"/>
            <w:r w:rsidRPr="00340F1F">
              <w:rPr>
                <w:sz w:val="24"/>
                <w:szCs w:val="24"/>
                <w:lang w:val="lv-LV"/>
              </w:rPr>
              <w:t xml:space="preserve"> </w:t>
            </w:r>
            <w:proofErr w:type="spellStart"/>
            <w:r w:rsidRPr="00340F1F">
              <w:rPr>
                <w:sz w:val="24"/>
                <w:szCs w:val="24"/>
                <w:lang w:val="lv-LV"/>
              </w:rPr>
              <w:t>Capital</w:t>
            </w:r>
            <w:proofErr w:type="spellEnd"/>
            <w:r w:rsidRPr="00340F1F">
              <w:rPr>
                <w:sz w:val="24"/>
                <w:szCs w:val="24"/>
                <w:lang w:val="lv-LV"/>
              </w:rPr>
              <w:t>”</w:t>
            </w:r>
            <w:r w:rsidR="00CE7B3D" w:rsidRPr="00340F1F">
              <w:rPr>
                <w:sz w:val="24"/>
                <w:szCs w:val="24"/>
                <w:lang w:val="lv-LV"/>
              </w:rPr>
              <w:t xml:space="preserve"> uzsākšanas kapitāla fondā</w:t>
            </w:r>
            <w:r w:rsidRPr="00340F1F">
              <w:rPr>
                <w:sz w:val="24"/>
                <w:szCs w:val="24"/>
                <w:lang w:val="lv-LV"/>
              </w:rPr>
              <w:t>;</w:t>
            </w:r>
          </w:p>
          <w:p w:rsidR="00C906C0" w:rsidRPr="00340F1F" w:rsidRDefault="00C906C0" w:rsidP="00F7318E">
            <w:pPr>
              <w:pStyle w:val="ListParagraph"/>
              <w:numPr>
                <w:ilvl w:val="0"/>
                <w:numId w:val="15"/>
              </w:numPr>
              <w:jc w:val="both"/>
              <w:rPr>
                <w:sz w:val="24"/>
                <w:szCs w:val="24"/>
                <w:lang w:val="lv-LV"/>
              </w:rPr>
            </w:pPr>
            <w:r w:rsidRPr="00340F1F">
              <w:rPr>
                <w:sz w:val="24"/>
                <w:szCs w:val="24"/>
                <w:lang w:val="lv-LV"/>
              </w:rPr>
              <w:t xml:space="preserve">2010.gada 26.marta </w:t>
            </w:r>
            <w:r w:rsidR="00BF20DF">
              <w:rPr>
                <w:sz w:val="24"/>
                <w:szCs w:val="24"/>
                <w:lang w:val="lv-LV"/>
              </w:rPr>
              <w:t>l</w:t>
            </w:r>
            <w:r w:rsidRPr="00340F1F">
              <w:rPr>
                <w:sz w:val="24"/>
                <w:szCs w:val="24"/>
                <w:lang w:val="lv-LV"/>
              </w:rPr>
              <w:t xml:space="preserve">īgums </w:t>
            </w:r>
            <w:r w:rsidR="00CE7B3D" w:rsidRPr="00340F1F">
              <w:rPr>
                <w:sz w:val="24"/>
                <w:szCs w:val="24"/>
                <w:lang w:val="lv-LV"/>
              </w:rPr>
              <w:t xml:space="preserve">ar </w:t>
            </w:r>
            <w:r w:rsidRPr="00340F1F">
              <w:rPr>
                <w:sz w:val="24"/>
                <w:szCs w:val="24"/>
                <w:lang w:val="lv-LV"/>
              </w:rPr>
              <w:t>A/S „SEB banka”</w:t>
            </w:r>
            <w:r w:rsidR="00CE7B3D" w:rsidRPr="00340F1F">
              <w:rPr>
                <w:sz w:val="24"/>
                <w:szCs w:val="24"/>
                <w:lang w:val="lv-LV"/>
              </w:rPr>
              <w:t xml:space="preserve"> par aizdevuma instrumenta ieviešanu</w:t>
            </w:r>
            <w:r w:rsidRPr="00340F1F">
              <w:rPr>
                <w:sz w:val="24"/>
                <w:szCs w:val="24"/>
                <w:lang w:val="lv-LV"/>
              </w:rPr>
              <w:t>;</w:t>
            </w:r>
          </w:p>
          <w:p w:rsidR="00F7318E" w:rsidRPr="00340F1F" w:rsidRDefault="00C906C0" w:rsidP="00F7318E">
            <w:pPr>
              <w:pStyle w:val="ListParagraph"/>
              <w:numPr>
                <w:ilvl w:val="0"/>
                <w:numId w:val="15"/>
              </w:numPr>
              <w:jc w:val="both"/>
              <w:rPr>
                <w:sz w:val="24"/>
                <w:szCs w:val="24"/>
                <w:lang w:val="lv-LV"/>
              </w:rPr>
            </w:pPr>
            <w:r w:rsidRPr="00340F1F">
              <w:rPr>
                <w:sz w:val="24"/>
                <w:szCs w:val="24"/>
                <w:lang w:val="lv-LV"/>
              </w:rPr>
              <w:t xml:space="preserve">2010.gada 26.marta </w:t>
            </w:r>
            <w:r w:rsidR="00BF20DF">
              <w:rPr>
                <w:sz w:val="24"/>
                <w:szCs w:val="24"/>
                <w:lang w:val="lv-LV"/>
              </w:rPr>
              <w:t>l</w:t>
            </w:r>
            <w:r w:rsidRPr="00340F1F">
              <w:rPr>
                <w:sz w:val="24"/>
                <w:szCs w:val="24"/>
                <w:lang w:val="lv-LV"/>
              </w:rPr>
              <w:t xml:space="preserve">īgums </w:t>
            </w:r>
            <w:r w:rsidR="00CE7B3D" w:rsidRPr="00340F1F">
              <w:rPr>
                <w:sz w:val="24"/>
                <w:szCs w:val="24"/>
                <w:lang w:val="lv-LV"/>
              </w:rPr>
              <w:t xml:space="preserve">ar </w:t>
            </w:r>
            <w:r w:rsidRPr="00340F1F">
              <w:rPr>
                <w:sz w:val="24"/>
                <w:szCs w:val="24"/>
                <w:lang w:val="lv-LV"/>
              </w:rPr>
              <w:t>A/S „</w:t>
            </w:r>
            <w:proofErr w:type="spellStart"/>
            <w:r w:rsidRPr="00340F1F">
              <w:rPr>
                <w:sz w:val="24"/>
                <w:szCs w:val="24"/>
                <w:lang w:val="lv-LV"/>
              </w:rPr>
              <w:t>Swedbank</w:t>
            </w:r>
            <w:proofErr w:type="spellEnd"/>
            <w:r w:rsidRPr="00340F1F">
              <w:rPr>
                <w:sz w:val="24"/>
                <w:szCs w:val="24"/>
                <w:lang w:val="lv-LV"/>
              </w:rPr>
              <w:t>”</w:t>
            </w:r>
            <w:r w:rsidR="00CE7B3D" w:rsidRPr="00340F1F">
              <w:rPr>
                <w:sz w:val="24"/>
                <w:szCs w:val="24"/>
                <w:lang w:val="lv-LV"/>
              </w:rPr>
              <w:t xml:space="preserve"> par aizdevuma instrumenta ieviešanu</w:t>
            </w:r>
            <w:r w:rsidRPr="00340F1F">
              <w:rPr>
                <w:sz w:val="24"/>
                <w:szCs w:val="24"/>
                <w:lang w:val="lv-LV"/>
              </w:rPr>
              <w:t>.</w:t>
            </w:r>
          </w:p>
          <w:p w:rsidR="00C906C0" w:rsidRPr="00340F1F" w:rsidRDefault="00C906C0" w:rsidP="00C906C0">
            <w:pPr>
              <w:pStyle w:val="ListParagraph"/>
              <w:numPr>
                <w:ilvl w:val="0"/>
                <w:numId w:val="15"/>
              </w:numPr>
              <w:jc w:val="both"/>
              <w:rPr>
                <w:sz w:val="24"/>
                <w:szCs w:val="24"/>
                <w:lang w:val="lv-LV"/>
              </w:rPr>
            </w:pPr>
            <w:r w:rsidRPr="00340F1F">
              <w:rPr>
                <w:sz w:val="24"/>
                <w:szCs w:val="24"/>
                <w:lang w:val="lv-LV"/>
              </w:rPr>
              <w:t xml:space="preserve">Valsts kasē ieguldītie ieguldījumu fonda līdzekļi </w:t>
            </w:r>
            <w:r w:rsidRPr="00340F1F">
              <w:rPr>
                <w:sz w:val="24"/>
                <w:szCs w:val="24"/>
                <w:lang w:val="lv-LV"/>
              </w:rPr>
              <w:lastRenderedPageBreak/>
              <w:t>saskaņā ar līgumiem, kas noslēgti ar Valsts kasi;</w:t>
            </w:r>
          </w:p>
          <w:p w:rsidR="00C906C0" w:rsidRPr="00340F1F" w:rsidRDefault="00BF20DF" w:rsidP="00C906C0">
            <w:pPr>
              <w:pStyle w:val="ListParagraph"/>
              <w:numPr>
                <w:ilvl w:val="0"/>
                <w:numId w:val="15"/>
              </w:numPr>
              <w:jc w:val="both"/>
              <w:rPr>
                <w:sz w:val="24"/>
                <w:szCs w:val="24"/>
                <w:lang w:val="lv-LV"/>
              </w:rPr>
            </w:pPr>
            <w:r>
              <w:rPr>
                <w:sz w:val="24"/>
                <w:szCs w:val="24"/>
                <w:lang w:val="lv-LV"/>
              </w:rPr>
              <w:t>l</w:t>
            </w:r>
            <w:r w:rsidR="00C906C0" w:rsidRPr="00340F1F">
              <w:rPr>
                <w:sz w:val="24"/>
                <w:szCs w:val="24"/>
                <w:lang w:val="lv-LV"/>
              </w:rPr>
              <w:t>īdzekļi, kas noguldīti Eiropas Investīciju fonda operacionālajā kontā.</w:t>
            </w:r>
          </w:p>
          <w:p w:rsidR="00F7318E" w:rsidRPr="00171358" w:rsidRDefault="00CE7B3D" w:rsidP="00340F1F">
            <w:pPr>
              <w:spacing w:before="60" w:after="60"/>
              <w:jc w:val="both"/>
              <w:rPr>
                <w:sz w:val="24"/>
                <w:szCs w:val="24"/>
                <w:lang w:val="lv-LV"/>
              </w:rPr>
            </w:pPr>
            <w:r w:rsidRPr="00340F1F">
              <w:rPr>
                <w:sz w:val="24"/>
                <w:szCs w:val="24"/>
                <w:lang w:val="lv-LV"/>
              </w:rPr>
              <w:t>Saistību apjoms sīkāk aprakstīts ar MK rīkojumu Nr.399 apstiprinātajā koncepcijā.</w:t>
            </w:r>
          </w:p>
        </w:tc>
      </w:tr>
      <w:tr w:rsidR="00537A29" w:rsidRPr="00171358" w:rsidTr="00365D09">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171358" w:rsidRDefault="00537A29" w:rsidP="00171358">
            <w:pPr>
              <w:rPr>
                <w:rFonts w:eastAsia="Times New Roman"/>
                <w:sz w:val="24"/>
                <w:szCs w:val="24"/>
                <w:lang w:val="lv-LV" w:eastAsia="lv-LV"/>
              </w:rPr>
            </w:pPr>
            <w:r w:rsidRPr="00171358">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171358" w:rsidRDefault="007E5D4D" w:rsidP="00171358">
            <w:pPr>
              <w:jc w:val="both"/>
              <w:rPr>
                <w:color w:val="000000"/>
                <w:sz w:val="24"/>
                <w:szCs w:val="24"/>
                <w:lang w:val="lv-LV"/>
              </w:rPr>
            </w:pPr>
            <w:r w:rsidRPr="00171358">
              <w:rPr>
                <w:color w:val="000000"/>
                <w:sz w:val="24"/>
                <w:szCs w:val="24"/>
                <w:lang w:val="lv-LV"/>
              </w:rPr>
              <w:t>Nav.</w:t>
            </w:r>
          </w:p>
        </w:tc>
      </w:tr>
      <w:tr w:rsidR="00BB09C5" w:rsidRPr="00726275" w:rsidTr="00365D09">
        <w:trPr>
          <w:trHeight w:val="1068"/>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171358" w:rsidRDefault="00537A29" w:rsidP="00171358">
            <w:pPr>
              <w:rPr>
                <w:rFonts w:eastAsia="Times New Roman"/>
                <w:sz w:val="24"/>
                <w:szCs w:val="24"/>
                <w:lang w:val="lv-LV" w:eastAsia="lv-LV"/>
              </w:rPr>
            </w:pPr>
            <w:r w:rsidRPr="00171358">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365D09" w:rsidRPr="00171358" w:rsidRDefault="009B57B0" w:rsidP="00171358">
            <w:pPr>
              <w:pStyle w:val="naisf"/>
              <w:tabs>
                <w:tab w:val="left" w:pos="0"/>
                <w:tab w:val="left" w:pos="284"/>
              </w:tabs>
              <w:spacing w:before="0" w:after="0"/>
              <w:ind w:firstLine="0"/>
            </w:pPr>
            <w:r w:rsidRPr="00171358">
              <w:rPr>
                <w:rStyle w:val="apple-style-span"/>
                <w:color w:val="000000"/>
              </w:rPr>
              <w:t>Noteikumu projekts paredz</w:t>
            </w:r>
            <w:r w:rsidR="00C41085" w:rsidRPr="00171358">
              <w:rPr>
                <w:rStyle w:val="apple-style-span"/>
                <w:color w:val="000000"/>
              </w:rPr>
              <w:t xml:space="preserve"> </w:t>
            </w:r>
            <w:r w:rsidR="00365D09" w:rsidRPr="00171358">
              <w:rPr>
                <w:rStyle w:val="apple-style-span"/>
                <w:color w:val="000000"/>
              </w:rPr>
              <w:t xml:space="preserve">noteikt </w:t>
            </w:r>
            <w:r w:rsidR="00365D09" w:rsidRPr="00171358">
              <w:t xml:space="preserve">kārtību, kādā īsteno </w:t>
            </w:r>
            <w:r w:rsidR="00834368" w:rsidRPr="00171358">
              <w:t>aktivitāti,</w:t>
            </w:r>
            <w:r w:rsidR="00365D09" w:rsidRPr="00171358">
              <w:t xml:space="preserve"> ievieš i</w:t>
            </w:r>
            <w:r w:rsidR="00834368" w:rsidRPr="00171358">
              <w:t>eguldījumu fondu, kā arī nosaka</w:t>
            </w:r>
            <w:r w:rsidR="00365D09" w:rsidRPr="00171358">
              <w:t xml:space="preserve"> ieguldījumu fonda ieviesēju.</w:t>
            </w:r>
          </w:p>
        </w:tc>
      </w:tr>
      <w:tr w:rsidR="00537A29" w:rsidRPr="00171358" w:rsidTr="00365D09">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171358" w:rsidRDefault="00537A29" w:rsidP="00171358">
            <w:pPr>
              <w:rPr>
                <w:rFonts w:eastAsia="Times New Roman"/>
                <w:sz w:val="24"/>
                <w:szCs w:val="24"/>
                <w:lang w:val="lv-LV" w:eastAsia="lv-LV"/>
              </w:rPr>
            </w:pPr>
            <w:r w:rsidRPr="00171358">
              <w:rPr>
                <w:rFonts w:eastAsia="Times New Roman"/>
                <w:sz w:val="24"/>
                <w:szCs w:val="24"/>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171358" w:rsidRDefault="00C82B27" w:rsidP="00171358">
            <w:pPr>
              <w:pStyle w:val="BodyText"/>
              <w:ind w:right="142"/>
              <w:rPr>
                <w:sz w:val="24"/>
                <w:szCs w:val="24"/>
              </w:rPr>
            </w:pPr>
            <w:r w:rsidRPr="00171358">
              <w:rPr>
                <w:sz w:val="24"/>
                <w:szCs w:val="24"/>
              </w:rPr>
              <w:t>Nav.</w:t>
            </w:r>
          </w:p>
        </w:tc>
      </w:tr>
      <w:tr w:rsidR="00AB248D" w:rsidRPr="00171358" w:rsidTr="00365D09">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171358" w:rsidRDefault="00AB248D" w:rsidP="00171358">
            <w:pPr>
              <w:rPr>
                <w:rFonts w:eastAsia="Times New Roman"/>
                <w:sz w:val="24"/>
                <w:szCs w:val="24"/>
                <w:lang w:val="lv-LV" w:eastAsia="lv-LV"/>
              </w:rPr>
            </w:pPr>
            <w:r w:rsidRPr="00171358">
              <w:rPr>
                <w:rFonts w:eastAsia="Times New Roman"/>
                <w:sz w:val="24"/>
                <w:szCs w:val="24"/>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171358" w:rsidRDefault="00E47E61" w:rsidP="00171358">
            <w:pPr>
              <w:pStyle w:val="BodyText"/>
              <w:ind w:right="142"/>
              <w:rPr>
                <w:sz w:val="24"/>
                <w:szCs w:val="24"/>
              </w:rPr>
            </w:pPr>
            <w:r w:rsidRPr="00171358">
              <w:rPr>
                <w:sz w:val="24"/>
                <w:szCs w:val="24"/>
              </w:rPr>
              <w:t>Nav</w:t>
            </w:r>
            <w:r w:rsidR="00C82B27" w:rsidRPr="00171358">
              <w:rPr>
                <w:sz w:val="24"/>
                <w:szCs w:val="24"/>
              </w:rPr>
              <w:t>.</w:t>
            </w:r>
          </w:p>
        </w:tc>
      </w:tr>
      <w:tr w:rsidR="00BB09C5" w:rsidRPr="00171358" w:rsidTr="00365D09">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171358" w:rsidRDefault="00D07CDB" w:rsidP="00171358">
            <w:pPr>
              <w:rPr>
                <w:rFonts w:eastAsia="Times New Roman"/>
                <w:sz w:val="24"/>
                <w:szCs w:val="24"/>
                <w:lang w:val="lv-LV" w:eastAsia="lv-LV"/>
              </w:rPr>
            </w:pPr>
            <w:r w:rsidRPr="00171358">
              <w:rPr>
                <w:rFonts w:eastAsia="Times New Roman"/>
                <w:sz w:val="24"/>
                <w:szCs w:val="24"/>
                <w:lang w:val="lv-LV" w:eastAsia="lv-LV"/>
              </w:rPr>
              <w:t>7</w:t>
            </w:r>
            <w:r w:rsidR="00BB09C5" w:rsidRPr="00171358">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171358" w:rsidRDefault="007E5D4D" w:rsidP="00171358">
            <w:pPr>
              <w:jc w:val="both"/>
              <w:rPr>
                <w:sz w:val="24"/>
                <w:szCs w:val="24"/>
                <w:lang w:val="lv-LV"/>
              </w:rPr>
            </w:pPr>
            <w:r w:rsidRPr="00171358">
              <w:rPr>
                <w:sz w:val="24"/>
                <w:szCs w:val="24"/>
                <w:lang w:val="lv-LV"/>
              </w:rPr>
              <w:t>Nav.</w:t>
            </w:r>
          </w:p>
        </w:tc>
      </w:tr>
    </w:tbl>
    <w:p w:rsidR="004B638C" w:rsidRPr="00171358" w:rsidRDefault="004B638C" w:rsidP="00171358">
      <w:pPr>
        <w:pStyle w:val="NormalWeb"/>
        <w:spacing w:before="0" w:beforeAutospacing="0" w:after="0" w:afterAutospacing="0"/>
        <w:jc w:val="center"/>
        <w:rPr>
          <w:b/>
          <w:lang w:val="lv-LV"/>
        </w:rPr>
      </w:pPr>
    </w:p>
    <w:tbl>
      <w:tblPr>
        <w:tblpPr w:leftFromText="180" w:rightFromText="180" w:vertAnchor="text" w:horzAnchor="margin" w:tblpXSpec="center" w:tblpY="149"/>
        <w:tblW w:w="918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679"/>
        <w:gridCol w:w="3265"/>
        <w:gridCol w:w="5240"/>
      </w:tblGrid>
      <w:tr w:rsidR="00F621F0" w:rsidRPr="00726275" w:rsidTr="00365D09">
        <w:tc>
          <w:tcPr>
            <w:tcW w:w="9184" w:type="dxa"/>
            <w:gridSpan w:val="3"/>
            <w:vAlign w:val="center"/>
          </w:tcPr>
          <w:p w:rsidR="00F621F0" w:rsidRPr="00171358" w:rsidRDefault="00C82B27" w:rsidP="00171358">
            <w:pPr>
              <w:pStyle w:val="naisnod"/>
              <w:spacing w:before="0" w:after="0"/>
            </w:pPr>
            <w:r w:rsidRPr="00171358">
              <w:t>II. Tiesību akta projekta ietekme uz sabiedrību</w:t>
            </w:r>
          </w:p>
        </w:tc>
      </w:tr>
      <w:tr w:rsidR="00F621F0" w:rsidRPr="00726275" w:rsidTr="00365D09">
        <w:trPr>
          <w:trHeight w:val="467"/>
        </w:trPr>
        <w:tc>
          <w:tcPr>
            <w:tcW w:w="679" w:type="dxa"/>
          </w:tcPr>
          <w:p w:rsidR="00F621F0" w:rsidRPr="00171358" w:rsidRDefault="00C82B27" w:rsidP="00171358">
            <w:pPr>
              <w:pStyle w:val="naiskr"/>
              <w:spacing w:before="0" w:after="0"/>
            </w:pPr>
            <w:r w:rsidRPr="00171358">
              <w:t>1.</w:t>
            </w:r>
          </w:p>
        </w:tc>
        <w:tc>
          <w:tcPr>
            <w:tcW w:w="3265" w:type="dxa"/>
          </w:tcPr>
          <w:p w:rsidR="007E5D4D" w:rsidRPr="00171358" w:rsidRDefault="00C82B27" w:rsidP="00171358">
            <w:pPr>
              <w:pStyle w:val="naiskr"/>
              <w:spacing w:before="0" w:after="0"/>
            </w:pPr>
            <w:r w:rsidRPr="00171358">
              <w:t xml:space="preserve">Sabiedrības </w:t>
            </w:r>
            <w:proofErr w:type="spellStart"/>
            <w:r w:rsidRPr="00171358">
              <w:t>mērķgrupa</w:t>
            </w:r>
            <w:proofErr w:type="spellEnd"/>
          </w:p>
        </w:tc>
        <w:tc>
          <w:tcPr>
            <w:tcW w:w="5240" w:type="dxa"/>
          </w:tcPr>
          <w:p w:rsidR="00404E4B" w:rsidRPr="00171358" w:rsidRDefault="002B7F89" w:rsidP="00171358">
            <w:pPr>
              <w:pStyle w:val="naiskr"/>
              <w:spacing w:before="0" w:after="0"/>
              <w:jc w:val="both"/>
              <w:rPr>
                <w:iCs/>
              </w:rPr>
            </w:pPr>
            <w:r w:rsidRPr="00171358">
              <w:rPr>
                <w:iCs/>
              </w:rPr>
              <w:t xml:space="preserve">Tiesību akta projekts neradīs tiešu ietekmi uz sabiedrību. Tiesību akta projekts nosaka, kā ieguldījumu fonda ieviešanu pēc pārņemšanas no </w:t>
            </w:r>
            <w:r w:rsidR="00411D48" w:rsidRPr="00171358">
              <w:rPr>
                <w:iCs/>
              </w:rPr>
              <w:t xml:space="preserve">EIF </w:t>
            </w:r>
            <w:r w:rsidRPr="00171358">
              <w:rPr>
                <w:iCs/>
              </w:rPr>
              <w:t>ieviesīs</w:t>
            </w:r>
            <w:r w:rsidR="00834368" w:rsidRPr="00171358">
              <w:rPr>
                <w:iCs/>
              </w:rPr>
              <w:t xml:space="preserve"> LGA</w:t>
            </w:r>
            <w:r w:rsidRPr="00171358">
              <w:rPr>
                <w:iCs/>
              </w:rPr>
              <w:t xml:space="preserve">. </w:t>
            </w:r>
          </w:p>
        </w:tc>
      </w:tr>
      <w:tr w:rsidR="00F621F0" w:rsidRPr="00171358" w:rsidTr="00365D09">
        <w:trPr>
          <w:trHeight w:val="523"/>
        </w:trPr>
        <w:tc>
          <w:tcPr>
            <w:tcW w:w="679" w:type="dxa"/>
          </w:tcPr>
          <w:p w:rsidR="00F621F0" w:rsidRPr="00171358" w:rsidRDefault="00C82B27" w:rsidP="00171358">
            <w:pPr>
              <w:pStyle w:val="naiskr"/>
              <w:spacing w:before="0" w:after="0"/>
            </w:pPr>
            <w:r w:rsidRPr="00171358">
              <w:t>2.</w:t>
            </w:r>
          </w:p>
        </w:tc>
        <w:tc>
          <w:tcPr>
            <w:tcW w:w="3265" w:type="dxa"/>
          </w:tcPr>
          <w:p w:rsidR="007E5D4D" w:rsidRPr="00171358" w:rsidRDefault="00C82B27" w:rsidP="00171358">
            <w:pPr>
              <w:pStyle w:val="naiskr"/>
              <w:spacing w:before="0" w:after="0"/>
            </w:pPr>
            <w:r w:rsidRPr="00171358">
              <w:t xml:space="preserve">Citas sabiedrības grupas (bez </w:t>
            </w:r>
            <w:proofErr w:type="spellStart"/>
            <w:r w:rsidRPr="00171358">
              <w:t>mērķgrupas</w:t>
            </w:r>
            <w:proofErr w:type="spellEnd"/>
            <w:r w:rsidRPr="00171358">
              <w:t>), kuras tiesiskais regulējums arī ietekmē vai varētu ietekmēt</w:t>
            </w:r>
          </w:p>
        </w:tc>
        <w:tc>
          <w:tcPr>
            <w:tcW w:w="5240" w:type="dxa"/>
          </w:tcPr>
          <w:p w:rsidR="007E5D4D" w:rsidRPr="00171358" w:rsidRDefault="00C82B27" w:rsidP="00171358">
            <w:pPr>
              <w:pStyle w:val="naiskr"/>
              <w:spacing w:before="0" w:after="0"/>
              <w:jc w:val="both"/>
            </w:pPr>
            <w:r w:rsidRPr="00171358">
              <w:t>Nav.</w:t>
            </w:r>
          </w:p>
        </w:tc>
      </w:tr>
      <w:tr w:rsidR="00F621F0" w:rsidRPr="00171358" w:rsidTr="00365D09">
        <w:trPr>
          <w:trHeight w:val="517"/>
        </w:trPr>
        <w:tc>
          <w:tcPr>
            <w:tcW w:w="679" w:type="dxa"/>
          </w:tcPr>
          <w:p w:rsidR="00F621F0" w:rsidRPr="00171358" w:rsidRDefault="00C82B27" w:rsidP="00171358">
            <w:pPr>
              <w:pStyle w:val="naiskr"/>
              <w:spacing w:before="0" w:after="0"/>
            </w:pPr>
            <w:r w:rsidRPr="00171358">
              <w:t>3.</w:t>
            </w:r>
          </w:p>
        </w:tc>
        <w:tc>
          <w:tcPr>
            <w:tcW w:w="3265" w:type="dxa"/>
          </w:tcPr>
          <w:p w:rsidR="007E5D4D" w:rsidRPr="00171358" w:rsidRDefault="00C82B27" w:rsidP="00171358">
            <w:pPr>
              <w:pStyle w:val="naiskr"/>
              <w:spacing w:before="0" w:after="0"/>
            </w:pPr>
            <w:r w:rsidRPr="00171358">
              <w:t>Tiesiskā regulējuma finansiālā ietekme</w:t>
            </w:r>
          </w:p>
        </w:tc>
        <w:tc>
          <w:tcPr>
            <w:tcW w:w="5240" w:type="dxa"/>
          </w:tcPr>
          <w:p w:rsidR="007E5D4D" w:rsidRPr="00171358" w:rsidRDefault="00C82B27" w:rsidP="00171358">
            <w:pPr>
              <w:pStyle w:val="naiskr"/>
              <w:spacing w:before="0" w:after="0"/>
              <w:jc w:val="both"/>
            </w:pPr>
            <w:r w:rsidRPr="00171358">
              <w:t>Noteikumu projekts neparedz izmaiņas kopējā komersantiem pieejamā Eiropas Savienības fondu finansējuma apjomā.</w:t>
            </w:r>
            <w:r w:rsidR="00F24D03" w:rsidRPr="00171358">
              <w:t xml:space="preserve"> </w:t>
            </w:r>
            <w:r w:rsidR="002B7F89" w:rsidRPr="00171358">
              <w:t>Tiesību akta rezultātā samazināsies ieguldījumu fonda ieviešanas izmaksas.</w:t>
            </w:r>
          </w:p>
        </w:tc>
      </w:tr>
      <w:tr w:rsidR="00F621F0" w:rsidRPr="00726275" w:rsidTr="00365D09">
        <w:trPr>
          <w:trHeight w:val="517"/>
        </w:trPr>
        <w:tc>
          <w:tcPr>
            <w:tcW w:w="679" w:type="dxa"/>
          </w:tcPr>
          <w:p w:rsidR="00F621F0" w:rsidRPr="00171358" w:rsidRDefault="00C82B27" w:rsidP="00171358">
            <w:pPr>
              <w:pStyle w:val="naiskr"/>
              <w:spacing w:before="0" w:after="0"/>
            </w:pPr>
            <w:r w:rsidRPr="00171358">
              <w:t>4.</w:t>
            </w:r>
          </w:p>
        </w:tc>
        <w:tc>
          <w:tcPr>
            <w:tcW w:w="3265" w:type="dxa"/>
          </w:tcPr>
          <w:p w:rsidR="007E5D4D" w:rsidRPr="00171358" w:rsidRDefault="00C82B27" w:rsidP="00171358">
            <w:pPr>
              <w:pStyle w:val="naiskr"/>
              <w:spacing w:before="0" w:after="0"/>
            </w:pPr>
            <w:r w:rsidRPr="00171358">
              <w:t>Tiesiskā regulējuma nefinansiālā ietekme</w:t>
            </w:r>
          </w:p>
        </w:tc>
        <w:tc>
          <w:tcPr>
            <w:tcW w:w="5240" w:type="dxa"/>
          </w:tcPr>
          <w:p w:rsidR="007E5D4D" w:rsidRPr="00171358" w:rsidRDefault="00C82B27" w:rsidP="00171358">
            <w:pPr>
              <w:pStyle w:val="naiskr"/>
              <w:spacing w:before="0" w:after="0"/>
              <w:jc w:val="both"/>
              <w:rPr>
                <w:iCs/>
              </w:rPr>
            </w:pPr>
            <w:r w:rsidRPr="00171358">
              <w:rPr>
                <w:iCs/>
              </w:rPr>
              <w:t xml:space="preserve">Noteikumu projekts </w:t>
            </w:r>
            <w:r w:rsidR="002B7F89" w:rsidRPr="00171358">
              <w:rPr>
                <w:iCs/>
              </w:rPr>
              <w:t>noteiks nacionālo finanšu institūciju par ieguldījumu fonda ieviesēju, šādi samazinot ieviešanas izmaksas, attīsto</w:t>
            </w:r>
            <w:r w:rsidR="00E218DC" w:rsidRPr="00171358">
              <w:rPr>
                <w:iCs/>
              </w:rPr>
              <w:t>t</w:t>
            </w:r>
            <w:r w:rsidR="002B7F89" w:rsidRPr="00171358">
              <w:rPr>
                <w:iCs/>
              </w:rPr>
              <w:t xml:space="preserve"> nacionālās institūcijas kapacitāti un paātrinot sadarbību starp ieguldījumu fonda ieviesēju un Ekonomikas ministriju. </w:t>
            </w:r>
          </w:p>
        </w:tc>
      </w:tr>
      <w:tr w:rsidR="00F621F0" w:rsidRPr="00171358" w:rsidTr="00365D09">
        <w:trPr>
          <w:trHeight w:val="531"/>
        </w:trPr>
        <w:tc>
          <w:tcPr>
            <w:tcW w:w="679" w:type="dxa"/>
          </w:tcPr>
          <w:p w:rsidR="00F621F0" w:rsidRPr="00171358" w:rsidRDefault="00C82B27" w:rsidP="00171358">
            <w:pPr>
              <w:pStyle w:val="naiskr"/>
              <w:spacing w:before="0" w:after="0"/>
            </w:pPr>
            <w:r w:rsidRPr="00171358">
              <w:t>5.</w:t>
            </w:r>
          </w:p>
        </w:tc>
        <w:tc>
          <w:tcPr>
            <w:tcW w:w="3265" w:type="dxa"/>
          </w:tcPr>
          <w:p w:rsidR="007E5D4D" w:rsidRPr="00171358" w:rsidRDefault="00C82B27" w:rsidP="00171358">
            <w:pPr>
              <w:pStyle w:val="naiskr"/>
              <w:spacing w:before="0" w:after="0"/>
            </w:pPr>
            <w:r w:rsidRPr="00171358">
              <w:t>Administratīvās procedūras raksturojums</w:t>
            </w:r>
          </w:p>
        </w:tc>
        <w:tc>
          <w:tcPr>
            <w:tcW w:w="5240" w:type="dxa"/>
          </w:tcPr>
          <w:p w:rsidR="007E5D4D" w:rsidRPr="00171358" w:rsidRDefault="00C82B27" w:rsidP="00171358">
            <w:pPr>
              <w:pStyle w:val="naiskr"/>
              <w:spacing w:before="0" w:after="0"/>
            </w:pPr>
            <w:r w:rsidRPr="00171358">
              <w:rPr>
                <w:iCs/>
              </w:rPr>
              <w:t>Nav attiecināms.</w:t>
            </w:r>
          </w:p>
        </w:tc>
      </w:tr>
      <w:tr w:rsidR="00F621F0" w:rsidRPr="00171358" w:rsidTr="00365D09">
        <w:trPr>
          <w:trHeight w:val="357"/>
        </w:trPr>
        <w:tc>
          <w:tcPr>
            <w:tcW w:w="679" w:type="dxa"/>
          </w:tcPr>
          <w:p w:rsidR="00F621F0" w:rsidRPr="00171358" w:rsidRDefault="00C82B27" w:rsidP="00171358">
            <w:pPr>
              <w:pStyle w:val="naiskr"/>
              <w:spacing w:before="0" w:after="0"/>
            </w:pPr>
            <w:r w:rsidRPr="00171358">
              <w:t>6.</w:t>
            </w:r>
          </w:p>
        </w:tc>
        <w:tc>
          <w:tcPr>
            <w:tcW w:w="3265" w:type="dxa"/>
          </w:tcPr>
          <w:p w:rsidR="007E5D4D" w:rsidRPr="00171358" w:rsidRDefault="00C82B27" w:rsidP="00171358">
            <w:pPr>
              <w:pStyle w:val="naiskr"/>
              <w:spacing w:before="0" w:after="0"/>
            </w:pPr>
            <w:r w:rsidRPr="00171358">
              <w:t>Administratīvo izmaksu monetārs novērtējums</w:t>
            </w:r>
          </w:p>
        </w:tc>
        <w:tc>
          <w:tcPr>
            <w:tcW w:w="5240" w:type="dxa"/>
          </w:tcPr>
          <w:p w:rsidR="007E5D4D" w:rsidRPr="00171358" w:rsidRDefault="00C82B27" w:rsidP="00171358">
            <w:pPr>
              <w:pStyle w:val="naiskr"/>
              <w:spacing w:before="0" w:after="0"/>
            </w:pPr>
            <w:r w:rsidRPr="00171358">
              <w:rPr>
                <w:iCs/>
              </w:rPr>
              <w:t>Nav attiecināms.</w:t>
            </w:r>
          </w:p>
        </w:tc>
      </w:tr>
      <w:tr w:rsidR="00F621F0" w:rsidRPr="00171358" w:rsidTr="00365D09">
        <w:trPr>
          <w:trHeight w:val="489"/>
        </w:trPr>
        <w:tc>
          <w:tcPr>
            <w:tcW w:w="679" w:type="dxa"/>
          </w:tcPr>
          <w:p w:rsidR="00F621F0" w:rsidRPr="00171358" w:rsidRDefault="00C82B27" w:rsidP="00171358">
            <w:pPr>
              <w:pStyle w:val="naiskr"/>
              <w:spacing w:before="0" w:after="0"/>
            </w:pPr>
            <w:r w:rsidRPr="00171358">
              <w:t>7.</w:t>
            </w:r>
          </w:p>
        </w:tc>
        <w:tc>
          <w:tcPr>
            <w:tcW w:w="3265" w:type="dxa"/>
          </w:tcPr>
          <w:p w:rsidR="007E5D4D" w:rsidRPr="00171358" w:rsidRDefault="00C82B27" w:rsidP="00171358">
            <w:pPr>
              <w:pStyle w:val="naiskr"/>
              <w:spacing w:before="0" w:after="0"/>
            </w:pPr>
            <w:r w:rsidRPr="00171358">
              <w:t>Cita informācija</w:t>
            </w:r>
          </w:p>
        </w:tc>
        <w:tc>
          <w:tcPr>
            <w:tcW w:w="5240" w:type="dxa"/>
          </w:tcPr>
          <w:p w:rsidR="007E5D4D" w:rsidRPr="00171358" w:rsidRDefault="00C82B27" w:rsidP="00171358">
            <w:pPr>
              <w:pStyle w:val="naiskr"/>
              <w:spacing w:before="0" w:after="0"/>
            </w:pPr>
            <w:r w:rsidRPr="00171358">
              <w:t>Nav.</w:t>
            </w:r>
          </w:p>
        </w:tc>
      </w:tr>
    </w:tbl>
    <w:p w:rsidR="00234A34" w:rsidRPr="00171358" w:rsidRDefault="00234A34" w:rsidP="00171358">
      <w:pPr>
        <w:pStyle w:val="NormalWeb"/>
        <w:spacing w:before="0" w:beforeAutospacing="0" w:after="0" w:afterAutospacing="0"/>
        <w:jc w:val="center"/>
        <w:rPr>
          <w:b/>
          <w:lang w:val="lv-LV"/>
        </w:rPr>
      </w:pPr>
    </w:p>
    <w:p w:rsidR="001874C4" w:rsidRPr="00171358" w:rsidRDefault="00166B88" w:rsidP="00171358">
      <w:pPr>
        <w:pStyle w:val="NormalWeb"/>
        <w:spacing w:before="0" w:beforeAutospacing="0" w:after="0" w:afterAutospacing="0"/>
        <w:jc w:val="center"/>
        <w:rPr>
          <w:b/>
          <w:lang w:val="lv-LV"/>
        </w:rPr>
      </w:pPr>
      <w:r w:rsidRPr="00171358">
        <w:rPr>
          <w:b/>
          <w:lang w:val="lv-LV"/>
        </w:rPr>
        <w:t>Anotācijas III, IV</w:t>
      </w:r>
      <w:r w:rsidR="001874C4" w:rsidRPr="00171358">
        <w:rPr>
          <w:b/>
          <w:lang w:val="lv-LV"/>
        </w:rPr>
        <w:t xml:space="preserve"> sadaļas nav attiecināmas.</w:t>
      </w:r>
    </w:p>
    <w:p w:rsidR="00234A34" w:rsidRPr="00171358" w:rsidRDefault="00234A34" w:rsidP="00171358">
      <w:pPr>
        <w:pStyle w:val="NormalWeb"/>
        <w:spacing w:before="0" w:beforeAutospacing="0" w:after="0" w:afterAutospacing="0"/>
        <w:jc w:val="center"/>
        <w:rPr>
          <w:b/>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A22DC5" w:rsidRPr="00726275" w:rsidTr="00A22DC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b/>
                <w:bCs/>
                <w:sz w:val="24"/>
                <w:szCs w:val="24"/>
                <w:lang w:val="lv-LV" w:eastAsia="lv-LV"/>
              </w:rPr>
              <w:t>V. Tiesību akta projekta atbilstība Latvijas Republikas starptautiskajām saistībām</w:t>
            </w:r>
          </w:p>
        </w:tc>
      </w:tr>
      <w:tr w:rsidR="00A22DC5" w:rsidRPr="00171358" w:rsidTr="00A22DC5">
        <w:tc>
          <w:tcPr>
            <w:tcW w:w="30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1.</w:t>
            </w:r>
          </w:p>
        </w:tc>
        <w:tc>
          <w:tcPr>
            <w:tcW w:w="185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A22DC5" w:rsidRPr="00171358" w:rsidRDefault="007735A0" w:rsidP="00171358">
            <w:pPr>
              <w:jc w:val="both"/>
              <w:rPr>
                <w:sz w:val="24"/>
                <w:szCs w:val="24"/>
                <w:lang w:val="lv-LV"/>
              </w:rPr>
            </w:pPr>
            <w:r w:rsidRPr="00171358">
              <w:rPr>
                <w:sz w:val="24"/>
                <w:szCs w:val="24"/>
                <w:lang w:val="lv-LV"/>
              </w:rPr>
              <w:t>Padomes 2006.gada 11.jūlija Regula (EK) Nr.</w:t>
            </w:r>
            <w:hyperlink r:id="rId17" w:tgtFrame="_blank" w:tooltip="REGULA" w:history="1">
              <w:r w:rsidRPr="00171358">
                <w:rPr>
                  <w:sz w:val="24"/>
                  <w:szCs w:val="24"/>
                  <w:lang w:val="lv-LV"/>
                </w:rPr>
                <w:t>1083/2006</w:t>
              </w:r>
            </w:hyperlink>
            <w:r w:rsidRPr="00171358">
              <w:rPr>
                <w:sz w:val="24"/>
                <w:szCs w:val="24"/>
                <w:lang w:val="lv-LV"/>
              </w:rPr>
              <w:t>, ar ko paredz vispārīgus noteikumus par Eiropas Reģionālās attīstības fondu, Eiropas Sociālo fondu un Kohēzijas fondu un atceļ Regulu (EK) Nr.</w:t>
            </w:r>
            <w:hyperlink r:id="rId18" w:tgtFrame="_blank" w:tooltip="REGULA" w:history="1">
              <w:r w:rsidRPr="00171358">
                <w:rPr>
                  <w:sz w:val="24"/>
                  <w:szCs w:val="24"/>
                  <w:lang w:val="lv-LV"/>
                </w:rPr>
                <w:t>1260/1999</w:t>
              </w:r>
            </w:hyperlink>
            <w:r w:rsidRPr="00171358">
              <w:rPr>
                <w:sz w:val="24"/>
                <w:szCs w:val="24"/>
                <w:lang w:val="lv-LV"/>
              </w:rPr>
              <w:t>.</w:t>
            </w:r>
          </w:p>
          <w:p w:rsidR="007735A0" w:rsidRPr="00171358" w:rsidRDefault="007735A0" w:rsidP="00171358">
            <w:pPr>
              <w:jc w:val="both"/>
              <w:rPr>
                <w:rFonts w:eastAsia="Times New Roman"/>
                <w:sz w:val="24"/>
                <w:szCs w:val="24"/>
                <w:lang w:val="lv-LV" w:eastAsia="lv-LV"/>
              </w:rPr>
            </w:pPr>
            <w:r w:rsidRPr="00171358">
              <w:rPr>
                <w:sz w:val="24"/>
                <w:szCs w:val="24"/>
                <w:lang w:val="lv-LV"/>
              </w:rPr>
              <w:t>Komisijas 2006.gada 8.decembra Regula (EK) Nr.</w:t>
            </w:r>
            <w:hyperlink r:id="rId19" w:tgtFrame="_blank" w:tooltip="REGULA" w:history="1">
              <w:r w:rsidRPr="00171358">
                <w:rPr>
                  <w:sz w:val="24"/>
                  <w:szCs w:val="24"/>
                  <w:lang w:val="lv-LV"/>
                </w:rPr>
                <w:t>1828/2006</w:t>
              </w:r>
            </w:hyperlink>
            <w:r w:rsidRPr="00171358">
              <w:rPr>
                <w:sz w:val="24"/>
                <w:szCs w:val="24"/>
                <w:lang w:val="lv-LV"/>
              </w:rPr>
              <w:t>, kas paredz noteikumus par to, kā īstenot Padomes Regulu (EK) Nr.</w:t>
            </w:r>
            <w:hyperlink r:id="rId20" w:tgtFrame="_blank" w:tooltip="REGULA" w:history="1">
              <w:r w:rsidRPr="00171358">
                <w:rPr>
                  <w:sz w:val="24"/>
                  <w:szCs w:val="24"/>
                  <w:lang w:val="lv-LV"/>
                </w:rPr>
                <w:t>1083/2006</w:t>
              </w:r>
            </w:hyperlink>
            <w:r w:rsidRPr="00171358">
              <w:rPr>
                <w:sz w:val="24"/>
                <w:szCs w:val="24"/>
                <w:lang w:val="lv-LV"/>
              </w:rPr>
              <w:t>, ar ko paredz vispārīgus noteikumus par Eiropas Reģionālās attīstības fondu, Eiropas Sociālo fondu un Kohēzijas fondu, un Eiropas Parlamenta un Padomes Regulu (EK) Nr.</w:t>
            </w:r>
            <w:hyperlink r:id="rId21" w:tgtFrame="_blank" w:tooltip="REGULA" w:history="1">
              <w:r w:rsidRPr="00171358">
                <w:rPr>
                  <w:sz w:val="24"/>
                  <w:szCs w:val="24"/>
                  <w:lang w:val="lv-LV"/>
                </w:rPr>
                <w:t>1080/2006</w:t>
              </w:r>
            </w:hyperlink>
            <w:r w:rsidRPr="00171358">
              <w:rPr>
                <w:sz w:val="24"/>
                <w:szCs w:val="24"/>
                <w:lang w:val="lv-LV"/>
              </w:rPr>
              <w:t xml:space="preserve"> par Eiropas Reģionālās attīstības fondu</w:t>
            </w:r>
            <w:r w:rsidR="0026588C" w:rsidRPr="00171358">
              <w:rPr>
                <w:sz w:val="24"/>
                <w:szCs w:val="24"/>
                <w:lang w:val="lv-LV"/>
              </w:rPr>
              <w:t>.</w:t>
            </w:r>
          </w:p>
        </w:tc>
      </w:tr>
      <w:tr w:rsidR="00A22DC5" w:rsidRPr="00171358" w:rsidTr="00A22DC5">
        <w:tc>
          <w:tcPr>
            <w:tcW w:w="30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2.</w:t>
            </w:r>
          </w:p>
        </w:tc>
        <w:tc>
          <w:tcPr>
            <w:tcW w:w="185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A22DC5" w:rsidRPr="00171358" w:rsidRDefault="00EB200D" w:rsidP="00171358">
            <w:pPr>
              <w:rPr>
                <w:rFonts w:eastAsia="Times New Roman"/>
                <w:sz w:val="24"/>
                <w:szCs w:val="24"/>
                <w:lang w:val="lv-LV" w:eastAsia="lv-LV"/>
              </w:rPr>
            </w:pPr>
            <w:r w:rsidRPr="00171358">
              <w:rPr>
                <w:rFonts w:eastAsia="Times New Roman"/>
                <w:sz w:val="24"/>
                <w:szCs w:val="24"/>
                <w:lang w:val="lv-LV" w:eastAsia="lv-LV"/>
              </w:rPr>
              <w:t>Nav.</w:t>
            </w:r>
          </w:p>
        </w:tc>
      </w:tr>
      <w:tr w:rsidR="00A22DC5" w:rsidRPr="00171358" w:rsidTr="00A22DC5">
        <w:tc>
          <w:tcPr>
            <w:tcW w:w="30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3.</w:t>
            </w:r>
          </w:p>
        </w:tc>
        <w:tc>
          <w:tcPr>
            <w:tcW w:w="185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jc w:val="both"/>
              <w:rPr>
                <w:rFonts w:eastAsia="Times New Roman"/>
                <w:sz w:val="24"/>
                <w:szCs w:val="24"/>
                <w:lang w:val="lv-LV" w:eastAsia="lv-LV"/>
              </w:rPr>
            </w:pPr>
            <w:r w:rsidRPr="00171358">
              <w:rPr>
                <w:rFonts w:eastAsia="Times New Roman"/>
                <w:sz w:val="24"/>
                <w:szCs w:val="24"/>
                <w:lang w:val="lv-LV" w:eastAsia="lv-LV"/>
              </w:rPr>
              <w:t>Nav.</w:t>
            </w:r>
          </w:p>
        </w:tc>
      </w:tr>
    </w:tbl>
    <w:p w:rsidR="00A22DC5" w:rsidRPr="00171358" w:rsidRDefault="00A22DC5" w:rsidP="00171358">
      <w:pPr>
        <w:ind w:firstLine="375"/>
        <w:jc w:val="both"/>
        <w:rPr>
          <w:rFonts w:eastAsia="Times New Roman"/>
          <w:sz w:val="24"/>
          <w:szCs w:val="24"/>
          <w:lang w:val="lv-LV" w:eastAsia="lv-LV"/>
        </w:rPr>
      </w:pPr>
      <w:r w:rsidRPr="00171358">
        <w:rPr>
          <w:rFonts w:eastAsia="Times New Roman"/>
          <w:sz w:val="24"/>
          <w:szCs w:val="24"/>
          <w:lang w:val="lv-LV"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7"/>
        <w:gridCol w:w="2034"/>
        <w:gridCol w:w="2670"/>
        <w:gridCol w:w="2670"/>
      </w:tblGrid>
      <w:tr w:rsidR="00A22DC5" w:rsidRPr="00726275" w:rsidTr="00A22DC5">
        <w:trPr>
          <w:trHeight w:val="510"/>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b/>
                <w:bCs/>
                <w:sz w:val="24"/>
                <w:szCs w:val="24"/>
                <w:lang w:val="lv-LV" w:eastAsia="lv-LV"/>
              </w:rPr>
              <w:t>1.tabula</w:t>
            </w:r>
            <w:r w:rsidRPr="00171358">
              <w:rPr>
                <w:rFonts w:eastAsia="Times New Roman"/>
                <w:b/>
                <w:bCs/>
                <w:sz w:val="24"/>
                <w:szCs w:val="24"/>
                <w:lang w:val="lv-LV" w:eastAsia="lv-LV"/>
              </w:rPr>
              <w:br/>
              <w:t>Tiesību akta projekta atbilstība ES tiesību aktiem</w:t>
            </w:r>
          </w:p>
        </w:tc>
      </w:tr>
      <w:tr w:rsidR="00A22DC5" w:rsidRPr="00171358" w:rsidTr="00294CF0">
        <w:tc>
          <w:tcPr>
            <w:tcW w:w="962"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Attiecīgā ES tiesību akta datums, numurs un nosaukums</w:t>
            </w:r>
          </w:p>
        </w:tc>
        <w:tc>
          <w:tcPr>
            <w:tcW w:w="4038" w:type="pct"/>
            <w:gridSpan w:val="3"/>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rPr>
                <w:rFonts w:eastAsia="Times New Roman"/>
                <w:sz w:val="24"/>
                <w:szCs w:val="24"/>
                <w:lang w:val="lv-LV" w:eastAsia="lv-LV"/>
              </w:rPr>
            </w:pPr>
            <w:r w:rsidRPr="00171358">
              <w:rPr>
                <w:sz w:val="24"/>
                <w:szCs w:val="24"/>
                <w:lang w:val="lv-LV"/>
              </w:rPr>
              <w:t>Padomes 2006.gada 11.jūlija Regula (EK) Nr.</w:t>
            </w:r>
            <w:hyperlink r:id="rId22" w:tgtFrame="_blank" w:tooltip="REGULA" w:history="1">
              <w:r w:rsidRPr="00171358">
                <w:rPr>
                  <w:sz w:val="24"/>
                  <w:szCs w:val="24"/>
                  <w:lang w:val="lv-LV"/>
                </w:rPr>
                <w:t>1083/2006</w:t>
              </w:r>
            </w:hyperlink>
            <w:r w:rsidRPr="00171358">
              <w:rPr>
                <w:sz w:val="24"/>
                <w:szCs w:val="24"/>
                <w:lang w:val="lv-LV"/>
              </w:rPr>
              <w:t>, ar ko paredz vispārīgus noteikumus par Eiropas Reģionālās attīstības fondu, Eiropas Sociālo fondu un Kohēzijas fondu un atceļ Regulu (EK) Nr.</w:t>
            </w:r>
            <w:hyperlink r:id="rId23" w:tgtFrame="_blank" w:tooltip="REGULA" w:history="1">
              <w:r w:rsidRPr="00171358">
                <w:rPr>
                  <w:sz w:val="24"/>
                  <w:szCs w:val="24"/>
                  <w:lang w:val="lv-LV"/>
                </w:rPr>
                <w:t>1260/1999</w:t>
              </w:r>
            </w:hyperlink>
          </w:p>
        </w:tc>
      </w:tr>
      <w:tr w:rsidR="00A22DC5" w:rsidRPr="00171358" w:rsidTr="00294CF0">
        <w:tc>
          <w:tcPr>
            <w:tcW w:w="962"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A</w:t>
            </w:r>
          </w:p>
        </w:tc>
        <w:tc>
          <w:tcPr>
            <w:tcW w:w="1114"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B</w:t>
            </w:r>
          </w:p>
        </w:tc>
        <w:tc>
          <w:tcPr>
            <w:tcW w:w="1462"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C</w:t>
            </w:r>
          </w:p>
        </w:tc>
        <w:tc>
          <w:tcPr>
            <w:tcW w:w="1462"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D</w:t>
            </w:r>
          </w:p>
        </w:tc>
      </w:tr>
      <w:tr w:rsidR="00A137D4" w:rsidRPr="00726275" w:rsidTr="00294CF0">
        <w:tc>
          <w:tcPr>
            <w:tcW w:w="962" w:type="pct"/>
            <w:tcBorders>
              <w:top w:val="outset" w:sz="6" w:space="0" w:color="auto"/>
              <w:left w:val="outset" w:sz="6" w:space="0" w:color="auto"/>
              <w:bottom w:val="outset" w:sz="6" w:space="0" w:color="auto"/>
              <w:right w:val="outset" w:sz="6" w:space="0" w:color="auto"/>
            </w:tcBorders>
            <w:hideMark/>
          </w:tcPr>
          <w:p w:rsidR="00A137D4" w:rsidRPr="00171358" w:rsidRDefault="00A137D4" w:rsidP="00171358">
            <w:pPr>
              <w:rPr>
                <w:rFonts w:eastAsia="Times New Roman"/>
                <w:sz w:val="24"/>
                <w:szCs w:val="24"/>
                <w:lang w:val="lv-LV" w:eastAsia="lv-LV"/>
              </w:rPr>
            </w:pPr>
            <w:r w:rsidRPr="00171358">
              <w:rPr>
                <w:rFonts w:eastAsia="Times New Roman"/>
                <w:sz w:val="24"/>
                <w:szCs w:val="24"/>
                <w:lang w:val="lv-LV" w:eastAsia="lv-LV"/>
              </w:rPr>
              <w:t>Attiecīgā ES tiesību akta panta numurs (uzskaitot katru tiesību akta vienību – pantu, daļu, punktu, apakšpunktu)</w:t>
            </w:r>
          </w:p>
        </w:tc>
        <w:tc>
          <w:tcPr>
            <w:tcW w:w="1114" w:type="pct"/>
            <w:tcBorders>
              <w:top w:val="outset" w:sz="6" w:space="0" w:color="auto"/>
              <w:left w:val="outset" w:sz="6" w:space="0" w:color="auto"/>
              <w:bottom w:val="outset" w:sz="6" w:space="0" w:color="auto"/>
              <w:right w:val="outset" w:sz="6" w:space="0" w:color="auto"/>
            </w:tcBorders>
            <w:hideMark/>
          </w:tcPr>
          <w:p w:rsidR="00A137D4" w:rsidRPr="00171358" w:rsidRDefault="00A137D4" w:rsidP="00171358">
            <w:pPr>
              <w:rPr>
                <w:rFonts w:eastAsia="Times New Roman"/>
                <w:sz w:val="24"/>
                <w:szCs w:val="24"/>
                <w:lang w:val="lv-LV" w:eastAsia="lv-LV"/>
              </w:rPr>
            </w:pPr>
            <w:r w:rsidRPr="00171358">
              <w:rPr>
                <w:rFonts w:eastAsia="Times New Roman"/>
                <w:sz w:val="24"/>
                <w:szCs w:val="24"/>
                <w:lang w:val="lv-LV" w:eastAsia="lv-LV"/>
              </w:rPr>
              <w:t>Projekta vienība, kas pārņem vai ievieš katru šīs tabulas A ailē minēto ES tiesību akta vienību, vai tiesību akts, kur attiecīgā ES tiesību akta vienība pārņemta vai ieviesta</w:t>
            </w:r>
          </w:p>
        </w:tc>
        <w:tc>
          <w:tcPr>
            <w:tcW w:w="1462" w:type="pct"/>
            <w:tcBorders>
              <w:top w:val="outset" w:sz="6" w:space="0" w:color="auto"/>
              <w:left w:val="outset" w:sz="6" w:space="0" w:color="auto"/>
              <w:bottom w:val="outset" w:sz="6" w:space="0" w:color="auto"/>
              <w:right w:val="outset" w:sz="6" w:space="0" w:color="auto"/>
            </w:tcBorders>
            <w:hideMark/>
          </w:tcPr>
          <w:p w:rsidR="00A137D4" w:rsidRPr="00171358" w:rsidRDefault="00A137D4" w:rsidP="00171358">
            <w:pPr>
              <w:rPr>
                <w:sz w:val="24"/>
                <w:szCs w:val="24"/>
                <w:lang w:val="lv-LV"/>
              </w:rPr>
            </w:pPr>
            <w:r w:rsidRPr="00171358">
              <w:rPr>
                <w:sz w:val="24"/>
                <w:szCs w:val="24"/>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462" w:type="pct"/>
            <w:tcBorders>
              <w:top w:val="outset" w:sz="6" w:space="0" w:color="auto"/>
              <w:left w:val="outset" w:sz="6" w:space="0" w:color="auto"/>
              <w:bottom w:val="outset" w:sz="6" w:space="0" w:color="auto"/>
              <w:right w:val="outset" w:sz="6" w:space="0" w:color="auto"/>
            </w:tcBorders>
            <w:hideMark/>
          </w:tcPr>
          <w:p w:rsidR="00A137D4" w:rsidRPr="00171358" w:rsidRDefault="00A137D4" w:rsidP="00171358">
            <w:pPr>
              <w:rPr>
                <w:sz w:val="24"/>
                <w:szCs w:val="24"/>
                <w:lang w:val="lv-LV"/>
              </w:rPr>
            </w:pPr>
            <w:r w:rsidRPr="00171358">
              <w:rPr>
                <w:sz w:val="24"/>
                <w:szCs w:val="24"/>
                <w:lang w:val="lv-LV"/>
              </w:rPr>
              <w:t xml:space="preserve">Informācija par to, vai starptautiskās saistības, kas minētas šīs tabulas A ailē, tiek izpildītas pilnībā vai daļēji. </w:t>
            </w:r>
          </w:p>
        </w:tc>
      </w:tr>
      <w:tr w:rsidR="00E62444" w:rsidRPr="00726275" w:rsidTr="00294CF0">
        <w:tc>
          <w:tcPr>
            <w:tcW w:w="962" w:type="pct"/>
            <w:tcBorders>
              <w:top w:val="outset" w:sz="6" w:space="0" w:color="auto"/>
              <w:left w:val="outset" w:sz="6" w:space="0" w:color="auto"/>
              <w:bottom w:val="outset" w:sz="6" w:space="0" w:color="auto"/>
              <w:right w:val="outset" w:sz="6" w:space="0" w:color="auto"/>
            </w:tcBorders>
            <w:hideMark/>
          </w:tcPr>
          <w:p w:rsidR="00E62444" w:rsidRPr="00171358" w:rsidRDefault="00C51929" w:rsidP="00171358">
            <w:pPr>
              <w:rPr>
                <w:rFonts w:eastAsia="Times New Roman"/>
                <w:sz w:val="24"/>
                <w:szCs w:val="24"/>
                <w:lang w:val="lv-LV" w:eastAsia="lv-LV"/>
              </w:rPr>
            </w:pPr>
            <w:r w:rsidRPr="00171358">
              <w:rPr>
                <w:sz w:val="24"/>
                <w:szCs w:val="24"/>
                <w:lang w:val="lv-LV"/>
              </w:rPr>
              <w:t>44.panta a) apakšpunkts</w:t>
            </w:r>
          </w:p>
        </w:tc>
        <w:tc>
          <w:tcPr>
            <w:tcW w:w="1114" w:type="pct"/>
            <w:tcBorders>
              <w:top w:val="outset" w:sz="6" w:space="0" w:color="auto"/>
              <w:left w:val="outset" w:sz="6" w:space="0" w:color="auto"/>
              <w:bottom w:val="outset" w:sz="6" w:space="0" w:color="auto"/>
              <w:right w:val="outset" w:sz="6" w:space="0" w:color="auto"/>
            </w:tcBorders>
            <w:hideMark/>
          </w:tcPr>
          <w:p w:rsidR="00E62444" w:rsidRPr="00171358" w:rsidRDefault="00946BE9" w:rsidP="00171358">
            <w:pPr>
              <w:rPr>
                <w:rFonts w:eastAsia="Times New Roman"/>
                <w:sz w:val="24"/>
                <w:szCs w:val="24"/>
                <w:lang w:val="lv-LV" w:eastAsia="lv-LV"/>
              </w:rPr>
            </w:pPr>
            <w:r w:rsidRPr="00171358">
              <w:rPr>
                <w:rFonts w:eastAsia="Times New Roman"/>
                <w:sz w:val="24"/>
                <w:szCs w:val="24"/>
                <w:lang w:val="lv-LV" w:eastAsia="lv-LV"/>
              </w:rPr>
              <w:t>29</w:t>
            </w:r>
            <w:r w:rsidR="00467A4C" w:rsidRPr="00171358">
              <w:rPr>
                <w:rFonts w:eastAsia="Times New Roman"/>
                <w:sz w:val="24"/>
                <w:szCs w:val="24"/>
                <w:lang w:val="lv-LV" w:eastAsia="lv-LV"/>
              </w:rPr>
              <w:t>.1.apakšpunkts</w:t>
            </w:r>
          </w:p>
        </w:tc>
        <w:tc>
          <w:tcPr>
            <w:tcW w:w="1462" w:type="pct"/>
            <w:tcBorders>
              <w:top w:val="outset" w:sz="6" w:space="0" w:color="auto"/>
              <w:left w:val="outset" w:sz="6" w:space="0" w:color="auto"/>
              <w:bottom w:val="outset" w:sz="6" w:space="0" w:color="auto"/>
              <w:right w:val="outset" w:sz="6" w:space="0" w:color="auto"/>
            </w:tcBorders>
            <w:hideMark/>
          </w:tcPr>
          <w:p w:rsidR="00E62444" w:rsidRPr="00171358" w:rsidRDefault="00E62444"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E62444"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FB5313" w:rsidRPr="00726275"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FB5313" w:rsidRPr="00171358" w:rsidRDefault="00FB5313" w:rsidP="00171358">
            <w:pPr>
              <w:rPr>
                <w:sz w:val="24"/>
                <w:szCs w:val="24"/>
                <w:lang w:val="lv-LV"/>
              </w:rPr>
            </w:pPr>
            <w:r w:rsidRPr="00171358">
              <w:rPr>
                <w:sz w:val="24"/>
                <w:szCs w:val="24"/>
                <w:lang w:val="lv-LV"/>
              </w:rPr>
              <w:t>44.pants</w:t>
            </w:r>
          </w:p>
        </w:tc>
        <w:tc>
          <w:tcPr>
            <w:tcW w:w="1114" w:type="pct"/>
            <w:tcBorders>
              <w:top w:val="outset" w:sz="6" w:space="0" w:color="auto"/>
              <w:left w:val="outset" w:sz="6" w:space="0" w:color="auto"/>
              <w:bottom w:val="outset" w:sz="6" w:space="0" w:color="auto"/>
              <w:right w:val="outset" w:sz="6" w:space="0" w:color="auto"/>
            </w:tcBorders>
            <w:hideMark/>
          </w:tcPr>
          <w:p w:rsidR="00FB5313" w:rsidRPr="00171358" w:rsidRDefault="00946BE9" w:rsidP="00171358">
            <w:pPr>
              <w:rPr>
                <w:rFonts w:eastAsia="Times New Roman"/>
                <w:sz w:val="24"/>
                <w:szCs w:val="24"/>
                <w:lang w:val="lv-LV" w:eastAsia="lv-LV"/>
              </w:rPr>
            </w:pPr>
            <w:r w:rsidRPr="00171358">
              <w:rPr>
                <w:rFonts w:eastAsia="Times New Roman"/>
                <w:sz w:val="24"/>
                <w:szCs w:val="24"/>
                <w:lang w:val="lv-LV" w:eastAsia="lv-LV"/>
              </w:rPr>
              <w:t>34</w:t>
            </w:r>
            <w:r w:rsidR="00FB5313" w:rsidRPr="00171358">
              <w:rPr>
                <w:rFonts w:eastAsia="Times New Roman"/>
                <w:sz w:val="24"/>
                <w:szCs w:val="24"/>
                <w:lang w:val="lv-LV" w:eastAsia="lv-LV"/>
              </w:rPr>
              <w:t>.punkts</w:t>
            </w:r>
          </w:p>
        </w:tc>
        <w:tc>
          <w:tcPr>
            <w:tcW w:w="1462" w:type="pct"/>
            <w:tcBorders>
              <w:top w:val="outset" w:sz="6" w:space="0" w:color="auto"/>
              <w:left w:val="outset" w:sz="6" w:space="0" w:color="auto"/>
              <w:bottom w:val="outset" w:sz="6" w:space="0" w:color="auto"/>
              <w:right w:val="outset" w:sz="6" w:space="0" w:color="auto"/>
            </w:tcBorders>
            <w:hideMark/>
          </w:tcPr>
          <w:p w:rsidR="00FB5313" w:rsidRPr="00171358" w:rsidRDefault="00FB5313"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FB5313"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12412D" w:rsidRPr="00171358"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12412D" w:rsidRPr="00171358" w:rsidRDefault="0012412D" w:rsidP="00171358">
            <w:pPr>
              <w:rPr>
                <w:sz w:val="24"/>
                <w:szCs w:val="24"/>
                <w:lang w:val="lv-LV"/>
              </w:rPr>
            </w:pPr>
            <w:r w:rsidRPr="00171358">
              <w:rPr>
                <w:rFonts w:eastAsia="Times New Roman"/>
                <w:sz w:val="24"/>
                <w:szCs w:val="24"/>
                <w:lang w:val="lv-LV" w:eastAsia="lv-LV"/>
              </w:rPr>
              <w:t xml:space="preserve">Attiecīgā ES tiesību akta </w:t>
            </w:r>
            <w:r w:rsidRPr="00171358">
              <w:rPr>
                <w:rFonts w:eastAsia="Times New Roman"/>
                <w:sz w:val="24"/>
                <w:szCs w:val="24"/>
                <w:lang w:val="lv-LV" w:eastAsia="lv-LV"/>
              </w:rPr>
              <w:lastRenderedPageBreak/>
              <w:t>datums, numurs un nosaukums</w:t>
            </w:r>
          </w:p>
        </w:tc>
        <w:tc>
          <w:tcPr>
            <w:tcW w:w="4038" w:type="pct"/>
            <w:gridSpan w:val="3"/>
            <w:tcBorders>
              <w:top w:val="outset" w:sz="6" w:space="0" w:color="auto"/>
              <w:left w:val="outset" w:sz="6" w:space="0" w:color="auto"/>
              <w:bottom w:val="outset" w:sz="6" w:space="0" w:color="auto"/>
              <w:right w:val="outset" w:sz="6" w:space="0" w:color="auto"/>
            </w:tcBorders>
            <w:hideMark/>
          </w:tcPr>
          <w:p w:rsidR="0012412D" w:rsidRPr="00171358" w:rsidRDefault="0012412D" w:rsidP="00171358">
            <w:pPr>
              <w:rPr>
                <w:rFonts w:eastAsia="Times New Roman"/>
                <w:sz w:val="24"/>
                <w:szCs w:val="24"/>
                <w:lang w:val="lv-LV" w:eastAsia="lv-LV"/>
              </w:rPr>
            </w:pPr>
            <w:r w:rsidRPr="00171358">
              <w:rPr>
                <w:sz w:val="24"/>
                <w:szCs w:val="24"/>
                <w:lang w:val="lv-LV"/>
              </w:rPr>
              <w:lastRenderedPageBreak/>
              <w:t>Komisijas 2006.gada 8.decembra Regulas (EK) Nr.</w:t>
            </w:r>
            <w:hyperlink r:id="rId24" w:tgtFrame="_blank" w:tooltip="REGULA" w:history="1">
              <w:r w:rsidRPr="00171358">
                <w:rPr>
                  <w:sz w:val="24"/>
                  <w:szCs w:val="24"/>
                  <w:lang w:val="lv-LV"/>
                </w:rPr>
                <w:t>1828/2006</w:t>
              </w:r>
            </w:hyperlink>
            <w:r w:rsidRPr="00171358">
              <w:rPr>
                <w:sz w:val="24"/>
                <w:szCs w:val="24"/>
                <w:lang w:val="lv-LV"/>
              </w:rPr>
              <w:t>, kas paredz noteikumus par to, kā īstenot Padomes Regulu (EK) Nr.</w:t>
            </w:r>
            <w:hyperlink r:id="rId25" w:tgtFrame="_blank" w:tooltip="REGULA" w:history="1">
              <w:r w:rsidRPr="00171358">
                <w:rPr>
                  <w:sz w:val="24"/>
                  <w:szCs w:val="24"/>
                  <w:lang w:val="lv-LV"/>
                </w:rPr>
                <w:t>1083/2006</w:t>
              </w:r>
            </w:hyperlink>
            <w:r w:rsidRPr="00171358">
              <w:rPr>
                <w:sz w:val="24"/>
                <w:szCs w:val="24"/>
                <w:lang w:val="lv-LV"/>
              </w:rPr>
              <w:t xml:space="preserve">, ar ko </w:t>
            </w:r>
            <w:r w:rsidRPr="00171358">
              <w:rPr>
                <w:sz w:val="24"/>
                <w:szCs w:val="24"/>
                <w:lang w:val="lv-LV"/>
              </w:rPr>
              <w:lastRenderedPageBreak/>
              <w:t>paredz vispārīgus noteikumus par Eiropas Reģionālās attīstības fondu, Eiropas Sociālo fondu un Kohēzijas fondu, un Eiropas Parlamenta un Padomes Regulu (EK) Nr.</w:t>
            </w:r>
            <w:hyperlink r:id="rId26" w:tgtFrame="_blank" w:tooltip="REGULA" w:history="1">
              <w:r w:rsidRPr="00171358">
                <w:rPr>
                  <w:sz w:val="24"/>
                  <w:szCs w:val="24"/>
                  <w:lang w:val="lv-LV"/>
                </w:rPr>
                <w:t>1080/2006</w:t>
              </w:r>
            </w:hyperlink>
            <w:r w:rsidRPr="00171358">
              <w:rPr>
                <w:sz w:val="24"/>
                <w:szCs w:val="24"/>
                <w:lang w:val="lv-LV"/>
              </w:rPr>
              <w:t xml:space="preserve"> par Eiropas Reģionālās attīstības fond</w:t>
            </w:r>
            <w:r w:rsidR="00A175D1" w:rsidRPr="00171358">
              <w:rPr>
                <w:sz w:val="24"/>
                <w:szCs w:val="24"/>
                <w:lang w:val="lv-LV"/>
              </w:rPr>
              <w:t>u</w:t>
            </w:r>
          </w:p>
        </w:tc>
      </w:tr>
      <w:tr w:rsidR="0012412D" w:rsidRPr="00726275"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12412D" w:rsidRPr="00171358" w:rsidRDefault="00E731A1" w:rsidP="00171358">
            <w:pPr>
              <w:rPr>
                <w:sz w:val="24"/>
                <w:szCs w:val="24"/>
                <w:lang w:val="lv-LV"/>
              </w:rPr>
            </w:pPr>
            <w:r w:rsidRPr="00171358">
              <w:rPr>
                <w:sz w:val="24"/>
                <w:szCs w:val="24"/>
                <w:lang w:val="lv-LV"/>
              </w:rPr>
              <w:lastRenderedPageBreak/>
              <w:t>43.panta 2.punkts</w:t>
            </w:r>
          </w:p>
        </w:tc>
        <w:tc>
          <w:tcPr>
            <w:tcW w:w="1114" w:type="pct"/>
            <w:tcBorders>
              <w:top w:val="outset" w:sz="6" w:space="0" w:color="auto"/>
              <w:left w:val="outset" w:sz="6" w:space="0" w:color="auto"/>
              <w:bottom w:val="outset" w:sz="6" w:space="0" w:color="auto"/>
              <w:right w:val="outset" w:sz="6" w:space="0" w:color="auto"/>
            </w:tcBorders>
            <w:hideMark/>
          </w:tcPr>
          <w:p w:rsidR="0012412D" w:rsidRPr="00171358" w:rsidRDefault="00E731A1" w:rsidP="00171358">
            <w:pPr>
              <w:rPr>
                <w:rFonts w:eastAsia="Times New Roman"/>
                <w:sz w:val="24"/>
                <w:szCs w:val="24"/>
                <w:lang w:val="lv-LV" w:eastAsia="lv-LV"/>
              </w:rPr>
            </w:pPr>
            <w:r w:rsidRPr="00171358">
              <w:rPr>
                <w:rFonts w:eastAsia="Times New Roman"/>
                <w:sz w:val="24"/>
                <w:szCs w:val="24"/>
                <w:lang w:val="lv-LV" w:eastAsia="lv-LV"/>
              </w:rPr>
              <w:t>10.punkts</w:t>
            </w:r>
          </w:p>
        </w:tc>
        <w:tc>
          <w:tcPr>
            <w:tcW w:w="1462" w:type="pct"/>
            <w:tcBorders>
              <w:top w:val="outset" w:sz="6" w:space="0" w:color="auto"/>
              <w:left w:val="outset" w:sz="6" w:space="0" w:color="auto"/>
              <w:bottom w:val="outset" w:sz="6" w:space="0" w:color="auto"/>
              <w:right w:val="outset" w:sz="6" w:space="0" w:color="auto"/>
            </w:tcBorders>
            <w:hideMark/>
          </w:tcPr>
          <w:p w:rsidR="0012412D" w:rsidRPr="00171358" w:rsidRDefault="0012412D"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12412D"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7924ED" w:rsidRPr="00726275"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sz w:val="24"/>
                <w:szCs w:val="24"/>
                <w:lang w:val="lv-LV"/>
              </w:rPr>
            </w:pPr>
            <w:r w:rsidRPr="00171358">
              <w:rPr>
                <w:sz w:val="24"/>
                <w:szCs w:val="24"/>
                <w:lang w:val="lv-LV"/>
              </w:rPr>
              <w:t>43.panta 3.punkts</w:t>
            </w:r>
          </w:p>
        </w:tc>
        <w:tc>
          <w:tcPr>
            <w:tcW w:w="1114" w:type="pct"/>
            <w:tcBorders>
              <w:top w:val="outset" w:sz="6" w:space="0" w:color="auto"/>
              <w:left w:val="outset" w:sz="6" w:space="0" w:color="auto"/>
              <w:bottom w:val="outset" w:sz="6" w:space="0" w:color="auto"/>
              <w:right w:val="outset" w:sz="6" w:space="0" w:color="auto"/>
            </w:tcBorders>
            <w:hideMark/>
          </w:tcPr>
          <w:p w:rsidR="00294CF0" w:rsidRDefault="00294CF0" w:rsidP="00171358">
            <w:pPr>
              <w:rPr>
                <w:rFonts w:eastAsia="Times New Roman"/>
                <w:sz w:val="24"/>
                <w:szCs w:val="24"/>
                <w:lang w:val="lv-LV" w:eastAsia="lv-LV"/>
              </w:rPr>
            </w:pPr>
            <w:r>
              <w:rPr>
                <w:rFonts w:eastAsia="Times New Roman"/>
                <w:sz w:val="24"/>
                <w:szCs w:val="24"/>
                <w:lang w:val="lv-LV" w:eastAsia="lv-LV"/>
              </w:rPr>
              <w:t>22</w:t>
            </w:r>
            <w:r w:rsidRPr="00171358">
              <w:rPr>
                <w:rFonts w:eastAsia="Times New Roman"/>
                <w:sz w:val="24"/>
                <w:szCs w:val="24"/>
                <w:lang w:val="lv-LV" w:eastAsia="lv-LV"/>
              </w:rPr>
              <w:t>.punkts</w:t>
            </w:r>
          </w:p>
          <w:p w:rsidR="007924ED" w:rsidRPr="00171358" w:rsidRDefault="00116305" w:rsidP="00171358">
            <w:pPr>
              <w:rPr>
                <w:rFonts w:eastAsia="Times New Roman"/>
                <w:sz w:val="24"/>
                <w:szCs w:val="24"/>
                <w:lang w:val="lv-LV" w:eastAsia="lv-LV"/>
              </w:rPr>
            </w:pPr>
            <w:r>
              <w:rPr>
                <w:rFonts w:eastAsia="Times New Roman"/>
                <w:sz w:val="24"/>
                <w:szCs w:val="24"/>
                <w:lang w:val="lv-LV" w:eastAsia="lv-LV"/>
              </w:rPr>
              <w:t>23</w:t>
            </w:r>
            <w:r w:rsidR="007924ED" w:rsidRPr="00171358">
              <w:rPr>
                <w:rFonts w:eastAsia="Times New Roman"/>
                <w:sz w:val="24"/>
                <w:szCs w:val="24"/>
                <w:lang w:val="lv-LV" w:eastAsia="lv-LV"/>
              </w:rPr>
              <w:t>.punkts</w:t>
            </w:r>
          </w:p>
        </w:tc>
        <w:tc>
          <w:tcPr>
            <w:tcW w:w="14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7924ED" w:rsidRPr="00726275"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sz w:val="24"/>
                <w:szCs w:val="24"/>
                <w:lang w:val="lv-LV"/>
              </w:rPr>
            </w:pPr>
            <w:r w:rsidRPr="00171358">
              <w:rPr>
                <w:sz w:val="24"/>
                <w:szCs w:val="24"/>
                <w:lang w:val="lv-LV"/>
              </w:rPr>
              <w:t>43.panta 4.punkts</w:t>
            </w:r>
          </w:p>
        </w:tc>
        <w:tc>
          <w:tcPr>
            <w:tcW w:w="1114" w:type="pct"/>
            <w:tcBorders>
              <w:top w:val="outset" w:sz="6" w:space="0" w:color="auto"/>
              <w:left w:val="outset" w:sz="6" w:space="0" w:color="auto"/>
              <w:bottom w:val="outset" w:sz="6" w:space="0" w:color="auto"/>
              <w:right w:val="outset" w:sz="6" w:space="0" w:color="auto"/>
            </w:tcBorders>
            <w:hideMark/>
          </w:tcPr>
          <w:p w:rsidR="007924ED" w:rsidRPr="00171358" w:rsidRDefault="00294CF0" w:rsidP="00294CF0">
            <w:pPr>
              <w:rPr>
                <w:rFonts w:eastAsia="Times New Roman"/>
                <w:sz w:val="24"/>
                <w:szCs w:val="24"/>
                <w:lang w:val="lv-LV" w:eastAsia="lv-LV"/>
              </w:rPr>
            </w:pPr>
            <w:r>
              <w:rPr>
                <w:rFonts w:eastAsia="Times New Roman"/>
                <w:sz w:val="24"/>
                <w:szCs w:val="24"/>
                <w:lang w:val="lv-LV" w:eastAsia="lv-LV"/>
              </w:rPr>
              <w:t>16</w:t>
            </w:r>
            <w:r w:rsidR="007924ED" w:rsidRPr="00171358">
              <w:rPr>
                <w:rFonts w:eastAsia="Times New Roman"/>
                <w:sz w:val="24"/>
                <w:szCs w:val="24"/>
                <w:lang w:val="lv-LV" w:eastAsia="lv-LV"/>
              </w:rPr>
              <w:t xml:space="preserve">.2.apakšpunkts; </w:t>
            </w:r>
            <w:r>
              <w:rPr>
                <w:rFonts w:eastAsia="Times New Roman"/>
                <w:sz w:val="24"/>
                <w:szCs w:val="24"/>
                <w:lang w:val="lv-LV" w:eastAsia="lv-LV"/>
              </w:rPr>
              <w:t>17</w:t>
            </w:r>
            <w:r w:rsidR="007924ED" w:rsidRPr="00171358">
              <w:rPr>
                <w:rFonts w:eastAsia="Times New Roman"/>
                <w:sz w:val="24"/>
                <w:szCs w:val="24"/>
                <w:lang w:val="lv-LV" w:eastAsia="lv-LV"/>
              </w:rPr>
              <w:t xml:space="preserve">.punkts; </w:t>
            </w:r>
            <w:r>
              <w:rPr>
                <w:rFonts w:eastAsia="Times New Roman"/>
                <w:sz w:val="24"/>
                <w:szCs w:val="24"/>
                <w:lang w:val="lv-LV" w:eastAsia="lv-LV"/>
              </w:rPr>
              <w:t>23</w:t>
            </w:r>
            <w:r w:rsidR="007924ED" w:rsidRPr="00171358">
              <w:rPr>
                <w:rFonts w:eastAsia="Times New Roman"/>
                <w:sz w:val="24"/>
                <w:szCs w:val="24"/>
                <w:lang w:val="lv-LV" w:eastAsia="lv-LV"/>
              </w:rPr>
              <w:t>.</w:t>
            </w:r>
            <w:r w:rsidR="00946BE9" w:rsidRPr="00171358">
              <w:rPr>
                <w:rFonts w:eastAsia="Times New Roman"/>
                <w:sz w:val="24"/>
                <w:szCs w:val="24"/>
                <w:lang w:val="lv-LV" w:eastAsia="lv-LV"/>
              </w:rPr>
              <w:t>6</w:t>
            </w:r>
            <w:r w:rsidR="007924ED" w:rsidRPr="00171358">
              <w:rPr>
                <w:rFonts w:eastAsia="Times New Roman"/>
                <w:sz w:val="24"/>
                <w:szCs w:val="24"/>
                <w:lang w:val="lv-LV" w:eastAsia="lv-LV"/>
              </w:rPr>
              <w:t>.apakšpunkts</w:t>
            </w:r>
          </w:p>
        </w:tc>
        <w:tc>
          <w:tcPr>
            <w:tcW w:w="14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7924ED" w:rsidRPr="00726275"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sz w:val="24"/>
                <w:szCs w:val="24"/>
                <w:lang w:val="lv-LV"/>
              </w:rPr>
            </w:pPr>
            <w:r w:rsidRPr="00171358">
              <w:rPr>
                <w:sz w:val="24"/>
                <w:szCs w:val="24"/>
                <w:lang w:val="lv-LV"/>
              </w:rPr>
              <w:t>43.pants</w:t>
            </w:r>
          </w:p>
        </w:tc>
        <w:tc>
          <w:tcPr>
            <w:tcW w:w="1114" w:type="pct"/>
            <w:tcBorders>
              <w:top w:val="outset" w:sz="6" w:space="0" w:color="auto"/>
              <w:left w:val="outset" w:sz="6" w:space="0" w:color="auto"/>
              <w:bottom w:val="outset" w:sz="6" w:space="0" w:color="auto"/>
              <w:right w:val="outset" w:sz="6" w:space="0" w:color="auto"/>
            </w:tcBorders>
            <w:hideMark/>
          </w:tcPr>
          <w:p w:rsidR="007924ED" w:rsidRPr="00171358" w:rsidRDefault="00294CF0" w:rsidP="00294CF0">
            <w:pPr>
              <w:rPr>
                <w:rFonts w:eastAsia="Times New Roman"/>
                <w:sz w:val="24"/>
                <w:szCs w:val="24"/>
                <w:lang w:val="lv-LV" w:eastAsia="lv-LV"/>
              </w:rPr>
            </w:pPr>
            <w:r w:rsidRPr="00171358">
              <w:rPr>
                <w:rFonts w:eastAsia="Times New Roman"/>
                <w:sz w:val="24"/>
                <w:szCs w:val="24"/>
                <w:lang w:val="lv-LV" w:eastAsia="lv-LV"/>
              </w:rPr>
              <w:t>2</w:t>
            </w:r>
            <w:r>
              <w:rPr>
                <w:rFonts w:eastAsia="Times New Roman"/>
                <w:sz w:val="24"/>
                <w:szCs w:val="24"/>
                <w:lang w:val="lv-LV" w:eastAsia="lv-LV"/>
              </w:rPr>
              <w:t>1</w:t>
            </w:r>
            <w:r w:rsidR="007924ED" w:rsidRPr="00171358">
              <w:rPr>
                <w:rFonts w:eastAsia="Times New Roman"/>
                <w:sz w:val="24"/>
                <w:szCs w:val="24"/>
                <w:lang w:val="lv-LV" w:eastAsia="lv-LV"/>
              </w:rPr>
              <w:t xml:space="preserve">.punkts; </w:t>
            </w:r>
          </w:p>
        </w:tc>
        <w:tc>
          <w:tcPr>
            <w:tcW w:w="14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7924ED" w:rsidRPr="00726275" w:rsidTr="00294CF0">
        <w:trPr>
          <w:trHeight w:val="387"/>
        </w:trPr>
        <w:tc>
          <w:tcPr>
            <w:tcW w:w="9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sz w:val="24"/>
                <w:szCs w:val="24"/>
                <w:lang w:val="lv-LV"/>
              </w:rPr>
            </w:pPr>
            <w:r w:rsidRPr="00171358">
              <w:rPr>
                <w:sz w:val="24"/>
                <w:szCs w:val="24"/>
                <w:lang w:val="lv-LV"/>
              </w:rPr>
              <w:t>44.pants</w:t>
            </w:r>
          </w:p>
        </w:tc>
        <w:tc>
          <w:tcPr>
            <w:tcW w:w="1114" w:type="pct"/>
            <w:tcBorders>
              <w:top w:val="outset" w:sz="6" w:space="0" w:color="auto"/>
              <w:left w:val="outset" w:sz="6" w:space="0" w:color="auto"/>
              <w:bottom w:val="outset" w:sz="6" w:space="0" w:color="auto"/>
              <w:right w:val="outset" w:sz="6" w:space="0" w:color="auto"/>
            </w:tcBorders>
            <w:hideMark/>
          </w:tcPr>
          <w:p w:rsidR="007924ED" w:rsidRPr="00171358" w:rsidRDefault="00294CF0" w:rsidP="00294CF0">
            <w:pPr>
              <w:rPr>
                <w:rFonts w:eastAsia="Times New Roman"/>
                <w:sz w:val="24"/>
                <w:szCs w:val="24"/>
                <w:lang w:val="lv-LV" w:eastAsia="lv-LV"/>
              </w:rPr>
            </w:pPr>
            <w:r w:rsidRPr="00171358">
              <w:rPr>
                <w:rFonts w:eastAsia="Times New Roman"/>
                <w:sz w:val="24"/>
                <w:szCs w:val="24"/>
                <w:lang w:val="lv-LV" w:eastAsia="lv-LV"/>
              </w:rPr>
              <w:t>2</w:t>
            </w:r>
            <w:r>
              <w:rPr>
                <w:rFonts w:eastAsia="Times New Roman"/>
                <w:sz w:val="24"/>
                <w:szCs w:val="24"/>
                <w:lang w:val="lv-LV" w:eastAsia="lv-LV"/>
              </w:rPr>
              <w:t>1</w:t>
            </w:r>
            <w:r w:rsidR="007924ED" w:rsidRPr="00171358">
              <w:rPr>
                <w:rFonts w:eastAsia="Times New Roman"/>
                <w:sz w:val="24"/>
                <w:szCs w:val="24"/>
                <w:lang w:val="lv-LV" w:eastAsia="lv-LV"/>
              </w:rPr>
              <w:t xml:space="preserve">.punkts; </w:t>
            </w:r>
          </w:p>
        </w:tc>
        <w:tc>
          <w:tcPr>
            <w:tcW w:w="1462" w:type="pct"/>
            <w:tcBorders>
              <w:top w:val="outset" w:sz="6" w:space="0" w:color="auto"/>
              <w:left w:val="outset" w:sz="6" w:space="0" w:color="auto"/>
              <w:bottom w:val="outset" w:sz="6" w:space="0" w:color="auto"/>
              <w:right w:val="outset" w:sz="6" w:space="0" w:color="auto"/>
            </w:tcBorders>
            <w:hideMark/>
          </w:tcPr>
          <w:p w:rsidR="007924ED"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ES tiesību akta vienība tiek ieviesta pilnībā. </w:t>
            </w:r>
          </w:p>
          <w:p w:rsidR="00A22DC5" w:rsidRPr="00171358" w:rsidRDefault="00A22DC5" w:rsidP="00171358">
            <w:pPr>
              <w:jc w:val="both"/>
              <w:rPr>
                <w:rFonts w:eastAsia="Times New Roman"/>
                <w:sz w:val="24"/>
                <w:szCs w:val="24"/>
                <w:lang w:val="lv-LV" w:eastAsia="lv-LV"/>
              </w:rPr>
            </w:pPr>
          </w:p>
        </w:tc>
        <w:tc>
          <w:tcPr>
            <w:tcW w:w="1462" w:type="pct"/>
            <w:tcBorders>
              <w:top w:val="outset" w:sz="6" w:space="0" w:color="auto"/>
              <w:left w:val="outset" w:sz="6" w:space="0" w:color="auto"/>
              <w:bottom w:val="outset" w:sz="6" w:space="0" w:color="auto"/>
              <w:right w:val="outset" w:sz="6" w:space="0" w:color="auto"/>
            </w:tcBorders>
            <w:hideMark/>
          </w:tcPr>
          <w:p w:rsidR="00A22DC5" w:rsidRPr="00171358" w:rsidRDefault="007924ED" w:rsidP="00171358">
            <w:pPr>
              <w:rPr>
                <w:rFonts w:eastAsia="Times New Roman"/>
                <w:sz w:val="24"/>
                <w:szCs w:val="24"/>
                <w:lang w:val="lv-LV" w:eastAsia="lv-LV"/>
              </w:rPr>
            </w:pPr>
            <w:r w:rsidRPr="00171358">
              <w:rPr>
                <w:rFonts w:eastAsia="Times New Roman"/>
                <w:sz w:val="24"/>
                <w:szCs w:val="24"/>
                <w:lang w:val="lv-LV" w:eastAsia="lv-LV"/>
              </w:rPr>
              <w:t xml:space="preserve">MK noteikumu projekts neparedz stingrākas prasības nekā ES tiesību akta vienība. </w:t>
            </w:r>
          </w:p>
        </w:tc>
      </w:tr>
      <w:tr w:rsidR="00E62444" w:rsidRPr="00171358" w:rsidTr="00294CF0">
        <w:tc>
          <w:tcPr>
            <w:tcW w:w="962" w:type="pct"/>
            <w:tcBorders>
              <w:top w:val="outset" w:sz="6" w:space="0" w:color="auto"/>
              <w:left w:val="outset" w:sz="6" w:space="0" w:color="auto"/>
              <w:bottom w:val="outset" w:sz="6" w:space="0" w:color="auto"/>
              <w:right w:val="outset" w:sz="6" w:space="0" w:color="auto"/>
            </w:tcBorders>
            <w:hideMark/>
          </w:tcPr>
          <w:p w:rsidR="00E62444" w:rsidRPr="00171358" w:rsidRDefault="00E62444" w:rsidP="00171358">
            <w:pPr>
              <w:rPr>
                <w:rFonts w:eastAsia="Times New Roman"/>
                <w:sz w:val="24"/>
                <w:szCs w:val="24"/>
                <w:lang w:val="lv-LV" w:eastAsia="lv-LV"/>
              </w:rPr>
            </w:pPr>
            <w:r w:rsidRPr="00171358">
              <w:rPr>
                <w:rFonts w:eastAsia="Times New Roman"/>
                <w:sz w:val="24"/>
                <w:szCs w:val="24"/>
                <w:lang w:val="lv-LV" w:eastAsia="lv-LV"/>
              </w:rPr>
              <w:t xml:space="preserve">Kā ir izmantota ES tiesību aktā paredzētā rīcības brīvība dalībvalstij pārņemt vai ieviest noteiktas ES tiesību akta normas? </w:t>
            </w:r>
          </w:p>
          <w:p w:rsidR="00A22DC5" w:rsidRPr="00171358" w:rsidRDefault="00E62444" w:rsidP="00171358">
            <w:pPr>
              <w:jc w:val="both"/>
              <w:rPr>
                <w:rFonts w:eastAsia="Times New Roman"/>
                <w:sz w:val="24"/>
                <w:szCs w:val="24"/>
                <w:lang w:val="lv-LV" w:eastAsia="lv-LV"/>
              </w:rPr>
            </w:pPr>
            <w:r w:rsidRPr="00171358">
              <w:rPr>
                <w:rFonts w:eastAsia="Times New Roman"/>
                <w:sz w:val="24"/>
                <w:szCs w:val="24"/>
                <w:lang w:val="lv-LV" w:eastAsia="lv-LV"/>
              </w:rPr>
              <w:t>Kādēļ?</w:t>
            </w:r>
          </w:p>
        </w:tc>
        <w:tc>
          <w:tcPr>
            <w:tcW w:w="4038" w:type="pct"/>
            <w:gridSpan w:val="3"/>
            <w:tcBorders>
              <w:top w:val="outset" w:sz="6" w:space="0" w:color="auto"/>
              <w:left w:val="outset" w:sz="6" w:space="0" w:color="auto"/>
              <w:bottom w:val="outset" w:sz="6" w:space="0" w:color="auto"/>
              <w:right w:val="outset" w:sz="6" w:space="0" w:color="auto"/>
            </w:tcBorders>
            <w:hideMark/>
          </w:tcPr>
          <w:p w:rsidR="00E62444" w:rsidRPr="00171358" w:rsidRDefault="00E62444" w:rsidP="00171358">
            <w:pPr>
              <w:rPr>
                <w:rFonts w:eastAsia="Times New Roman"/>
                <w:sz w:val="24"/>
                <w:szCs w:val="24"/>
                <w:lang w:val="lv-LV" w:eastAsia="lv-LV"/>
              </w:rPr>
            </w:pPr>
            <w:r w:rsidRPr="00171358">
              <w:rPr>
                <w:rFonts w:eastAsia="Times New Roman"/>
                <w:sz w:val="24"/>
                <w:szCs w:val="24"/>
                <w:lang w:val="lv-LV" w:eastAsia="lv-LV"/>
              </w:rPr>
              <w:t xml:space="preserve">Nav attiecināms. </w:t>
            </w:r>
          </w:p>
        </w:tc>
      </w:tr>
      <w:tr w:rsidR="00E62444" w:rsidRPr="00171358" w:rsidTr="00294CF0">
        <w:tc>
          <w:tcPr>
            <w:tcW w:w="962" w:type="pct"/>
            <w:tcBorders>
              <w:top w:val="outset" w:sz="6" w:space="0" w:color="auto"/>
              <w:left w:val="outset" w:sz="6" w:space="0" w:color="auto"/>
              <w:bottom w:val="outset" w:sz="6" w:space="0" w:color="auto"/>
              <w:right w:val="outset" w:sz="6" w:space="0" w:color="auto"/>
            </w:tcBorders>
            <w:hideMark/>
          </w:tcPr>
          <w:p w:rsidR="00E62444" w:rsidRPr="00171358" w:rsidRDefault="00E62444" w:rsidP="00171358">
            <w:pPr>
              <w:rPr>
                <w:rFonts w:eastAsia="Times New Roman"/>
                <w:sz w:val="24"/>
                <w:szCs w:val="24"/>
                <w:lang w:val="lv-LV" w:eastAsia="lv-LV"/>
              </w:rPr>
            </w:pPr>
            <w:r w:rsidRPr="00171358">
              <w:rPr>
                <w:rFonts w:eastAsia="Times New Roman"/>
                <w:sz w:val="24"/>
                <w:szCs w:val="24"/>
                <w:lang w:val="lv-LV" w:eastAsia="lv-LV"/>
              </w:rPr>
              <w:t xml:space="preserve">Saistības sniegt paziņojumu ES institūcijām un ES dalībvalstīm atbilstoši normatīvajiem aktiem, kas regulē informācijas sniegšanu par tehnisko noteikumu, valsts </w:t>
            </w:r>
            <w:r w:rsidRPr="00171358">
              <w:rPr>
                <w:rFonts w:eastAsia="Times New Roman"/>
                <w:sz w:val="24"/>
                <w:szCs w:val="24"/>
                <w:lang w:val="lv-LV" w:eastAsia="lv-LV"/>
              </w:rPr>
              <w:lastRenderedPageBreak/>
              <w:t>atbalsta piešķiršanas un finanšu noteikumu (attiecībā uz monetāro politiku) projektiem</w:t>
            </w:r>
          </w:p>
        </w:tc>
        <w:tc>
          <w:tcPr>
            <w:tcW w:w="4038" w:type="pct"/>
            <w:gridSpan w:val="3"/>
            <w:tcBorders>
              <w:top w:val="outset" w:sz="6" w:space="0" w:color="auto"/>
              <w:left w:val="outset" w:sz="6" w:space="0" w:color="auto"/>
              <w:bottom w:val="outset" w:sz="6" w:space="0" w:color="auto"/>
              <w:right w:val="outset" w:sz="6" w:space="0" w:color="auto"/>
            </w:tcBorders>
            <w:hideMark/>
          </w:tcPr>
          <w:p w:rsidR="00E62444" w:rsidRPr="00171358" w:rsidRDefault="00E62444" w:rsidP="00171358">
            <w:pPr>
              <w:rPr>
                <w:rFonts w:eastAsia="Times New Roman"/>
                <w:sz w:val="24"/>
                <w:szCs w:val="24"/>
                <w:lang w:val="lv-LV" w:eastAsia="lv-LV"/>
              </w:rPr>
            </w:pPr>
            <w:r w:rsidRPr="00171358">
              <w:rPr>
                <w:rFonts w:eastAsia="Times New Roman"/>
                <w:sz w:val="24"/>
                <w:szCs w:val="24"/>
                <w:lang w:val="lv-LV" w:eastAsia="lv-LV"/>
              </w:rPr>
              <w:lastRenderedPageBreak/>
              <w:t>Nav attiecināms.</w:t>
            </w:r>
          </w:p>
        </w:tc>
      </w:tr>
      <w:tr w:rsidR="00E62444" w:rsidRPr="00171358" w:rsidTr="00294CF0">
        <w:tc>
          <w:tcPr>
            <w:tcW w:w="962" w:type="pct"/>
            <w:tcBorders>
              <w:top w:val="outset" w:sz="6" w:space="0" w:color="auto"/>
              <w:left w:val="outset" w:sz="6" w:space="0" w:color="auto"/>
              <w:bottom w:val="outset" w:sz="6" w:space="0" w:color="auto"/>
              <w:right w:val="outset" w:sz="6" w:space="0" w:color="auto"/>
            </w:tcBorders>
            <w:hideMark/>
          </w:tcPr>
          <w:p w:rsidR="00E62444" w:rsidRPr="00171358" w:rsidRDefault="00E62444" w:rsidP="00171358">
            <w:pPr>
              <w:rPr>
                <w:rFonts w:eastAsia="Times New Roman"/>
                <w:sz w:val="24"/>
                <w:szCs w:val="24"/>
                <w:lang w:val="lv-LV" w:eastAsia="lv-LV"/>
              </w:rPr>
            </w:pPr>
            <w:r w:rsidRPr="00171358">
              <w:rPr>
                <w:rFonts w:eastAsia="Times New Roman"/>
                <w:sz w:val="24"/>
                <w:szCs w:val="24"/>
                <w:lang w:val="lv-LV" w:eastAsia="lv-LV"/>
              </w:rPr>
              <w:lastRenderedPageBreak/>
              <w:t>Cita informācija</w:t>
            </w:r>
          </w:p>
        </w:tc>
        <w:tc>
          <w:tcPr>
            <w:tcW w:w="4038" w:type="pct"/>
            <w:gridSpan w:val="3"/>
            <w:tcBorders>
              <w:top w:val="outset" w:sz="6" w:space="0" w:color="auto"/>
              <w:left w:val="outset" w:sz="6" w:space="0" w:color="auto"/>
              <w:bottom w:val="outset" w:sz="6" w:space="0" w:color="auto"/>
              <w:right w:val="outset" w:sz="6" w:space="0" w:color="auto"/>
            </w:tcBorders>
            <w:hideMark/>
          </w:tcPr>
          <w:p w:rsidR="00A22DC5" w:rsidRPr="00171358" w:rsidRDefault="00E62444" w:rsidP="00171358">
            <w:pPr>
              <w:jc w:val="both"/>
              <w:rPr>
                <w:rFonts w:eastAsia="Times New Roman"/>
                <w:sz w:val="24"/>
                <w:szCs w:val="24"/>
                <w:lang w:val="lv-LV" w:eastAsia="lv-LV"/>
              </w:rPr>
            </w:pPr>
            <w:r w:rsidRPr="00171358">
              <w:rPr>
                <w:rFonts w:eastAsia="Times New Roman"/>
                <w:sz w:val="24"/>
                <w:szCs w:val="24"/>
                <w:lang w:val="lv-LV" w:eastAsia="lv-LV"/>
              </w:rPr>
              <w:t>Nav.</w:t>
            </w:r>
          </w:p>
        </w:tc>
      </w:tr>
    </w:tbl>
    <w:p w:rsidR="00A22DC5" w:rsidRPr="00171358" w:rsidRDefault="00A22DC5" w:rsidP="00171358">
      <w:pPr>
        <w:ind w:firstLine="375"/>
        <w:jc w:val="both"/>
        <w:rPr>
          <w:rFonts w:eastAsia="Times New Roman"/>
          <w:sz w:val="24"/>
          <w:szCs w:val="24"/>
          <w:lang w:val="lv-LV" w:eastAsia="lv-LV"/>
        </w:rPr>
      </w:pPr>
      <w:r w:rsidRPr="00171358">
        <w:rPr>
          <w:rFonts w:eastAsia="Times New Roman"/>
          <w:sz w:val="24"/>
          <w:szCs w:val="24"/>
          <w:lang w:val="lv-LV" w:eastAsia="lv-LV"/>
        </w:rPr>
        <w:t>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00"/>
        <w:gridCol w:w="3105"/>
        <w:gridCol w:w="3926"/>
      </w:tblGrid>
      <w:tr w:rsidR="00A22DC5" w:rsidRPr="00171358" w:rsidTr="00A22DC5">
        <w:trPr>
          <w:trHeight w:val="1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b/>
                <w:bCs/>
                <w:sz w:val="24"/>
                <w:szCs w:val="24"/>
                <w:lang w:val="lv-LV" w:eastAsia="lv-LV"/>
              </w:rPr>
              <w:t>2.tabula</w:t>
            </w:r>
            <w:r w:rsidRPr="00171358">
              <w:rPr>
                <w:rFonts w:eastAsia="Times New Roman"/>
                <w:b/>
                <w:bCs/>
                <w:sz w:val="24"/>
                <w:szCs w:val="24"/>
                <w:lang w:val="lv-LV" w:eastAsia="lv-LV"/>
              </w:rPr>
              <w:br/>
              <w:t>Ar tiesību akta projektu izpildītās vai uzņemtās saistības, kas izriet no starptautiskajiem tiesību aktiem vai starptautiskas institūcijas vai organizācijas dokumentiem.</w:t>
            </w:r>
            <w:r w:rsidRPr="00171358">
              <w:rPr>
                <w:rFonts w:eastAsia="Times New Roman"/>
                <w:b/>
                <w:bCs/>
                <w:sz w:val="24"/>
                <w:szCs w:val="24"/>
                <w:lang w:val="lv-LV" w:eastAsia="lv-LV"/>
              </w:rPr>
              <w:br/>
              <w:t>Pasākumi šo saistību izpildei</w:t>
            </w:r>
          </w:p>
        </w:tc>
      </w:tr>
      <w:tr w:rsidR="00A22DC5" w:rsidRPr="00171358" w:rsidTr="00A22DC5">
        <w:trPr>
          <w:trHeight w:val="15"/>
        </w:trPr>
        <w:tc>
          <w:tcPr>
            <w:tcW w:w="1150"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Attiecīgā starptautiskā tiesību akta vai starptautiskas institūcijas vai organizācijas dokumenta (turpmāk – starptautiskais dokuments) datums, numurs un nosaukums</w:t>
            </w:r>
          </w:p>
        </w:tc>
        <w:tc>
          <w:tcPr>
            <w:tcW w:w="3850" w:type="pct"/>
            <w:gridSpan w:val="2"/>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rPr>
                <w:rFonts w:eastAsia="Times New Roman"/>
                <w:sz w:val="24"/>
                <w:szCs w:val="24"/>
                <w:lang w:val="lv-LV" w:eastAsia="lv-LV"/>
              </w:rPr>
            </w:pPr>
            <w:r w:rsidRPr="00171358">
              <w:rPr>
                <w:rFonts w:eastAsia="Times New Roman"/>
                <w:sz w:val="24"/>
                <w:szCs w:val="24"/>
                <w:lang w:val="lv-LV" w:eastAsia="lv-LV"/>
              </w:rPr>
              <w:t>Nav attiecināms.</w:t>
            </w:r>
          </w:p>
        </w:tc>
      </w:tr>
      <w:tr w:rsidR="00A22DC5" w:rsidRPr="00171358" w:rsidTr="0026588C">
        <w:trPr>
          <w:trHeight w:val="15"/>
        </w:trPr>
        <w:tc>
          <w:tcPr>
            <w:tcW w:w="1150"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A</w:t>
            </w:r>
          </w:p>
        </w:tc>
        <w:tc>
          <w:tcPr>
            <w:tcW w:w="1700"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B</w:t>
            </w:r>
          </w:p>
        </w:tc>
        <w:tc>
          <w:tcPr>
            <w:tcW w:w="2150" w:type="pct"/>
            <w:tcBorders>
              <w:top w:val="outset" w:sz="6" w:space="0" w:color="auto"/>
              <w:left w:val="outset" w:sz="6" w:space="0" w:color="auto"/>
              <w:bottom w:val="outset" w:sz="6" w:space="0" w:color="auto"/>
              <w:right w:val="outset" w:sz="6" w:space="0" w:color="auto"/>
            </w:tcBorders>
            <w:vAlign w:val="center"/>
            <w:hideMark/>
          </w:tcPr>
          <w:p w:rsidR="00A22DC5" w:rsidRPr="00171358" w:rsidRDefault="00A22DC5" w:rsidP="00171358">
            <w:pPr>
              <w:jc w:val="center"/>
              <w:rPr>
                <w:rFonts w:eastAsia="Times New Roman"/>
                <w:sz w:val="24"/>
                <w:szCs w:val="24"/>
                <w:lang w:val="lv-LV" w:eastAsia="lv-LV"/>
              </w:rPr>
            </w:pPr>
            <w:r w:rsidRPr="00171358">
              <w:rPr>
                <w:rFonts w:eastAsia="Times New Roman"/>
                <w:sz w:val="24"/>
                <w:szCs w:val="24"/>
                <w:lang w:val="lv-LV" w:eastAsia="lv-LV"/>
              </w:rPr>
              <w:t>C</w:t>
            </w:r>
          </w:p>
        </w:tc>
      </w:tr>
      <w:tr w:rsidR="00A22DC5" w:rsidRPr="00171358" w:rsidTr="0026588C">
        <w:trPr>
          <w:trHeight w:val="15"/>
        </w:trPr>
        <w:tc>
          <w:tcPr>
            <w:tcW w:w="1150" w:type="pct"/>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jc w:val="both"/>
              <w:rPr>
                <w:rFonts w:eastAsia="Times New Roman"/>
                <w:sz w:val="24"/>
                <w:szCs w:val="24"/>
                <w:lang w:val="lv-LV" w:eastAsia="lv-LV"/>
              </w:rPr>
            </w:pPr>
            <w:r w:rsidRPr="00171358">
              <w:rPr>
                <w:rFonts w:eastAsia="Times New Roman"/>
                <w:sz w:val="24"/>
                <w:szCs w:val="24"/>
                <w:lang w:val="lv-LV" w:eastAsia="lv-LV"/>
              </w:rPr>
              <w:t>Nav.</w:t>
            </w:r>
          </w:p>
        </w:tc>
        <w:tc>
          <w:tcPr>
            <w:tcW w:w="1700" w:type="pct"/>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rPr>
                <w:rFonts w:eastAsia="Times New Roman"/>
                <w:sz w:val="24"/>
                <w:szCs w:val="24"/>
                <w:lang w:val="lv-LV" w:eastAsia="lv-LV"/>
              </w:rPr>
            </w:pPr>
            <w:r w:rsidRPr="00171358">
              <w:rPr>
                <w:rFonts w:eastAsia="Times New Roman"/>
                <w:sz w:val="24"/>
                <w:szCs w:val="24"/>
                <w:lang w:val="lv-LV" w:eastAsia="lv-LV"/>
              </w:rPr>
              <w:t>Nav.</w:t>
            </w:r>
          </w:p>
        </w:tc>
        <w:tc>
          <w:tcPr>
            <w:tcW w:w="2150" w:type="pct"/>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jc w:val="both"/>
              <w:rPr>
                <w:rFonts w:eastAsia="Times New Roman"/>
                <w:sz w:val="24"/>
                <w:szCs w:val="24"/>
                <w:lang w:val="lv-LV" w:eastAsia="lv-LV"/>
              </w:rPr>
            </w:pPr>
            <w:r w:rsidRPr="00171358">
              <w:rPr>
                <w:rFonts w:eastAsia="Times New Roman"/>
                <w:sz w:val="24"/>
                <w:szCs w:val="24"/>
                <w:lang w:val="lv-LV" w:eastAsia="lv-LV"/>
              </w:rPr>
              <w:t>Nav.</w:t>
            </w:r>
          </w:p>
        </w:tc>
      </w:tr>
      <w:tr w:rsidR="00A22DC5" w:rsidRPr="00171358" w:rsidTr="00A22DC5">
        <w:trPr>
          <w:trHeight w:val="15"/>
        </w:trPr>
        <w:tc>
          <w:tcPr>
            <w:tcW w:w="115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Vai starptautiskajā dokumentā paredzētās saistības nav pretrunā ar jau esošajām Latvijas Republikas starptautiskajām saistībām</w:t>
            </w:r>
          </w:p>
        </w:tc>
        <w:tc>
          <w:tcPr>
            <w:tcW w:w="3850" w:type="pct"/>
            <w:gridSpan w:val="2"/>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rPr>
                <w:rFonts w:eastAsia="Times New Roman"/>
                <w:sz w:val="24"/>
                <w:szCs w:val="24"/>
                <w:lang w:val="lv-LV" w:eastAsia="lv-LV"/>
              </w:rPr>
            </w:pPr>
            <w:r w:rsidRPr="00171358">
              <w:rPr>
                <w:rFonts w:eastAsia="Times New Roman"/>
                <w:sz w:val="24"/>
                <w:szCs w:val="24"/>
                <w:lang w:val="lv-LV" w:eastAsia="lv-LV"/>
              </w:rPr>
              <w:t>Nav attiecināms.</w:t>
            </w:r>
          </w:p>
        </w:tc>
      </w:tr>
      <w:tr w:rsidR="00A22DC5" w:rsidRPr="00171358" w:rsidTr="00A22DC5">
        <w:trPr>
          <w:trHeight w:val="15"/>
        </w:trPr>
        <w:tc>
          <w:tcPr>
            <w:tcW w:w="1150" w:type="pct"/>
            <w:tcBorders>
              <w:top w:val="outset" w:sz="6" w:space="0" w:color="auto"/>
              <w:left w:val="outset" w:sz="6" w:space="0" w:color="auto"/>
              <w:bottom w:val="outset" w:sz="6" w:space="0" w:color="auto"/>
              <w:right w:val="outset" w:sz="6" w:space="0" w:color="auto"/>
            </w:tcBorders>
            <w:hideMark/>
          </w:tcPr>
          <w:p w:rsidR="00A22DC5" w:rsidRPr="00171358" w:rsidRDefault="00A22DC5" w:rsidP="00171358">
            <w:pPr>
              <w:rPr>
                <w:rFonts w:eastAsia="Times New Roman"/>
                <w:sz w:val="24"/>
                <w:szCs w:val="24"/>
                <w:lang w:val="lv-LV" w:eastAsia="lv-LV"/>
              </w:rPr>
            </w:pPr>
            <w:r w:rsidRPr="00171358">
              <w:rPr>
                <w:rFonts w:eastAsia="Times New Roman"/>
                <w:sz w:val="24"/>
                <w:szCs w:val="24"/>
                <w:lang w:val="lv-LV" w:eastAsia="lv-LV"/>
              </w:rPr>
              <w:t>Cita informācija</w:t>
            </w:r>
          </w:p>
        </w:tc>
        <w:tc>
          <w:tcPr>
            <w:tcW w:w="3850" w:type="pct"/>
            <w:gridSpan w:val="2"/>
            <w:tcBorders>
              <w:top w:val="outset" w:sz="6" w:space="0" w:color="auto"/>
              <w:left w:val="outset" w:sz="6" w:space="0" w:color="auto"/>
              <w:bottom w:val="outset" w:sz="6" w:space="0" w:color="auto"/>
              <w:right w:val="outset" w:sz="6" w:space="0" w:color="auto"/>
            </w:tcBorders>
            <w:hideMark/>
          </w:tcPr>
          <w:p w:rsidR="00A22DC5" w:rsidRPr="00171358" w:rsidRDefault="0026588C" w:rsidP="00171358">
            <w:pPr>
              <w:jc w:val="both"/>
              <w:rPr>
                <w:rFonts w:eastAsia="Times New Roman"/>
                <w:sz w:val="24"/>
                <w:szCs w:val="24"/>
                <w:lang w:val="lv-LV" w:eastAsia="lv-LV"/>
              </w:rPr>
            </w:pPr>
            <w:r w:rsidRPr="00171358">
              <w:rPr>
                <w:rFonts w:eastAsia="Times New Roman"/>
                <w:sz w:val="24"/>
                <w:szCs w:val="24"/>
                <w:lang w:val="lv-LV" w:eastAsia="lv-LV"/>
              </w:rPr>
              <w:t>Nav.</w:t>
            </w:r>
          </w:p>
        </w:tc>
      </w:tr>
    </w:tbl>
    <w:p w:rsidR="001874C4" w:rsidRPr="00171358" w:rsidRDefault="001874C4" w:rsidP="00171358">
      <w:pPr>
        <w:pStyle w:val="NormalWeb"/>
        <w:spacing w:before="0" w:beforeAutospacing="0" w:after="0" w:afterAutospacing="0"/>
        <w:rPr>
          <w:b/>
          <w:lang w:val="lv-LV"/>
        </w:rPr>
      </w:pPr>
    </w:p>
    <w:p w:rsidR="004E7663" w:rsidRPr="00171358" w:rsidRDefault="001874C4" w:rsidP="00171358">
      <w:pPr>
        <w:pStyle w:val="NormalWeb"/>
        <w:spacing w:before="0" w:beforeAutospacing="0" w:after="0" w:afterAutospacing="0"/>
        <w:jc w:val="center"/>
        <w:rPr>
          <w:b/>
          <w:lang w:val="lv-LV"/>
        </w:rPr>
      </w:pPr>
      <w:r w:rsidRPr="00171358">
        <w:rPr>
          <w:b/>
          <w:lang w:val="lv-LV"/>
        </w:rPr>
        <w:t xml:space="preserve">Anotācijas </w:t>
      </w:r>
      <w:r w:rsidR="00862D34" w:rsidRPr="00171358">
        <w:rPr>
          <w:b/>
          <w:lang w:val="lv-LV"/>
        </w:rPr>
        <w:t>VI</w:t>
      </w:r>
      <w:r w:rsidR="004E7663" w:rsidRPr="00171358">
        <w:rPr>
          <w:b/>
          <w:lang w:val="lv-LV"/>
        </w:rPr>
        <w:t xml:space="preserve"> </w:t>
      </w:r>
      <w:r w:rsidRPr="00171358">
        <w:rPr>
          <w:b/>
          <w:lang w:val="lv-LV"/>
        </w:rPr>
        <w:t>sadaļa nav attiecināma</w:t>
      </w:r>
      <w:r w:rsidR="00166B88" w:rsidRPr="00171358">
        <w:rPr>
          <w:b/>
          <w:lang w:val="lv-LV"/>
        </w:rPr>
        <w:t>.</w:t>
      </w:r>
    </w:p>
    <w:p w:rsidR="00234A34" w:rsidRPr="00171358" w:rsidRDefault="00234A34" w:rsidP="00171358">
      <w:pPr>
        <w:pStyle w:val="NormalWeb"/>
        <w:spacing w:before="0" w:beforeAutospacing="0" w:after="0" w:afterAutospacing="0"/>
        <w:jc w:val="center"/>
        <w:rPr>
          <w:b/>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544"/>
        <w:gridCol w:w="5670"/>
      </w:tblGrid>
      <w:tr w:rsidR="00BB09C5" w:rsidRPr="00726275" w:rsidTr="00365D09">
        <w:tc>
          <w:tcPr>
            <w:tcW w:w="9214" w:type="dxa"/>
            <w:gridSpan w:val="2"/>
            <w:hideMark/>
          </w:tcPr>
          <w:p w:rsidR="00BB09C5" w:rsidRPr="00171358" w:rsidRDefault="007E5D4D" w:rsidP="00171358">
            <w:pPr>
              <w:jc w:val="center"/>
              <w:rPr>
                <w:rFonts w:eastAsia="Times New Roman"/>
                <w:b/>
                <w:sz w:val="24"/>
                <w:szCs w:val="24"/>
                <w:lang w:val="lv-LV" w:eastAsia="lv-LV"/>
              </w:rPr>
            </w:pPr>
            <w:r w:rsidRPr="00171358">
              <w:rPr>
                <w:rFonts w:eastAsia="Times New Roman"/>
                <w:b/>
                <w:sz w:val="24"/>
                <w:szCs w:val="24"/>
                <w:lang w:val="lv-LV" w:eastAsia="lv-LV"/>
              </w:rPr>
              <w:t>VII. Tiesību akta projekta izpildes nodrošināšana un tās ietekme uz institūcijām</w:t>
            </w:r>
          </w:p>
        </w:tc>
      </w:tr>
      <w:tr w:rsidR="00AB248D" w:rsidRPr="00726275" w:rsidTr="00365D09">
        <w:tc>
          <w:tcPr>
            <w:tcW w:w="3544" w:type="dxa"/>
            <w:hideMark/>
          </w:tcPr>
          <w:p w:rsidR="00AB248D" w:rsidRPr="00171358" w:rsidRDefault="00AB248D" w:rsidP="00171358">
            <w:pPr>
              <w:rPr>
                <w:rFonts w:eastAsia="Times New Roman"/>
                <w:sz w:val="24"/>
                <w:szCs w:val="24"/>
                <w:lang w:val="lv-LV" w:eastAsia="lv-LV"/>
              </w:rPr>
            </w:pPr>
            <w:r w:rsidRPr="00171358">
              <w:rPr>
                <w:rFonts w:eastAsia="Times New Roman"/>
                <w:sz w:val="24"/>
                <w:szCs w:val="24"/>
                <w:lang w:val="lv-LV" w:eastAsia="lv-LV"/>
              </w:rPr>
              <w:t>1. Projekta izpildē iesaistītās institūcijas</w:t>
            </w:r>
          </w:p>
        </w:tc>
        <w:tc>
          <w:tcPr>
            <w:tcW w:w="5670" w:type="dxa"/>
            <w:hideMark/>
          </w:tcPr>
          <w:p w:rsidR="00004E51" w:rsidRPr="00171358" w:rsidRDefault="00C82B27" w:rsidP="00171358">
            <w:pPr>
              <w:jc w:val="both"/>
              <w:rPr>
                <w:rFonts w:eastAsia="Times New Roman"/>
                <w:sz w:val="24"/>
                <w:szCs w:val="24"/>
                <w:lang w:val="lv-LV" w:eastAsia="lv-LV"/>
              </w:rPr>
            </w:pPr>
            <w:r w:rsidRPr="00171358">
              <w:rPr>
                <w:sz w:val="24"/>
                <w:szCs w:val="24"/>
                <w:lang w:val="lv-LV"/>
              </w:rPr>
              <w:t>Noteikumu projekta izpildē ir iesaistīta</w:t>
            </w:r>
            <w:r w:rsidR="00365D09" w:rsidRPr="00171358">
              <w:rPr>
                <w:sz w:val="24"/>
                <w:szCs w:val="24"/>
                <w:lang w:val="lv-LV"/>
              </w:rPr>
              <w:t xml:space="preserve"> </w:t>
            </w:r>
            <w:r w:rsidR="00F24D03" w:rsidRPr="00171358">
              <w:rPr>
                <w:sz w:val="24"/>
                <w:szCs w:val="24"/>
                <w:lang w:val="lv-LV"/>
              </w:rPr>
              <w:t xml:space="preserve">Ekonomikas ministrija, </w:t>
            </w:r>
            <w:r w:rsidR="00EF4798" w:rsidRPr="00171358">
              <w:rPr>
                <w:sz w:val="24"/>
                <w:szCs w:val="24"/>
                <w:lang w:val="lv-LV"/>
              </w:rPr>
              <w:t xml:space="preserve">Finanšu ministrija, </w:t>
            </w:r>
            <w:r w:rsidR="00834368" w:rsidRPr="00171358">
              <w:rPr>
                <w:sz w:val="24"/>
                <w:szCs w:val="24"/>
                <w:lang w:val="lv-LV"/>
              </w:rPr>
              <w:t>EIF</w:t>
            </w:r>
            <w:r w:rsidR="00E218DC" w:rsidRPr="00171358">
              <w:rPr>
                <w:sz w:val="24"/>
                <w:szCs w:val="24"/>
                <w:lang w:val="lv-LV"/>
              </w:rPr>
              <w:t>, Valsts kase</w:t>
            </w:r>
            <w:r w:rsidR="00834368" w:rsidRPr="00171358">
              <w:rPr>
                <w:sz w:val="24"/>
                <w:szCs w:val="24"/>
                <w:lang w:val="lv-LV"/>
              </w:rPr>
              <w:t xml:space="preserve"> </w:t>
            </w:r>
            <w:r w:rsidR="00F24D03" w:rsidRPr="00171358">
              <w:rPr>
                <w:sz w:val="24"/>
                <w:szCs w:val="24"/>
                <w:lang w:val="lv-LV"/>
              </w:rPr>
              <w:t>un</w:t>
            </w:r>
            <w:r w:rsidR="00834368" w:rsidRPr="00171358">
              <w:rPr>
                <w:sz w:val="24"/>
                <w:szCs w:val="24"/>
                <w:lang w:val="lv-LV"/>
              </w:rPr>
              <w:t xml:space="preserve"> LGA</w:t>
            </w:r>
            <w:r w:rsidR="00F24D03" w:rsidRPr="00171358">
              <w:rPr>
                <w:sz w:val="24"/>
                <w:szCs w:val="24"/>
                <w:lang w:val="lv-LV"/>
              </w:rPr>
              <w:t>.</w:t>
            </w:r>
          </w:p>
        </w:tc>
      </w:tr>
      <w:tr w:rsidR="00AB248D" w:rsidRPr="00726275" w:rsidTr="00365D09">
        <w:tc>
          <w:tcPr>
            <w:tcW w:w="3544" w:type="dxa"/>
            <w:hideMark/>
          </w:tcPr>
          <w:p w:rsidR="00AB248D" w:rsidRPr="00171358" w:rsidRDefault="00AB248D" w:rsidP="00171358">
            <w:pPr>
              <w:rPr>
                <w:rFonts w:eastAsia="Times New Roman"/>
                <w:sz w:val="24"/>
                <w:szCs w:val="24"/>
                <w:lang w:val="lv-LV" w:eastAsia="lv-LV"/>
              </w:rPr>
            </w:pPr>
            <w:r w:rsidRPr="00171358">
              <w:rPr>
                <w:rFonts w:eastAsia="Times New Roman"/>
                <w:sz w:val="24"/>
                <w:szCs w:val="24"/>
                <w:lang w:val="lv-LV" w:eastAsia="lv-LV"/>
              </w:rPr>
              <w:t xml:space="preserve">2. </w:t>
            </w:r>
            <w:r w:rsidR="00E07DF2" w:rsidRPr="00171358">
              <w:rPr>
                <w:rFonts w:eastAsia="Times New Roman"/>
                <w:sz w:val="24"/>
                <w:szCs w:val="24"/>
                <w:lang w:val="lv-LV" w:eastAsia="lv-LV"/>
              </w:rPr>
              <w:t>Projekta izpildes ietekme uz pārvaldes funkcijā</w:t>
            </w:r>
          </w:p>
        </w:tc>
        <w:tc>
          <w:tcPr>
            <w:tcW w:w="5670" w:type="dxa"/>
            <w:hideMark/>
          </w:tcPr>
          <w:p w:rsidR="00AB248D" w:rsidRPr="00171358" w:rsidRDefault="00C82B27" w:rsidP="00171358">
            <w:pPr>
              <w:jc w:val="both"/>
              <w:rPr>
                <w:sz w:val="24"/>
                <w:szCs w:val="24"/>
                <w:lang w:val="lv-LV"/>
              </w:rPr>
            </w:pPr>
            <w:r w:rsidRPr="00171358">
              <w:rPr>
                <w:sz w:val="24"/>
                <w:szCs w:val="24"/>
                <w:lang w:val="lv-LV"/>
              </w:rPr>
              <w:t>Noteikumu projekta izpildi nodrošinās</w:t>
            </w:r>
            <w:r w:rsidR="00365D09" w:rsidRPr="00171358">
              <w:rPr>
                <w:sz w:val="24"/>
                <w:szCs w:val="24"/>
                <w:lang w:val="lv-LV"/>
              </w:rPr>
              <w:t xml:space="preserve"> </w:t>
            </w:r>
            <w:r w:rsidR="00F24D03" w:rsidRPr="00171358">
              <w:rPr>
                <w:sz w:val="24"/>
                <w:szCs w:val="24"/>
                <w:lang w:val="lv-LV"/>
              </w:rPr>
              <w:t>Ekonomikas ministrija</w:t>
            </w:r>
            <w:r w:rsidR="00EF4798" w:rsidRPr="00171358">
              <w:rPr>
                <w:sz w:val="24"/>
                <w:szCs w:val="24"/>
                <w:lang w:val="lv-LV"/>
              </w:rPr>
              <w:t>, Finanšu ministrija</w:t>
            </w:r>
            <w:r w:rsidR="00E218DC" w:rsidRPr="00171358">
              <w:rPr>
                <w:sz w:val="24"/>
                <w:szCs w:val="24"/>
                <w:lang w:val="lv-LV"/>
              </w:rPr>
              <w:t>, Valsts kase</w:t>
            </w:r>
            <w:r w:rsidR="00F24D03" w:rsidRPr="00171358">
              <w:rPr>
                <w:sz w:val="24"/>
                <w:szCs w:val="24"/>
                <w:lang w:val="lv-LV"/>
              </w:rPr>
              <w:t xml:space="preserve"> un</w:t>
            </w:r>
            <w:r w:rsidR="00834368" w:rsidRPr="00171358">
              <w:rPr>
                <w:sz w:val="24"/>
                <w:szCs w:val="24"/>
                <w:lang w:val="lv-LV"/>
              </w:rPr>
              <w:t xml:space="preserve"> LGA</w:t>
            </w:r>
            <w:r w:rsidR="00F24D03" w:rsidRPr="00171358">
              <w:rPr>
                <w:sz w:val="24"/>
                <w:szCs w:val="24"/>
                <w:lang w:val="lv-LV"/>
              </w:rPr>
              <w:t>.</w:t>
            </w:r>
          </w:p>
        </w:tc>
      </w:tr>
      <w:tr w:rsidR="00BB09C5" w:rsidRPr="00726275" w:rsidTr="00365D09">
        <w:trPr>
          <w:trHeight w:val="930"/>
        </w:trPr>
        <w:tc>
          <w:tcPr>
            <w:tcW w:w="3544" w:type="dxa"/>
            <w:hideMark/>
          </w:tcPr>
          <w:p w:rsidR="00BB09C5" w:rsidRPr="00171358" w:rsidRDefault="00E07DF2" w:rsidP="00171358">
            <w:pPr>
              <w:rPr>
                <w:rFonts w:eastAsia="Times New Roman"/>
                <w:sz w:val="24"/>
                <w:szCs w:val="24"/>
                <w:lang w:val="lv-LV" w:eastAsia="lv-LV"/>
              </w:rPr>
            </w:pPr>
            <w:r w:rsidRPr="00171358">
              <w:rPr>
                <w:rFonts w:eastAsia="Times New Roman"/>
                <w:sz w:val="24"/>
                <w:szCs w:val="24"/>
                <w:lang w:val="lv-LV" w:eastAsia="lv-LV"/>
              </w:rPr>
              <w:lastRenderedPageBreak/>
              <w:t>3. Projekta izpildes ietekme uz pārvaldes institucionālo struktūru. Jaunu institūciju izveide</w:t>
            </w:r>
          </w:p>
        </w:tc>
        <w:tc>
          <w:tcPr>
            <w:tcW w:w="5670" w:type="dxa"/>
            <w:hideMark/>
          </w:tcPr>
          <w:p w:rsidR="00004E51" w:rsidRPr="00171358" w:rsidRDefault="00C82B27" w:rsidP="00171358">
            <w:pPr>
              <w:jc w:val="both"/>
              <w:rPr>
                <w:rFonts w:eastAsia="Times New Roman"/>
                <w:sz w:val="24"/>
                <w:szCs w:val="24"/>
                <w:lang w:val="lv-LV" w:eastAsia="lv-LV"/>
              </w:rPr>
            </w:pPr>
            <w:r w:rsidRPr="00171358">
              <w:rPr>
                <w:sz w:val="24"/>
                <w:szCs w:val="24"/>
                <w:lang w:val="lv-LV"/>
              </w:rPr>
              <w:t>Noteikumu projekta izpildei nav nepieciešams radīt jaunas institūcijas.</w:t>
            </w:r>
          </w:p>
        </w:tc>
      </w:tr>
      <w:tr w:rsidR="00BB09C5" w:rsidRPr="00726275" w:rsidTr="00365D09">
        <w:trPr>
          <w:trHeight w:val="1133"/>
        </w:trPr>
        <w:tc>
          <w:tcPr>
            <w:tcW w:w="3544" w:type="dxa"/>
            <w:hideMark/>
          </w:tcPr>
          <w:p w:rsidR="00BB09C5" w:rsidRPr="00171358" w:rsidRDefault="00E07DF2" w:rsidP="00171358">
            <w:pPr>
              <w:rPr>
                <w:rFonts w:eastAsia="Times New Roman"/>
                <w:sz w:val="24"/>
                <w:szCs w:val="24"/>
                <w:lang w:val="lv-LV" w:eastAsia="lv-LV"/>
              </w:rPr>
            </w:pPr>
            <w:r w:rsidRPr="00171358">
              <w:rPr>
                <w:rFonts w:eastAsia="Times New Roman"/>
                <w:sz w:val="24"/>
                <w:szCs w:val="24"/>
                <w:lang w:val="lv-LV" w:eastAsia="lv-LV"/>
              </w:rPr>
              <w:t>4. Projekta izpildes ietekmes uz pārvaldes institucionālo struktūru. Esošu institūciju likvidācija</w:t>
            </w:r>
          </w:p>
        </w:tc>
        <w:tc>
          <w:tcPr>
            <w:tcW w:w="5670" w:type="dxa"/>
            <w:hideMark/>
          </w:tcPr>
          <w:p w:rsidR="00004E51" w:rsidRPr="00171358" w:rsidRDefault="00C82B27" w:rsidP="00171358">
            <w:pPr>
              <w:jc w:val="both"/>
              <w:rPr>
                <w:rFonts w:eastAsia="Times New Roman"/>
                <w:sz w:val="24"/>
                <w:szCs w:val="24"/>
                <w:lang w:val="lv-LV" w:eastAsia="lv-LV"/>
              </w:rPr>
            </w:pPr>
            <w:r w:rsidRPr="00171358">
              <w:rPr>
                <w:sz w:val="24"/>
                <w:szCs w:val="24"/>
                <w:lang w:val="lv-LV"/>
              </w:rPr>
              <w:t>Noteikumu projekta izpildei nav nepieciešams likvidēt esošās institūcijas.</w:t>
            </w:r>
          </w:p>
        </w:tc>
      </w:tr>
      <w:tr w:rsidR="00BB09C5" w:rsidRPr="00726275" w:rsidTr="00365D09">
        <w:trPr>
          <w:trHeight w:val="912"/>
        </w:trPr>
        <w:tc>
          <w:tcPr>
            <w:tcW w:w="3544" w:type="dxa"/>
            <w:hideMark/>
          </w:tcPr>
          <w:p w:rsidR="00BB09C5" w:rsidRPr="00171358" w:rsidRDefault="00E07DF2" w:rsidP="00171358">
            <w:pPr>
              <w:rPr>
                <w:rFonts w:eastAsia="Times New Roman"/>
                <w:sz w:val="24"/>
                <w:szCs w:val="24"/>
                <w:lang w:val="lv-LV" w:eastAsia="lv-LV"/>
              </w:rPr>
            </w:pPr>
            <w:r w:rsidRPr="00171358">
              <w:rPr>
                <w:rFonts w:eastAsia="Times New Roman"/>
                <w:sz w:val="24"/>
                <w:szCs w:val="24"/>
                <w:lang w:val="lv-LV" w:eastAsia="lv-LV"/>
              </w:rPr>
              <w:t>5. Projekta izpildes ietekmes uz pārvaldes institucionālo struktūru. Esošu institūciju reorganizācija</w:t>
            </w:r>
          </w:p>
        </w:tc>
        <w:tc>
          <w:tcPr>
            <w:tcW w:w="5670" w:type="dxa"/>
            <w:hideMark/>
          </w:tcPr>
          <w:p w:rsidR="00004E51" w:rsidRPr="00171358" w:rsidRDefault="00C852AB" w:rsidP="00171358">
            <w:pPr>
              <w:jc w:val="both"/>
              <w:rPr>
                <w:rFonts w:eastAsia="Times New Roman"/>
                <w:sz w:val="24"/>
                <w:szCs w:val="24"/>
                <w:lang w:val="lv-LV" w:eastAsia="lv-LV"/>
              </w:rPr>
            </w:pPr>
            <w:r w:rsidRPr="00171358">
              <w:rPr>
                <w:sz w:val="24"/>
                <w:szCs w:val="24"/>
                <w:lang w:val="lv-LV"/>
              </w:rPr>
              <w:t>Noteikumu projekta izpildei nav nepieciešams reorganizēt esošās institūcijas.</w:t>
            </w:r>
          </w:p>
        </w:tc>
      </w:tr>
      <w:tr w:rsidR="00BB09C5" w:rsidRPr="00171358" w:rsidTr="00365D09">
        <w:tc>
          <w:tcPr>
            <w:tcW w:w="3544" w:type="dxa"/>
            <w:hideMark/>
          </w:tcPr>
          <w:p w:rsidR="00BB09C5" w:rsidRPr="00171358" w:rsidRDefault="00E07DF2" w:rsidP="00171358">
            <w:pPr>
              <w:rPr>
                <w:rFonts w:eastAsia="Times New Roman"/>
                <w:sz w:val="24"/>
                <w:szCs w:val="24"/>
                <w:lang w:val="lv-LV" w:eastAsia="lv-LV"/>
              </w:rPr>
            </w:pPr>
            <w:r w:rsidRPr="00171358">
              <w:rPr>
                <w:rFonts w:eastAsia="Times New Roman"/>
                <w:sz w:val="24"/>
                <w:szCs w:val="24"/>
                <w:lang w:val="lv-LV" w:eastAsia="lv-LV"/>
              </w:rPr>
              <w:t>6</w:t>
            </w:r>
            <w:r w:rsidR="00BB09C5" w:rsidRPr="00171358">
              <w:rPr>
                <w:rFonts w:eastAsia="Times New Roman"/>
                <w:sz w:val="24"/>
                <w:szCs w:val="24"/>
                <w:lang w:val="lv-LV" w:eastAsia="lv-LV"/>
              </w:rPr>
              <w:t>. Cita informācija</w:t>
            </w:r>
          </w:p>
        </w:tc>
        <w:tc>
          <w:tcPr>
            <w:tcW w:w="5670" w:type="dxa"/>
            <w:hideMark/>
          </w:tcPr>
          <w:p w:rsidR="00004E51" w:rsidRPr="00171358" w:rsidRDefault="007E5D4D" w:rsidP="00171358">
            <w:pPr>
              <w:rPr>
                <w:rFonts w:eastAsia="Times New Roman"/>
                <w:sz w:val="24"/>
                <w:szCs w:val="24"/>
                <w:lang w:val="lv-LV" w:eastAsia="lv-LV"/>
              </w:rPr>
            </w:pPr>
            <w:r w:rsidRPr="00171358">
              <w:rPr>
                <w:rFonts w:eastAsia="Times New Roman"/>
                <w:sz w:val="24"/>
                <w:szCs w:val="24"/>
                <w:lang w:val="lv-LV" w:eastAsia="lv-LV"/>
              </w:rPr>
              <w:t>Nav.</w:t>
            </w:r>
          </w:p>
        </w:tc>
      </w:tr>
    </w:tbl>
    <w:p w:rsidR="00403EAD" w:rsidRPr="00171358" w:rsidRDefault="00403EAD" w:rsidP="00171358">
      <w:pPr>
        <w:tabs>
          <w:tab w:val="left" w:pos="7655"/>
        </w:tabs>
        <w:jc w:val="both"/>
        <w:rPr>
          <w:bCs/>
          <w:sz w:val="24"/>
          <w:szCs w:val="24"/>
          <w:lang w:val="lv-LV"/>
        </w:rPr>
      </w:pPr>
    </w:p>
    <w:p w:rsidR="00CE5A53" w:rsidRPr="00171358" w:rsidRDefault="00CE5A53" w:rsidP="00171358">
      <w:pPr>
        <w:tabs>
          <w:tab w:val="left" w:pos="7655"/>
        </w:tabs>
        <w:jc w:val="both"/>
        <w:rPr>
          <w:bCs/>
          <w:sz w:val="24"/>
          <w:szCs w:val="24"/>
          <w:lang w:val="lv-LV"/>
        </w:rPr>
      </w:pPr>
    </w:p>
    <w:p w:rsidR="00BF38FA" w:rsidRPr="00171358" w:rsidRDefault="00BF38FA" w:rsidP="00171358">
      <w:pPr>
        <w:tabs>
          <w:tab w:val="right" w:pos="9071"/>
        </w:tabs>
        <w:jc w:val="both"/>
        <w:rPr>
          <w:bCs/>
          <w:sz w:val="24"/>
          <w:szCs w:val="24"/>
          <w:lang w:val="lv-LV"/>
        </w:rPr>
      </w:pPr>
    </w:p>
    <w:p w:rsidR="00403EAD" w:rsidRPr="00171358" w:rsidRDefault="00C82B27" w:rsidP="00171358">
      <w:pPr>
        <w:tabs>
          <w:tab w:val="right" w:pos="9071"/>
        </w:tabs>
        <w:jc w:val="both"/>
        <w:rPr>
          <w:bCs/>
          <w:sz w:val="24"/>
          <w:szCs w:val="24"/>
          <w:lang w:val="lv-LV"/>
        </w:rPr>
      </w:pPr>
      <w:r w:rsidRPr="00171358">
        <w:rPr>
          <w:bCs/>
          <w:sz w:val="24"/>
          <w:szCs w:val="24"/>
          <w:lang w:val="lv-LV"/>
        </w:rPr>
        <w:t>Ekonomikas ministrs</w:t>
      </w:r>
      <w:r w:rsidRPr="00171358">
        <w:rPr>
          <w:bCs/>
          <w:sz w:val="24"/>
          <w:szCs w:val="24"/>
          <w:lang w:val="lv-LV"/>
        </w:rPr>
        <w:tab/>
        <w:t>A.Kampars</w:t>
      </w:r>
    </w:p>
    <w:p w:rsidR="004B638C" w:rsidRPr="00171358" w:rsidRDefault="004B638C" w:rsidP="00171358">
      <w:pPr>
        <w:pStyle w:val="EnvelopeReturn"/>
        <w:jc w:val="both"/>
        <w:rPr>
          <w:rFonts w:ascii="Times New Roman" w:hAnsi="Times New Roman"/>
          <w:color w:val="000000"/>
          <w:sz w:val="24"/>
          <w:szCs w:val="24"/>
          <w:lang w:val="lv-LV"/>
        </w:rPr>
      </w:pPr>
    </w:p>
    <w:p w:rsidR="00BF38FA" w:rsidRPr="00171358" w:rsidRDefault="00BF38FA" w:rsidP="00171358">
      <w:pPr>
        <w:pStyle w:val="EnvelopeReturn"/>
        <w:tabs>
          <w:tab w:val="right" w:pos="7655"/>
        </w:tabs>
        <w:jc w:val="both"/>
        <w:rPr>
          <w:rFonts w:ascii="Times New Roman" w:hAnsi="Times New Roman"/>
          <w:color w:val="000000"/>
          <w:sz w:val="24"/>
          <w:szCs w:val="24"/>
          <w:lang w:val="lv-LV"/>
        </w:rPr>
      </w:pPr>
      <w:r w:rsidRPr="00171358">
        <w:rPr>
          <w:rFonts w:ascii="Times New Roman" w:hAnsi="Times New Roman"/>
          <w:color w:val="000000"/>
          <w:sz w:val="24"/>
          <w:szCs w:val="24"/>
          <w:lang w:val="lv-LV"/>
        </w:rPr>
        <w:t>Vīza:</w:t>
      </w:r>
    </w:p>
    <w:p w:rsidR="00403EAD" w:rsidRPr="00171358" w:rsidRDefault="00C82B27" w:rsidP="00171358">
      <w:pPr>
        <w:pStyle w:val="EnvelopeReturn"/>
        <w:tabs>
          <w:tab w:val="right" w:pos="7655"/>
        </w:tabs>
        <w:jc w:val="both"/>
        <w:rPr>
          <w:rFonts w:ascii="Times New Roman" w:hAnsi="Times New Roman"/>
          <w:color w:val="000000"/>
          <w:sz w:val="24"/>
          <w:szCs w:val="24"/>
          <w:lang w:val="lv-LV"/>
        </w:rPr>
      </w:pPr>
      <w:r w:rsidRPr="00171358">
        <w:rPr>
          <w:rFonts w:ascii="Times New Roman" w:hAnsi="Times New Roman"/>
          <w:color w:val="000000"/>
          <w:sz w:val="24"/>
          <w:szCs w:val="24"/>
          <w:lang w:val="lv-LV"/>
        </w:rPr>
        <w:t xml:space="preserve">Valsts </w:t>
      </w:r>
      <w:r w:rsidR="00834368" w:rsidRPr="00171358">
        <w:rPr>
          <w:rFonts w:ascii="Times New Roman" w:hAnsi="Times New Roman"/>
          <w:color w:val="000000"/>
          <w:sz w:val="24"/>
          <w:szCs w:val="24"/>
          <w:lang w:val="lv-LV"/>
        </w:rPr>
        <w:t>sekretārs</w:t>
      </w:r>
      <w:r w:rsidR="007E2A9B" w:rsidRPr="00171358">
        <w:rPr>
          <w:rFonts w:ascii="Times New Roman" w:hAnsi="Times New Roman"/>
          <w:color w:val="000000"/>
          <w:sz w:val="24"/>
          <w:szCs w:val="24"/>
          <w:lang w:val="lv-LV"/>
        </w:rPr>
        <w:tab/>
      </w:r>
      <w:r w:rsidR="007E2A9B" w:rsidRPr="00171358">
        <w:rPr>
          <w:rFonts w:ascii="Times New Roman" w:hAnsi="Times New Roman"/>
          <w:color w:val="000000"/>
          <w:sz w:val="24"/>
          <w:szCs w:val="24"/>
          <w:lang w:val="lv-LV"/>
        </w:rPr>
        <w:tab/>
      </w:r>
      <w:r w:rsidR="00834368" w:rsidRPr="00171358">
        <w:rPr>
          <w:rFonts w:ascii="Times New Roman" w:hAnsi="Times New Roman"/>
          <w:color w:val="000000"/>
          <w:sz w:val="24"/>
          <w:szCs w:val="24"/>
          <w:lang w:val="lv-LV"/>
        </w:rPr>
        <w:t>J.Pūce</w:t>
      </w:r>
    </w:p>
    <w:p w:rsidR="00403EAD" w:rsidRPr="00171358" w:rsidRDefault="00403EAD" w:rsidP="00171358">
      <w:pPr>
        <w:jc w:val="both"/>
        <w:rPr>
          <w:color w:val="000000"/>
          <w:sz w:val="24"/>
          <w:szCs w:val="24"/>
          <w:lang w:val="lv-LV"/>
        </w:rPr>
      </w:pPr>
    </w:p>
    <w:p w:rsidR="00BF38FA" w:rsidRPr="00171358" w:rsidRDefault="00BF38FA" w:rsidP="00171358">
      <w:pPr>
        <w:jc w:val="both"/>
        <w:rPr>
          <w:color w:val="000000"/>
          <w:sz w:val="24"/>
          <w:szCs w:val="24"/>
          <w:lang w:val="lv-LV"/>
        </w:rPr>
      </w:pPr>
    </w:p>
    <w:p w:rsidR="00BF38FA" w:rsidRPr="00171358" w:rsidRDefault="00BF38FA" w:rsidP="00171358">
      <w:pPr>
        <w:jc w:val="both"/>
        <w:rPr>
          <w:color w:val="000000"/>
          <w:sz w:val="24"/>
          <w:szCs w:val="24"/>
          <w:lang w:val="lv-LV"/>
        </w:rPr>
      </w:pPr>
    </w:p>
    <w:p w:rsidR="00BF38FA" w:rsidRPr="00171358" w:rsidRDefault="00BF38FA" w:rsidP="00171358">
      <w:pPr>
        <w:jc w:val="both"/>
        <w:rPr>
          <w:color w:val="000000"/>
          <w:sz w:val="24"/>
          <w:szCs w:val="24"/>
          <w:lang w:val="lv-LV"/>
        </w:rPr>
      </w:pPr>
    </w:p>
    <w:p w:rsidR="00221D56" w:rsidRPr="00171358" w:rsidRDefault="00221D56" w:rsidP="00171358">
      <w:pPr>
        <w:jc w:val="both"/>
        <w:rPr>
          <w:color w:val="000000"/>
          <w:sz w:val="24"/>
          <w:szCs w:val="24"/>
          <w:lang w:val="lv-LV"/>
        </w:rPr>
      </w:pPr>
    </w:p>
    <w:p w:rsidR="00221D56" w:rsidRPr="00171358" w:rsidRDefault="00221D56" w:rsidP="00171358">
      <w:pPr>
        <w:jc w:val="both"/>
        <w:rPr>
          <w:color w:val="000000"/>
          <w:sz w:val="24"/>
          <w:szCs w:val="24"/>
          <w:lang w:val="lv-LV"/>
        </w:rPr>
      </w:pPr>
    </w:p>
    <w:p w:rsidR="00221D56" w:rsidRPr="00171358" w:rsidRDefault="00221D56" w:rsidP="00171358">
      <w:pPr>
        <w:jc w:val="both"/>
        <w:rPr>
          <w:color w:val="000000"/>
          <w:sz w:val="24"/>
          <w:szCs w:val="24"/>
          <w:lang w:val="lv-LV"/>
        </w:rPr>
      </w:pPr>
    </w:p>
    <w:p w:rsidR="00221D56" w:rsidRPr="00171358" w:rsidRDefault="00221D56" w:rsidP="00171358">
      <w:pPr>
        <w:jc w:val="both"/>
        <w:rPr>
          <w:color w:val="000000"/>
          <w:sz w:val="24"/>
          <w:szCs w:val="24"/>
          <w:lang w:val="lv-LV"/>
        </w:rPr>
      </w:pPr>
    </w:p>
    <w:p w:rsidR="00171358" w:rsidRDefault="00F7318E" w:rsidP="00171358">
      <w:pPr>
        <w:jc w:val="both"/>
        <w:rPr>
          <w:color w:val="000000"/>
          <w:sz w:val="24"/>
          <w:szCs w:val="24"/>
          <w:lang w:val="lv-LV"/>
        </w:rPr>
      </w:pPr>
      <w:r>
        <w:rPr>
          <w:color w:val="000000"/>
          <w:sz w:val="24"/>
          <w:szCs w:val="24"/>
          <w:lang w:val="lv-LV"/>
        </w:rPr>
        <w:t>1</w:t>
      </w:r>
      <w:r w:rsidR="00340F1F">
        <w:rPr>
          <w:color w:val="000000"/>
          <w:sz w:val="24"/>
          <w:szCs w:val="24"/>
          <w:lang w:val="lv-LV"/>
        </w:rPr>
        <w:t>4</w:t>
      </w:r>
      <w:r w:rsidR="00171358">
        <w:rPr>
          <w:color w:val="000000"/>
          <w:sz w:val="24"/>
          <w:szCs w:val="24"/>
          <w:lang w:val="lv-LV"/>
        </w:rPr>
        <w:t>.</w:t>
      </w:r>
      <w:r>
        <w:rPr>
          <w:color w:val="000000"/>
          <w:sz w:val="24"/>
          <w:szCs w:val="24"/>
          <w:lang w:val="lv-LV"/>
        </w:rPr>
        <w:t>10</w:t>
      </w:r>
      <w:r w:rsidR="00171358">
        <w:rPr>
          <w:color w:val="000000"/>
          <w:sz w:val="24"/>
          <w:szCs w:val="24"/>
          <w:lang w:val="lv-LV"/>
        </w:rPr>
        <w:t>.2011 1</w:t>
      </w:r>
      <w:r w:rsidR="00726275">
        <w:rPr>
          <w:color w:val="000000"/>
          <w:sz w:val="24"/>
          <w:szCs w:val="24"/>
          <w:lang w:val="lv-LV"/>
        </w:rPr>
        <w:t>1</w:t>
      </w:r>
      <w:r w:rsidR="00171358">
        <w:rPr>
          <w:color w:val="000000"/>
          <w:sz w:val="24"/>
          <w:szCs w:val="24"/>
          <w:lang w:val="lv-LV"/>
        </w:rPr>
        <w:t>:</w:t>
      </w:r>
      <w:r w:rsidR="00726275">
        <w:rPr>
          <w:color w:val="000000"/>
          <w:sz w:val="24"/>
          <w:szCs w:val="24"/>
          <w:lang w:val="lv-LV"/>
        </w:rPr>
        <w:t>03</w:t>
      </w:r>
    </w:p>
    <w:p w:rsidR="00D07CDB" w:rsidRPr="00171358" w:rsidRDefault="005E1C7C" w:rsidP="00171358">
      <w:pPr>
        <w:jc w:val="both"/>
        <w:rPr>
          <w:color w:val="000000"/>
          <w:sz w:val="24"/>
          <w:szCs w:val="24"/>
          <w:lang w:val="lv-LV"/>
        </w:rPr>
      </w:pPr>
      <w:fldSimple w:instr=" NUMWORDS   \* MERGEFORMAT ">
        <w:r w:rsidR="00726275" w:rsidRPr="00726275">
          <w:rPr>
            <w:noProof/>
            <w:color w:val="000000"/>
            <w:sz w:val="24"/>
            <w:szCs w:val="24"/>
            <w:lang w:val="lv-LV"/>
          </w:rPr>
          <w:t>1481</w:t>
        </w:r>
      </w:fldSimple>
    </w:p>
    <w:p w:rsidR="00365D09" w:rsidRPr="00171358" w:rsidRDefault="00365D09" w:rsidP="00171358">
      <w:pPr>
        <w:jc w:val="both"/>
        <w:rPr>
          <w:color w:val="000000"/>
          <w:sz w:val="24"/>
          <w:szCs w:val="24"/>
          <w:lang w:val="lv-LV"/>
        </w:rPr>
      </w:pPr>
      <w:r w:rsidRPr="00171358">
        <w:rPr>
          <w:color w:val="000000"/>
          <w:sz w:val="24"/>
          <w:szCs w:val="24"/>
          <w:lang w:val="lv-LV"/>
        </w:rPr>
        <w:t>Gatis Sniedziņš</w:t>
      </w:r>
    </w:p>
    <w:p w:rsidR="00FA1511" w:rsidRPr="00171358" w:rsidRDefault="00365D09" w:rsidP="00171358">
      <w:pPr>
        <w:jc w:val="both"/>
        <w:rPr>
          <w:sz w:val="24"/>
          <w:szCs w:val="24"/>
          <w:lang w:val="lv-LV"/>
        </w:rPr>
      </w:pPr>
      <w:r w:rsidRPr="00171358">
        <w:rPr>
          <w:color w:val="000000"/>
          <w:sz w:val="24"/>
          <w:szCs w:val="24"/>
          <w:lang w:val="lv-LV"/>
        </w:rPr>
        <w:t>67013044;</w:t>
      </w:r>
      <w:r w:rsidR="00C852AB" w:rsidRPr="00171358">
        <w:rPr>
          <w:color w:val="000000"/>
          <w:sz w:val="24"/>
          <w:szCs w:val="24"/>
          <w:lang w:val="lv-LV"/>
        </w:rPr>
        <w:t xml:space="preserve"> </w:t>
      </w:r>
      <w:r w:rsidRPr="00171358">
        <w:rPr>
          <w:sz w:val="24"/>
          <w:szCs w:val="24"/>
          <w:lang w:val="lv-LV"/>
        </w:rPr>
        <w:t>Gatis.Sniedzins</w:t>
      </w:r>
      <w:r w:rsidR="00C852AB" w:rsidRPr="00171358">
        <w:rPr>
          <w:sz w:val="24"/>
          <w:szCs w:val="24"/>
          <w:lang w:val="lv-LV"/>
        </w:rPr>
        <w:t>@em.gov.lv</w:t>
      </w:r>
    </w:p>
    <w:sectPr w:rsidR="00FA1511" w:rsidRPr="00171358" w:rsidSect="00B014C2">
      <w:headerReference w:type="default" r:id="rId27"/>
      <w:footerReference w:type="default" r:id="rId28"/>
      <w:footerReference w:type="first" r:id="rId2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F0" w:rsidRDefault="00294CF0" w:rsidP="00B014C2">
      <w:r>
        <w:separator/>
      </w:r>
    </w:p>
  </w:endnote>
  <w:endnote w:type="continuationSeparator" w:id="0">
    <w:p w:rsidR="00294CF0" w:rsidRDefault="00294CF0"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0" w:rsidRPr="007924ED" w:rsidRDefault="00294CF0" w:rsidP="007924ED">
    <w:pPr>
      <w:jc w:val="both"/>
      <w:outlineLvl w:val="0"/>
      <w:rPr>
        <w:rFonts w:eastAsia="Times New Roman"/>
        <w:sz w:val="24"/>
        <w:szCs w:val="24"/>
        <w:lang w:val="lv-LV" w:eastAsia="lv-LV"/>
      </w:rPr>
    </w:pPr>
    <w:r>
      <w:rPr>
        <w:sz w:val="24"/>
        <w:szCs w:val="24"/>
      </w:rPr>
      <w:t>EMAnot_1410</w:t>
    </w:r>
    <w:r w:rsidRPr="00365D09">
      <w:rPr>
        <w:sz w:val="24"/>
        <w:szCs w:val="24"/>
      </w:rPr>
      <w:t xml:space="preserve">11_EIF; </w:t>
    </w:r>
    <w:r w:rsidRPr="00365D09">
      <w:rPr>
        <w:rFonts w:eastAsia="Times New Roman"/>
        <w:sz w:val="24"/>
        <w:szCs w:val="24"/>
        <w:lang w:val="lv-LV" w:eastAsia="lv-LV"/>
      </w:rPr>
      <w:t>Ministru kabineta noteikumu projekta „</w:t>
    </w:r>
    <w:r w:rsidRPr="00365D09">
      <w:rPr>
        <w:bCs/>
        <w:sz w:val="24"/>
        <w:szCs w:val="24"/>
        <w:lang w:val="lv-LV" w:eastAsia="lv-LV"/>
      </w:rPr>
      <w:t>Noteikumi par darbības programmas „Uzņēmējdarbība un inovācijas” papildinājuma 2.2.1.1.aktivitāti „</w:t>
    </w:r>
    <w:r w:rsidRPr="007924ED">
      <w:rPr>
        <w:bCs/>
        <w:sz w:val="24"/>
        <w:szCs w:val="24"/>
        <w:lang w:val="lv-LV"/>
      </w:rPr>
      <w:t>Ieguldījumu fonds investīcijām garantijās, paaugstināta riska aizdevumos, riska kapitāla fondos un cita veida finanšu instrumentos</w:t>
    </w:r>
    <w:r w:rsidRPr="00365D09">
      <w:rPr>
        <w:bCs/>
        <w:sz w:val="24"/>
        <w:szCs w:val="24"/>
        <w:lang w:val="lv-LV" w:eastAsia="lv-LV"/>
      </w:rPr>
      <w:t>”</w:t>
    </w:r>
    <w:r w:rsidRPr="00365D09">
      <w:rPr>
        <w:rFonts w:eastAsia="Times New Roman"/>
        <w:sz w:val="24"/>
        <w:szCs w:val="24"/>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0" w:rsidRPr="00365D09" w:rsidRDefault="00294CF0" w:rsidP="00DD7A97">
    <w:pPr>
      <w:jc w:val="both"/>
      <w:outlineLvl w:val="0"/>
      <w:rPr>
        <w:rFonts w:eastAsia="Times New Roman"/>
        <w:sz w:val="24"/>
        <w:szCs w:val="24"/>
        <w:lang w:val="lv-LV" w:eastAsia="lv-LV"/>
      </w:rPr>
    </w:pPr>
    <w:r>
      <w:rPr>
        <w:sz w:val="24"/>
        <w:szCs w:val="24"/>
      </w:rPr>
      <w:t>EMAnot_1410</w:t>
    </w:r>
    <w:r w:rsidRPr="00365D09">
      <w:rPr>
        <w:sz w:val="24"/>
        <w:szCs w:val="24"/>
      </w:rPr>
      <w:t xml:space="preserve">11_EIF; </w:t>
    </w:r>
    <w:r w:rsidRPr="00365D09">
      <w:rPr>
        <w:rFonts w:eastAsia="Times New Roman"/>
        <w:sz w:val="24"/>
        <w:szCs w:val="24"/>
        <w:lang w:val="lv-LV" w:eastAsia="lv-LV"/>
      </w:rPr>
      <w:t>Ministru kabineta noteikumu projekta „</w:t>
    </w:r>
    <w:r w:rsidRPr="00365D09">
      <w:rPr>
        <w:bCs/>
        <w:sz w:val="24"/>
        <w:szCs w:val="24"/>
        <w:lang w:val="lv-LV" w:eastAsia="lv-LV"/>
      </w:rPr>
      <w:t>Noteikumi par darbības programmas „Uzņēmējdarbība un inovācijas” papildinājuma 2.2.1.1.aktivitāti „</w:t>
    </w:r>
    <w:r w:rsidRPr="007924ED">
      <w:rPr>
        <w:bCs/>
        <w:sz w:val="24"/>
        <w:szCs w:val="24"/>
        <w:lang w:val="lv-LV"/>
      </w:rPr>
      <w:t>Ieguldījumu fonds investīcijām garantijās, paaugstināta riska aizdevumos, riska kapitāla fondos un cita veida finanšu instrumentos</w:t>
    </w:r>
    <w:r w:rsidRPr="00365D09">
      <w:rPr>
        <w:bCs/>
        <w:sz w:val="24"/>
        <w:szCs w:val="24"/>
        <w:lang w:val="lv-LV" w:eastAsia="lv-LV"/>
      </w:rPr>
      <w:t>”</w:t>
    </w:r>
    <w:r w:rsidRPr="00365D09">
      <w:rPr>
        <w:rFonts w:eastAsia="Times New Roman"/>
        <w:sz w:val="24"/>
        <w:szCs w:val="24"/>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F0" w:rsidRDefault="00294CF0" w:rsidP="00B014C2">
      <w:r>
        <w:separator/>
      </w:r>
    </w:p>
  </w:footnote>
  <w:footnote w:type="continuationSeparator" w:id="0">
    <w:p w:rsidR="00294CF0" w:rsidRDefault="00294CF0"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F0" w:rsidRPr="00B014C2" w:rsidRDefault="005E1C7C">
    <w:pPr>
      <w:pStyle w:val="Header"/>
      <w:jc w:val="center"/>
      <w:rPr>
        <w:sz w:val="24"/>
        <w:szCs w:val="24"/>
      </w:rPr>
    </w:pPr>
    <w:r w:rsidRPr="00B014C2">
      <w:rPr>
        <w:sz w:val="24"/>
        <w:szCs w:val="24"/>
      </w:rPr>
      <w:fldChar w:fldCharType="begin"/>
    </w:r>
    <w:r w:rsidR="00294CF0" w:rsidRPr="00B014C2">
      <w:rPr>
        <w:sz w:val="24"/>
        <w:szCs w:val="24"/>
      </w:rPr>
      <w:instrText xml:space="preserve"> PAGE   \* MERGEFORMAT </w:instrText>
    </w:r>
    <w:r w:rsidRPr="00B014C2">
      <w:rPr>
        <w:sz w:val="24"/>
        <w:szCs w:val="24"/>
      </w:rPr>
      <w:fldChar w:fldCharType="separate"/>
    </w:r>
    <w:r w:rsidR="00726275">
      <w:rPr>
        <w:noProof/>
        <w:sz w:val="24"/>
        <w:szCs w:val="24"/>
      </w:rPr>
      <w:t>7</w:t>
    </w:r>
    <w:r w:rsidRPr="00B014C2">
      <w:rPr>
        <w:sz w:val="24"/>
        <w:szCs w:val="24"/>
      </w:rPr>
      <w:fldChar w:fldCharType="end"/>
    </w:r>
  </w:p>
  <w:p w:rsidR="00294CF0" w:rsidRDefault="00294C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1EA"/>
    <w:multiLevelType w:val="hybridMultilevel"/>
    <w:tmpl w:val="A07A0730"/>
    <w:lvl w:ilvl="0" w:tplc="0426000F">
      <w:start w:val="1"/>
      <w:numFmt w:val="decimal"/>
      <w:lvlText w:val="%1."/>
      <w:lvlJc w:val="left"/>
      <w:pPr>
        <w:ind w:left="502" w:hanging="360"/>
      </w:pPr>
    </w:lvl>
    <w:lvl w:ilvl="1" w:tplc="0910EB30">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5C15D3"/>
    <w:multiLevelType w:val="hybridMultilevel"/>
    <w:tmpl w:val="ACF81098"/>
    <w:lvl w:ilvl="0" w:tplc="BFE65350">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7036C1"/>
    <w:multiLevelType w:val="hybridMultilevel"/>
    <w:tmpl w:val="AF7009FA"/>
    <w:lvl w:ilvl="0" w:tplc="75D4A7E0">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9A242D4"/>
    <w:multiLevelType w:val="hybridMultilevel"/>
    <w:tmpl w:val="EF064356"/>
    <w:lvl w:ilvl="0" w:tplc="C7F6DE7A">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945534"/>
    <w:multiLevelType w:val="hybridMultilevel"/>
    <w:tmpl w:val="DD7C9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DA45DB3"/>
    <w:multiLevelType w:val="hybridMultilevel"/>
    <w:tmpl w:val="2CFC05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237504"/>
    <w:multiLevelType w:val="multilevel"/>
    <w:tmpl w:val="EDB6F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3"/>
  </w:num>
  <w:num w:numId="6">
    <w:abstractNumId w:val="8"/>
  </w:num>
  <w:num w:numId="7">
    <w:abstractNumId w:val="6"/>
  </w:num>
  <w:num w:numId="8">
    <w:abstractNumId w:val="10"/>
  </w:num>
  <w:num w:numId="9">
    <w:abstractNumId w:val="5"/>
  </w:num>
  <w:num w:numId="10">
    <w:abstractNumId w:val="4"/>
  </w:num>
  <w:num w:numId="11">
    <w:abstractNumId w:val="9"/>
  </w:num>
  <w:num w:numId="12">
    <w:abstractNumId w:val="1"/>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BB09C5"/>
    <w:rsid w:val="000016AB"/>
    <w:rsid w:val="00004E51"/>
    <w:rsid w:val="0001186C"/>
    <w:rsid w:val="000158C8"/>
    <w:rsid w:val="00015ACC"/>
    <w:rsid w:val="0001764D"/>
    <w:rsid w:val="000229E4"/>
    <w:rsid w:val="000233B9"/>
    <w:rsid w:val="00025B0A"/>
    <w:rsid w:val="0002603A"/>
    <w:rsid w:val="00026C03"/>
    <w:rsid w:val="0002762A"/>
    <w:rsid w:val="0003046E"/>
    <w:rsid w:val="000320B6"/>
    <w:rsid w:val="0003289B"/>
    <w:rsid w:val="00036E03"/>
    <w:rsid w:val="000370EA"/>
    <w:rsid w:val="0004167C"/>
    <w:rsid w:val="00046BB7"/>
    <w:rsid w:val="00047EF5"/>
    <w:rsid w:val="00050EA4"/>
    <w:rsid w:val="00052E89"/>
    <w:rsid w:val="000643D5"/>
    <w:rsid w:val="000661E7"/>
    <w:rsid w:val="0007058B"/>
    <w:rsid w:val="00070C38"/>
    <w:rsid w:val="000729ED"/>
    <w:rsid w:val="00080395"/>
    <w:rsid w:val="00082615"/>
    <w:rsid w:val="00083227"/>
    <w:rsid w:val="00085E74"/>
    <w:rsid w:val="00086773"/>
    <w:rsid w:val="00087AF6"/>
    <w:rsid w:val="000921C6"/>
    <w:rsid w:val="00097583"/>
    <w:rsid w:val="000A434E"/>
    <w:rsid w:val="000A4AED"/>
    <w:rsid w:val="000B0719"/>
    <w:rsid w:val="000C4615"/>
    <w:rsid w:val="000C4BF9"/>
    <w:rsid w:val="000C7396"/>
    <w:rsid w:val="000D0388"/>
    <w:rsid w:val="000D1257"/>
    <w:rsid w:val="000D2F05"/>
    <w:rsid w:val="000D30E0"/>
    <w:rsid w:val="000D4B8D"/>
    <w:rsid w:val="000E409F"/>
    <w:rsid w:val="000E4277"/>
    <w:rsid w:val="000F3F4C"/>
    <w:rsid w:val="000F5668"/>
    <w:rsid w:val="000F6E9E"/>
    <w:rsid w:val="001002E4"/>
    <w:rsid w:val="00101FE0"/>
    <w:rsid w:val="0010410B"/>
    <w:rsid w:val="001047E8"/>
    <w:rsid w:val="00110E66"/>
    <w:rsid w:val="00113586"/>
    <w:rsid w:val="00115E25"/>
    <w:rsid w:val="00116305"/>
    <w:rsid w:val="0011745E"/>
    <w:rsid w:val="001231EC"/>
    <w:rsid w:val="001237C7"/>
    <w:rsid w:val="0012412D"/>
    <w:rsid w:val="00130C6B"/>
    <w:rsid w:val="00131C62"/>
    <w:rsid w:val="00132C4D"/>
    <w:rsid w:val="00141EF2"/>
    <w:rsid w:val="00142BF6"/>
    <w:rsid w:val="00142CBB"/>
    <w:rsid w:val="001507B4"/>
    <w:rsid w:val="00156BF0"/>
    <w:rsid w:val="00157107"/>
    <w:rsid w:val="001622E1"/>
    <w:rsid w:val="00166B88"/>
    <w:rsid w:val="001705C0"/>
    <w:rsid w:val="00171358"/>
    <w:rsid w:val="001720E2"/>
    <w:rsid w:val="0017312C"/>
    <w:rsid w:val="00174FB2"/>
    <w:rsid w:val="001764E7"/>
    <w:rsid w:val="00177B4B"/>
    <w:rsid w:val="00177DD5"/>
    <w:rsid w:val="00182D5C"/>
    <w:rsid w:val="001831F7"/>
    <w:rsid w:val="001871BB"/>
    <w:rsid w:val="001874C4"/>
    <w:rsid w:val="00191102"/>
    <w:rsid w:val="00193BE3"/>
    <w:rsid w:val="00195030"/>
    <w:rsid w:val="001973A7"/>
    <w:rsid w:val="001A0D4B"/>
    <w:rsid w:val="001A6894"/>
    <w:rsid w:val="001B3236"/>
    <w:rsid w:val="001B3656"/>
    <w:rsid w:val="001B5F59"/>
    <w:rsid w:val="001B6A67"/>
    <w:rsid w:val="001B6D15"/>
    <w:rsid w:val="001C1BFF"/>
    <w:rsid w:val="001C6F37"/>
    <w:rsid w:val="001D1BF7"/>
    <w:rsid w:val="001D37CE"/>
    <w:rsid w:val="001D5E9C"/>
    <w:rsid w:val="001D6919"/>
    <w:rsid w:val="001D76FC"/>
    <w:rsid w:val="001E195A"/>
    <w:rsid w:val="001E5031"/>
    <w:rsid w:val="001F02C1"/>
    <w:rsid w:val="001F7479"/>
    <w:rsid w:val="001F7527"/>
    <w:rsid w:val="00205FEE"/>
    <w:rsid w:val="0021241F"/>
    <w:rsid w:val="00213D6A"/>
    <w:rsid w:val="00217BC1"/>
    <w:rsid w:val="00221D56"/>
    <w:rsid w:val="00222C39"/>
    <w:rsid w:val="00223C20"/>
    <w:rsid w:val="0023085A"/>
    <w:rsid w:val="00230FB6"/>
    <w:rsid w:val="0023221F"/>
    <w:rsid w:val="00233657"/>
    <w:rsid w:val="00234A34"/>
    <w:rsid w:val="00240CAE"/>
    <w:rsid w:val="00241810"/>
    <w:rsid w:val="00243A9D"/>
    <w:rsid w:val="00247529"/>
    <w:rsid w:val="002507A0"/>
    <w:rsid w:val="0025582E"/>
    <w:rsid w:val="00257A14"/>
    <w:rsid w:val="00257EAE"/>
    <w:rsid w:val="0026588C"/>
    <w:rsid w:val="00265959"/>
    <w:rsid w:val="002720E3"/>
    <w:rsid w:val="002748FF"/>
    <w:rsid w:val="0028114E"/>
    <w:rsid w:val="00284615"/>
    <w:rsid w:val="0028698C"/>
    <w:rsid w:val="002875C0"/>
    <w:rsid w:val="00294CF0"/>
    <w:rsid w:val="002A04B6"/>
    <w:rsid w:val="002A0CEE"/>
    <w:rsid w:val="002A646A"/>
    <w:rsid w:val="002B1377"/>
    <w:rsid w:val="002B4D01"/>
    <w:rsid w:val="002B7F89"/>
    <w:rsid w:val="002C0E0E"/>
    <w:rsid w:val="002C20C8"/>
    <w:rsid w:val="002C7CFA"/>
    <w:rsid w:val="002D28A9"/>
    <w:rsid w:val="002D7773"/>
    <w:rsid w:val="002D7DF1"/>
    <w:rsid w:val="002E0D23"/>
    <w:rsid w:val="002E507C"/>
    <w:rsid w:val="002E6122"/>
    <w:rsid w:val="002E7530"/>
    <w:rsid w:val="002F063C"/>
    <w:rsid w:val="002F2D84"/>
    <w:rsid w:val="002F423D"/>
    <w:rsid w:val="002F4553"/>
    <w:rsid w:val="002F53BF"/>
    <w:rsid w:val="002F5BBF"/>
    <w:rsid w:val="002F6D2C"/>
    <w:rsid w:val="003000F0"/>
    <w:rsid w:val="00302370"/>
    <w:rsid w:val="00303B7C"/>
    <w:rsid w:val="003108D5"/>
    <w:rsid w:val="003205FD"/>
    <w:rsid w:val="00320B71"/>
    <w:rsid w:val="00322A15"/>
    <w:rsid w:val="0032394F"/>
    <w:rsid w:val="0033352C"/>
    <w:rsid w:val="00335837"/>
    <w:rsid w:val="003372CD"/>
    <w:rsid w:val="00340F1F"/>
    <w:rsid w:val="0034284E"/>
    <w:rsid w:val="0034329B"/>
    <w:rsid w:val="003451DA"/>
    <w:rsid w:val="00346C56"/>
    <w:rsid w:val="00346D28"/>
    <w:rsid w:val="00347BCB"/>
    <w:rsid w:val="003525FA"/>
    <w:rsid w:val="0035647E"/>
    <w:rsid w:val="00360437"/>
    <w:rsid w:val="00361DA6"/>
    <w:rsid w:val="003633B3"/>
    <w:rsid w:val="00363B7B"/>
    <w:rsid w:val="00365D09"/>
    <w:rsid w:val="00374BCF"/>
    <w:rsid w:val="003756B1"/>
    <w:rsid w:val="00375A4C"/>
    <w:rsid w:val="00382BEB"/>
    <w:rsid w:val="00383500"/>
    <w:rsid w:val="00384799"/>
    <w:rsid w:val="003970C6"/>
    <w:rsid w:val="003A5963"/>
    <w:rsid w:val="003C15CA"/>
    <w:rsid w:val="003C3FA4"/>
    <w:rsid w:val="003C5D28"/>
    <w:rsid w:val="003E0167"/>
    <w:rsid w:val="003E28D2"/>
    <w:rsid w:val="003E2968"/>
    <w:rsid w:val="003E3604"/>
    <w:rsid w:val="003E6CB3"/>
    <w:rsid w:val="003F095C"/>
    <w:rsid w:val="003F464F"/>
    <w:rsid w:val="003F48B2"/>
    <w:rsid w:val="003F4E09"/>
    <w:rsid w:val="003F5F95"/>
    <w:rsid w:val="004004FC"/>
    <w:rsid w:val="00402B2B"/>
    <w:rsid w:val="00403279"/>
    <w:rsid w:val="00403EAD"/>
    <w:rsid w:val="00404D4B"/>
    <w:rsid w:val="00404E4B"/>
    <w:rsid w:val="00411D48"/>
    <w:rsid w:val="004124AF"/>
    <w:rsid w:val="004131CC"/>
    <w:rsid w:val="004206FD"/>
    <w:rsid w:val="00420FC8"/>
    <w:rsid w:val="0042395B"/>
    <w:rsid w:val="0042472B"/>
    <w:rsid w:val="00424B19"/>
    <w:rsid w:val="004260C8"/>
    <w:rsid w:val="0043243D"/>
    <w:rsid w:val="00432588"/>
    <w:rsid w:val="004368B2"/>
    <w:rsid w:val="00436E6A"/>
    <w:rsid w:val="00442091"/>
    <w:rsid w:val="00451266"/>
    <w:rsid w:val="004527EA"/>
    <w:rsid w:val="00456ADC"/>
    <w:rsid w:val="00460A29"/>
    <w:rsid w:val="004657AC"/>
    <w:rsid w:val="00466BD4"/>
    <w:rsid w:val="00467A4C"/>
    <w:rsid w:val="00471B85"/>
    <w:rsid w:val="004723FC"/>
    <w:rsid w:val="00472755"/>
    <w:rsid w:val="00475097"/>
    <w:rsid w:val="004775F4"/>
    <w:rsid w:val="004829AD"/>
    <w:rsid w:val="0048347E"/>
    <w:rsid w:val="004840DA"/>
    <w:rsid w:val="00484C10"/>
    <w:rsid w:val="00485D96"/>
    <w:rsid w:val="004878E3"/>
    <w:rsid w:val="00493AD8"/>
    <w:rsid w:val="00495854"/>
    <w:rsid w:val="004A19D5"/>
    <w:rsid w:val="004A1A10"/>
    <w:rsid w:val="004A20FA"/>
    <w:rsid w:val="004A7CF9"/>
    <w:rsid w:val="004B3CA5"/>
    <w:rsid w:val="004B638C"/>
    <w:rsid w:val="004C54F0"/>
    <w:rsid w:val="004C7B7E"/>
    <w:rsid w:val="004D4997"/>
    <w:rsid w:val="004D6AC5"/>
    <w:rsid w:val="004D7833"/>
    <w:rsid w:val="004E7663"/>
    <w:rsid w:val="004E7F2B"/>
    <w:rsid w:val="004F2F91"/>
    <w:rsid w:val="004F42F6"/>
    <w:rsid w:val="004F7CB5"/>
    <w:rsid w:val="005064C9"/>
    <w:rsid w:val="00510235"/>
    <w:rsid w:val="00517C20"/>
    <w:rsid w:val="00520B16"/>
    <w:rsid w:val="005216D7"/>
    <w:rsid w:val="00522B62"/>
    <w:rsid w:val="0052354F"/>
    <w:rsid w:val="005253D3"/>
    <w:rsid w:val="00526C8C"/>
    <w:rsid w:val="00526F53"/>
    <w:rsid w:val="005279FC"/>
    <w:rsid w:val="00531E23"/>
    <w:rsid w:val="00533893"/>
    <w:rsid w:val="0053500F"/>
    <w:rsid w:val="00537A29"/>
    <w:rsid w:val="005422C3"/>
    <w:rsid w:val="00542F49"/>
    <w:rsid w:val="00543F49"/>
    <w:rsid w:val="005471CA"/>
    <w:rsid w:val="00551B3C"/>
    <w:rsid w:val="00554A7A"/>
    <w:rsid w:val="00560311"/>
    <w:rsid w:val="005609F9"/>
    <w:rsid w:val="00561CB9"/>
    <w:rsid w:val="0056528D"/>
    <w:rsid w:val="00575602"/>
    <w:rsid w:val="00576B09"/>
    <w:rsid w:val="00580317"/>
    <w:rsid w:val="0058249F"/>
    <w:rsid w:val="0058679B"/>
    <w:rsid w:val="005867C2"/>
    <w:rsid w:val="005867EB"/>
    <w:rsid w:val="00587374"/>
    <w:rsid w:val="005877DA"/>
    <w:rsid w:val="005B1EC4"/>
    <w:rsid w:val="005B29DE"/>
    <w:rsid w:val="005B4178"/>
    <w:rsid w:val="005B4D4E"/>
    <w:rsid w:val="005C03F5"/>
    <w:rsid w:val="005C251D"/>
    <w:rsid w:val="005C3235"/>
    <w:rsid w:val="005C6DDB"/>
    <w:rsid w:val="005D3658"/>
    <w:rsid w:val="005E1C7C"/>
    <w:rsid w:val="005E2C40"/>
    <w:rsid w:val="005F129D"/>
    <w:rsid w:val="005F5121"/>
    <w:rsid w:val="00600AD8"/>
    <w:rsid w:val="006056A8"/>
    <w:rsid w:val="00606694"/>
    <w:rsid w:val="006126A9"/>
    <w:rsid w:val="00613019"/>
    <w:rsid w:val="00615FB3"/>
    <w:rsid w:val="00616CBC"/>
    <w:rsid w:val="006218A6"/>
    <w:rsid w:val="006224F7"/>
    <w:rsid w:val="00623730"/>
    <w:rsid w:val="00625209"/>
    <w:rsid w:val="00630367"/>
    <w:rsid w:val="00631039"/>
    <w:rsid w:val="006316BA"/>
    <w:rsid w:val="006349DF"/>
    <w:rsid w:val="00636440"/>
    <w:rsid w:val="006456BB"/>
    <w:rsid w:val="00647FA6"/>
    <w:rsid w:val="00650716"/>
    <w:rsid w:val="00651669"/>
    <w:rsid w:val="0065351C"/>
    <w:rsid w:val="00666152"/>
    <w:rsid w:val="00670233"/>
    <w:rsid w:val="00671271"/>
    <w:rsid w:val="00672A2F"/>
    <w:rsid w:val="00674BA7"/>
    <w:rsid w:val="00676770"/>
    <w:rsid w:val="00681496"/>
    <w:rsid w:val="006910BE"/>
    <w:rsid w:val="00696772"/>
    <w:rsid w:val="0069780B"/>
    <w:rsid w:val="006A349D"/>
    <w:rsid w:val="006A4B4D"/>
    <w:rsid w:val="006A7638"/>
    <w:rsid w:val="006B584A"/>
    <w:rsid w:val="006B5D9E"/>
    <w:rsid w:val="006C04B0"/>
    <w:rsid w:val="006C136E"/>
    <w:rsid w:val="006C1797"/>
    <w:rsid w:val="006C7A50"/>
    <w:rsid w:val="006D0570"/>
    <w:rsid w:val="006D0B9B"/>
    <w:rsid w:val="006D1F62"/>
    <w:rsid w:val="006D3A18"/>
    <w:rsid w:val="006D4C40"/>
    <w:rsid w:val="006D69A4"/>
    <w:rsid w:val="006D7DEC"/>
    <w:rsid w:val="006E2C3C"/>
    <w:rsid w:val="006E3C5D"/>
    <w:rsid w:val="006E41C5"/>
    <w:rsid w:val="006E53FC"/>
    <w:rsid w:val="006E63EC"/>
    <w:rsid w:val="006E67D7"/>
    <w:rsid w:val="006F0C19"/>
    <w:rsid w:val="006F24A8"/>
    <w:rsid w:val="006F56C1"/>
    <w:rsid w:val="00700070"/>
    <w:rsid w:val="00701E41"/>
    <w:rsid w:val="007058E9"/>
    <w:rsid w:val="0071026C"/>
    <w:rsid w:val="007217E4"/>
    <w:rsid w:val="00725107"/>
    <w:rsid w:val="00726275"/>
    <w:rsid w:val="0072668A"/>
    <w:rsid w:val="007278CF"/>
    <w:rsid w:val="007315C5"/>
    <w:rsid w:val="007355DD"/>
    <w:rsid w:val="007363F2"/>
    <w:rsid w:val="00737AB8"/>
    <w:rsid w:val="00751BD0"/>
    <w:rsid w:val="007547B1"/>
    <w:rsid w:val="00757DD7"/>
    <w:rsid w:val="00760465"/>
    <w:rsid w:val="00767185"/>
    <w:rsid w:val="007735A0"/>
    <w:rsid w:val="0077435A"/>
    <w:rsid w:val="00786869"/>
    <w:rsid w:val="00787BED"/>
    <w:rsid w:val="007924ED"/>
    <w:rsid w:val="00794B98"/>
    <w:rsid w:val="00796E0F"/>
    <w:rsid w:val="007A0D95"/>
    <w:rsid w:val="007A14D0"/>
    <w:rsid w:val="007A1D95"/>
    <w:rsid w:val="007A25F6"/>
    <w:rsid w:val="007A3DB5"/>
    <w:rsid w:val="007A7FC5"/>
    <w:rsid w:val="007B1BE8"/>
    <w:rsid w:val="007C2992"/>
    <w:rsid w:val="007D6900"/>
    <w:rsid w:val="007D7613"/>
    <w:rsid w:val="007D7A8A"/>
    <w:rsid w:val="007E2A9B"/>
    <w:rsid w:val="007E34D8"/>
    <w:rsid w:val="007E5D4D"/>
    <w:rsid w:val="007E7623"/>
    <w:rsid w:val="007F0242"/>
    <w:rsid w:val="007F0C15"/>
    <w:rsid w:val="0080198B"/>
    <w:rsid w:val="00810454"/>
    <w:rsid w:val="00812990"/>
    <w:rsid w:val="00817839"/>
    <w:rsid w:val="00823419"/>
    <w:rsid w:val="0082376A"/>
    <w:rsid w:val="00823CBA"/>
    <w:rsid w:val="008265EF"/>
    <w:rsid w:val="00827407"/>
    <w:rsid w:val="00832642"/>
    <w:rsid w:val="00834368"/>
    <w:rsid w:val="00843294"/>
    <w:rsid w:val="00845F2C"/>
    <w:rsid w:val="00847A89"/>
    <w:rsid w:val="00853644"/>
    <w:rsid w:val="00860387"/>
    <w:rsid w:val="00860FDE"/>
    <w:rsid w:val="00862D34"/>
    <w:rsid w:val="00874C25"/>
    <w:rsid w:val="00877265"/>
    <w:rsid w:val="00877FED"/>
    <w:rsid w:val="00883D0B"/>
    <w:rsid w:val="00890831"/>
    <w:rsid w:val="0089090B"/>
    <w:rsid w:val="00891DAA"/>
    <w:rsid w:val="008927D8"/>
    <w:rsid w:val="0089622A"/>
    <w:rsid w:val="008972A4"/>
    <w:rsid w:val="00897ADE"/>
    <w:rsid w:val="00897C16"/>
    <w:rsid w:val="00897EE6"/>
    <w:rsid w:val="008A515D"/>
    <w:rsid w:val="008A6918"/>
    <w:rsid w:val="008B1384"/>
    <w:rsid w:val="008B6C2F"/>
    <w:rsid w:val="008C37BE"/>
    <w:rsid w:val="008C47D6"/>
    <w:rsid w:val="008C76E4"/>
    <w:rsid w:val="008D0A17"/>
    <w:rsid w:val="008D17E5"/>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07DDC"/>
    <w:rsid w:val="00911B94"/>
    <w:rsid w:val="00914BED"/>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6BE9"/>
    <w:rsid w:val="0094732D"/>
    <w:rsid w:val="00947983"/>
    <w:rsid w:val="0095050C"/>
    <w:rsid w:val="00953044"/>
    <w:rsid w:val="0095696B"/>
    <w:rsid w:val="00960783"/>
    <w:rsid w:val="00962CEA"/>
    <w:rsid w:val="0096699E"/>
    <w:rsid w:val="009741BB"/>
    <w:rsid w:val="00976DE4"/>
    <w:rsid w:val="00981D69"/>
    <w:rsid w:val="0099344A"/>
    <w:rsid w:val="00995388"/>
    <w:rsid w:val="009A164D"/>
    <w:rsid w:val="009A38AD"/>
    <w:rsid w:val="009A4789"/>
    <w:rsid w:val="009B0DB2"/>
    <w:rsid w:val="009B2624"/>
    <w:rsid w:val="009B2F66"/>
    <w:rsid w:val="009B30E3"/>
    <w:rsid w:val="009B4731"/>
    <w:rsid w:val="009B57B0"/>
    <w:rsid w:val="009B623D"/>
    <w:rsid w:val="009C2CF9"/>
    <w:rsid w:val="009C34B1"/>
    <w:rsid w:val="009C412F"/>
    <w:rsid w:val="009C4D91"/>
    <w:rsid w:val="009C7064"/>
    <w:rsid w:val="009C7CD8"/>
    <w:rsid w:val="009D10C0"/>
    <w:rsid w:val="009D6B85"/>
    <w:rsid w:val="009E116E"/>
    <w:rsid w:val="009E182A"/>
    <w:rsid w:val="009E1AEA"/>
    <w:rsid w:val="009E604D"/>
    <w:rsid w:val="009E66C4"/>
    <w:rsid w:val="009E7DF3"/>
    <w:rsid w:val="009F37B4"/>
    <w:rsid w:val="009F46FC"/>
    <w:rsid w:val="00A00A35"/>
    <w:rsid w:val="00A044A5"/>
    <w:rsid w:val="00A04718"/>
    <w:rsid w:val="00A137D4"/>
    <w:rsid w:val="00A14437"/>
    <w:rsid w:val="00A15971"/>
    <w:rsid w:val="00A175D1"/>
    <w:rsid w:val="00A20A03"/>
    <w:rsid w:val="00A2126C"/>
    <w:rsid w:val="00A22DC5"/>
    <w:rsid w:val="00A30576"/>
    <w:rsid w:val="00A30F97"/>
    <w:rsid w:val="00A326B1"/>
    <w:rsid w:val="00A34AC6"/>
    <w:rsid w:val="00A419B3"/>
    <w:rsid w:val="00A425FC"/>
    <w:rsid w:val="00A44590"/>
    <w:rsid w:val="00A47339"/>
    <w:rsid w:val="00A47536"/>
    <w:rsid w:val="00A52BA6"/>
    <w:rsid w:val="00A54D4C"/>
    <w:rsid w:val="00A55C87"/>
    <w:rsid w:val="00A56DEF"/>
    <w:rsid w:val="00A57D60"/>
    <w:rsid w:val="00A6113D"/>
    <w:rsid w:val="00A6164F"/>
    <w:rsid w:val="00A616B2"/>
    <w:rsid w:val="00A62C9B"/>
    <w:rsid w:val="00A63BF1"/>
    <w:rsid w:val="00A77E6B"/>
    <w:rsid w:val="00A806F1"/>
    <w:rsid w:val="00A92DAD"/>
    <w:rsid w:val="00A963C3"/>
    <w:rsid w:val="00AA46D0"/>
    <w:rsid w:val="00AA5C4F"/>
    <w:rsid w:val="00AA5F61"/>
    <w:rsid w:val="00AA7089"/>
    <w:rsid w:val="00AB067F"/>
    <w:rsid w:val="00AB248D"/>
    <w:rsid w:val="00AB2498"/>
    <w:rsid w:val="00AB2B93"/>
    <w:rsid w:val="00AB488D"/>
    <w:rsid w:val="00AB5B30"/>
    <w:rsid w:val="00AC0231"/>
    <w:rsid w:val="00AD01D2"/>
    <w:rsid w:val="00AD1A52"/>
    <w:rsid w:val="00AD208E"/>
    <w:rsid w:val="00AD2F9E"/>
    <w:rsid w:val="00AD452A"/>
    <w:rsid w:val="00AD5849"/>
    <w:rsid w:val="00AE05F1"/>
    <w:rsid w:val="00AE1659"/>
    <w:rsid w:val="00AE51EC"/>
    <w:rsid w:val="00AE52B6"/>
    <w:rsid w:val="00AE6E0C"/>
    <w:rsid w:val="00AF1E99"/>
    <w:rsid w:val="00B014C2"/>
    <w:rsid w:val="00B033B8"/>
    <w:rsid w:val="00B17C2B"/>
    <w:rsid w:val="00B219DE"/>
    <w:rsid w:val="00B221CA"/>
    <w:rsid w:val="00B23B0C"/>
    <w:rsid w:val="00B26A25"/>
    <w:rsid w:val="00B30133"/>
    <w:rsid w:val="00B317A1"/>
    <w:rsid w:val="00B31842"/>
    <w:rsid w:val="00B37ECA"/>
    <w:rsid w:val="00B4309E"/>
    <w:rsid w:val="00B45132"/>
    <w:rsid w:val="00B45711"/>
    <w:rsid w:val="00B46611"/>
    <w:rsid w:val="00B6151B"/>
    <w:rsid w:val="00B62197"/>
    <w:rsid w:val="00B626F8"/>
    <w:rsid w:val="00B62800"/>
    <w:rsid w:val="00B67838"/>
    <w:rsid w:val="00B74BCA"/>
    <w:rsid w:val="00B7774A"/>
    <w:rsid w:val="00B81E82"/>
    <w:rsid w:val="00B82499"/>
    <w:rsid w:val="00B912E7"/>
    <w:rsid w:val="00B931D1"/>
    <w:rsid w:val="00B97180"/>
    <w:rsid w:val="00BA0429"/>
    <w:rsid w:val="00BA0A22"/>
    <w:rsid w:val="00BA565F"/>
    <w:rsid w:val="00BA7293"/>
    <w:rsid w:val="00BB09C5"/>
    <w:rsid w:val="00BB1832"/>
    <w:rsid w:val="00BB34DF"/>
    <w:rsid w:val="00BB4180"/>
    <w:rsid w:val="00BB6516"/>
    <w:rsid w:val="00BB6D20"/>
    <w:rsid w:val="00BC06E8"/>
    <w:rsid w:val="00BC16B4"/>
    <w:rsid w:val="00BC1DE4"/>
    <w:rsid w:val="00BC262B"/>
    <w:rsid w:val="00BC486B"/>
    <w:rsid w:val="00BC4AAD"/>
    <w:rsid w:val="00BC51A3"/>
    <w:rsid w:val="00BC70FB"/>
    <w:rsid w:val="00BD16B5"/>
    <w:rsid w:val="00BD1934"/>
    <w:rsid w:val="00BD22EA"/>
    <w:rsid w:val="00BE0EC8"/>
    <w:rsid w:val="00BE1338"/>
    <w:rsid w:val="00BE1E46"/>
    <w:rsid w:val="00BE4892"/>
    <w:rsid w:val="00BF13E2"/>
    <w:rsid w:val="00BF20DF"/>
    <w:rsid w:val="00BF38FA"/>
    <w:rsid w:val="00C03870"/>
    <w:rsid w:val="00C044F2"/>
    <w:rsid w:val="00C04B3F"/>
    <w:rsid w:val="00C06080"/>
    <w:rsid w:val="00C0764D"/>
    <w:rsid w:val="00C10CEA"/>
    <w:rsid w:val="00C11C6A"/>
    <w:rsid w:val="00C12C72"/>
    <w:rsid w:val="00C1663D"/>
    <w:rsid w:val="00C20EF9"/>
    <w:rsid w:val="00C21702"/>
    <w:rsid w:val="00C257B7"/>
    <w:rsid w:val="00C307D2"/>
    <w:rsid w:val="00C31F73"/>
    <w:rsid w:val="00C32F05"/>
    <w:rsid w:val="00C34A7B"/>
    <w:rsid w:val="00C37B14"/>
    <w:rsid w:val="00C40FDA"/>
    <w:rsid w:val="00C41085"/>
    <w:rsid w:val="00C43F6F"/>
    <w:rsid w:val="00C50625"/>
    <w:rsid w:val="00C51929"/>
    <w:rsid w:val="00C51DFE"/>
    <w:rsid w:val="00C5549D"/>
    <w:rsid w:val="00C71307"/>
    <w:rsid w:val="00C7152A"/>
    <w:rsid w:val="00C73791"/>
    <w:rsid w:val="00C82A06"/>
    <w:rsid w:val="00C82B27"/>
    <w:rsid w:val="00C85068"/>
    <w:rsid w:val="00C852AB"/>
    <w:rsid w:val="00C904B3"/>
    <w:rsid w:val="00C906C0"/>
    <w:rsid w:val="00CA0B16"/>
    <w:rsid w:val="00CA1195"/>
    <w:rsid w:val="00CA181C"/>
    <w:rsid w:val="00CA4ADF"/>
    <w:rsid w:val="00CA5DE0"/>
    <w:rsid w:val="00CA6526"/>
    <w:rsid w:val="00CA7E59"/>
    <w:rsid w:val="00CB2CB2"/>
    <w:rsid w:val="00CB4D81"/>
    <w:rsid w:val="00CB5D7B"/>
    <w:rsid w:val="00CB6A16"/>
    <w:rsid w:val="00CB7A76"/>
    <w:rsid w:val="00CC1EF5"/>
    <w:rsid w:val="00CC76C2"/>
    <w:rsid w:val="00CE09F6"/>
    <w:rsid w:val="00CE46A5"/>
    <w:rsid w:val="00CE5A53"/>
    <w:rsid w:val="00CE7B3D"/>
    <w:rsid w:val="00CF05DA"/>
    <w:rsid w:val="00CF370C"/>
    <w:rsid w:val="00CF3B7C"/>
    <w:rsid w:val="00CF5C7C"/>
    <w:rsid w:val="00D010CF"/>
    <w:rsid w:val="00D03BE9"/>
    <w:rsid w:val="00D07CDB"/>
    <w:rsid w:val="00D11D2F"/>
    <w:rsid w:val="00D135FA"/>
    <w:rsid w:val="00D16BE8"/>
    <w:rsid w:val="00D17FC9"/>
    <w:rsid w:val="00D215C9"/>
    <w:rsid w:val="00D25DF0"/>
    <w:rsid w:val="00D30469"/>
    <w:rsid w:val="00D315BC"/>
    <w:rsid w:val="00D347F4"/>
    <w:rsid w:val="00D402F5"/>
    <w:rsid w:val="00D40A21"/>
    <w:rsid w:val="00D40B77"/>
    <w:rsid w:val="00D5184D"/>
    <w:rsid w:val="00D51AC1"/>
    <w:rsid w:val="00D51E6D"/>
    <w:rsid w:val="00D62CCB"/>
    <w:rsid w:val="00D642B6"/>
    <w:rsid w:val="00D664F6"/>
    <w:rsid w:val="00D7068A"/>
    <w:rsid w:val="00D71175"/>
    <w:rsid w:val="00D7256E"/>
    <w:rsid w:val="00D74282"/>
    <w:rsid w:val="00D751F5"/>
    <w:rsid w:val="00D770A6"/>
    <w:rsid w:val="00D84793"/>
    <w:rsid w:val="00D97223"/>
    <w:rsid w:val="00DA61A3"/>
    <w:rsid w:val="00DA7414"/>
    <w:rsid w:val="00DB28DC"/>
    <w:rsid w:val="00DB35ED"/>
    <w:rsid w:val="00DB3BCB"/>
    <w:rsid w:val="00DC406B"/>
    <w:rsid w:val="00DC44CC"/>
    <w:rsid w:val="00DC4C6D"/>
    <w:rsid w:val="00DD0266"/>
    <w:rsid w:val="00DD28ED"/>
    <w:rsid w:val="00DD32A1"/>
    <w:rsid w:val="00DD3C99"/>
    <w:rsid w:val="00DD42C2"/>
    <w:rsid w:val="00DD43A7"/>
    <w:rsid w:val="00DD50FD"/>
    <w:rsid w:val="00DD7A97"/>
    <w:rsid w:val="00DE043D"/>
    <w:rsid w:val="00DE1404"/>
    <w:rsid w:val="00DE5D69"/>
    <w:rsid w:val="00DE67FC"/>
    <w:rsid w:val="00DF0637"/>
    <w:rsid w:val="00DF0A7E"/>
    <w:rsid w:val="00DF4F04"/>
    <w:rsid w:val="00DF6B2B"/>
    <w:rsid w:val="00DF6E8E"/>
    <w:rsid w:val="00E007C1"/>
    <w:rsid w:val="00E03A78"/>
    <w:rsid w:val="00E07DF2"/>
    <w:rsid w:val="00E10D14"/>
    <w:rsid w:val="00E147E0"/>
    <w:rsid w:val="00E218DC"/>
    <w:rsid w:val="00E22EBE"/>
    <w:rsid w:val="00E26AAA"/>
    <w:rsid w:val="00E26E54"/>
    <w:rsid w:val="00E374A8"/>
    <w:rsid w:val="00E4147B"/>
    <w:rsid w:val="00E42E89"/>
    <w:rsid w:val="00E45814"/>
    <w:rsid w:val="00E47E61"/>
    <w:rsid w:val="00E53C62"/>
    <w:rsid w:val="00E60458"/>
    <w:rsid w:val="00E605DE"/>
    <w:rsid w:val="00E60CDD"/>
    <w:rsid w:val="00E62444"/>
    <w:rsid w:val="00E644EB"/>
    <w:rsid w:val="00E65238"/>
    <w:rsid w:val="00E65F36"/>
    <w:rsid w:val="00E65F64"/>
    <w:rsid w:val="00E67992"/>
    <w:rsid w:val="00E70B81"/>
    <w:rsid w:val="00E731A1"/>
    <w:rsid w:val="00E73425"/>
    <w:rsid w:val="00E76A2A"/>
    <w:rsid w:val="00E90C7E"/>
    <w:rsid w:val="00E93D72"/>
    <w:rsid w:val="00E96283"/>
    <w:rsid w:val="00EA2820"/>
    <w:rsid w:val="00EA50BA"/>
    <w:rsid w:val="00EA5412"/>
    <w:rsid w:val="00EA57EF"/>
    <w:rsid w:val="00EB03F5"/>
    <w:rsid w:val="00EB1BE8"/>
    <w:rsid w:val="00EB200D"/>
    <w:rsid w:val="00EB263C"/>
    <w:rsid w:val="00EC2AD9"/>
    <w:rsid w:val="00EC59C9"/>
    <w:rsid w:val="00EC5C1C"/>
    <w:rsid w:val="00EC75AD"/>
    <w:rsid w:val="00ED29AD"/>
    <w:rsid w:val="00ED377B"/>
    <w:rsid w:val="00EE1948"/>
    <w:rsid w:val="00EE2B7B"/>
    <w:rsid w:val="00EE424E"/>
    <w:rsid w:val="00EE4FC3"/>
    <w:rsid w:val="00EE5AAB"/>
    <w:rsid w:val="00EF0674"/>
    <w:rsid w:val="00EF26A5"/>
    <w:rsid w:val="00EF335B"/>
    <w:rsid w:val="00EF4798"/>
    <w:rsid w:val="00EF662A"/>
    <w:rsid w:val="00EF6E5B"/>
    <w:rsid w:val="00EF7A99"/>
    <w:rsid w:val="00EF7D9D"/>
    <w:rsid w:val="00F010E4"/>
    <w:rsid w:val="00F064EB"/>
    <w:rsid w:val="00F067B2"/>
    <w:rsid w:val="00F06D68"/>
    <w:rsid w:val="00F103C0"/>
    <w:rsid w:val="00F15932"/>
    <w:rsid w:val="00F210C4"/>
    <w:rsid w:val="00F21278"/>
    <w:rsid w:val="00F213B5"/>
    <w:rsid w:val="00F24674"/>
    <w:rsid w:val="00F24D03"/>
    <w:rsid w:val="00F25271"/>
    <w:rsid w:val="00F258DB"/>
    <w:rsid w:val="00F27161"/>
    <w:rsid w:val="00F3042A"/>
    <w:rsid w:val="00F35826"/>
    <w:rsid w:val="00F45FC6"/>
    <w:rsid w:val="00F51BA3"/>
    <w:rsid w:val="00F53491"/>
    <w:rsid w:val="00F54C76"/>
    <w:rsid w:val="00F621F0"/>
    <w:rsid w:val="00F6350C"/>
    <w:rsid w:val="00F6526D"/>
    <w:rsid w:val="00F66A1C"/>
    <w:rsid w:val="00F7318E"/>
    <w:rsid w:val="00F73226"/>
    <w:rsid w:val="00F73E4D"/>
    <w:rsid w:val="00F742AC"/>
    <w:rsid w:val="00F74837"/>
    <w:rsid w:val="00F768B2"/>
    <w:rsid w:val="00F80221"/>
    <w:rsid w:val="00F8121B"/>
    <w:rsid w:val="00F86808"/>
    <w:rsid w:val="00F942CC"/>
    <w:rsid w:val="00F94B10"/>
    <w:rsid w:val="00F9656B"/>
    <w:rsid w:val="00FA1511"/>
    <w:rsid w:val="00FA2035"/>
    <w:rsid w:val="00FA3614"/>
    <w:rsid w:val="00FA4839"/>
    <w:rsid w:val="00FA6053"/>
    <w:rsid w:val="00FA6507"/>
    <w:rsid w:val="00FB1448"/>
    <w:rsid w:val="00FB2469"/>
    <w:rsid w:val="00FB5313"/>
    <w:rsid w:val="00FB76A7"/>
    <w:rsid w:val="00FC1889"/>
    <w:rsid w:val="00FC4CC7"/>
    <w:rsid w:val="00FC6E18"/>
    <w:rsid w:val="00FD42A6"/>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paragraph" w:styleId="Heading2">
    <w:name w:val="heading 2"/>
    <w:basedOn w:val="Normal"/>
    <w:next w:val="Normal"/>
    <w:link w:val="Heading2Char"/>
    <w:uiPriority w:val="9"/>
    <w:semiHidden/>
    <w:unhideWhenUsed/>
    <w:qFormat/>
    <w:rsid w:val="00087A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1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paragraph" w:customStyle="1" w:styleId="2VIRSRAKSTS">
    <w:name w:val="2.VIRSRAKSTS"/>
    <w:basedOn w:val="Heading2"/>
    <w:autoRedefine/>
    <w:rsid w:val="00087AF6"/>
    <w:pPr>
      <w:keepLines w:val="0"/>
      <w:spacing w:before="0"/>
      <w:ind w:firstLine="684"/>
      <w:jc w:val="both"/>
    </w:pPr>
    <w:rPr>
      <w:rFonts w:ascii="Times New Roman" w:eastAsia="Times New Roman" w:hAnsi="Times New Roman" w:cs="Times New Roman"/>
      <w:color w:val="auto"/>
      <w:sz w:val="24"/>
      <w:szCs w:val="28"/>
      <w:lang w:val="lv-LV"/>
    </w:rPr>
  </w:style>
  <w:style w:type="character" w:customStyle="1" w:styleId="Heading2Char">
    <w:name w:val="Heading 2 Char"/>
    <w:basedOn w:val="DefaultParagraphFont"/>
    <w:link w:val="Heading2"/>
    <w:uiPriority w:val="9"/>
    <w:semiHidden/>
    <w:rsid w:val="00087AF6"/>
    <w:rPr>
      <w:rFonts w:asciiTheme="majorHAnsi" w:eastAsiaTheme="majorEastAsia" w:hAnsiTheme="majorHAnsi" w:cstheme="majorBidi"/>
      <w:b/>
      <w:bCs/>
      <w:color w:val="4F81BD" w:themeColor="accent1"/>
      <w:sz w:val="26"/>
      <w:szCs w:val="26"/>
      <w:lang w:val="en-AU" w:eastAsia="en-US"/>
    </w:rPr>
  </w:style>
  <w:style w:type="character" w:styleId="CommentReference">
    <w:name w:val="annotation reference"/>
    <w:basedOn w:val="DefaultParagraphFont"/>
    <w:uiPriority w:val="99"/>
    <w:semiHidden/>
    <w:unhideWhenUsed/>
    <w:rsid w:val="005253D3"/>
    <w:rPr>
      <w:sz w:val="16"/>
      <w:szCs w:val="16"/>
    </w:rPr>
  </w:style>
  <w:style w:type="paragraph" w:styleId="CommentText">
    <w:name w:val="annotation text"/>
    <w:basedOn w:val="Normal"/>
    <w:link w:val="CommentTextChar"/>
    <w:uiPriority w:val="99"/>
    <w:semiHidden/>
    <w:unhideWhenUsed/>
    <w:rsid w:val="005253D3"/>
  </w:style>
  <w:style w:type="character" w:customStyle="1" w:styleId="CommentTextChar">
    <w:name w:val="Comment Text Char"/>
    <w:basedOn w:val="DefaultParagraphFont"/>
    <w:link w:val="CommentText"/>
    <w:uiPriority w:val="99"/>
    <w:semiHidden/>
    <w:rsid w:val="005253D3"/>
    <w:rPr>
      <w:lang w:val="en-AU" w:eastAsia="en-US"/>
    </w:rPr>
  </w:style>
  <w:style w:type="paragraph" w:styleId="CommentSubject">
    <w:name w:val="annotation subject"/>
    <w:basedOn w:val="CommentText"/>
    <w:next w:val="CommentText"/>
    <w:link w:val="CommentSubjectChar"/>
    <w:uiPriority w:val="99"/>
    <w:semiHidden/>
    <w:unhideWhenUsed/>
    <w:rsid w:val="005253D3"/>
    <w:rPr>
      <w:b/>
      <w:bCs/>
    </w:rPr>
  </w:style>
  <w:style w:type="character" w:customStyle="1" w:styleId="CommentSubjectChar">
    <w:name w:val="Comment Subject Char"/>
    <w:basedOn w:val="CommentTextChar"/>
    <w:link w:val="CommentSubject"/>
    <w:uiPriority w:val="99"/>
    <w:semiHidden/>
    <w:rsid w:val="005253D3"/>
    <w:rPr>
      <w:b/>
      <w:bCs/>
    </w:rPr>
  </w:style>
  <w:style w:type="character" w:customStyle="1" w:styleId="Heading3Char">
    <w:name w:val="Heading 3 Char"/>
    <w:basedOn w:val="DefaultParagraphFont"/>
    <w:link w:val="Heading3"/>
    <w:uiPriority w:val="9"/>
    <w:rsid w:val="00701E41"/>
    <w:rPr>
      <w:rFonts w:asciiTheme="majorHAnsi" w:eastAsiaTheme="majorEastAsia" w:hAnsiTheme="majorHAnsi" w:cstheme="majorBidi"/>
      <w:b/>
      <w:bCs/>
      <w:color w:val="4F81BD" w:themeColor="accent1"/>
      <w:lang w:val="en-AU" w:eastAsia="en-US"/>
    </w:rPr>
  </w:style>
  <w:style w:type="character" w:styleId="FootnoteReference">
    <w:name w:val="footnote reference"/>
    <w:basedOn w:val="DefaultParagraphFont"/>
    <w:unhideWhenUsed/>
    <w:rsid w:val="00EC75AD"/>
    <w:rPr>
      <w:vertAlign w:val="superscript"/>
    </w:rPr>
  </w:style>
  <w:style w:type="paragraph" w:customStyle="1" w:styleId="c02alineaalta">
    <w:name w:val="c02alineaalta"/>
    <w:basedOn w:val="Normal"/>
    <w:rsid w:val="00EC75AD"/>
    <w:pPr>
      <w:spacing w:after="240"/>
      <w:ind w:left="567"/>
      <w:jc w:val="both"/>
    </w:pPr>
    <w:rPr>
      <w:rFonts w:eastAsia="Times New Roman"/>
      <w:sz w:val="24"/>
      <w:szCs w:val="24"/>
      <w:lang w:val="lv-LV" w:eastAsia="lv-LV"/>
    </w:rPr>
  </w:style>
  <w:style w:type="paragraph" w:styleId="PlainText">
    <w:name w:val="Plain Text"/>
    <w:basedOn w:val="Normal"/>
    <w:link w:val="PlainTextChar"/>
    <w:uiPriority w:val="99"/>
    <w:semiHidden/>
    <w:unhideWhenUsed/>
    <w:rsid w:val="00EC75AD"/>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EC75AD"/>
    <w:rPr>
      <w:rFonts w:ascii="Consolas" w:eastAsiaTheme="minorHAnsi" w:hAnsi="Consolas" w:cstheme="minorBidi"/>
      <w:sz w:val="21"/>
      <w:szCs w:val="21"/>
      <w:lang w:eastAsia="en-US"/>
    </w:rPr>
  </w:style>
  <w:style w:type="paragraph" w:styleId="Revision">
    <w:name w:val="Revision"/>
    <w:hidden/>
    <w:uiPriority w:val="99"/>
    <w:semiHidden/>
    <w:rsid w:val="00D642B6"/>
    <w:rPr>
      <w:lang w:val="en-AU" w:eastAsia="en-US"/>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36463713">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17033025">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797412269">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50175" TargetMode="External"/><Relationship Id="rId13" Type="http://schemas.openxmlformats.org/officeDocument/2006/relationships/hyperlink" Target="http://www.l2d.lv/l.php?doc_id=182993" TargetMode="External"/><Relationship Id="rId18" Type="http://schemas.openxmlformats.org/officeDocument/2006/relationships/hyperlink" Target="http://eur-lex.europa.eu/LexUriServ/LexUriServ.do?uri=CELEX:31999R1260:LV:HTML" TargetMode="External"/><Relationship Id="rId26" Type="http://schemas.openxmlformats.org/officeDocument/2006/relationships/hyperlink" Target="http://eur-lex.europa.eu/LexUriServ/LexUriServ.do?uri=CELEX:32006R1080:LV:HTML" TargetMode="External"/><Relationship Id="rId3" Type="http://schemas.openxmlformats.org/officeDocument/2006/relationships/styles" Target="styles.xml"/><Relationship Id="rId21" Type="http://schemas.openxmlformats.org/officeDocument/2006/relationships/hyperlink" Target="http://eur-lex.europa.eu/LexUriServ/LexUriServ.do?uri=CELEX:32006R1080:LV:HTML" TargetMode="External"/><Relationship Id="rId7" Type="http://schemas.openxmlformats.org/officeDocument/2006/relationships/endnotes" Target="endnotes.xml"/><Relationship Id="rId12" Type="http://schemas.openxmlformats.org/officeDocument/2006/relationships/hyperlink" Target="http://www.l2d.lv/l.php?doc_id=150175" TargetMode="External"/><Relationship Id="rId17" Type="http://schemas.openxmlformats.org/officeDocument/2006/relationships/hyperlink" Target="http://eur-lex.europa.eu/LexUriServ/LexUriServ.do?uri=CELEX:32006R1083:LV:HTML" TargetMode="External"/><Relationship Id="rId25" Type="http://schemas.openxmlformats.org/officeDocument/2006/relationships/hyperlink" Target="http://eur-lex.europa.eu/LexUriServ/LexUriServ.do?uri=CELEX:32006R1083:LV:HTML" TargetMode="External"/><Relationship Id="rId2" Type="http://schemas.openxmlformats.org/officeDocument/2006/relationships/numbering" Target="numbering.xml"/><Relationship Id="rId16" Type="http://schemas.openxmlformats.org/officeDocument/2006/relationships/hyperlink" Target="http://www.l2d.lv/l.php?doc_id=182993" TargetMode="External"/><Relationship Id="rId20" Type="http://schemas.openxmlformats.org/officeDocument/2006/relationships/hyperlink" Target="http://eur-lex.europa.eu/LexUriServ/LexUriServ.do?uri=CELEX:32006R1083:LV: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182993" TargetMode="External"/><Relationship Id="rId24" Type="http://schemas.openxmlformats.org/officeDocument/2006/relationships/hyperlink" Target="http://eur-lex.europa.eu/LexUriServ/LexUriServ.do?uri=CELEX:32006R1828:LV:HTML" TargetMode="External"/><Relationship Id="rId5" Type="http://schemas.openxmlformats.org/officeDocument/2006/relationships/webSettings" Target="webSettings.xml"/><Relationship Id="rId15" Type="http://schemas.openxmlformats.org/officeDocument/2006/relationships/hyperlink" Target="http://www.l2d.lv/l.php?doc_id=182993" TargetMode="External"/><Relationship Id="rId23" Type="http://schemas.openxmlformats.org/officeDocument/2006/relationships/hyperlink" Target="http://eur-lex.europa.eu/LexUriServ/LexUriServ.do?uri=CELEX:31999R1260:LV:HTML" TargetMode="External"/><Relationship Id="rId28" Type="http://schemas.openxmlformats.org/officeDocument/2006/relationships/footer" Target="footer1.xml"/><Relationship Id="rId10" Type="http://schemas.openxmlformats.org/officeDocument/2006/relationships/hyperlink" Target="http://www.l2d.lv/l.php?doc_id=150175" TargetMode="External"/><Relationship Id="rId19" Type="http://schemas.openxmlformats.org/officeDocument/2006/relationships/hyperlink" Target="http://eur-lex.europa.eu/LexUriServ/LexUriServ.do?uri=CELEX:32006R1828:LV: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2d.lv/l.php?doc_id=182993" TargetMode="External"/><Relationship Id="rId14" Type="http://schemas.openxmlformats.org/officeDocument/2006/relationships/hyperlink" Target="http://www.l2d.lv/l.php?doc_id=190612" TargetMode="External"/><Relationship Id="rId22" Type="http://schemas.openxmlformats.org/officeDocument/2006/relationships/hyperlink" Target="http://eur-lex.europa.eu/LexUriServ/LexUriServ.do?uri=CELEX:32006R1083:LV:HTM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D41EF2-A534-4450-BADD-98AB9AD5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1932</Words>
  <Characters>13566</Characters>
  <Application>Microsoft Office Word</Application>
  <DocSecurity>0</DocSecurity>
  <Lines>565</Lines>
  <Paragraphs>227</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„Uzņēmējdarbība un inovācijas” papildinājuma 2.2.1.1.aktivitāti „Ieguldījumu fonds ieguldījumiem garantijās, paaugstināta riska aizdevumos, riska kapitāla fondos un cita veida finanšu</vt:lpstr>
    </vt:vector>
  </TitlesOfParts>
  <Company>LR Ekonomikas ministrija</Company>
  <LinksUpToDate>false</LinksUpToDate>
  <CharactersWithSpaces>15271</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„Uzņēmējdarbība un inovācijas” papildinājuma 2.2.1.1.aktivitāti „Ieguldījumu fonds ieguldījumiem garantijās, paaugstināta riska aizdevumos, riska kapitāla fondos un cita veida finanšu instrumentos” sākotnējās ietekmes novērtējuma ziņojums (anotācija)</dc:title>
  <dc:subject>Sākotnējās ietekmes novērtējuma ziņojums (anotācija)</dc:subject>
  <dc:creator>Gatis Sniedziņš</dc:creator>
  <cp:keywords/>
  <dc:description>67013044; Gatis.Sniedzins@em.gov.lv</dc:description>
  <cp:lastModifiedBy>Gatis Sniedziņš</cp:lastModifiedBy>
  <cp:revision>22</cp:revision>
  <cp:lastPrinted>2010-03-29T10:15:00Z</cp:lastPrinted>
  <dcterms:created xsi:type="dcterms:W3CDTF">2011-09-08T09:34:00Z</dcterms:created>
  <dcterms:modified xsi:type="dcterms:W3CDTF">2011-10-14T08:03:00Z</dcterms:modified>
</cp:coreProperties>
</file>