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A2" w:rsidRPr="0077773E" w:rsidRDefault="002A1BA2" w:rsidP="002A1BA2">
      <w:pPr>
        <w:jc w:val="center"/>
        <w:rPr>
          <w:b/>
          <w:sz w:val="26"/>
          <w:szCs w:val="26"/>
        </w:rPr>
      </w:pPr>
      <w:bookmarkStart w:id="0" w:name="OLE_LINK3"/>
      <w:bookmarkStart w:id="1" w:name="OLE_LINK4"/>
      <w:bookmarkStart w:id="2" w:name="OLE_LINK1"/>
      <w:bookmarkStart w:id="3" w:name="OLE_LINK2"/>
      <w:r w:rsidRPr="0077773E">
        <w:rPr>
          <w:b/>
          <w:sz w:val="26"/>
          <w:szCs w:val="26"/>
        </w:rPr>
        <w:t>Noteikumu projekta „</w:t>
      </w:r>
      <w:r w:rsidRPr="0077773E">
        <w:rPr>
          <w:b/>
          <w:bCs/>
          <w:sz w:val="26"/>
          <w:szCs w:val="26"/>
        </w:rPr>
        <w:t>Grozījum</w:t>
      </w:r>
      <w:r w:rsidR="00E33B79" w:rsidRPr="0077773E">
        <w:rPr>
          <w:b/>
          <w:bCs/>
          <w:sz w:val="26"/>
          <w:szCs w:val="26"/>
        </w:rPr>
        <w:t>s</w:t>
      </w:r>
      <w:r w:rsidRPr="0077773E">
        <w:rPr>
          <w:b/>
          <w:bCs/>
          <w:sz w:val="26"/>
          <w:szCs w:val="26"/>
        </w:rPr>
        <w:t xml:space="preserve"> Ministru kabineta 2011.gada 29.marta noteikumos Nr.245 „</w:t>
      </w:r>
      <w:r w:rsidRPr="0077773E">
        <w:rPr>
          <w:b/>
          <w:sz w:val="26"/>
          <w:szCs w:val="26"/>
        </w:rPr>
        <w:t xml:space="preserve">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w:t>
      </w:r>
      <w:bookmarkEnd w:id="0"/>
      <w:bookmarkEnd w:id="1"/>
      <w:r w:rsidRPr="0077773E">
        <w:rPr>
          <w:b/>
          <w:sz w:val="26"/>
          <w:szCs w:val="26"/>
        </w:rPr>
        <w:t xml:space="preserve">sākotnējās ietekmes novērtējuma </w:t>
      </w:r>
      <w:smartTag w:uri="schemas-tilde-lv/tildestengine" w:element="veidnes">
        <w:smartTagPr>
          <w:attr w:name="text" w:val="ziņojums&#10;"/>
          <w:attr w:name="baseform" w:val="ziņojums"/>
          <w:attr w:name="id" w:val="-1"/>
        </w:smartTagPr>
        <w:r w:rsidRPr="0077773E">
          <w:rPr>
            <w:b/>
            <w:sz w:val="26"/>
            <w:szCs w:val="26"/>
          </w:rPr>
          <w:t>ziņojums</w:t>
        </w:r>
      </w:smartTag>
      <w:bookmarkEnd w:id="2"/>
      <w:bookmarkEnd w:id="3"/>
    </w:p>
    <w:p w:rsidR="002A1BA2" w:rsidRPr="0077773E" w:rsidRDefault="002A1BA2" w:rsidP="002A1BA2">
      <w:pPr>
        <w:pStyle w:val="naislab"/>
        <w:spacing w:before="0" w:after="0"/>
        <w:jc w:val="center"/>
        <w:outlineLvl w:val="0"/>
        <w:rPr>
          <w:b/>
          <w:sz w:val="26"/>
          <w:szCs w:val="26"/>
        </w:rPr>
      </w:pPr>
      <w:r w:rsidRPr="0077773E">
        <w:rPr>
          <w:b/>
          <w:sz w:val="26"/>
          <w:szCs w:val="26"/>
        </w:rPr>
        <w:t>(anotācija)</w:t>
      </w:r>
    </w:p>
    <w:p w:rsidR="002A1BA2" w:rsidRPr="00D92592" w:rsidRDefault="002A1BA2" w:rsidP="002A1BA2">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505"/>
        <w:gridCol w:w="7490"/>
      </w:tblGrid>
      <w:tr w:rsidR="002A1BA2" w:rsidRPr="0077773E" w:rsidTr="001A0A4A">
        <w:tc>
          <w:tcPr>
            <w:tcW w:w="9480" w:type="dxa"/>
            <w:gridSpan w:val="3"/>
            <w:vAlign w:val="center"/>
          </w:tcPr>
          <w:p w:rsidR="002A1BA2" w:rsidRPr="0077773E" w:rsidRDefault="002A1BA2" w:rsidP="001A0A4A">
            <w:pPr>
              <w:pStyle w:val="naisnod"/>
              <w:spacing w:before="0" w:after="0"/>
              <w:rPr>
                <w:sz w:val="26"/>
                <w:szCs w:val="26"/>
              </w:rPr>
            </w:pPr>
            <w:r w:rsidRPr="0077773E">
              <w:rPr>
                <w:sz w:val="26"/>
                <w:szCs w:val="26"/>
              </w:rPr>
              <w:t>I. Tiesību akta projekta izstrādes nepieciešamība</w:t>
            </w:r>
          </w:p>
        </w:tc>
      </w:tr>
      <w:tr w:rsidR="002A1BA2" w:rsidRPr="0077773E" w:rsidTr="00F00987">
        <w:trPr>
          <w:trHeight w:val="630"/>
        </w:trPr>
        <w:tc>
          <w:tcPr>
            <w:tcW w:w="485" w:type="dxa"/>
          </w:tcPr>
          <w:p w:rsidR="002A1BA2" w:rsidRPr="0077773E" w:rsidRDefault="002A1BA2" w:rsidP="001A0A4A">
            <w:pPr>
              <w:pStyle w:val="naiskr"/>
              <w:spacing w:before="0" w:after="0"/>
              <w:rPr>
                <w:sz w:val="26"/>
                <w:szCs w:val="26"/>
              </w:rPr>
            </w:pPr>
            <w:r w:rsidRPr="0077773E">
              <w:rPr>
                <w:sz w:val="26"/>
                <w:szCs w:val="26"/>
              </w:rPr>
              <w:t>1.</w:t>
            </w:r>
          </w:p>
        </w:tc>
        <w:tc>
          <w:tcPr>
            <w:tcW w:w="1505" w:type="dxa"/>
          </w:tcPr>
          <w:p w:rsidR="002A1BA2" w:rsidRPr="0077773E" w:rsidRDefault="002A1BA2" w:rsidP="001A0A4A">
            <w:pPr>
              <w:pStyle w:val="naiskr"/>
              <w:spacing w:before="0" w:after="0"/>
              <w:ind w:hanging="10"/>
              <w:rPr>
                <w:sz w:val="26"/>
                <w:szCs w:val="26"/>
              </w:rPr>
            </w:pPr>
            <w:r w:rsidRPr="0077773E">
              <w:rPr>
                <w:sz w:val="26"/>
                <w:szCs w:val="26"/>
              </w:rPr>
              <w:t>Pamatojums</w:t>
            </w:r>
          </w:p>
        </w:tc>
        <w:tc>
          <w:tcPr>
            <w:tcW w:w="7490" w:type="dxa"/>
          </w:tcPr>
          <w:p w:rsidR="002A1BA2" w:rsidRPr="0077773E" w:rsidRDefault="00615F4F" w:rsidP="00BB7477">
            <w:pPr>
              <w:pStyle w:val="HTMLPreformatted"/>
              <w:ind w:left="70" w:right="119"/>
              <w:jc w:val="both"/>
              <w:rPr>
                <w:rFonts w:ascii="Times New Roman" w:hAnsi="Times New Roman" w:cs="Times New Roman"/>
                <w:sz w:val="26"/>
                <w:szCs w:val="26"/>
              </w:rPr>
            </w:pPr>
            <w:r w:rsidRPr="0077773E">
              <w:rPr>
                <w:rFonts w:ascii="Times New Roman" w:hAnsi="Times New Roman" w:cs="Times New Roman"/>
                <w:sz w:val="26"/>
                <w:szCs w:val="26"/>
              </w:rPr>
              <w:t>MKK 2011.gada 18.jūlija sēdes protokola Nr.28 2.§ 3.punkts</w:t>
            </w:r>
          </w:p>
        </w:tc>
      </w:tr>
      <w:tr w:rsidR="002A1BA2" w:rsidRPr="0077773E" w:rsidTr="00F00987">
        <w:trPr>
          <w:trHeight w:val="472"/>
        </w:trPr>
        <w:tc>
          <w:tcPr>
            <w:tcW w:w="485" w:type="dxa"/>
          </w:tcPr>
          <w:p w:rsidR="002A1BA2" w:rsidRPr="0077773E" w:rsidRDefault="002A1BA2" w:rsidP="001A0A4A">
            <w:pPr>
              <w:pStyle w:val="naiskr"/>
              <w:spacing w:before="0" w:after="0"/>
              <w:rPr>
                <w:sz w:val="26"/>
                <w:szCs w:val="26"/>
              </w:rPr>
            </w:pPr>
            <w:r w:rsidRPr="0077773E">
              <w:rPr>
                <w:sz w:val="26"/>
                <w:szCs w:val="26"/>
              </w:rPr>
              <w:t>2.</w:t>
            </w:r>
          </w:p>
        </w:tc>
        <w:tc>
          <w:tcPr>
            <w:tcW w:w="1505" w:type="dxa"/>
          </w:tcPr>
          <w:p w:rsidR="002A1BA2" w:rsidRPr="0077773E" w:rsidRDefault="002A1BA2" w:rsidP="001A0A4A">
            <w:pPr>
              <w:pStyle w:val="naiskr"/>
              <w:tabs>
                <w:tab w:val="left" w:pos="170"/>
              </w:tabs>
              <w:spacing w:before="0" w:after="0"/>
              <w:rPr>
                <w:sz w:val="26"/>
                <w:szCs w:val="26"/>
              </w:rPr>
            </w:pPr>
            <w:r w:rsidRPr="0077773E">
              <w:rPr>
                <w:sz w:val="26"/>
                <w:szCs w:val="26"/>
              </w:rPr>
              <w:t>Pašreizējā situācija un problēmas</w:t>
            </w:r>
          </w:p>
        </w:tc>
        <w:tc>
          <w:tcPr>
            <w:tcW w:w="7490" w:type="dxa"/>
          </w:tcPr>
          <w:p w:rsidR="005C584F" w:rsidRPr="0077773E" w:rsidRDefault="00BB7477" w:rsidP="00BB7477">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6"/>
                <w:szCs w:val="26"/>
              </w:rPr>
            </w:pPr>
            <w:r w:rsidRPr="0077773E">
              <w:rPr>
                <w:sz w:val="26"/>
                <w:szCs w:val="26"/>
              </w:rPr>
              <w:t>Pamatojoties uz PTAL 8.panta 1.</w:t>
            </w:r>
            <w:r w:rsidRPr="0077773E">
              <w:rPr>
                <w:sz w:val="26"/>
                <w:szCs w:val="26"/>
                <w:vertAlign w:val="superscript"/>
              </w:rPr>
              <w:t xml:space="preserve">1 </w:t>
            </w:r>
            <w:r w:rsidRPr="0077773E">
              <w:rPr>
                <w:sz w:val="26"/>
                <w:szCs w:val="26"/>
              </w:rPr>
              <w:t xml:space="preserve">daļā doto deleģējumu, 2011.gada 29.martā Ministru kabinets apstiprināja noteikumus Nr.245 </w:t>
            </w:r>
            <w:r w:rsidRPr="0077773E">
              <w:rPr>
                <w:bCs/>
                <w:sz w:val="26"/>
                <w:szCs w:val="26"/>
              </w:rPr>
              <w:t>„</w:t>
            </w:r>
            <w:r w:rsidRPr="0077773E">
              <w:rPr>
                <w:sz w:val="26"/>
                <w:szCs w:val="26"/>
              </w:rPr>
              <w:t xml:space="preserve">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(turpmāk – Noteikumi). </w:t>
            </w:r>
            <w:r w:rsidR="005C584F" w:rsidRPr="0077773E">
              <w:rPr>
                <w:sz w:val="26"/>
                <w:szCs w:val="26"/>
              </w:rPr>
              <w:t xml:space="preserve"> </w:t>
            </w:r>
          </w:p>
          <w:p w:rsidR="005C584F" w:rsidRPr="0077773E" w:rsidRDefault="005C584F" w:rsidP="00BB7477">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6"/>
                <w:szCs w:val="26"/>
              </w:rPr>
            </w:pPr>
            <w:r w:rsidRPr="0077773E">
              <w:rPr>
                <w:sz w:val="26"/>
                <w:szCs w:val="26"/>
              </w:rPr>
              <w:t xml:space="preserve">Lai nodrošinātu iespēju Patērētāju tiesību aizsardzības centram (turpmāk – PTAC) izvērtēt kapitālsabiedrības atbilstību Noteikumu 9.2.apakšpunktā noteiktajam, ka  kapitālsabiedrībai nav nokavēti nodokļu, nodevu vai citi obligātie maksājumi valsts budžetā, un 9.5.apakšpunktā noteiktajam par finanšu līdzekļu, ko iegulda kapitālsabiedrības pamatkapitālā, iegūšanu tiesiskā ceļā, nepieciešams papildināt noteikumu 12.punktu ar papildus saņemamo informāciju no ārvalstu komercsabiedrībām un kapitālsabiedrības dibinātājiem – nerezidentiem, ņemot vērā, ka dokumentu ieguve no attiecīgās valsts atbildīgās iestādes šādos gadījumos ir apgrūtināta. </w:t>
            </w:r>
          </w:p>
          <w:p w:rsidR="002C677A" w:rsidRPr="0077773E" w:rsidRDefault="00615F4F" w:rsidP="0077773E">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0" w:firstLine="425"/>
              <w:jc w:val="both"/>
              <w:rPr>
                <w:sz w:val="26"/>
                <w:szCs w:val="26"/>
              </w:rPr>
            </w:pPr>
            <w:r w:rsidRPr="0077773E">
              <w:rPr>
                <w:sz w:val="26"/>
                <w:szCs w:val="26"/>
              </w:rPr>
              <w:t>Š.g. 18.jūlijā Ministru kabineta komitejas sēdē tika izskatīts Ekonomikas ministrijas sagatavotais noteikumu projekts „</w:t>
            </w:r>
            <w:r w:rsidRPr="0077773E">
              <w:rPr>
                <w:bCs/>
                <w:sz w:val="26"/>
                <w:szCs w:val="26"/>
              </w:rPr>
              <w:t>Grozījumi Ministru kabineta 2011.gada 29.marta noteikumos Nr.245 „</w:t>
            </w:r>
            <w:r w:rsidRPr="0077773E">
              <w:rPr>
                <w:sz w:val="26"/>
                <w:szCs w:val="26"/>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w:t>
            </w:r>
            <w:r w:rsidRPr="0077773E">
              <w:rPr>
                <w:bCs/>
                <w:sz w:val="26"/>
                <w:szCs w:val="26"/>
              </w:rPr>
              <w:t>TA-1719), kura mērķis cita starpā bija precizēt iesniedzamo informāciju licences saņemšanai, ja pieteikuma iesniedzējs ir ārvalstu komercsabiedrība vai komercsabiedrības dibinātāji ir nerezidenti</w:t>
            </w:r>
            <w:r w:rsidR="003F59E7" w:rsidRPr="0077773E">
              <w:rPr>
                <w:sz w:val="26"/>
                <w:szCs w:val="26"/>
              </w:rPr>
              <w:t>.</w:t>
            </w:r>
            <w:r w:rsidR="005C584F" w:rsidRPr="0077773E">
              <w:rPr>
                <w:sz w:val="26"/>
                <w:szCs w:val="26"/>
              </w:rPr>
              <w:t xml:space="preserve">  Atbilstoši MKK 2011.gada 18.jūlija sēdes protokola Nr.28 2.§ 3.punktam tika nolemts šo noteikumu projekta punktu turpināt saskaņot ar Tieslietu ministriju, ņemot vērā Lietuvas un Igaunijas, kā arī Ziemeļeiropas valstu praksi nepieciešamo dokumentu pieprasīšanā, un attiecīgu noteikumu projektu iesniegt izskatīšanai Ministru kabinetā.</w:t>
            </w:r>
          </w:p>
        </w:tc>
      </w:tr>
      <w:tr w:rsidR="002A1BA2" w:rsidRPr="0077773E" w:rsidTr="00F00987">
        <w:trPr>
          <w:trHeight w:val="530"/>
        </w:trPr>
        <w:tc>
          <w:tcPr>
            <w:tcW w:w="485" w:type="dxa"/>
          </w:tcPr>
          <w:p w:rsidR="002A1BA2" w:rsidRPr="0077773E" w:rsidRDefault="002A1BA2" w:rsidP="001A0A4A">
            <w:pPr>
              <w:pStyle w:val="naiskr"/>
              <w:spacing w:before="0" w:after="0"/>
              <w:rPr>
                <w:sz w:val="26"/>
                <w:szCs w:val="26"/>
              </w:rPr>
            </w:pPr>
            <w:r w:rsidRPr="0077773E">
              <w:rPr>
                <w:sz w:val="26"/>
                <w:szCs w:val="26"/>
              </w:rPr>
              <w:lastRenderedPageBreak/>
              <w:t>3.</w:t>
            </w:r>
          </w:p>
        </w:tc>
        <w:tc>
          <w:tcPr>
            <w:tcW w:w="1505" w:type="dxa"/>
          </w:tcPr>
          <w:p w:rsidR="002A1BA2" w:rsidRPr="0077773E" w:rsidRDefault="002A1BA2" w:rsidP="001A0A4A">
            <w:pPr>
              <w:pStyle w:val="naiskr"/>
              <w:spacing w:before="0" w:after="0"/>
              <w:rPr>
                <w:sz w:val="26"/>
                <w:szCs w:val="26"/>
              </w:rPr>
            </w:pPr>
            <w:r w:rsidRPr="0077773E">
              <w:rPr>
                <w:sz w:val="26"/>
                <w:szCs w:val="26"/>
              </w:rPr>
              <w:t>Saistītie politikas ietekmes novērtējumi un pētījumi</w:t>
            </w:r>
          </w:p>
        </w:tc>
        <w:tc>
          <w:tcPr>
            <w:tcW w:w="7490" w:type="dxa"/>
          </w:tcPr>
          <w:p w:rsidR="002A1BA2" w:rsidRPr="0077773E" w:rsidRDefault="002A1BA2" w:rsidP="001A0A4A">
            <w:pPr>
              <w:pStyle w:val="FootnoteText"/>
              <w:rPr>
                <w:sz w:val="26"/>
                <w:szCs w:val="26"/>
              </w:rPr>
            </w:pPr>
            <w:r w:rsidRPr="0077773E">
              <w:rPr>
                <w:sz w:val="26"/>
                <w:szCs w:val="26"/>
              </w:rPr>
              <w:t>Projekts šo jomu neskar</w:t>
            </w:r>
          </w:p>
        </w:tc>
      </w:tr>
      <w:tr w:rsidR="002A1BA2" w:rsidRPr="0077773E" w:rsidTr="00F00987">
        <w:trPr>
          <w:trHeight w:val="384"/>
        </w:trPr>
        <w:tc>
          <w:tcPr>
            <w:tcW w:w="485" w:type="dxa"/>
          </w:tcPr>
          <w:p w:rsidR="002A1BA2" w:rsidRPr="0077773E" w:rsidRDefault="002A1BA2" w:rsidP="001A0A4A">
            <w:pPr>
              <w:pStyle w:val="naiskr"/>
              <w:spacing w:before="0" w:after="0"/>
              <w:rPr>
                <w:sz w:val="26"/>
                <w:szCs w:val="26"/>
              </w:rPr>
            </w:pPr>
            <w:r w:rsidRPr="0077773E">
              <w:rPr>
                <w:sz w:val="26"/>
                <w:szCs w:val="26"/>
              </w:rPr>
              <w:t>4.</w:t>
            </w:r>
          </w:p>
        </w:tc>
        <w:tc>
          <w:tcPr>
            <w:tcW w:w="1505" w:type="dxa"/>
          </w:tcPr>
          <w:p w:rsidR="002A1BA2" w:rsidRPr="0077773E" w:rsidRDefault="002A1BA2" w:rsidP="001A0A4A">
            <w:pPr>
              <w:pStyle w:val="naiskr"/>
              <w:spacing w:before="0" w:after="0"/>
              <w:rPr>
                <w:sz w:val="26"/>
                <w:szCs w:val="26"/>
              </w:rPr>
            </w:pPr>
            <w:r w:rsidRPr="0077773E">
              <w:rPr>
                <w:sz w:val="26"/>
                <w:szCs w:val="26"/>
              </w:rPr>
              <w:t>Tiesiskā regulējuma mērķis un būtība</w:t>
            </w:r>
          </w:p>
        </w:tc>
        <w:tc>
          <w:tcPr>
            <w:tcW w:w="7490" w:type="dxa"/>
          </w:tcPr>
          <w:p w:rsidR="00F00987" w:rsidRPr="0077773E" w:rsidRDefault="00F00987" w:rsidP="00F00987">
            <w:pPr>
              <w:ind w:left="125" w:right="115" w:firstLine="370"/>
              <w:jc w:val="both"/>
              <w:rPr>
                <w:sz w:val="26"/>
                <w:szCs w:val="26"/>
              </w:rPr>
            </w:pPr>
            <w:r w:rsidRPr="0077773E">
              <w:rPr>
                <w:sz w:val="26"/>
                <w:szCs w:val="26"/>
              </w:rPr>
              <w:t xml:space="preserve">Noteikumu projekts izstrādāts, lai precizētu </w:t>
            </w:r>
            <w:r w:rsidRPr="0077773E">
              <w:rPr>
                <w:bCs/>
                <w:sz w:val="26"/>
                <w:szCs w:val="26"/>
              </w:rPr>
              <w:t>Ministru kabineta 2011.gada 29.marta noteikumos Nr.245 „</w:t>
            </w:r>
            <w:r w:rsidRPr="0077773E">
              <w:rPr>
                <w:sz w:val="26"/>
                <w:szCs w:val="26"/>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00E33B79" w:rsidRPr="0077773E">
              <w:rPr>
                <w:sz w:val="26"/>
                <w:szCs w:val="26"/>
              </w:rPr>
              <w:t xml:space="preserve"> (turpmāk tekstā – Noteikumi)</w:t>
            </w:r>
            <w:r w:rsidRPr="0077773E">
              <w:rPr>
                <w:sz w:val="26"/>
                <w:szCs w:val="26"/>
              </w:rPr>
              <w:t xml:space="preserve"> </w:t>
            </w:r>
            <w:r w:rsidR="00E33B79" w:rsidRPr="0077773E">
              <w:rPr>
                <w:sz w:val="26"/>
                <w:szCs w:val="26"/>
              </w:rPr>
              <w:t xml:space="preserve">ietverto </w:t>
            </w:r>
            <w:r w:rsidRPr="0077773E">
              <w:rPr>
                <w:sz w:val="26"/>
                <w:szCs w:val="26"/>
              </w:rPr>
              <w:t>regulējumu attiecībā uz prasībām licences saņemšanai.</w:t>
            </w:r>
          </w:p>
          <w:p w:rsidR="00EE3923" w:rsidRPr="0077773E" w:rsidRDefault="005C584F" w:rsidP="00E33B79">
            <w:pPr>
              <w:ind w:left="125" w:right="115" w:firstLine="370"/>
              <w:jc w:val="both"/>
              <w:rPr>
                <w:sz w:val="26"/>
                <w:szCs w:val="26"/>
              </w:rPr>
            </w:pPr>
            <w:r w:rsidRPr="0077773E">
              <w:rPr>
                <w:sz w:val="26"/>
                <w:szCs w:val="26"/>
              </w:rPr>
              <w:t>N</w:t>
            </w:r>
            <w:r w:rsidR="00615F4F" w:rsidRPr="0077773E">
              <w:rPr>
                <w:sz w:val="26"/>
                <w:szCs w:val="26"/>
              </w:rPr>
              <w:t>oteikumu projekts paredz papildināt Noteikumu 12.punktu ar papildus informāciju</w:t>
            </w:r>
            <w:r w:rsidR="00E33B79" w:rsidRPr="0077773E">
              <w:rPr>
                <w:sz w:val="26"/>
                <w:szCs w:val="26"/>
              </w:rPr>
              <w:t>, ko iesniedz ārvalstu komercsabiedrības</w:t>
            </w:r>
            <w:r w:rsidR="00615F4F" w:rsidRPr="0077773E">
              <w:rPr>
                <w:sz w:val="26"/>
                <w:szCs w:val="26"/>
              </w:rPr>
              <w:t xml:space="preserve"> un</w:t>
            </w:r>
            <w:r w:rsidR="00E33B79" w:rsidRPr="0077773E">
              <w:rPr>
                <w:sz w:val="26"/>
                <w:szCs w:val="26"/>
              </w:rPr>
              <w:t xml:space="preserve"> kapitālsabiedrības dibinātāji – nerezidenti</w:t>
            </w:r>
            <w:r w:rsidR="00615F4F" w:rsidRPr="0077773E">
              <w:rPr>
                <w:sz w:val="26"/>
                <w:szCs w:val="26"/>
              </w:rPr>
              <w:t xml:space="preserve">, kas ļautu </w:t>
            </w:r>
            <w:r w:rsidRPr="0077773E">
              <w:rPr>
                <w:sz w:val="26"/>
                <w:szCs w:val="26"/>
              </w:rPr>
              <w:t>PTAC</w:t>
            </w:r>
            <w:r w:rsidR="00615F4F" w:rsidRPr="0077773E">
              <w:rPr>
                <w:sz w:val="26"/>
                <w:szCs w:val="26"/>
              </w:rPr>
              <w:t xml:space="preserve"> izvērtēt kapitālsabiedrības atbilstību Noteikumu 9.5.apakšpunktā noteiktajam par finanšu līdzekļi, ko iegulda kapitālsabiedrības pamatkapitālā, iegūšanu tiesiskā ceļā, kā arī Noteikumu 9.2.apakšpunktā noteiktajam, ka  kapitālsabiedrībai nav nokavēti nodokļu, nodevu vai citi obligātie maksājumi valsts budžetā. Minētās prasības noteiktas pēc analoģijas ar  </w:t>
            </w:r>
            <w:r w:rsidR="00C603F8" w:rsidRPr="0077773E">
              <w:rPr>
                <w:sz w:val="26"/>
                <w:szCs w:val="26"/>
              </w:rPr>
              <w:t xml:space="preserve">25.09.2009. Finanšu un kapitāla tirgus komisijas (turpmāk – </w:t>
            </w:r>
            <w:r w:rsidR="00615F4F" w:rsidRPr="0077773E">
              <w:rPr>
                <w:sz w:val="26"/>
                <w:szCs w:val="26"/>
              </w:rPr>
              <w:t>FKTK</w:t>
            </w:r>
            <w:r w:rsidR="00C603F8" w:rsidRPr="0077773E">
              <w:rPr>
                <w:sz w:val="26"/>
                <w:szCs w:val="26"/>
              </w:rPr>
              <w:t>)</w:t>
            </w:r>
            <w:r w:rsidR="00615F4F" w:rsidRPr="0077773E">
              <w:rPr>
                <w:sz w:val="26"/>
                <w:szCs w:val="26"/>
              </w:rPr>
              <w:t xml:space="preserve"> noteikumiem Nr.112 "Licenču kredītiestādes un krājaizdevu sabiedrības darbības veikšanai izsniegšanas, atsevišķu kredītiestāžu un krājaizdevu sabiedrību darbību reglamentējošo atļauju saņemšanas, dokumentu saskaņošanas un informācijas sniegšanas normatīvie noteikumi", kas nosaka šādu pašu prasību vērtēšanu kredītiestādēm licences saņemšanai. Attiecībā uz Latvijā reģistrētiem uzņēmumiem un Latvijas rezidentiem, kas apmaksājuši kapitālsabiedrības pamatkapitālu, atbilstoši Noteikumu 13.1.apakšpunktam PTAC minēto informāciju saskaņā ar labas pārvaldības principu iegūst pats. Tādējādi </w:t>
            </w:r>
            <w:r w:rsidRPr="0077773E">
              <w:rPr>
                <w:sz w:val="26"/>
                <w:szCs w:val="26"/>
              </w:rPr>
              <w:t xml:space="preserve">tiek nodrošināts, ka </w:t>
            </w:r>
            <w:r w:rsidR="00615F4F" w:rsidRPr="0077773E">
              <w:rPr>
                <w:sz w:val="26"/>
                <w:szCs w:val="26"/>
              </w:rPr>
              <w:t>gan ārvalstu, gan Latvijā dibināti uzņēmumi tiek vērtēti pēc vienotiem kritērijiem</w:t>
            </w:r>
            <w:r w:rsidRPr="0077773E">
              <w:rPr>
                <w:sz w:val="26"/>
                <w:szCs w:val="26"/>
              </w:rPr>
              <w:t xml:space="preserve">, vienlaikus neaizkavējot licences pieteikuma izskatīšanu attiecībā uz kapitālsabiedrībām, </w:t>
            </w:r>
            <w:r w:rsidR="00C11498" w:rsidRPr="0077773E">
              <w:rPr>
                <w:sz w:val="26"/>
                <w:szCs w:val="26"/>
              </w:rPr>
              <w:t>par kurām nepieciešama informācija no ārvalstu atbildīgajām iestādēm</w:t>
            </w:r>
            <w:r w:rsidR="00615F4F" w:rsidRPr="0077773E">
              <w:rPr>
                <w:sz w:val="26"/>
                <w:szCs w:val="26"/>
              </w:rPr>
              <w:t>.</w:t>
            </w:r>
          </w:p>
        </w:tc>
      </w:tr>
      <w:tr w:rsidR="002A1BA2" w:rsidRPr="0077773E" w:rsidTr="00F00987">
        <w:trPr>
          <w:trHeight w:val="476"/>
        </w:trPr>
        <w:tc>
          <w:tcPr>
            <w:tcW w:w="485" w:type="dxa"/>
          </w:tcPr>
          <w:p w:rsidR="002A1BA2" w:rsidRPr="0077773E" w:rsidRDefault="002A1BA2" w:rsidP="001A0A4A">
            <w:pPr>
              <w:pStyle w:val="naiskr"/>
              <w:spacing w:before="0" w:after="0"/>
              <w:rPr>
                <w:sz w:val="26"/>
                <w:szCs w:val="26"/>
              </w:rPr>
            </w:pPr>
            <w:r w:rsidRPr="0077773E">
              <w:rPr>
                <w:sz w:val="26"/>
                <w:szCs w:val="26"/>
              </w:rPr>
              <w:t>5.</w:t>
            </w:r>
          </w:p>
        </w:tc>
        <w:tc>
          <w:tcPr>
            <w:tcW w:w="1505" w:type="dxa"/>
          </w:tcPr>
          <w:p w:rsidR="002A1BA2" w:rsidRPr="0077773E" w:rsidRDefault="002A1BA2" w:rsidP="001A0A4A">
            <w:pPr>
              <w:pStyle w:val="naiskr"/>
              <w:spacing w:before="0" w:after="0"/>
              <w:rPr>
                <w:sz w:val="26"/>
                <w:szCs w:val="26"/>
              </w:rPr>
            </w:pPr>
            <w:r w:rsidRPr="0077773E">
              <w:rPr>
                <w:sz w:val="26"/>
                <w:szCs w:val="26"/>
              </w:rPr>
              <w:t>Projekta izstrādē iesaistītās institūcijas</w:t>
            </w:r>
          </w:p>
        </w:tc>
        <w:tc>
          <w:tcPr>
            <w:tcW w:w="7490" w:type="dxa"/>
          </w:tcPr>
          <w:p w:rsidR="002A1BA2" w:rsidRPr="0077773E" w:rsidRDefault="00F00987" w:rsidP="001A0A4A">
            <w:pPr>
              <w:pStyle w:val="naiskr"/>
              <w:spacing w:before="0" w:after="0"/>
              <w:ind w:left="70" w:right="115"/>
              <w:jc w:val="both"/>
              <w:rPr>
                <w:sz w:val="26"/>
                <w:szCs w:val="26"/>
              </w:rPr>
            </w:pPr>
            <w:r w:rsidRPr="0077773E">
              <w:rPr>
                <w:sz w:val="26"/>
                <w:szCs w:val="26"/>
              </w:rPr>
              <w:t>Projekts šo jomu neskar</w:t>
            </w:r>
          </w:p>
        </w:tc>
      </w:tr>
      <w:tr w:rsidR="002A1BA2" w:rsidRPr="0077773E" w:rsidTr="00F00987">
        <w:trPr>
          <w:trHeight w:val="527"/>
        </w:trPr>
        <w:tc>
          <w:tcPr>
            <w:tcW w:w="485" w:type="dxa"/>
          </w:tcPr>
          <w:p w:rsidR="002A1BA2" w:rsidRPr="0077773E" w:rsidRDefault="002A1BA2" w:rsidP="001A0A4A">
            <w:pPr>
              <w:pStyle w:val="naiskr"/>
              <w:spacing w:before="0" w:after="0"/>
              <w:rPr>
                <w:sz w:val="26"/>
                <w:szCs w:val="26"/>
              </w:rPr>
            </w:pPr>
            <w:r w:rsidRPr="0077773E">
              <w:rPr>
                <w:sz w:val="26"/>
                <w:szCs w:val="26"/>
              </w:rPr>
              <w:t>6.</w:t>
            </w:r>
          </w:p>
        </w:tc>
        <w:tc>
          <w:tcPr>
            <w:tcW w:w="1505" w:type="dxa"/>
          </w:tcPr>
          <w:p w:rsidR="002A1BA2" w:rsidRPr="0077773E" w:rsidRDefault="002A1BA2" w:rsidP="001A0A4A">
            <w:pPr>
              <w:pStyle w:val="naiskr"/>
              <w:spacing w:before="0" w:after="0"/>
              <w:rPr>
                <w:i/>
                <w:sz w:val="26"/>
                <w:szCs w:val="26"/>
                <w:highlight w:val="yellow"/>
              </w:rPr>
            </w:pPr>
            <w:r w:rsidRPr="0077773E">
              <w:rPr>
                <w:sz w:val="26"/>
                <w:szCs w:val="26"/>
              </w:rPr>
              <w:t>Iemesli, kādēļ netika nodrošināta sabiedrības līdzdalība</w:t>
            </w:r>
          </w:p>
        </w:tc>
        <w:tc>
          <w:tcPr>
            <w:tcW w:w="7490" w:type="dxa"/>
          </w:tcPr>
          <w:p w:rsidR="002A1BA2" w:rsidRPr="0077773E" w:rsidRDefault="00F00987" w:rsidP="001A0A4A">
            <w:pPr>
              <w:pStyle w:val="FootnoteText"/>
              <w:ind w:left="70" w:right="115"/>
              <w:jc w:val="both"/>
              <w:rPr>
                <w:sz w:val="26"/>
                <w:szCs w:val="26"/>
              </w:rPr>
            </w:pPr>
            <w:r w:rsidRPr="0077773E">
              <w:rPr>
                <w:sz w:val="26"/>
                <w:szCs w:val="26"/>
              </w:rPr>
              <w:t>Projekts šo jomu neskar</w:t>
            </w:r>
          </w:p>
        </w:tc>
      </w:tr>
      <w:tr w:rsidR="002A1BA2" w:rsidRPr="0077773E" w:rsidTr="00F00987">
        <w:tc>
          <w:tcPr>
            <w:tcW w:w="485" w:type="dxa"/>
          </w:tcPr>
          <w:p w:rsidR="002A1BA2" w:rsidRPr="0077773E" w:rsidRDefault="002A1BA2" w:rsidP="001A0A4A">
            <w:pPr>
              <w:pStyle w:val="naiskr"/>
              <w:spacing w:before="0" w:after="0"/>
              <w:rPr>
                <w:sz w:val="26"/>
                <w:szCs w:val="26"/>
              </w:rPr>
            </w:pPr>
            <w:r w:rsidRPr="0077773E">
              <w:rPr>
                <w:sz w:val="26"/>
                <w:szCs w:val="26"/>
              </w:rPr>
              <w:lastRenderedPageBreak/>
              <w:t>7.</w:t>
            </w:r>
          </w:p>
        </w:tc>
        <w:tc>
          <w:tcPr>
            <w:tcW w:w="1505" w:type="dxa"/>
          </w:tcPr>
          <w:p w:rsidR="002A1BA2" w:rsidRPr="0077773E" w:rsidRDefault="002A1BA2" w:rsidP="00207DD7">
            <w:pPr>
              <w:pStyle w:val="naiskr"/>
              <w:spacing w:before="0" w:after="0"/>
              <w:jc w:val="both"/>
              <w:rPr>
                <w:sz w:val="26"/>
                <w:szCs w:val="26"/>
              </w:rPr>
            </w:pPr>
            <w:r w:rsidRPr="0077773E">
              <w:rPr>
                <w:sz w:val="26"/>
                <w:szCs w:val="26"/>
              </w:rPr>
              <w:t>Cita informācija</w:t>
            </w:r>
          </w:p>
        </w:tc>
        <w:tc>
          <w:tcPr>
            <w:tcW w:w="7490" w:type="dxa"/>
          </w:tcPr>
          <w:p w:rsidR="00207DD7" w:rsidRPr="0077773E" w:rsidRDefault="00207DD7" w:rsidP="00207DD7">
            <w:pPr>
              <w:ind w:firstLine="425"/>
              <w:jc w:val="both"/>
              <w:rPr>
                <w:sz w:val="26"/>
                <w:szCs w:val="26"/>
              </w:rPr>
            </w:pPr>
            <w:r w:rsidRPr="0077773E">
              <w:rPr>
                <w:sz w:val="26"/>
                <w:szCs w:val="26"/>
              </w:rPr>
              <w:t xml:space="preserve">Saistībā ar Ministru kabineta komitejas 2011.gada 18.jūlija sēdes protokola Nr.28 2.§ 3.punktā doto uzdevumu citu valstu prakses dokumentu pieprasīšanā izpēti, Ekonomikas ministrija ir saņēmusi un apkopojusi informāciju par citu dalībvalstu pieredzi nepieciešamo dokumentu pieprasīšanā. Tikai daļa dalībvalstu ir paredzējušas </w:t>
            </w:r>
            <w:proofErr w:type="spellStart"/>
            <w:r w:rsidRPr="0077773E">
              <w:rPr>
                <w:sz w:val="26"/>
                <w:szCs w:val="26"/>
              </w:rPr>
              <w:t>nebanku</w:t>
            </w:r>
            <w:proofErr w:type="spellEnd"/>
            <w:r w:rsidRPr="0077773E">
              <w:rPr>
                <w:sz w:val="26"/>
                <w:szCs w:val="26"/>
              </w:rPr>
              <w:t xml:space="preserve"> kreditoru licencēšanu vai reģistrēšanu, tāpat tikai dažas dalībvalstis, kas ir paredzējušas īpašu uzraudzības mehānismu </w:t>
            </w:r>
            <w:proofErr w:type="spellStart"/>
            <w:r w:rsidRPr="0077773E">
              <w:rPr>
                <w:sz w:val="26"/>
                <w:szCs w:val="26"/>
              </w:rPr>
              <w:t>nebanku</w:t>
            </w:r>
            <w:proofErr w:type="spellEnd"/>
            <w:r w:rsidRPr="0077773E">
              <w:rPr>
                <w:sz w:val="26"/>
                <w:szCs w:val="26"/>
              </w:rPr>
              <w:t xml:space="preserve"> kreditoriem, vērtē arī ar nodokļu nomaksu un naudas līdzekļu legālu izcelsmi saistītu informāciju, līdz ar to tika pētīta citu dalībvalstu prakse kopumā finanšu pakalpojumu jomā izsniedzot jebkāda veida atļaujas, licences vai veicot uzņēmumu reģistrēšanu konkrētu finanšu pakalpojumu sniegšanai. </w:t>
            </w:r>
          </w:p>
          <w:p w:rsidR="00207DD7" w:rsidRPr="0077773E" w:rsidRDefault="00207DD7" w:rsidP="00207DD7">
            <w:pPr>
              <w:ind w:firstLine="425"/>
              <w:jc w:val="both"/>
              <w:rPr>
                <w:sz w:val="26"/>
                <w:szCs w:val="26"/>
              </w:rPr>
            </w:pPr>
            <w:r w:rsidRPr="0077773E">
              <w:rPr>
                <w:sz w:val="26"/>
                <w:szCs w:val="26"/>
              </w:rPr>
              <w:t xml:space="preserve">Izvērtējot saņemto informāciju par citu dalībvalstu praksi, tika konstatēts, ka līdzīga sistēma noteikumu projektā noteiktajai dokumentu pieprasīšanā darbojas Somijā, kuras iestādes izsniedz licences </w:t>
            </w:r>
            <w:proofErr w:type="spellStart"/>
            <w:r w:rsidRPr="0077773E">
              <w:rPr>
                <w:sz w:val="26"/>
                <w:szCs w:val="26"/>
              </w:rPr>
              <w:t>nebanku</w:t>
            </w:r>
            <w:proofErr w:type="spellEnd"/>
            <w:r w:rsidRPr="0077773E">
              <w:rPr>
                <w:sz w:val="26"/>
                <w:szCs w:val="26"/>
              </w:rPr>
              <w:t xml:space="preserve"> kreditoru darbībai. Somijā (tāpat kā Latvijā) kopumā darbojas princips, ka iestāde, kas izsniedz licences, pati pieprasa licences izsniegšanai nepieciešamo informāciju par komersantu no citām Somijas valsts iestādēm. Tomēr attiecībā uz citās valstīs reģistrētiem komersantiem un nerezidentiem atbildīgā iestāde lūdz iesniegt nepieciešamos dokumentus licences pieteikuma iesniedzējam, jo praksē ir problemātiski iegūt nepieciešamo informāciju no citu valstu atbildīgajām iestādēm, turklāt tas nozīmīgi pagarina licences pieteikuma izvērtēšanas laiku, tādejādi nodarot lielākus zaudējumus komersantam. Somijā, atbilstoši atbildīgo iestāžu sniegtajām ziņām, šī informācijas pieprasīšanas sistēma darbojas praksē, tomēr nav nostiprināta normatīvajos aktos. </w:t>
            </w:r>
          </w:p>
          <w:p w:rsidR="00207DD7" w:rsidRPr="0077773E" w:rsidRDefault="00207DD7" w:rsidP="00207DD7">
            <w:pPr>
              <w:ind w:firstLine="425"/>
              <w:jc w:val="both"/>
              <w:rPr>
                <w:sz w:val="26"/>
                <w:szCs w:val="26"/>
              </w:rPr>
            </w:pPr>
            <w:r w:rsidRPr="0077773E">
              <w:rPr>
                <w:sz w:val="26"/>
                <w:szCs w:val="26"/>
              </w:rPr>
              <w:t xml:space="preserve">Līdzīga sistēma Somijā esošajai darbojas arī Maltā, kur Maltas Finanšu pakalpojumu pārvalde (Malta </w:t>
            </w:r>
            <w:proofErr w:type="spellStart"/>
            <w:r w:rsidRPr="0077773E">
              <w:rPr>
                <w:sz w:val="26"/>
                <w:szCs w:val="26"/>
              </w:rPr>
              <w:t>Financial</w:t>
            </w:r>
            <w:proofErr w:type="spellEnd"/>
            <w:r w:rsidRPr="0077773E">
              <w:rPr>
                <w:sz w:val="26"/>
                <w:szCs w:val="26"/>
              </w:rPr>
              <w:t xml:space="preserve"> </w:t>
            </w:r>
            <w:proofErr w:type="spellStart"/>
            <w:r w:rsidRPr="0077773E">
              <w:rPr>
                <w:sz w:val="26"/>
                <w:szCs w:val="26"/>
              </w:rPr>
              <w:t>Services</w:t>
            </w:r>
            <w:proofErr w:type="spellEnd"/>
            <w:r w:rsidRPr="0077773E">
              <w:rPr>
                <w:sz w:val="26"/>
                <w:szCs w:val="26"/>
              </w:rPr>
              <w:t xml:space="preserve"> </w:t>
            </w:r>
            <w:proofErr w:type="spellStart"/>
            <w:r w:rsidRPr="0077773E">
              <w:rPr>
                <w:sz w:val="26"/>
                <w:szCs w:val="26"/>
              </w:rPr>
              <w:t>Authority</w:t>
            </w:r>
            <w:proofErr w:type="spellEnd"/>
            <w:r w:rsidRPr="0077773E">
              <w:rPr>
                <w:sz w:val="26"/>
                <w:szCs w:val="26"/>
              </w:rPr>
              <w:t>), izsniedzot licences finanšu pakalpojumu sniedzējiem, ir tiesīga pati iegūt papildus informāciju no atbildīgajām valsts iestādēm par komersantu, kas iesniedzis licences pieteikumu. Attiecībā uz ārvalstu komersantiem tomēr ir paredzēta īpaša pieteikuma iesniegšanas procedūra, kas paredz dokumentu iesniegšanu Finanšu pakalpojumu pārvaldei</w:t>
            </w:r>
            <w:r w:rsidRPr="0077773E">
              <w:rPr>
                <w:rStyle w:val="FootnoteReference"/>
                <w:sz w:val="26"/>
                <w:szCs w:val="26"/>
              </w:rPr>
              <w:footnoteReference w:id="1"/>
            </w:r>
            <w:r w:rsidRPr="0077773E">
              <w:rPr>
                <w:sz w:val="26"/>
                <w:szCs w:val="26"/>
              </w:rPr>
              <w:t xml:space="preserve">. Arī Kiprā, kas kopumā pieturas pie principa, ka informāciju par komersantu ievāc atbildīgā valsts iestāde, kas izsniedz licenci bankām un maksājumu pakalpojumu iestādēm, ārvalstu komersantiem tiek lūgts iesniegt informāciju, piemēram, par to, vai komersanta mītnes valstī pret komersantu ir pieņemti ar tā darbību saistīti valsts iestāžu lēmumi par dažāda veida pārkāpumiem, tai skaitā izvairīšanos no nodokļu nomaksas. Tāpat ārvalstu komersantiem tiek lūgts iesniegt informāciju par to līdzīpašnieku ienākumiem. </w:t>
            </w:r>
          </w:p>
          <w:p w:rsidR="002A1BA2" w:rsidRPr="0077773E" w:rsidRDefault="00207DD7" w:rsidP="0077773E">
            <w:pPr>
              <w:pStyle w:val="naiskr"/>
              <w:spacing w:before="0" w:after="0"/>
              <w:ind w:firstLine="425"/>
              <w:jc w:val="both"/>
              <w:rPr>
                <w:sz w:val="26"/>
                <w:szCs w:val="26"/>
              </w:rPr>
            </w:pPr>
            <w:r w:rsidRPr="0077773E">
              <w:rPr>
                <w:sz w:val="26"/>
                <w:szCs w:val="26"/>
              </w:rPr>
              <w:t xml:space="preserve">Citās valstīs, piemēram, Lietuvā, </w:t>
            </w:r>
            <w:r w:rsidR="0077773E" w:rsidRPr="0077773E">
              <w:rPr>
                <w:sz w:val="26"/>
                <w:szCs w:val="26"/>
              </w:rPr>
              <w:t>I</w:t>
            </w:r>
            <w:r w:rsidRPr="0077773E">
              <w:rPr>
                <w:sz w:val="26"/>
                <w:szCs w:val="26"/>
              </w:rPr>
              <w:t xml:space="preserve">slandē, Vācijā un Īrijā, licences vai reģistrācijas pieteikuma iesniedzējam neatkarīgi no tā izcelsmes </w:t>
            </w:r>
            <w:r w:rsidRPr="0077773E">
              <w:rPr>
                <w:sz w:val="26"/>
                <w:szCs w:val="26"/>
              </w:rPr>
              <w:lastRenderedPageBreak/>
              <w:t>tiek prasīts visus dokumentus (apliecinātas kopijas un tulkojumus) iesniegt pašam, tādejādi nepiemērojot principu, ka valsts iestādes savā starpā maksimāli sadarbojas, lai samazinātu administratīvo slogu uzņēmējiem. Izvērtējot šo valstu praksi, secināms, ka Latvija ir izstrādājusi efektīvāku risinājumu administratīvā sloga atvieglošanai uzņēmējiem, pieprasot iesniegt tikai to informāciju, kuru uzraugošā valsts iestāde pati nevar iegūt.</w:t>
            </w:r>
          </w:p>
        </w:tc>
      </w:tr>
    </w:tbl>
    <w:p w:rsidR="002A1BA2" w:rsidRPr="0077773E" w:rsidRDefault="002A1BA2" w:rsidP="002A1BA2">
      <w:pPr>
        <w:spacing w:line="270" w:lineRule="atLeast"/>
        <w:rPr>
          <w:rStyle w:val="apple-style-span"/>
          <w:sz w:val="26"/>
          <w:szCs w:val="26"/>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84"/>
        <w:gridCol w:w="2678"/>
        <w:gridCol w:w="6236"/>
      </w:tblGrid>
      <w:tr w:rsidR="002A1BA2" w:rsidRPr="0077773E" w:rsidTr="001A0A4A">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2A1BA2" w:rsidRPr="0077773E" w:rsidRDefault="002A1BA2" w:rsidP="001A0A4A">
            <w:pPr>
              <w:pStyle w:val="NormalWeb"/>
              <w:spacing w:before="0" w:beforeAutospacing="0" w:after="0" w:afterAutospacing="0"/>
              <w:jc w:val="center"/>
              <w:rPr>
                <w:b/>
                <w:bCs/>
                <w:sz w:val="26"/>
                <w:szCs w:val="26"/>
              </w:rPr>
            </w:pPr>
            <w:r w:rsidRPr="0077773E">
              <w:rPr>
                <w:b/>
                <w:bCs/>
                <w:sz w:val="26"/>
                <w:szCs w:val="26"/>
              </w:rPr>
              <w:t>II. Tiesību akta projekta ietekme uz sabiedrību</w:t>
            </w:r>
          </w:p>
        </w:tc>
      </w:tr>
      <w:tr w:rsidR="002A1BA2" w:rsidRPr="0077773E" w:rsidTr="001A0A4A">
        <w:tc>
          <w:tcPr>
            <w:tcW w:w="307"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1.</w:t>
            </w:r>
          </w:p>
        </w:tc>
        <w:tc>
          <w:tcPr>
            <w:tcW w:w="1410"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Sabiedrības mērķgrupa</w:t>
            </w:r>
          </w:p>
        </w:tc>
        <w:tc>
          <w:tcPr>
            <w:tcW w:w="3283" w:type="pct"/>
            <w:tcBorders>
              <w:top w:val="outset" w:sz="6" w:space="0" w:color="000000"/>
              <w:left w:val="outset" w:sz="6" w:space="0" w:color="000000"/>
              <w:bottom w:val="outset" w:sz="6" w:space="0" w:color="000000"/>
              <w:right w:val="outset" w:sz="6" w:space="0" w:color="000000"/>
            </w:tcBorders>
          </w:tcPr>
          <w:p w:rsidR="002A1BA2" w:rsidRPr="0077773E" w:rsidRDefault="002A1BA2" w:rsidP="00173EC2">
            <w:pPr>
              <w:pStyle w:val="NormalWeb"/>
              <w:spacing w:before="0" w:beforeAutospacing="0" w:after="0" w:afterAutospacing="0"/>
              <w:ind w:right="86" w:firstLine="394"/>
              <w:jc w:val="both"/>
              <w:rPr>
                <w:sz w:val="26"/>
                <w:szCs w:val="26"/>
              </w:rPr>
            </w:pPr>
            <w:r w:rsidRPr="0077773E">
              <w:rPr>
                <w:sz w:val="26"/>
                <w:szCs w:val="26"/>
              </w:rPr>
              <w:t>Patērētāju kreditēšanas pakalpojumu sniedzēji, kas nav uzskatāmi par kredītiestādēm</w:t>
            </w:r>
            <w:r w:rsidR="00FD4624" w:rsidRPr="0077773E">
              <w:rPr>
                <w:sz w:val="26"/>
                <w:szCs w:val="26"/>
              </w:rPr>
              <w:t xml:space="preserve"> jeb </w:t>
            </w:r>
            <w:proofErr w:type="spellStart"/>
            <w:r w:rsidR="00FD4624" w:rsidRPr="0077773E">
              <w:rPr>
                <w:sz w:val="26"/>
                <w:szCs w:val="26"/>
              </w:rPr>
              <w:t>nebanku</w:t>
            </w:r>
            <w:proofErr w:type="spellEnd"/>
            <w:r w:rsidR="00FD4624" w:rsidRPr="0077773E">
              <w:rPr>
                <w:sz w:val="26"/>
                <w:szCs w:val="26"/>
              </w:rPr>
              <w:t xml:space="preserve"> kreditori, kas vēlēsies saņemt speciālo atļauju (licenci) patērētāju kreditēšanai</w:t>
            </w:r>
            <w:r w:rsidRPr="0077773E">
              <w:rPr>
                <w:sz w:val="26"/>
                <w:szCs w:val="26"/>
              </w:rPr>
              <w:t xml:space="preserve">. </w:t>
            </w:r>
          </w:p>
          <w:p w:rsidR="002A1BA2" w:rsidRPr="0077773E" w:rsidRDefault="002A1BA2" w:rsidP="00173EC2">
            <w:pPr>
              <w:pStyle w:val="NormalWeb"/>
              <w:spacing w:before="0" w:beforeAutospacing="0" w:after="0" w:afterAutospacing="0"/>
              <w:ind w:firstLine="394"/>
              <w:jc w:val="both"/>
              <w:rPr>
                <w:sz w:val="26"/>
                <w:szCs w:val="26"/>
              </w:rPr>
            </w:pPr>
            <w:r w:rsidRPr="0077773E">
              <w:rPr>
                <w:sz w:val="26"/>
                <w:szCs w:val="26"/>
              </w:rPr>
              <w:t xml:space="preserve">Kreditēšanas pakalpojumu tirgū šobrīd darbojas </w:t>
            </w:r>
            <w:r w:rsidRPr="0077773E">
              <w:rPr>
                <w:bCs/>
                <w:sz w:val="26"/>
                <w:szCs w:val="26"/>
              </w:rPr>
              <w:t xml:space="preserve">aptuveni </w:t>
            </w:r>
            <w:r w:rsidRPr="0077773E">
              <w:rPr>
                <w:b/>
                <w:bCs/>
                <w:sz w:val="26"/>
                <w:szCs w:val="26"/>
              </w:rPr>
              <w:t xml:space="preserve">232 </w:t>
            </w:r>
            <w:proofErr w:type="spellStart"/>
            <w:r w:rsidRPr="0077773E">
              <w:rPr>
                <w:b/>
                <w:bCs/>
                <w:sz w:val="26"/>
                <w:szCs w:val="26"/>
              </w:rPr>
              <w:t>nebanku</w:t>
            </w:r>
            <w:proofErr w:type="spellEnd"/>
            <w:r w:rsidRPr="0077773E">
              <w:rPr>
                <w:b/>
                <w:bCs/>
                <w:sz w:val="26"/>
                <w:szCs w:val="26"/>
              </w:rPr>
              <w:t xml:space="preserve"> kredītu devēji</w:t>
            </w:r>
            <w:r w:rsidRPr="0077773E">
              <w:rPr>
                <w:bCs/>
                <w:sz w:val="26"/>
                <w:szCs w:val="26"/>
              </w:rPr>
              <w:t xml:space="preserve">  un </w:t>
            </w:r>
            <w:r w:rsidRPr="0077773E">
              <w:rPr>
                <w:b/>
                <w:bCs/>
                <w:sz w:val="26"/>
                <w:szCs w:val="26"/>
              </w:rPr>
              <w:t>23 līzinga sabiedrības</w:t>
            </w:r>
            <w:r w:rsidR="00FD4624" w:rsidRPr="0077773E">
              <w:rPr>
                <w:b/>
                <w:bCs/>
                <w:sz w:val="26"/>
                <w:szCs w:val="26"/>
              </w:rPr>
              <w:t xml:space="preserve"> </w:t>
            </w:r>
            <w:r w:rsidR="00FD4624" w:rsidRPr="0077773E">
              <w:rPr>
                <w:bCs/>
                <w:sz w:val="26"/>
                <w:szCs w:val="26"/>
              </w:rPr>
              <w:t>(CSP dati par 2010.gadu)</w:t>
            </w:r>
            <w:r w:rsidRPr="0077773E">
              <w:rPr>
                <w:bCs/>
                <w:sz w:val="26"/>
                <w:szCs w:val="26"/>
              </w:rPr>
              <w:t>. Šajā uzņēmumu skaitā neietilpst uzņēmumi, kas piedāvā kreditēšanas pakalpojumus kā sekundāro darbības jomu. Tāpat jāņem vērā, ka informācija CPS tiek apkopota, pamatojoties uz uzņēmumu sniegtajiem statistiskajiem pārskatiem, attiecīgi secināms, ka pastāv arī zināma kredītu devēju daļa, kas šos pārskatus nesniedz. Precīzs šo kreditoru skaits tirgū nav zināms</w:t>
            </w:r>
            <w:r w:rsidRPr="0077773E">
              <w:rPr>
                <w:sz w:val="26"/>
                <w:szCs w:val="26"/>
              </w:rPr>
              <w:t>, jo šāda informācija šobrīd netiek nekur apkopota.</w:t>
            </w:r>
          </w:p>
          <w:p w:rsidR="002A1BA2" w:rsidRPr="0077773E" w:rsidRDefault="002A1BA2" w:rsidP="00173EC2">
            <w:pPr>
              <w:pStyle w:val="NormalWeb"/>
              <w:spacing w:before="0" w:beforeAutospacing="0" w:after="0" w:afterAutospacing="0"/>
              <w:ind w:firstLine="394"/>
              <w:jc w:val="both"/>
              <w:rPr>
                <w:sz w:val="26"/>
                <w:szCs w:val="26"/>
              </w:rPr>
            </w:pPr>
            <w:r w:rsidRPr="0077773E">
              <w:rPr>
                <w:sz w:val="26"/>
                <w:szCs w:val="26"/>
              </w:rPr>
              <w:t>Salīdzinot CSP datus ar VID rīcībā esošajiem datiem, konstatēts, ka tirgū darbojas 316 komersanti, kas kā pamatdarbības veidu norādījuši kreditēšanu vai finanšu līzingu, 7 no tiek uzsākts maksātnespējas process.</w:t>
            </w:r>
          </w:p>
        </w:tc>
      </w:tr>
      <w:tr w:rsidR="002A1BA2" w:rsidRPr="0077773E" w:rsidTr="001A0A4A">
        <w:tc>
          <w:tcPr>
            <w:tcW w:w="307"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2.</w:t>
            </w:r>
          </w:p>
        </w:tc>
        <w:tc>
          <w:tcPr>
            <w:tcW w:w="1410"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Citas sabiedrības grupas (bez mērķgrupas), kuras tiesiskais regulējums arī ietekmē vai varētu ietekmēt</w:t>
            </w:r>
          </w:p>
        </w:tc>
        <w:tc>
          <w:tcPr>
            <w:tcW w:w="3283" w:type="pct"/>
            <w:tcBorders>
              <w:top w:val="outset" w:sz="6" w:space="0" w:color="000000"/>
              <w:left w:val="outset" w:sz="6" w:space="0" w:color="000000"/>
              <w:bottom w:val="outset" w:sz="6" w:space="0" w:color="000000"/>
              <w:right w:val="outset" w:sz="6" w:space="0" w:color="000000"/>
            </w:tcBorders>
          </w:tcPr>
          <w:p w:rsidR="002A1BA2" w:rsidRPr="0077773E" w:rsidRDefault="00173EC2" w:rsidP="00173EC2">
            <w:pPr>
              <w:pStyle w:val="NormalWeb"/>
              <w:spacing w:before="0" w:beforeAutospacing="0" w:after="0" w:afterAutospacing="0"/>
              <w:ind w:firstLine="394"/>
              <w:jc w:val="both"/>
              <w:rPr>
                <w:sz w:val="26"/>
                <w:szCs w:val="26"/>
              </w:rPr>
            </w:pPr>
            <w:r w:rsidRPr="0077773E">
              <w:rPr>
                <w:sz w:val="26"/>
                <w:szCs w:val="26"/>
              </w:rPr>
              <w:t xml:space="preserve">Patērētāji, kas izmanto vai plāno izmantot kreditēšanas pakalpojumus. </w:t>
            </w:r>
            <w:r w:rsidR="00FD4624" w:rsidRPr="0077773E">
              <w:rPr>
                <w:sz w:val="26"/>
                <w:szCs w:val="26"/>
              </w:rPr>
              <w:t xml:space="preserve"> </w:t>
            </w:r>
          </w:p>
        </w:tc>
      </w:tr>
      <w:tr w:rsidR="002A1BA2" w:rsidRPr="0077773E" w:rsidTr="001A0A4A">
        <w:tc>
          <w:tcPr>
            <w:tcW w:w="307"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3.</w:t>
            </w:r>
          </w:p>
        </w:tc>
        <w:tc>
          <w:tcPr>
            <w:tcW w:w="1410"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Tiesiskā regulējuma finansiālā ietekme</w:t>
            </w:r>
          </w:p>
        </w:tc>
        <w:tc>
          <w:tcPr>
            <w:tcW w:w="3283" w:type="pct"/>
            <w:tcBorders>
              <w:top w:val="outset" w:sz="6" w:space="0" w:color="000000"/>
              <w:left w:val="outset" w:sz="6" w:space="0" w:color="000000"/>
              <w:bottom w:val="outset" w:sz="6" w:space="0" w:color="000000"/>
              <w:right w:val="outset" w:sz="6" w:space="0" w:color="000000"/>
            </w:tcBorders>
          </w:tcPr>
          <w:p w:rsidR="000A0388" w:rsidRPr="0077773E" w:rsidRDefault="00173EC2" w:rsidP="00615F4F">
            <w:pPr>
              <w:pStyle w:val="NormalWeb"/>
              <w:spacing w:before="0" w:beforeAutospacing="0" w:after="0" w:afterAutospacing="0"/>
              <w:ind w:firstLine="395"/>
              <w:jc w:val="both"/>
              <w:rPr>
                <w:sz w:val="26"/>
                <w:szCs w:val="26"/>
              </w:rPr>
            </w:pPr>
            <w:r w:rsidRPr="0077773E">
              <w:rPr>
                <w:sz w:val="26"/>
                <w:szCs w:val="26"/>
              </w:rPr>
              <w:t>Noteikumu projekts novērš Noteikumos konstatētās neprecizitātes</w:t>
            </w:r>
            <w:r w:rsidR="00C603F8" w:rsidRPr="0077773E">
              <w:rPr>
                <w:sz w:val="26"/>
                <w:szCs w:val="26"/>
              </w:rPr>
              <w:t>, attiecīgi padarot ātrāku un efektīvāku licences pieteikuma izskatīšanas procesu</w:t>
            </w:r>
            <w:r w:rsidR="003720C1" w:rsidRPr="0077773E">
              <w:rPr>
                <w:sz w:val="26"/>
                <w:szCs w:val="26"/>
              </w:rPr>
              <w:t xml:space="preserve"> un samazinot komersanta dīkstāves un tās nodarīto zaudējumu risku.</w:t>
            </w:r>
          </w:p>
        </w:tc>
      </w:tr>
      <w:tr w:rsidR="002A1BA2" w:rsidRPr="0077773E" w:rsidTr="001A0A4A">
        <w:tc>
          <w:tcPr>
            <w:tcW w:w="307"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4.</w:t>
            </w:r>
          </w:p>
        </w:tc>
        <w:tc>
          <w:tcPr>
            <w:tcW w:w="1410"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Tiesiskā regulējuma nefinansiālā ietekme</w:t>
            </w:r>
          </w:p>
        </w:tc>
        <w:tc>
          <w:tcPr>
            <w:tcW w:w="3283" w:type="pct"/>
            <w:tcBorders>
              <w:top w:val="outset" w:sz="6" w:space="0" w:color="000000"/>
              <w:left w:val="outset" w:sz="6" w:space="0" w:color="000000"/>
              <w:bottom w:val="outset" w:sz="6" w:space="0" w:color="000000"/>
              <w:right w:val="outset" w:sz="6" w:space="0" w:color="000000"/>
            </w:tcBorders>
          </w:tcPr>
          <w:p w:rsidR="002A1BA2" w:rsidRPr="0077773E" w:rsidRDefault="00C11498" w:rsidP="00C11498">
            <w:pPr>
              <w:pStyle w:val="NormalWeb"/>
              <w:spacing w:before="0" w:beforeAutospacing="0" w:after="0" w:afterAutospacing="0"/>
              <w:ind w:firstLine="394"/>
              <w:jc w:val="both"/>
              <w:rPr>
                <w:sz w:val="26"/>
                <w:szCs w:val="26"/>
              </w:rPr>
            </w:pPr>
            <w:r w:rsidRPr="0077773E">
              <w:rPr>
                <w:sz w:val="26"/>
                <w:szCs w:val="26"/>
              </w:rPr>
              <w:t>Noteikumu projekts nodrošina, ka gan ārvalstu, gan Latvijā dibināti uzņēmumi licences piešķiršanas procesā tiek vērtēti pēc vienotiem kritērijiem, vienlaikus neaizkavējot licences pieteikuma izskatīšanu attiecībā uz kapitālsabiedrībām, par kurām nepieciešama informācija no ārvalstu atbildīgajām iestādēm.</w:t>
            </w:r>
          </w:p>
        </w:tc>
      </w:tr>
      <w:tr w:rsidR="002A1BA2" w:rsidRPr="0077773E" w:rsidTr="001A0A4A">
        <w:tc>
          <w:tcPr>
            <w:tcW w:w="307"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5.</w:t>
            </w:r>
          </w:p>
        </w:tc>
        <w:tc>
          <w:tcPr>
            <w:tcW w:w="1410"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Administratīvās procedūras raksturojums</w:t>
            </w:r>
          </w:p>
        </w:tc>
        <w:tc>
          <w:tcPr>
            <w:tcW w:w="3283" w:type="pct"/>
            <w:tcBorders>
              <w:top w:val="outset" w:sz="6" w:space="0" w:color="000000"/>
              <w:left w:val="outset" w:sz="6" w:space="0" w:color="000000"/>
              <w:bottom w:val="outset" w:sz="6" w:space="0" w:color="000000"/>
              <w:right w:val="outset" w:sz="6" w:space="0" w:color="000000"/>
            </w:tcBorders>
          </w:tcPr>
          <w:p w:rsidR="002A1BA2" w:rsidRPr="0077773E" w:rsidRDefault="00BB7477" w:rsidP="001A0A4A">
            <w:pPr>
              <w:pStyle w:val="NormalWeb"/>
              <w:spacing w:before="0" w:beforeAutospacing="0" w:after="0" w:afterAutospacing="0"/>
              <w:jc w:val="both"/>
              <w:rPr>
                <w:sz w:val="26"/>
                <w:szCs w:val="26"/>
                <w:highlight w:val="yellow"/>
              </w:rPr>
            </w:pPr>
            <w:r w:rsidRPr="0077773E">
              <w:rPr>
                <w:sz w:val="26"/>
                <w:szCs w:val="26"/>
              </w:rPr>
              <w:t xml:space="preserve">Indivīds savas tiesības varēs aizstāvēt normatīvajos </w:t>
            </w:r>
            <w:smartTag w:uri="schemas-tilde-lv/tildestengine" w:element="veidnes">
              <w:smartTagPr>
                <w:attr w:name="text" w:val="aktos"/>
                <w:attr w:name="id" w:val="-1"/>
                <w:attr w:name="baseform" w:val="akt|s"/>
              </w:smartTagPr>
              <w:r w:rsidRPr="0077773E">
                <w:rPr>
                  <w:sz w:val="26"/>
                  <w:szCs w:val="26"/>
                </w:rPr>
                <w:t>aktos</w:t>
              </w:r>
            </w:smartTag>
            <w:r w:rsidRPr="0077773E">
              <w:rPr>
                <w:sz w:val="26"/>
                <w:szCs w:val="26"/>
              </w:rPr>
              <w:t xml:space="preserve"> noteiktajā kārtībā (Administratīvā procesa likums).</w:t>
            </w:r>
          </w:p>
        </w:tc>
      </w:tr>
      <w:tr w:rsidR="002A1BA2" w:rsidRPr="0077773E" w:rsidTr="001A0A4A">
        <w:tc>
          <w:tcPr>
            <w:tcW w:w="307"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lastRenderedPageBreak/>
              <w:t>6.</w:t>
            </w:r>
          </w:p>
        </w:tc>
        <w:tc>
          <w:tcPr>
            <w:tcW w:w="1410"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Administratīvo izmaksu monetārs novērtējums</w:t>
            </w:r>
          </w:p>
        </w:tc>
        <w:tc>
          <w:tcPr>
            <w:tcW w:w="3283"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jc w:val="both"/>
              <w:rPr>
                <w:sz w:val="26"/>
                <w:szCs w:val="26"/>
              </w:rPr>
            </w:pPr>
            <w:r w:rsidRPr="0077773E">
              <w:rPr>
                <w:rStyle w:val="apple-style-span"/>
                <w:sz w:val="26"/>
                <w:szCs w:val="26"/>
              </w:rPr>
              <w:t xml:space="preserve">Administratīvā procesa likumā noteiktā valsts nodeva </w:t>
            </w:r>
            <w:smartTag w:uri="schemas-tilde-lv/tildestengine" w:element="currency2">
              <w:smartTagPr>
                <w:attr w:name="currency_id" w:val="48"/>
                <w:attr w:name="currency_key" w:val="LVL"/>
                <w:attr w:name="currency_value" w:val="20"/>
                <w:attr w:name="currency_text" w:val="latu"/>
              </w:smartTagPr>
              <w:smartTag w:uri="schemas-tilde-lv/tildestengine" w:element="currency">
                <w:smartTagPr>
                  <w:attr w:name="currency_id" w:val="48"/>
                  <w:attr w:name="currency_key" w:val="LVL"/>
                  <w:attr w:name="currency_value" w:val="20"/>
                  <w:attr w:name="currency_text" w:val="latu"/>
                </w:smartTagPr>
                <w:r w:rsidRPr="0077773E">
                  <w:rPr>
                    <w:rStyle w:val="apple-style-span"/>
                    <w:sz w:val="26"/>
                    <w:szCs w:val="26"/>
                  </w:rPr>
                  <w:t>20 latu</w:t>
                </w:r>
              </w:smartTag>
            </w:smartTag>
            <w:r w:rsidRPr="0077773E">
              <w:rPr>
                <w:rStyle w:val="apple-style-span"/>
                <w:sz w:val="26"/>
                <w:szCs w:val="26"/>
              </w:rPr>
              <w:t xml:space="preserve"> apmērā par pieteikumu par lietas ierosināšanu tiesā.</w:t>
            </w:r>
          </w:p>
        </w:tc>
      </w:tr>
      <w:tr w:rsidR="002A1BA2" w:rsidRPr="0077773E" w:rsidTr="001A0A4A">
        <w:tc>
          <w:tcPr>
            <w:tcW w:w="307"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7.</w:t>
            </w:r>
          </w:p>
        </w:tc>
        <w:tc>
          <w:tcPr>
            <w:tcW w:w="1410"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Cita informācija</w:t>
            </w:r>
          </w:p>
        </w:tc>
        <w:tc>
          <w:tcPr>
            <w:tcW w:w="3283" w:type="pct"/>
            <w:tcBorders>
              <w:top w:val="outset" w:sz="6" w:space="0" w:color="000000"/>
              <w:left w:val="outset" w:sz="6" w:space="0" w:color="000000"/>
              <w:bottom w:val="outset" w:sz="6" w:space="0" w:color="000000"/>
              <w:right w:val="outset" w:sz="6" w:space="0" w:color="000000"/>
            </w:tcBorders>
          </w:tcPr>
          <w:p w:rsidR="002A1BA2" w:rsidRPr="0077773E" w:rsidRDefault="002A1BA2" w:rsidP="001A0A4A">
            <w:pPr>
              <w:pStyle w:val="NormalWeb"/>
              <w:spacing w:before="0" w:beforeAutospacing="0" w:after="0" w:afterAutospacing="0"/>
              <w:rPr>
                <w:sz w:val="26"/>
                <w:szCs w:val="26"/>
              </w:rPr>
            </w:pPr>
            <w:r w:rsidRPr="0077773E">
              <w:rPr>
                <w:sz w:val="26"/>
                <w:szCs w:val="26"/>
              </w:rPr>
              <w:t>Nav</w:t>
            </w:r>
          </w:p>
        </w:tc>
      </w:tr>
    </w:tbl>
    <w:p w:rsidR="002A1BA2" w:rsidRPr="0077773E" w:rsidRDefault="002A1BA2" w:rsidP="002A1BA2">
      <w:pPr>
        <w:pStyle w:val="NormalWeb"/>
        <w:rPr>
          <w:sz w:val="26"/>
          <w:szCs w:val="26"/>
        </w:rPr>
      </w:pPr>
      <w:r w:rsidRPr="0077773E">
        <w:rPr>
          <w:sz w:val="26"/>
          <w:szCs w:val="26"/>
        </w:rPr>
        <w:t> </w:t>
      </w:r>
      <w:r w:rsidR="00F00987" w:rsidRPr="0077773E">
        <w:rPr>
          <w:sz w:val="26"/>
          <w:szCs w:val="26"/>
        </w:rPr>
        <w:t xml:space="preserve">Anotācijas </w:t>
      </w:r>
      <w:r w:rsidRPr="0077773E">
        <w:rPr>
          <w:sz w:val="26"/>
          <w:szCs w:val="26"/>
        </w:rPr>
        <w:t>III</w:t>
      </w:r>
      <w:r w:rsidR="00F00987" w:rsidRPr="0077773E">
        <w:rPr>
          <w:sz w:val="26"/>
          <w:szCs w:val="26"/>
        </w:rPr>
        <w:t xml:space="preserve">., IV., V. un </w:t>
      </w:r>
      <w:r w:rsidRPr="0077773E">
        <w:rPr>
          <w:sz w:val="26"/>
          <w:szCs w:val="26"/>
        </w:rPr>
        <w:t>VI. sadaļa – projekts šīs jomas neskar</w:t>
      </w:r>
      <w:r w:rsidR="00F00987" w:rsidRPr="0077773E">
        <w:rPr>
          <w:sz w:val="26"/>
          <w:szCs w:val="26"/>
        </w:rPr>
        <w:t>.</w:t>
      </w:r>
    </w:p>
    <w:tbl>
      <w:tblPr>
        <w:tblW w:w="5279" w:type="pct"/>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4"/>
        <w:gridCol w:w="3201"/>
        <w:gridCol w:w="5881"/>
      </w:tblGrid>
      <w:tr w:rsidR="002A1BA2" w:rsidRPr="0077773E" w:rsidTr="001A0A4A">
        <w:trPr>
          <w:jc w:val="center"/>
        </w:trPr>
        <w:tc>
          <w:tcPr>
            <w:tcW w:w="9565" w:type="dxa"/>
            <w:gridSpan w:val="3"/>
            <w:tcBorders>
              <w:top w:val="single" w:sz="4" w:space="0" w:color="auto"/>
            </w:tcBorders>
          </w:tcPr>
          <w:p w:rsidR="002A1BA2" w:rsidRPr="0077773E" w:rsidRDefault="002A1BA2" w:rsidP="001A0A4A">
            <w:pPr>
              <w:pStyle w:val="naisnod"/>
              <w:spacing w:before="0" w:after="0"/>
              <w:ind w:left="57" w:right="57"/>
              <w:rPr>
                <w:sz w:val="26"/>
                <w:szCs w:val="26"/>
              </w:rPr>
            </w:pPr>
            <w:r w:rsidRPr="0077773E">
              <w:rPr>
                <w:sz w:val="26"/>
                <w:szCs w:val="26"/>
              </w:rPr>
              <w:t>VII. Tiesību akta projekta izpildes nodrošināšana un tās ietekme uz institūcijām</w:t>
            </w:r>
          </w:p>
        </w:tc>
      </w:tr>
      <w:tr w:rsidR="002A1BA2" w:rsidRPr="0077773E" w:rsidTr="001A0A4A">
        <w:trPr>
          <w:trHeight w:val="427"/>
          <w:jc w:val="center"/>
        </w:trPr>
        <w:tc>
          <w:tcPr>
            <w:tcW w:w="550" w:type="dxa"/>
          </w:tcPr>
          <w:p w:rsidR="002A1BA2" w:rsidRPr="0077773E" w:rsidRDefault="002A1BA2" w:rsidP="001A0A4A">
            <w:pPr>
              <w:pStyle w:val="naisnod"/>
              <w:spacing w:before="0" w:after="0"/>
              <w:ind w:left="57" w:right="57"/>
              <w:jc w:val="left"/>
              <w:rPr>
                <w:b w:val="0"/>
                <w:sz w:val="26"/>
                <w:szCs w:val="26"/>
              </w:rPr>
            </w:pPr>
            <w:r w:rsidRPr="0077773E">
              <w:rPr>
                <w:b w:val="0"/>
                <w:sz w:val="26"/>
                <w:szCs w:val="26"/>
              </w:rPr>
              <w:t>1.</w:t>
            </w:r>
          </w:p>
        </w:tc>
        <w:tc>
          <w:tcPr>
            <w:tcW w:w="3177" w:type="dxa"/>
          </w:tcPr>
          <w:p w:rsidR="002A1BA2" w:rsidRPr="0077773E" w:rsidRDefault="002A1BA2" w:rsidP="001A0A4A">
            <w:pPr>
              <w:pStyle w:val="naisf"/>
              <w:spacing w:before="0" w:after="0"/>
              <w:ind w:left="57" w:right="57" w:firstLine="0"/>
              <w:jc w:val="left"/>
              <w:rPr>
                <w:sz w:val="26"/>
                <w:szCs w:val="26"/>
              </w:rPr>
            </w:pPr>
            <w:r w:rsidRPr="0077773E">
              <w:rPr>
                <w:sz w:val="26"/>
                <w:szCs w:val="26"/>
              </w:rPr>
              <w:t xml:space="preserve">Projekta izpildē iesaistītās institūcijas </w:t>
            </w:r>
          </w:p>
        </w:tc>
        <w:tc>
          <w:tcPr>
            <w:tcW w:w="5838" w:type="dxa"/>
          </w:tcPr>
          <w:p w:rsidR="002A1BA2" w:rsidRPr="0077773E" w:rsidRDefault="002A1BA2" w:rsidP="001A0A4A">
            <w:pPr>
              <w:pStyle w:val="naisnod"/>
              <w:spacing w:before="0" w:after="0"/>
              <w:ind w:left="57" w:right="57"/>
              <w:jc w:val="both"/>
              <w:rPr>
                <w:b w:val="0"/>
                <w:sz w:val="26"/>
                <w:szCs w:val="26"/>
              </w:rPr>
            </w:pPr>
            <w:r w:rsidRPr="0077773E">
              <w:rPr>
                <w:b w:val="0"/>
                <w:sz w:val="26"/>
                <w:szCs w:val="26"/>
              </w:rPr>
              <w:t>Projekta izpildi nodrošina Patērētāju tiesību aizsardzības centrs.</w:t>
            </w:r>
          </w:p>
        </w:tc>
      </w:tr>
      <w:tr w:rsidR="002A1BA2" w:rsidRPr="0077773E" w:rsidTr="001A0A4A">
        <w:trPr>
          <w:trHeight w:val="463"/>
          <w:jc w:val="center"/>
        </w:trPr>
        <w:tc>
          <w:tcPr>
            <w:tcW w:w="550" w:type="dxa"/>
          </w:tcPr>
          <w:p w:rsidR="002A1BA2" w:rsidRPr="0077773E" w:rsidRDefault="002A1BA2" w:rsidP="001A0A4A">
            <w:pPr>
              <w:pStyle w:val="naisnod"/>
              <w:spacing w:before="0" w:after="0"/>
              <w:ind w:left="57" w:right="57"/>
              <w:jc w:val="left"/>
              <w:rPr>
                <w:b w:val="0"/>
                <w:sz w:val="26"/>
                <w:szCs w:val="26"/>
              </w:rPr>
            </w:pPr>
            <w:r w:rsidRPr="0077773E">
              <w:rPr>
                <w:b w:val="0"/>
                <w:sz w:val="26"/>
                <w:szCs w:val="26"/>
              </w:rPr>
              <w:t>2.</w:t>
            </w:r>
          </w:p>
        </w:tc>
        <w:tc>
          <w:tcPr>
            <w:tcW w:w="3177" w:type="dxa"/>
          </w:tcPr>
          <w:p w:rsidR="002A1BA2" w:rsidRPr="0077773E" w:rsidRDefault="002A1BA2" w:rsidP="001A0A4A">
            <w:pPr>
              <w:pStyle w:val="naisf"/>
              <w:spacing w:before="0" w:after="0"/>
              <w:ind w:left="57" w:right="57" w:firstLine="0"/>
              <w:jc w:val="left"/>
              <w:rPr>
                <w:sz w:val="26"/>
                <w:szCs w:val="26"/>
              </w:rPr>
            </w:pPr>
            <w:r w:rsidRPr="0077773E">
              <w:rPr>
                <w:sz w:val="26"/>
                <w:szCs w:val="26"/>
              </w:rPr>
              <w:t xml:space="preserve">Projekta izpildes ietekme uz pārvaldes funkcijām </w:t>
            </w:r>
          </w:p>
        </w:tc>
        <w:tc>
          <w:tcPr>
            <w:tcW w:w="5838" w:type="dxa"/>
          </w:tcPr>
          <w:p w:rsidR="002A1BA2" w:rsidRPr="0077773E" w:rsidRDefault="00BB7477" w:rsidP="001A0A4A">
            <w:pPr>
              <w:pStyle w:val="naisnod"/>
              <w:spacing w:before="0" w:after="0"/>
              <w:ind w:left="57" w:right="57"/>
              <w:jc w:val="both"/>
              <w:rPr>
                <w:b w:val="0"/>
                <w:sz w:val="26"/>
                <w:szCs w:val="26"/>
              </w:rPr>
            </w:pPr>
            <w:r w:rsidRPr="0077773E">
              <w:rPr>
                <w:b w:val="0"/>
                <w:sz w:val="26"/>
                <w:szCs w:val="26"/>
              </w:rPr>
              <w:t>Projekts neparedz valsts pārvaldes iestāžu funkciju paplašināšanu.</w:t>
            </w:r>
          </w:p>
        </w:tc>
      </w:tr>
      <w:tr w:rsidR="002A1BA2" w:rsidRPr="0077773E" w:rsidTr="001A0A4A">
        <w:trPr>
          <w:trHeight w:val="725"/>
          <w:jc w:val="center"/>
        </w:trPr>
        <w:tc>
          <w:tcPr>
            <w:tcW w:w="550" w:type="dxa"/>
          </w:tcPr>
          <w:p w:rsidR="002A1BA2" w:rsidRPr="0077773E" w:rsidRDefault="002A1BA2" w:rsidP="001A0A4A">
            <w:pPr>
              <w:pStyle w:val="naisnod"/>
              <w:spacing w:before="0" w:after="0"/>
              <w:ind w:left="57" w:right="57"/>
              <w:jc w:val="left"/>
              <w:rPr>
                <w:b w:val="0"/>
                <w:sz w:val="26"/>
                <w:szCs w:val="26"/>
              </w:rPr>
            </w:pPr>
            <w:r w:rsidRPr="0077773E">
              <w:rPr>
                <w:b w:val="0"/>
                <w:sz w:val="26"/>
                <w:szCs w:val="26"/>
              </w:rPr>
              <w:t>3.</w:t>
            </w:r>
          </w:p>
        </w:tc>
        <w:tc>
          <w:tcPr>
            <w:tcW w:w="3177" w:type="dxa"/>
          </w:tcPr>
          <w:p w:rsidR="002A1BA2" w:rsidRPr="0077773E" w:rsidRDefault="002A1BA2" w:rsidP="001A0A4A">
            <w:pPr>
              <w:pStyle w:val="naisf"/>
              <w:spacing w:before="0" w:after="0"/>
              <w:ind w:left="57" w:right="57" w:firstLine="0"/>
              <w:jc w:val="left"/>
              <w:rPr>
                <w:sz w:val="26"/>
                <w:szCs w:val="26"/>
              </w:rPr>
            </w:pPr>
            <w:r w:rsidRPr="0077773E">
              <w:rPr>
                <w:sz w:val="26"/>
                <w:szCs w:val="26"/>
              </w:rPr>
              <w:t>Projekta izpildes ietekme uz pārvaldes institucionālo struktūru.</w:t>
            </w:r>
          </w:p>
          <w:p w:rsidR="002A1BA2" w:rsidRPr="0077773E" w:rsidRDefault="002A1BA2" w:rsidP="001A0A4A">
            <w:pPr>
              <w:pStyle w:val="naisf"/>
              <w:spacing w:before="0" w:after="0"/>
              <w:ind w:left="57" w:right="57" w:firstLine="0"/>
              <w:jc w:val="left"/>
              <w:rPr>
                <w:sz w:val="26"/>
                <w:szCs w:val="26"/>
              </w:rPr>
            </w:pPr>
            <w:r w:rsidRPr="0077773E">
              <w:rPr>
                <w:sz w:val="26"/>
                <w:szCs w:val="26"/>
              </w:rPr>
              <w:t>Jaunu institūciju izveide</w:t>
            </w:r>
          </w:p>
        </w:tc>
        <w:tc>
          <w:tcPr>
            <w:tcW w:w="5838" w:type="dxa"/>
          </w:tcPr>
          <w:p w:rsidR="002A1BA2" w:rsidRPr="0077773E" w:rsidRDefault="002A1BA2" w:rsidP="001A0A4A">
            <w:pPr>
              <w:pStyle w:val="naisnod"/>
              <w:spacing w:before="0" w:after="0"/>
              <w:ind w:left="57" w:right="57"/>
              <w:jc w:val="left"/>
              <w:rPr>
                <w:b w:val="0"/>
                <w:sz w:val="26"/>
                <w:szCs w:val="26"/>
              </w:rPr>
            </w:pPr>
            <w:r w:rsidRPr="0077773E">
              <w:rPr>
                <w:b w:val="0"/>
                <w:sz w:val="26"/>
                <w:szCs w:val="26"/>
              </w:rPr>
              <w:t>Projekts neparedz veidot jaunas valsts institūcijas.</w:t>
            </w:r>
          </w:p>
        </w:tc>
      </w:tr>
      <w:tr w:rsidR="002A1BA2" w:rsidRPr="0077773E" w:rsidTr="001A0A4A">
        <w:trPr>
          <w:trHeight w:val="780"/>
          <w:jc w:val="center"/>
        </w:trPr>
        <w:tc>
          <w:tcPr>
            <w:tcW w:w="550" w:type="dxa"/>
          </w:tcPr>
          <w:p w:rsidR="002A1BA2" w:rsidRPr="0077773E" w:rsidRDefault="002A1BA2" w:rsidP="001A0A4A">
            <w:pPr>
              <w:pStyle w:val="naisnod"/>
              <w:spacing w:before="0" w:after="0"/>
              <w:ind w:left="57" w:right="57"/>
              <w:jc w:val="left"/>
              <w:rPr>
                <w:b w:val="0"/>
                <w:sz w:val="26"/>
                <w:szCs w:val="26"/>
              </w:rPr>
            </w:pPr>
            <w:r w:rsidRPr="0077773E">
              <w:rPr>
                <w:b w:val="0"/>
                <w:sz w:val="26"/>
                <w:szCs w:val="26"/>
              </w:rPr>
              <w:t>4.</w:t>
            </w:r>
          </w:p>
        </w:tc>
        <w:tc>
          <w:tcPr>
            <w:tcW w:w="3177" w:type="dxa"/>
          </w:tcPr>
          <w:p w:rsidR="002A1BA2" w:rsidRPr="0077773E" w:rsidRDefault="002A1BA2" w:rsidP="001A0A4A">
            <w:pPr>
              <w:pStyle w:val="naisf"/>
              <w:spacing w:before="0" w:after="0"/>
              <w:ind w:left="57" w:right="57" w:firstLine="0"/>
              <w:jc w:val="left"/>
              <w:rPr>
                <w:sz w:val="26"/>
                <w:szCs w:val="26"/>
              </w:rPr>
            </w:pPr>
            <w:r w:rsidRPr="0077773E">
              <w:rPr>
                <w:sz w:val="26"/>
                <w:szCs w:val="26"/>
              </w:rPr>
              <w:t>Projekta izpildes ietekme uz pārvaldes institucionālo struktūru.</w:t>
            </w:r>
          </w:p>
          <w:p w:rsidR="002A1BA2" w:rsidRPr="0077773E" w:rsidRDefault="002A1BA2" w:rsidP="001A0A4A">
            <w:pPr>
              <w:pStyle w:val="naisf"/>
              <w:spacing w:before="0" w:after="0"/>
              <w:ind w:left="57" w:right="57" w:firstLine="0"/>
              <w:jc w:val="left"/>
              <w:rPr>
                <w:sz w:val="26"/>
                <w:szCs w:val="26"/>
              </w:rPr>
            </w:pPr>
            <w:r w:rsidRPr="0077773E">
              <w:rPr>
                <w:sz w:val="26"/>
                <w:szCs w:val="26"/>
              </w:rPr>
              <w:t>Esošu institūciju likvidācija</w:t>
            </w:r>
          </w:p>
        </w:tc>
        <w:tc>
          <w:tcPr>
            <w:tcW w:w="5838" w:type="dxa"/>
          </w:tcPr>
          <w:p w:rsidR="002A1BA2" w:rsidRPr="0077773E" w:rsidRDefault="002A1BA2" w:rsidP="001A0A4A">
            <w:pPr>
              <w:pStyle w:val="naisnod"/>
              <w:spacing w:before="0" w:after="0"/>
              <w:ind w:left="57" w:right="57"/>
              <w:jc w:val="left"/>
              <w:rPr>
                <w:b w:val="0"/>
                <w:sz w:val="26"/>
                <w:szCs w:val="26"/>
              </w:rPr>
            </w:pPr>
            <w:r w:rsidRPr="0077773E">
              <w:rPr>
                <w:b w:val="0"/>
                <w:sz w:val="26"/>
                <w:szCs w:val="26"/>
              </w:rPr>
              <w:t>Projekts šo jomu neskar</w:t>
            </w:r>
          </w:p>
        </w:tc>
      </w:tr>
      <w:tr w:rsidR="002A1BA2" w:rsidRPr="0077773E" w:rsidTr="001A0A4A">
        <w:trPr>
          <w:trHeight w:val="703"/>
          <w:jc w:val="center"/>
        </w:trPr>
        <w:tc>
          <w:tcPr>
            <w:tcW w:w="550" w:type="dxa"/>
          </w:tcPr>
          <w:p w:rsidR="002A1BA2" w:rsidRPr="0077773E" w:rsidRDefault="002A1BA2" w:rsidP="001A0A4A">
            <w:pPr>
              <w:pStyle w:val="naisnod"/>
              <w:spacing w:before="0" w:after="0"/>
              <w:ind w:left="57" w:right="57"/>
              <w:jc w:val="left"/>
              <w:rPr>
                <w:b w:val="0"/>
                <w:sz w:val="26"/>
                <w:szCs w:val="26"/>
              </w:rPr>
            </w:pPr>
            <w:r w:rsidRPr="0077773E">
              <w:rPr>
                <w:b w:val="0"/>
                <w:sz w:val="26"/>
                <w:szCs w:val="26"/>
              </w:rPr>
              <w:t>5.</w:t>
            </w:r>
          </w:p>
        </w:tc>
        <w:tc>
          <w:tcPr>
            <w:tcW w:w="3177" w:type="dxa"/>
          </w:tcPr>
          <w:p w:rsidR="002A1BA2" w:rsidRPr="0077773E" w:rsidRDefault="002A1BA2" w:rsidP="001A0A4A">
            <w:pPr>
              <w:pStyle w:val="naisf"/>
              <w:spacing w:before="0" w:after="0"/>
              <w:ind w:left="57" w:right="57" w:firstLine="0"/>
              <w:jc w:val="left"/>
              <w:rPr>
                <w:sz w:val="26"/>
                <w:szCs w:val="26"/>
              </w:rPr>
            </w:pPr>
            <w:r w:rsidRPr="0077773E">
              <w:rPr>
                <w:sz w:val="26"/>
                <w:szCs w:val="26"/>
              </w:rPr>
              <w:t>Projekta izpildes ietekme uz pārvaldes institucionālo struktūru.</w:t>
            </w:r>
          </w:p>
          <w:p w:rsidR="002A1BA2" w:rsidRPr="0077773E" w:rsidRDefault="002A1BA2" w:rsidP="001A0A4A">
            <w:pPr>
              <w:pStyle w:val="naisf"/>
              <w:spacing w:before="0" w:after="0"/>
              <w:ind w:left="57" w:right="57" w:firstLine="0"/>
              <w:jc w:val="left"/>
              <w:rPr>
                <w:sz w:val="26"/>
                <w:szCs w:val="26"/>
              </w:rPr>
            </w:pPr>
            <w:r w:rsidRPr="0077773E">
              <w:rPr>
                <w:sz w:val="26"/>
                <w:szCs w:val="26"/>
              </w:rPr>
              <w:t>Esošu institūciju reorganizācija</w:t>
            </w:r>
          </w:p>
        </w:tc>
        <w:tc>
          <w:tcPr>
            <w:tcW w:w="5838" w:type="dxa"/>
          </w:tcPr>
          <w:p w:rsidR="002A1BA2" w:rsidRPr="0077773E" w:rsidRDefault="002A1BA2" w:rsidP="001A0A4A">
            <w:pPr>
              <w:pStyle w:val="naisnod"/>
              <w:spacing w:before="0" w:after="0"/>
              <w:ind w:left="57" w:right="57"/>
              <w:jc w:val="both"/>
              <w:rPr>
                <w:b w:val="0"/>
                <w:sz w:val="26"/>
                <w:szCs w:val="26"/>
              </w:rPr>
            </w:pPr>
            <w:r w:rsidRPr="0077773E">
              <w:rPr>
                <w:b w:val="0"/>
                <w:sz w:val="26"/>
                <w:szCs w:val="26"/>
              </w:rPr>
              <w:t>Projekts šo jomu neskar</w:t>
            </w:r>
          </w:p>
        </w:tc>
      </w:tr>
      <w:tr w:rsidR="002A1BA2" w:rsidRPr="0077773E" w:rsidTr="001A0A4A">
        <w:trPr>
          <w:trHeight w:val="476"/>
          <w:jc w:val="center"/>
        </w:trPr>
        <w:tc>
          <w:tcPr>
            <w:tcW w:w="550" w:type="dxa"/>
          </w:tcPr>
          <w:p w:rsidR="002A1BA2" w:rsidRPr="0077773E" w:rsidRDefault="002A1BA2" w:rsidP="001A0A4A">
            <w:pPr>
              <w:pStyle w:val="naiskr"/>
              <w:spacing w:before="0" w:after="0"/>
              <w:ind w:left="57" w:right="57"/>
              <w:rPr>
                <w:sz w:val="26"/>
                <w:szCs w:val="26"/>
              </w:rPr>
            </w:pPr>
            <w:r w:rsidRPr="0077773E">
              <w:rPr>
                <w:sz w:val="26"/>
                <w:szCs w:val="26"/>
              </w:rPr>
              <w:t>6.</w:t>
            </w:r>
          </w:p>
        </w:tc>
        <w:tc>
          <w:tcPr>
            <w:tcW w:w="3177" w:type="dxa"/>
          </w:tcPr>
          <w:p w:rsidR="002A1BA2" w:rsidRPr="0077773E" w:rsidRDefault="002A1BA2" w:rsidP="001A0A4A">
            <w:pPr>
              <w:pStyle w:val="naiskr"/>
              <w:spacing w:before="0" w:after="0"/>
              <w:ind w:left="57" w:right="57"/>
              <w:rPr>
                <w:sz w:val="26"/>
                <w:szCs w:val="26"/>
              </w:rPr>
            </w:pPr>
            <w:r w:rsidRPr="0077773E">
              <w:rPr>
                <w:sz w:val="26"/>
                <w:szCs w:val="26"/>
              </w:rPr>
              <w:t>Cita informācija</w:t>
            </w:r>
          </w:p>
        </w:tc>
        <w:tc>
          <w:tcPr>
            <w:tcW w:w="5838" w:type="dxa"/>
          </w:tcPr>
          <w:p w:rsidR="002A1BA2" w:rsidRPr="0077773E" w:rsidRDefault="002A1BA2" w:rsidP="001A0A4A">
            <w:pPr>
              <w:pStyle w:val="naiskr"/>
              <w:spacing w:before="0" w:after="0"/>
              <w:ind w:left="57" w:right="57"/>
              <w:rPr>
                <w:sz w:val="26"/>
                <w:szCs w:val="26"/>
              </w:rPr>
            </w:pPr>
            <w:r w:rsidRPr="0077773E">
              <w:rPr>
                <w:sz w:val="26"/>
                <w:szCs w:val="26"/>
              </w:rPr>
              <w:t>Nav</w:t>
            </w:r>
          </w:p>
        </w:tc>
      </w:tr>
    </w:tbl>
    <w:p w:rsidR="008F3883" w:rsidRPr="0077773E" w:rsidRDefault="008F3883" w:rsidP="002A1BA2">
      <w:pPr>
        <w:pStyle w:val="Subtitle"/>
        <w:tabs>
          <w:tab w:val="left" w:pos="6096"/>
        </w:tabs>
        <w:spacing w:before="240" w:after="120"/>
        <w:ind w:left="0"/>
        <w:rPr>
          <w:sz w:val="26"/>
          <w:szCs w:val="26"/>
        </w:rPr>
      </w:pPr>
    </w:p>
    <w:p w:rsidR="002A1BA2" w:rsidRPr="0077773E" w:rsidRDefault="002A1BA2" w:rsidP="002A1BA2">
      <w:pPr>
        <w:pStyle w:val="Subtitle"/>
        <w:tabs>
          <w:tab w:val="left" w:pos="6096"/>
        </w:tabs>
        <w:spacing w:before="240" w:after="120"/>
        <w:ind w:left="0"/>
        <w:rPr>
          <w:sz w:val="26"/>
          <w:szCs w:val="26"/>
        </w:rPr>
      </w:pPr>
      <w:r w:rsidRPr="0077773E">
        <w:rPr>
          <w:sz w:val="26"/>
          <w:szCs w:val="26"/>
        </w:rPr>
        <w:t>Ekonomikas ministrs</w:t>
      </w:r>
      <w:r w:rsidRPr="0077773E">
        <w:rPr>
          <w:sz w:val="26"/>
          <w:szCs w:val="26"/>
        </w:rPr>
        <w:tab/>
        <w:t>A.Kampars</w:t>
      </w:r>
    </w:p>
    <w:p w:rsidR="002A1BA2" w:rsidRPr="0077773E" w:rsidRDefault="002A1BA2" w:rsidP="002A1BA2">
      <w:pPr>
        <w:spacing w:before="120" w:after="120"/>
        <w:rPr>
          <w:sz w:val="26"/>
          <w:szCs w:val="26"/>
        </w:rPr>
      </w:pPr>
    </w:p>
    <w:p w:rsidR="002A1BA2" w:rsidRPr="0077773E" w:rsidRDefault="002A1BA2" w:rsidP="000761C6">
      <w:pPr>
        <w:spacing w:before="120" w:after="360"/>
        <w:rPr>
          <w:b/>
          <w:bCs/>
          <w:sz w:val="26"/>
          <w:szCs w:val="26"/>
        </w:rPr>
      </w:pPr>
      <w:r w:rsidRPr="0077773E">
        <w:rPr>
          <w:b/>
          <w:bCs/>
          <w:sz w:val="26"/>
          <w:szCs w:val="26"/>
        </w:rPr>
        <w:t>Iesniedzējs:</w:t>
      </w:r>
    </w:p>
    <w:p w:rsidR="002A1BA2" w:rsidRPr="0077773E" w:rsidRDefault="002A1BA2" w:rsidP="000761C6">
      <w:pPr>
        <w:pStyle w:val="Heading1"/>
        <w:tabs>
          <w:tab w:val="left" w:pos="6096"/>
        </w:tabs>
        <w:spacing w:before="120" w:after="360"/>
        <w:jc w:val="both"/>
        <w:rPr>
          <w:sz w:val="26"/>
          <w:szCs w:val="26"/>
        </w:rPr>
      </w:pPr>
      <w:r w:rsidRPr="0077773E">
        <w:rPr>
          <w:sz w:val="26"/>
          <w:szCs w:val="26"/>
        </w:rPr>
        <w:t>Ekonomikas ministrs</w:t>
      </w:r>
      <w:r w:rsidRPr="0077773E">
        <w:rPr>
          <w:sz w:val="26"/>
          <w:szCs w:val="26"/>
        </w:rPr>
        <w:tab/>
        <w:t>A.Kampars</w:t>
      </w:r>
    </w:p>
    <w:p w:rsidR="002A1BA2" w:rsidRPr="0077773E" w:rsidRDefault="002A1BA2" w:rsidP="009E20CB">
      <w:pPr>
        <w:tabs>
          <w:tab w:val="left" w:pos="6096"/>
        </w:tabs>
        <w:spacing w:before="120"/>
        <w:rPr>
          <w:bCs/>
          <w:sz w:val="26"/>
          <w:szCs w:val="26"/>
        </w:rPr>
      </w:pPr>
      <w:r w:rsidRPr="0077773E">
        <w:rPr>
          <w:bCs/>
          <w:sz w:val="26"/>
          <w:szCs w:val="26"/>
        </w:rPr>
        <w:t>Vīza: Valsts sekretārs</w:t>
      </w:r>
      <w:r w:rsidRPr="0077773E">
        <w:rPr>
          <w:bCs/>
          <w:sz w:val="26"/>
          <w:szCs w:val="26"/>
        </w:rPr>
        <w:tab/>
      </w:r>
      <w:r w:rsidR="009E20CB" w:rsidRPr="0077773E">
        <w:rPr>
          <w:bCs/>
          <w:sz w:val="26"/>
          <w:szCs w:val="26"/>
        </w:rPr>
        <w:t>J.Pūce</w:t>
      </w:r>
      <w:r w:rsidRPr="0077773E">
        <w:rPr>
          <w:bCs/>
          <w:sz w:val="26"/>
          <w:szCs w:val="26"/>
        </w:rPr>
        <w:t xml:space="preserve"> </w:t>
      </w:r>
    </w:p>
    <w:p w:rsidR="000761C6" w:rsidRDefault="000761C6" w:rsidP="002A1BA2">
      <w:pPr>
        <w:suppressAutoHyphens/>
        <w:rPr>
          <w:sz w:val="20"/>
        </w:rPr>
      </w:pPr>
    </w:p>
    <w:p w:rsidR="000761C6" w:rsidRDefault="000761C6" w:rsidP="002A1BA2">
      <w:pPr>
        <w:suppressAutoHyphens/>
        <w:rPr>
          <w:sz w:val="20"/>
        </w:rPr>
      </w:pPr>
    </w:p>
    <w:p w:rsidR="009E20CB" w:rsidRDefault="009E20CB" w:rsidP="001A0A4A">
      <w:pPr>
        <w:rPr>
          <w:sz w:val="18"/>
          <w:szCs w:val="18"/>
        </w:rPr>
      </w:pPr>
    </w:p>
    <w:p w:rsidR="001A0A4A" w:rsidRDefault="003720C1" w:rsidP="001A0A4A">
      <w:pPr>
        <w:rPr>
          <w:sz w:val="18"/>
          <w:szCs w:val="18"/>
        </w:rPr>
      </w:pPr>
      <w:r>
        <w:rPr>
          <w:sz w:val="18"/>
          <w:szCs w:val="18"/>
        </w:rPr>
        <w:t>16</w:t>
      </w:r>
      <w:r w:rsidR="00C11498">
        <w:rPr>
          <w:sz w:val="18"/>
          <w:szCs w:val="18"/>
        </w:rPr>
        <w:t>.08.2011. 1</w:t>
      </w:r>
      <w:r w:rsidR="00207DD7">
        <w:rPr>
          <w:sz w:val="18"/>
          <w:szCs w:val="18"/>
        </w:rPr>
        <w:t>2</w:t>
      </w:r>
      <w:r w:rsidR="001A0A4A">
        <w:rPr>
          <w:sz w:val="18"/>
          <w:szCs w:val="18"/>
        </w:rPr>
        <w:t>:</w:t>
      </w:r>
      <w:r w:rsidR="00207DD7">
        <w:rPr>
          <w:sz w:val="18"/>
          <w:szCs w:val="18"/>
        </w:rPr>
        <w:t>4</w:t>
      </w:r>
      <w:r w:rsidR="00C11498">
        <w:rPr>
          <w:sz w:val="18"/>
          <w:szCs w:val="18"/>
        </w:rPr>
        <w:t>8</w:t>
      </w:r>
    </w:p>
    <w:p w:rsidR="001A0A4A" w:rsidRPr="00317559" w:rsidRDefault="00FE18CD" w:rsidP="001A0A4A">
      <w:pPr>
        <w:rPr>
          <w:sz w:val="18"/>
          <w:szCs w:val="18"/>
        </w:rPr>
      </w:pPr>
      <w:fldSimple w:instr=" NUMWORDS   \* MERGEFORMAT ">
        <w:r w:rsidR="0077773E" w:rsidRPr="0077773E">
          <w:rPr>
            <w:noProof/>
            <w:sz w:val="18"/>
            <w:szCs w:val="18"/>
          </w:rPr>
          <w:t>1337</w:t>
        </w:r>
      </w:fldSimple>
    </w:p>
    <w:p w:rsidR="001A0A4A" w:rsidRPr="00317559" w:rsidRDefault="001A0A4A" w:rsidP="001A0A4A">
      <w:pPr>
        <w:rPr>
          <w:sz w:val="18"/>
          <w:szCs w:val="18"/>
        </w:rPr>
      </w:pPr>
      <w:r>
        <w:rPr>
          <w:sz w:val="18"/>
          <w:szCs w:val="18"/>
        </w:rPr>
        <w:t>L.</w:t>
      </w:r>
      <w:r w:rsidRPr="00317559">
        <w:rPr>
          <w:sz w:val="18"/>
          <w:szCs w:val="18"/>
        </w:rPr>
        <w:t>Duntava</w:t>
      </w:r>
    </w:p>
    <w:p w:rsidR="001A0A4A" w:rsidRDefault="00FE18CD" w:rsidP="001A0A4A">
      <w:pPr>
        <w:rPr>
          <w:sz w:val="18"/>
          <w:szCs w:val="18"/>
        </w:rPr>
      </w:pPr>
      <w:hyperlink r:id="rId7" w:history="1">
        <w:r w:rsidR="001A0A4A" w:rsidRPr="00317559">
          <w:rPr>
            <w:rStyle w:val="Hyperlink"/>
            <w:sz w:val="18"/>
            <w:szCs w:val="18"/>
          </w:rPr>
          <w:t>Linda.Duntava@em.gov.lv</w:t>
        </w:r>
      </w:hyperlink>
      <w:r w:rsidR="001A0A4A" w:rsidRPr="00317559">
        <w:rPr>
          <w:sz w:val="18"/>
          <w:szCs w:val="18"/>
        </w:rPr>
        <w:t>; 67013213</w:t>
      </w:r>
    </w:p>
    <w:p w:rsidR="001A0A4A" w:rsidRPr="00D92592" w:rsidRDefault="001A0A4A" w:rsidP="001A0A4A">
      <w:pPr>
        <w:suppressAutoHyphens/>
        <w:rPr>
          <w:sz w:val="20"/>
        </w:rPr>
      </w:pPr>
    </w:p>
    <w:sectPr w:rsidR="001A0A4A" w:rsidRPr="00D92592" w:rsidSect="001A0A4A">
      <w:headerReference w:type="even" r:id="rId8"/>
      <w:headerReference w:type="default" r:id="rId9"/>
      <w:footerReference w:type="default" r:id="rId10"/>
      <w:footerReference w:type="first" r:id="rId11"/>
      <w:pgSz w:w="11906" w:h="16838" w:code="9"/>
      <w:pgMar w:top="126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65" w:rsidRDefault="00EE3165" w:rsidP="009923BA">
      <w:r>
        <w:separator/>
      </w:r>
    </w:p>
  </w:endnote>
  <w:endnote w:type="continuationSeparator" w:id="0">
    <w:p w:rsidR="00EE3165" w:rsidRDefault="00EE3165" w:rsidP="00992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4A" w:rsidRPr="0062716C" w:rsidRDefault="0026084A" w:rsidP="001A0A4A">
    <w:pPr>
      <w:jc w:val="both"/>
      <w:rPr>
        <w:sz w:val="20"/>
        <w:szCs w:val="20"/>
      </w:rPr>
    </w:pPr>
    <w:r w:rsidRPr="007D7292">
      <w:rPr>
        <w:sz w:val="20"/>
        <w:szCs w:val="20"/>
      </w:rPr>
      <w:t>EMAnot_</w:t>
    </w:r>
    <w:r w:rsidR="00E33B79">
      <w:rPr>
        <w:sz w:val="20"/>
        <w:szCs w:val="20"/>
      </w:rPr>
      <w:t>16</w:t>
    </w:r>
    <w:r w:rsidRPr="007D7292">
      <w:rPr>
        <w:sz w:val="20"/>
        <w:szCs w:val="20"/>
      </w:rPr>
      <w:t>0</w:t>
    </w:r>
    <w:r w:rsidR="004E14CF">
      <w:rPr>
        <w:sz w:val="20"/>
        <w:szCs w:val="20"/>
      </w:rPr>
      <w:t>8</w:t>
    </w:r>
    <w:r w:rsidRPr="007D7292">
      <w:rPr>
        <w:sz w:val="20"/>
        <w:szCs w:val="20"/>
      </w:rPr>
      <w:t>11_</w:t>
    </w:r>
    <w:r>
      <w:rPr>
        <w:sz w:val="20"/>
        <w:szCs w:val="20"/>
      </w:rPr>
      <w:t>grozlic</w:t>
    </w:r>
    <w:r w:rsidRPr="007D7292">
      <w:rPr>
        <w:sz w:val="20"/>
        <w:szCs w:val="20"/>
      </w:rPr>
      <w:t>; Ministru kabineta noteikumu projekta</w:t>
    </w:r>
    <w:r w:rsidRPr="007D7292">
      <w:rPr>
        <w:bCs/>
        <w:sz w:val="20"/>
        <w:szCs w:val="20"/>
      </w:rPr>
      <w:t xml:space="preserve"> </w:t>
    </w:r>
    <w:r w:rsidRPr="009923BA">
      <w:rPr>
        <w:sz w:val="20"/>
        <w:szCs w:val="20"/>
      </w:rPr>
      <w:t>„</w:t>
    </w:r>
    <w:r w:rsidRPr="009923BA">
      <w:rPr>
        <w:bCs/>
        <w:sz w:val="20"/>
        <w:szCs w:val="20"/>
      </w:rPr>
      <w:t>Grozījum</w:t>
    </w:r>
    <w:r w:rsidR="00E33B79">
      <w:rPr>
        <w:bCs/>
        <w:sz w:val="20"/>
        <w:szCs w:val="20"/>
      </w:rPr>
      <w:t>s</w:t>
    </w:r>
    <w:r w:rsidRPr="009923BA">
      <w:rPr>
        <w:bCs/>
        <w:sz w:val="20"/>
        <w:szCs w:val="20"/>
      </w:rPr>
      <w:t xml:space="preserve"> Ministru kabineta 2011.gada 29.marta noteikumos Nr.245 „</w:t>
    </w:r>
    <w:r w:rsidRPr="009923BA">
      <w:rPr>
        <w:sz w:val="20"/>
        <w:szCs w:val="20"/>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7D7292">
      <w:rPr>
        <w:sz w:val="20"/>
        <w:szCs w:val="20"/>
      </w:rPr>
      <w:t xml:space="preserve"> sākotnējās ietekmes novērtējuma </w:t>
    </w:r>
    <w:smartTag w:uri="schemas-tilde-lv/tildestengine" w:element="veidnes">
      <w:smartTagPr>
        <w:attr w:name="id" w:val="-1"/>
        <w:attr w:name="baseform" w:val="ziņojums"/>
        <w:attr w:name="text" w:val="ziņojums"/>
      </w:smartTagPr>
      <w:r w:rsidRPr="007D7292">
        <w:rPr>
          <w:sz w:val="20"/>
          <w:szCs w:val="20"/>
        </w:rPr>
        <w:t>ziņojums</w:t>
      </w:r>
    </w:smartTag>
    <w:r w:rsidRPr="007D7292">
      <w:rPr>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4A" w:rsidRPr="007D7292" w:rsidRDefault="0026084A" w:rsidP="001A0A4A">
    <w:pPr>
      <w:jc w:val="both"/>
      <w:rPr>
        <w:sz w:val="20"/>
        <w:szCs w:val="20"/>
      </w:rPr>
    </w:pPr>
    <w:r w:rsidRPr="007D7292">
      <w:rPr>
        <w:sz w:val="20"/>
        <w:szCs w:val="20"/>
      </w:rPr>
      <w:t>EMAnot_</w:t>
    </w:r>
    <w:r w:rsidR="00E33B79">
      <w:rPr>
        <w:sz w:val="20"/>
        <w:szCs w:val="20"/>
      </w:rPr>
      <w:t>16</w:t>
    </w:r>
    <w:r w:rsidRPr="007D7292">
      <w:rPr>
        <w:sz w:val="20"/>
        <w:szCs w:val="20"/>
      </w:rPr>
      <w:t>0</w:t>
    </w:r>
    <w:r w:rsidR="004E14CF">
      <w:rPr>
        <w:sz w:val="20"/>
        <w:szCs w:val="20"/>
      </w:rPr>
      <w:t>8</w:t>
    </w:r>
    <w:r>
      <w:rPr>
        <w:sz w:val="20"/>
        <w:szCs w:val="20"/>
      </w:rPr>
      <w:t>11_grozlic</w:t>
    </w:r>
    <w:r w:rsidRPr="007D7292">
      <w:rPr>
        <w:sz w:val="20"/>
        <w:szCs w:val="20"/>
      </w:rPr>
      <w:t xml:space="preserve">; </w:t>
    </w:r>
    <w:bookmarkStart w:id="4" w:name="OLE_LINK5"/>
    <w:bookmarkStart w:id="5" w:name="OLE_LINK6"/>
    <w:r w:rsidRPr="007D7292">
      <w:rPr>
        <w:sz w:val="20"/>
        <w:szCs w:val="20"/>
      </w:rPr>
      <w:t>Ministru kabineta noteikumu projekta</w:t>
    </w:r>
    <w:r w:rsidRPr="007D7292">
      <w:rPr>
        <w:bCs/>
        <w:sz w:val="20"/>
        <w:szCs w:val="20"/>
      </w:rPr>
      <w:t xml:space="preserve"> </w:t>
    </w:r>
    <w:r w:rsidRPr="009923BA">
      <w:rPr>
        <w:sz w:val="20"/>
        <w:szCs w:val="20"/>
      </w:rPr>
      <w:t>„</w:t>
    </w:r>
    <w:r>
      <w:rPr>
        <w:bCs/>
        <w:sz w:val="20"/>
        <w:szCs w:val="20"/>
      </w:rPr>
      <w:t>Grozījum</w:t>
    </w:r>
    <w:r w:rsidR="00E33B79">
      <w:rPr>
        <w:bCs/>
        <w:sz w:val="20"/>
        <w:szCs w:val="20"/>
      </w:rPr>
      <w:t>s</w:t>
    </w:r>
    <w:r w:rsidRPr="009923BA">
      <w:rPr>
        <w:bCs/>
        <w:sz w:val="20"/>
        <w:szCs w:val="20"/>
      </w:rPr>
      <w:t xml:space="preserve"> Ministru kabineta 2011.gada 29.marta noteikumos Nr.245 „</w:t>
    </w:r>
    <w:r w:rsidRPr="009923BA">
      <w:rPr>
        <w:sz w:val="20"/>
        <w:szCs w:val="20"/>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7D7292">
      <w:rPr>
        <w:sz w:val="20"/>
        <w:szCs w:val="20"/>
      </w:rPr>
      <w:t xml:space="preserve"> sākotnējās ietekmes novērtējuma </w:t>
    </w:r>
    <w:smartTag w:uri="schemas-tilde-lv/tildestengine" w:element="veidnes">
      <w:smartTagPr>
        <w:attr w:name="id" w:val="-1"/>
        <w:attr w:name="baseform" w:val="ziņojums"/>
        <w:attr w:name="text" w:val="ziņojums"/>
      </w:smartTagPr>
      <w:r w:rsidRPr="007D7292">
        <w:rPr>
          <w:sz w:val="20"/>
          <w:szCs w:val="20"/>
        </w:rPr>
        <w:t>ziņojums</w:t>
      </w:r>
    </w:smartTag>
    <w:r w:rsidRPr="007D7292">
      <w:rPr>
        <w:sz w:val="20"/>
        <w:szCs w:val="20"/>
      </w:rPr>
      <w:t xml:space="preserve"> (anotācija)</w:t>
    </w:r>
    <w:bookmarkEnd w:id="4"/>
    <w:bookmarkEnd w:id="5"/>
    <w:r w:rsidRPr="007D7292">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65" w:rsidRDefault="00EE3165" w:rsidP="009923BA">
      <w:r>
        <w:separator/>
      </w:r>
    </w:p>
  </w:footnote>
  <w:footnote w:type="continuationSeparator" w:id="0">
    <w:p w:rsidR="00EE3165" w:rsidRDefault="00EE3165" w:rsidP="009923BA">
      <w:r>
        <w:continuationSeparator/>
      </w:r>
    </w:p>
  </w:footnote>
  <w:footnote w:id="1">
    <w:p w:rsidR="00207DD7" w:rsidRPr="00FC203D" w:rsidRDefault="00207DD7" w:rsidP="00207DD7">
      <w:pPr>
        <w:pStyle w:val="FootnoteText"/>
      </w:pPr>
      <w:r w:rsidRPr="00FC203D">
        <w:rPr>
          <w:rStyle w:val="FootnoteReference"/>
        </w:rPr>
        <w:footnoteRef/>
      </w:r>
      <w:r w:rsidRPr="00FC203D">
        <w:t xml:space="preserve"> Maltas uzņēmumu reģistrēšanas vadlīnijas </w:t>
      </w:r>
      <w:hyperlink r:id="rId1" w:history="1">
        <w:r w:rsidRPr="00FC203D">
          <w:rPr>
            <w:rStyle w:val="Hyperlink"/>
          </w:rPr>
          <w:t>http://registry.mfsa.com.mt/otherPDFs/ROCGuide.pdf</w:t>
        </w:r>
      </w:hyperlink>
      <w:r w:rsidRPr="00FC203D">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4A" w:rsidRDefault="00FE18CD" w:rsidP="001A0A4A">
    <w:pPr>
      <w:pStyle w:val="Header"/>
      <w:framePr w:wrap="around" w:vAnchor="text" w:hAnchor="margin" w:xAlign="center" w:y="1"/>
      <w:rPr>
        <w:rStyle w:val="PageNumber"/>
      </w:rPr>
    </w:pPr>
    <w:r>
      <w:rPr>
        <w:rStyle w:val="PageNumber"/>
      </w:rPr>
      <w:fldChar w:fldCharType="begin"/>
    </w:r>
    <w:r w:rsidR="0026084A">
      <w:rPr>
        <w:rStyle w:val="PageNumber"/>
      </w:rPr>
      <w:instrText xml:space="preserve">PAGE  </w:instrText>
    </w:r>
    <w:r>
      <w:rPr>
        <w:rStyle w:val="PageNumber"/>
      </w:rPr>
      <w:fldChar w:fldCharType="end"/>
    </w:r>
  </w:p>
  <w:p w:rsidR="0026084A" w:rsidRDefault="002608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4A" w:rsidRDefault="00FE18CD" w:rsidP="001A0A4A">
    <w:pPr>
      <w:pStyle w:val="Header"/>
      <w:framePr w:wrap="around" w:vAnchor="text" w:hAnchor="margin" w:xAlign="center" w:y="1"/>
      <w:rPr>
        <w:rStyle w:val="PageNumber"/>
      </w:rPr>
    </w:pPr>
    <w:r>
      <w:rPr>
        <w:rStyle w:val="PageNumber"/>
      </w:rPr>
      <w:fldChar w:fldCharType="begin"/>
    </w:r>
    <w:r w:rsidR="0026084A">
      <w:rPr>
        <w:rStyle w:val="PageNumber"/>
      </w:rPr>
      <w:instrText xml:space="preserve">PAGE  </w:instrText>
    </w:r>
    <w:r>
      <w:rPr>
        <w:rStyle w:val="PageNumber"/>
      </w:rPr>
      <w:fldChar w:fldCharType="separate"/>
    </w:r>
    <w:r w:rsidR="0077773E">
      <w:rPr>
        <w:rStyle w:val="PageNumber"/>
        <w:noProof/>
      </w:rPr>
      <w:t>5</w:t>
    </w:r>
    <w:r>
      <w:rPr>
        <w:rStyle w:val="PageNumber"/>
      </w:rPr>
      <w:fldChar w:fldCharType="end"/>
    </w:r>
  </w:p>
  <w:p w:rsidR="0026084A" w:rsidRDefault="00260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0A25"/>
    <w:multiLevelType w:val="hybridMultilevel"/>
    <w:tmpl w:val="CA5476D6"/>
    <w:lvl w:ilvl="0" w:tplc="CE1A48E8">
      <w:numFmt w:val="bullet"/>
      <w:lvlText w:val="-"/>
      <w:lvlJc w:val="left"/>
      <w:pPr>
        <w:tabs>
          <w:tab w:val="num" w:pos="859"/>
        </w:tabs>
        <w:ind w:left="859"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1172812"/>
    <w:multiLevelType w:val="hybridMultilevel"/>
    <w:tmpl w:val="E50C7B5C"/>
    <w:lvl w:ilvl="0" w:tplc="FF26F1A4">
      <w:start w:val="7"/>
      <w:numFmt w:val="bullet"/>
      <w:lvlText w:val="-"/>
      <w:lvlJc w:val="left"/>
      <w:pPr>
        <w:tabs>
          <w:tab w:val="num" w:pos="920"/>
        </w:tabs>
        <w:ind w:left="920" w:hanging="360"/>
      </w:pPr>
      <w:rPr>
        <w:rFonts w:ascii="Times New Roman" w:eastAsia="Times New Roman" w:hAnsi="Times New Roman" w:cs="Times New Roman" w:hint="default"/>
        <w:b/>
        <w:u w:val="none"/>
      </w:rPr>
    </w:lvl>
    <w:lvl w:ilvl="1" w:tplc="04260003" w:tentative="1">
      <w:start w:val="1"/>
      <w:numFmt w:val="bullet"/>
      <w:lvlText w:val="o"/>
      <w:lvlJc w:val="left"/>
      <w:pPr>
        <w:tabs>
          <w:tab w:val="num" w:pos="1640"/>
        </w:tabs>
        <w:ind w:left="1640" w:hanging="360"/>
      </w:pPr>
      <w:rPr>
        <w:rFonts w:ascii="Courier New" w:hAnsi="Courier New" w:cs="Courier New" w:hint="default"/>
      </w:rPr>
    </w:lvl>
    <w:lvl w:ilvl="2" w:tplc="04260005" w:tentative="1">
      <w:start w:val="1"/>
      <w:numFmt w:val="bullet"/>
      <w:lvlText w:val=""/>
      <w:lvlJc w:val="left"/>
      <w:pPr>
        <w:tabs>
          <w:tab w:val="num" w:pos="2360"/>
        </w:tabs>
        <w:ind w:left="2360" w:hanging="360"/>
      </w:pPr>
      <w:rPr>
        <w:rFonts w:ascii="Wingdings" w:hAnsi="Wingdings" w:hint="default"/>
      </w:rPr>
    </w:lvl>
    <w:lvl w:ilvl="3" w:tplc="04260001" w:tentative="1">
      <w:start w:val="1"/>
      <w:numFmt w:val="bullet"/>
      <w:lvlText w:val=""/>
      <w:lvlJc w:val="left"/>
      <w:pPr>
        <w:tabs>
          <w:tab w:val="num" w:pos="3080"/>
        </w:tabs>
        <w:ind w:left="3080" w:hanging="360"/>
      </w:pPr>
      <w:rPr>
        <w:rFonts w:ascii="Symbol" w:hAnsi="Symbol" w:hint="default"/>
      </w:rPr>
    </w:lvl>
    <w:lvl w:ilvl="4" w:tplc="04260003" w:tentative="1">
      <w:start w:val="1"/>
      <w:numFmt w:val="bullet"/>
      <w:lvlText w:val="o"/>
      <w:lvlJc w:val="left"/>
      <w:pPr>
        <w:tabs>
          <w:tab w:val="num" w:pos="3800"/>
        </w:tabs>
        <w:ind w:left="3800" w:hanging="360"/>
      </w:pPr>
      <w:rPr>
        <w:rFonts w:ascii="Courier New" w:hAnsi="Courier New" w:cs="Courier New" w:hint="default"/>
      </w:rPr>
    </w:lvl>
    <w:lvl w:ilvl="5" w:tplc="04260005" w:tentative="1">
      <w:start w:val="1"/>
      <w:numFmt w:val="bullet"/>
      <w:lvlText w:val=""/>
      <w:lvlJc w:val="left"/>
      <w:pPr>
        <w:tabs>
          <w:tab w:val="num" w:pos="4520"/>
        </w:tabs>
        <w:ind w:left="4520" w:hanging="360"/>
      </w:pPr>
      <w:rPr>
        <w:rFonts w:ascii="Wingdings" w:hAnsi="Wingdings" w:hint="default"/>
      </w:rPr>
    </w:lvl>
    <w:lvl w:ilvl="6" w:tplc="04260001" w:tentative="1">
      <w:start w:val="1"/>
      <w:numFmt w:val="bullet"/>
      <w:lvlText w:val=""/>
      <w:lvlJc w:val="left"/>
      <w:pPr>
        <w:tabs>
          <w:tab w:val="num" w:pos="5240"/>
        </w:tabs>
        <w:ind w:left="5240" w:hanging="360"/>
      </w:pPr>
      <w:rPr>
        <w:rFonts w:ascii="Symbol" w:hAnsi="Symbol" w:hint="default"/>
      </w:rPr>
    </w:lvl>
    <w:lvl w:ilvl="7" w:tplc="04260003" w:tentative="1">
      <w:start w:val="1"/>
      <w:numFmt w:val="bullet"/>
      <w:lvlText w:val="o"/>
      <w:lvlJc w:val="left"/>
      <w:pPr>
        <w:tabs>
          <w:tab w:val="num" w:pos="5960"/>
        </w:tabs>
        <w:ind w:left="5960" w:hanging="360"/>
      </w:pPr>
      <w:rPr>
        <w:rFonts w:ascii="Courier New" w:hAnsi="Courier New" w:cs="Courier New" w:hint="default"/>
      </w:rPr>
    </w:lvl>
    <w:lvl w:ilvl="8" w:tplc="04260005" w:tentative="1">
      <w:start w:val="1"/>
      <w:numFmt w:val="bullet"/>
      <w:lvlText w:val=""/>
      <w:lvlJc w:val="left"/>
      <w:pPr>
        <w:tabs>
          <w:tab w:val="num" w:pos="6680"/>
        </w:tabs>
        <w:ind w:left="6680" w:hanging="360"/>
      </w:pPr>
      <w:rPr>
        <w:rFonts w:ascii="Wingdings" w:hAnsi="Wingdings" w:hint="default"/>
      </w:rPr>
    </w:lvl>
  </w:abstractNum>
  <w:abstractNum w:abstractNumId="2">
    <w:nsid w:val="61901EF7"/>
    <w:multiLevelType w:val="hybridMultilevel"/>
    <w:tmpl w:val="04F21E42"/>
    <w:lvl w:ilvl="0" w:tplc="19426A8E">
      <w:start w:val="7"/>
      <w:numFmt w:val="bullet"/>
      <w:lvlText w:val="-"/>
      <w:lvlJc w:val="left"/>
      <w:pPr>
        <w:tabs>
          <w:tab w:val="num" w:pos="1419"/>
        </w:tabs>
        <w:ind w:left="1419" w:hanging="360"/>
      </w:pPr>
      <w:rPr>
        <w:rFonts w:ascii="Times New Roman" w:eastAsia="Times New Roman" w:hAnsi="Times New Roman" w:cs="Times New Roman" w:hint="default"/>
        <w:b w:val="0"/>
        <w:u w:val="none"/>
      </w:rPr>
    </w:lvl>
    <w:lvl w:ilvl="1" w:tplc="04260003" w:tentative="1">
      <w:start w:val="1"/>
      <w:numFmt w:val="bullet"/>
      <w:lvlText w:val="o"/>
      <w:lvlJc w:val="left"/>
      <w:pPr>
        <w:tabs>
          <w:tab w:val="num" w:pos="1939"/>
        </w:tabs>
        <w:ind w:left="1939" w:hanging="360"/>
      </w:pPr>
      <w:rPr>
        <w:rFonts w:ascii="Courier New" w:hAnsi="Courier New" w:cs="Courier New" w:hint="default"/>
      </w:rPr>
    </w:lvl>
    <w:lvl w:ilvl="2" w:tplc="04260005" w:tentative="1">
      <w:start w:val="1"/>
      <w:numFmt w:val="bullet"/>
      <w:lvlText w:val=""/>
      <w:lvlJc w:val="left"/>
      <w:pPr>
        <w:tabs>
          <w:tab w:val="num" w:pos="2659"/>
        </w:tabs>
        <w:ind w:left="2659" w:hanging="360"/>
      </w:pPr>
      <w:rPr>
        <w:rFonts w:ascii="Wingdings" w:hAnsi="Wingdings" w:hint="default"/>
      </w:rPr>
    </w:lvl>
    <w:lvl w:ilvl="3" w:tplc="04260001" w:tentative="1">
      <w:start w:val="1"/>
      <w:numFmt w:val="bullet"/>
      <w:lvlText w:val=""/>
      <w:lvlJc w:val="left"/>
      <w:pPr>
        <w:tabs>
          <w:tab w:val="num" w:pos="3379"/>
        </w:tabs>
        <w:ind w:left="3379" w:hanging="360"/>
      </w:pPr>
      <w:rPr>
        <w:rFonts w:ascii="Symbol" w:hAnsi="Symbol" w:hint="default"/>
      </w:rPr>
    </w:lvl>
    <w:lvl w:ilvl="4" w:tplc="04260003" w:tentative="1">
      <w:start w:val="1"/>
      <w:numFmt w:val="bullet"/>
      <w:lvlText w:val="o"/>
      <w:lvlJc w:val="left"/>
      <w:pPr>
        <w:tabs>
          <w:tab w:val="num" w:pos="4099"/>
        </w:tabs>
        <w:ind w:left="4099" w:hanging="360"/>
      </w:pPr>
      <w:rPr>
        <w:rFonts w:ascii="Courier New" w:hAnsi="Courier New" w:cs="Courier New" w:hint="default"/>
      </w:rPr>
    </w:lvl>
    <w:lvl w:ilvl="5" w:tplc="04260005" w:tentative="1">
      <w:start w:val="1"/>
      <w:numFmt w:val="bullet"/>
      <w:lvlText w:val=""/>
      <w:lvlJc w:val="left"/>
      <w:pPr>
        <w:tabs>
          <w:tab w:val="num" w:pos="4819"/>
        </w:tabs>
        <w:ind w:left="4819" w:hanging="360"/>
      </w:pPr>
      <w:rPr>
        <w:rFonts w:ascii="Wingdings" w:hAnsi="Wingdings" w:hint="default"/>
      </w:rPr>
    </w:lvl>
    <w:lvl w:ilvl="6" w:tplc="04260001" w:tentative="1">
      <w:start w:val="1"/>
      <w:numFmt w:val="bullet"/>
      <w:lvlText w:val=""/>
      <w:lvlJc w:val="left"/>
      <w:pPr>
        <w:tabs>
          <w:tab w:val="num" w:pos="5539"/>
        </w:tabs>
        <w:ind w:left="5539" w:hanging="360"/>
      </w:pPr>
      <w:rPr>
        <w:rFonts w:ascii="Symbol" w:hAnsi="Symbol" w:hint="default"/>
      </w:rPr>
    </w:lvl>
    <w:lvl w:ilvl="7" w:tplc="04260003" w:tentative="1">
      <w:start w:val="1"/>
      <w:numFmt w:val="bullet"/>
      <w:lvlText w:val="o"/>
      <w:lvlJc w:val="left"/>
      <w:pPr>
        <w:tabs>
          <w:tab w:val="num" w:pos="6259"/>
        </w:tabs>
        <w:ind w:left="6259" w:hanging="360"/>
      </w:pPr>
      <w:rPr>
        <w:rFonts w:ascii="Courier New" w:hAnsi="Courier New" w:cs="Courier New" w:hint="default"/>
      </w:rPr>
    </w:lvl>
    <w:lvl w:ilvl="8" w:tplc="04260005" w:tentative="1">
      <w:start w:val="1"/>
      <w:numFmt w:val="bullet"/>
      <w:lvlText w:val=""/>
      <w:lvlJc w:val="left"/>
      <w:pPr>
        <w:tabs>
          <w:tab w:val="num" w:pos="6979"/>
        </w:tabs>
        <w:ind w:left="6979" w:hanging="360"/>
      </w:pPr>
      <w:rPr>
        <w:rFonts w:ascii="Wingdings" w:hAnsi="Wingdings" w:hint="default"/>
      </w:rPr>
    </w:lvl>
  </w:abstractNum>
  <w:abstractNum w:abstractNumId="3">
    <w:nsid w:val="62496330"/>
    <w:multiLevelType w:val="hybridMultilevel"/>
    <w:tmpl w:val="CA7EE3E0"/>
    <w:lvl w:ilvl="0" w:tplc="8398C3D2">
      <w:start w:val="7"/>
      <w:numFmt w:val="upperRoman"/>
      <w:lvlText w:val="%1."/>
      <w:lvlJc w:val="left"/>
      <w:pPr>
        <w:tabs>
          <w:tab w:val="num" w:pos="1310"/>
        </w:tabs>
        <w:ind w:left="1310" w:hanging="750"/>
      </w:pPr>
      <w:rPr>
        <w:rFonts w:hint="default"/>
        <w:u w:val="none"/>
      </w:rPr>
    </w:lvl>
    <w:lvl w:ilvl="1" w:tplc="04260019" w:tentative="1">
      <w:start w:val="1"/>
      <w:numFmt w:val="lowerLetter"/>
      <w:lvlText w:val="%2."/>
      <w:lvlJc w:val="left"/>
      <w:pPr>
        <w:tabs>
          <w:tab w:val="num" w:pos="1640"/>
        </w:tabs>
        <w:ind w:left="1640" w:hanging="360"/>
      </w:pPr>
    </w:lvl>
    <w:lvl w:ilvl="2" w:tplc="0426001B" w:tentative="1">
      <w:start w:val="1"/>
      <w:numFmt w:val="lowerRoman"/>
      <w:lvlText w:val="%3."/>
      <w:lvlJc w:val="right"/>
      <w:pPr>
        <w:tabs>
          <w:tab w:val="num" w:pos="2360"/>
        </w:tabs>
        <w:ind w:left="2360" w:hanging="180"/>
      </w:pPr>
    </w:lvl>
    <w:lvl w:ilvl="3" w:tplc="0426000F" w:tentative="1">
      <w:start w:val="1"/>
      <w:numFmt w:val="decimal"/>
      <w:lvlText w:val="%4."/>
      <w:lvlJc w:val="left"/>
      <w:pPr>
        <w:tabs>
          <w:tab w:val="num" w:pos="3080"/>
        </w:tabs>
        <w:ind w:left="3080" w:hanging="360"/>
      </w:pPr>
    </w:lvl>
    <w:lvl w:ilvl="4" w:tplc="04260019" w:tentative="1">
      <w:start w:val="1"/>
      <w:numFmt w:val="lowerLetter"/>
      <w:lvlText w:val="%5."/>
      <w:lvlJc w:val="left"/>
      <w:pPr>
        <w:tabs>
          <w:tab w:val="num" w:pos="3800"/>
        </w:tabs>
        <w:ind w:left="3800" w:hanging="360"/>
      </w:pPr>
    </w:lvl>
    <w:lvl w:ilvl="5" w:tplc="0426001B" w:tentative="1">
      <w:start w:val="1"/>
      <w:numFmt w:val="lowerRoman"/>
      <w:lvlText w:val="%6."/>
      <w:lvlJc w:val="right"/>
      <w:pPr>
        <w:tabs>
          <w:tab w:val="num" w:pos="4520"/>
        </w:tabs>
        <w:ind w:left="4520" w:hanging="180"/>
      </w:pPr>
    </w:lvl>
    <w:lvl w:ilvl="6" w:tplc="0426000F" w:tentative="1">
      <w:start w:val="1"/>
      <w:numFmt w:val="decimal"/>
      <w:lvlText w:val="%7."/>
      <w:lvlJc w:val="left"/>
      <w:pPr>
        <w:tabs>
          <w:tab w:val="num" w:pos="5240"/>
        </w:tabs>
        <w:ind w:left="5240" w:hanging="360"/>
      </w:pPr>
    </w:lvl>
    <w:lvl w:ilvl="7" w:tplc="04260019" w:tentative="1">
      <w:start w:val="1"/>
      <w:numFmt w:val="lowerLetter"/>
      <w:lvlText w:val="%8."/>
      <w:lvlJc w:val="left"/>
      <w:pPr>
        <w:tabs>
          <w:tab w:val="num" w:pos="5960"/>
        </w:tabs>
        <w:ind w:left="5960" w:hanging="360"/>
      </w:pPr>
    </w:lvl>
    <w:lvl w:ilvl="8" w:tplc="0426001B" w:tentative="1">
      <w:start w:val="1"/>
      <w:numFmt w:val="lowerRoman"/>
      <w:lvlText w:val="%9."/>
      <w:lvlJc w:val="right"/>
      <w:pPr>
        <w:tabs>
          <w:tab w:val="num" w:pos="6680"/>
        </w:tabs>
        <w:ind w:left="6680" w:hanging="180"/>
      </w:pPr>
    </w:lvl>
  </w:abstractNum>
  <w:abstractNum w:abstractNumId="4">
    <w:nsid w:val="740D746E"/>
    <w:multiLevelType w:val="hybridMultilevel"/>
    <w:tmpl w:val="CB201D22"/>
    <w:lvl w:ilvl="0" w:tplc="9A6EF9AC">
      <w:start w:val="1"/>
      <w:numFmt w:val="decimal"/>
      <w:lvlText w:val="%1)"/>
      <w:lvlJc w:val="left"/>
      <w:pPr>
        <w:ind w:left="739" w:hanging="360"/>
      </w:pPr>
      <w:rPr>
        <w:rFonts w:hint="default"/>
      </w:rPr>
    </w:lvl>
    <w:lvl w:ilvl="1" w:tplc="04260019" w:tentative="1">
      <w:start w:val="1"/>
      <w:numFmt w:val="lowerLetter"/>
      <w:lvlText w:val="%2."/>
      <w:lvlJc w:val="left"/>
      <w:pPr>
        <w:ind w:left="1459" w:hanging="360"/>
      </w:pPr>
    </w:lvl>
    <w:lvl w:ilvl="2" w:tplc="0426001B" w:tentative="1">
      <w:start w:val="1"/>
      <w:numFmt w:val="lowerRoman"/>
      <w:lvlText w:val="%3."/>
      <w:lvlJc w:val="right"/>
      <w:pPr>
        <w:ind w:left="2179" w:hanging="180"/>
      </w:pPr>
    </w:lvl>
    <w:lvl w:ilvl="3" w:tplc="0426000F" w:tentative="1">
      <w:start w:val="1"/>
      <w:numFmt w:val="decimal"/>
      <w:lvlText w:val="%4."/>
      <w:lvlJc w:val="left"/>
      <w:pPr>
        <w:ind w:left="2899" w:hanging="360"/>
      </w:pPr>
    </w:lvl>
    <w:lvl w:ilvl="4" w:tplc="04260019" w:tentative="1">
      <w:start w:val="1"/>
      <w:numFmt w:val="lowerLetter"/>
      <w:lvlText w:val="%5."/>
      <w:lvlJc w:val="left"/>
      <w:pPr>
        <w:ind w:left="3619" w:hanging="360"/>
      </w:pPr>
    </w:lvl>
    <w:lvl w:ilvl="5" w:tplc="0426001B" w:tentative="1">
      <w:start w:val="1"/>
      <w:numFmt w:val="lowerRoman"/>
      <w:lvlText w:val="%6."/>
      <w:lvlJc w:val="right"/>
      <w:pPr>
        <w:ind w:left="4339" w:hanging="180"/>
      </w:pPr>
    </w:lvl>
    <w:lvl w:ilvl="6" w:tplc="0426000F" w:tentative="1">
      <w:start w:val="1"/>
      <w:numFmt w:val="decimal"/>
      <w:lvlText w:val="%7."/>
      <w:lvlJc w:val="left"/>
      <w:pPr>
        <w:ind w:left="5059" w:hanging="360"/>
      </w:pPr>
    </w:lvl>
    <w:lvl w:ilvl="7" w:tplc="04260019" w:tentative="1">
      <w:start w:val="1"/>
      <w:numFmt w:val="lowerLetter"/>
      <w:lvlText w:val="%8."/>
      <w:lvlJc w:val="left"/>
      <w:pPr>
        <w:ind w:left="5779" w:hanging="360"/>
      </w:pPr>
    </w:lvl>
    <w:lvl w:ilvl="8" w:tplc="0426001B" w:tentative="1">
      <w:start w:val="1"/>
      <w:numFmt w:val="lowerRoman"/>
      <w:lvlText w:val="%9."/>
      <w:lvlJc w:val="right"/>
      <w:pPr>
        <w:ind w:left="6499" w:hanging="180"/>
      </w:pPr>
    </w:lvl>
  </w:abstractNum>
  <w:abstractNum w:abstractNumId="5">
    <w:nsid w:val="7EEA2D51"/>
    <w:multiLevelType w:val="hybridMultilevel"/>
    <w:tmpl w:val="0B7250BA"/>
    <w:lvl w:ilvl="0" w:tplc="544EB3AA">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1BA2"/>
    <w:rsid w:val="000160F9"/>
    <w:rsid w:val="00027970"/>
    <w:rsid w:val="000466D7"/>
    <w:rsid w:val="000761C6"/>
    <w:rsid w:val="000A0388"/>
    <w:rsid w:val="000A57DC"/>
    <w:rsid w:val="00173EC2"/>
    <w:rsid w:val="001A0A4A"/>
    <w:rsid w:val="001C02DE"/>
    <w:rsid w:val="001D6535"/>
    <w:rsid w:val="001E4B3D"/>
    <w:rsid w:val="0020582A"/>
    <w:rsid w:val="00207DD7"/>
    <w:rsid w:val="0026084A"/>
    <w:rsid w:val="00262B34"/>
    <w:rsid w:val="002638D1"/>
    <w:rsid w:val="0026651B"/>
    <w:rsid w:val="002A1BA2"/>
    <w:rsid w:val="002C677A"/>
    <w:rsid w:val="00312223"/>
    <w:rsid w:val="00313C80"/>
    <w:rsid w:val="0033482B"/>
    <w:rsid w:val="00370AA3"/>
    <w:rsid w:val="003720C1"/>
    <w:rsid w:val="003F59E7"/>
    <w:rsid w:val="00431494"/>
    <w:rsid w:val="004328D1"/>
    <w:rsid w:val="00456292"/>
    <w:rsid w:val="0047007A"/>
    <w:rsid w:val="004E14CF"/>
    <w:rsid w:val="0053626F"/>
    <w:rsid w:val="005C584F"/>
    <w:rsid w:val="005E2891"/>
    <w:rsid w:val="006118D4"/>
    <w:rsid w:val="00615F4F"/>
    <w:rsid w:val="006F0B28"/>
    <w:rsid w:val="006F5376"/>
    <w:rsid w:val="00727026"/>
    <w:rsid w:val="00735A84"/>
    <w:rsid w:val="0077773E"/>
    <w:rsid w:val="00786E34"/>
    <w:rsid w:val="007B6518"/>
    <w:rsid w:val="008143F9"/>
    <w:rsid w:val="008F3883"/>
    <w:rsid w:val="00977927"/>
    <w:rsid w:val="009923BA"/>
    <w:rsid w:val="009E20CB"/>
    <w:rsid w:val="00A5410D"/>
    <w:rsid w:val="00B24364"/>
    <w:rsid w:val="00B25065"/>
    <w:rsid w:val="00BB5296"/>
    <w:rsid w:val="00BB7477"/>
    <w:rsid w:val="00BF5C51"/>
    <w:rsid w:val="00C11498"/>
    <w:rsid w:val="00C603F8"/>
    <w:rsid w:val="00CA4E19"/>
    <w:rsid w:val="00D07885"/>
    <w:rsid w:val="00D1000D"/>
    <w:rsid w:val="00D24D9C"/>
    <w:rsid w:val="00D54579"/>
    <w:rsid w:val="00D75E3E"/>
    <w:rsid w:val="00D819CA"/>
    <w:rsid w:val="00DA7304"/>
    <w:rsid w:val="00DB6513"/>
    <w:rsid w:val="00DD4F56"/>
    <w:rsid w:val="00E20B7A"/>
    <w:rsid w:val="00E33B79"/>
    <w:rsid w:val="00E74EEF"/>
    <w:rsid w:val="00E80A63"/>
    <w:rsid w:val="00EE3165"/>
    <w:rsid w:val="00EE3923"/>
    <w:rsid w:val="00EF293E"/>
    <w:rsid w:val="00F00987"/>
    <w:rsid w:val="00FD4624"/>
    <w:rsid w:val="00FE18CD"/>
    <w:rsid w:val="00FF47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BA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A1BA2"/>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BA2"/>
    <w:rPr>
      <w:rFonts w:ascii="Times New Roman" w:eastAsia="Times New Roman" w:hAnsi="Times New Roman" w:cs="Times New Roman"/>
      <w:sz w:val="28"/>
      <w:szCs w:val="20"/>
      <w:lang w:eastAsia="lv-LV"/>
    </w:rPr>
  </w:style>
  <w:style w:type="paragraph" w:styleId="Header">
    <w:name w:val="header"/>
    <w:basedOn w:val="Normal"/>
    <w:link w:val="HeaderChar"/>
    <w:rsid w:val="002A1BA2"/>
    <w:pPr>
      <w:tabs>
        <w:tab w:val="center" w:pos="4153"/>
        <w:tab w:val="right" w:pos="8306"/>
      </w:tabs>
    </w:pPr>
  </w:style>
  <w:style w:type="character" w:customStyle="1" w:styleId="HeaderChar">
    <w:name w:val="Header Char"/>
    <w:basedOn w:val="DefaultParagraphFont"/>
    <w:link w:val="Header"/>
    <w:rsid w:val="002A1BA2"/>
    <w:rPr>
      <w:rFonts w:ascii="Times New Roman" w:eastAsia="Times New Roman" w:hAnsi="Times New Roman" w:cs="Times New Roman"/>
      <w:sz w:val="24"/>
      <w:szCs w:val="24"/>
      <w:lang w:eastAsia="lv-LV"/>
    </w:rPr>
  </w:style>
  <w:style w:type="character" w:styleId="PageNumber">
    <w:name w:val="page number"/>
    <w:basedOn w:val="DefaultParagraphFont"/>
    <w:rsid w:val="002A1BA2"/>
  </w:style>
  <w:style w:type="paragraph" w:customStyle="1" w:styleId="naisf">
    <w:name w:val="naisf"/>
    <w:basedOn w:val="Normal"/>
    <w:rsid w:val="002A1BA2"/>
    <w:pPr>
      <w:spacing w:before="75" w:after="75"/>
      <w:ind w:firstLine="375"/>
      <w:jc w:val="both"/>
    </w:pPr>
  </w:style>
  <w:style w:type="paragraph" w:customStyle="1" w:styleId="naisnod">
    <w:name w:val="naisnod"/>
    <w:basedOn w:val="Normal"/>
    <w:rsid w:val="002A1BA2"/>
    <w:pPr>
      <w:spacing w:before="150" w:after="150"/>
      <w:jc w:val="center"/>
    </w:pPr>
    <w:rPr>
      <w:b/>
      <w:bCs/>
    </w:rPr>
  </w:style>
  <w:style w:type="paragraph" w:customStyle="1" w:styleId="naislab">
    <w:name w:val="naislab"/>
    <w:basedOn w:val="Normal"/>
    <w:rsid w:val="002A1BA2"/>
    <w:pPr>
      <w:spacing w:before="75" w:after="75"/>
      <w:jc w:val="right"/>
    </w:pPr>
  </w:style>
  <w:style w:type="paragraph" w:customStyle="1" w:styleId="naiskr">
    <w:name w:val="naiskr"/>
    <w:basedOn w:val="Normal"/>
    <w:rsid w:val="002A1BA2"/>
    <w:pPr>
      <w:spacing w:before="75" w:after="75"/>
    </w:pPr>
  </w:style>
  <w:style w:type="paragraph" w:customStyle="1" w:styleId="naisc">
    <w:name w:val="naisc"/>
    <w:basedOn w:val="Normal"/>
    <w:uiPriority w:val="99"/>
    <w:rsid w:val="002A1BA2"/>
    <w:pPr>
      <w:spacing w:before="75" w:after="75"/>
      <w:jc w:val="center"/>
    </w:pPr>
  </w:style>
  <w:style w:type="character" w:styleId="CommentReference">
    <w:name w:val="annotation reference"/>
    <w:basedOn w:val="DefaultParagraphFont"/>
    <w:uiPriority w:val="99"/>
    <w:semiHidden/>
    <w:rsid w:val="002A1BA2"/>
    <w:rPr>
      <w:sz w:val="16"/>
      <w:szCs w:val="16"/>
    </w:rPr>
  </w:style>
  <w:style w:type="paragraph" w:styleId="FootnoteText">
    <w:name w:val="footnote text"/>
    <w:basedOn w:val="Normal"/>
    <w:link w:val="FootnoteTextChar"/>
    <w:uiPriority w:val="99"/>
    <w:semiHidden/>
    <w:rsid w:val="002A1BA2"/>
    <w:rPr>
      <w:sz w:val="20"/>
      <w:szCs w:val="20"/>
    </w:rPr>
  </w:style>
  <w:style w:type="character" w:customStyle="1" w:styleId="FootnoteTextChar">
    <w:name w:val="Footnote Text Char"/>
    <w:basedOn w:val="DefaultParagraphFont"/>
    <w:link w:val="FootnoteText"/>
    <w:uiPriority w:val="99"/>
    <w:semiHidden/>
    <w:rsid w:val="002A1BA2"/>
    <w:rPr>
      <w:rFonts w:ascii="Times New Roman" w:eastAsia="Times New Roman" w:hAnsi="Times New Roman" w:cs="Times New Roman"/>
      <w:sz w:val="20"/>
      <w:szCs w:val="20"/>
      <w:lang w:eastAsia="lv-LV"/>
    </w:rPr>
  </w:style>
  <w:style w:type="paragraph" w:styleId="Footer">
    <w:name w:val="footer"/>
    <w:basedOn w:val="Normal"/>
    <w:link w:val="FooterChar"/>
    <w:rsid w:val="002A1BA2"/>
    <w:pPr>
      <w:tabs>
        <w:tab w:val="center" w:pos="4153"/>
        <w:tab w:val="right" w:pos="8306"/>
      </w:tabs>
    </w:pPr>
  </w:style>
  <w:style w:type="character" w:customStyle="1" w:styleId="FooterChar">
    <w:name w:val="Footer Char"/>
    <w:basedOn w:val="DefaultParagraphFont"/>
    <w:link w:val="Footer"/>
    <w:rsid w:val="002A1BA2"/>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A1BA2"/>
  </w:style>
  <w:style w:type="paragraph" w:styleId="NormalWeb">
    <w:name w:val="Normal (Web)"/>
    <w:basedOn w:val="Normal"/>
    <w:uiPriority w:val="99"/>
    <w:rsid w:val="002A1BA2"/>
    <w:pPr>
      <w:spacing w:before="100" w:beforeAutospacing="1" w:after="100" w:afterAutospacing="1"/>
    </w:pPr>
  </w:style>
  <w:style w:type="paragraph" w:styleId="HTMLPreformatted">
    <w:name w:val="HTML Preformatted"/>
    <w:basedOn w:val="Normal"/>
    <w:link w:val="HTMLPreformattedChar"/>
    <w:uiPriority w:val="99"/>
    <w:unhideWhenUsed/>
    <w:rsid w:val="002A1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1BA2"/>
    <w:rPr>
      <w:rFonts w:ascii="Courier New" w:eastAsia="Times New Roman" w:hAnsi="Courier New" w:cs="Courier New"/>
      <w:sz w:val="20"/>
      <w:szCs w:val="20"/>
      <w:lang w:eastAsia="lv-LV"/>
    </w:rPr>
  </w:style>
  <w:style w:type="paragraph" w:customStyle="1" w:styleId="normal0">
    <w:name w:val="normal"/>
    <w:basedOn w:val="Normal"/>
    <w:rsid w:val="002A1BA2"/>
    <w:rPr>
      <w:rFonts w:ascii="Calibri" w:hAnsi="Calibri"/>
      <w:sz w:val="22"/>
      <w:szCs w:val="22"/>
    </w:rPr>
  </w:style>
  <w:style w:type="paragraph" w:customStyle="1" w:styleId="list0020paragraph">
    <w:name w:val="list_0020paragraph"/>
    <w:basedOn w:val="Normal"/>
    <w:rsid w:val="002A1BA2"/>
    <w:pPr>
      <w:ind w:left="720"/>
    </w:pPr>
    <w:rPr>
      <w:rFonts w:ascii="Calibri" w:hAnsi="Calibri"/>
      <w:sz w:val="22"/>
      <w:szCs w:val="22"/>
    </w:rPr>
  </w:style>
  <w:style w:type="paragraph" w:customStyle="1" w:styleId="body0020text">
    <w:name w:val="body_0020text"/>
    <w:basedOn w:val="Normal"/>
    <w:rsid w:val="002A1BA2"/>
    <w:rPr>
      <w:i/>
      <w:iCs/>
      <w:sz w:val="28"/>
      <w:szCs w:val="28"/>
    </w:rPr>
  </w:style>
  <w:style w:type="character" w:customStyle="1" w:styleId="normalchar1">
    <w:name w:val="normal__char1"/>
    <w:basedOn w:val="DefaultParagraphFont"/>
    <w:rsid w:val="002A1BA2"/>
    <w:rPr>
      <w:rFonts w:ascii="Calibri" w:hAnsi="Calibri" w:hint="default"/>
      <w:sz w:val="22"/>
      <w:szCs w:val="22"/>
    </w:rPr>
  </w:style>
  <w:style w:type="character" w:customStyle="1" w:styleId="list0020paragraphchar1">
    <w:name w:val="list_0020paragraph__char1"/>
    <w:basedOn w:val="DefaultParagraphFont"/>
    <w:rsid w:val="002A1BA2"/>
    <w:rPr>
      <w:rFonts w:ascii="Calibri" w:hAnsi="Calibri" w:hint="default"/>
      <w:sz w:val="22"/>
      <w:szCs w:val="22"/>
    </w:rPr>
  </w:style>
  <w:style w:type="character" w:customStyle="1" w:styleId="naiscchar1">
    <w:name w:val="naisc__char1"/>
    <w:basedOn w:val="DefaultParagraphFont"/>
    <w:rsid w:val="002A1BA2"/>
    <w:rPr>
      <w:rFonts w:ascii="Times New Roman" w:hAnsi="Times New Roman" w:cs="Times New Roman" w:hint="default"/>
      <w:sz w:val="24"/>
      <w:szCs w:val="24"/>
    </w:rPr>
  </w:style>
  <w:style w:type="paragraph" w:styleId="Subtitle">
    <w:name w:val="Subtitle"/>
    <w:basedOn w:val="Normal"/>
    <w:link w:val="SubtitleChar"/>
    <w:qFormat/>
    <w:rsid w:val="002A1BA2"/>
    <w:pPr>
      <w:ind w:left="851"/>
      <w:jc w:val="both"/>
    </w:pPr>
    <w:rPr>
      <w:sz w:val="28"/>
      <w:szCs w:val="20"/>
    </w:rPr>
  </w:style>
  <w:style w:type="character" w:customStyle="1" w:styleId="SubtitleChar">
    <w:name w:val="Subtitle Char"/>
    <w:basedOn w:val="DefaultParagraphFont"/>
    <w:link w:val="Subtitle"/>
    <w:rsid w:val="002A1BA2"/>
    <w:rPr>
      <w:rFonts w:ascii="Times New Roman" w:eastAsia="Times New Roman" w:hAnsi="Times New Roman" w:cs="Times New Roman"/>
      <w:sz w:val="28"/>
      <w:szCs w:val="20"/>
      <w:lang w:eastAsia="lv-LV"/>
    </w:rPr>
  </w:style>
  <w:style w:type="character" w:customStyle="1" w:styleId="list0020paragraphchar">
    <w:name w:val="list_0020paragraph__char"/>
    <w:basedOn w:val="DefaultParagraphFont"/>
    <w:rsid w:val="002A1BA2"/>
  </w:style>
  <w:style w:type="paragraph" w:styleId="BalloonText">
    <w:name w:val="Balloon Text"/>
    <w:basedOn w:val="Normal"/>
    <w:link w:val="BalloonTextChar"/>
    <w:uiPriority w:val="99"/>
    <w:semiHidden/>
    <w:unhideWhenUsed/>
    <w:rsid w:val="00EE3923"/>
    <w:rPr>
      <w:rFonts w:ascii="Tahoma" w:hAnsi="Tahoma" w:cs="Tahoma"/>
      <w:sz w:val="16"/>
      <w:szCs w:val="16"/>
    </w:rPr>
  </w:style>
  <w:style w:type="character" w:customStyle="1" w:styleId="BalloonTextChar">
    <w:name w:val="Balloon Text Char"/>
    <w:basedOn w:val="DefaultParagraphFont"/>
    <w:link w:val="BalloonText"/>
    <w:uiPriority w:val="99"/>
    <w:semiHidden/>
    <w:rsid w:val="00EE3923"/>
    <w:rPr>
      <w:rFonts w:ascii="Tahoma" w:eastAsia="Times New Roman" w:hAnsi="Tahoma" w:cs="Tahoma"/>
      <w:sz w:val="16"/>
      <w:szCs w:val="16"/>
      <w:lang w:eastAsia="lv-LV"/>
    </w:rPr>
  </w:style>
  <w:style w:type="character" w:styleId="Hyperlink">
    <w:name w:val="Hyperlink"/>
    <w:basedOn w:val="DefaultParagraphFont"/>
    <w:uiPriority w:val="99"/>
    <w:unhideWhenUsed/>
    <w:rsid w:val="001A0A4A"/>
    <w:rPr>
      <w:color w:val="0000FF" w:themeColor="hyperlink"/>
      <w:u w:val="single"/>
    </w:rPr>
  </w:style>
  <w:style w:type="paragraph" w:styleId="Signature">
    <w:name w:val="Signature"/>
    <w:basedOn w:val="Normal"/>
    <w:next w:val="EnvelopeReturn"/>
    <w:link w:val="SignatureChar"/>
    <w:rsid w:val="00207DD7"/>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207DD7"/>
    <w:rPr>
      <w:rFonts w:ascii="Times New Roman" w:eastAsia="Times New Roman" w:hAnsi="Times New Roman" w:cs="Times New Roman"/>
      <w:sz w:val="26"/>
      <w:szCs w:val="20"/>
      <w:lang w:val="en-AU"/>
    </w:rPr>
  </w:style>
  <w:style w:type="character" w:styleId="FootnoteReference">
    <w:name w:val="footnote reference"/>
    <w:basedOn w:val="DefaultParagraphFont"/>
    <w:uiPriority w:val="99"/>
    <w:semiHidden/>
    <w:unhideWhenUsed/>
    <w:rsid w:val="00207DD7"/>
    <w:rPr>
      <w:vertAlign w:val="superscript"/>
    </w:rPr>
  </w:style>
  <w:style w:type="paragraph" w:styleId="EnvelopeReturn">
    <w:name w:val="envelope return"/>
    <w:basedOn w:val="Normal"/>
    <w:uiPriority w:val="99"/>
    <w:semiHidden/>
    <w:unhideWhenUsed/>
    <w:rsid w:val="00207DD7"/>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Duntava@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registry.mfsa.com.mt/otherPDFs/ROC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5</Pages>
  <Words>1353</Words>
  <Characters>10122</Characters>
  <Application>Microsoft Office Word</Application>
  <DocSecurity>0</DocSecurity>
  <Lines>273</Lines>
  <Paragraphs>97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29.marta noteikumos Nr.245 „Noteikumi par kārtību, kādā izsniedz, pārreģistrē, aptur un anulē speciālo atļauju (licenci) patērētāju kreditēšanas pakalpojumu sniegšanai un maksā va</vt:lpstr>
    </vt:vector>
  </TitlesOfParts>
  <Company>LR Ekonomikas ministrija</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sākotnējās ietekmes novērtējuma ziņojums (anotācija)</dc:title>
  <dc:subject>Anotācija</dc:subject>
  <dc:creator>Linda Duntava</dc:creator>
  <cp:keywords/>
  <dc:description>Linda.Duntava@em.gov.lv; 67013213</dc:description>
  <cp:lastModifiedBy>LREM</cp:lastModifiedBy>
  <cp:revision>28</cp:revision>
  <dcterms:created xsi:type="dcterms:W3CDTF">2011-06-17T10:30:00Z</dcterms:created>
  <dcterms:modified xsi:type="dcterms:W3CDTF">2011-08-16T15:10:00Z</dcterms:modified>
</cp:coreProperties>
</file>