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846" w:rsidRPr="00861BB7" w:rsidRDefault="00861BB7" w:rsidP="00483194">
      <w:pPr>
        <w:jc w:val="center"/>
        <w:outlineLvl w:val="0"/>
        <w:rPr>
          <w:b/>
          <w:bCs/>
          <w:color w:val="000000" w:themeColor="text1"/>
        </w:rPr>
      </w:pPr>
      <w:r w:rsidRPr="00861BB7">
        <w:rPr>
          <w:b/>
        </w:rPr>
        <w:t>Likumprojekta „Grozījum</w:t>
      </w:r>
      <w:r w:rsidR="00D57C85">
        <w:rPr>
          <w:b/>
        </w:rPr>
        <w:t>i</w:t>
      </w:r>
      <w:r w:rsidRPr="00861BB7">
        <w:rPr>
          <w:b/>
        </w:rPr>
        <w:t xml:space="preserve"> likumā „Par palīdzību dzīvokļa jautājumu risināšanā”” </w:t>
      </w:r>
      <w:r w:rsidR="00802846" w:rsidRPr="00861BB7">
        <w:rPr>
          <w:b/>
          <w:bCs/>
          <w:color w:val="000000" w:themeColor="text1"/>
        </w:rPr>
        <w:t xml:space="preserve">sākotnējās ietekmes novērtējuma </w:t>
      </w:r>
      <w:smartTag w:uri="schemas-tilde-lv/tildestengine" w:element="veidnes">
        <w:smartTagPr>
          <w:attr w:name="id" w:val="-1"/>
          <w:attr w:name="baseform" w:val="ziņojums"/>
          <w:attr w:name="text" w:val="ziņojums"/>
        </w:smartTagPr>
        <w:r w:rsidR="00802846" w:rsidRPr="00861BB7">
          <w:rPr>
            <w:b/>
            <w:bCs/>
            <w:color w:val="000000" w:themeColor="text1"/>
          </w:rPr>
          <w:t>ziņojums</w:t>
        </w:r>
      </w:smartTag>
      <w:r w:rsidR="00802846" w:rsidRPr="00861BB7">
        <w:rPr>
          <w:b/>
          <w:bCs/>
          <w:color w:val="000000" w:themeColor="text1"/>
        </w:rPr>
        <w:t xml:space="preserve"> (anotācija)</w:t>
      </w:r>
    </w:p>
    <w:p w:rsidR="00802846" w:rsidRPr="00C962CC" w:rsidRDefault="00802846" w:rsidP="000D7206">
      <w:pPr>
        <w:jc w:val="center"/>
        <w:rPr>
          <w:b/>
          <w:color w:val="000000" w:themeColor="text1"/>
        </w:rPr>
      </w:pPr>
    </w:p>
    <w:tbl>
      <w:tblPr>
        <w:tblW w:w="5044"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96"/>
        <w:gridCol w:w="1978"/>
        <w:gridCol w:w="7509"/>
      </w:tblGrid>
      <w:tr w:rsidR="00C962CC" w:rsidRPr="00C962CC" w:rsidTr="000D7206">
        <w:tc>
          <w:tcPr>
            <w:tcW w:w="5000" w:type="pct"/>
            <w:gridSpan w:val="3"/>
            <w:tcBorders>
              <w:top w:val="single" w:sz="6" w:space="0" w:color="auto"/>
              <w:left w:val="single" w:sz="6" w:space="0" w:color="auto"/>
              <w:bottom w:val="outset" w:sz="6" w:space="0" w:color="000000"/>
              <w:right w:val="single" w:sz="6" w:space="0" w:color="auto"/>
            </w:tcBorders>
            <w:vAlign w:val="center"/>
          </w:tcPr>
          <w:p w:rsidR="00802846" w:rsidRPr="00C962CC" w:rsidRDefault="00802846" w:rsidP="000D7206">
            <w:pPr>
              <w:spacing w:before="100" w:beforeAutospacing="1" w:after="100" w:afterAutospacing="1"/>
              <w:jc w:val="center"/>
              <w:rPr>
                <w:b/>
                <w:bCs/>
                <w:color w:val="000000" w:themeColor="text1"/>
              </w:rPr>
            </w:pPr>
            <w:r w:rsidRPr="00C962CC">
              <w:rPr>
                <w:b/>
                <w:bCs/>
                <w:color w:val="000000" w:themeColor="text1"/>
              </w:rPr>
              <w:t>I. Tiesību akta projekta izstrādes nepieciešamība</w:t>
            </w:r>
          </w:p>
        </w:tc>
      </w:tr>
      <w:tr w:rsidR="00C962CC" w:rsidRPr="00C962CC" w:rsidTr="000D7206">
        <w:tc>
          <w:tcPr>
            <w:tcW w:w="151" w:type="pct"/>
            <w:tcBorders>
              <w:top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1.</w:t>
            </w:r>
          </w:p>
        </w:tc>
        <w:tc>
          <w:tcPr>
            <w:tcW w:w="1011" w:type="pct"/>
            <w:tcBorders>
              <w:top w:val="outset" w:sz="6" w:space="0" w:color="000000"/>
              <w:left w:val="outset" w:sz="6" w:space="0" w:color="000000"/>
              <w:bottom w:val="outset" w:sz="6" w:space="0" w:color="000000"/>
              <w:right w:val="outset" w:sz="6" w:space="0" w:color="000000"/>
            </w:tcBorders>
          </w:tcPr>
          <w:p w:rsidR="00802846" w:rsidRPr="00D95700" w:rsidRDefault="00802846" w:rsidP="000D7206">
            <w:pPr>
              <w:spacing w:before="100" w:beforeAutospacing="1" w:after="100" w:afterAutospacing="1"/>
              <w:rPr>
                <w:color w:val="000000" w:themeColor="text1"/>
              </w:rPr>
            </w:pPr>
            <w:r w:rsidRPr="00D95700">
              <w:rPr>
                <w:color w:val="000000" w:themeColor="text1"/>
              </w:rPr>
              <w:t>Pamatojums</w:t>
            </w:r>
          </w:p>
        </w:tc>
        <w:tc>
          <w:tcPr>
            <w:tcW w:w="3837" w:type="pct"/>
            <w:tcBorders>
              <w:top w:val="outset" w:sz="6" w:space="0" w:color="000000"/>
              <w:left w:val="outset" w:sz="6" w:space="0" w:color="000000"/>
              <w:bottom w:val="outset" w:sz="6" w:space="0" w:color="000000"/>
            </w:tcBorders>
          </w:tcPr>
          <w:p w:rsidR="00B859E9" w:rsidRPr="00B859E9" w:rsidRDefault="00B859E9" w:rsidP="00B859E9">
            <w:pPr>
              <w:jc w:val="both"/>
              <w:rPr>
                <w:b/>
              </w:rPr>
            </w:pPr>
            <w:r w:rsidRPr="00B859E9">
              <w:rPr>
                <w:b/>
              </w:rPr>
              <w:t>Sagatavotā likumprojekta izskatīšana ir steidzama, ņemot vērā sekojošus faktorus:</w:t>
            </w:r>
          </w:p>
          <w:p w:rsidR="00B859E9" w:rsidRDefault="00CB35C5" w:rsidP="00B859E9">
            <w:pPr>
              <w:pStyle w:val="BodyText"/>
              <w:spacing w:after="0"/>
              <w:ind w:firstLine="0"/>
              <w:rPr>
                <w:rFonts w:cs="Times New Roman"/>
                <w:color w:val="2A2A2A"/>
                <w:sz w:val="24"/>
                <w:lang w:val="lv-LV"/>
              </w:rPr>
            </w:pPr>
            <w:r>
              <w:rPr>
                <w:rFonts w:cs="Times New Roman"/>
                <w:sz w:val="24"/>
                <w:lang w:val="lv-LV"/>
              </w:rPr>
              <w:t>1</w:t>
            </w:r>
            <w:r w:rsidR="00B859E9" w:rsidRPr="00B859E9">
              <w:rPr>
                <w:rFonts w:cs="Times New Roman"/>
                <w:sz w:val="24"/>
                <w:lang w:val="lv-LV"/>
              </w:rPr>
              <w:t xml:space="preserve">) </w:t>
            </w:r>
            <w:r w:rsidR="00B859E9" w:rsidRPr="00B859E9">
              <w:rPr>
                <w:rFonts w:cs="Times New Roman"/>
                <w:color w:val="000000"/>
                <w:sz w:val="24"/>
                <w:lang w:val="lv-LV"/>
              </w:rPr>
              <w:t xml:space="preserve">Ministru kabineta 2013. gada 13. augusta sēdē pieņemts zināšanai informatīvais ziņojums „Komplekss risinājums elektroenerģijas tirgus problemātikai” (turpmāk – Ziņojums) (prot.Nr.44, 156.§) un </w:t>
            </w:r>
            <w:r w:rsidR="00B859E9" w:rsidRPr="00B859E9">
              <w:rPr>
                <w:rFonts w:cs="Times New Roman"/>
                <w:color w:val="2A2A2A"/>
                <w:sz w:val="24"/>
                <w:lang w:val="lv-LV"/>
              </w:rPr>
              <w:t xml:space="preserve">pamatā tika atbalstīti Ziņojumā ietvertie risinājumi, kuru tālākai virzībai un realizācijai nepieciešami steidzama tiesiskā regulējuma ietvara izveide (viens no tiem ir </w:t>
            </w:r>
            <w:r w:rsidR="00B859E9" w:rsidRPr="00B859E9">
              <w:rPr>
                <w:sz w:val="24"/>
                <w:lang w:val="lv-LV"/>
              </w:rPr>
              <w:t>likumprojekts „Grozījums likumā „Par palīdzību dzīvokļa jautājumu risināšanā””</w:t>
            </w:r>
            <w:r w:rsidR="00B859E9" w:rsidRPr="00B859E9">
              <w:rPr>
                <w:rFonts w:cs="Times New Roman"/>
                <w:color w:val="2A2A2A"/>
                <w:sz w:val="24"/>
                <w:lang w:val="lv-LV"/>
              </w:rPr>
              <w:t>)</w:t>
            </w:r>
            <w:r>
              <w:rPr>
                <w:rFonts w:cs="Times New Roman"/>
                <w:color w:val="2A2A2A"/>
                <w:sz w:val="24"/>
                <w:lang w:val="lv-LV"/>
              </w:rPr>
              <w:t>.</w:t>
            </w:r>
          </w:p>
          <w:p w:rsidR="00CB35C5" w:rsidRPr="00B859E9" w:rsidRDefault="00CB35C5" w:rsidP="00CB35C5">
            <w:pPr>
              <w:pStyle w:val="BodyText"/>
              <w:spacing w:after="0"/>
              <w:ind w:firstLine="0"/>
              <w:rPr>
                <w:rFonts w:cs="Times New Roman"/>
                <w:sz w:val="24"/>
                <w:lang w:val="lv-LV"/>
              </w:rPr>
            </w:pPr>
            <w:r>
              <w:rPr>
                <w:sz w:val="24"/>
              </w:rPr>
              <w:t>2</w:t>
            </w:r>
            <w:r w:rsidRPr="00B859E9">
              <w:rPr>
                <w:sz w:val="24"/>
              </w:rPr>
              <w:t xml:space="preserve">) </w:t>
            </w:r>
            <w:r w:rsidRPr="00B859E9">
              <w:rPr>
                <w:sz w:val="24"/>
                <w:lang w:val="lv-LV"/>
              </w:rPr>
              <w:t>Atbilstoši Ministru kabineta 2013. gada 13. augusta sēdes protokollēmuma Nr.44, 156</w:t>
            </w:r>
            <w:r w:rsidRPr="00B859E9">
              <w:rPr>
                <w:color w:val="000000"/>
                <w:sz w:val="24"/>
                <w:lang w:val="lv-LV"/>
              </w:rPr>
              <w:t>.§ 8. punktam j</w:t>
            </w:r>
            <w:r w:rsidRPr="00B859E9">
              <w:rPr>
                <w:sz w:val="24"/>
                <w:lang w:val="lv-LV"/>
              </w:rPr>
              <w:t xml:space="preserve">autājumu par kompleksiem risinājumiem elektroenerģijas tirgus problemātikai uzdots turpināt izskatīt Ministru kabinetā valsts budžeta projekta 2014. gadam sagatavošanas procesā. Atbilstoši </w:t>
            </w:r>
            <w:r>
              <w:rPr>
                <w:sz w:val="24"/>
                <w:lang w:val="lv-LV"/>
              </w:rPr>
              <w:t xml:space="preserve">valsts </w:t>
            </w:r>
            <w:r w:rsidRPr="00B859E9">
              <w:rPr>
                <w:rFonts w:cs="Times New Roman"/>
                <w:sz w:val="24"/>
                <w:lang w:val="lv-LV"/>
              </w:rPr>
              <w:t>budžet</w:t>
            </w:r>
            <w:r>
              <w:rPr>
                <w:rFonts w:cs="Times New Roman"/>
                <w:sz w:val="24"/>
                <w:lang w:val="lv-LV"/>
              </w:rPr>
              <w:t>a</w:t>
            </w:r>
            <w:r w:rsidRPr="00B859E9">
              <w:rPr>
                <w:rFonts w:cs="Times New Roman"/>
                <w:sz w:val="24"/>
                <w:lang w:val="lv-LV"/>
              </w:rPr>
              <w:t xml:space="preserve"> virzības laik</w:t>
            </w:r>
            <w:r w:rsidR="00145ACC">
              <w:rPr>
                <w:rFonts w:cs="Times New Roman"/>
                <w:sz w:val="24"/>
                <w:lang w:val="lv-LV"/>
              </w:rPr>
              <w:t>a</w:t>
            </w:r>
            <w:r w:rsidRPr="00B859E9">
              <w:rPr>
                <w:rFonts w:cs="Times New Roman"/>
                <w:sz w:val="24"/>
                <w:lang w:val="lv-LV"/>
              </w:rPr>
              <w:t xml:space="preserve"> grafikam </w:t>
            </w:r>
            <w:r>
              <w:rPr>
                <w:rFonts w:cs="Times New Roman"/>
                <w:sz w:val="24"/>
                <w:lang w:val="lv-LV"/>
              </w:rPr>
              <w:t xml:space="preserve">valsts </w:t>
            </w:r>
            <w:r w:rsidRPr="00B859E9">
              <w:rPr>
                <w:rFonts w:cs="Times New Roman"/>
                <w:sz w:val="24"/>
                <w:lang w:val="lv-LV"/>
              </w:rPr>
              <w:t xml:space="preserve">budžets </w:t>
            </w:r>
            <w:r>
              <w:rPr>
                <w:rFonts w:cs="Times New Roman"/>
                <w:sz w:val="24"/>
                <w:lang w:val="lv-LV"/>
              </w:rPr>
              <w:t xml:space="preserve">Ministru kabinetam </w:t>
            </w:r>
            <w:r w:rsidRPr="00B859E9">
              <w:rPr>
                <w:rFonts w:cs="Times New Roman"/>
                <w:sz w:val="24"/>
                <w:lang w:val="lv-LV"/>
              </w:rPr>
              <w:t xml:space="preserve">ir jāpieņem </w:t>
            </w:r>
            <w:r w:rsidRPr="001574E1">
              <w:rPr>
                <w:rFonts w:cs="Times New Roman"/>
                <w:sz w:val="24"/>
                <w:u w:val="single"/>
                <w:lang w:val="lv-LV"/>
              </w:rPr>
              <w:t xml:space="preserve">līdz 2013. gada 1. </w:t>
            </w:r>
            <w:r w:rsidR="00145ACC" w:rsidRPr="001574E1">
              <w:rPr>
                <w:rFonts w:cs="Times New Roman"/>
                <w:sz w:val="24"/>
                <w:u w:val="single"/>
                <w:lang w:val="lv-LV"/>
              </w:rPr>
              <w:t>o</w:t>
            </w:r>
            <w:r w:rsidRPr="001574E1">
              <w:rPr>
                <w:rFonts w:cs="Times New Roman"/>
                <w:sz w:val="24"/>
                <w:u w:val="single"/>
                <w:lang w:val="lv-LV"/>
              </w:rPr>
              <w:t>ktobrim</w:t>
            </w:r>
            <w:r w:rsidR="00145ACC" w:rsidRPr="001574E1">
              <w:rPr>
                <w:rFonts w:cs="Times New Roman"/>
                <w:b/>
                <w:sz w:val="24"/>
                <w:lang w:val="lv-LV"/>
              </w:rPr>
              <w:t xml:space="preserve"> </w:t>
            </w:r>
            <w:r w:rsidR="00145ACC" w:rsidRPr="00145ACC">
              <w:rPr>
                <w:rFonts w:cs="Times New Roman"/>
                <w:sz w:val="24"/>
                <w:lang w:val="lv-LV"/>
              </w:rPr>
              <w:t>(atbilstoši Ministru kabineta 2013.gada 27.augusta sēdē nolemtajam, prot.Nr.46)</w:t>
            </w:r>
            <w:r w:rsidRPr="00145ACC">
              <w:rPr>
                <w:rFonts w:cs="Times New Roman"/>
                <w:sz w:val="24"/>
                <w:lang w:val="lv-LV"/>
              </w:rPr>
              <w:t>.</w:t>
            </w:r>
          </w:p>
          <w:p w:rsidR="00D57C85" w:rsidRDefault="00B859E9" w:rsidP="00D57C85">
            <w:pPr>
              <w:pStyle w:val="BodyText"/>
              <w:ind w:firstLine="0"/>
              <w:rPr>
                <w:sz w:val="24"/>
                <w:lang w:val="lv-LV"/>
              </w:rPr>
            </w:pPr>
            <w:r w:rsidRPr="00B859E9">
              <w:rPr>
                <w:rFonts w:cs="Times New Roman"/>
                <w:color w:val="2A2A2A"/>
                <w:sz w:val="24"/>
                <w:lang w:val="lv-LV"/>
              </w:rPr>
              <w:t xml:space="preserve">3) Ar </w:t>
            </w:r>
            <w:r w:rsidRPr="00B859E9">
              <w:rPr>
                <w:sz w:val="24"/>
                <w:lang w:val="lv-LV"/>
              </w:rPr>
              <w:t>likumprojektu „Grozījums likumā „Par palīdzību dzīvokļa j</w:t>
            </w:r>
            <w:r w:rsidR="00D57C85">
              <w:rPr>
                <w:sz w:val="24"/>
                <w:lang w:val="lv-LV"/>
              </w:rPr>
              <w:t>autājumu risināšanā”” saistītā s</w:t>
            </w:r>
            <w:r w:rsidRPr="00B859E9">
              <w:rPr>
                <w:sz w:val="24"/>
                <w:lang w:val="lv-LV"/>
              </w:rPr>
              <w:t xml:space="preserve">ubsidētās elektroenerģijas nodokļa ieviešanas </w:t>
            </w:r>
            <w:r w:rsidR="004F20E1" w:rsidRPr="00B859E9">
              <w:rPr>
                <w:sz w:val="24"/>
                <w:lang w:val="lv-LV"/>
              </w:rPr>
              <w:t>paredzamais</w:t>
            </w:r>
            <w:r w:rsidRPr="00B859E9">
              <w:rPr>
                <w:sz w:val="24"/>
                <w:lang w:val="lv-LV"/>
              </w:rPr>
              <w:t xml:space="preserve"> termiņš ir 2014.</w:t>
            </w:r>
            <w:r w:rsidR="00B54DD6">
              <w:rPr>
                <w:sz w:val="24"/>
                <w:lang w:val="lv-LV"/>
              </w:rPr>
              <w:t> </w:t>
            </w:r>
            <w:r w:rsidRPr="00B859E9">
              <w:rPr>
                <w:sz w:val="24"/>
                <w:lang w:val="lv-LV"/>
              </w:rPr>
              <w:t>gada 1.</w:t>
            </w:r>
            <w:r w:rsidR="00B54DD6">
              <w:rPr>
                <w:sz w:val="24"/>
                <w:lang w:val="lv-LV"/>
              </w:rPr>
              <w:t> </w:t>
            </w:r>
            <w:r w:rsidRPr="00B859E9">
              <w:rPr>
                <w:sz w:val="24"/>
                <w:lang w:val="lv-LV"/>
              </w:rPr>
              <w:t xml:space="preserve">janvāris, savukārt pilnīga elektroenerģijas </w:t>
            </w:r>
            <w:r w:rsidR="004F20E1" w:rsidRPr="00B859E9">
              <w:rPr>
                <w:sz w:val="24"/>
                <w:lang w:val="lv-LV"/>
              </w:rPr>
              <w:t>liberalizāciju</w:t>
            </w:r>
            <w:r w:rsidRPr="00B859E9">
              <w:rPr>
                <w:sz w:val="24"/>
                <w:lang w:val="lv-LV"/>
              </w:rPr>
              <w:t xml:space="preserve"> paredzētās veikt 2014.</w:t>
            </w:r>
            <w:r w:rsidR="00B54DD6">
              <w:rPr>
                <w:sz w:val="24"/>
                <w:lang w:val="lv-LV"/>
              </w:rPr>
              <w:t> </w:t>
            </w:r>
            <w:r w:rsidRPr="00B859E9">
              <w:rPr>
                <w:sz w:val="24"/>
                <w:lang w:val="lv-LV"/>
              </w:rPr>
              <w:t xml:space="preserve">gada pirmajā pusgadā. </w:t>
            </w:r>
          </w:p>
          <w:p w:rsidR="00D57C85" w:rsidRDefault="00D57C85" w:rsidP="00D57C85">
            <w:pPr>
              <w:spacing w:after="120"/>
              <w:jc w:val="both"/>
              <w:rPr>
                <w:rFonts w:eastAsia="Nimbus Sans L" w:cs="Nimbus Sans L"/>
                <w:kern w:val="1"/>
                <w:lang w:eastAsia="hi-IN" w:bidi="hi-IN"/>
              </w:rPr>
            </w:pPr>
            <w:r w:rsidRPr="00D57C85">
              <w:rPr>
                <w:rFonts w:eastAsia="Nimbus Sans L" w:cs="Nimbus Sans L"/>
                <w:kern w:val="1"/>
                <w:lang w:eastAsia="hi-IN" w:bidi="hi-IN"/>
              </w:rPr>
              <w:t>Kompleksos risinājumus kopumā veido četri virzieni, proti, elektroenerģijas tirgus liberalizācija, sociālais atbalsts,  elektroenerģijas obligātā iepirkuma  un garantētās maksas par uzstādīto elekt</w:t>
            </w:r>
            <w:r>
              <w:rPr>
                <w:rFonts w:eastAsia="Nimbus Sans L" w:cs="Nimbus Sans L"/>
                <w:kern w:val="1"/>
                <w:lang w:eastAsia="hi-IN" w:bidi="hi-IN"/>
              </w:rPr>
              <w:t>risko jaudu maksājumu ieņēmumu</w:t>
            </w:r>
            <w:r w:rsidRPr="00D57C85">
              <w:rPr>
                <w:rFonts w:eastAsia="Nimbus Sans L" w:cs="Nimbus Sans L"/>
                <w:kern w:val="1"/>
                <w:lang w:eastAsia="hi-IN" w:bidi="hi-IN"/>
              </w:rPr>
              <w:t>, kurus veido elektroenerģijas lietotāju obligātā iepirkuma komponentes maksājumi un valsts budž</w:t>
            </w:r>
            <w:r>
              <w:rPr>
                <w:rFonts w:eastAsia="Nimbus Sans L" w:cs="Nimbus Sans L"/>
                <w:kern w:val="1"/>
                <w:lang w:eastAsia="hi-IN" w:bidi="hi-IN"/>
              </w:rPr>
              <w:t>eta dotācijas,  administrēšanai</w:t>
            </w:r>
            <w:r w:rsidRPr="00D57C85">
              <w:rPr>
                <w:rFonts w:eastAsia="Nimbus Sans L" w:cs="Nimbus Sans L"/>
                <w:kern w:val="1"/>
                <w:lang w:eastAsia="hi-IN" w:bidi="hi-IN"/>
              </w:rPr>
              <w:t>, subsidētās elektroenerģijas nodokļa izveidošana.</w:t>
            </w:r>
          </w:p>
          <w:p w:rsidR="00B859E9" w:rsidRPr="00D95700" w:rsidRDefault="00914AB1" w:rsidP="00B859E9">
            <w:pPr>
              <w:jc w:val="both"/>
              <w:rPr>
                <w:color w:val="000000" w:themeColor="text1"/>
              </w:rPr>
            </w:pPr>
            <w:r w:rsidRPr="00243925">
              <w:t>Ņemot vērā minēto</w:t>
            </w:r>
            <w:r w:rsidR="00D57C85">
              <w:t>,</w:t>
            </w:r>
            <w:r w:rsidRPr="00243925">
              <w:t xml:space="preserve"> ir izstrādāts </w:t>
            </w:r>
            <w:r w:rsidR="00243925" w:rsidRPr="00243925">
              <w:t>likumprojekts „Grozījums likumā „Par palīdzību dzīvokļa jautājumu risināšanā””.</w:t>
            </w:r>
          </w:p>
        </w:tc>
      </w:tr>
      <w:tr w:rsidR="00C962CC" w:rsidRPr="00C962CC" w:rsidTr="000D7206">
        <w:tc>
          <w:tcPr>
            <w:tcW w:w="151" w:type="pct"/>
            <w:tcBorders>
              <w:top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2.</w:t>
            </w:r>
          </w:p>
        </w:tc>
        <w:tc>
          <w:tcPr>
            <w:tcW w:w="1011" w:type="pct"/>
            <w:tcBorders>
              <w:top w:val="outset" w:sz="6" w:space="0" w:color="000000"/>
              <w:left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Pašreizējā situācija un problēmas</w:t>
            </w:r>
          </w:p>
        </w:tc>
        <w:tc>
          <w:tcPr>
            <w:tcW w:w="3837" w:type="pct"/>
            <w:tcBorders>
              <w:top w:val="outset" w:sz="6" w:space="0" w:color="000000"/>
              <w:left w:val="outset" w:sz="6" w:space="0" w:color="000000"/>
              <w:bottom w:val="outset" w:sz="6" w:space="0" w:color="000000"/>
            </w:tcBorders>
          </w:tcPr>
          <w:p w:rsidR="00243925" w:rsidRPr="007C1BFA" w:rsidRDefault="00243925" w:rsidP="00243925">
            <w:pPr>
              <w:tabs>
                <w:tab w:val="left" w:pos="993"/>
              </w:tabs>
              <w:jc w:val="both"/>
              <w:rPr>
                <w:color w:val="000000" w:themeColor="text1"/>
              </w:rPr>
            </w:pPr>
            <w:r w:rsidRPr="007C1BFA">
              <w:rPr>
                <w:color w:val="000000" w:themeColor="text1"/>
              </w:rPr>
              <w:t xml:space="preserve">Atbilstoši likuma „Par pašvaldībām” 15. pantam, gan sociālās palīdzības nodrošināšana iedzīvotājiem, gan arī palīdzības sniegšana iedzīvotājiem dzīvokļa jautājumu risināšanā </w:t>
            </w:r>
            <w:r w:rsidRPr="00891FD2">
              <w:rPr>
                <w:color w:val="000000" w:themeColor="text1"/>
                <w:u w:val="single"/>
              </w:rPr>
              <w:t>ir pašvaldības autonomā funkcija</w:t>
            </w:r>
            <w:r w:rsidRPr="007C1BFA">
              <w:rPr>
                <w:color w:val="000000" w:themeColor="text1"/>
              </w:rPr>
              <w:t>. Likuma „Par pašvaldībām” 7. pants nosaka, ka autonomās funkcijas pildāmas kārtībā, kāda paredzēta attiecīgās nozares likumos un Ministru kabineta noteikumos. Attiecīgi sociālā palīdzība tiek sniegta tādā kārtībā, kā to nosaka Sociālo pakalpojumu un sociālās palīdzības likums, savukārt kārtību, kādā iedzīvotājiem tiek sniegta palīdzība dzīvokļa jautājumu risināšanā nosaka likums „</w:t>
            </w:r>
            <w:r w:rsidRPr="007C1BFA">
              <w:rPr>
                <w:color w:val="000000" w:themeColor="text1"/>
                <w:szCs w:val="28"/>
              </w:rPr>
              <w:t>Par palīdzību dzīvokļa jautājumu risināšanā”</w:t>
            </w:r>
            <w:r w:rsidRPr="007C1BFA">
              <w:rPr>
                <w:color w:val="000000" w:themeColor="text1"/>
              </w:rPr>
              <w:t xml:space="preserve">. </w:t>
            </w:r>
          </w:p>
          <w:p w:rsidR="00243925" w:rsidRPr="007C1BFA" w:rsidRDefault="00243925" w:rsidP="00243925">
            <w:pPr>
              <w:tabs>
                <w:tab w:val="left" w:pos="993"/>
              </w:tabs>
              <w:jc w:val="both"/>
              <w:rPr>
                <w:color w:val="000000" w:themeColor="text1"/>
              </w:rPr>
            </w:pPr>
            <w:r w:rsidRPr="00891FD2">
              <w:rPr>
                <w:i/>
                <w:color w:val="000000" w:themeColor="text1"/>
              </w:rPr>
              <w:t>Sociālās palīdzības mērķis ir sniegt materiālu pabalstu krīzes situācijās nonākušām trūcīgām un maznodrošinātām ģimenēm (personām),</w:t>
            </w:r>
            <w:r w:rsidRPr="007C1BFA">
              <w:rPr>
                <w:color w:val="000000" w:themeColor="text1"/>
              </w:rPr>
              <w:t xml:space="preserve"> lai apmierinātu to pamatvajadzības un veicinātu darbspējīgo personu līdzdarbību savas situācijas uzlabošanā. Savukārt par pamatvajadzībām šā likuma izpratnē ir uzskatāms ēdiens, apģērbs, mājoklis, veselības aprūpe, obligātā izglītība. Lai nodrošinātu mājokļa pieejamību, Sociālo pakalpojumu un sociālās palīdzības likum</w:t>
            </w:r>
            <w:r>
              <w:rPr>
                <w:color w:val="000000" w:themeColor="text1"/>
              </w:rPr>
              <w:t>ā</w:t>
            </w:r>
            <w:r w:rsidRPr="007C1BFA">
              <w:rPr>
                <w:color w:val="000000" w:themeColor="text1"/>
              </w:rPr>
              <w:t xml:space="preserve"> </w:t>
            </w:r>
            <w:r>
              <w:rPr>
                <w:color w:val="000000" w:themeColor="text1"/>
              </w:rPr>
              <w:t>dzīvokļa pabalsts noteikts kā viens no diviem obligāti izmaksājamiem pašvaldību pabalstiem. Minētajā l</w:t>
            </w:r>
            <w:r w:rsidRPr="007C1BFA">
              <w:rPr>
                <w:color w:val="000000" w:themeColor="text1"/>
              </w:rPr>
              <w:t>ikumā nav definēts, kādu maksājumu segšanai ir paredzēts dzīvokļa pabalsts</w:t>
            </w:r>
            <w:r>
              <w:rPr>
                <w:color w:val="000000" w:themeColor="text1"/>
              </w:rPr>
              <w:t xml:space="preserve">. Dzīvokļa </w:t>
            </w:r>
            <w:r>
              <w:rPr>
                <w:color w:val="000000" w:themeColor="text1"/>
              </w:rPr>
              <w:lastRenderedPageBreak/>
              <w:t xml:space="preserve">pabalsta saturs iezīmēts likuma „Par palīdzību dzīvokļa jautājumu risināšanā” 3.pantā, kur noteikts, ka viens no palīdzības veidiem ir „Pabalsta piešķiršana dzīvojamās telpas īres maksas un maksas par pakalpojumiem, kas saistīti ar dzīvojamās telpas lietošanu, segšanai (turpmāk – dzīvokļa pabalsts). </w:t>
            </w:r>
          </w:p>
          <w:p w:rsidR="00243925" w:rsidRPr="007C1BFA" w:rsidRDefault="00243925" w:rsidP="00243925">
            <w:pPr>
              <w:tabs>
                <w:tab w:val="left" w:pos="993"/>
              </w:tabs>
              <w:jc w:val="both"/>
              <w:rPr>
                <w:color w:val="000000" w:themeColor="text1"/>
              </w:rPr>
            </w:pPr>
            <w:r w:rsidRPr="007C1BFA">
              <w:rPr>
                <w:color w:val="000000" w:themeColor="text1"/>
              </w:rPr>
              <w:t xml:space="preserve">Sociālo pakalpojumu un sociālās palīdzības likumā minētais dzīvokļa pabalsts ir saistīts ar </w:t>
            </w:r>
            <w:r>
              <w:rPr>
                <w:color w:val="000000" w:themeColor="text1"/>
              </w:rPr>
              <w:t xml:space="preserve">otru obligāti izmaksājamo pašvaldību pabalstu - </w:t>
            </w:r>
            <w:r w:rsidRPr="007C1BFA">
              <w:rPr>
                <w:color w:val="000000" w:themeColor="text1"/>
              </w:rPr>
              <w:t xml:space="preserve"> pabalstu garantētā minimālā ienākumu līmeņa nodrošināšanai (turpmāk – GMI), t.i., naudas un mantisko pabalstu vai naudas vai mantisko pabalstu, ko piešķir ģimenēm vai atsevišķi dzīvojošām personām, kuras objektīvu apstākļu dēļ negūst pietiekamus </w:t>
            </w:r>
            <w:r w:rsidR="003731EF">
              <w:rPr>
                <w:color w:val="000000" w:themeColor="text1"/>
              </w:rPr>
              <w:t>ienākumus un kuras atzītas par maznodrošinātām</w:t>
            </w:r>
            <w:r w:rsidRPr="007C1BFA">
              <w:rPr>
                <w:color w:val="000000" w:themeColor="text1"/>
              </w:rPr>
              <w:t xml:space="preserve">, nodrošināšanu. Savukārt, likums „Par palīdzību dzīvokļa jautājumu risināšanā” visos gadījumos kā pamatkritēriju palīdzības piešķiršanai nenosaka materiālo resursu novērtēšanu personām (ģimenēm). Pieredze rāda, ka mājokļa pabalsts tiek piešķirts gan </w:t>
            </w:r>
            <w:r w:rsidR="003731EF">
              <w:rPr>
                <w:color w:val="000000" w:themeColor="text1"/>
              </w:rPr>
              <w:t>maznodrošinātām</w:t>
            </w:r>
            <w:r w:rsidRPr="007C1BFA">
              <w:rPr>
                <w:color w:val="000000" w:themeColor="text1"/>
              </w:rPr>
              <w:t xml:space="preserve"> mājsaimniecībām, gan citām iedzīvotāju grupām saskaņā ar pašvaldību pieņemtajiem noteikumiem. </w:t>
            </w:r>
          </w:p>
          <w:p w:rsidR="00243925" w:rsidRPr="00243925" w:rsidRDefault="00243925" w:rsidP="00243925">
            <w:pPr>
              <w:tabs>
                <w:tab w:val="left" w:pos="993"/>
              </w:tabs>
              <w:jc w:val="both"/>
              <w:rPr>
                <w:color w:val="000000" w:themeColor="text1"/>
              </w:rPr>
            </w:pPr>
            <w:r w:rsidRPr="00243925">
              <w:rPr>
                <w:color w:val="000000" w:themeColor="text1"/>
              </w:rPr>
              <w:t xml:space="preserve">Eiropas Komisijas paziņojumā Eiropas Parlamentam, Padomei, Eiropas Ekonomikas un sociālo lietu komitejai un Reģionu komitejai „Kā panākt, lai iekšējais enerģijas tirgus patiešām funkcionētu”, noteikts, ka dalībvalstīm, risinot </w:t>
            </w:r>
            <w:r w:rsidR="001574E1">
              <w:rPr>
                <w:color w:val="000000" w:themeColor="text1"/>
              </w:rPr>
              <w:t>lietotāju</w:t>
            </w:r>
            <w:r w:rsidRPr="00243925">
              <w:rPr>
                <w:color w:val="000000" w:themeColor="text1"/>
              </w:rPr>
              <w:t xml:space="preserve"> </w:t>
            </w:r>
            <w:proofErr w:type="spellStart"/>
            <w:r w:rsidRPr="00243925">
              <w:rPr>
                <w:color w:val="000000" w:themeColor="text1"/>
              </w:rPr>
              <w:t>mazaizsargātību</w:t>
            </w:r>
            <w:proofErr w:type="spellEnd"/>
            <w:r w:rsidRPr="00243925">
              <w:rPr>
                <w:color w:val="000000" w:themeColor="text1"/>
              </w:rPr>
              <w:t xml:space="preserve"> un enerģētisko nabadzību, vajadzētu likt uzsvaru uz energoefektivitātes paaugstināšanas nozīmi, jo subsīdijas vai regulēšana, kas samazina enerģijas cenas kopumā, nerosina energoefektīvus paradumus, neorientējas konkrēti uz tiem, kam vajadzīga aizsardzība, un var kropļot konkurenci. </w:t>
            </w:r>
          </w:p>
          <w:p w:rsidR="00243925" w:rsidRPr="00243925" w:rsidRDefault="00243925" w:rsidP="00243925">
            <w:pPr>
              <w:tabs>
                <w:tab w:val="left" w:pos="993"/>
              </w:tabs>
              <w:jc w:val="both"/>
              <w:rPr>
                <w:color w:val="000000" w:themeColor="text1"/>
              </w:rPr>
            </w:pPr>
            <w:r w:rsidRPr="00243925">
              <w:rPr>
                <w:color w:val="000000" w:themeColor="text1"/>
              </w:rPr>
              <w:t xml:space="preserve">Latvijas mājsaimniecību izdevumu par mājokli īpatsvars kopējos izdevumos, tajā skaitā par elektrību un siltumu, laika periodā no 2008. gada līdz 2011. gadam, ir pieaudzis. Mājsaimniecību izdevumi par mājokli 2008. gadā veidoja vidēji 27,61 latu mēnesī uz vienu mājsaimniecības locekli jeb 11,9% no kopējiem izdevumiem mājsaimniecībai, bet 2011.gadā - vidēji 31 latu mēnesī uz vienu mājsaimniecības locekli jeb 16,6% no kopējiem izdevumiem mājsaimniecībai. Ar to arī izskaidrojama mājsaimniecību nespēja norēķināties par siltumenerģiju, elektroenerģiju un citiem ar mājokli saistītiem izdevumiem. </w:t>
            </w:r>
          </w:p>
          <w:p w:rsidR="00243925" w:rsidRPr="00243925" w:rsidRDefault="00243925" w:rsidP="00243925">
            <w:pPr>
              <w:tabs>
                <w:tab w:val="left" w:pos="993"/>
              </w:tabs>
              <w:jc w:val="both"/>
              <w:rPr>
                <w:color w:val="000000" w:themeColor="text1"/>
              </w:rPr>
            </w:pPr>
            <w:r w:rsidRPr="00243925">
              <w:rPr>
                <w:color w:val="000000" w:themeColor="text1"/>
              </w:rPr>
              <w:t>Šobrīd pastāvošie sociālā atbalsta instrumenti attiecībā uz izmaksām par elektroenerģiju tiek pilnībā uzturēti no AS „Latvenergo” līdzekļiem, un tie ir:</w:t>
            </w:r>
          </w:p>
          <w:p w:rsidR="00243925" w:rsidRPr="00243925" w:rsidRDefault="00243925" w:rsidP="009E4BFB">
            <w:pPr>
              <w:pStyle w:val="ListParagraph"/>
              <w:numPr>
                <w:ilvl w:val="0"/>
                <w:numId w:val="1"/>
              </w:numPr>
              <w:tabs>
                <w:tab w:val="left" w:pos="0"/>
                <w:tab w:val="left" w:pos="420"/>
              </w:tabs>
              <w:ind w:left="0" w:firstLine="0"/>
              <w:jc w:val="both"/>
              <w:rPr>
                <w:color w:val="000000" w:themeColor="text1"/>
              </w:rPr>
            </w:pPr>
            <w:r w:rsidRPr="00243925">
              <w:rPr>
                <w:color w:val="000000" w:themeColor="text1"/>
              </w:rPr>
              <w:t xml:space="preserve">kompensācija starp </w:t>
            </w:r>
            <w:r w:rsidRPr="00243925">
              <w:rPr>
                <w:i/>
                <w:color w:val="000000" w:themeColor="text1"/>
              </w:rPr>
              <w:t>Starta tarifu</w:t>
            </w:r>
            <w:r w:rsidRPr="00243925">
              <w:rPr>
                <w:color w:val="000000" w:themeColor="text1"/>
              </w:rPr>
              <w:t xml:space="preserve"> un </w:t>
            </w:r>
            <w:r w:rsidRPr="00243925">
              <w:rPr>
                <w:i/>
                <w:color w:val="000000" w:themeColor="text1"/>
              </w:rPr>
              <w:t>Pamata tarifu</w:t>
            </w:r>
            <w:r w:rsidRPr="00243925">
              <w:rPr>
                <w:color w:val="000000" w:themeColor="text1"/>
              </w:rPr>
              <w:t xml:space="preserve">, kas pēc AS „Latvenergo” aplēsēm  ir aptuveni 18 milj. LVL gadā. </w:t>
            </w:r>
            <w:r w:rsidRPr="00243925">
              <w:rPr>
                <w:i/>
                <w:color w:val="000000" w:themeColor="text1"/>
              </w:rPr>
              <w:t>Starta tarifs</w:t>
            </w:r>
            <w:r w:rsidRPr="00243925">
              <w:rPr>
                <w:color w:val="000000" w:themeColor="text1"/>
              </w:rPr>
              <w:t xml:space="preserve"> tiek piemērots par pirmajām patērētajām 1200 kWh gada laikā, bet </w:t>
            </w:r>
            <w:r w:rsidRPr="00243925">
              <w:rPr>
                <w:i/>
                <w:color w:val="000000" w:themeColor="text1"/>
              </w:rPr>
              <w:t>Pamata tarifs</w:t>
            </w:r>
            <w:r w:rsidRPr="00243925">
              <w:rPr>
                <w:color w:val="000000" w:themeColor="text1"/>
              </w:rPr>
              <w:t xml:space="preserve"> tiek piemērots lietotāja elektroenerģijas patēriņam, sākot ar 1201 kWh;</w:t>
            </w:r>
          </w:p>
          <w:p w:rsidR="00243925" w:rsidRPr="00243925" w:rsidRDefault="00243925" w:rsidP="009E4BFB">
            <w:pPr>
              <w:pStyle w:val="ListParagraph"/>
              <w:numPr>
                <w:ilvl w:val="0"/>
                <w:numId w:val="1"/>
              </w:numPr>
              <w:tabs>
                <w:tab w:val="left" w:pos="0"/>
                <w:tab w:val="left" w:pos="420"/>
              </w:tabs>
              <w:ind w:left="0" w:firstLine="0"/>
              <w:jc w:val="both"/>
              <w:rPr>
                <w:color w:val="000000" w:themeColor="text1"/>
              </w:rPr>
            </w:pPr>
            <w:r w:rsidRPr="00243925">
              <w:rPr>
                <w:color w:val="000000" w:themeColor="text1"/>
              </w:rPr>
              <w:t>elektroenerģijas norēķinu karšu izsniegšana lietotājiem ar zemu ienākumu līmeni par aptuveni 0,75 milj. LVL gadā;</w:t>
            </w:r>
          </w:p>
          <w:p w:rsidR="00BB5CAF" w:rsidRDefault="00243925" w:rsidP="009E4BFB">
            <w:pPr>
              <w:pStyle w:val="ListParagraph"/>
              <w:numPr>
                <w:ilvl w:val="0"/>
                <w:numId w:val="1"/>
              </w:numPr>
              <w:tabs>
                <w:tab w:val="left" w:pos="0"/>
                <w:tab w:val="left" w:pos="420"/>
              </w:tabs>
              <w:ind w:left="0" w:firstLine="0"/>
              <w:jc w:val="both"/>
              <w:rPr>
                <w:color w:val="000000" w:themeColor="text1"/>
              </w:rPr>
            </w:pPr>
            <w:r w:rsidRPr="00243925">
              <w:rPr>
                <w:color w:val="000000" w:themeColor="text1"/>
              </w:rPr>
              <w:t xml:space="preserve">papildus atbalsts daudzbērnu ģimenēm, apmaksājot  2400 kWh pēc </w:t>
            </w:r>
            <w:r w:rsidRPr="00243925">
              <w:rPr>
                <w:i/>
                <w:color w:val="000000" w:themeColor="text1"/>
              </w:rPr>
              <w:t>Starta tarifa</w:t>
            </w:r>
            <w:r w:rsidRPr="00243925">
              <w:rPr>
                <w:color w:val="000000" w:themeColor="text1"/>
              </w:rPr>
              <w:t xml:space="preserve"> – 0,5 milj. LVL gadā. </w:t>
            </w:r>
          </w:p>
          <w:p w:rsidR="00AF1773" w:rsidRPr="00C962CC" w:rsidRDefault="00AF1773" w:rsidP="00AF1773">
            <w:pPr>
              <w:jc w:val="both"/>
              <w:rPr>
                <w:color w:val="000000" w:themeColor="text1"/>
              </w:rPr>
            </w:pPr>
            <w:r w:rsidRPr="007C1BFA">
              <w:rPr>
                <w:color w:val="000000" w:themeColor="text1"/>
              </w:rPr>
              <w:t xml:space="preserve">Paredzams, ka pēc pilnīgas elektroenerģijas tirgus liberalizācijas AS „Latvenergo” vairs nepildīs sociālās palīdzības funkcijas, līdz ar to pašvaldībām būs nepieciešami papildu līdzekļi sociāli neaizsargāto iedzīvotāju atbalstam. </w:t>
            </w:r>
          </w:p>
        </w:tc>
      </w:tr>
      <w:tr w:rsidR="00C962CC" w:rsidRPr="00C962CC" w:rsidTr="000D7206">
        <w:tc>
          <w:tcPr>
            <w:tcW w:w="151" w:type="pct"/>
            <w:tcBorders>
              <w:top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lastRenderedPageBreak/>
              <w:t>3.</w:t>
            </w:r>
          </w:p>
        </w:tc>
        <w:tc>
          <w:tcPr>
            <w:tcW w:w="1011" w:type="pct"/>
            <w:tcBorders>
              <w:top w:val="outset" w:sz="6" w:space="0" w:color="000000"/>
              <w:left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Saistītie politikas ietekmes novērtējumi un pētījumi</w:t>
            </w:r>
          </w:p>
        </w:tc>
        <w:tc>
          <w:tcPr>
            <w:tcW w:w="3837" w:type="pct"/>
            <w:tcBorders>
              <w:top w:val="outset" w:sz="6" w:space="0" w:color="000000"/>
              <w:left w:val="outset" w:sz="6" w:space="0" w:color="000000"/>
              <w:bottom w:val="outset" w:sz="6" w:space="0" w:color="000000"/>
            </w:tcBorders>
          </w:tcPr>
          <w:p w:rsidR="00802846" w:rsidRPr="00C962CC" w:rsidRDefault="00243925" w:rsidP="00FC50CB">
            <w:pPr>
              <w:spacing w:before="100" w:beforeAutospacing="1" w:after="100" w:afterAutospacing="1"/>
              <w:jc w:val="both"/>
              <w:rPr>
                <w:color w:val="000000" w:themeColor="text1"/>
              </w:rPr>
            </w:pPr>
            <w:r>
              <w:rPr>
                <w:color w:val="000000"/>
              </w:rPr>
              <w:t xml:space="preserve">Ziņojuma </w:t>
            </w:r>
            <w:r w:rsidRPr="00243925">
              <w:rPr>
                <w:color w:val="000000"/>
              </w:rPr>
              <w:t xml:space="preserve">3. nodaļā aprakstītais scenārijs </w:t>
            </w:r>
            <w:bookmarkStart w:id="0" w:name="_Toc361766906"/>
            <w:r w:rsidRPr="00243925">
              <w:rPr>
                <w:color w:val="000000" w:themeColor="text1"/>
              </w:rPr>
              <w:t xml:space="preserve">sociālajam atbalstam </w:t>
            </w:r>
            <w:r w:rsidR="003731EF">
              <w:rPr>
                <w:color w:val="000000" w:themeColor="text1"/>
              </w:rPr>
              <w:t>maznodrošinātiem</w:t>
            </w:r>
            <w:r w:rsidRPr="00243925">
              <w:rPr>
                <w:color w:val="000000" w:themeColor="text1"/>
              </w:rPr>
              <w:t xml:space="preserve"> elektroenerģijas izmaksu segšanai</w:t>
            </w:r>
            <w:bookmarkEnd w:id="0"/>
            <w:r w:rsidRPr="00243925">
              <w:rPr>
                <w:color w:val="000000" w:themeColor="text1"/>
              </w:rPr>
              <w:t xml:space="preserve">. Pēc pilnīgas elektroenerģijas tirgus liberalizācijas </w:t>
            </w:r>
            <w:r w:rsidR="00891FD2">
              <w:rPr>
                <w:color w:val="000000" w:themeColor="text1"/>
              </w:rPr>
              <w:t xml:space="preserve">2014. gadā </w:t>
            </w:r>
            <w:r w:rsidRPr="00243925">
              <w:rPr>
                <w:color w:val="000000" w:themeColor="text1"/>
              </w:rPr>
              <w:t xml:space="preserve">AS „Latvenergo” vairs </w:t>
            </w:r>
            <w:r w:rsidR="00FC50CB">
              <w:rPr>
                <w:color w:val="000000" w:themeColor="text1"/>
              </w:rPr>
              <w:t>nepildīs</w:t>
            </w:r>
            <w:r w:rsidRPr="00243925">
              <w:rPr>
                <w:color w:val="000000" w:themeColor="text1"/>
              </w:rPr>
              <w:t xml:space="preserve"> sociālās palīdzības funkcijas, līdz ar to pašvaldībām būs </w:t>
            </w:r>
            <w:r w:rsidRPr="00243925">
              <w:rPr>
                <w:color w:val="000000" w:themeColor="text1"/>
              </w:rPr>
              <w:lastRenderedPageBreak/>
              <w:t xml:space="preserve">nepieciešami papildus līdzekļi sociāli mazāk aizsargāto iedzīvotāju atbalstam. </w:t>
            </w:r>
            <w:r w:rsidR="003731EF">
              <w:rPr>
                <w:color w:val="000000" w:themeColor="text1"/>
              </w:rPr>
              <w:t>Maznodrošinātām</w:t>
            </w:r>
            <w:r w:rsidRPr="00243925">
              <w:rPr>
                <w:color w:val="000000" w:themeColor="text1"/>
              </w:rPr>
              <w:t xml:space="preserve"> mājsaimniecībām vajadzētu kompensēt elektroenerģijas cenas pieaugumu, kur attiecīgi </w:t>
            </w:r>
            <w:r w:rsidR="00B54DD6">
              <w:rPr>
                <w:color w:val="000000" w:themeColor="text1"/>
              </w:rPr>
              <w:t xml:space="preserve">veido </w:t>
            </w:r>
            <w:r w:rsidRPr="00243925">
              <w:rPr>
                <w:color w:val="000000" w:themeColor="text1"/>
              </w:rPr>
              <w:t xml:space="preserve">izmaksājamā starpība starp </w:t>
            </w:r>
            <w:r w:rsidRPr="00243925">
              <w:rPr>
                <w:i/>
                <w:color w:val="000000" w:themeColor="text1"/>
              </w:rPr>
              <w:t>Starta tarifu</w:t>
            </w:r>
            <w:r w:rsidRPr="00243925">
              <w:rPr>
                <w:color w:val="000000" w:themeColor="text1"/>
              </w:rPr>
              <w:t xml:space="preserve"> un </w:t>
            </w:r>
            <w:r w:rsidRPr="00243925">
              <w:rPr>
                <w:i/>
                <w:color w:val="000000" w:themeColor="text1"/>
              </w:rPr>
              <w:t>elektroenerģijas kopējo cenu.</w:t>
            </w:r>
          </w:p>
        </w:tc>
      </w:tr>
      <w:tr w:rsidR="00C962CC" w:rsidRPr="00C962CC" w:rsidTr="000D7206">
        <w:tc>
          <w:tcPr>
            <w:tcW w:w="151" w:type="pct"/>
            <w:tcBorders>
              <w:top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lastRenderedPageBreak/>
              <w:t>4.</w:t>
            </w:r>
          </w:p>
        </w:tc>
        <w:tc>
          <w:tcPr>
            <w:tcW w:w="1011" w:type="pct"/>
            <w:tcBorders>
              <w:top w:val="outset" w:sz="6" w:space="0" w:color="000000"/>
              <w:left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Tiesiskā regulējuma mērķis un būtība</w:t>
            </w:r>
          </w:p>
        </w:tc>
        <w:tc>
          <w:tcPr>
            <w:tcW w:w="3837" w:type="pct"/>
            <w:tcBorders>
              <w:top w:val="outset" w:sz="6" w:space="0" w:color="000000"/>
              <w:left w:val="outset" w:sz="6" w:space="0" w:color="000000"/>
              <w:bottom w:val="outset" w:sz="6" w:space="0" w:color="000000"/>
            </w:tcBorders>
          </w:tcPr>
          <w:p w:rsidR="00243925" w:rsidRPr="007C1BFA" w:rsidRDefault="00FC50CB" w:rsidP="00FC50CB">
            <w:pPr>
              <w:spacing w:after="120"/>
              <w:jc w:val="both"/>
              <w:rPr>
                <w:color w:val="000000" w:themeColor="text1"/>
              </w:rPr>
            </w:pPr>
            <w:r>
              <w:rPr>
                <w:color w:val="000000" w:themeColor="text1"/>
              </w:rPr>
              <w:t>E</w:t>
            </w:r>
            <w:r w:rsidR="00243925" w:rsidRPr="007C1BFA">
              <w:rPr>
                <w:color w:val="000000" w:themeColor="text1"/>
              </w:rPr>
              <w:t>lektro</w:t>
            </w:r>
            <w:r>
              <w:rPr>
                <w:color w:val="000000" w:themeColor="text1"/>
              </w:rPr>
              <w:t xml:space="preserve">enerģijas tirgus liberalizācija ierobežo iespēju tirgus dalībniekiem, tajā skaitā, </w:t>
            </w:r>
            <w:r w:rsidR="00243925" w:rsidRPr="007C1BFA">
              <w:rPr>
                <w:color w:val="000000" w:themeColor="text1"/>
              </w:rPr>
              <w:t>AS „Latvenergo”</w:t>
            </w:r>
            <w:r>
              <w:rPr>
                <w:color w:val="000000" w:themeColor="text1"/>
              </w:rPr>
              <w:t xml:space="preserve">, pildīt tiem netipiska funkcijas, tādas kā sociālās </w:t>
            </w:r>
            <w:r w:rsidRPr="007C1BFA">
              <w:rPr>
                <w:color w:val="000000" w:themeColor="text1"/>
              </w:rPr>
              <w:t xml:space="preserve"> palīdzības funkcijas</w:t>
            </w:r>
            <w:r>
              <w:rPr>
                <w:color w:val="000000" w:themeColor="text1"/>
              </w:rPr>
              <w:t>,</w:t>
            </w:r>
            <w:r w:rsidRPr="007C1BFA">
              <w:rPr>
                <w:color w:val="000000" w:themeColor="text1"/>
              </w:rPr>
              <w:t xml:space="preserve"> </w:t>
            </w:r>
            <w:r>
              <w:rPr>
                <w:color w:val="000000" w:themeColor="text1"/>
              </w:rPr>
              <w:t xml:space="preserve">kas nav saistītas ar to tiešo darbību. </w:t>
            </w:r>
          </w:p>
          <w:p w:rsidR="00C732D8" w:rsidRPr="00D57C85" w:rsidRDefault="00243925" w:rsidP="00DA0AC1">
            <w:pPr>
              <w:spacing w:after="120"/>
              <w:jc w:val="both"/>
              <w:rPr>
                <w:color w:val="000000" w:themeColor="text1"/>
                <w:shd w:val="clear" w:color="auto" w:fill="FFFFFF"/>
              </w:rPr>
            </w:pPr>
            <w:r w:rsidRPr="007C1BFA">
              <w:rPr>
                <w:color w:val="000000" w:themeColor="text1"/>
              </w:rPr>
              <w:t xml:space="preserve">Šobrīd ne </w:t>
            </w:r>
            <w:r w:rsidRPr="007C1BFA">
              <w:rPr>
                <w:color w:val="000000" w:themeColor="text1"/>
                <w:shd w:val="clear" w:color="auto" w:fill="FFFFFF"/>
              </w:rPr>
              <w:t>Sociālo pakalpojumu un sociālās palīdzības likums, ne arī likums „Par palīdzību dzīvokļa jautājumu risināšanā” nenosaka pamatvajadzības</w:t>
            </w:r>
            <w:r w:rsidRPr="007C1BFA">
              <w:rPr>
                <w:color w:val="000000" w:themeColor="text1"/>
              </w:rPr>
              <w:t xml:space="preserve"> mājoklis - saturu, proti, nav noteikts ar dzīvokļa īpašuma lietošanu saistīto pakalpojumu loks, kuru sedz pašvaldība  izmaksājot dzīvokļa pabalstu. Tādēļ šobrīd pašvaldības savos saistošajos noteikumos šo pakalpojumu loku ir noteikušas atšķirīgu un tikai atsevišķas pašvaldības ir paredzējušas, ka dzīvokļa pabalsta ietvaros ir apmaksājama arī elektroenerģija. </w:t>
            </w:r>
            <w:r w:rsidRPr="007C1BFA">
              <w:rPr>
                <w:color w:val="000000" w:themeColor="text1"/>
                <w:shd w:val="clear" w:color="auto" w:fill="FFFFFF"/>
              </w:rPr>
              <w:t xml:space="preserve">Vienlaikus tām pašvaldībām, kuras dzīvokļa pabalsta ietvaros šobrīd neapmaksā elektroenerģiju, bet turpmāk plāno piešķirt atbalstu tās iegādei, būs jāgroza iepriekš izdotie saistošie noteikumi. </w:t>
            </w:r>
            <w:r>
              <w:rPr>
                <w:color w:val="000000" w:themeColor="text1"/>
                <w:shd w:val="clear" w:color="auto" w:fill="FFFFFF"/>
              </w:rPr>
              <w:t>Jau p</w:t>
            </w:r>
            <w:r w:rsidRPr="007C1BFA">
              <w:rPr>
                <w:color w:val="000000" w:themeColor="text1"/>
                <w:shd w:val="clear" w:color="auto" w:fill="FFFFFF"/>
              </w:rPr>
              <w:t xml:space="preserve">ašlaik normatīvie akti ļauj </w:t>
            </w:r>
            <w:r w:rsidRPr="00D57C85">
              <w:rPr>
                <w:color w:val="000000" w:themeColor="text1"/>
                <w:shd w:val="clear" w:color="auto" w:fill="FFFFFF"/>
              </w:rPr>
              <w:t xml:space="preserve">pašvaldībām dzīvokļa pabalsta ietvaros apmaksāt arī elektroenerģiju. Ekonomikas ministrija par šo iespēju paredz informēt pašvaldības. </w:t>
            </w:r>
          </w:p>
          <w:p w:rsidR="00D57C85" w:rsidRDefault="003D1E01" w:rsidP="00D57C85">
            <w:pPr>
              <w:spacing w:after="120"/>
              <w:jc w:val="both"/>
              <w:rPr>
                <w:rFonts w:eastAsia="Calibri"/>
                <w:color w:val="000000" w:themeColor="text1"/>
                <w:lang w:eastAsia="en-US"/>
              </w:rPr>
            </w:pPr>
            <w:r w:rsidRPr="00D57C85">
              <w:rPr>
                <w:color w:val="000000" w:themeColor="text1"/>
                <w:shd w:val="clear" w:color="auto" w:fill="FFFFFF"/>
              </w:rPr>
              <w:t xml:space="preserve">Likumprojekta mērķis ir noteikt, ka no </w:t>
            </w:r>
            <w:r w:rsidRPr="00D57C85">
              <w:rPr>
                <w:color w:val="000000" w:themeColor="text1"/>
              </w:rPr>
              <w:t>2014.</w:t>
            </w:r>
            <w:r w:rsidR="001574E1">
              <w:rPr>
                <w:color w:val="000000" w:themeColor="text1"/>
              </w:rPr>
              <w:t> </w:t>
            </w:r>
            <w:r w:rsidRPr="00D57C85">
              <w:rPr>
                <w:color w:val="000000" w:themeColor="text1"/>
              </w:rPr>
              <w:t>gada līdz 201</w:t>
            </w:r>
            <w:r w:rsidR="001946A1" w:rsidRPr="00D57C85">
              <w:rPr>
                <w:color w:val="000000" w:themeColor="text1"/>
              </w:rPr>
              <w:t>7</w:t>
            </w:r>
            <w:r w:rsidRPr="00D57C85">
              <w:rPr>
                <w:color w:val="000000" w:themeColor="text1"/>
              </w:rPr>
              <w:t>. </w:t>
            </w:r>
            <w:r w:rsidR="001946A1" w:rsidRPr="00D57C85">
              <w:rPr>
                <w:color w:val="000000" w:themeColor="text1"/>
              </w:rPr>
              <w:t>g</w:t>
            </w:r>
            <w:r w:rsidRPr="00D57C85">
              <w:rPr>
                <w:color w:val="000000" w:themeColor="text1"/>
              </w:rPr>
              <w:t>adam</w:t>
            </w:r>
            <w:r w:rsidR="001946A1" w:rsidRPr="00D57C85">
              <w:rPr>
                <w:color w:val="000000" w:themeColor="text1"/>
              </w:rPr>
              <w:t xml:space="preserve"> </w:t>
            </w:r>
            <w:r w:rsidRPr="00D57C85">
              <w:rPr>
                <w:color w:val="000000" w:themeColor="text1"/>
              </w:rPr>
              <w:t xml:space="preserve">valsts </w:t>
            </w:r>
            <w:r w:rsidR="00FC50CB">
              <w:rPr>
                <w:color w:val="000000" w:themeColor="text1"/>
              </w:rPr>
              <w:t>papildu</w:t>
            </w:r>
            <w:r w:rsidR="001946A1" w:rsidRPr="00D57C85">
              <w:rPr>
                <w:color w:val="000000" w:themeColor="text1"/>
              </w:rPr>
              <w:t xml:space="preserve"> dzīvokļa pabalsta finansējumam </w:t>
            </w:r>
            <w:r w:rsidRPr="00D57C85">
              <w:rPr>
                <w:color w:val="000000" w:themeColor="text1"/>
              </w:rPr>
              <w:t xml:space="preserve">pašvaldībām </w:t>
            </w:r>
            <w:r w:rsidR="001946A1" w:rsidRPr="00D57C85">
              <w:rPr>
                <w:color w:val="000000" w:themeColor="text1"/>
              </w:rPr>
              <w:t>piešķir līdzekļus palīdzībai elektroenerģijas apmaksai</w:t>
            </w:r>
            <w:r w:rsidR="00D57C85" w:rsidRPr="00D57C85">
              <w:rPr>
                <w:color w:val="000000" w:themeColor="text1"/>
              </w:rPr>
              <w:t xml:space="preserve"> atbilstoši Ministru kabineta noteiktajam apmēram un piešķiršanas kritērijiem.</w:t>
            </w:r>
            <w:r w:rsidR="001946A1" w:rsidRPr="00D57C85">
              <w:rPr>
                <w:color w:val="000000" w:themeColor="text1"/>
              </w:rPr>
              <w:t xml:space="preserve"> Palīdzība elektroenerģijas apmaksai  tiek  piešķirta </w:t>
            </w:r>
            <w:r w:rsidR="005E34F8">
              <w:rPr>
                <w:rFonts w:eastAsia="Calibri"/>
                <w:color w:val="000000" w:themeColor="text1"/>
                <w:lang w:eastAsia="en-US"/>
              </w:rPr>
              <w:t xml:space="preserve">personām, </w:t>
            </w:r>
            <w:r w:rsidR="005E34F8" w:rsidRPr="005E34F8">
              <w:rPr>
                <w:rFonts w:eastAsia="Calibri"/>
                <w:color w:val="000000" w:themeColor="text1"/>
                <w:lang w:eastAsia="en-US"/>
              </w:rPr>
              <w:t>kurām pašvaldība ir piešķīrusi maznodrošinātas personas statusu</w:t>
            </w:r>
            <w:r w:rsidR="00D57C85" w:rsidRPr="00D57C85">
              <w:rPr>
                <w:rFonts w:eastAsia="Calibri"/>
                <w:color w:val="000000" w:themeColor="text1"/>
                <w:lang w:eastAsia="en-US"/>
              </w:rPr>
              <w:t>.</w:t>
            </w:r>
          </w:p>
          <w:p w:rsidR="00F767E2" w:rsidRPr="00D57C85" w:rsidRDefault="00F767E2" w:rsidP="00D57C85">
            <w:pPr>
              <w:spacing w:after="120"/>
              <w:jc w:val="both"/>
              <w:rPr>
                <w:rFonts w:eastAsia="Calibri"/>
                <w:color w:val="000000" w:themeColor="text1"/>
                <w:lang w:eastAsia="en-US"/>
              </w:rPr>
            </w:pPr>
            <w:r>
              <w:rPr>
                <w:rFonts w:eastAsia="Calibri"/>
                <w:color w:val="000000" w:themeColor="text1"/>
                <w:lang w:eastAsia="en-US"/>
              </w:rPr>
              <w:t>Palīdzība elektroenerģijas apmaksai netiek iekļauta dzīvokļu pabalstā, jo p</w:t>
            </w:r>
            <w:r w:rsidRPr="00F767E2">
              <w:rPr>
                <w:rFonts w:eastAsia="Calibri"/>
                <w:color w:val="000000" w:themeColor="text1"/>
                <w:lang w:eastAsia="en-US"/>
              </w:rPr>
              <w:t xml:space="preserve">ašvaldībām nav vienota standarta, ko </w:t>
            </w:r>
            <w:r>
              <w:rPr>
                <w:rFonts w:eastAsia="Calibri"/>
                <w:color w:val="000000" w:themeColor="text1"/>
                <w:lang w:eastAsia="en-US"/>
              </w:rPr>
              <w:t>iekļauj dzīvokļu pabalstā</w:t>
            </w:r>
            <w:r w:rsidRPr="00F767E2">
              <w:rPr>
                <w:rFonts w:eastAsia="Calibri"/>
                <w:color w:val="000000" w:themeColor="text1"/>
                <w:lang w:eastAsia="en-US"/>
              </w:rPr>
              <w:t>, attiecīgi katrai pašvaldībai būs atšķirīga pabalsta veidošanas struktūra</w:t>
            </w:r>
            <w:r>
              <w:rPr>
                <w:rFonts w:eastAsia="Calibri"/>
                <w:color w:val="000000" w:themeColor="text1"/>
                <w:lang w:eastAsia="en-US"/>
              </w:rPr>
              <w:t>. Turklāt pret to iebilst Latvijas Pašvaldību savienība iebilst pret dzīvokļa pabalsta un palīdzības elektroenerģijas apmaksai apvienošanu, kā  arī nav izstrādāts universālais pakalpojums energoapgādē.</w:t>
            </w:r>
          </w:p>
          <w:p w:rsidR="00F767E2" w:rsidRPr="00536642" w:rsidRDefault="003D1E01" w:rsidP="00536642">
            <w:pPr>
              <w:jc w:val="both"/>
              <w:rPr>
                <w:color w:val="000000" w:themeColor="text1"/>
                <w:shd w:val="clear" w:color="auto" w:fill="FFFFFF"/>
              </w:rPr>
            </w:pPr>
            <w:r w:rsidRPr="00D57C85">
              <w:rPr>
                <w:color w:val="000000" w:themeColor="text1"/>
                <w:shd w:val="clear" w:color="auto" w:fill="FFFFFF"/>
              </w:rPr>
              <w:t>Tāpat l</w:t>
            </w:r>
            <w:r w:rsidR="001946A1" w:rsidRPr="00D57C85">
              <w:rPr>
                <w:color w:val="000000" w:themeColor="text1"/>
                <w:shd w:val="clear" w:color="auto" w:fill="FFFFFF"/>
              </w:rPr>
              <w:t>ikumprojektā paredzēts, ka</w:t>
            </w:r>
            <w:r w:rsidR="00D57C85" w:rsidRPr="00D57C85">
              <w:rPr>
                <w:color w:val="000000" w:themeColor="text1"/>
                <w:shd w:val="clear" w:color="auto" w:fill="FFFFFF"/>
              </w:rPr>
              <w:t xml:space="preserve"> Ministru kabinets noteiks īpašu palīdzības piešķiršanas kārtību </w:t>
            </w:r>
            <w:r w:rsidR="001946A1" w:rsidRPr="00D57C85">
              <w:rPr>
                <w:color w:val="000000" w:themeColor="text1"/>
                <w:shd w:val="clear" w:color="auto" w:fill="FFFFFF"/>
              </w:rPr>
              <w:t xml:space="preserve"> gad</w:t>
            </w:r>
            <w:r w:rsidR="00D57C85" w:rsidRPr="00D57C85">
              <w:rPr>
                <w:color w:val="000000" w:themeColor="text1"/>
                <w:shd w:val="clear" w:color="auto" w:fill="FFFFFF"/>
              </w:rPr>
              <w:t xml:space="preserve">ījumos, ja </w:t>
            </w:r>
            <w:r w:rsidR="00891FD2" w:rsidRPr="00D57C85">
              <w:rPr>
                <w:color w:val="000000" w:themeColor="text1"/>
                <w:shd w:val="clear" w:color="auto" w:fill="FFFFFF"/>
              </w:rPr>
              <w:t xml:space="preserve"> </w:t>
            </w:r>
            <w:r w:rsidR="00D57C85" w:rsidRPr="00D57C85">
              <w:rPr>
                <w:color w:val="000000" w:themeColor="text1"/>
              </w:rPr>
              <w:t>pašvaldības saistošie noteikumi paredz dzīvokļa pabalsta ietvaros sniegt palīdzību personām elektroenerģijas apmaksai.</w:t>
            </w:r>
            <w:r w:rsidR="00D57C85">
              <w:rPr>
                <w:color w:val="000000" w:themeColor="text1"/>
                <w:shd w:val="clear" w:color="auto" w:fill="FFFFFF"/>
              </w:rPr>
              <w:t xml:space="preserve"> </w:t>
            </w:r>
            <w:r w:rsidR="00F767E2">
              <w:rPr>
                <w:color w:val="1F497D"/>
              </w:rPr>
              <w:t xml:space="preserve"> </w:t>
            </w:r>
          </w:p>
        </w:tc>
      </w:tr>
      <w:tr w:rsidR="00C962CC" w:rsidRPr="00C962CC" w:rsidTr="000D7206">
        <w:tc>
          <w:tcPr>
            <w:tcW w:w="151" w:type="pct"/>
            <w:tcBorders>
              <w:top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5.</w:t>
            </w:r>
          </w:p>
        </w:tc>
        <w:tc>
          <w:tcPr>
            <w:tcW w:w="1011" w:type="pct"/>
            <w:tcBorders>
              <w:top w:val="outset" w:sz="6" w:space="0" w:color="000000"/>
              <w:left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Projekta izstrādē iesaistītās institūcijas</w:t>
            </w:r>
          </w:p>
        </w:tc>
        <w:tc>
          <w:tcPr>
            <w:tcW w:w="3837" w:type="pct"/>
            <w:tcBorders>
              <w:top w:val="outset" w:sz="6" w:space="0" w:color="000000"/>
              <w:left w:val="outset" w:sz="6" w:space="0" w:color="000000"/>
              <w:bottom w:val="outset" w:sz="6" w:space="0" w:color="000000"/>
            </w:tcBorders>
          </w:tcPr>
          <w:p w:rsidR="00802846" w:rsidRPr="00C962CC" w:rsidRDefault="005444C1" w:rsidP="00243925">
            <w:pPr>
              <w:spacing w:before="100" w:beforeAutospacing="1" w:after="100" w:afterAutospacing="1"/>
              <w:jc w:val="both"/>
              <w:rPr>
                <w:color w:val="000000" w:themeColor="text1"/>
              </w:rPr>
            </w:pPr>
            <w:r w:rsidRPr="00C962CC">
              <w:rPr>
                <w:color w:val="000000" w:themeColor="text1"/>
              </w:rPr>
              <w:t xml:space="preserve">Ekonomikas ministrija, </w:t>
            </w:r>
            <w:r w:rsidR="00607A51">
              <w:rPr>
                <w:color w:val="000000" w:themeColor="text1"/>
              </w:rPr>
              <w:t xml:space="preserve">Finanšu ministrija, Tieslietu ministrija, </w:t>
            </w:r>
            <w:r w:rsidR="00243925">
              <w:rPr>
                <w:color w:val="000000" w:themeColor="text1"/>
              </w:rPr>
              <w:t>Labklājības ministrija</w:t>
            </w:r>
            <w:r w:rsidR="005854A4">
              <w:rPr>
                <w:color w:val="000000" w:themeColor="text1"/>
              </w:rPr>
              <w:t>, Latvijas Pašvaldību savienība, Sabiedrisko pakalpojumu regulēšanas komisija</w:t>
            </w:r>
          </w:p>
        </w:tc>
      </w:tr>
      <w:tr w:rsidR="00C962CC" w:rsidRPr="00C962CC" w:rsidTr="000D7206">
        <w:tc>
          <w:tcPr>
            <w:tcW w:w="151" w:type="pct"/>
            <w:tcBorders>
              <w:top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6.</w:t>
            </w:r>
          </w:p>
        </w:tc>
        <w:tc>
          <w:tcPr>
            <w:tcW w:w="1011" w:type="pct"/>
            <w:tcBorders>
              <w:top w:val="outset" w:sz="6" w:space="0" w:color="000000"/>
              <w:left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Iemesli, kādēļ netika nodrošināta sabiedrības līdzdalība</w:t>
            </w:r>
          </w:p>
        </w:tc>
        <w:tc>
          <w:tcPr>
            <w:tcW w:w="3837" w:type="pct"/>
            <w:tcBorders>
              <w:top w:val="outset" w:sz="6" w:space="0" w:color="000000"/>
              <w:left w:val="outset" w:sz="6" w:space="0" w:color="000000"/>
              <w:bottom w:val="outset" w:sz="6" w:space="0" w:color="000000"/>
            </w:tcBorders>
          </w:tcPr>
          <w:p w:rsidR="00802846" w:rsidRPr="00C962CC" w:rsidRDefault="00672D4B" w:rsidP="002A664E">
            <w:pPr>
              <w:jc w:val="both"/>
              <w:rPr>
                <w:color w:val="000000" w:themeColor="text1"/>
              </w:rPr>
            </w:pPr>
            <w:r w:rsidRPr="00672D4B">
              <w:rPr>
                <w:color w:val="000000" w:themeColor="text1"/>
              </w:rPr>
              <w:t xml:space="preserve">Jautājumu par kompleksiem risinājumiem elektroenerģijas tirgus problemātikai (t.sk., </w:t>
            </w:r>
            <w:r w:rsidR="00243925" w:rsidRPr="00243925">
              <w:rPr>
                <w:color w:val="000000" w:themeColor="text1"/>
              </w:rPr>
              <w:t>sociāla</w:t>
            </w:r>
            <w:r w:rsidR="00861BB7">
              <w:rPr>
                <w:color w:val="000000" w:themeColor="text1"/>
              </w:rPr>
              <w:t>is</w:t>
            </w:r>
            <w:r w:rsidR="00243925" w:rsidRPr="00243925">
              <w:rPr>
                <w:color w:val="000000" w:themeColor="text1"/>
              </w:rPr>
              <w:t xml:space="preserve"> atbalst</w:t>
            </w:r>
            <w:r w:rsidR="00861BB7">
              <w:rPr>
                <w:color w:val="000000" w:themeColor="text1"/>
              </w:rPr>
              <w:t xml:space="preserve">s </w:t>
            </w:r>
            <w:r w:rsidR="00243925" w:rsidRPr="00243925">
              <w:rPr>
                <w:color w:val="000000" w:themeColor="text1"/>
              </w:rPr>
              <w:t>elektroenerģijas izmaksu segšanai</w:t>
            </w:r>
            <w:r w:rsidRPr="00672D4B">
              <w:rPr>
                <w:color w:val="000000" w:themeColor="text1"/>
              </w:rPr>
              <w:t xml:space="preserve">) tiek turpināts izskatīt Ministru kabinetā valsts budžeta projekta 2014. gadam sagatavošanas procesā. </w:t>
            </w:r>
          </w:p>
        </w:tc>
      </w:tr>
      <w:tr w:rsidR="00802846" w:rsidRPr="00C962CC" w:rsidTr="000D7206">
        <w:tc>
          <w:tcPr>
            <w:tcW w:w="151" w:type="pct"/>
            <w:tcBorders>
              <w:top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7.</w:t>
            </w:r>
          </w:p>
        </w:tc>
        <w:tc>
          <w:tcPr>
            <w:tcW w:w="1011" w:type="pct"/>
            <w:tcBorders>
              <w:top w:val="outset" w:sz="6" w:space="0" w:color="000000"/>
              <w:left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Cita informācija</w:t>
            </w:r>
          </w:p>
        </w:tc>
        <w:tc>
          <w:tcPr>
            <w:tcW w:w="3837" w:type="pct"/>
            <w:tcBorders>
              <w:top w:val="outset" w:sz="6" w:space="0" w:color="000000"/>
              <w:left w:val="outset" w:sz="6" w:space="0" w:color="000000"/>
              <w:bottom w:val="outset" w:sz="6" w:space="0" w:color="000000"/>
            </w:tcBorders>
          </w:tcPr>
          <w:p w:rsidR="00802846" w:rsidRPr="00C962CC" w:rsidRDefault="00861BB7" w:rsidP="00402B26">
            <w:pPr>
              <w:jc w:val="both"/>
              <w:rPr>
                <w:iCs/>
                <w:color w:val="000000" w:themeColor="text1"/>
              </w:rPr>
            </w:pPr>
            <w:r>
              <w:rPr>
                <w:color w:val="000000" w:themeColor="text1"/>
                <w:szCs w:val="28"/>
              </w:rPr>
              <w:t>Nav</w:t>
            </w:r>
          </w:p>
        </w:tc>
      </w:tr>
    </w:tbl>
    <w:p w:rsidR="00802846" w:rsidRPr="00C962CC" w:rsidRDefault="00802846" w:rsidP="001A56AB">
      <w:pPr>
        <w:rPr>
          <w:color w:val="000000" w:themeColor="text1"/>
        </w:rPr>
      </w:pPr>
    </w:p>
    <w:tbl>
      <w:tblPr>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500"/>
        <w:gridCol w:w="3641"/>
        <w:gridCol w:w="5557"/>
      </w:tblGrid>
      <w:tr w:rsidR="00C962CC" w:rsidRPr="00C962CC" w:rsidTr="000D7206">
        <w:tc>
          <w:tcPr>
            <w:tcW w:w="0" w:type="auto"/>
            <w:gridSpan w:val="3"/>
            <w:tcBorders>
              <w:top w:val="single" w:sz="6" w:space="0" w:color="auto"/>
              <w:left w:val="single" w:sz="6" w:space="0" w:color="auto"/>
              <w:bottom w:val="outset" w:sz="6" w:space="0" w:color="000000"/>
              <w:right w:val="single" w:sz="6" w:space="0" w:color="auto"/>
            </w:tcBorders>
            <w:vAlign w:val="center"/>
          </w:tcPr>
          <w:p w:rsidR="00802846" w:rsidRPr="00C962CC" w:rsidRDefault="00802846" w:rsidP="000D7206">
            <w:pPr>
              <w:spacing w:before="100" w:beforeAutospacing="1" w:after="100" w:afterAutospacing="1"/>
              <w:jc w:val="center"/>
              <w:rPr>
                <w:b/>
                <w:bCs/>
                <w:color w:val="000000" w:themeColor="text1"/>
              </w:rPr>
            </w:pPr>
            <w:r w:rsidRPr="00C962CC">
              <w:rPr>
                <w:b/>
                <w:bCs/>
                <w:color w:val="000000" w:themeColor="text1"/>
              </w:rPr>
              <w:t>II. Tiesību akta projekta ietekme uz sabiedrību</w:t>
            </w:r>
          </w:p>
        </w:tc>
      </w:tr>
      <w:tr w:rsidR="00C962CC" w:rsidRPr="00C962CC" w:rsidTr="00E65E27">
        <w:tc>
          <w:tcPr>
            <w:tcW w:w="258" w:type="pct"/>
            <w:tcBorders>
              <w:top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1.</w:t>
            </w:r>
          </w:p>
        </w:tc>
        <w:tc>
          <w:tcPr>
            <w:tcW w:w="1877" w:type="pct"/>
            <w:tcBorders>
              <w:top w:val="outset" w:sz="6" w:space="0" w:color="000000"/>
              <w:left w:val="outset" w:sz="6" w:space="0" w:color="000000"/>
              <w:bottom w:val="outset" w:sz="6" w:space="0" w:color="000000"/>
              <w:right w:val="outset" w:sz="6" w:space="0" w:color="000000"/>
            </w:tcBorders>
          </w:tcPr>
          <w:p w:rsidR="00802846" w:rsidRPr="00F840BC" w:rsidRDefault="00802846" w:rsidP="000D7206">
            <w:pPr>
              <w:spacing w:before="100" w:beforeAutospacing="1" w:after="100" w:afterAutospacing="1"/>
              <w:rPr>
                <w:color w:val="000000" w:themeColor="text1"/>
              </w:rPr>
            </w:pPr>
            <w:r w:rsidRPr="00F840BC">
              <w:rPr>
                <w:color w:val="000000" w:themeColor="text1"/>
              </w:rPr>
              <w:t>Sabiedrības mērķgrupa</w:t>
            </w:r>
          </w:p>
        </w:tc>
        <w:tc>
          <w:tcPr>
            <w:tcW w:w="2865" w:type="pct"/>
            <w:tcBorders>
              <w:top w:val="outset" w:sz="6" w:space="0" w:color="000000"/>
              <w:left w:val="outset" w:sz="6" w:space="0" w:color="000000"/>
              <w:bottom w:val="outset" w:sz="6" w:space="0" w:color="000000"/>
            </w:tcBorders>
          </w:tcPr>
          <w:p w:rsidR="00802846" w:rsidRPr="00F840BC" w:rsidRDefault="00891FD2" w:rsidP="00F840BC">
            <w:pPr>
              <w:pStyle w:val="tv2131"/>
              <w:spacing w:before="0" w:line="240" w:lineRule="auto"/>
              <w:ind w:firstLine="0"/>
              <w:rPr>
                <w:rFonts w:ascii="Times New Roman" w:hAnsi="Times New Roman"/>
                <w:sz w:val="24"/>
                <w:szCs w:val="24"/>
              </w:rPr>
            </w:pPr>
            <w:r>
              <w:rPr>
                <w:rFonts w:ascii="Times New Roman" w:hAnsi="Times New Roman"/>
                <w:sz w:val="24"/>
                <w:szCs w:val="24"/>
              </w:rPr>
              <w:t xml:space="preserve">Likumprojekts attiektos uz tām </w:t>
            </w:r>
            <w:r w:rsidR="003731EF">
              <w:rPr>
                <w:rFonts w:ascii="Times New Roman" w:hAnsi="Times New Roman"/>
                <w:color w:val="000000" w:themeColor="text1"/>
                <w:sz w:val="24"/>
                <w:szCs w:val="24"/>
              </w:rPr>
              <w:t>maznodrošinātām</w:t>
            </w:r>
            <w:r w:rsidR="00F840BC" w:rsidRPr="00F840BC">
              <w:rPr>
                <w:rFonts w:ascii="Times New Roman" w:hAnsi="Times New Roman"/>
                <w:sz w:val="24"/>
                <w:szCs w:val="24"/>
              </w:rPr>
              <w:t xml:space="preserve"> person</w:t>
            </w:r>
            <w:r>
              <w:rPr>
                <w:rFonts w:ascii="Times New Roman" w:hAnsi="Times New Roman"/>
                <w:sz w:val="24"/>
                <w:szCs w:val="24"/>
              </w:rPr>
              <w:t>ām</w:t>
            </w:r>
            <w:r w:rsidR="00F840BC" w:rsidRPr="00F840BC">
              <w:rPr>
                <w:rFonts w:ascii="Times New Roman" w:hAnsi="Times New Roman"/>
                <w:sz w:val="24"/>
                <w:szCs w:val="24"/>
              </w:rPr>
              <w:t>, kam būtu sedzama maksa par elektroenerģiju.</w:t>
            </w:r>
          </w:p>
          <w:p w:rsidR="00F840BC" w:rsidRPr="00F840BC" w:rsidRDefault="00F840BC" w:rsidP="00F840BC">
            <w:pPr>
              <w:tabs>
                <w:tab w:val="left" w:pos="993"/>
              </w:tabs>
              <w:jc w:val="both"/>
              <w:rPr>
                <w:color w:val="000000" w:themeColor="text1"/>
              </w:rPr>
            </w:pPr>
            <w:r w:rsidRPr="00F840BC">
              <w:rPr>
                <w:color w:val="000000" w:themeColor="text1"/>
              </w:rPr>
              <w:t xml:space="preserve">Latvijā 2012. gadā bija 821 060 mājsaimniecības (ar </w:t>
            </w:r>
            <w:r w:rsidRPr="00F840BC">
              <w:rPr>
                <w:color w:val="000000" w:themeColor="text1"/>
              </w:rPr>
              <w:lastRenderedPageBreak/>
              <w:t xml:space="preserve">mājsaimniecību saprotot vairākas personas, kuras dzīvo vienā mājoklī un kopīgi sedz mājsaimniecības izdevumus vai viena persona, kura saimnieko atsevišķi). 2012. gada decembrī bija 110 tūkst. personas, kurām spēkā ir </w:t>
            </w:r>
            <w:r w:rsidR="003731EF">
              <w:rPr>
                <w:color w:val="000000" w:themeColor="text1"/>
              </w:rPr>
              <w:t>maznodrošinātās</w:t>
            </w:r>
            <w:r w:rsidRPr="00F840BC">
              <w:rPr>
                <w:color w:val="000000" w:themeColor="text1"/>
              </w:rPr>
              <w:t xml:space="preserve"> personas statuss. Kopējais personu skaits, kam 2012. gadā noteikta atbilstība </w:t>
            </w:r>
            <w:r w:rsidR="003731EF">
              <w:rPr>
                <w:color w:val="000000" w:themeColor="text1"/>
              </w:rPr>
              <w:t>maznodrošinātā</w:t>
            </w:r>
            <w:r w:rsidRPr="00F840BC">
              <w:rPr>
                <w:color w:val="000000" w:themeColor="text1"/>
              </w:rPr>
              <w:t xml:space="preserve"> statusam, bija 217,3 tūkst. personas (2011. gadā – 265,3 tūkst. personas un 2010. gadā – 282,1 tūkst. personu). Saskaņā ar Labklājības ministrijas datiem par pašvaldību sniegto sociālo palīdzību, dzīvokļu pabalstus 2012. gadā saņēma maksimāli – 67 tūkst. personas martā, bet minimālais skaits – 33,3 tūkst. personas jūlijā. No tām </w:t>
            </w:r>
            <w:r w:rsidR="003731EF">
              <w:rPr>
                <w:color w:val="000000" w:themeColor="text1"/>
              </w:rPr>
              <w:t>maznodrošinātās</w:t>
            </w:r>
            <w:r w:rsidRPr="00F840BC">
              <w:rPr>
                <w:color w:val="000000" w:themeColor="text1"/>
              </w:rPr>
              <w:t xml:space="preserve"> mājsaimniecības ir 60-70%. 2012.gada laikā dzīvokļa pabalstu kopā saņēmušas 185,2 tūkst. personas.</w:t>
            </w:r>
          </w:p>
        </w:tc>
      </w:tr>
      <w:tr w:rsidR="00C962CC" w:rsidRPr="00C962CC" w:rsidTr="00E65E27">
        <w:tc>
          <w:tcPr>
            <w:tcW w:w="258" w:type="pct"/>
            <w:tcBorders>
              <w:top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lastRenderedPageBreak/>
              <w:t>2.</w:t>
            </w:r>
          </w:p>
        </w:tc>
        <w:tc>
          <w:tcPr>
            <w:tcW w:w="1877" w:type="pct"/>
            <w:tcBorders>
              <w:top w:val="outset" w:sz="6" w:space="0" w:color="000000"/>
              <w:left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Citas sabiedrības grupas (bez mērķgrupas), kuras tiesiskais regulējums arī ietekmē vai varētu ietekmēt</w:t>
            </w:r>
          </w:p>
        </w:tc>
        <w:tc>
          <w:tcPr>
            <w:tcW w:w="2865" w:type="pct"/>
            <w:tcBorders>
              <w:top w:val="outset" w:sz="6" w:space="0" w:color="000000"/>
              <w:left w:val="outset" w:sz="6" w:space="0" w:color="000000"/>
              <w:bottom w:val="outset" w:sz="6" w:space="0" w:color="000000"/>
            </w:tcBorders>
          </w:tcPr>
          <w:p w:rsidR="00802846" w:rsidRPr="00C962CC" w:rsidRDefault="00F840BC" w:rsidP="00672D4B">
            <w:pPr>
              <w:jc w:val="both"/>
              <w:rPr>
                <w:color w:val="000000" w:themeColor="text1"/>
              </w:rPr>
            </w:pPr>
            <w:r>
              <w:rPr>
                <w:color w:val="000000" w:themeColor="text1"/>
              </w:rPr>
              <w:t>Nav.</w:t>
            </w:r>
          </w:p>
        </w:tc>
      </w:tr>
      <w:tr w:rsidR="00C962CC" w:rsidRPr="00C962CC" w:rsidTr="00E65E27">
        <w:tc>
          <w:tcPr>
            <w:tcW w:w="258" w:type="pct"/>
            <w:tcBorders>
              <w:top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3.</w:t>
            </w:r>
          </w:p>
        </w:tc>
        <w:tc>
          <w:tcPr>
            <w:tcW w:w="1877" w:type="pct"/>
            <w:tcBorders>
              <w:top w:val="outset" w:sz="6" w:space="0" w:color="000000"/>
              <w:left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Tiesiskā regulējuma finansiālā ietekme</w:t>
            </w:r>
          </w:p>
        </w:tc>
        <w:tc>
          <w:tcPr>
            <w:tcW w:w="2865" w:type="pct"/>
            <w:tcBorders>
              <w:top w:val="outset" w:sz="6" w:space="0" w:color="000000"/>
              <w:left w:val="outset" w:sz="6" w:space="0" w:color="000000"/>
              <w:bottom w:val="outset" w:sz="6" w:space="0" w:color="000000"/>
            </w:tcBorders>
          </w:tcPr>
          <w:p w:rsidR="00D40ED1" w:rsidRPr="00C962CC" w:rsidRDefault="00F840BC" w:rsidP="004651BC">
            <w:pPr>
              <w:jc w:val="both"/>
              <w:rPr>
                <w:color w:val="000000" w:themeColor="text1"/>
              </w:rPr>
            </w:pPr>
            <w:r w:rsidRPr="00670EE3">
              <w:rPr>
                <w:color w:val="000000" w:themeColor="text1"/>
              </w:rPr>
              <w:t xml:space="preserve">Kopumā plānotais </w:t>
            </w:r>
            <w:r w:rsidRPr="00891FD2">
              <w:rPr>
                <w:color w:val="000000" w:themeColor="text1"/>
              </w:rPr>
              <w:t>sociālā atbalsta instrumentam laika periodam līdz 2016. gadam būs nepieciešami</w:t>
            </w:r>
            <w:r w:rsidRPr="006F5442">
              <w:rPr>
                <w:b/>
                <w:color w:val="000000" w:themeColor="text1"/>
              </w:rPr>
              <w:t xml:space="preserve"> 9,9 milj. LVL</w:t>
            </w:r>
            <w:r w:rsidR="00EA3D06">
              <w:rPr>
                <w:b/>
                <w:color w:val="000000" w:themeColor="text1"/>
              </w:rPr>
              <w:t xml:space="preserve">  (14,09 milj. EUR)</w:t>
            </w:r>
            <w:r w:rsidRPr="00670EE3">
              <w:rPr>
                <w:color w:val="000000" w:themeColor="text1"/>
              </w:rPr>
              <w:t xml:space="preserve">, no kuriem 2,7 milj. LVL </w:t>
            </w:r>
            <w:r w:rsidR="00EA3D06">
              <w:rPr>
                <w:color w:val="000000" w:themeColor="text1"/>
              </w:rPr>
              <w:t xml:space="preserve"> (3,8 milj. EUR) </w:t>
            </w:r>
            <w:r w:rsidRPr="00670EE3">
              <w:rPr>
                <w:color w:val="000000" w:themeColor="text1"/>
              </w:rPr>
              <w:t>tiktu izmaksāti</w:t>
            </w:r>
            <w:r w:rsidR="00891FD2">
              <w:rPr>
                <w:color w:val="000000" w:themeColor="text1"/>
              </w:rPr>
              <w:t xml:space="preserve"> pašvaldībām</w:t>
            </w:r>
            <w:r w:rsidR="004651BC">
              <w:rPr>
                <w:color w:val="000000" w:themeColor="text1"/>
              </w:rPr>
              <w:t xml:space="preserve"> mērķdotāciju veidā</w:t>
            </w:r>
            <w:r w:rsidRPr="00670EE3">
              <w:rPr>
                <w:color w:val="000000" w:themeColor="text1"/>
              </w:rPr>
              <w:t xml:space="preserve"> 2014. gadā, sākot ar 1. aprīli, kad tiks atvērts elektroenerģijas tirgus un stāsies spēkā jaunā OIK, </w:t>
            </w:r>
            <w:r w:rsidR="004651BC">
              <w:rPr>
                <w:color w:val="000000" w:themeColor="text1"/>
              </w:rPr>
              <w:t>kā arī</w:t>
            </w:r>
            <w:r w:rsidRPr="00670EE3">
              <w:rPr>
                <w:color w:val="000000" w:themeColor="text1"/>
              </w:rPr>
              <w:t xml:space="preserve"> 3,6 milj. LVL</w:t>
            </w:r>
            <w:r w:rsidR="00EA3D06">
              <w:rPr>
                <w:color w:val="000000" w:themeColor="text1"/>
              </w:rPr>
              <w:t xml:space="preserve"> (5,12 milj.</w:t>
            </w:r>
            <w:r w:rsidR="001574E1">
              <w:rPr>
                <w:color w:val="000000" w:themeColor="text1"/>
              </w:rPr>
              <w:t xml:space="preserve"> </w:t>
            </w:r>
            <w:r w:rsidR="00EA3D06">
              <w:rPr>
                <w:color w:val="000000" w:themeColor="text1"/>
              </w:rPr>
              <w:t>EUR)</w:t>
            </w:r>
            <w:r w:rsidRPr="00670EE3">
              <w:rPr>
                <w:color w:val="000000" w:themeColor="text1"/>
              </w:rPr>
              <w:t xml:space="preserve"> 2015. gadā un 3,6 milj. LVL </w:t>
            </w:r>
            <w:r w:rsidR="00EA3D06">
              <w:rPr>
                <w:color w:val="000000" w:themeColor="text1"/>
              </w:rPr>
              <w:t xml:space="preserve"> (5,12 milj. EUR) </w:t>
            </w:r>
            <w:r w:rsidRPr="00670EE3">
              <w:rPr>
                <w:color w:val="000000" w:themeColor="text1"/>
              </w:rPr>
              <w:t xml:space="preserve">2016. gadā. </w:t>
            </w:r>
            <w:r w:rsidR="001352AE" w:rsidRPr="001352AE">
              <w:rPr>
                <w:b/>
                <w:color w:val="000000" w:themeColor="text1"/>
              </w:rPr>
              <w:t xml:space="preserve">Finansējums </w:t>
            </w:r>
            <w:r w:rsidR="008F2953">
              <w:rPr>
                <w:b/>
                <w:color w:val="000000" w:themeColor="text1"/>
              </w:rPr>
              <w:t xml:space="preserve">no valsts budžeta līdzekļiem </w:t>
            </w:r>
            <w:r w:rsidR="001352AE" w:rsidRPr="001352AE">
              <w:rPr>
                <w:b/>
                <w:color w:val="000000" w:themeColor="text1"/>
              </w:rPr>
              <w:t>piešķirams Labklājības ministrijai, kura nodrošinātu sociālā instrumenta izpildi.</w:t>
            </w:r>
          </w:p>
        </w:tc>
      </w:tr>
      <w:tr w:rsidR="00C962CC" w:rsidRPr="00C962CC" w:rsidTr="00E65E27">
        <w:tc>
          <w:tcPr>
            <w:tcW w:w="258" w:type="pct"/>
            <w:tcBorders>
              <w:top w:val="outset" w:sz="6" w:space="0" w:color="000000"/>
              <w:bottom w:val="outset" w:sz="6" w:space="0" w:color="000000"/>
              <w:right w:val="outset" w:sz="6" w:space="0" w:color="000000"/>
            </w:tcBorders>
          </w:tcPr>
          <w:p w:rsidR="00802846" w:rsidRPr="00C962CC" w:rsidRDefault="00802846" w:rsidP="000D7206">
            <w:pPr>
              <w:spacing w:before="100" w:beforeAutospacing="1" w:after="100" w:afterAutospacing="1"/>
              <w:rPr>
                <w:color w:val="000000" w:themeColor="text1"/>
              </w:rPr>
            </w:pPr>
            <w:r w:rsidRPr="00C962CC">
              <w:rPr>
                <w:color w:val="000000" w:themeColor="text1"/>
              </w:rPr>
              <w:t>4.</w:t>
            </w:r>
          </w:p>
        </w:tc>
        <w:tc>
          <w:tcPr>
            <w:tcW w:w="1877" w:type="pct"/>
            <w:tcBorders>
              <w:top w:val="outset" w:sz="6" w:space="0" w:color="000000"/>
              <w:left w:val="outset" w:sz="6" w:space="0" w:color="000000"/>
              <w:bottom w:val="outset" w:sz="6" w:space="0" w:color="000000"/>
              <w:right w:val="outset" w:sz="6" w:space="0" w:color="000000"/>
            </w:tcBorders>
          </w:tcPr>
          <w:p w:rsidR="00802846" w:rsidRPr="00F840BC" w:rsidRDefault="00802846" w:rsidP="000D7206">
            <w:pPr>
              <w:spacing w:before="100" w:beforeAutospacing="1" w:after="100" w:afterAutospacing="1"/>
              <w:rPr>
                <w:color w:val="000000" w:themeColor="text1"/>
              </w:rPr>
            </w:pPr>
            <w:r w:rsidRPr="00F840BC">
              <w:rPr>
                <w:color w:val="000000" w:themeColor="text1"/>
              </w:rPr>
              <w:t>Tiesiskā regulējuma nefinansiālā ietekme</w:t>
            </w:r>
          </w:p>
        </w:tc>
        <w:tc>
          <w:tcPr>
            <w:tcW w:w="2865" w:type="pct"/>
            <w:tcBorders>
              <w:top w:val="outset" w:sz="6" w:space="0" w:color="000000"/>
              <w:left w:val="outset" w:sz="6" w:space="0" w:color="000000"/>
              <w:bottom w:val="outset" w:sz="6" w:space="0" w:color="000000"/>
            </w:tcBorders>
          </w:tcPr>
          <w:p w:rsidR="00802846" w:rsidRPr="00F840BC" w:rsidRDefault="00F840BC" w:rsidP="001779FF">
            <w:pPr>
              <w:jc w:val="both"/>
              <w:rPr>
                <w:color w:val="000000" w:themeColor="text1"/>
              </w:rPr>
            </w:pPr>
            <w:r w:rsidRPr="00F840BC">
              <w:rPr>
                <w:color w:val="000000" w:themeColor="text1"/>
              </w:rPr>
              <w:t>Projekts šo jomu neskar.</w:t>
            </w:r>
          </w:p>
        </w:tc>
      </w:tr>
      <w:tr w:rsidR="00C962CC" w:rsidRPr="00C962CC" w:rsidTr="00E65E27">
        <w:tc>
          <w:tcPr>
            <w:tcW w:w="258" w:type="pct"/>
            <w:tcBorders>
              <w:top w:val="outset" w:sz="6" w:space="0" w:color="000000"/>
              <w:bottom w:val="outset" w:sz="6" w:space="0" w:color="000000"/>
              <w:right w:val="outset" w:sz="6" w:space="0" w:color="000000"/>
            </w:tcBorders>
          </w:tcPr>
          <w:p w:rsidR="00802846" w:rsidRPr="00C962CC" w:rsidRDefault="00802846" w:rsidP="005F0330">
            <w:pPr>
              <w:spacing w:after="100" w:afterAutospacing="1"/>
              <w:rPr>
                <w:color w:val="000000" w:themeColor="text1"/>
              </w:rPr>
            </w:pPr>
            <w:r w:rsidRPr="00C962CC">
              <w:rPr>
                <w:color w:val="000000" w:themeColor="text1"/>
              </w:rPr>
              <w:t>5.</w:t>
            </w:r>
          </w:p>
        </w:tc>
        <w:tc>
          <w:tcPr>
            <w:tcW w:w="1877" w:type="pct"/>
            <w:tcBorders>
              <w:top w:val="outset" w:sz="6" w:space="0" w:color="000000"/>
              <w:left w:val="outset" w:sz="6" w:space="0" w:color="000000"/>
              <w:bottom w:val="outset" w:sz="6" w:space="0" w:color="000000"/>
              <w:right w:val="outset" w:sz="6" w:space="0" w:color="000000"/>
            </w:tcBorders>
          </w:tcPr>
          <w:p w:rsidR="00802846" w:rsidRPr="00F840BC" w:rsidRDefault="00802846" w:rsidP="005F0330">
            <w:pPr>
              <w:spacing w:after="100" w:afterAutospacing="1"/>
              <w:rPr>
                <w:color w:val="000000" w:themeColor="text1"/>
              </w:rPr>
            </w:pPr>
            <w:r w:rsidRPr="00F840BC">
              <w:rPr>
                <w:color w:val="000000" w:themeColor="text1"/>
              </w:rPr>
              <w:t>Administratīvās procedūras raksturojums</w:t>
            </w:r>
          </w:p>
        </w:tc>
        <w:tc>
          <w:tcPr>
            <w:tcW w:w="2865" w:type="pct"/>
            <w:tcBorders>
              <w:top w:val="outset" w:sz="6" w:space="0" w:color="000000"/>
              <w:left w:val="outset" w:sz="6" w:space="0" w:color="000000"/>
              <w:bottom w:val="outset" w:sz="6" w:space="0" w:color="000000"/>
            </w:tcBorders>
          </w:tcPr>
          <w:p w:rsidR="00802846" w:rsidRPr="00F840BC" w:rsidRDefault="00F840BC" w:rsidP="00F840BC">
            <w:pPr>
              <w:pStyle w:val="tv2131"/>
              <w:spacing w:before="0" w:line="240" w:lineRule="auto"/>
              <w:ind w:firstLine="0"/>
              <w:rPr>
                <w:color w:val="000000" w:themeColor="text1"/>
                <w:sz w:val="24"/>
                <w:szCs w:val="24"/>
              </w:rPr>
            </w:pPr>
            <w:r w:rsidRPr="00F840BC">
              <w:rPr>
                <w:rFonts w:ascii="Times New Roman" w:hAnsi="Times New Roman"/>
                <w:sz w:val="24"/>
                <w:szCs w:val="24"/>
              </w:rPr>
              <w:t xml:space="preserve">Pašvaldība ik gadu pirms valsts budžeta projekta izstrādāšanas apkopo datus par </w:t>
            </w:r>
            <w:r w:rsidR="003731EF">
              <w:rPr>
                <w:rFonts w:ascii="Times New Roman" w:hAnsi="Times New Roman"/>
                <w:color w:val="000000" w:themeColor="text1"/>
                <w:sz w:val="24"/>
                <w:szCs w:val="24"/>
              </w:rPr>
              <w:t>maznodrošināto</w:t>
            </w:r>
            <w:r w:rsidRPr="00F840BC">
              <w:rPr>
                <w:rFonts w:ascii="Times New Roman" w:hAnsi="Times New Roman"/>
                <w:sz w:val="24"/>
                <w:szCs w:val="24"/>
              </w:rPr>
              <w:t xml:space="preserve"> personu skaitu, kam sedzama maksa par elektroenerģiju un sastāda budžeta pieprasījumu izdevumu segšanai no valsts budžeta līdzekļiem mērķdotāciju veidā pašvaldībām. Savukārt atbildīgā ministrija apkopo minētos budžeta pieprasījumus un iesniedz tos iekļaušanai valsts budžeta projektā par katru nākamo gadu.</w:t>
            </w:r>
          </w:p>
        </w:tc>
      </w:tr>
      <w:tr w:rsidR="00C962CC" w:rsidRPr="00C962CC" w:rsidTr="00E65E27">
        <w:tc>
          <w:tcPr>
            <w:tcW w:w="258" w:type="pct"/>
            <w:tcBorders>
              <w:top w:val="outset" w:sz="6" w:space="0" w:color="000000"/>
              <w:bottom w:val="outset" w:sz="6" w:space="0" w:color="000000"/>
              <w:right w:val="outset" w:sz="6" w:space="0" w:color="000000"/>
            </w:tcBorders>
          </w:tcPr>
          <w:p w:rsidR="00802846" w:rsidRPr="00C962CC" w:rsidRDefault="00802846" w:rsidP="005F0330">
            <w:pPr>
              <w:spacing w:after="100" w:afterAutospacing="1"/>
              <w:rPr>
                <w:color w:val="000000" w:themeColor="text1"/>
              </w:rPr>
            </w:pPr>
            <w:r w:rsidRPr="00C962CC">
              <w:rPr>
                <w:color w:val="000000" w:themeColor="text1"/>
              </w:rPr>
              <w:t>6.</w:t>
            </w:r>
          </w:p>
        </w:tc>
        <w:tc>
          <w:tcPr>
            <w:tcW w:w="1877" w:type="pct"/>
            <w:tcBorders>
              <w:top w:val="outset" w:sz="6" w:space="0" w:color="000000"/>
              <w:left w:val="outset" w:sz="6" w:space="0" w:color="000000"/>
              <w:bottom w:val="outset" w:sz="6" w:space="0" w:color="000000"/>
              <w:right w:val="outset" w:sz="6" w:space="0" w:color="000000"/>
            </w:tcBorders>
          </w:tcPr>
          <w:p w:rsidR="00802846" w:rsidRPr="00C962CC" w:rsidRDefault="00802846" w:rsidP="005F0330">
            <w:pPr>
              <w:spacing w:after="100" w:afterAutospacing="1"/>
              <w:rPr>
                <w:color w:val="000000" w:themeColor="text1"/>
              </w:rPr>
            </w:pPr>
            <w:r w:rsidRPr="00C962CC">
              <w:rPr>
                <w:color w:val="000000" w:themeColor="text1"/>
              </w:rPr>
              <w:t>Administratīvo izmaksu monetārs novērtējums</w:t>
            </w:r>
          </w:p>
        </w:tc>
        <w:tc>
          <w:tcPr>
            <w:tcW w:w="2865" w:type="pct"/>
            <w:tcBorders>
              <w:top w:val="outset" w:sz="6" w:space="0" w:color="000000"/>
              <w:left w:val="outset" w:sz="6" w:space="0" w:color="000000"/>
              <w:bottom w:val="outset" w:sz="6" w:space="0" w:color="000000"/>
            </w:tcBorders>
          </w:tcPr>
          <w:p w:rsidR="00802846" w:rsidRPr="00C962CC" w:rsidRDefault="00F840BC" w:rsidP="005F0330">
            <w:pPr>
              <w:spacing w:after="100" w:afterAutospacing="1"/>
              <w:rPr>
                <w:color w:val="000000" w:themeColor="text1"/>
              </w:rPr>
            </w:pPr>
            <w:r>
              <w:rPr>
                <w:color w:val="000000" w:themeColor="text1"/>
              </w:rPr>
              <w:t>Nav.</w:t>
            </w:r>
          </w:p>
        </w:tc>
      </w:tr>
      <w:tr w:rsidR="00C962CC" w:rsidRPr="00C962CC" w:rsidTr="00E65E27">
        <w:tc>
          <w:tcPr>
            <w:tcW w:w="258" w:type="pct"/>
            <w:tcBorders>
              <w:top w:val="outset" w:sz="6" w:space="0" w:color="000000"/>
              <w:bottom w:val="outset" w:sz="6" w:space="0" w:color="000000"/>
              <w:right w:val="outset" w:sz="6" w:space="0" w:color="000000"/>
            </w:tcBorders>
          </w:tcPr>
          <w:p w:rsidR="00802846" w:rsidRPr="00C962CC" w:rsidRDefault="00802846" w:rsidP="005F0330">
            <w:pPr>
              <w:spacing w:after="100" w:afterAutospacing="1"/>
              <w:rPr>
                <w:color w:val="000000" w:themeColor="text1"/>
              </w:rPr>
            </w:pPr>
            <w:r w:rsidRPr="00C962CC">
              <w:rPr>
                <w:color w:val="000000" w:themeColor="text1"/>
              </w:rPr>
              <w:t>7.</w:t>
            </w:r>
          </w:p>
        </w:tc>
        <w:tc>
          <w:tcPr>
            <w:tcW w:w="1877" w:type="pct"/>
            <w:tcBorders>
              <w:top w:val="outset" w:sz="6" w:space="0" w:color="000000"/>
              <w:left w:val="outset" w:sz="6" w:space="0" w:color="000000"/>
              <w:bottom w:val="outset" w:sz="6" w:space="0" w:color="000000"/>
              <w:right w:val="outset" w:sz="6" w:space="0" w:color="000000"/>
            </w:tcBorders>
          </w:tcPr>
          <w:p w:rsidR="00802846" w:rsidRPr="00C962CC" w:rsidRDefault="00802846" w:rsidP="005F0330">
            <w:pPr>
              <w:spacing w:after="100" w:afterAutospacing="1"/>
              <w:rPr>
                <w:color w:val="000000" w:themeColor="text1"/>
              </w:rPr>
            </w:pPr>
            <w:r w:rsidRPr="00C962CC">
              <w:rPr>
                <w:color w:val="000000" w:themeColor="text1"/>
              </w:rPr>
              <w:t>Cita informācija</w:t>
            </w:r>
          </w:p>
        </w:tc>
        <w:tc>
          <w:tcPr>
            <w:tcW w:w="2865" w:type="pct"/>
            <w:tcBorders>
              <w:top w:val="outset" w:sz="6" w:space="0" w:color="000000"/>
              <w:left w:val="outset" w:sz="6" w:space="0" w:color="000000"/>
              <w:bottom w:val="outset" w:sz="6" w:space="0" w:color="000000"/>
            </w:tcBorders>
          </w:tcPr>
          <w:p w:rsidR="00802846" w:rsidRPr="00C962CC" w:rsidRDefault="00802846" w:rsidP="005F0330">
            <w:pPr>
              <w:spacing w:after="100" w:afterAutospacing="1"/>
              <w:rPr>
                <w:color w:val="000000" w:themeColor="text1"/>
              </w:rPr>
            </w:pPr>
            <w:r w:rsidRPr="00C962CC">
              <w:rPr>
                <w:color w:val="000000" w:themeColor="text1"/>
              </w:rPr>
              <w:t>Nav</w:t>
            </w:r>
          </w:p>
        </w:tc>
      </w:tr>
    </w:tbl>
    <w:p w:rsidR="00802846" w:rsidRPr="00C962CC" w:rsidRDefault="00802846" w:rsidP="001A56AB">
      <w:pPr>
        <w:rPr>
          <w:color w:val="000000" w:themeColor="text1"/>
        </w:rPr>
      </w:pPr>
    </w:p>
    <w:tbl>
      <w:tblPr>
        <w:tblW w:w="5011" w:type="pct"/>
        <w:tblInd w:w="30"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0A0" w:firstRow="1" w:lastRow="0" w:firstColumn="1" w:lastColumn="0" w:noHBand="0" w:noVBand="0"/>
      </w:tblPr>
      <w:tblGrid>
        <w:gridCol w:w="2994"/>
        <w:gridCol w:w="1146"/>
        <w:gridCol w:w="1889"/>
        <w:gridCol w:w="1228"/>
        <w:gridCol w:w="1228"/>
        <w:gridCol w:w="1234"/>
      </w:tblGrid>
      <w:tr w:rsidR="00C962CC" w:rsidRPr="00C962CC" w:rsidTr="00B13790">
        <w:tc>
          <w:tcPr>
            <w:tcW w:w="5000" w:type="pct"/>
            <w:gridSpan w:val="6"/>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before="100" w:beforeAutospacing="1" w:after="100" w:afterAutospacing="1"/>
              <w:jc w:val="center"/>
              <w:rPr>
                <w:color w:val="000000" w:themeColor="text1"/>
              </w:rPr>
            </w:pPr>
            <w:r w:rsidRPr="00C962CC">
              <w:rPr>
                <w:b/>
                <w:bCs/>
                <w:color w:val="000000" w:themeColor="text1"/>
              </w:rPr>
              <w:t>III. Tiesību akta projekta ietekme uz valsts budžetu un pašvaldību budžetiem</w:t>
            </w:r>
          </w:p>
        </w:tc>
      </w:tr>
      <w:tr w:rsidR="00C962CC" w:rsidRPr="00C962CC" w:rsidTr="00ED5840">
        <w:tc>
          <w:tcPr>
            <w:tcW w:w="1540" w:type="pct"/>
            <w:vMerge w:val="restar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b/>
                <w:bCs/>
                <w:color w:val="000000" w:themeColor="text1"/>
              </w:rPr>
              <w:t>Rādītāji</w:t>
            </w:r>
          </w:p>
        </w:tc>
        <w:tc>
          <w:tcPr>
            <w:tcW w:w="1561" w:type="pct"/>
            <w:gridSpan w:val="2"/>
            <w:vMerge w:val="restar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b/>
                <w:bCs/>
                <w:color w:val="000000" w:themeColor="text1"/>
              </w:rPr>
              <w:t>2013. gads</w:t>
            </w:r>
          </w:p>
        </w:tc>
        <w:tc>
          <w:tcPr>
            <w:tcW w:w="1899" w:type="pct"/>
            <w:gridSpan w:val="3"/>
            <w:tcBorders>
              <w:top w:val="single" w:sz="4" w:space="0" w:color="auto"/>
              <w:left w:val="single" w:sz="4" w:space="0" w:color="auto"/>
              <w:bottom w:val="single" w:sz="4" w:space="0" w:color="auto"/>
              <w:right w:val="single" w:sz="4" w:space="0" w:color="auto"/>
            </w:tcBorders>
            <w:vAlign w:val="center"/>
          </w:tcPr>
          <w:p w:rsidR="00802846" w:rsidRPr="00C962CC" w:rsidRDefault="00802846" w:rsidP="004651BC">
            <w:pPr>
              <w:spacing w:before="100" w:beforeAutospacing="1" w:after="100" w:afterAutospacing="1"/>
              <w:jc w:val="center"/>
              <w:rPr>
                <w:color w:val="000000" w:themeColor="text1"/>
              </w:rPr>
            </w:pPr>
            <w:r w:rsidRPr="00C962CC">
              <w:rPr>
                <w:color w:val="000000" w:themeColor="text1"/>
              </w:rPr>
              <w:t>Turpmākie trīs gadi</w:t>
            </w:r>
            <w:r w:rsidR="00EA3D06">
              <w:rPr>
                <w:color w:val="000000" w:themeColor="text1"/>
              </w:rPr>
              <w:t xml:space="preserve">, </w:t>
            </w:r>
            <w:proofErr w:type="spellStart"/>
            <w:r w:rsidR="004651BC">
              <w:rPr>
                <w:color w:val="000000" w:themeColor="text1"/>
              </w:rPr>
              <w:t>tūkst</w:t>
            </w:r>
            <w:r w:rsidR="00FE4010">
              <w:rPr>
                <w:color w:val="000000" w:themeColor="text1"/>
              </w:rPr>
              <w:t>.LVL</w:t>
            </w:r>
            <w:proofErr w:type="spellEnd"/>
            <w:r w:rsidR="00EA3D06">
              <w:rPr>
                <w:color w:val="000000" w:themeColor="text1"/>
              </w:rPr>
              <w:t xml:space="preserve"> </w:t>
            </w:r>
            <w:r w:rsidR="00EA3D06" w:rsidRPr="00EA3D06">
              <w:rPr>
                <w:i/>
                <w:color w:val="000000" w:themeColor="text1"/>
              </w:rPr>
              <w:t>(</w:t>
            </w:r>
            <w:proofErr w:type="spellStart"/>
            <w:r w:rsidR="00EA3D06" w:rsidRPr="00EA3D06">
              <w:rPr>
                <w:i/>
                <w:color w:val="000000" w:themeColor="text1"/>
              </w:rPr>
              <w:t>tūkst.EUR</w:t>
            </w:r>
            <w:proofErr w:type="spellEnd"/>
            <w:r w:rsidR="00EA3D06" w:rsidRPr="00EA3D06">
              <w:rPr>
                <w:i/>
                <w:color w:val="000000" w:themeColor="text1"/>
              </w:rPr>
              <w:t>)</w:t>
            </w:r>
          </w:p>
        </w:tc>
      </w:tr>
      <w:tr w:rsidR="00C962CC" w:rsidRPr="00C962CC" w:rsidTr="00ED5840">
        <w:tc>
          <w:tcPr>
            <w:tcW w:w="1540" w:type="pct"/>
            <w:vMerge/>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rPr>
                <w:color w:val="000000" w:themeColor="text1"/>
              </w:rPr>
            </w:pPr>
          </w:p>
        </w:tc>
        <w:tc>
          <w:tcPr>
            <w:tcW w:w="1561" w:type="pct"/>
            <w:gridSpan w:val="2"/>
            <w:vMerge/>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rPr>
                <w:color w:val="000000" w:themeColor="text1"/>
              </w:rPr>
            </w:pPr>
          </w:p>
        </w:tc>
        <w:tc>
          <w:tcPr>
            <w:tcW w:w="632"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b/>
                <w:bCs/>
                <w:color w:val="000000" w:themeColor="text1"/>
              </w:rPr>
              <w:t>2014.</w:t>
            </w:r>
          </w:p>
        </w:tc>
        <w:tc>
          <w:tcPr>
            <w:tcW w:w="632"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b/>
                <w:bCs/>
                <w:color w:val="000000" w:themeColor="text1"/>
              </w:rPr>
              <w:t>2015.</w:t>
            </w:r>
          </w:p>
        </w:tc>
        <w:tc>
          <w:tcPr>
            <w:tcW w:w="636"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b/>
                <w:bCs/>
                <w:color w:val="000000" w:themeColor="text1"/>
              </w:rPr>
              <w:t>2016.</w:t>
            </w:r>
          </w:p>
        </w:tc>
      </w:tr>
      <w:tr w:rsidR="00C962CC" w:rsidRPr="00C962CC" w:rsidTr="00ED5840">
        <w:tc>
          <w:tcPr>
            <w:tcW w:w="1540" w:type="pct"/>
            <w:vMerge/>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rPr>
                <w:color w:val="000000" w:themeColor="text1"/>
              </w:rPr>
            </w:pPr>
          </w:p>
        </w:tc>
        <w:tc>
          <w:tcPr>
            <w:tcW w:w="589"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color w:val="000000" w:themeColor="text1"/>
              </w:rPr>
              <w:t>Saskaņā ar valsts budžetu kārtējam gadam</w:t>
            </w:r>
          </w:p>
        </w:tc>
        <w:tc>
          <w:tcPr>
            <w:tcW w:w="972"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color w:val="000000" w:themeColor="text1"/>
              </w:rPr>
              <w:t>Izmaiņas kārtējā gadā, salīdzinot ar budžetu kārtējam gadam</w:t>
            </w:r>
          </w:p>
        </w:tc>
        <w:tc>
          <w:tcPr>
            <w:tcW w:w="632"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color w:val="000000" w:themeColor="text1"/>
              </w:rPr>
              <w:t>Izmaiņas, salīdzinot ar kārtējo (n) gadu</w:t>
            </w:r>
          </w:p>
        </w:tc>
        <w:tc>
          <w:tcPr>
            <w:tcW w:w="632"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color w:val="000000" w:themeColor="text1"/>
              </w:rPr>
              <w:t>Izmaiņas, salīdzinot ar kārtējo (n) gadu</w:t>
            </w:r>
          </w:p>
        </w:tc>
        <w:tc>
          <w:tcPr>
            <w:tcW w:w="636"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color w:val="000000" w:themeColor="text1"/>
              </w:rPr>
              <w:t>Izmaiņas, salīdzinot ar kārtējo (n) gadu</w:t>
            </w:r>
          </w:p>
        </w:tc>
      </w:tr>
      <w:tr w:rsidR="00C962CC" w:rsidRPr="00C962CC" w:rsidTr="00ED5840">
        <w:tc>
          <w:tcPr>
            <w:tcW w:w="1540"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color w:val="000000" w:themeColor="text1"/>
              </w:rPr>
              <w:t>1</w:t>
            </w:r>
          </w:p>
        </w:tc>
        <w:tc>
          <w:tcPr>
            <w:tcW w:w="589"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color w:val="000000" w:themeColor="text1"/>
              </w:rPr>
              <w:t>2</w:t>
            </w:r>
          </w:p>
        </w:tc>
        <w:tc>
          <w:tcPr>
            <w:tcW w:w="972"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color w:val="000000" w:themeColor="text1"/>
              </w:rPr>
              <w:t>3</w:t>
            </w:r>
          </w:p>
        </w:tc>
        <w:tc>
          <w:tcPr>
            <w:tcW w:w="632"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color w:val="000000" w:themeColor="text1"/>
              </w:rPr>
              <w:t>4</w:t>
            </w:r>
          </w:p>
        </w:tc>
        <w:tc>
          <w:tcPr>
            <w:tcW w:w="632"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color w:val="000000" w:themeColor="text1"/>
              </w:rPr>
              <w:t>5</w:t>
            </w:r>
          </w:p>
        </w:tc>
        <w:tc>
          <w:tcPr>
            <w:tcW w:w="636" w:type="pct"/>
            <w:tcBorders>
              <w:top w:val="single" w:sz="4" w:space="0" w:color="auto"/>
              <w:left w:val="single" w:sz="4" w:space="0" w:color="auto"/>
              <w:bottom w:val="single" w:sz="4" w:space="0" w:color="auto"/>
              <w:right w:val="single" w:sz="4" w:space="0" w:color="auto"/>
            </w:tcBorders>
            <w:vAlign w:val="center"/>
          </w:tcPr>
          <w:p w:rsidR="00802846" w:rsidRPr="00C962CC" w:rsidRDefault="00802846" w:rsidP="00DE33E0">
            <w:pPr>
              <w:spacing w:before="100" w:beforeAutospacing="1" w:after="100" w:afterAutospacing="1"/>
              <w:jc w:val="center"/>
              <w:rPr>
                <w:color w:val="000000" w:themeColor="text1"/>
              </w:rPr>
            </w:pPr>
            <w:r w:rsidRPr="00C962CC">
              <w:rPr>
                <w:color w:val="000000" w:themeColor="text1"/>
              </w:rPr>
              <w:t>6</w:t>
            </w:r>
          </w:p>
        </w:tc>
      </w:tr>
      <w:tr w:rsidR="00ED5840" w:rsidRPr="00C962CC" w:rsidTr="00ED5840">
        <w:tc>
          <w:tcPr>
            <w:tcW w:w="1540" w:type="pct"/>
            <w:tcBorders>
              <w:top w:val="single" w:sz="4" w:space="0" w:color="auto"/>
              <w:left w:val="single" w:sz="4" w:space="0" w:color="auto"/>
              <w:bottom w:val="single" w:sz="4" w:space="0" w:color="auto"/>
              <w:right w:val="single" w:sz="4" w:space="0" w:color="auto"/>
            </w:tcBorders>
          </w:tcPr>
          <w:p w:rsidR="00ED5840" w:rsidRPr="00C962CC" w:rsidRDefault="00ED5840" w:rsidP="00DE33E0">
            <w:pPr>
              <w:spacing w:before="100" w:beforeAutospacing="1" w:after="100" w:afterAutospacing="1"/>
              <w:rPr>
                <w:color w:val="000000" w:themeColor="text1"/>
              </w:rPr>
            </w:pPr>
            <w:r w:rsidRPr="00C962CC">
              <w:rPr>
                <w:color w:val="000000" w:themeColor="text1"/>
              </w:rPr>
              <w:t>1. Budžeta ieņēmumi:</w:t>
            </w:r>
          </w:p>
        </w:tc>
        <w:tc>
          <w:tcPr>
            <w:tcW w:w="589" w:type="pct"/>
            <w:tcBorders>
              <w:top w:val="single" w:sz="4" w:space="0" w:color="auto"/>
              <w:left w:val="single" w:sz="4" w:space="0" w:color="auto"/>
              <w:bottom w:val="single" w:sz="4" w:space="0" w:color="auto"/>
              <w:right w:val="single" w:sz="4" w:space="0" w:color="auto"/>
            </w:tcBorders>
          </w:tcPr>
          <w:p w:rsidR="00ED5840" w:rsidRPr="00C962CC" w:rsidRDefault="00ED5840" w:rsidP="00DE33E0">
            <w:pPr>
              <w:spacing w:line="360" w:lineRule="auto"/>
              <w:jc w:val="center"/>
              <w:rPr>
                <w:color w:val="000000" w:themeColor="text1"/>
              </w:rPr>
            </w:pPr>
            <w:r w:rsidRPr="00C962CC">
              <w:rPr>
                <w:color w:val="000000" w:themeColor="text1"/>
              </w:rPr>
              <w:t>0.00</w:t>
            </w:r>
          </w:p>
        </w:tc>
        <w:tc>
          <w:tcPr>
            <w:tcW w:w="972" w:type="pct"/>
            <w:tcBorders>
              <w:top w:val="single" w:sz="4" w:space="0" w:color="auto"/>
              <w:left w:val="single" w:sz="4" w:space="0" w:color="auto"/>
              <w:bottom w:val="single" w:sz="4" w:space="0" w:color="auto"/>
              <w:right w:val="single" w:sz="4" w:space="0" w:color="auto"/>
            </w:tcBorders>
          </w:tcPr>
          <w:p w:rsidR="00ED5840" w:rsidRPr="00C962CC" w:rsidRDefault="00ED5840" w:rsidP="00DE33E0">
            <w:pPr>
              <w:spacing w:line="360" w:lineRule="auto"/>
              <w:jc w:val="center"/>
              <w:rPr>
                <w:color w:val="000000" w:themeColor="text1"/>
              </w:rPr>
            </w:pPr>
            <w:r w:rsidRPr="00C962CC">
              <w:rPr>
                <w:color w:val="000000" w:themeColor="text1"/>
              </w:rPr>
              <w:t>0</w:t>
            </w:r>
          </w:p>
        </w:tc>
        <w:tc>
          <w:tcPr>
            <w:tcW w:w="632" w:type="pct"/>
            <w:tcBorders>
              <w:top w:val="single" w:sz="4" w:space="0" w:color="auto"/>
              <w:left w:val="single" w:sz="4" w:space="0" w:color="auto"/>
              <w:bottom w:val="single" w:sz="4" w:space="0" w:color="auto"/>
              <w:right w:val="single" w:sz="4" w:space="0" w:color="auto"/>
            </w:tcBorders>
          </w:tcPr>
          <w:p w:rsidR="00ED5840" w:rsidRDefault="00ED5840" w:rsidP="003B1FCC">
            <w:pPr>
              <w:jc w:val="center"/>
              <w:rPr>
                <w:color w:val="000000" w:themeColor="text1"/>
              </w:rPr>
            </w:pPr>
            <w:r>
              <w:rPr>
                <w:color w:val="000000" w:themeColor="text1"/>
              </w:rPr>
              <w:t>+ 29 000</w:t>
            </w:r>
          </w:p>
          <w:p w:rsidR="00ED5840" w:rsidRPr="00841859" w:rsidRDefault="00ED5840" w:rsidP="003B1FCC">
            <w:pPr>
              <w:rPr>
                <w:b/>
                <w:color w:val="000000" w:themeColor="text1"/>
              </w:rPr>
            </w:pPr>
            <w:r w:rsidRPr="00841859">
              <w:rPr>
                <w:color w:val="000000" w:themeColor="text1"/>
              </w:rPr>
              <w:t xml:space="preserve">(+ </w:t>
            </w:r>
            <w:r w:rsidRPr="00841859">
              <w:rPr>
                <w:b/>
                <w:color w:val="000000" w:themeColor="text1"/>
              </w:rPr>
              <w:t>41 263,3</w:t>
            </w:r>
          </w:p>
          <w:p w:rsidR="00ED5840" w:rsidRPr="00841859" w:rsidRDefault="00ED5840" w:rsidP="003B1FCC">
            <w:pPr>
              <w:rPr>
                <w:color w:val="000000" w:themeColor="text1"/>
                <w:sz w:val="20"/>
                <w:szCs w:val="20"/>
              </w:rPr>
            </w:pPr>
            <w:r w:rsidRPr="00841859">
              <w:rPr>
                <w:i/>
                <w:color w:val="000000" w:themeColor="text1"/>
              </w:rPr>
              <w:t>euro</w:t>
            </w:r>
            <w:r w:rsidRPr="00841859">
              <w:rPr>
                <w:color w:val="000000" w:themeColor="text1"/>
              </w:rPr>
              <w:t>)</w:t>
            </w:r>
          </w:p>
        </w:tc>
        <w:tc>
          <w:tcPr>
            <w:tcW w:w="632" w:type="pct"/>
            <w:tcBorders>
              <w:top w:val="single" w:sz="4" w:space="0" w:color="auto"/>
              <w:left w:val="single" w:sz="4" w:space="0" w:color="auto"/>
              <w:bottom w:val="single" w:sz="4" w:space="0" w:color="auto"/>
              <w:right w:val="single" w:sz="4" w:space="0" w:color="auto"/>
            </w:tcBorders>
          </w:tcPr>
          <w:p w:rsidR="00ED5840" w:rsidRDefault="00ED5840" w:rsidP="003B1FCC">
            <w:pPr>
              <w:jc w:val="center"/>
              <w:rPr>
                <w:color w:val="000000" w:themeColor="text1"/>
              </w:rPr>
            </w:pPr>
            <w:r>
              <w:rPr>
                <w:color w:val="000000" w:themeColor="text1"/>
              </w:rPr>
              <w:t>+ 37 500</w:t>
            </w:r>
          </w:p>
          <w:p w:rsidR="00ED5840" w:rsidRPr="00841859" w:rsidRDefault="00ED5840" w:rsidP="003B1FCC">
            <w:pPr>
              <w:jc w:val="center"/>
              <w:rPr>
                <w:color w:val="000000" w:themeColor="text1"/>
              </w:rPr>
            </w:pPr>
            <w:r w:rsidRPr="00841859">
              <w:rPr>
                <w:color w:val="000000" w:themeColor="text1"/>
              </w:rPr>
              <w:t>(</w:t>
            </w:r>
            <w:r w:rsidRPr="00841859">
              <w:rPr>
                <w:b/>
                <w:color w:val="000000" w:themeColor="text1"/>
              </w:rPr>
              <w:t>+</w:t>
            </w:r>
            <w:r>
              <w:rPr>
                <w:b/>
                <w:color w:val="000000" w:themeColor="text1"/>
              </w:rPr>
              <w:t xml:space="preserve"> </w:t>
            </w:r>
            <w:r w:rsidRPr="00841859">
              <w:rPr>
                <w:b/>
                <w:color w:val="000000" w:themeColor="text1"/>
              </w:rPr>
              <w:t xml:space="preserve">53357,7 </w:t>
            </w:r>
            <w:r w:rsidRPr="00841859">
              <w:rPr>
                <w:i/>
                <w:color w:val="000000" w:themeColor="text1"/>
              </w:rPr>
              <w:t>euro</w:t>
            </w:r>
            <w:r w:rsidRPr="00841859">
              <w:rPr>
                <w:color w:val="000000" w:themeColor="text1"/>
              </w:rPr>
              <w:t>)</w:t>
            </w:r>
          </w:p>
        </w:tc>
        <w:tc>
          <w:tcPr>
            <w:tcW w:w="636" w:type="pct"/>
            <w:tcBorders>
              <w:top w:val="single" w:sz="4" w:space="0" w:color="auto"/>
              <w:left w:val="single" w:sz="4" w:space="0" w:color="auto"/>
              <w:bottom w:val="single" w:sz="4" w:space="0" w:color="auto"/>
              <w:right w:val="single" w:sz="4" w:space="0" w:color="auto"/>
            </w:tcBorders>
          </w:tcPr>
          <w:p w:rsidR="00ED5840" w:rsidRDefault="00ED5840" w:rsidP="003B1FCC">
            <w:pPr>
              <w:jc w:val="center"/>
              <w:rPr>
                <w:color w:val="000000" w:themeColor="text1"/>
              </w:rPr>
            </w:pPr>
            <w:r>
              <w:rPr>
                <w:color w:val="000000" w:themeColor="text1"/>
              </w:rPr>
              <w:t>+ 43 000</w:t>
            </w:r>
          </w:p>
          <w:p w:rsidR="00ED5840" w:rsidRPr="00C962CC" w:rsidRDefault="00ED5840" w:rsidP="003B1FCC">
            <w:pPr>
              <w:jc w:val="center"/>
              <w:rPr>
                <w:color w:val="000000" w:themeColor="text1"/>
              </w:rPr>
            </w:pPr>
            <w:r>
              <w:rPr>
                <w:color w:val="000000" w:themeColor="text1"/>
              </w:rPr>
              <w:t>(</w:t>
            </w:r>
            <w:r w:rsidRPr="00841859">
              <w:rPr>
                <w:b/>
                <w:color w:val="000000" w:themeColor="text1"/>
              </w:rPr>
              <w:t xml:space="preserve">+ 61 183,4 </w:t>
            </w:r>
            <w:r w:rsidRPr="00841859">
              <w:rPr>
                <w:i/>
                <w:color w:val="000000" w:themeColor="text1"/>
              </w:rPr>
              <w:t>euro</w:t>
            </w:r>
            <w:r>
              <w:rPr>
                <w:color w:val="000000" w:themeColor="text1"/>
              </w:rPr>
              <w:t>)</w:t>
            </w:r>
          </w:p>
        </w:tc>
      </w:tr>
      <w:tr w:rsidR="00ED5840" w:rsidRPr="00C962CC" w:rsidTr="00ED5840">
        <w:tc>
          <w:tcPr>
            <w:tcW w:w="1540" w:type="pct"/>
            <w:tcBorders>
              <w:top w:val="single" w:sz="4" w:space="0" w:color="auto"/>
              <w:left w:val="single" w:sz="4" w:space="0" w:color="auto"/>
              <w:bottom w:val="single" w:sz="4" w:space="0" w:color="auto"/>
              <w:right w:val="single" w:sz="4" w:space="0" w:color="auto"/>
            </w:tcBorders>
          </w:tcPr>
          <w:p w:rsidR="00ED5840" w:rsidRPr="00C962CC" w:rsidRDefault="00ED5840" w:rsidP="00DE33E0">
            <w:pPr>
              <w:spacing w:before="100" w:beforeAutospacing="1" w:after="100" w:afterAutospacing="1"/>
              <w:rPr>
                <w:color w:val="000000" w:themeColor="text1"/>
              </w:rPr>
            </w:pPr>
            <w:r w:rsidRPr="00C962CC">
              <w:rPr>
                <w:color w:val="000000" w:themeColor="text1"/>
              </w:rPr>
              <w:t>1.1. valsts pamatbudžets, tai skaitā ieņēmumi no maksas pakalpojumiem un citi pašu ieņēmumi</w:t>
            </w:r>
          </w:p>
        </w:tc>
        <w:tc>
          <w:tcPr>
            <w:tcW w:w="589" w:type="pct"/>
            <w:tcBorders>
              <w:top w:val="single" w:sz="4" w:space="0" w:color="auto"/>
              <w:left w:val="single" w:sz="4" w:space="0" w:color="auto"/>
              <w:bottom w:val="single" w:sz="4" w:space="0" w:color="auto"/>
              <w:right w:val="single" w:sz="4" w:space="0" w:color="auto"/>
            </w:tcBorders>
          </w:tcPr>
          <w:p w:rsidR="00ED5840" w:rsidRPr="00C962CC" w:rsidRDefault="00ED5840" w:rsidP="00DE33E0">
            <w:pPr>
              <w:spacing w:line="360" w:lineRule="auto"/>
              <w:jc w:val="center"/>
              <w:rPr>
                <w:color w:val="000000" w:themeColor="text1"/>
              </w:rPr>
            </w:pPr>
            <w:r w:rsidRPr="00C962CC">
              <w:rPr>
                <w:color w:val="000000" w:themeColor="text1"/>
              </w:rPr>
              <w:t>0.00</w:t>
            </w:r>
          </w:p>
        </w:tc>
        <w:tc>
          <w:tcPr>
            <w:tcW w:w="972" w:type="pct"/>
            <w:tcBorders>
              <w:top w:val="single" w:sz="4" w:space="0" w:color="auto"/>
              <w:left w:val="single" w:sz="4" w:space="0" w:color="auto"/>
              <w:bottom w:val="single" w:sz="4" w:space="0" w:color="auto"/>
              <w:right w:val="single" w:sz="4" w:space="0" w:color="auto"/>
            </w:tcBorders>
          </w:tcPr>
          <w:p w:rsidR="00ED5840" w:rsidRPr="00C962CC" w:rsidRDefault="00ED5840" w:rsidP="00DE33E0">
            <w:pPr>
              <w:spacing w:line="360" w:lineRule="auto"/>
              <w:jc w:val="center"/>
              <w:rPr>
                <w:color w:val="000000" w:themeColor="text1"/>
              </w:rPr>
            </w:pPr>
            <w:r w:rsidRPr="00C962CC">
              <w:rPr>
                <w:color w:val="000000" w:themeColor="text1"/>
              </w:rPr>
              <w:t>0</w:t>
            </w:r>
          </w:p>
        </w:tc>
        <w:tc>
          <w:tcPr>
            <w:tcW w:w="632" w:type="pct"/>
            <w:tcBorders>
              <w:top w:val="single" w:sz="4" w:space="0" w:color="auto"/>
              <w:left w:val="single" w:sz="4" w:space="0" w:color="auto"/>
              <w:bottom w:val="single" w:sz="4" w:space="0" w:color="auto"/>
              <w:right w:val="single" w:sz="4" w:space="0" w:color="auto"/>
            </w:tcBorders>
          </w:tcPr>
          <w:p w:rsidR="00ED5840" w:rsidRDefault="00ED5840" w:rsidP="003B1FCC">
            <w:pPr>
              <w:jc w:val="center"/>
              <w:rPr>
                <w:color w:val="000000" w:themeColor="text1"/>
              </w:rPr>
            </w:pPr>
            <w:r>
              <w:rPr>
                <w:color w:val="000000" w:themeColor="text1"/>
              </w:rPr>
              <w:t>+ 29 000</w:t>
            </w:r>
          </w:p>
          <w:p w:rsidR="00ED5840" w:rsidRPr="00841859" w:rsidRDefault="00ED5840" w:rsidP="003B1FCC">
            <w:pPr>
              <w:rPr>
                <w:b/>
                <w:color w:val="000000" w:themeColor="text1"/>
              </w:rPr>
            </w:pPr>
            <w:r w:rsidRPr="00841859">
              <w:rPr>
                <w:color w:val="000000" w:themeColor="text1"/>
              </w:rPr>
              <w:t xml:space="preserve">(+ </w:t>
            </w:r>
            <w:r w:rsidRPr="00841859">
              <w:rPr>
                <w:b/>
                <w:color w:val="000000" w:themeColor="text1"/>
              </w:rPr>
              <w:t>41 263,3</w:t>
            </w:r>
          </w:p>
          <w:p w:rsidR="00ED5840" w:rsidRPr="00C962CC" w:rsidRDefault="00ED5840" w:rsidP="003B1FCC">
            <w:pPr>
              <w:rPr>
                <w:color w:val="000000" w:themeColor="text1"/>
              </w:rPr>
            </w:pPr>
            <w:r w:rsidRPr="00841859">
              <w:rPr>
                <w:i/>
                <w:color w:val="000000" w:themeColor="text1"/>
              </w:rPr>
              <w:t>euro</w:t>
            </w:r>
            <w:r w:rsidRPr="00841859">
              <w:rPr>
                <w:color w:val="000000" w:themeColor="text1"/>
              </w:rPr>
              <w:t>)</w:t>
            </w:r>
          </w:p>
        </w:tc>
        <w:tc>
          <w:tcPr>
            <w:tcW w:w="632" w:type="pct"/>
            <w:tcBorders>
              <w:top w:val="single" w:sz="4" w:space="0" w:color="auto"/>
              <w:left w:val="single" w:sz="4" w:space="0" w:color="auto"/>
              <w:bottom w:val="single" w:sz="4" w:space="0" w:color="auto"/>
              <w:right w:val="single" w:sz="4" w:space="0" w:color="auto"/>
            </w:tcBorders>
          </w:tcPr>
          <w:p w:rsidR="00ED5840" w:rsidRDefault="00ED5840" w:rsidP="003B1FCC">
            <w:pPr>
              <w:jc w:val="center"/>
              <w:rPr>
                <w:color w:val="000000" w:themeColor="text1"/>
              </w:rPr>
            </w:pPr>
            <w:r>
              <w:rPr>
                <w:color w:val="000000" w:themeColor="text1"/>
              </w:rPr>
              <w:t>+ 37 500</w:t>
            </w:r>
          </w:p>
          <w:p w:rsidR="00ED5840" w:rsidRPr="00C962CC" w:rsidRDefault="00ED5840" w:rsidP="003B1FCC">
            <w:pPr>
              <w:jc w:val="center"/>
              <w:rPr>
                <w:color w:val="000000" w:themeColor="text1"/>
              </w:rPr>
            </w:pPr>
            <w:r w:rsidRPr="00841859">
              <w:rPr>
                <w:color w:val="000000" w:themeColor="text1"/>
              </w:rPr>
              <w:t>(</w:t>
            </w:r>
            <w:r w:rsidRPr="00841859">
              <w:rPr>
                <w:b/>
                <w:color w:val="000000" w:themeColor="text1"/>
              </w:rPr>
              <w:t>+</w:t>
            </w:r>
            <w:r>
              <w:rPr>
                <w:b/>
                <w:color w:val="000000" w:themeColor="text1"/>
              </w:rPr>
              <w:t xml:space="preserve"> </w:t>
            </w:r>
            <w:r w:rsidRPr="00841859">
              <w:rPr>
                <w:b/>
                <w:color w:val="000000" w:themeColor="text1"/>
              </w:rPr>
              <w:t xml:space="preserve">53357,7 </w:t>
            </w:r>
            <w:r w:rsidRPr="00841859">
              <w:rPr>
                <w:i/>
                <w:color w:val="000000" w:themeColor="text1"/>
              </w:rPr>
              <w:t>euro</w:t>
            </w:r>
            <w:r w:rsidRPr="00841859">
              <w:rPr>
                <w:color w:val="000000" w:themeColor="text1"/>
              </w:rPr>
              <w:t>)</w:t>
            </w:r>
          </w:p>
        </w:tc>
        <w:tc>
          <w:tcPr>
            <w:tcW w:w="636" w:type="pct"/>
            <w:tcBorders>
              <w:top w:val="single" w:sz="4" w:space="0" w:color="auto"/>
              <w:left w:val="single" w:sz="4" w:space="0" w:color="auto"/>
              <w:bottom w:val="single" w:sz="4" w:space="0" w:color="auto"/>
              <w:right w:val="single" w:sz="4" w:space="0" w:color="auto"/>
            </w:tcBorders>
          </w:tcPr>
          <w:p w:rsidR="00ED5840" w:rsidRDefault="00ED5840" w:rsidP="003B1FCC">
            <w:pPr>
              <w:jc w:val="center"/>
              <w:rPr>
                <w:color w:val="000000" w:themeColor="text1"/>
              </w:rPr>
            </w:pPr>
            <w:r>
              <w:rPr>
                <w:color w:val="000000" w:themeColor="text1"/>
              </w:rPr>
              <w:t>+ 43 000</w:t>
            </w:r>
          </w:p>
          <w:p w:rsidR="00ED5840" w:rsidRPr="00C962CC" w:rsidRDefault="00ED5840" w:rsidP="003B1FCC">
            <w:pPr>
              <w:jc w:val="center"/>
              <w:rPr>
                <w:color w:val="000000" w:themeColor="text1"/>
              </w:rPr>
            </w:pPr>
            <w:r>
              <w:rPr>
                <w:color w:val="000000" w:themeColor="text1"/>
              </w:rPr>
              <w:t>(</w:t>
            </w:r>
            <w:r w:rsidRPr="00841859">
              <w:rPr>
                <w:b/>
                <w:color w:val="000000" w:themeColor="text1"/>
              </w:rPr>
              <w:t xml:space="preserve">+ 61 183,4 </w:t>
            </w:r>
            <w:r w:rsidRPr="00841859">
              <w:rPr>
                <w:i/>
                <w:color w:val="000000" w:themeColor="text1"/>
              </w:rPr>
              <w:t>euro</w:t>
            </w:r>
            <w:r>
              <w:rPr>
                <w:color w:val="000000" w:themeColor="text1"/>
              </w:rPr>
              <w:t>)</w:t>
            </w:r>
          </w:p>
        </w:tc>
      </w:tr>
      <w:tr w:rsidR="00C962CC" w:rsidRPr="00C962CC" w:rsidTr="00ED5840">
        <w:tc>
          <w:tcPr>
            <w:tcW w:w="1540"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before="100" w:beforeAutospacing="1" w:after="100" w:afterAutospacing="1"/>
              <w:rPr>
                <w:color w:val="000000" w:themeColor="text1"/>
              </w:rPr>
            </w:pPr>
            <w:r w:rsidRPr="00C962CC">
              <w:rPr>
                <w:color w:val="000000" w:themeColor="text1"/>
              </w:rPr>
              <w:t>1.2. valsts speciālais budžets</w:t>
            </w:r>
          </w:p>
        </w:tc>
        <w:tc>
          <w:tcPr>
            <w:tcW w:w="589"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p>
        </w:tc>
        <w:tc>
          <w:tcPr>
            <w:tcW w:w="97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rPr>
                <w:color w:val="000000" w:themeColor="text1"/>
              </w:rPr>
            </w:pPr>
          </w:p>
        </w:tc>
        <w:tc>
          <w:tcPr>
            <w:tcW w:w="636"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rPr>
                <w:color w:val="000000" w:themeColor="text1"/>
              </w:rPr>
            </w:pPr>
          </w:p>
        </w:tc>
      </w:tr>
      <w:tr w:rsidR="00C962CC" w:rsidRPr="00C962CC" w:rsidTr="00ED5840">
        <w:tc>
          <w:tcPr>
            <w:tcW w:w="1540"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before="100" w:beforeAutospacing="1" w:after="100" w:afterAutospacing="1"/>
              <w:rPr>
                <w:color w:val="000000" w:themeColor="text1"/>
              </w:rPr>
            </w:pPr>
            <w:r w:rsidRPr="00C962CC">
              <w:rPr>
                <w:color w:val="000000" w:themeColor="text1"/>
              </w:rPr>
              <w:t>1.3. pašvaldību budžets</w:t>
            </w:r>
          </w:p>
        </w:tc>
        <w:tc>
          <w:tcPr>
            <w:tcW w:w="589"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p>
        </w:tc>
        <w:tc>
          <w:tcPr>
            <w:tcW w:w="97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rPr>
                <w:color w:val="000000" w:themeColor="text1"/>
              </w:rPr>
            </w:pPr>
          </w:p>
        </w:tc>
        <w:tc>
          <w:tcPr>
            <w:tcW w:w="636"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rPr>
                <w:color w:val="000000" w:themeColor="text1"/>
              </w:rPr>
            </w:pPr>
          </w:p>
        </w:tc>
      </w:tr>
      <w:tr w:rsidR="00F840BC" w:rsidRPr="00C962CC" w:rsidTr="00ED5840">
        <w:tc>
          <w:tcPr>
            <w:tcW w:w="1540" w:type="pct"/>
            <w:tcBorders>
              <w:top w:val="single" w:sz="4" w:space="0" w:color="auto"/>
              <w:left w:val="single" w:sz="4" w:space="0" w:color="auto"/>
              <w:bottom w:val="single" w:sz="4" w:space="0" w:color="auto"/>
              <w:right w:val="single" w:sz="4" w:space="0" w:color="auto"/>
            </w:tcBorders>
          </w:tcPr>
          <w:p w:rsidR="00F840BC" w:rsidRPr="00C962CC" w:rsidRDefault="00F840BC" w:rsidP="00DE33E0">
            <w:pPr>
              <w:spacing w:before="100" w:beforeAutospacing="1" w:after="100" w:afterAutospacing="1"/>
              <w:rPr>
                <w:color w:val="000000" w:themeColor="text1"/>
              </w:rPr>
            </w:pPr>
            <w:r w:rsidRPr="00C962CC">
              <w:rPr>
                <w:color w:val="000000" w:themeColor="text1"/>
              </w:rPr>
              <w:t>2. Budžeta izdevumi:</w:t>
            </w:r>
          </w:p>
        </w:tc>
        <w:tc>
          <w:tcPr>
            <w:tcW w:w="589" w:type="pct"/>
            <w:tcBorders>
              <w:top w:val="single" w:sz="4" w:space="0" w:color="auto"/>
              <w:left w:val="single" w:sz="4" w:space="0" w:color="auto"/>
              <w:bottom w:val="single" w:sz="4" w:space="0" w:color="auto"/>
              <w:right w:val="single" w:sz="4" w:space="0" w:color="auto"/>
            </w:tcBorders>
          </w:tcPr>
          <w:p w:rsidR="00F840BC" w:rsidRPr="00C962CC" w:rsidRDefault="00F840BC" w:rsidP="00DE33E0">
            <w:pPr>
              <w:spacing w:line="360" w:lineRule="auto"/>
              <w:jc w:val="center"/>
              <w:rPr>
                <w:color w:val="000000" w:themeColor="text1"/>
              </w:rPr>
            </w:pPr>
            <w:r w:rsidRPr="00C962CC">
              <w:rPr>
                <w:color w:val="000000" w:themeColor="text1"/>
              </w:rPr>
              <w:t>0.00</w:t>
            </w:r>
          </w:p>
        </w:tc>
        <w:tc>
          <w:tcPr>
            <w:tcW w:w="972" w:type="pct"/>
            <w:tcBorders>
              <w:top w:val="single" w:sz="4" w:space="0" w:color="auto"/>
              <w:left w:val="single" w:sz="4" w:space="0" w:color="auto"/>
              <w:bottom w:val="single" w:sz="4" w:space="0" w:color="auto"/>
              <w:right w:val="single" w:sz="4" w:space="0" w:color="auto"/>
            </w:tcBorders>
          </w:tcPr>
          <w:p w:rsidR="00F840BC" w:rsidRPr="00C962CC" w:rsidRDefault="00F840BC" w:rsidP="00DE33E0">
            <w:pPr>
              <w:spacing w:line="360" w:lineRule="auto"/>
              <w:jc w:val="center"/>
              <w:rPr>
                <w:color w:val="000000" w:themeColor="text1"/>
              </w:rPr>
            </w:pPr>
            <w:r w:rsidRPr="00C962CC">
              <w:rPr>
                <w:color w:val="000000" w:themeColor="text1"/>
              </w:rPr>
              <w:t>0</w:t>
            </w:r>
          </w:p>
        </w:tc>
        <w:tc>
          <w:tcPr>
            <w:tcW w:w="632" w:type="pct"/>
            <w:tcBorders>
              <w:top w:val="single" w:sz="4" w:space="0" w:color="auto"/>
              <w:left w:val="single" w:sz="4" w:space="0" w:color="auto"/>
              <w:bottom w:val="single" w:sz="4" w:space="0" w:color="auto"/>
              <w:right w:val="single" w:sz="4" w:space="0" w:color="auto"/>
            </w:tcBorders>
          </w:tcPr>
          <w:p w:rsidR="00F840BC" w:rsidRDefault="00F840BC" w:rsidP="00ED5840">
            <w:pPr>
              <w:pStyle w:val="ListParagraph"/>
              <w:numPr>
                <w:ilvl w:val="0"/>
                <w:numId w:val="2"/>
              </w:numPr>
              <w:ind w:left="330" w:hanging="237"/>
              <w:rPr>
                <w:color w:val="000000" w:themeColor="text1"/>
              </w:rPr>
            </w:pPr>
            <w:r w:rsidRPr="00F840BC">
              <w:rPr>
                <w:color w:val="000000" w:themeColor="text1"/>
              </w:rPr>
              <w:t>2</w:t>
            </w:r>
            <w:r w:rsidR="00EA3D06">
              <w:rPr>
                <w:color w:val="000000" w:themeColor="text1"/>
              </w:rPr>
              <w:t> </w:t>
            </w:r>
            <w:r w:rsidR="004651BC">
              <w:rPr>
                <w:color w:val="000000" w:themeColor="text1"/>
              </w:rPr>
              <w:t>7</w:t>
            </w:r>
            <w:r w:rsidR="00ED5840">
              <w:rPr>
                <w:color w:val="000000" w:themeColor="text1"/>
              </w:rPr>
              <w:t>20</w:t>
            </w:r>
          </w:p>
          <w:p w:rsidR="00EA3D06" w:rsidRPr="00EA3D06" w:rsidRDefault="00EA3D06" w:rsidP="00ED5840">
            <w:pPr>
              <w:pStyle w:val="ListParagraph"/>
              <w:ind w:left="45"/>
              <w:rPr>
                <w:i/>
                <w:color w:val="000000" w:themeColor="text1"/>
              </w:rPr>
            </w:pPr>
            <w:r w:rsidRPr="00EA3D06">
              <w:rPr>
                <w:i/>
                <w:color w:val="000000" w:themeColor="text1"/>
              </w:rPr>
              <w:t>(-38</w:t>
            </w:r>
            <w:r w:rsidR="00ED5840">
              <w:rPr>
                <w:i/>
                <w:color w:val="000000" w:themeColor="text1"/>
              </w:rPr>
              <w:t>70</w:t>
            </w:r>
            <w:r w:rsidRPr="00EA3D06">
              <w:rPr>
                <w:i/>
                <w:color w:val="000000" w:themeColor="text1"/>
              </w:rPr>
              <w:t>,</w:t>
            </w:r>
            <w:r w:rsidR="00ED5840">
              <w:rPr>
                <w:i/>
                <w:color w:val="000000" w:themeColor="text1"/>
              </w:rPr>
              <w:t>2 euro</w:t>
            </w:r>
            <w:r w:rsidRPr="00EA3D06">
              <w:rPr>
                <w:i/>
                <w:color w:val="000000" w:themeColor="text1"/>
              </w:rPr>
              <w:t>)</w:t>
            </w:r>
          </w:p>
        </w:tc>
        <w:tc>
          <w:tcPr>
            <w:tcW w:w="632" w:type="pct"/>
            <w:tcBorders>
              <w:top w:val="single" w:sz="4" w:space="0" w:color="auto"/>
              <w:left w:val="single" w:sz="4" w:space="0" w:color="auto"/>
              <w:bottom w:val="single" w:sz="4" w:space="0" w:color="auto"/>
              <w:right w:val="single" w:sz="4" w:space="0" w:color="auto"/>
            </w:tcBorders>
          </w:tcPr>
          <w:p w:rsidR="00F840BC" w:rsidRDefault="00F840BC" w:rsidP="00ED5840">
            <w:pPr>
              <w:pStyle w:val="ListParagraph"/>
              <w:numPr>
                <w:ilvl w:val="0"/>
                <w:numId w:val="2"/>
              </w:numPr>
              <w:ind w:left="330" w:hanging="237"/>
              <w:rPr>
                <w:color w:val="000000" w:themeColor="text1"/>
              </w:rPr>
            </w:pPr>
            <w:r w:rsidRPr="00F840BC">
              <w:rPr>
                <w:color w:val="000000" w:themeColor="text1"/>
              </w:rPr>
              <w:t>3</w:t>
            </w:r>
            <w:r w:rsidR="00EA3D06">
              <w:rPr>
                <w:color w:val="000000" w:themeColor="text1"/>
              </w:rPr>
              <w:t> </w:t>
            </w:r>
            <w:r w:rsidR="004651BC">
              <w:rPr>
                <w:color w:val="000000" w:themeColor="text1"/>
              </w:rPr>
              <w:t>6</w:t>
            </w:r>
            <w:r w:rsidR="00ED5840">
              <w:rPr>
                <w:color w:val="000000" w:themeColor="text1"/>
              </w:rPr>
              <w:t>25</w:t>
            </w:r>
          </w:p>
          <w:p w:rsidR="00EA3D06" w:rsidRPr="00EA3D06" w:rsidRDefault="00EA3D06" w:rsidP="00ED5840">
            <w:pPr>
              <w:ind w:left="93"/>
              <w:rPr>
                <w:i/>
                <w:color w:val="000000" w:themeColor="text1"/>
              </w:rPr>
            </w:pPr>
            <w:r w:rsidRPr="00EA3D06">
              <w:rPr>
                <w:i/>
                <w:color w:val="000000" w:themeColor="text1"/>
              </w:rPr>
              <w:t>(-51</w:t>
            </w:r>
            <w:r w:rsidR="00ED5840">
              <w:rPr>
                <w:i/>
                <w:color w:val="000000" w:themeColor="text1"/>
              </w:rPr>
              <w:t>57</w:t>
            </w:r>
            <w:r w:rsidRPr="00EA3D06">
              <w:rPr>
                <w:i/>
                <w:color w:val="000000" w:themeColor="text1"/>
              </w:rPr>
              <w:t>,</w:t>
            </w:r>
            <w:r w:rsidR="00ED5840">
              <w:rPr>
                <w:i/>
                <w:color w:val="000000" w:themeColor="text1"/>
              </w:rPr>
              <w:t>9 euro</w:t>
            </w:r>
            <w:r w:rsidRPr="00EA3D06">
              <w:rPr>
                <w:i/>
                <w:color w:val="000000" w:themeColor="text1"/>
              </w:rPr>
              <w:t>)</w:t>
            </w:r>
          </w:p>
        </w:tc>
        <w:tc>
          <w:tcPr>
            <w:tcW w:w="636" w:type="pct"/>
            <w:tcBorders>
              <w:top w:val="single" w:sz="4" w:space="0" w:color="auto"/>
              <w:left w:val="single" w:sz="4" w:space="0" w:color="auto"/>
              <w:bottom w:val="single" w:sz="4" w:space="0" w:color="auto"/>
              <w:right w:val="single" w:sz="4" w:space="0" w:color="auto"/>
            </w:tcBorders>
          </w:tcPr>
          <w:p w:rsidR="00F840BC" w:rsidRDefault="00F840BC" w:rsidP="00ED5840">
            <w:pPr>
              <w:pStyle w:val="ListParagraph"/>
              <w:numPr>
                <w:ilvl w:val="0"/>
                <w:numId w:val="2"/>
              </w:numPr>
              <w:ind w:left="330" w:hanging="237"/>
              <w:rPr>
                <w:color w:val="000000" w:themeColor="text1"/>
              </w:rPr>
            </w:pPr>
            <w:r w:rsidRPr="00F840BC">
              <w:rPr>
                <w:color w:val="000000" w:themeColor="text1"/>
              </w:rPr>
              <w:t>3</w:t>
            </w:r>
            <w:r w:rsidR="00EA3D06">
              <w:rPr>
                <w:color w:val="000000" w:themeColor="text1"/>
              </w:rPr>
              <w:t> </w:t>
            </w:r>
            <w:r w:rsidR="004651BC">
              <w:rPr>
                <w:color w:val="000000" w:themeColor="text1"/>
              </w:rPr>
              <w:t>6</w:t>
            </w:r>
            <w:r w:rsidR="00ED5840">
              <w:rPr>
                <w:color w:val="000000" w:themeColor="text1"/>
              </w:rPr>
              <w:t>25</w:t>
            </w:r>
          </w:p>
          <w:p w:rsidR="00EA3D06" w:rsidRPr="00EA3D06" w:rsidRDefault="00EA3D06" w:rsidP="00ED5840">
            <w:pPr>
              <w:ind w:left="93"/>
              <w:rPr>
                <w:color w:val="000000" w:themeColor="text1"/>
              </w:rPr>
            </w:pPr>
            <w:r w:rsidRPr="00EA3D06">
              <w:rPr>
                <w:i/>
                <w:color w:val="000000" w:themeColor="text1"/>
              </w:rPr>
              <w:t>(-51</w:t>
            </w:r>
            <w:r w:rsidR="00ED5840">
              <w:rPr>
                <w:i/>
                <w:color w:val="000000" w:themeColor="text1"/>
              </w:rPr>
              <w:t>57</w:t>
            </w:r>
            <w:r w:rsidRPr="00EA3D06">
              <w:rPr>
                <w:i/>
                <w:color w:val="000000" w:themeColor="text1"/>
              </w:rPr>
              <w:t>,4</w:t>
            </w:r>
            <w:r w:rsidR="00ED5840">
              <w:rPr>
                <w:i/>
                <w:color w:val="000000" w:themeColor="text1"/>
              </w:rPr>
              <w:t xml:space="preserve"> euro</w:t>
            </w:r>
            <w:r w:rsidRPr="00EA3D06">
              <w:rPr>
                <w:i/>
                <w:color w:val="000000" w:themeColor="text1"/>
              </w:rPr>
              <w:t>)</w:t>
            </w:r>
          </w:p>
        </w:tc>
      </w:tr>
      <w:tr w:rsidR="006C5509" w:rsidRPr="00C962CC" w:rsidTr="00ED5840">
        <w:tc>
          <w:tcPr>
            <w:tcW w:w="1540" w:type="pct"/>
            <w:tcBorders>
              <w:top w:val="single" w:sz="4" w:space="0" w:color="auto"/>
              <w:left w:val="single" w:sz="4" w:space="0" w:color="auto"/>
              <w:bottom w:val="single" w:sz="4" w:space="0" w:color="auto"/>
              <w:right w:val="single" w:sz="4" w:space="0" w:color="auto"/>
            </w:tcBorders>
          </w:tcPr>
          <w:p w:rsidR="006C5509" w:rsidRPr="00C962CC" w:rsidRDefault="006C5509" w:rsidP="00DE33E0">
            <w:pPr>
              <w:spacing w:before="100" w:beforeAutospacing="1" w:after="100" w:afterAutospacing="1"/>
              <w:rPr>
                <w:color w:val="000000" w:themeColor="text1"/>
              </w:rPr>
            </w:pPr>
            <w:r w:rsidRPr="00C962CC">
              <w:rPr>
                <w:color w:val="000000" w:themeColor="text1"/>
              </w:rPr>
              <w:t>2.1. valsts pamatbudžets</w:t>
            </w:r>
          </w:p>
        </w:tc>
        <w:tc>
          <w:tcPr>
            <w:tcW w:w="589" w:type="pct"/>
            <w:tcBorders>
              <w:top w:val="single" w:sz="4" w:space="0" w:color="auto"/>
              <w:left w:val="single" w:sz="4" w:space="0" w:color="auto"/>
              <w:bottom w:val="single" w:sz="4" w:space="0" w:color="auto"/>
              <w:right w:val="single" w:sz="4" w:space="0" w:color="auto"/>
            </w:tcBorders>
          </w:tcPr>
          <w:p w:rsidR="006C5509" w:rsidRPr="00C962CC" w:rsidRDefault="006C5509" w:rsidP="00DE33E0">
            <w:pPr>
              <w:spacing w:line="360" w:lineRule="auto"/>
              <w:jc w:val="center"/>
              <w:rPr>
                <w:color w:val="000000" w:themeColor="text1"/>
              </w:rPr>
            </w:pPr>
            <w:r w:rsidRPr="00C962CC">
              <w:rPr>
                <w:color w:val="000000" w:themeColor="text1"/>
              </w:rPr>
              <w:t>0.00</w:t>
            </w:r>
          </w:p>
        </w:tc>
        <w:tc>
          <w:tcPr>
            <w:tcW w:w="972" w:type="pct"/>
            <w:tcBorders>
              <w:top w:val="single" w:sz="4" w:space="0" w:color="auto"/>
              <w:left w:val="single" w:sz="4" w:space="0" w:color="auto"/>
              <w:bottom w:val="single" w:sz="4" w:space="0" w:color="auto"/>
              <w:right w:val="single" w:sz="4" w:space="0" w:color="auto"/>
            </w:tcBorders>
          </w:tcPr>
          <w:p w:rsidR="006C5509" w:rsidRPr="00C962CC" w:rsidRDefault="006C5509" w:rsidP="00DE33E0">
            <w:pPr>
              <w:spacing w:line="360" w:lineRule="auto"/>
              <w:jc w:val="center"/>
              <w:rPr>
                <w:color w:val="000000" w:themeColor="text1"/>
              </w:rPr>
            </w:pPr>
            <w:r w:rsidRPr="00C962CC">
              <w:rPr>
                <w:color w:val="000000" w:themeColor="text1"/>
              </w:rPr>
              <w:t>0</w:t>
            </w:r>
          </w:p>
        </w:tc>
        <w:tc>
          <w:tcPr>
            <w:tcW w:w="632" w:type="pct"/>
            <w:tcBorders>
              <w:top w:val="single" w:sz="4" w:space="0" w:color="auto"/>
              <w:left w:val="single" w:sz="4" w:space="0" w:color="auto"/>
              <w:bottom w:val="single" w:sz="4" w:space="0" w:color="auto"/>
              <w:right w:val="single" w:sz="4" w:space="0" w:color="auto"/>
            </w:tcBorders>
          </w:tcPr>
          <w:p w:rsidR="006C5509" w:rsidRDefault="00861BB7" w:rsidP="00ED5840">
            <w:pPr>
              <w:pStyle w:val="ListParagraph"/>
              <w:numPr>
                <w:ilvl w:val="0"/>
                <w:numId w:val="2"/>
              </w:numPr>
              <w:ind w:left="330" w:hanging="237"/>
              <w:rPr>
                <w:color w:val="000000" w:themeColor="text1"/>
              </w:rPr>
            </w:pPr>
            <w:r w:rsidRPr="00F840BC">
              <w:rPr>
                <w:color w:val="000000" w:themeColor="text1"/>
              </w:rPr>
              <w:t>2</w:t>
            </w:r>
            <w:r w:rsidR="00F767E2">
              <w:rPr>
                <w:color w:val="000000" w:themeColor="text1"/>
              </w:rPr>
              <w:t> </w:t>
            </w:r>
            <w:r w:rsidR="004651BC">
              <w:rPr>
                <w:color w:val="000000" w:themeColor="text1"/>
              </w:rPr>
              <w:t>7</w:t>
            </w:r>
            <w:r w:rsidR="00ED5840">
              <w:rPr>
                <w:color w:val="000000" w:themeColor="text1"/>
              </w:rPr>
              <w:t>20</w:t>
            </w:r>
          </w:p>
          <w:p w:rsidR="00F767E2" w:rsidRPr="00F767E2" w:rsidRDefault="00F767E2" w:rsidP="00ED5840">
            <w:pPr>
              <w:ind w:left="93"/>
              <w:rPr>
                <w:color w:val="000000" w:themeColor="text1"/>
              </w:rPr>
            </w:pPr>
            <w:r w:rsidRPr="00F767E2">
              <w:rPr>
                <w:i/>
                <w:color w:val="000000" w:themeColor="text1"/>
              </w:rPr>
              <w:t>(-38</w:t>
            </w:r>
            <w:r w:rsidR="00ED5840">
              <w:rPr>
                <w:i/>
                <w:color w:val="000000" w:themeColor="text1"/>
              </w:rPr>
              <w:t>70</w:t>
            </w:r>
            <w:r w:rsidRPr="00F767E2">
              <w:rPr>
                <w:i/>
                <w:color w:val="000000" w:themeColor="text1"/>
              </w:rPr>
              <w:t>,</w:t>
            </w:r>
            <w:r w:rsidR="00ED5840">
              <w:rPr>
                <w:i/>
                <w:color w:val="000000" w:themeColor="text1"/>
              </w:rPr>
              <w:t>2 euro</w:t>
            </w:r>
            <w:r w:rsidRPr="00F767E2">
              <w:rPr>
                <w:i/>
                <w:color w:val="000000" w:themeColor="text1"/>
              </w:rPr>
              <w:t>)</w:t>
            </w:r>
          </w:p>
        </w:tc>
        <w:tc>
          <w:tcPr>
            <w:tcW w:w="632" w:type="pct"/>
            <w:tcBorders>
              <w:top w:val="single" w:sz="4" w:space="0" w:color="auto"/>
              <w:left w:val="single" w:sz="4" w:space="0" w:color="auto"/>
              <w:bottom w:val="single" w:sz="4" w:space="0" w:color="auto"/>
              <w:right w:val="single" w:sz="4" w:space="0" w:color="auto"/>
            </w:tcBorders>
          </w:tcPr>
          <w:p w:rsidR="006C5509" w:rsidRDefault="00861BB7" w:rsidP="00ED5840">
            <w:pPr>
              <w:pStyle w:val="ListParagraph"/>
              <w:numPr>
                <w:ilvl w:val="0"/>
                <w:numId w:val="2"/>
              </w:numPr>
              <w:ind w:left="330" w:hanging="237"/>
              <w:rPr>
                <w:color w:val="000000" w:themeColor="text1"/>
              </w:rPr>
            </w:pPr>
            <w:r w:rsidRPr="00F840BC">
              <w:rPr>
                <w:color w:val="000000" w:themeColor="text1"/>
              </w:rPr>
              <w:t>3</w:t>
            </w:r>
            <w:r w:rsidR="00F767E2">
              <w:rPr>
                <w:color w:val="000000" w:themeColor="text1"/>
              </w:rPr>
              <w:t> </w:t>
            </w:r>
            <w:r w:rsidR="004651BC">
              <w:rPr>
                <w:color w:val="000000" w:themeColor="text1"/>
              </w:rPr>
              <w:t>6</w:t>
            </w:r>
            <w:r w:rsidR="00ED5840">
              <w:rPr>
                <w:color w:val="000000" w:themeColor="text1"/>
              </w:rPr>
              <w:t>25</w:t>
            </w:r>
          </w:p>
          <w:p w:rsidR="00F767E2" w:rsidRPr="00F767E2" w:rsidRDefault="00F767E2" w:rsidP="00ED5840">
            <w:pPr>
              <w:ind w:left="93"/>
              <w:rPr>
                <w:color w:val="000000" w:themeColor="text1"/>
              </w:rPr>
            </w:pPr>
            <w:r w:rsidRPr="00EA3D06">
              <w:rPr>
                <w:i/>
                <w:color w:val="000000" w:themeColor="text1"/>
              </w:rPr>
              <w:t>(-51</w:t>
            </w:r>
            <w:r w:rsidR="00ED5840">
              <w:rPr>
                <w:i/>
                <w:color w:val="000000" w:themeColor="text1"/>
              </w:rPr>
              <w:t>57</w:t>
            </w:r>
            <w:r w:rsidRPr="00EA3D06">
              <w:rPr>
                <w:i/>
                <w:color w:val="000000" w:themeColor="text1"/>
              </w:rPr>
              <w:t>,</w:t>
            </w:r>
            <w:r w:rsidR="00ED5840">
              <w:rPr>
                <w:i/>
                <w:color w:val="000000" w:themeColor="text1"/>
              </w:rPr>
              <w:t>9 euro</w:t>
            </w:r>
            <w:r w:rsidRPr="00EA3D06">
              <w:rPr>
                <w:i/>
                <w:color w:val="000000" w:themeColor="text1"/>
              </w:rPr>
              <w:t>)</w:t>
            </w:r>
          </w:p>
        </w:tc>
        <w:tc>
          <w:tcPr>
            <w:tcW w:w="636" w:type="pct"/>
            <w:tcBorders>
              <w:top w:val="single" w:sz="4" w:space="0" w:color="auto"/>
              <w:left w:val="single" w:sz="4" w:space="0" w:color="auto"/>
              <w:bottom w:val="single" w:sz="4" w:space="0" w:color="auto"/>
              <w:right w:val="single" w:sz="4" w:space="0" w:color="auto"/>
            </w:tcBorders>
          </w:tcPr>
          <w:p w:rsidR="006C5509" w:rsidRDefault="00861BB7" w:rsidP="00ED5840">
            <w:pPr>
              <w:pStyle w:val="ListParagraph"/>
              <w:numPr>
                <w:ilvl w:val="0"/>
                <w:numId w:val="2"/>
              </w:numPr>
              <w:ind w:left="330" w:hanging="237"/>
              <w:rPr>
                <w:color w:val="000000" w:themeColor="text1"/>
              </w:rPr>
            </w:pPr>
            <w:r w:rsidRPr="00F840BC">
              <w:rPr>
                <w:color w:val="000000" w:themeColor="text1"/>
              </w:rPr>
              <w:t>3</w:t>
            </w:r>
            <w:r w:rsidR="00F767E2">
              <w:rPr>
                <w:color w:val="000000" w:themeColor="text1"/>
              </w:rPr>
              <w:t> </w:t>
            </w:r>
            <w:r w:rsidR="004651BC">
              <w:rPr>
                <w:color w:val="000000" w:themeColor="text1"/>
              </w:rPr>
              <w:t>6</w:t>
            </w:r>
            <w:r w:rsidR="00ED5840">
              <w:rPr>
                <w:color w:val="000000" w:themeColor="text1"/>
              </w:rPr>
              <w:t>25</w:t>
            </w:r>
          </w:p>
          <w:p w:rsidR="00F767E2" w:rsidRPr="00F767E2" w:rsidRDefault="00F767E2" w:rsidP="00ED5840">
            <w:pPr>
              <w:ind w:left="93"/>
              <w:rPr>
                <w:color w:val="000000" w:themeColor="text1"/>
              </w:rPr>
            </w:pPr>
            <w:r w:rsidRPr="00EA3D06">
              <w:rPr>
                <w:i/>
                <w:color w:val="000000" w:themeColor="text1"/>
              </w:rPr>
              <w:t>(-51</w:t>
            </w:r>
            <w:r w:rsidR="00ED5840">
              <w:rPr>
                <w:i/>
                <w:color w:val="000000" w:themeColor="text1"/>
              </w:rPr>
              <w:t>57</w:t>
            </w:r>
            <w:r w:rsidRPr="00EA3D06">
              <w:rPr>
                <w:i/>
                <w:color w:val="000000" w:themeColor="text1"/>
              </w:rPr>
              <w:t>,4</w:t>
            </w:r>
            <w:r w:rsidR="00ED5840">
              <w:rPr>
                <w:i/>
                <w:color w:val="000000" w:themeColor="text1"/>
              </w:rPr>
              <w:t xml:space="preserve"> euro</w:t>
            </w:r>
            <w:r w:rsidRPr="00EA3D06">
              <w:rPr>
                <w:i/>
                <w:color w:val="000000" w:themeColor="text1"/>
              </w:rPr>
              <w:t>)</w:t>
            </w:r>
          </w:p>
        </w:tc>
      </w:tr>
      <w:tr w:rsidR="00C962CC" w:rsidRPr="00C962CC" w:rsidTr="00ED5840">
        <w:tc>
          <w:tcPr>
            <w:tcW w:w="1540"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before="100" w:beforeAutospacing="1" w:after="100" w:afterAutospacing="1"/>
              <w:rPr>
                <w:color w:val="000000" w:themeColor="text1"/>
              </w:rPr>
            </w:pPr>
            <w:r w:rsidRPr="00C962CC">
              <w:rPr>
                <w:color w:val="000000" w:themeColor="text1"/>
              </w:rPr>
              <w:t>2.2. valsts speciālais budžets</w:t>
            </w:r>
          </w:p>
        </w:tc>
        <w:tc>
          <w:tcPr>
            <w:tcW w:w="589"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p>
        </w:tc>
        <w:tc>
          <w:tcPr>
            <w:tcW w:w="97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rPr>
                <w:color w:val="000000" w:themeColor="text1"/>
              </w:rPr>
            </w:pPr>
          </w:p>
        </w:tc>
        <w:tc>
          <w:tcPr>
            <w:tcW w:w="636"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rPr>
                <w:color w:val="000000" w:themeColor="text1"/>
              </w:rPr>
            </w:pPr>
          </w:p>
        </w:tc>
      </w:tr>
      <w:tr w:rsidR="00C962CC" w:rsidRPr="00C962CC" w:rsidTr="00ED5840">
        <w:tc>
          <w:tcPr>
            <w:tcW w:w="1540"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before="100" w:beforeAutospacing="1" w:after="100" w:afterAutospacing="1"/>
              <w:rPr>
                <w:color w:val="000000" w:themeColor="text1"/>
              </w:rPr>
            </w:pPr>
            <w:r w:rsidRPr="00C962CC">
              <w:rPr>
                <w:color w:val="000000" w:themeColor="text1"/>
              </w:rPr>
              <w:t>2.3. pašvaldību budžets</w:t>
            </w:r>
          </w:p>
        </w:tc>
        <w:tc>
          <w:tcPr>
            <w:tcW w:w="589"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p>
        </w:tc>
        <w:tc>
          <w:tcPr>
            <w:tcW w:w="97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rPr>
                <w:color w:val="000000" w:themeColor="text1"/>
              </w:rPr>
            </w:pPr>
          </w:p>
        </w:tc>
        <w:tc>
          <w:tcPr>
            <w:tcW w:w="636"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rPr>
                <w:color w:val="000000" w:themeColor="text1"/>
              </w:rPr>
            </w:pPr>
          </w:p>
        </w:tc>
      </w:tr>
      <w:tr w:rsidR="00C962CC" w:rsidRPr="00C962CC" w:rsidTr="00ED5840">
        <w:tc>
          <w:tcPr>
            <w:tcW w:w="1540" w:type="pct"/>
            <w:tcBorders>
              <w:top w:val="single" w:sz="4" w:space="0" w:color="auto"/>
              <w:left w:val="single" w:sz="4" w:space="0" w:color="auto"/>
              <w:bottom w:val="single" w:sz="4" w:space="0" w:color="auto"/>
              <w:right w:val="single" w:sz="4" w:space="0" w:color="auto"/>
            </w:tcBorders>
          </w:tcPr>
          <w:p w:rsidR="00CB1AD2" w:rsidRPr="00C962CC" w:rsidRDefault="00CB1AD2" w:rsidP="00DE33E0">
            <w:pPr>
              <w:spacing w:before="100" w:beforeAutospacing="1" w:after="100" w:afterAutospacing="1"/>
              <w:rPr>
                <w:color w:val="000000" w:themeColor="text1"/>
              </w:rPr>
            </w:pPr>
            <w:r w:rsidRPr="00C962CC">
              <w:rPr>
                <w:color w:val="000000" w:themeColor="text1"/>
              </w:rPr>
              <w:t>3. Finansiālā ietekme:</w:t>
            </w:r>
          </w:p>
        </w:tc>
        <w:tc>
          <w:tcPr>
            <w:tcW w:w="589" w:type="pct"/>
            <w:tcBorders>
              <w:top w:val="single" w:sz="4" w:space="0" w:color="auto"/>
              <w:left w:val="single" w:sz="4" w:space="0" w:color="auto"/>
              <w:bottom w:val="single" w:sz="4" w:space="0" w:color="auto"/>
              <w:right w:val="single" w:sz="4" w:space="0" w:color="auto"/>
            </w:tcBorders>
            <w:vAlign w:val="center"/>
          </w:tcPr>
          <w:p w:rsidR="00CB1AD2" w:rsidRPr="00C962CC" w:rsidRDefault="00CB1AD2" w:rsidP="00DE33E0">
            <w:pPr>
              <w:spacing w:line="360" w:lineRule="auto"/>
              <w:jc w:val="center"/>
              <w:rPr>
                <w:color w:val="000000" w:themeColor="text1"/>
              </w:rPr>
            </w:pPr>
            <w:r w:rsidRPr="00C962CC">
              <w:rPr>
                <w:color w:val="000000" w:themeColor="text1"/>
              </w:rPr>
              <w:t>0.00</w:t>
            </w:r>
          </w:p>
        </w:tc>
        <w:tc>
          <w:tcPr>
            <w:tcW w:w="972" w:type="pct"/>
            <w:tcBorders>
              <w:top w:val="single" w:sz="4" w:space="0" w:color="auto"/>
              <w:left w:val="single" w:sz="4" w:space="0" w:color="auto"/>
              <w:bottom w:val="single" w:sz="4" w:space="0" w:color="auto"/>
              <w:right w:val="single" w:sz="4" w:space="0" w:color="auto"/>
            </w:tcBorders>
          </w:tcPr>
          <w:p w:rsidR="00CB1AD2" w:rsidRPr="00C962CC" w:rsidRDefault="00CB1AD2" w:rsidP="00DE33E0">
            <w:pPr>
              <w:spacing w:line="360" w:lineRule="auto"/>
              <w:jc w:val="center"/>
              <w:rPr>
                <w:color w:val="000000" w:themeColor="text1"/>
              </w:rPr>
            </w:pPr>
            <w:r w:rsidRPr="00C962CC">
              <w:rPr>
                <w:color w:val="000000" w:themeColor="text1"/>
              </w:rPr>
              <w:t>0</w:t>
            </w:r>
          </w:p>
        </w:tc>
        <w:tc>
          <w:tcPr>
            <w:tcW w:w="632" w:type="pct"/>
            <w:tcBorders>
              <w:top w:val="single" w:sz="4" w:space="0" w:color="auto"/>
              <w:left w:val="single" w:sz="4" w:space="0" w:color="auto"/>
              <w:bottom w:val="single" w:sz="4" w:space="0" w:color="auto"/>
              <w:right w:val="single" w:sz="4" w:space="0" w:color="auto"/>
            </w:tcBorders>
          </w:tcPr>
          <w:p w:rsidR="00CB1AD2" w:rsidRPr="00C962CC" w:rsidRDefault="00CB1AD2" w:rsidP="00F8684B">
            <w:pPr>
              <w:spacing w:line="360" w:lineRule="auto"/>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CB1AD2" w:rsidRPr="00C962CC" w:rsidRDefault="00CB1AD2" w:rsidP="00F8684B">
            <w:pPr>
              <w:spacing w:line="360" w:lineRule="auto"/>
              <w:jc w:val="center"/>
              <w:rPr>
                <w:color w:val="000000" w:themeColor="text1"/>
              </w:rPr>
            </w:pPr>
          </w:p>
        </w:tc>
        <w:tc>
          <w:tcPr>
            <w:tcW w:w="636" w:type="pct"/>
            <w:tcBorders>
              <w:top w:val="single" w:sz="4" w:space="0" w:color="auto"/>
              <w:left w:val="single" w:sz="4" w:space="0" w:color="auto"/>
              <w:bottom w:val="single" w:sz="4" w:space="0" w:color="auto"/>
              <w:right w:val="single" w:sz="4" w:space="0" w:color="auto"/>
            </w:tcBorders>
          </w:tcPr>
          <w:p w:rsidR="00CB1AD2" w:rsidRPr="00C962CC" w:rsidRDefault="00CB1AD2" w:rsidP="00F8684B">
            <w:pPr>
              <w:spacing w:line="360" w:lineRule="auto"/>
              <w:jc w:val="center"/>
              <w:rPr>
                <w:color w:val="000000" w:themeColor="text1"/>
              </w:rPr>
            </w:pPr>
          </w:p>
        </w:tc>
      </w:tr>
      <w:tr w:rsidR="00C962CC" w:rsidRPr="00C962CC" w:rsidTr="00ED5840">
        <w:tc>
          <w:tcPr>
            <w:tcW w:w="1540" w:type="pct"/>
            <w:tcBorders>
              <w:top w:val="single" w:sz="4" w:space="0" w:color="auto"/>
              <w:left w:val="single" w:sz="4" w:space="0" w:color="auto"/>
              <w:bottom w:val="single" w:sz="4" w:space="0" w:color="auto"/>
              <w:right w:val="single" w:sz="4" w:space="0" w:color="auto"/>
            </w:tcBorders>
          </w:tcPr>
          <w:p w:rsidR="00CB1AD2" w:rsidRPr="00C962CC" w:rsidRDefault="00CB1AD2" w:rsidP="00DE33E0">
            <w:pPr>
              <w:spacing w:before="100" w:beforeAutospacing="1" w:after="100" w:afterAutospacing="1"/>
              <w:rPr>
                <w:color w:val="000000" w:themeColor="text1"/>
              </w:rPr>
            </w:pPr>
            <w:r w:rsidRPr="00C962CC">
              <w:rPr>
                <w:color w:val="000000" w:themeColor="text1"/>
              </w:rPr>
              <w:t>3.1. valsts pamatbudžets</w:t>
            </w:r>
          </w:p>
        </w:tc>
        <w:tc>
          <w:tcPr>
            <w:tcW w:w="589" w:type="pct"/>
            <w:tcBorders>
              <w:top w:val="single" w:sz="4" w:space="0" w:color="auto"/>
              <w:left w:val="single" w:sz="4" w:space="0" w:color="auto"/>
              <w:bottom w:val="single" w:sz="4" w:space="0" w:color="auto"/>
              <w:right w:val="single" w:sz="4" w:space="0" w:color="auto"/>
            </w:tcBorders>
          </w:tcPr>
          <w:p w:rsidR="00CB1AD2" w:rsidRPr="00C962CC" w:rsidRDefault="00CB1AD2" w:rsidP="00DE33E0">
            <w:pPr>
              <w:spacing w:line="360" w:lineRule="auto"/>
              <w:jc w:val="center"/>
              <w:rPr>
                <w:color w:val="000000" w:themeColor="text1"/>
              </w:rPr>
            </w:pPr>
            <w:r w:rsidRPr="00C962CC">
              <w:rPr>
                <w:color w:val="000000" w:themeColor="text1"/>
              </w:rPr>
              <w:t>0.00</w:t>
            </w:r>
          </w:p>
        </w:tc>
        <w:tc>
          <w:tcPr>
            <w:tcW w:w="972" w:type="pct"/>
            <w:tcBorders>
              <w:top w:val="single" w:sz="4" w:space="0" w:color="auto"/>
              <w:left w:val="single" w:sz="4" w:space="0" w:color="auto"/>
              <w:bottom w:val="single" w:sz="4" w:space="0" w:color="auto"/>
              <w:right w:val="single" w:sz="4" w:space="0" w:color="auto"/>
            </w:tcBorders>
          </w:tcPr>
          <w:p w:rsidR="00CB1AD2" w:rsidRPr="00C962CC" w:rsidRDefault="00CB1AD2" w:rsidP="00DE33E0">
            <w:pPr>
              <w:spacing w:line="360" w:lineRule="auto"/>
              <w:jc w:val="center"/>
              <w:rPr>
                <w:color w:val="000000" w:themeColor="text1"/>
              </w:rPr>
            </w:pPr>
            <w:r w:rsidRPr="00C962CC">
              <w:rPr>
                <w:color w:val="000000" w:themeColor="text1"/>
              </w:rPr>
              <w:t>0</w:t>
            </w:r>
          </w:p>
        </w:tc>
        <w:tc>
          <w:tcPr>
            <w:tcW w:w="632" w:type="pct"/>
            <w:tcBorders>
              <w:top w:val="single" w:sz="4" w:space="0" w:color="auto"/>
              <w:left w:val="single" w:sz="4" w:space="0" w:color="auto"/>
              <w:bottom w:val="single" w:sz="4" w:space="0" w:color="auto"/>
              <w:right w:val="single" w:sz="4" w:space="0" w:color="auto"/>
            </w:tcBorders>
          </w:tcPr>
          <w:p w:rsidR="00CB1AD2" w:rsidRPr="00C962CC" w:rsidRDefault="00CB1AD2" w:rsidP="00F8684B">
            <w:pPr>
              <w:spacing w:line="360" w:lineRule="auto"/>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CB1AD2" w:rsidRPr="00C962CC" w:rsidRDefault="00CB1AD2" w:rsidP="00F8684B">
            <w:pPr>
              <w:spacing w:line="360" w:lineRule="auto"/>
              <w:jc w:val="center"/>
              <w:rPr>
                <w:color w:val="000000" w:themeColor="text1"/>
              </w:rPr>
            </w:pPr>
          </w:p>
        </w:tc>
        <w:tc>
          <w:tcPr>
            <w:tcW w:w="636" w:type="pct"/>
            <w:tcBorders>
              <w:top w:val="single" w:sz="4" w:space="0" w:color="auto"/>
              <w:left w:val="single" w:sz="4" w:space="0" w:color="auto"/>
              <w:bottom w:val="single" w:sz="4" w:space="0" w:color="auto"/>
              <w:right w:val="single" w:sz="4" w:space="0" w:color="auto"/>
            </w:tcBorders>
          </w:tcPr>
          <w:p w:rsidR="00CB1AD2" w:rsidRPr="00C962CC" w:rsidRDefault="00CB1AD2" w:rsidP="00F8684B">
            <w:pPr>
              <w:spacing w:line="360" w:lineRule="auto"/>
              <w:jc w:val="center"/>
              <w:rPr>
                <w:color w:val="000000" w:themeColor="text1"/>
              </w:rPr>
            </w:pPr>
          </w:p>
        </w:tc>
      </w:tr>
      <w:tr w:rsidR="00C962CC" w:rsidRPr="00C962CC" w:rsidTr="00ED5840">
        <w:tc>
          <w:tcPr>
            <w:tcW w:w="1540"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before="100" w:beforeAutospacing="1" w:after="100" w:afterAutospacing="1"/>
              <w:rPr>
                <w:color w:val="000000" w:themeColor="text1"/>
              </w:rPr>
            </w:pPr>
            <w:r w:rsidRPr="00C962CC">
              <w:rPr>
                <w:color w:val="000000" w:themeColor="text1"/>
              </w:rPr>
              <w:t>3.2. speciālais budžets</w:t>
            </w:r>
          </w:p>
        </w:tc>
        <w:tc>
          <w:tcPr>
            <w:tcW w:w="589"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r w:rsidRPr="00C962CC">
              <w:rPr>
                <w:color w:val="000000" w:themeColor="text1"/>
              </w:rPr>
              <w:t>0</w:t>
            </w:r>
          </w:p>
        </w:tc>
        <w:tc>
          <w:tcPr>
            <w:tcW w:w="97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r w:rsidRPr="00C962CC">
              <w:rPr>
                <w:color w:val="000000" w:themeColor="text1"/>
              </w:rPr>
              <w:t>0</w:t>
            </w:r>
          </w:p>
        </w:tc>
        <w:tc>
          <w:tcPr>
            <w:tcW w:w="63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r w:rsidRPr="00C962CC">
              <w:rPr>
                <w:color w:val="000000" w:themeColor="text1"/>
              </w:rPr>
              <w:t>0</w:t>
            </w:r>
          </w:p>
        </w:tc>
        <w:tc>
          <w:tcPr>
            <w:tcW w:w="63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r w:rsidRPr="00C962CC">
              <w:rPr>
                <w:color w:val="000000" w:themeColor="text1"/>
              </w:rPr>
              <w:t>0</w:t>
            </w:r>
          </w:p>
        </w:tc>
        <w:tc>
          <w:tcPr>
            <w:tcW w:w="636"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r w:rsidRPr="00C962CC">
              <w:rPr>
                <w:color w:val="000000" w:themeColor="text1"/>
              </w:rPr>
              <w:t>0</w:t>
            </w:r>
          </w:p>
        </w:tc>
      </w:tr>
      <w:tr w:rsidR="00C962CC" w:rsidRPr="00C962CC" w:rsidTr="00ED5840">
        <w:tc>
          <w:tcPr>
            <w:tcW w:w="1540"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before="100" w:beforeAutospacing="1" w:after="100" w:afterAutospacing="1"/>
              <w:rPr>
                <w:color w:val="000000" w:themeColor="text1"/>
              </w:rPr>
            </w:pPr>
            <w:r w:rsidRPr="00C962CC">
              <w:rPr>
                <w:color w:val="000000" w:themeColor="text1"/>
              </w:rPr>
              <w:t>3.3. pašvaldību budžets</w:t>
            </w:r>
          </w:p>
        </w:tc>
        <w:tc>
          <w:tcPr>
            <w:tcW w:w="589"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r w:rsidRPr="00C962CC">
              <w:rPr>
                <w:color w:val="000000" w:themeColor="text1"/>
              </w:rPr>
              <w:t>0</w:t>
            </w:r>
          </w:p>
        </w:tc>
        <w:tc>
          <w:tcPr>
            <w:tcW w:w="97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r w:rsidRPr="00C962CC">
              <w:rPr>
                <w:color w:val="000000" w:themeColor="text1"/>
              </w:rPr>
              <w:t>0</w:t>
            </w:r>
          </w:p>
        </w:tc>
        <w:tc>
          <w:tcPr>
            <w:tcW w:w="63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r w:rsidRPr="00C962CC">
              <w:rPr>
                <w:color w:val="000000" w:themeColor="text1"/>
              </w:rPr>
              <w:t>0</w:t>
            </w:r>
          </w:p>
        </w:tc>
        <w:tc>
          <w:tcPr>
            <w:tcW w:w="632"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r w:rsidRPr="00C962CC">
              <w:rPr>
                <w:color w:val="000000" w:themeColor="text1"/>
              </w:rPr>
              <w:t>0</w:t>
            </w:r>
          </w:p>
        </w:tc>
        <w:tc>
          <w:tcPr>
            <w:tcW w:w="636" w:type="pct"/>
            <w:tcBorders>
              <w:top w:val="single" w:sz="4" w:space="0" w:color="auto"/>
              <w:left w:val="single" w:sz="4" w:space="0" w:color="auto"/>
              <w:bottom w:val="single" w:sz="4" w:space="0" w:color="auto"/>
              <w:right w:val="single" w:sz="4" w:space="0" w:color="auto"/>
            </w:tcBorders>
          </w:tcPr>
          <w:p w:rsidR="00802846" w:rsidRPr="00C962CC" w:rsidRDefault="00802846" w:rsidP="00DE33E0">
            <w:pPr>
              <w:spacing w:line="360" w:lineRule="auto"/>
              <w:jc w:val="center"/>
              <w:rPr>
                <w:color w:val="000000" w:themeColor="text1"/>
              </w:rPr>
            </w:pPr>
            <w:r w:rsidRPr="00C962CC">
              <w:rPr>
                <w:color w:val="000000" w:themeColor="text1"/>
              </w:rPr>
              <w:t>0</w:t>
            </w:r>
          </w:p>
        </w:tc>
      </w:tr>
      <w:tr w:rsidR="00C962CC" w:rsidRPr="00C962CC" w:rsidTr="00ED5840">
        <w:tc>
          <w:tcPr>
            <w:tcW w:w="1540" w:type="pct"/>
            <w:tcBorders>
              <w:top w:val="single" w:sz="4" w:space="0" w:color="auto"/>
              <w:left w:val="single" w:sz="4" w:space="0" w:color="auto"/>
              <w:bottom w:val="single" w:sz="4" w:space="0" w:color="auto"/>
              <w:right w:val="single" w:sz="4" w:space="0" w:color="auto"/>
            </w:tcBorders>
          </w:tcPr>
          <w:p w:rsidR="00802846" w:rsidRPr="002E420C" w:rsidRDefault="00802846" w:rsidP="002E420C">
            <w:pPr>
              <w:jc w:val="both"/>
              <w:rPr>
                <w:color w:val="000000" w:themeColor="text1"/>
              </w:rPr>
            </w:pPr>
            <w:r w:rsidRPr="002E420C">
              <w:rPr>
                <w:color w:val="000000" w:themeColor="text1"/>
              </w:rPr>
              <w:t xml:space="preserve">4. </w:t>
            </w:r>
            <w:r w:rsidR="002E420C" w:rsidRPr="002E420C">
              <w:rPr>
                <w:color w:val="000000" w:themeColor="text1"/>
              </w:rPr>
              <w:t>Finanšu līdzekļi papildu izde</w:t>
            </w:r>
            <w:r w:rsidR="002E420C" w:rsidRPr="002E420C">
              <w:rPr>
                <w:color w:val="000000" w:themeColor="text1"/>
              </w:rPr>
              <w:softHyphen/>
              <w:t>vumu finansēšanai (kompensējošu izdevumu samazinājumu norāda ar "+" zīmi)</w:t>
            </w:r>
          </w:p>
        </w:tc>
        <w:tc>
          <w:tcPr>
            <w:tcW w:w="589" w:type="pct"/>
            <w:tcBorders>
              <w:top w:val="single" w:sz="4" w:space="0" w:color="auto"/>
              <w:left w:val="single" w:sz="4" w:space="0" w:color="auto"/>
              <w:bottom w:val="single" w:sz="4" w:space="0" w:color="auto"/>
              <w:right w:val="single" w:sz="4" w:space="0" w:color="auto"/>
            </w:tcBorders>
          </w:tcPr>
          <w:p w:rsidR="00802846" w:rsidRPr="002E420C" w:rsidRDefault="00802846" w:rsidP="002E420C">
            <w:pPr>
              <w:jc w:val="center"/>
              <w:rPr>
                <w:color w:val="000000" w:themeColor="text1"/>
              </w:rPr>
            </w:pPr>
            <w:r w:rsidRPr="002E420C">
              <w:rPr>
                <w:color w:val="000000" w:themeColor="text1"/>
              </w:rPr>
              <w:t>0</w:t>
            </w:r>
          </w:p>
        </w:tc>
        <w:tc>
          <w:tcPr>
            <w:tcW w:w="972" w:type="pct"/>
            <w:tcBorders>
              <w:top w:val="single" w:sz="4" w:space="0" w:color="auto"/>
              <w:left w:val="single" w:sz="4" w:space="0" w:color="auto"/>
              <w:bottom w:val="single" w:sz="4" w:space="0" w:color="auto"/>
              <w:right w:val="single" w:sz="4" w:space="0" w:color="auto"/>
            </w:tcBorders>
          </w:tcPr>
          <w:p w:rsidR="00802846" w:rsidRPr="002E420C" w:rsidRDefault="00802846" w:rsidP="002E420C">
            <w:pPr>
              <w:jc w:val="center"/>
              <w:rPr>
                <w:color w:val="000000" w:themeColor="text1"/>
              </w:rPr>
            </w:pPr>
            <w:r w:rsidRPr="002E420C">
              <w:rPr>
                <w:color w:val="000000" w:themeColor="text1"/>
              </w:rPr>
              <w:t>0</w:t>
            </w:r>
          </w:p>
        </w:tc>
        <w:tc>
          <w:tcPr>
            <w:tcW w:w="632" w:type="pct"/>
            <w:tcBorders>
              <w:top w:val="single" w:sz="4" w:space="0" w:color="auto"/>
              <w:left w:val="single" w:sz="4" w:space="0" w:color="auto"/>
              <w:bottom w:val="single" w:sz="4" w:space="0" w:color="auto"/>
              <w:right w:val="single" w:sz="4" w:space="0" w:color="auto"/>
            </w:tcBorders>
          </w:tcPr>
          <w:p w:rsidR="00802846" w:rsidRPr="002E420C" w:rsidRDefault="00802846" w:rsidP="002E420C">
            <w:pPr>
              <w:jc w:val="center"/>
              <w:rPr>
                <w:color w:val="000000" w:themeColor="text1"/>
              </w:rPr>
            </w:pPr>
            <w:r w:rsidRPr="002E420C">
              <w:rPr>
                <w:color w:val="000000" w:themeColor="text1"/>
              </w:rPr>
              <w:t>0</w:t>
            </w:r>
          </w:p>
        </w:tc>
        <w:tc>
          <w:tcPr>
            <w:tcW w:w="632" w:type="pct"/>
            <w:tcBorders>
              <w:top w:val="single" w:sz="4" w:space="0" w:color="auto"/>
              <w:left w:val="single" w:sz="4" w:space="0" w:color="auto"/>
              <w:bottom w:val="single" w:sz="4" w:space="0" w:color="auto"/>
              <w:right w:val="single" w:sz="4" w:space="0" w:color="auto"/>
            </w:tcBorders>
          </w:tcPr>
          <w:p w:rsidR="00802846" w:rsidRPr="002E420C" w:rsidRDefault="00802846" w:rsidP="002E420C">
            <w:pPr>
              <w:jc w:val="center"/>
              <w:rPr>
                <w:color w:val="000000" w:themeColor="text1"/>
              </w:rPr>
            </w:pPr>
            <w:r w:rsidRPr="002E420C">
              <w:rPr>
                <w:color w:val="000000" w:themeColor="text1"/>
              </w:rPr>
              <w:t>0</w:t>
            </w:r>
          </w:p>
        </w:tc>
        <w:tc>
          <w:tcPr>
            <w:tcW w:w="636" w:type="pct"/>
            <w:tcBorders>
              <w:top w:val="single" w:sz="4" w:space="0" w:color="auto"/>
              <w:left w:val="single" w:sz="4" w:space="0" w:color="auto"/>
              <w:bottom w:val="single" w:sz="4" w:space="0" w:color="auto"/>
              <w:right w:val="single" w:sz="4" w:space="0" w:color="auto"/>
            </w:tcBorders>
          </w:tcPr>
          <w:p w:rsidR="00802846" w:rsidRPr="002E420C" w:rsidRDefault="00802846" w:rsidP="002E420C">
            <w:pPr>
              <w:jc w:val="center"/>
              <w:rPr>
                <w:color w:val="000000" w:themeColor="text1"/>
              </w:rPr>
            </w:pPr>
            <w:r w:rsidRPr="002E420C">
              <w:rPr>
                <w:color w:val="000000" w:themeColor="text1"/>
              </w:rPr>
              <w:t>0</w:t>
            </w:r>
          </w:p>
        </w:tc>
      </w:tr>
      <w:tr w:rsidR="00F00FC8" w:rsidRPr="00C962CC" w:rsidTr="00ED5840">
        <w:tc>
          <w:tcPr>
            <w:tcW w:w="1540" w:type="pct"/>
            <w:tcBorders>
              <w:top w:val="single" w:sz="4" w:space="0" w:color="auto"/>
              <w:left w:val="single" w:sz="4" w:space="0" w:color="auto"/>
              <w:bottom w:val="single" w:sz="4" w:space="0" w:color="auto"/>
              <w:right w:val="single" w:sz="4" w:space="0" w:color="auto"/>
            </w:tcBorders>
          </w:tcPr>
          <w:p w:rsidR="00F00FC8" w:rsidRPr="002E420C" w:rsidRDefault="00F00FC8" w:rsidP="002E420C">
            <w:pPr>
              <w:jc w:val="both"/>
              <w:rPr>
                <w:color w:val="000000" w:themeColor="text1"/>
              </w:rPr>
            </w:pPr>
            <w:r w:rsidRPr="002E420C">
              <w:rPr>
                <w:color w:val="000000" w:themeColor="text1"/>
              </w:rPr>
              <w:t>5. Precizēta finansiālā ietekme:</w:t>
            </w:r>
          </w:p>
        </w:tc>
        <w:tc>
          <w:tcPr>
            <w:tcW w:w="589" w:type="pct"/>
            <w:tcBorders>
              <w:top w:val="single" w:sz="4" w:space="0" w:color="auto"/>
              <w:left w:val="single" w:sz="4" w:space="0" w:color="auto"/>
              <w:bottom w:val="single" w:sz="4" w:space="0" w:color="auto"/>
              <w:right w:val="single" w:sz="4" w:space="0" w:color="auto"/>
            </w:tcBorders>
          </w:tcPr>
          <w:p w:rsidR="00F00FC8" w:rsidRPr="002E420C" w:rsidRDefault="00F00FC8" w:rsidP="002E420C">
            <w:pPr>
              <w:jc w:val="center"/>
              <w:rPr>
                <w:color w:val="000000" w:themeColor="text1"/>
              </w:rPr>
            </w:pPr>
          </w:p>
        </w:tc>
        <w:tc>
          <w:tcPr>
            <w:tcW w:w="972" w:type="pct"/>
            <w:tcBorders>
              <w:top w:val="single" w:sz="4" w:space="0" w:color="auto"/>
              <w:left w:val="single" w:sz="4" w:space="0" w:color="auto"/>
              <w:bottom w:val="single" w:sz="4" w:space="0" w:color="auto"/>
              <w:right w:val="single" w:sz="4" w:space="0" w:color="auto"/>
            </w:tcBorders>
          </w:tcPr>
          <w:p w:rsidR="00F00FC8" w:rsidRPr="002E420C" w:rsidRDefault="00F00FC8" w:rsidP="002E420C">
            <w:pPr>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F00FC8" w:rsidRPr="002E420C" w:rsidRDefault="00F00FC8" w:rsidP="002E420C">
            <w:pPr>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F00FC8" w:rsidRPr="002E420C" w:rsidRDefault="00F00FC8" w:rsidP="002E420C">
            <w:pPr>
              <w:jc w:val="center"/>
              <w:rPr>
                <w:color w:val="000000" w:themeColor="text1"/>
              </w:rPr>
            </w:pPr>
          </w:p>
        </w:tc>
        <w:tc>
          <w:tcPr>
            <w:tcW w:w="636" w:type="pct"/>
            <w:tcBorders>
              <w:top w:val="single" w:sz="4" w:space="0" w:color="auto"/>
              <w:left w:val="single" w:sz="4" w:space="0" w:color="auto"/>
              <w:bottom w:val="single" w:sz="4" w:space="0" w:color="auto"/>
              <w:right w:val="single" w:sz="4" w:space="0" w:color="auto"/>
            </w:tcBorders>
          </w:tcPr>
          <w:p w:rsidR="00F00FC8" w:rsidRPr="002E420C" w:rsidRDefault="00F00FC8" w:rsidP="002E420C">
            <w:pPr>
              <w:jc w:val="center"/>
              <w:rPr>
                <w:color w:val="000000" w:themeColor="text1"/>
              </w:rPr>
            </w:pPr>
          </w:p>
        </w:tc>
      </w:tr>
      <w:tr w:rsidR="00F00FC8" w:rsidRPr="00C962CC" w:rsidTr="00ED5840">
        <w:tc>
          <w:tcPr>
            <w:tcW w:w="1540" w:type="pct"/>
            <w:tcBorders>
              <w:top w:val="single" w:sz="4" w:space="0" w:color="auto"/>
              <w:left w:val="single" w:sz="4" w:space="0" w:color="auto"/>
              <w:bottom w:val="single" w:sz="4" w:space="0" w:color="auto"/>
              <w:right w:val="single" w:sz="4" w:space="0" w:color="auto"/>
            </w:tcBorders>
          </w:tcPr>
          <w:p w:rsidR="00F00FC8" w:rsidRPr="002E420C" w:rsidRDefault="00F00FC8" w:rsidP="002E420C">
            <w:pPr>
              <w:jc w:val="both"/>
              <w:rPr>
                <w:color w:val="000000" w:themeColor="text1"/>
              </w:rPr>
            </w:pPr>
            <w:r w:rsidRPr="002E420C">
              <w:rPr>
                <w:color w:val="000000" w:themeColor="text1"/>
              </w:rPr>
              <w:t>5.1. valsts pamatbudžets</w:t>
            </w:r>
          </w:p>
        </w:tc>
        <w:tc>
          <w:tcPr>
            <w:tcW w:w="589" w:type="pct"/>
            <w:tcBorders>
              <w:top w:val="single" w:sz="4" w:space="0" w:color="auto"/>
              <w:left w:val="single" w:sz="4" w:space="0" w:color="auto"/>
              <w:bottom w:val="single" w:sz="4" w:space="0" w:color="auto"/>
              <w:right w:val="single" w:sz="4" w:space="0" w:color="auto"/>
            </w:tcBorders>
          </w:tcPr>
          <w:p w:rsidR="00F00FC8" w:rsidRPr="002E420C" w:rsidRDefault="00F00FC8" w:rsidP="002E420C">
            <w:pPr>
              <w:jc w:val="center"/>
              <w:rPr>
                <w:color w:val="000000" w:themeColor="text1"/>
              </w:rPr>
            </w:pPr>
          </w:p>
        </w:tc>
        <w:tc>
          <w:tcPr>
            <w:tcW w:w="972" w:type="pct"/>
            <w:tcBorders>
              <w:top w:val="single" w:sz="4" w:space="0" w:color="auto"/>
              <w:left w:val="single" w:sz="4" w:space="0" w:color="auto"/>
              <w:bottom w:val="single" w:sz="4" w:space="0" w:color="auto"/>
              <w:right w:val="single" w:sz="4" w:space="0" w:color="auto"/>
            </w:tcBorders>
          </w:tcPr>
          <w:p w:rsidR="00F00FC8" w:rsidRPr="002E420C" w:rsidRDefault="00F00FC8" w:rsidP="002E420C">
            <w:pPr>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F00FC8" w:rsidRPr="002E420C" w:rsidRDefault="00F00FC8" w:rsidP="002E420C">
            <w:pPr>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F00FC8" w:rsidRPr="002E420C" w:rsidRDefault="00F00FC8" w:rsidP="002E420C">
            <w:pPr>
              <w:jc w:val="center"/>
              <w:rPr>
                <w:color w:val="000000" w:themeColor="text1"/>
              </w:rPr>
            </w:pPr>
          </w:p>
        </w:tc>
        <w:tc>
          <w:tcPr>
            <w:tcW w:w="636" w:type="pct"/>
            <w:tcBorders>
              <w:top w:val="single" w:sz="4" w:space="0" w:color="auto"/>
              <w:left w:val="single" w:sz="4" w:space="0" w:color="auto"/>
              <w:bottom w:val="single" w:sz="4" w:space="0" w:color="auto"/>
              <w:right w:val="single" w:sz="4" w:space="0" w:color="auto"/>
            </w:tcBorders>
          </w:tcPr>
          <w:p w:rsidR="00F00FC8" w:rsidRPr="002E420C" w:rsidRDefault="00F00FC8" w:rsidP="002E420C">
            <w:pPr>
              <w:jc w:val="center"/>
              <w:rPr>
                <w:color w:val="000000" w:themeColor="text1"/>
              </w:rPr>
            </w:pPr>
          </w:p>
        </w:tc>
      </w:tr>
      <w:tr w:rsidR="00F00FC8" w:rsidRPr="00C962CC" w:rsidTr="00ED5840">
        <w:tc>
          <w:tcPr>
            <w:tcW w:w="1540" w:type="pct"/>
            <w:tcBorders>
              <w:top w:val="single" w:sz="4" w:space="0" w:color="auto"/>
              <w:left w:val="single" w:sz="4" w:space="0" w:color="auto"/>
              <w:bottom w:val="single" w:sz="4" w:space="0" w:color="auto"/>
              <w:right w:val="single" w:sz="4" w:space="0" w:color="auto"/>
            </w:tcBorders>
          </w:tcPr>
          <w:p w:rsidR="00F00FC8" w:rsidRPr="002E420C" w:rsidRDefault="00F00FC8" w:rsidP="002E420C">
            <w:pPr>
              <w:rPr>
                <w:color w:val="000000" w:themeColor="text1"/>
              </w:rPr>
            </w:pPr>
            <w:r w:rsidRPr="002E420C">
              <w:rPr>
                <w:color w:val="000000" w:themeColor="text1"/>
              </w:rPr>
              <w:t>5.2. speciālais budžets</w:t>
            </w:r>
          </w:p>
        </w:tc>
        <w:tc>
          <w:tcPr>
            <w:tcW w:w="589" w:type="pct"/>
            <w:tcBorders>
              <w:top w:val="single" w:sz="4" w:space="0" w:color="auto"/>
              <w:left w:val="single" w:sz="4" w:space="0" w:color="auto"/>
              <w:bottom w:val="single" w:sz="4" w:space="0" w:color="auto"/>
              <w:right w:val="single" w:sz="4" w:space="0" w:color="auto"/>
            </w:tcBorders>
          </w:tcPr>
          <w:p w:rsidR="00F00FC8" w:rsidRPr="002E420C" w:rsidRDefault="00F00FC8" w:rsidP="002E420C">
            <w:pPr>
              <w:jc w:val="center"/>
              <w:rPr>
                <w:color w:val="000000" w:themeColor="text1"/>
              </w:rPr>
            </w:pPr>
          </w:p>
        </w:tc>
        <w:tc>
          <w:tcPr>
            <w:tcW w:w="972" w:type="pct"/>
            <w:tcBorders>
              <w:top w:val="single" w:sz="4" w:space="0" w:color="auto"/>
              <w:left w:val="single" w:sz="4" w:space="0" w:color="auto"/>
              <w:bottom w:val="single" w:sz="4" w:space="0" w:color="auto"/>
              <w:right w:val="single" w:sz="4" w:space="0" w:color="auto"/>
            </w:tcBorders>
          </w:tcPr>
          <w:p w:rsidR="00F00FC8" w:rsidRPr="002E420C" w:rsidRDefault="00F00FC8" w:rsidP="002E420C">
            <w:pPr>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F00FC8" w:rsidRPr="002E420C" w:rsidRDefault="00F00FC8" w:rsidP="002E420C">
            <w:pPr>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F00FC8" w:rsidRPr="002E420C" w:rsidRDefault="00F00FC8" w:rsidP="002E420C">
            <w:pPr>
              <w:jc w:val="center"/>
              <w:rPr>
                <w:color w:val="000000" w:themeColor="text1"/>
              </w:rPr>
            </w:pPr>
          </w:p>
        </w:tc>
        <w:tc>
          <w:tcPr>
            <w:tcW w:w="636" w:type="pct"/>
            <w:tcBorders>
              <w:top w:val="single" w:sz="4" w:space="0" w:color="auto"/>
              <w:left w:val="single" w:sz="4" w:space="0" w:color="auto"/>
              <w:bottom w:val="single" w:sz="4" w:space="0" w:color="auto"/>
              <w:right w:val="single" w:sz="4" w:space="0" w:color="auto"/>
            </w:tcBorders>
          </w:tcPr>
          <w:p w:rsidR="00F00FC8" w:rsidRPr="002E420C" w:rsidRDefault="00F00FC8" w:rsidP="002E420C">
            <w:pPr>
              <w:jc w:val="center"/>
              <w:rPr>
                <w:color w:val="000000" w:themeColor="text1"/>
              </w:rPr>
            </w:pPr>
          </w:p>
        </w:tc>
      </w:tr>
      <w:tr w:rsidR="00F00FC8" w:rsidRPr="00C962CC" w:rsidTr="00ED5840">
        <w:tc>
          <w:tcPr>
            <w:tcW w:w="1540" w:type="pct"/>
            <w:tcBorders>
              <w:top w:val="single" w:sz="4" w:space="0" w:color="auto"/>
              <w:left w:val="single" w:sz="4" w:space="0" w:color="auto"/>
              <w:bottom w:val="single" w:sz="4" w:space="0" w:color="auto"/>
              <w:right w:val="single" w:sz="4" w:space="0" w:color="auto"/>
            </w:tcBorders>
          </w:tcPr>
          <w:p w:rsidR="00F00FC8" w:rsidRPr="00F00FC8" w:rsidRDefault="00F00FC8" w:rsidP="00F00FC8">
            <w:pPr>
              <w:rPr>
                <w:color w:val="000000" w:themeColor="text1"/>
              </w:rPr>
            </w:pPr>
            <w:r w:rsidRPr="00F00FC8">
              <w:rPr>
                <w:color w:val="000000" w:themeColor="text1"/>
              </w:rPr>
              <w:t>5.3. pašvaldību budžets</w:t>
            </w:r>
          </w:p>
        </w:tc>
        <w:tc>
          <w:tcPr>
            <w:tcW w:w="589" w:type="pct"/>
            <w:tcBorders>
              <w:top w:val="single" w:sz="4" w:space="0" w:color="auto"/>
              <w:left w:val="single" w:sz="4" w:space="0" w:color="auto"/>
              <w:bottom w:val="single" w:sz="4" w:space="0" w:color="auto"/>
              <w:right w:val="single" w:sz="4" w:space="0" w:color="auto"/>
            </w:tcBorders>
          </w:tcPr>
          <w:p w:rsidR="00F00FC8" w:rsidRPr="00C962CC" w:rsidRDefault="00F00FC8" w:rsidP="00DE33E0">
            <w:pPr>
              <w:spacing w:line="360" w:lineRule="auto"/>
              <w:jc w:val="center"/>
              <w:rPr>
                <w:color w:val="000000" w:themeColor="text1"/>
              </w:rPr>
            </w:pPr>
          </w:p>
        </w:tc>
        <w:tc>
          <w:tcPr>
            <w:tcW w:w="972" w:type="pct"/>
            <w:tcBorders>
              <w:top w:val="single" w:sz="4" w:space="0" w:color="auto"/>
              <w:left w:val="single" w:sz="4" w:space="0" w:color="auto"/>
              <w:bottom w:val="single" w:sz="4" w:space="0" w:color="auto"/>
              <w:right w:val="single" w:sz="4" w:space="0" w:color="auto"/>
            </w:tcBorders>
          </w:tcPr>
          <w:p w:rsidR="00F00FC8" w:rsidRPr="00C962CC" w:rsidRDefault="00F00FC8" w:rsidP="00DE33E0">
            <w:pPr>
              <w:spacing w:line="360" w:lineRule="auto"/>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F00FC8" w:rsidRPr="00C962CC" w:rsidRDefault="00F00FC8" w:rsidP="00DE33E0">
            <w:pPr>
              <w:spacing w:line="360" w:lineRule="auto"/>
              <w:jc w:val="center"/>
              <w:rPr>
                <w:color w:val="000000" w:themeColor="text1"/>
              </w:rPr>
            </w:pPr>
          </w:p>
        </w:tc>
        <w:tc>
          <w:tcPr>
            <w:tcW w:w="632" w:type="pct"/>
            <w:tcBorders>
              <w:top w:val="single" w:sz="4" w:space="0" w:color="auto"/>
              <w:left w:val="single" w:sz="4" w:space="0" w:color="auto"/>
              <w:bottom w:val="single" w:sz="4" w:space="0" w:color="auto"/>
              <w:right w:val="single" w:sz="4" w:space="0" w:color="auto"/>
            </w:tcBorders>
          </w:tcPr>
          <w:p w:rsidR="00F00FC8" w:rsidRPr="00C962CC" w:rsidRDefault="00F00FC8" w:rsidP="00DE33E0">
            <w:pPr>
              <w:spacing w:line="360" w:lineRule="auto"/>
              <w:jc w:val="center"/>
              <w:rPr>
                <w:color w:val="000000" w:themeColor="text1"/>
              </w:rPr>
            </w:pPr>
          </w:p>
        </w:tc>
        <w:tc>
          <w:tcPr>
            <w:tcW w:w="636" w:type="pct"/>
            <w:tcBorders>
              <w:top w:val="single" w:sz="4" w:space="0" w:color="auto"/>
              <w:left w:val="single" w:sz="4" w:space="0" w:color="auto"/>
              <w:bottom w:val="single" w:sz="4" w:space="0" w:color="auto"/>
              <w:right w:val="single" w:sz="4" w:space="0" w:color="auto"/>
            </w:tcBorders>
          </w:tcPr>
          <w:p w:rsidR="00F00FC8" w:rsidRPr="00C962CC" w:rsidRDefault="00F00FC8" w:rsidP="00DE33E0">
            <w:pPr>
              <w:spacing w:line="360" w:lineRule="auto"/>
              <w:jc w:val="center"/>
              <w:rPr>
                <w:color w:val="000000" w:themeColor="text1"/>
              </w:rPr>
            </w:pPr>
          </w:p>
        </w:tc>
      </w:tr>
      <w:tr w:rsidR="00F00FC8" w:rsidRPr="00C962CC" w:rsidTr="00ED5840">
        <w:trPr>
          <w:trHeight w:val="1269"/>
        </w:trPr>
        <w:tc>
          <w:tcPr>
            <w:tcW w:w="1540" w:type="pct"/>
            <w:tcBorders>
              <w:top w:val="single" w:sz="4" w:space="0" w:color="auto"/>
              <w:left w:val="single" w:sz="4" w:space="0" w:color="auto"/>
              <w:bottom w:val="single" w:sz="4" w:space="0" w:color="auto"/>
              <w:right w:val="single" w:sz="4" w:space="0" w:color="auto"/>
            </w:tcBorders>
          </w:tcPr>
          <w:p w:rsidR="00F00FC8" w:rsidRPr="00F00FC8" w:rsidRDefault="00F00FC8" w:rsidP="00F00FC8">
            <w:pPr>
              <w:jc w:val="both"/>
              <w:rPr>
                <w:color w:val="000000" w:themeColor="text1"/>
              </w:rPr>
            </w:pPr>
            <w:r w:rsidRPr="00F00FC8">
              <w:rPr>
                <w:color w:val="000000" w:themeColor="text1"/>
              </w:rPr>
              <w:t>6. Detalizēts ieņēmumu un izdevu</w:t>
            </w:r>
            <w:r w:rsidRPr="00F00FC8">
              <w:rPr>
                <w:color w:val="000000" w:themeColor="text1"/>
              </w:rPr>
              <w:softHyphen/>
              <w:t>mu aprēķins (ja nepieciešams, detalizētu ieņēmumu un izdevumu aprēķinu var pievienot anotācijas pielikumā):</w:t>
            </w:r>
          </w:p>
        </w:tc>
        <w:tc>
          <w:tcPr>
            <w:tcW w:w="3460" w:type="pct"/>
            <w:gridSpan w:val="5"/>
            <w:vMerge w:val="restart"/>
            <w:tcBorders>
              <w:top w:val="single" w:sz="4" w:space="0" w:color="auto"/>
              <w:left w:val="single" w:sz="4" w:space="0" w:color="auto"/>
              <w:right w:val="single" w:sz="4" w:space="0" w:color="auto"/>
            </w:tcBorders>
            <w:vAlign w:val="center"/>
          </w:tcPr>
          <w:p w:rsidR="00ED5840" w:rsidRPr="002E7F2F" w:rsidRDefault="00ED5840" w:rsidP="00ED5840">
            <w:pPr>
              <w:jc w:val="both"/>
              <w:rPr>
                <w:i/>
                <w:color w:val="000000" w:themeColor="text1"/>
                <w:sz w:val="20"/>
                <w:szCs w:val="20"/>
              </w:rPr>
            </w:pPr>
            <w:r w:rsidRPr="002E7F2F">
              <w:rPr>
                <w:i/>
                <w:color w:val="000000" w:themeColor="text1"/>
                <w:sz w:val="20"/>
                <w:szCs w:val="20"/>
              </w:rPr>
              <w:t>Ziņojuma 2. tabulā tika norādīts ELAF un sociālā atbalsta instrumentam nepieciešamais finansējums un iespējamie finanšu avoti</w:t>
            </w:r>
            <w:r>
              <w:rPr>
                <w:i/>
                <w:color w:val="000000" w:themeColor="text1"/>
                <w:sz w:val="20"/>
                <w:szCs w:val="20"/>
              </w:rPr>
              <w:t xml:space="preserve"> (</w:t>
            </w:r>
            <w:r w:rsidRPr="00A050D6">
              <w:rPr>
                <w:b/>
                <w:color w:val="000000" w:themeColor="text1"/>
                <w:sz w:val="20"/>
                <w:szCs w:val="20"/>
              </w:rPr>
              <w:t>milj.LVL</w:t>
            </w:r>
            <w:r>
              <w:rPr>
                <w:i/>
                <w:color w:val="000000" w:themeColor="text1"/>
                <w:sz w:val="20"/>
                <w:szCs w:val="20"/>
              </w:rPr>
              <w:t>)</w:t>
            </w:r>
            <w:r w:rsidRPr="002E7F2F">
              <w:rPr>
                <w:i/>
                <w:color w:val="000000" w:themeColor="text1"/>
                <w:sz w:val="20"/>
                <w:szCs w:val="20"/>
              </w:rPr>
              <w:t>.</w:t>
            </w:r>
          </w:p>
          <w:tbl>
            <w:tblPr>
              <w:tblW w:w="5894" w:type="dxa"/>
              <w:jc w:val="center"/>
              <w:tblInd w:w="2160" w:type="dxa"/>
              <w:tblLayout w:type="fixed"/>
              <w:tblLook w:val="04A0" w:firstRow="1" w:lastRow="0" w:firstColumn="1" w:lastColumn="0" w:noHBand="0" w:noVBand="1"/>
            </w:tblPr>
            <w:tblGrid>
              <w:gridCol w:w="2480"/>
              <w:gridCol w:w="827"/>
              <w:gridCol w:w="831"/>
              <w:gridCol w:w="846"/>
              <w:gridCol w:w="910"/>
            </w:tblGrid>
            <w:tr w:rsidR="00ED5840" w:rsidRPr="007C1BFA" w:rsidTr="003B1FCC">
              <w:trPr>
                <w:trHeight w:val="60"/>
                <w:jc w:val="center"/>
              </w:trPr>
              <w:tc>
                <w:tcPr>
                  <w:tcW w:w="248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ED5840" w:rsidRPr="00572A45" w:rsidRDefault="00ED5840" w:rsidP="003B1FCC">
                  <w:pPr>
                    <w:jc w:val="center"/>
                    <w:rPr>
                      <w:color w:val="000000" w:themeColor="text1"/>
                    </w:rPr>
                  </w:pPr>
                </w:p>
              </w:tc>
              <w:tc>
                <w:tcPr>
                  <w:tcW w:w="827" w:type="dxa"/>
                  <w:tcBorders>
                    <w:top w:val="single" w:sz="8" w:space="0" w:color="auto"/>
                    <w:left w:val="nil"/>
                    <w:bottom w:val="single" w:sz="8" w:space="0" w:color="auto"/>
                    <w:right w:val="single" w:sz="8" w:space="0" w:color="auto"/>
                  </w:tcBorders>
                  <w:shd w:val="clear" w:color="auto" w:fill="auto"/>
                  <w:noWrap/>
                  <w:vAlign w:val="center"/>
                  <w:hideMark/>
                </w:tcPr>
                <w:p w:rsidR="00ED5840" w:rsidRPr="00572A45" w:rsidRDefault="00ED5840" w:rsidP="003B1FCC">
                  <w:pPr>
                    <w:jc w:val="center"/>
                    <w:rPr>
                      <w:b/>
                      <w:color w:val="000000" w:themeColor="text1"/>
                    </w:rPr>
                  </w:pPr>
                  <w:r w:rsidRPr="00572A45">
                    <w:rPr>
                      <w:b/>
                      <w:color w:val="000000" w:themeColor="text1"/>
                    </w:rPr>
                    <w:t>2014</w:t>
                  </w:r>
                </w:p>
              </w:tc>
              <w:tc>
                <w:tcPr>
                  <w:tcW w:w="831" w:type="dxa"/>
                  <w:tcBorders>
                    <w:top w:val="single" w:sz="8" w:space="0" w:color="auto"/>
                    <w:left w:val="nil"/>
                    <w:bottom w:val="single" w:sz="8" w:space="0" w:color="auto"/>
                    <w:right w:val="single" w:sz="8" w:space="0" w:color="auto"/>
                  </w:tcBorders>
                  <w:shd w:val="clear" w:color="auto" w:fill="auto"/>
                  <w:noWrap/>
                  <w:vAlign w:val="center"/>
                  <w:hideMark/>
                </w:tcPr>
                <w:p w:rsidR="00ED5840" w:rsidRPr="00572A45" w:rsidRDefault="00ED5840" w:rsidP="003B1FCC">
                  <w:pPr>
                    <w:jc w:val="center"/>
                    <w:rPr>
                      <w:b/>
                      <w:color w:val="000000" w:themeColor="text1"/>
                    </w:rPr>
                  </w:pPr>
                  <w:r w:rsidRPr="00572A45">
                    <w:rPr>
                      <w:b/>
                      <w:color w:val="000000" w:themeColor="text1"/>
                    </w:rPr>
                    <w:t>2015</w:t>
                  </w:r>
                </w:p>
              </w:tc>
              <w:tc>
                <w:tcPr>
                  <w:tcW w:w="846" w:type="dxa"/>
                  <w:tcBorders>
                    <w:top w:val="single" w:sz="8" w:space="0" w:color="auto"/>
                    <w:left w:val="nil"/>
                    <w:bottom w:val="single" w:sz="8" w:space="0" w:color="auto"/>
                    <w:right w:val="single" w:sz="8" w:space="0" w:color="auto"/>
                  </w:tcBorders>
                  <w:shd w:val="clear" w:color="auto" w:fill="auto"/>
                  <w:noWrap/>
                  <w:vAlign w:val="center"/>
                  <w:hideMark/>
                </w:tcPr>
                <w:p w:rsidR="00ED5840" w:rsidRPr="00572A45" w:rsidRDefault="00ED5840" w:rsidP="003B1FCC">
                  <w:pPr>
                    <w:jc w:val="center"/>
                    <w:rPr>
                      <w:b/>
                      <w:color w:val="000000" w:themeColor="text1"/>
                    </w:rPr>
                  </w:pPr>
                  <w:r w:rsidRPr="00572A45">
                    <w:rPr>
                      <w:b/>
                      <w:color w:val="000000" w:themeColor="text1"/>
                    </w:rPr>
                    <w:t>2016</w:t>
                  </w:r>
                </w:p>
              </w:tc>
              <w:tc>
                <w:tcPr>
                  <w:tcW w:w="910" w:type="dxa"/>
                  <w:tcBorders>
                    <w:top w:val="single" w:sz="8" w:space="0" w:color="auto"/>
                    <w:left w:val="nil"/>
                    <w:bottom w:val="single" w:sz="8" w:space="0" w:color="auto"/>
                    <w:right w:val="single" w:sz="8" w:space="0" w:color="auto"/>
                  </w:tcBorders>
                  <w:shd w:val="clear" w:color="auto" w:fill="auto"/>
                  <w:noWrap/>
                  <w:vAlign w:val="center"/>
                  <w:hideMark/>
                </w:tcPr>
                <w:p w:rsidR="00ED5840" w:rsidRPr="00572A45" w:rsidRDefault="00ED5840" w:rsidP="003B1FCC">
                  <w:pPr>
                    <w:jc w:val="center"/>
                    <w:rPr>
                      <w:b/>
                      <w:color w:val="000000" w:themeColor="text1"/>
                    </w:rPr>
                  </w:pPr>
                  <w:r>
                    <w:rPr>
                      <w:b/>
                      <w:color w:val="000000" w:themeColor="text1"/>
                    </w:rPr>
                    <w:t>Kopā</w:t>
                  </w:r>
                </w:p>
              </w:tc>
            </w:tr>
            <w:tr w:rsidR="00ED5840" w:rsidRPr="007C1BFA" w:rsidTr="003B1FCC">
              <w:trPr>
                <w:trHeight w:val="60"/>
                <w:jc w:val="center"/>
              </w:trPr>
              <w:tc>
                <w:tcPr>
                  <w:tcW w:w="2480" w:type="dxa"/>
                  <w:tcBorders>
                    <w:top w:val="nil"/>
                    <w:left w:val="single" w:sz="8" w:space="0" w:color="auto"/>
                    <w:bottom w:val="single" w:sz="8" w:space="0" w:color="auto"/>
                    <w:right w:val="single" w:sz="8" w:space="0" w:color="auto"/>
                  </w:tcBorders>
                  <w:shd w:val="clear" w:color="auto" w:fill="auto"/>
                  <w:noWrap/>
                  <w:vAlign w:val="center"/>
                </w:tcPr>
                <w:p w:rsidR="00ED5840" w:rsidRPr="00CD7869" w:rsidRDefault="00ED5840" w:rsidP="003B1FCC">
                  <w:pPr>
                    <w:rPr>
                      <w:color w:val="000000" w:themeColor="text1"/>
                    </w:rPr>
                  </w:pPr>
                  <w:r w:rsidRPr="00CD7869">
                    <w:rPr>
                      <w:color w:val="000000" w:themeColor="text1"/>
                    </w:rPr>
                    <w:t>ELAF</w:t>
                  </w:r>
                </w:p>
              </w:tc>
              <w:tc>
                <w:tcPr>
                  <w:tcW w:w="827" w:type="dxa"/>
                  <w:tcBorders>
                    <w:top w:val="nil"/>
                    <w:left w:val="nil"/>
                    <w:bottom w:val="single" w:sz="8" w:space="0" w:color="auto"/>
                    <w:right w:val="single" w:sz="8" w:space="0" w:color="auto"/>
                  </w:tcBorders>
                  <w:shd w:val="clear" w:color="auto" w:fill="auto"/>
                  <w:noWrap/>
                </w:tcPr>
                <w:p w:rsidR="00ED5840" w:rsidRPr="00CD7869" w:rsidRDefault="00ED5840" w:rsidP="003B1FCC">
                  <w:pPr>
                    <w:jc w:val="center"/>
                    <w:rPr>
                      <w:color w:val="000000" w:themeColor="text1"/>
                    </w:rPr>
                  </w:pPr>
                  <w:r w:rsidRPr="00CD7869">
                    <w:t>-20,5</w:t>
                  </w:r>
                </w:p>
              </w:tc>
              <w:tc>
                <w:tcPr>
                  <w:tcW w:w="831" w:type="dxa"/>
                  <w:tcBorders>
                    <w:top w:val="nil"/>
                    <w:left w:val="nil"/>
                    <w:bottom w:val="single" w:sz="8" w:space="0" w:color="auto"/>
                    <w:right w:val="single" w:sz="8" w:space="0" w:color="auto"/>
                  </w:tcBorders>
                  <w:shd w:val="clear" w:color="auto" w:fill="auto"/>
                  <w:noWrap/>
                </w:tcPr>
                <w:p w:rsidR="00ED5840" w:rsidRPr="00CD7869" w:rsidRDefault="00ED5840" w:rsidP="003B1FCC">
                  <w:pPr>
                    <w:jc w:val="center"/>
                    <w:rPr>
                      <w:color w:val="000000" w:themeColor="text1"/>
                    </w:rPr>
                  </w:pPr>
                  <w:r w:rsidRPr="00CD7869">
                    <w:t>-33,5</w:t>
                  </w:r>
                </w:p>
              </w:tc>
              <w:tc>
                <w:tcPr>
                  <w:tcW w:w="846" w:type="dxa"/>
                  <w:tcBorders>
                    <w:top w:val="nil"/>
                    <w:left w:val="nil"/>
                    <w:bottom w:val="single" w:sz="8" w:space="0" w:color="auto"/>
                    <w:right w:val="single" w:sz="8" w:space="0" w:color="auto"/>
                  </w:tcBorders>
                  <w:shd w:val="clear" w:color="auto" w:fill="auto"/>
                  <w:noWrap/>
                </w:tcPr>
                <w:p w:rsidR="00ED5840" w:rsidRPr="00CD7869" w:rsidRDefault="00ED5840" w:rsidP="003B1FCC">
                  <w:pPr>
                    <w:jc w:val="center"/>
                    <w:rPr>
                      <w:color w:val="000000" w:themeColor="text1"/>
                    </w:rPr>
                  </w:pPr>
                  <w:r w:rsidRPr="00CD7869">
                    <w:t>-39,4</w:t>
                  </w:r>
                </w:p>
              </w:tc>
              <w:tc>
                <w:tcPr>
                  <w:tcW w:w="910" w:type="dxa"/>
                  <w:tcBorders>
                    <w:top w:val="nil"/>
                    <w:left w:val="nil"/>
                    <w:bottom w:val="single" w:sz="8" w:space="0" w:color="auto"/>
                    <w:right w:val="single" w:sz="8" w:space="0" w:color="auto"/>
                  </w:tcBorders>
                  <w:shd w:val="clear" w:color="auto" w:fill="auto"/>
                  <w:noWrap/>
                </w:tcPr>
                <w:p w:rsidR="00ED5840" w:rsidRPr="00CD7869" w:rsidRDefault="00ED5840" w:rsidP="003B1FCC">
                  <w:pPr>
                    <w:jc w:val="center"/>
                    <w:rPr>
                      <w:color w:val="000000" w:themeColor="text1"/>
                    </w:rPr>
                  </w:pPr>
                  <w:r w:rsidRPr="00CD7869">
                    <w:t>-93,4</w:t>
                  </w:r>
                </w:p>
              </w:tc>
            </w:tr>
            <w:tr w:rsidR="00ED5840" w:rsidRPr="007C1BFA" w:rsidTr="003B1FCC">
              <w:trPr>
                <w:trHeight w:val="60"/>
                <w:jc w:val="center"/>
              </w:trPr>
              <w:tc>
                <w:tcPr>
                  <w:tcW w:w="2480" w:type="dxa"/>
                  <w:tcBorders>
                    <w:top w:val="nil"/>
                    <w:left w:val="single" w:sz="8" w:space="0" w:color="auto"/>
                    <w:bottom w:val="single" w:sz="8" w:space="0" w:color="auto"/>
                    <w:right w:val="single" w:sz="8" w:space="0" w:color="auto"/>
                  </w:tcBorders>
                  <w:shd w:val="clear" w:color="auto" w:fill="auto"/>
                  <w:noWrap/>
                  <w:vAlign w:val="center"/>
                </w:tcPr>
                <w:p w:rsidR="00ED5840" w:rsidRPr="00CD7869" w:rsidRDefault="00ED5840" w:rsidP="003B1FCC">
                  <w:pPr>
                    <w:rPr>
                      <w:color w:val="000000" w:themeColor="text1"/>
                    </w:rPr>
                  </w:pPr>
                  <w:r w:rsidRPr="00CD7869">
                    <w:rPr>
                      <w:color w:val="000000" w:themeColor="text1"/>
                    </w:rPr>
                    <w:t xml:space="preserve">Sociālais atbalsts </w:t>
                  </w:r>
                </w:p>
              </w:tc>
              <w:tc>
                <w:tcPr>
                  <w:tcW w:w="827" w:type="dxa"/>
                  <w:tcBorders>
                    <w:top w:val="nil"/>
                    <w:left w:val="nil"/>
                    <w:bottom w:val="single" w:sz="8" w:space="0" w:color="auto"/>
                    <w:right w:val="single" w:sz="8" w:space="0" w:color="auto"/>
                  </w:tcBorders>
                  <w:shd w:val="clear" w:color="auto" w:fill="auto"/>
                  <w:noWrap/>
                </w:tcPr>
                <w:p w:rsidR="00ED5840" w:rsidRPr="00CD7869" w:rsidRDefault="00ED5840" w:rsidP="003B1FCC">
                  <w:pPr>
                    <w:jc w:val="center"/>
                    <w:rPr>
                      <w:color w:val="000000" w:themeColor="text1"/>
                    </w:rPr>
                  </w:pPr>
                  <w:r w:rsidRPr="00CD7869">
                    <w:t>-2,7</w:t>
                  </w:r>
                </w:p>
              </w:tc>
              <w:tc>
                <w:tcPr>
                  <w:tcW w:w="831" w:type="dxa"/>
                  <w:tcBorders>
                    <w:top w:val="nil"/>
                    <w:left w:val="nil"/>
                    <w:bottom w:val="single" w:sz="8" w:space="0" w:color="auto"/>
                    <w:right w:val="single" w:sz="8" w:space="0" w:color="auto"/>
                  </w:tcBorders>
                  <w:shd w:val="clear" w:color="auto" w:fill="auto"/>
                  <w:noWrap/>
                </w:tcPr>
                <w:p w:rsidR="00ED5840" w:rsidRPr="00CD7869" w:rsidRDefault="00ED5840" w:rsidP="003B1FCC">
                  <w:pPr>
                    <w:jc w:val="center"/>
                    <w:rPr>
                      <w:color w:val="000000" w:themeColor="text1"/>
                    </w:rPr>
                  </w:pPr>
                  <w:r w:rsidRPr="00CD7869">
                    <w:t>-3,6</w:t>
                  </w:r>
                </w:p>
              </w:tc>
              <w:tc>
                <w:tcPr>
                  <w:tcW w:w="846" w:type="dxa"/>
                  <w:tcBorders>
                    <w:top w:val="nil"/>
                    <w:left w:val="nil"/>
                    <w:bottom w:val="single" w:sz="8" w:space="0" w:color="auto"/>
                    <w:right w:val="single" w:sz="8" w:space="0" w:color="auto"/>
                  </w:tcBorders>
                  <w:shd w:val="clear" w:color="auto" w:fill="auto"/>
                  <w:noWrap/>
                </w:tcPr>
                <w:p w:rsidR="00ED5840" w:rsidRPr="00CD7869" w:rsidRDefault="00ED5840" w:rsidP="003B1FCC">
                  <w:pPr>
                    <w:jc w:val="center"/>
                    <w:rPr>
                      <w:color w:val="000000" w:themeColor="text1"/>
                    </w:rPr>
                  </w:pPr>
                  <w:r w:rsidRPr="00CD7869">
                    <w:t>-3,6</w:t>
                  </w:r>
                </w:p>
              </w:tc>
              <w:tc>
                <w:tcPr>
                  <w:tcW w:w="910" w:type="dxa"/>
                  <w:tcBorders>
                    <w:top w:val="nil"/>
                    <w:left w:val="nil"/>
                    <w:bottom w:val="single" w:sz="8" w:space="0" w:color="auto"/>
                    <w:right w:val="single" w:sz="8" w:space="0" w:color="auto"/>
                  </w:tcBorders>
                  <w:shd w:val="clear" w:color="auto" w:fill="auto"/>
                  <w:noWrap/>
                </w:tcPr>
                <w:p w:rsidR="00ED5840" w:rsidRPr="00CD7869" w:rsidRDefault="00ED5840" w:rsidP="003B1FCC">
                  <w:pPr>
                    <w:jc w:val="center"/>
                    <w:rPr>
                      <w:color w:val="000000" w:themeColor="text1"/>
                    </w:rPr>
                  </w:pPr>
                  <w:r w:rsidRPr="00CD7869">
                    <w:t>-9,9</w:t>
                  </w:r>
                </w:p>
              </w:tc>
            </w:tr>
            <w:tr w:rsidR="00ED5840" w:rsidRPr="007C1BFA" w:rsidTr="003B1FCC">
              <w:trPr>
                <w:trHeight w:val="60"/>
                <w:jc w:val="center"/>
              </w:trPr>
              <w:tc>
                <w:tcPr>
                  <w:tcW w:w="2480" w:type="dxa"/>
                  <w:tcBorders>
                    <w:top w:val="nil"/>
                    <w:left w:val="single" w:sz="8" w:space="0" w:color="auto"/>
                    <w:bottom w:val="single" w:sz="8" w:space="0" w:color="auto"/>
                    <w:right w:val="single" w:sz="8" w:space="0" w:color="auto"/>
                  </w:tcBorders>
                  <w:shd w:val="clear" w:color="auto" w:fill="auto"/>
                  <w:noWrap/>
                  <w:vAlign w:val="center"/>
                  <w:hideMark/>
                </w:tcPr>
                <w:p w:rsidR="00ED5840" w:rsidRPr="00CD7869" w:rsidRDefault="00ED5840" w:rsidP="003B1FCC">
                  <w:pPr>
                    <w:rPr>
                      <w:color w:val="000000" w:themeColor="text1"/>
                    </w:rPr>
                  </w:pPr>
                  <w:r w:rsidRPr="00CD7869">
                    <w:rPr>
                      <w:color w:val="000000" w:themeColor="text1"/>
                    </w:rPr>
                    <w:lastRenderedPageBreak/>
                    <w:t>Subsidētas enerģijas nodoklis</w:t>
                  </w:r>
                </w:p>
              </w:tc>
              <w:tc>
                <w:tcPr>
                  <w:tcW w:w="827" w:type="dxa"/>
                  <w:tcBorders>
                    <w:top w:val="nil"/>
                    <w:left w:val="nil"/>
                    <w:bottom w:val="single" w:sz="8" w:space="0" w:color="auto"/>
                    <w:right w:val="single" w:sz="8" w:space="0" w:color="auto"/>
                  </w:tcBorders>
                  <w:shd w:val="clear" w:color="auto" w:fill="auto"/>
                  <w:noWrap/>
                </w:tcPr>
                <w:p w:rsidR="00ED5840" w:rsidRPr="00CD7869" w:rsidRDefault="00ED5840" w:rsidP="003B1FCC">
                  <w:pPr>
                    <w:jc w:val="center"/>
                    <w:rPr>
                      <w:color w:val="000000" w:themeColor="text1"/>
                    </w:rPr>
                  </w:pPr>
                  <w:r w:rsidRPr="00CD7869">
                    <w:t>24,0</w:t>
                  </w:r>
                </w:p>
              </w:tc>
              <w:tc>
                <w:tcPr>
                  <w:tcW w:w="831" w:type="dxa"/>
                  <w:tcBorders>
                    <w:top w:val="nil"/>
                    <w:left w:val="nil"/>
                    <w:bottom w:val="single" w:sz="8" w:space="0" w:color="auto"/>
                    <w:right w:val="single" w:sz="8" w:space="0" w:color="auto"/>
                  </w:tcBorders>
                  <w:shd w:val="clear" w:color="auto" w:fill="auto"/>
                  <w:noWrap/>
                </w:tcPr>
                <w:p w:rsidR="00ED5840" w:rsidRPr="00CD7869" w:rsidRDefault="00ED5840" w:rsidP="003B1FCC">
                  <w:pPr>
                    <w:jc w:val="center"/>
                    <w:rPr>
                      <w:color w:val="000000" w:themeColor="text1"/>
                    </w:rPr>
                  </w:pPr>
                  <w:r w:rsidRPr="00CD7869">
                    <w:t>25,9</w:t>
                  </w:r>
                </w:p>
              </w:tc>
              <w:tc>
                <w:tcPr>
                  <w:tcW w:w="846" w:type="dxa"/>
                  <w:tcBorders>
                    <w:top w:val="nil"/>
                    <w:left w:val="nil"/>
                    <w:bottom w:val="single" w:sz="8" w:space="0" w:color="auto"/>
                    <w:right w:val="single" w:sz="8" w:space="0" w:color="auto"/>
                  </w:tcBorders>
                  <w:shd w:val="clear" w:color="auto" w:fill="auto"/>
                  <w:noWrap/>
                </w:tcPr>
                <w:p w:rsidR="00ED5840" w:rsidRPr="00CD7869" w:rsidRDefault="00ED5840" w:rsidP="003B1FCC">
                  <w:pPr>
                    <w:jc w:val="center"/>
                    <w:rPr>
                      <w:color w:val="000000" w:themeColor="text1"/>
                    </w:rPr>
                  </w:pPr>
                  <w:r w:rsidRPr="00CD7869">
                    <w:t>27,9</w:t>
                  </w:r>
                </w:p>
              </w:tc>
              <w:tc>
                <w:tcPr>
                  <w:tcW w:w="910" w:type="dxa"/>
                  <w:tcBorders>
                    <w:top w:val="nil"/>
                    <w:left w:val="nil"/>
                    <w:bottom w:val="single" w:sz="8" w:space="0" w:color="auto"/>
                    <w:right w:val="single" w:sz="8" w:space="0" w:color="auto"/>
                  </w:tcBorders>
                  <w:shd w:val="clear" w:color="auto" w:fill="auto"/>
                  <w:noWrap/>
                </w:tcPr>
                <w:p w:rsidR="00ED5840" w:rsidRPr="00CD7869" w:rsidRDefault="00ED5840" w:rsidP="003B1FCC">
                  <w:pPr>
                    <w:jc w:val="center"/>
                    <w:rPr>
                      <w:color w:val="000000" w:themeColor="text1"/>
                    </w:rPr>
                  </w:pPr>
                  <w:r w:rsidRPr="00CD7869">
                    <w:t>77,7</w:t>
                  </w:r>
                </w:p>
              </w:tc>
            </w:tr>
            <w:tr w:rsidR="00ED5840" w:rsidRPr="007C1BFA" w:rsidTr="003B1FCC">
              <w:trPr>
                <w:trHeight w:val="60"/>
                <w:jc w:val="center"/>
              </w:trPr>
              <w:tc>
                <w:tcPr>
                  <w:tcW w:w="2480" w:type="dxa"/>
                  <w:tcBorders>
                    <w:top w:val="nil"/>
                    <w:left w:val="single" w:sz="8" w:space="0" w:color="auto"/>
                    <w:bottom w:val="single" w:sz="8" w:space="0" w:color="auto"/>
                    <w:right w:val="single" w:sz="8" w:space="0" w:color="auto"/>
                  </w:tcBorders>
                  <w:shd w:val="clear" w:color="auto" w:fill="auto"/>
                  <w:noWrap/>
                  <w:vAlign w:val="center"/>
                </w:tcPr>
                <w:p w:rsidR="00ED5840" w:rsidRPr="00CD7869" w:rsidRDefault="00ED5840" w:rsidP="003B1FCC">
                  <w:pPr>
                    <w:rPr>
                      <w:color w:val="000000" w:themeColor="text1"/>
                    </w:rPr>
                  </w:pPr>
                  <w:r w:rsidRPr="00CD7869">
                    <w:rPr>
                      <w:color w:val="000000" w:themeColor="text1"/>
                    </w:rPr>
                    <w:t>PVN ieņēmumu pieaugums</w:t>
                  </w:r>
                </w:p>
              </w:tc>
              <w:tc>
                <w:tcPr>
                  <w:tcW w:w="827" w:type="dxa"/>
                  <w:tcBorders>
                    <w:top w:val="nil"/>
                    <w:left w:val="nil"/>
                    <w:bottom w:val="single" w:sz="8" w:space="0" w:color="auto"/>
                    <w:right w:val="single" w:sz="8" w:space="0" w:color="auto"/>
                  </w:tcBorders>
                  <w:shd w:val="clear" w:color="auto" w:fill="auto"/>
                  <w:noWrap/>
                </w:tcPr>
                <w:p w:rsidR="00ED5840" w:rsidRPr="00CD7869" w:rsidRDefault="00ED5840" w:rsidP="003B1FCC">
                  <w:pPr>
                    <w:jc w:val="center"/>
                    <w:rPr>
                      <w:color w:val="000000" w:themeColor="text1"/>
                    </w:rPr>
                  </w:pPr>
                  <w:r w:rsidRPr="00CD7869">
                    <w:t>5</w:t>
                  </w:r>
                </w:p>
              </w:tc>
              <w:tc>
                <w:tcPr>
                  <w:tcW w:w="831" w:type="dxa"/>
                  <w:tcBorders>
                    <w:top w:val="nil"/>
                    <w:left w:val="nil"/>
                    <w:bottom w:val="single" w:sz="8" w:space="0" w:color="auto"/>
                    <w:right w:val="single" w:sz="8" w:space="0" w:color="auto"/>
                  </w:tcBorders>
                  <w:shd w:val="clear" w:color="auto" w:fill="auto"/>
                  <w:noWrap/>
                </w:tcPr>
                <w:p w:rsidR="00ED5840" w:rsidRPr="00CD7869" w:rsidRDefault="00ED5840" w:rsidP="003B1FCC">
                  <w:pPr>
                    <w:jc w:val="center"/>
                    <w:rPr>
                      <w:color w:val="000000" w:themeColor="text1"/>
                    </w:rPr>
                  </w:pPr>
                  <w:r w:rsidRPr="00CD7869">
                    <w:t>6,7</w:t>
                  </w:r>
                </w:p>
              </w:tc>
              <w:tc>
                <w:tcPr>
                  <w:tcW w:w="846" w:type="dxa"/>
                  <w:tcBorders>
                    <w:top w:val="nil"/>
                    <w:left w:val="nil"/>
                    <w:bottom w:val="single" w:sz="8" w:space="0" w:color="auto"/>
                    <w:right w:val="single" w:sz="8" w:space="0" w:color="auto"/>
                  </w:tcBorders>
                  <w:shd w:val="clear" w:color="auto" w:fill="auto"/>
                  <w:noWrap/>
                </w:tcPr>
                <w:p w:rsidR="00ED5840" w:rsidRPr="00CD7869" w:rsidRDefault="00ED5840" w:rsidP="003B1FCC">
                  <w:pPr>
                    <w:jc w:val="center"/>
                    <w:rPr>
                      <w:color w:val="000000" w:themeColor="text1"/>
                    </w:rPr>
                  </w:pPr>
                  <w:r w:rsidRPr="00CD7869">
                    <w:t>6,7</w:t>
                  </w:r>
                </w:p>
              </w:tc>
              <w:tc>
                <w:tcPr>
                  <w:tcW w:w="910" w:type="dxa"/>
                  <w:tcBorders>
                    <w:top w:val="nil"/>
                    <w:left w:val="nil"/>
                    <w:bottom w:val="single" w:sz="8" w:space="0" w:color="auto"/>
                    <w:right w:val="single" w:sz="8" w:space="0" w:color="auto"/>
                  </w:tcBorders>
                  <w:shd w:val="clear" w:color="auto" w:fill="auto"/>
                  <w:noWrap/>
                </w:tcPr>
                <w:p w:rsidR="00ED5840" w:rsidRPr="00CD7869" w:rsidRDefault="00ED5840" w:rsidP="003B1FCC">
                  <w:pPr>
                    <w:jc w:val="center"/>
                    <w:rPr>
                      <w:color w:val="000000" w:themeColor="text1"/>
                    </w:rPr>
                  </w:pPr>
                  <w:r w:rsidRPr="00CD7869">
                    <w:t>18,4</w:t>
                  </w:r>
                </w:p>
              </w:tc>
            </w:tr>
            <w:tr w:rsidR="00ED5840" w:rsidRPr="007C1BFA" w:rsidTr="003B1FCC">
              <w:trPr>
                <w:trHeight w:val="60"/>
                <w:jc w:val="center"/>
              </w:trPr>
              <w:tc>
                <w:tcPr>
                  <w:tcW w:w="2480" w:type="dxa"/>
                  <w:tcBorders>
                    <w:top w:val="nil"/>
                    <w:left w:val="single" w:sz="8" w:space="0" w:color="auto"/>
                    <w:bottom w:val="single" w:sz="8" w:space="0" w:color="auto"/>
                    <w:right w:val="single" w:sz="8" w:space="0" w:color="auto"/>
                  </w:tcBorders>
                  <w:shd w:val="clear" w:color="auto" w:fill="auto"/>
                  <w:noWrap/>
                  <w:vAlign w:val="center"/>
                </w:tcPr>
                <w:p w:rsidR="00ED5840" w:rsidRPr="00CD7869" w:rsidRDefault="00ED5840" w:rsidP="003B1FCC">
                  <w:pPr>
                    <w:rPr>
                      <w:color w:val="000000" w:themeColor="text1"/>
                    </w:rPr>
                  </w:pPr>
                  <w:r w:rsidRPr="00CD7869">
                    <w:rPr>
                      <w:color w:val="000000" w:themeColor="text1"/>
                    </w:rPr>
                    <w:t>Efekts no Latvenergo dividenžu  pieauguma</w:t>
                  </w:r>
                </w:p>
              </w:tc>
              <w:tc>
                <w:tcPr>
                  <w:tcW w:w="827" w:type="dxa"/>
                  <w:tcBorders>
                    <w:top w:val="nil"/>
                    <w:left w:val="nil"/>
                    <w:bottom w:val="single" w:sz="8" w:space="0" w:color="auto"/>
                    <w:right w:val="single" w:sz="8" w:space="0" w:color="auto"/>
                  </w:tcBorders>
                  <w:shd w:val="clear" w:color="auto" w:fill="auto"/>
                  <w:noWrap/>
                </w:tcPr>
                <w:p w:rsidR="00ED5840" w:rsidRPr="00CD7869" w:rsidRDefault="00ED5840" w:rsidP="003B1FCC">
                  <w:pPr>
                    <w:jc w:val="center"/>
                    <w:rPr>
                      <w:color w:val="000000" w:themeColor="text1"/>
                    </w:rPr>
                  </w:pPr>
                </w:p>
              </w:tc>
              <w:tc>
                <w:tcPr>
                  <w:tcW w:w="831" w:type="dxa"/>
                  <w:tcBorders>
                    <w:top w:val="nil"/>
                    <w:left w:val="nil"/>
                    <w:bottom w:val="single" w:sz="8" w:space="0" w:color="auto"/>
                    <w:right w:val="single" w:sz="8" w:space="0" w:color="auto"/>
                  </w:tcBorders>
                  <w:shd w:val="clear" w:color="auto" w:fill="auto"/>
                  <w:noWrap/>
                </w:tcPr>
                <w:p w:rsidR="00ED5840" w:rsidRPr="00CD7869" w:rsidRDefault="00ED5840" w:rsidP="003B1FCC">
                  <w:pPr>
                    <w:jc w:val="center"/>
                    <w:rPr>
                      <w:color w:val="000000" w:themeColor="text1"/>
                    </w:rPr>
                  </w:pPr>
                  <w:r w:rsidRPr="00CD7869">
                    <w:t>4,9</w:t>
                  </w:r>
                </w:p>
              </w:tc>
              <w:tc>
                <w:tcPr>
                  <w:tcW w:w="846" w:type="dxa"/>
                  <w:tcBorders>
                    <w:top w:val="nil"/>
                    <w:left w:val="nil"/>
                    <w:bottom w:val="single" w:sz="8" w:space="0" w:color="auto"/>
                    <w:right w:val="single" w:sz="8" w:space="0" w:color="auto"/>
                  </w:tcBorders>
                  <w:shd w:val="clear" w:color="auto" w:fill="auto"/>
                  <w:noWrap/>
                </w:tcPr>
                <w:p w:rsidR="00ED5840" w:rsidRPr="00CD7869" w:rsidRDefault="00ED5840" w:rsidP="003B1FCC">
                  <w:pPr>
                    <w:jc w:val="center"/>
                    <w:rPr>
                      <w:color w:val="000000" w:themeColor="text1"/>
                    </w:rPr>
                  </w:pPr>
                  <w:r w:rsidRPr="00CD7869">
                    <w:t>8,4</w:t>
                  </w:r>
                </w:p>
              </w:tc>
              <w:tc>
                <w:tcPr>
                  <w:tcW w:w="910" w:type="dxa"/>
                  <w:tcBorders>
                    <w:top w:val="nil"/>
                    <w:left w:val="nil"/>
                    <w:bottom w:val="single" w:sz="8" w:space="0" w:color="auto"/>
                    <w:right w:val="single" w:sz="8" w:space="0" w:color="auto"/>
                  </w:tcBorders>
                  <w:shd w:val="clear" w:color="auto" w:fill="auto"/>
                  <w:noWrap/>
                </w:tcPr>
                <w:p w:rsidR="00ED5840" w:rsidRPr="00CD7869" w:rsidRDefault="00ED5840" w:rsidP="003B1FCC">
                  <w:pPr>
                    <w:jc w:val="center"/>
                    <w:rPr>
                      <w:color w:val="000000" w:themeColor="text1"/>
                    </w:rPr>
                  </w:pPr>
                  <w:r w:rsidRPr="00CD7869">
                    <w:t>13,3</w:t>
                  </w:r>
                </w:p>
              </w:tc>
            </w:tr>
            <w:tr w:rsidR="00ED5840" w:rsidRPr="007C1BFA" w:rsidTr="003B1FCC">
              <w:trPr>
                <w:trHeight w:val="113"/>
                <w:jc w:val="center"/>
              </w:trPr>
              <w:tc>
                <w:tcPr>
                  <w:tcW w:w="2480" w:type="dxa"/>
                  <w:tcBorders>
                    <w:top w:val="nil"/>
                    <w:left w:val="single" w:sz="8" w:space="0" w:color="auto"/>
                    <w:bottom w:val="single" w:sz="8" w:space="0" w:color="auto"/>
                    <w:right w:val="single" w:sz="8" w:space="0" w:color="auto"/>
                  </w:tcBorders>
                  <w:shd w:val="clear" w:color="auto" w:fill="auto"/>
                  <w:noWrap/>
                  <w:vAlign w:val="center"/>
                  <w:hideMark/>
                </w:tcPr>
                <w:p w:rsidR="00ED5840" w:rsidRPr="00CD7869" w:rsidRDefault="00ED5840" w:rsidP="003B1FCC">
                  <w:pPr>
                    <w:jc w:val="right"/>
                    <w:rPr>
                      <w:color w:val="000000" w:themeColor="text1"/>
                    </w:rPr>
                  </w:pPr>
                  <w:r>
                    <w:rPr>
                      <w:color w:val="000000" w:themeColor="text1"/>
                    </w:rPr>
                    <w:t>Bilance</w:t>
                  </w:r>
                </w:p>
              </w:tc>
              <w:tc>
                <w:tcPr>
                  <w:tcW w:w="827" w:type="dxa"/>
                  <w:tcBorders>
                    <w:top w:val="nil"/>
                    <w:left w:val="nil"/>
                    <w:bottom w:val="single" w:sz="8" w:space="0" w:color="auto"/>
                    <w:right w:val="single" w:sz="8" w:space="0" w:color="auto"/>
                  </w:tcBorders>
                  <w:shd w:val="clear" w:color="auto" w:fill="auto"/>
                  <w:noWrap/>
                  <w:hideMark/>
                </w:tcPr>
                <w:p w:rsidR="00ED5840" w:rsidRPr="00CD7869" w:rsidRDefault="00ED5840" w:rsidP="003B1FCC">
                  <w:pPr>
                    <w:jc w:val="center"/>
                    <w:rPr>
                      <w:color w:val="000000" w:themeColor="text1"/>
                    </w:rPr>
                  </w:pPr>
                  <w:r w:rsidRPr="00CD7869">
                    <w:t>5,8</w:t>
                  </w:r>
                </w:p>
              </w:tc>
              <w:tc>
                <w:tcPr>
                  <w:tcW w:w="831" w:type="dxa"/>
                  <w:tcBorders>
                    <w:top w:val="nil"/>
                    <w:left w:val="nil"/>
                    <w:bottom w:val="single" w:sz="8" w:space="0" w:color="auto"/>
                    <w:right w:val="single" w:sz="8" w:space="0" w:color="auto"/>
                  </w:tcBorders>
                  <w:shd w:val="clear" w:color="auto" w:fill="auto"/>
                  <w:noWrap/>
                  <w:hideMark/>
                </w:tcPr>
                <w:p w:rsidR="00ED5840" w:rsidRPr="00CD7869" w:rsidRDefault="00ED5840" w:rsidP="003B1FCC">
                  <w:pPr>
                    <w:jc w:val="center"/>
                    <w:rPr>
                      <w:color w:val="000000" w:themeColor="text1"/>
                    </w:rPr>
                  </w:pPr>
                  <w:r w:rsidRPr="00CD7869">
                    <w:t>0,4</w:t>
                  </w:r>
                </w:p>
              </w:tc>
              <w:tc>
                <w:tcPr>
                  <w:tcW w:w="846" w:type="dxa"/>
                  <w:tcBorders>
                    <w:top w:val="nil"/>
                    <w:left w:val="nil"/>
                    <w:bottom w:val="single" w:sz="8" w:space="0" w:color="auto"/>
                    <w:right w:val="single" w:sz="8" w:space="0" w:color="auto"/>
                  </w:tcBorders>
                  <w:shd w:val="clear" w:color="auto" w:fill="auto"/>
                  <w:noWrap/>
                  <w:hideMark/>
                </w:tcPr>
                <w:p w:rsidR="00ED5840" w:rsidRPr="00CD7869" w:rsidRDefault="00ED5840" w:rsidP="003B1FCC">
                  <w:pPr>
                    <w:jc w:val="center"/>
                    <w:rPr>
                      <w:color w:val="000000" w:themeColor="text1"/>
                    </w:rPr>
                  </w:pPr>
                  <w:r w:rsidRPr="00CD7869">
                    <w:t>0,0</w:t>
                  </w:r>
                </w:p>
              </w:tc>
              <w:tc>
                <w:tcPr>
                  <w:tcW w:w="910" w:type="dxa"/>
                  <w:tcBorders>
                    <w:top w:val="nil"/>
                    <w:left w:val="nil"/>
                    <w:bottom w:val="single" w:sz="8" w:space="0" w:color="auto"/>
                    <w:right w:val="single" w:sz="8" w:space="0" w:color="auto"/>
                  </w:tcBorders>
                  <w:shd w:val="clear" w:color="auto" w:fill="auto"/>
                  <w:noWrap/>
                  <w:hideMark/>
                </w:tcPr>
                <w:p w:rsidR="00ED5840" w:rsidRPr="00CD7869" w:rsidRDefault="00ED5840" w:rsidP="003B1FCC">
                  <w:pPr>
                    <w:jc w:val="center"/>
                    <w:rPr>
                      <w:color w:val="000000" w:themeColor="text1"/>
                    </w:rPr>
                  </w:pPr>
                  <w:r w:rsidRPr="00CD7869">
                    <w:t>6,1</w:t>
                  </w:r>
                </w:p>
              </w:tc>
            </w:tr>
          </w:tbl>
          <w:p w:rsidR="00ED5840" w:rsidRDefault="00ED5840" w:rsidP="00ED5840">
            <w:pPr>
              <w:jc w:val="both"/>
              <w:rPr>
                <w:color w:val="000000" w:themeColor="text1"/>
                <w:szCs w:val="28"/>
              </w:rPr>
            </w:pPr>
            <w:r>
              <w:rPr>
                <w:color w:val="000000" w:themeColor="text1"/>
                <w:szCs w:val="28"/>
              </w:rPr>
              <w:t xml:space="preserve">Ņemot vērā, ka </w:t>
            </w:r>
            <w:r w:rsidRPr="00D95700">
              <w:t>elektroenerģijas tirgus problemātikai</w:t>
            </w:r>
            <w:r>
              <w:t xml:space="preserve"> tiek piedāvāti kompleksi</w:t>
            </w:r>
            <w:r w:rsidRPr="00D95700">
              <w:t xml:space="preserve"> risinājumi</w:t>
            </w:r>
            <w:r>
              <w:t>, arī ietekmi uz valsts budžeta ieņēmumu un izdevumu pozīcijām ir nepieciešams skatīt kompleksi un vienoti.</w:t>
            </w:r>
          </w:p>
          <w:p w:rsidR="00ED5840" w:rsidRDefault="00ED5840" w:rsidP="00ED5840">
            <w:pPr>
              <w:jc w:val="both"/>
              <w:rPr>
                <w:color w:val="000000" w:themeColor="text1"/>
              </w:rPr>
            </w:pPr>
            <w:r w:rsidRPr="00572A45">
              <w:rPr>
                <w:color w:val="000000" w:themeColor="text1"/>
                <w:szCs w:val="28"/>
              </w:rPr>
              <w:t xml:space="preserve">Elektroenerģijas apjoms, kas ražots no fosilajiem energoresursiem, salīdzinot ar elektroenerģijas apjomu, kas saražots no AER, ir vairāk kā divas reizes lielāks, kas ietekmē arī katra energoresursa veida daļu OIK. </w:t>
            </w:r>
            <w:r w:rsidRPr="00572A45">
              <w:rPr>
                <w:color w:val="000000" w:themeColor="text1"/>
              </w:rPr>
              <w:t>Laika posmā no 2014.-201</w:t>
            </w:r>
            <w:r>
              <w:rPr>
                <w:color w:val="000000" w:themeColor="text1"/>
              </w:rPr>
              <w:t>7</w:t>
            </w:r>
            <w:r w:rsidRPr="00572A45">
              <w:rPr>
                <w:color w:val="000000" w:themeColor="text1"/>
              </w:rPr>
              <w:t xml:space="preserve">. gadam </w:t>
            </w:r>
            <w:r w:rsidRPr="00CD7869">
              <w:rPr>
                <w:b/>
                <w:color w:val="000000" w:themeColor="text1"/>
              </w:rPr>
              <w:t>SEN iemaksas budžetā veidos 105,6 milj. LVL</w:t>
            </w:r>
            <w:r>
              <w:rPr>
                <w:color w:val="000000" w:themeColor="text1"/>
              </w:rPr>
              <w:t xml:space="preserve"> (2014. gadā – 24,0 milj. LVL; 2015. gadā – 25,9 milj. LVL;</w:t>
            </w:r>
            <w:r w:rsidRPr="00572A45">
              <w:rPr>
                <w:color w:val="000000" w:themeColor="text1"/>
              </w:rPr>
              <w:t xml:space="preserve"> </w:t>
            </w:r>
            <w:r>
              <w:rPr>
                <w:color w:val="000000" w:themeColor="text1"/>
              </w:rPr>
              <w:t xml:space="preserve">2016. gadā – 27,9 milj. </w:t>
            </w:r>
            <w:r w:rsidRPr="00D8294A">
              <w:rPr>
                <w:color w:val="000000" w:themeColor="text1"/>
              </w:rPr>
              <w:t>LVL; 2017.</w:t>
            </w:r>
            <w:r>
              <w:rPr>
                <w:color w:val="000000" w:themeColor="text1"/>
              </w:rPr>
              <w:t xml:space="preserve"> gadā</w:t>
            </w:r>
            <w:r w:rsidRPr="00D8294A">
              <w:rPr>
                <w:color w:val="000000" w:themeColor="text1"/>
              </w:rPr>
              <w:t xml:space="preserve"> – 27,9 milj. LVL).</w:t>
            </w:r>
          </w:p>
          <w:p w:rsidR="00ED5840" w:rsidRPr="00D8294A" w:rsidRDefault="00ED5840" w:rsidP="00ED5840">
            <w:pPr>
              <w:jc w:val="both"/>
              <w:rPr>
                <w:color w:val="000000" w:themeColor="text1"/>
              </w:rPr>
            </w:pPr>
            <w:r>
              <w:rPr>
                <w:color w:val="000000" w:themeColor="text1"/>
              </w:rPr>
              <w:t xml:space="preserve">Jeb izskatot </w:t>
            </w:r>
            <w:r w:rsidRPr="001A5804">
              <w:rPr>
                <w:i/>
                <w:color w:val="000000" w:themeColor="text1"/>
              </w:rPr>
              <w:t>euro</w:t>
            </w:r>
            <w:r>
              <w:rPr>
                <w:color w:val="000000" w:themeColor="text1"/>
              </w:rPr>
              <w:t xml:space="preserve"> valūtā l</w:t>
            </w:r>
            <w:r w:rsidRPr="00572A45">
              <w:rPr>
                <w:color w:val="000000" w:themeColor="text1"/>
              </w:rPr>
              <w:t>aika posmā no 2014.-201</w:t>
            </w:r>
            <w:r>
              <w:rPr>
                <w:color w:val="000000" w:themeColor="text1"/>
              </w:rPr>
              <w:t>7</w:t>
            </w:r>
            <w:r w:rsidRPr="00572A45">
              <w:rPr>
                <w:color w:val="000000" w:themeColor="text1"/>
              </w:rPr>
              <w:t xml:space="preserve">. gadam </w:t>
            </w:r>
            <w:r w:rsidRPr="00CD7869">
              <w:rPr>
                <w:b/>
                <w:color w:val="000000" w:themeColor="text1"/>
              </w:rPr>
              <w:t>SEN iemaksas budžetā veidos 1</w:t>
            </w:r>
            <w:r>
              <w:rPr>
                <w:b/>
                <w:color w:val="000000" w:themeColor="text1"/>
              </w:rPr>
              <w:t xml:space="preserve">50,3 </w:t>
            </w:r>
            <w:r w:rsidRPr="00CD7869">
              <w:rPr>
                <w:b/>
                <w:color w:val="000000" w:themeColor="text1"/>
              </w:rPr>
              <w:t xml:space="preserve">milj. </w:t>
            </w:r>
            <w:r>
              <w:rPr>
                <w:b/>
                <w:color w:val="000000" w:themeColor="text1"/>
              </w:rPr>
              <w:t>euro</w:t>
            </w:r>
            <w:r>
              <w:rPr>
                <w:color w:val="000000" w:themeColor="text1"/>
              </w:rPr>
              <w:t xml:space="preserve"> (2014. gadā – 34,1 milj. </w:t>
            </w:r>
            <w:r w:rsidRPr="001A5804">
              <w:rPr>
                <w:i/>
                <w:color w:val="000000" w:themeColor="text1"/>
              </w:rPr>
              <w:t>euro</w:t>
            </w:r>
            <w:r>
              <w:rPr>
                <w:color w:val="000000" w:themeColor="text1"/>
              </w:rPr>
              <w:t xml:space="preserve">; 2015. gadā – 36,8 milj. </w:t>
            </w:r>
            <w:r w:rsidRPr="00A554BF">
              <w:rPr>
                <w:i/>
                <w:color w:val="000000" w:themeColor="text1"/>
              </w:rPr>
              <w:t>euro</w:t>
            </w:r>
            <w:r>
              <w:rPr>
                <w:color w:val="000000" w:themeColor="text1"/>
              </w:rPr>
              <w:t>;</w:t>
            </w:r>
            <w:r w:rsidRPr="00572A45">
              <w:rPr>
                <w:color w:val="000000" w:themeColor="text1"/>
              </w:rPr>
              <w:t xml:space="preserve"> </w:t>
            </w:r>
            <w:r>
              <w:rPr>
                <w:color w:val="000000" w:themeColor="text1"/>
              </w:rPr>
              <w:t xml:space="preserve">2016. gadā – 39,7 milj. </w:t>
            </w:r>
            <w:r w:rsidRPr="00A554BF">
              <w:rPr>
                <w:i/>
                <w:color w:val="000000" w:themeColor="text1"/>
              </w:rPr>
              <w:t>euro</w:t>
            </w:r>
            <w:r w:rsidRPr="00D8294A">
              <w:rPr>
                <w:color w:val="000000" w:themeColor="text1"/>
              </w:rPr>
              <w:t>; 2017.</w:t>
            </w:r>
            <w:r>
              <w:rPr>
                <w:color w:val="000000" w:themeColor="text1"/>
              </w:rPr>
              <w:t xml:space="preserve"> gadā</w:t>
            </w:r>
            <w:r w:rsidRPr="00D8294A">
              <w:rPr>
                <w:color w:val="000000" w:themeColor="text1"/>
              </w:rPr>
              <w:t xml:space="preserve"> – </w:t>
            </w:r>
            <w:r>
              <w:rPr>
                <w:color w:val="000000" w:themeColor="text1"/>
              </w:rPr>
              <w:t>39,7</w:t>
            </w:r>
            <w:r w:rsidRPr="00D8294A">
              <w:rPr>
                <w:color w:val="000000" w:themeColor="text1"/>
              </w:rPr>
              <w:t xml:space="preserve"> milj. </w:t>
            </w:r>
            <w:r w:rsidRPr="00A554BF">
              <w:rPr>
                <w:i/>
                <w:color w:val="000000" w:themeColor="text1"/>
              </w:rPr>
              <w:t>euro</w:t>
            </w:r>
            <w:r w:rsidRPr="00D8294A">
              <w:rPr>
                <w:color w:val="000000" w:themeColor="text1"/>
              </w:rPr>
              <w:t>).</w:t>
            </w:r>
          </w:p>
          <w:p w:rsidR="00ED5840" w:rsidRPr="00D8294A" w:rsidRDefault="00ED5840" w:rsidP="00ED5840">
            <w:pPr>
              <w:jc w:val="both"/>
              <w:rPr>
                <w:color w:val="000000" w:themeColor="text1"/>
              </w:rPr>
            </w:pPr>
          </w:p>
          <w:p w:rsidR="00ED5840" w:rsidRDefault="00ED5840" w:rsidP="00ED5840">
            <w:pPr>
              <w:pStyle w:val="NormalWeb"/>
              <w:spacing w:before="0" w:beforeAutospacing="0" w:after="0" w:afterAutospacing="0"/>
              <w:jc w:val="both"/>
              <w:rPr>
                <w:color w:val="000000" w:themeColor="text1"/>
              </w:rPr>
            </w:pPr>
            <w:r>
              <w:rPr>
                <w:color w:val="000000" w:themeColor="text1"/>
              </w:rPr>
              <w:t>Pie izdevumu pozīcijas, ir divi virzieni virzieniem, kam tiktu paredzēti no SEN valsts budžetā gūtie ienākumu sadale.</w:t>
            </w:r>
          </w:p>
          <w:p w:rsidR="00ED5840" w:rsidRPr="001352AE" w:rsidRDefault="00ED5840" w:rsidP="00ED5840">
            <w:pPr>
              <w:jc w:val="both"/>
              <w:rPr>
                <w:color w:val="000000" w:themeColor="text1"/>
              </w:rPr>
            </w:pPr>
            <w:r w:rsidRPr="00BA79BC">
              <w:rPr>
                <w:b/>
                <w:color w:val="000000" w:themeColor="text1"/>
              </w:rPr>
              <w:t>1)</w:t>
            </w:r>
            <w:r>
              <w:rPr>
                <w:color w:val="000000" w:themeColor="text1"/>
              </w:rPr>
              <w:t xml:space="preserve"> </w:t>
            </w:r>
            <w:r w:rsidRPr="00A84869">
              <w:rPr>
                <w:color w:val="000000" w:themeColor="text1"/>
                <w:szCs w:val="28"/>
              </w:rPr>
              <w:t xml:space="preserve">Pēc pilnīgas elektroenerģijas tirgus liberalizācijas AS „Latvenergo” vairs nevajadzētu pildīt sociālās palīdzības funkcijas, līdz ar to pašvaldībām būs nepieciešami papildus līdzekļi sociāli mazāk aizsargāto iedzīvotāju atbalstam. </w:t>
            </w:r>
            <w:r>
              <w:rPr>
                <w:color w:val="000000" w:themeColor="text1"/>
                <w:szCs w:val="28"/>
              </w:rPr>
              <w:t>Maznodrošinātām</w:t>
            </w:r>
            <w:r w:rsidRPr="00A84869">
              <w:rPr>
                <w:color w:val="000000" w:themeColor="text1"/>
                <w:szCs w:val="28"/>
              </w:rPr>
              <w:t xml:space="preserve"> mājsaimniecībām vajadzētu kompensēt elektroenerģijas cenas pieaugumu, kur attiecīgi izmaksājamā starpība starp </w:t>
            </w:r>
            <w:r w:rsidRPr="00A84869">
              <w:rPr>
                <w:i/>
                <w:color w:val="000000" w:themeColor="text1"/>
                <w:szCs w:val="28"/>
              </w:rPr>
              <w:t>Starta tarifu</w:t>
            </w:r>
            <w:r w:rsidRPr="00A84869">
              <w:rPr>
                <w:color w:val="000000" w:themeColor="text1"/>
                <w:szCs w:val="28"/>
              </w:rPr>
              <w:t xml:space="preserve"> un </w:t>
            </w:r>
            <w:r w:rsidRPr="00A84869">
              <w:rPr>
                <w:i/>
                <w:color w:val="000000" w:themeColor="text1"/>
                <w:szCs w:val="28"/>
              </w:rPr>
              <w:t>elektroenerģijas kopējo cenu</w:t>
            </w:r>
            <w:r>
              <w:rPr>
                <w:i/>
                <w:color w:val="000000" w:themeColor="text1"/>
                <w:szCs w:val="28"/>
              </w:rPr>
              <w:t xml:space="preserve">. </w:t>
            </w:r>
            <w:r w:rsidRPr="00670EE3">
              <w:rPr>
                <w:color w:val="000000" w:themeColor="text1"/>
              </w:rPr>
              <w:t xml:space="preserve">Kopumā plānotais </w:t>
            </w:r>
            <w:r w:rsidRPr="007343EF">
              <w:rPr>
                <w:color w:val="000000" w:themeColor="text1"/>
              </w:rPr>
              <w:t>sociālā atbalsta instrumentam laika periodam līdz 2016. gadam būs nepieciešami</w:t>
            </w:r>
            <w:r w:rsidRPr="006F5442">
              <w:rPr>
                <w:b/>
                <w:color w:val="000000" w:themeColor="text1"/>
              </w:rPr>
              <w:t xml:space="preserve"> 9,9 milj. LVL</w:t>
            </w:r>
            <w:r w:rsidRPr="00670EE3">
              <w:rPr>
                <w:color w:val="000000" w:themeColor="text1"/>
              </w:rPr>
              <w:t>, no kuriem 2,7 milj. LVL tiktu izmaksāti 2014. gadā, sākot ar 1. aprīli, kad tiks atvērts elektroenerģijas tirgus un stāsies spēkā jaunā OIK, un 3,6 milj. LVL 2015. gadā un 3,6 milj. LVL 2016. </w:t>
            </w:r>
            <w:r w:rsidRPr="001352AE">
              <w:rPr>
                <w:color w:val="000000" w:themeColor="text1"/>
              </w:rPr>
              <w:t xml:space="preserve">gadā. </w:t>
            </w:r>
          </w:p>
          <w:p w:rsidR="001352AE" w:rsidRPr="001352AE" w:rsidRDefault="001352AE" w:rsidP="00ED5840">
            <w:pPr>
              <w:jc w:val="both"/>
              <w:rPr>
                <w:color w:val="000000" w:themeColor="text1"/>
              </w:rPr>
            </w:pPr>
            <w:r w:rsidRPr="001352AE">
              <w:rPr>
                <w:b/>
                <w:color w:val="000000" w:themeColor="text1"/>
              </w:rPr>
              <w:t xml:space="preserve">Finansējums </w:t>
            </w:r>
            <w:r w:rsidR="003A1DC4">
              <w:rPr>
                <w:b/>
                <w:color w:val="000000" w:themeColor="text1"/>
              </w:rPr>
              <w:t xml:space="preserve">katru gadu valsts budžeta ietvaros </w:t>
            </w:r>
            <w:r w:rsidRPr="001352AE">
              <w:rPr>
                <w:b/>
                <w:color w:val="000000" w:themeColor="text1"/>
              </w:rPr>
              <w:t>piešķirams Labklājības ministrijai, kura nodrošinātu sociālā instrumenta izpildi.</w:t>
            </w:r>
          </w:p>
          <w:p w:rsidR="00ED5840" w:rsidRPr="001352AE" w:rsidRDefault="00ED5840" w:rsidP="001352AE">
            <w:pPr>
              <w:spacing w:after="120"/>
              <w:jc w:val="both"/>
              <w:outlineLvl w:val="0"/>
              <w:rPr>
                <w:color w:val="000000" w:themeColor="text1"/>
              </w:rPr>
            </w:pPr>
            <w:r w:rsidRPr="001352AE">
              <w:t xml:space="preserve">Paredzēts,  ka </w:t>
            </w:r>
            <w:r w:rsidR="003A1DC4">
              <w:t>n</w:t>
            </w:r>
            <w:r w:rsidR="001352AE" w:rsidRPr="001352AE">
              <w:t>o 2014. gada līdz 201</w:t>
            </w:r>
            <w:r w:rsidR="003A1DC4">
              <w:t>7</w:t>
            </w:r>
            <w:r w:rsidR="001352AE" w:rsidRPr="001352AE">
              <w:t xml:space="preserve">. gada 31. decembrim valsts piešķir mērķdotāciju pašvaldībām Ministru kabineta noteiktajā apmērā un kārtībā dzīvokļa pabalsta izmaksu nodrošināšanai iedzīvotājiem atbilstoši gadskārtējā valsts budžeta likumā piešķirtajiem līdzekļiem. </w:t>
            </w:r>
          </w:p>
          <w:p w:rsidR="00ED5840" w:rsidRPr="007C1BFA" w:rsidRDefault="00ED5840" w:rsidP="00ED5840">
            <w:pPr>
              <w:jc w:val="both"/>
              <w:rPr>
                <w:color w:val="000000" w:themeColor="text1"/>
                <w:szCs w:val="28"/>
              </w:rPr>
            </w:pPr>
            <w:r w:rsidRPr="00BA79BC">
              <w:rPr>
                <w:b/>
                <w:color w:val="000000" w:themeColor="text1"/>
              </w:rPr>
              <w:t>2)</w:t>
            </w:r>
            <w:r>
              <w:rPr>
                <w:color w:val="000000" w:themeColor="text1"/>
              </w:rPr>
              <w:t xml:space="preserve"> </w:t>
            </w:r>
            <w:r>
              <w:rPr>
                <w:color w:val="000000" w:themeColor="text1"/>
                <w:szCs w:val="28"/>
              </w:rPr>
              <w:t>Valsts pienākums ir veikt pasākumus sociālā taisnīguma un ekonomiskās labklājības nodrošināšanai un veicināšanai, un šī pienākuma īstenošanā valstij ir plaša lēmumu pieņemšanas un rīcības brīvība. Ekonomikas ministrijas ieskatā optimāls risinājums</w:t>
            </w:r>
            <w:r w:rsidRPr="007C1BFA">
              <w:rPr>
                <w:color w:val="000000" w:themeColor="text1"/>
                <w:szCs w:val="28"/>
              </w:rPr>
              <w:t xml:space="preserve"> </w:t>
            </w:r>
            <w:r>
              <w:rPr>
                <w:color w:val="000000" w:themeColor="text1"/>
                <w:szCs w:val="28"/>
              </w:rPr>
              <w:t xml:space="preserve">OIK turpmāka pieauguma radīto seku novēršanai, kas pilnībā iekļautos valsts rīcības brīvības robežās, ir </w:t>
            </w:r>
            <w:r w:rsidRPr="007C1BFA">
              <w:rPr>
                <w:color w:val="000000" w:themeColor="text1"/>
                <w:szCs w:val="28"/>
              </w:rPr>
              <w:t>atsevišķ</w:t>
            </w:r>
            <w:r>
              <w:rPr>
                <w:color w:val="000000" w:themeColor="text1"/>
                <w:szCs w:val="28"/>
              </w:rPr>
              <w:t>a</w:t>
            </w:r>
            <w:r w:rsidRPr="007C1BFA">
              <w:rPr>
                <w:color w:val="000000" w:themeColor="text1"/>
                <w:szCs w:val="28"/>
              </w:rPr>
              <w:t xml:space="preserve"> mehānism</w:t>
            </w:r>
            <w:r>
              <w:rPr>
                <w:color w:val="000000" w:themeColor="text1"/>
                <w:szCs w:val="28"/>
              </w:rPr>
              <w:t>a</w:t>
            </w:r>
            <w:r w:rsidRPr="007C1BFA">
              <w:rPr>
                <w:color w:val="000000" w:themeColor="text1"/>
                <w:szCs w:val="28"/>
              </w:rPr>
              <w:t>, kurā attiecīgi saplūstu gan lietotāju maksājumi, gan maksājumi no valsts budžeta</w:t>
            </w:r>
            <w:r>
              <w:rPr>
                <w:color w:val="000000" w:themeColor="text1"/>
                <w:szCs w:val="28"/>
              </w:rPr>
              <w:t xml:space="preserve">, </w:t>
            </w:r>
            <w:r>
              <w:rPr>
                <w:color w:val="000000" w:themeColor="text1"/>
                <w:szCs w:val="28"/>
              </w:rPr>
              <w:lastRenderedPageBreak/>
              <w:t>izveidošana</w:t>
            </w:r>
            <w:r w:rsidRPr="007C1BFA">
              <w:rPr>
                <w:color w:val="000000" w:themeColor="text1"/>
                <w:szCs w:val="28"/>
              </w:rPr>
              <w:t>.</w:t>
            </w:r>
            <w:r>
              <w:rPr>
                <w:color w:val="000000" w:themeColor="text1"/>
                <w:szCs w:val="28"/>
              </w:rPr>
              <w:t xml:space="preserve"> </w:t>
            </w:r>
            <w:r w:rsidRPr="007C1BFA">
              <w:rPr>
                <w:color w:val="000000" w:themeColor="text1"/>
                <w:szCs w:val="28"/>
              </w:rPr>
              <w:t xml:space="preserve"> </w:t>
            </w:r>
          </w:p>
          <w:p w:rsidR="00ED5840" w:rsidRDefault="00ED5840" w:rsidP="00ED5840">
            <w:pPr>
              <w:jc w:val="both"/>
              <w:rPr>
                <w:color w:val="000000" w:themeColor="text1"/>
                <w:szCs w:val="28"/>
              </w:rPr>
            </w:pPr>
            <w:r>
              <w:rPr>
                <w:color w:val="000000" w:themeColor="text1"/>
                <w:szCs w:val="28"/>
              </w:rPr>
              <w:t>Pēc rūpniecības uzņēmumu vērtējuma pašreizējam</w:t>
            </w:r>
            <w:r w:rsidRPr="007C1BFA">
              <w:rPr>
                <w:color w:val="000000" w:themeColor="text1"/>
                <w:szCs w:val="28"/>
              </w:rPr>
              <w:t xml:space="preserve"> OIK </w:t>
            </w:r>
            <w:r>
              <w:rPr>
                <w:color w:val="000000" w:themeColor="text1"/>
                <w:szCs w:val="28"/>
              </w:rPr>
              <w:t>līmenim</w:t>
            </w:r>
            <w:r w:rsidRPr="007C1BFA">
              <w:rPr>
                <w:color w:val="000000" w:themeColor="text1"/>
                <w:szCs w:val="28"/>
              </w:rPr>
              <w:t xml:space="preserve"> (1,89 sant./kWh) </w:t>
            </w:r>
            <w:r>
              <w:rPr>
                <w:color w:val="000000" w:themeColor="text1"/>
                <w:szCs w:val="28"/>
              </w:rPr>
              <w:t>nav pieļaujams pieaugums, lai saglabātu tautsaimniecības</w:t>
            </w:r>
            <w:r w:rsidRPr="007C1BFA">
              <w:rPr>
                <w:color w:val="000000" w:themeColor="text1"/>
                <w:szCs w:val="28"/>
              </w:rPr>
              <w:t xml:space="preserve"> konkurētspēju. </w:t>
            </w:r>
            <w:r>
              <w:rPr>
                <w:color w:val="000000" w:themeColor="text1"/>
                <w:szCs w:val="28"/>
              </w:rPr>
              <w:t>Kā minēts, t</w:t>
            </w:r>
            <w:r w:rsidRPr="007C1BFA">
              <w:rPr>
                <w:color w:val="000000" w:themeColor="text1"/>
                <w:szCs w:val="28"/>
              </w:rPr>
              <w:t>urpmāks OIK pieaugums negatīvi ietekmētu gan rūpnieciskos ražotājus, gan mājsaimniecības. T</w:t>
            </w:r>
            <w:r>
              <w:rPr>
                <w:color w:val="000000" w:themeColor="text1"/>
                <w:szCs w:val="28"/>
              </w:rPr>
              <w:t>ai pat laikā jānorāda</w:t>
            </w:r>
            <w:r w:rsidRPr="007C1BFA">
              <w:rPr>
                <w:color w:val="000000" w:themeColor="text1"/>
                <w:szCs w:val="28"/>
              </w:rPr>
              <w:t xml:space="preserve">, </w:t>
            </w:r>
            <w:r>
              <w:rPr>
                <w:color w:val="000000" w:themeColor="text1"/>
                <w:szCs w:val="28"/>
              </w:rPr>
              <w:t xml:space="preserve">ka, </w:t>
            </w:r>
            <w:r w:rsidRPr="007C1BFA">
              <w:rPr>
                <w:color w:val="000000" w:themeColor="text1"/>
                <w:szCs w:val="28"/>
              </w:rPr>
              <w:t xml:space="preserve">saglabājot OIK </w:t>
            </w:r>
            <w:r>
              <w:rPr>
                <w:color w:val="000000" w:themeColor="text1"/>
                <w:szCs w:val="28"/>
              </w:rPr>
              <w:t>2013.gada</w:t>
            </w:r>
            <w:r w:rsidRPr="007C1BFA">
              <w:rPr>
                <w:color w:val="000000" w:themeColor="text1"/>
                <w:szCs w:val="28"/>
              </w:rPr>
              <w:t xml:space="preserve"> līmenī, netiktu nodrošināts nepieciešamais atbalsta </w:t>
            </w:r>
            <w:r>
              <w:rPr>
                <w:color w:val="000000" w:themeColor="text1"/>
                <w:szCs w:val="28"/>
              </w:rPr>
              <w:t>apjoms</w:t>
            </w:r>
            <w:r w:rsidRPr="007C1BFA">
              <w:rPr>
                <w:color w:val="000000" w:themeColor="text1"/>
                <w:szCs w:val="28"/>
              </w:rPr>
              <w:t xml:space="preserve"> elektroenerģijas ražotājiem, kas saņēmuši tiesības pārdot elektroenerģiju OI ietvaros vai tiesības saņemt garantēto maksu par uzstādīto jaudu. Tāpēc pēc </w:t>
            </w:r>
            <w:r>
              <w:rPr>
                <w:color w:val="000000" w:themeColor="text1"/>
                <w:szCs w:val="28"/>
              </w:rPr>
              <w:t>Ekonomikas ministrijas</w:t>
            </w:r>
            <w:r w:rsidRPr="007C1BFA">
              <w:rPr>
                <w:color w:val="000000" w:themeColor="text1"/>
                <w:szCs w:val="28"/>
              </w:rPr>
              <w:t xml:space="preserve"> provizoriska vērtējuma, lai trīs gadu periodā</w:t>
            </w:r>
            <w:r>
              <w:rPr>
                <w:color w:val="000000" w:themeColor="text1"/>
                <w:szCs w:val="28"/>
              </w:rPr>
              <w:t xml:space="preserve"> no 2014. gada 1. aprīļa līdz </w:t>
            </w:r>
            <w:r w:rsidRPr="00EB5FBB">
              <w:rPr>
                <w:color w:val="000000" w:themeColor="text1"/>
                <w:szCs w:val="28"/>
                <w:u w:val="single"/>
              </w:rPr>
              <w:t>2017.</w:t>
            </w:r>
            <w:r>
              <w:rPr>
                <w:color w:val="000000" w:themeColor="text1"/>
                <w:szCs w:val="28"/>
                <w:u w:val="single"/>
              </w:rPr>
              <w:t> </w:t>
            </w:r>
            <w:r w:rsidRPr="00EB5FBB">
              <w:rPr>
                <w:color w:val="000000" w:themeColor="text1"/>
                <w:szCs w:val="28"/>
                <w:u w:val="single"/>
              </w:rPr>
              <w:t>gada 31.</w:t>
            </w:r>
            <w:r>
              <w:rPr>
                <w:color w:val="000000" w:themeColor="text1"/>
                <w:szCs w:val="28"/>
                <w:u w:val="single"/>
              </w:rPr>
              <w:t> </w:t>
            </w:r>
            <w:r w:rsidRPr="00EB5FBB">
              <w:rPr>
                <w:color w:val="000000" w:themeColor="text1"/>
                <w:szCs w:val="28"/>
                <w:u w:val="single"/>
              </w:rPr>
              <w:t>martam</w:t>
            </w:r>
            <w:r w:rsidRPr="007C1BFA">
              <w:rPr>
                <w:color w:val="000000" w:themeColor="text1"/>
                <w:szCs w:val="28"/>
              </w:rPr>
              <w:t xml:space="preserve"> OIK saglabātu 1,89 sant./kWh līmenī</w:t>
            </w:r>
            <w:r>
              <w:rPr>
                <w:color w:val="000000" w:themeColor="text1"/>
                <w:szCs w:val="28"/>
              </w:rPr>
              <w:t>,</w:t>
            </w:r>
            <w:r w:rsidRPr="00990F71">
              <w:rPr>
                <w:color w:val="000000" w:themeColor="text1"/>
                <w:szCs w:val="28"/>
              </w:rPr>
              <w:t xml:space="preserve"> </w:t>
            </w:r>
            <w:r w:rsidRPr="007C1BFA">
              <w:rPr>
                <w:color w:val="000000" w:themeColor="text1"/>
                <w:szCs w:val="28"/>
              </w:rPr>
              <w:t xml:space="preserve">kopā </w:t>
            </w:r>
            <w:r w:rsidRPr="006F5442">
              <w:rPr>
                <w:b/>
                <w:color w:val="000000" w:themeColor="text1"/>
                <w:szCs w:val="28"/>
              </w:rPr>
              <w:t>papildus nepieciešami līdzekļi 103,6 milj. LVL apjomā</w:t>
            </w:r>
            <w:r>
              <w:rPr>
                <w:color w:val="000000" w:themeColor="text1"/>
                <w:szCs w:val="28"/>
              </w:rPr>
              <w:t xml:space="preserve"> -</w:t>
            </w:r>
            <w:r w:rsidRPr="007C1BFA">
              <w:rPr>
                <w:color w:val="000000" w:themeColor="text1"/>
                <w:szCs w:val="28"/>
              </w:rPr>
              <w:t xml:space="preserve"> 2014. gadā 2</w:t>
            </w:r>
            <w:r>
              <w:rPr>
                <w:color w:val="000000" w:themeColor="text1"/>
                <w:szCs w:val="28"/>
              </w:rPr>
              <w:t>0</w:t>
            </w:r>
            <w:r w:rsidRPr="007C1BFA">
              <w:rPr>
                <w:color w:val="000000" w:themeColor="text1"/>
                <w:szCs w:val="28"/>
              </w:rPr>
              <w:t>,</w:t>
            </w:r>
            <w:r>
              <w:rPr>
                <w:color w:val="000000" w:themeColor="text1"/>
                <w:szCs w:val="28"/>
              </w:rPr>
              <w:t>5</w:t>
            </w:r>
            <w:r w:rsidRPr="007C1BFA">
              <w:rPr>
                <w:color w:val="000000" w:themeColor="text1"/>
                <w:szCs w:val="28"/>
              </w:rPr>
              <w:t xml:space="preserve"> milj. LVL, 2015. gadā </w:t>
            </w:r>
            <w:r>
              <w:rPr>
                <w:color w:val="000000" w:themeColor="text1"/>
                <w:szCs w:val="28"/>
              </w:rPr>
              <w:t>33,5</w:t>
            </w:r>
            <w:r w:rsidRPr="007C1BFA">
              <w:rPr>
                <w:color w:val="000000" w:themeColor="text1"/>
                <w:szCs w:val="28"/>
              </w:rPr>
              <w:t xml:space="preserve"> milj. LVL, 2016. gadā </w:t>
            </w:r>
            <w:r>
              <w:rPr>
                <w:color w:val="000000" w:themeColor="text1"/>
                <w:szCs w:val="28"/>
              </w:rPr>
              <w:t>39,4</w:t>
            </w:r>
            <w:r w:rsidRPr="007C1BFA">
              <w:rPr>
                <w:color w:val="000000" w:themeColor="text1"/>
                <w:szCs w:val="28"/>
              </w:rPr>
              <w:t xml:space="preserve"> milj. LVL, savukārt 2017. gadā 1</w:t>
            </w:r>
            <w:r>
              <w:rPr>
                <w:color w:val="000000" w:themeColor="text1"/>
                <w:szCs w:val="28"/>
              </w:rPr>
              <w:t>0</w:t>
            </w:r>
            <w:r w:rsidRPr="007C1BFA">
              <w:rPr>
                <w:color w:val="000000" w:themeColor="text1"/>
                <w:szCs w:val="28"/>
              </w:rPr>
              <w:t>,</w:t>
            </w:r>
            <w:r>
              <w:rPr>
                <w:color w:val="000000" w:themeColor="text1"/>
                <w:szCs w:val="28"/>
              </w:rPr>
              <w:t>2</w:t>
            </w:r>
            <w:r w:rsidRPr="007C1BFA">
              <w:rPr>
                <w:color w:val="000000" w:themeColor="text1"/>
                <w:szCs w:val="28"/>
              </w:rPr>
              <w:t xml:space="preserve"> milj. LVL. Periodā no 2014. līdz 2016. gadam nepieciešamais papildu </w:t>
            </w:r>
            <w:r w:rsidRPr="009B58D0">
              <w:rPr>
                <w:color w:val="000000" w:themeColor="text1"/>
                <w:szCs w:val="28"/>
              </w:rPr>
              <w:t xml:space="preserve">finansējums ir </w:t>
            </w:r>
            <w:r>
              <w:rPr>
                <w:color w:val="000000" w:themeColor="text1"/>
                <w:szCs w:val="28"/>
              </w:rPr>
              <w:t>93</w:t>
            </w:r>
            <w:r w:rsidRPr="009B58D0">
              <w:rPr>
                <w:color w:val="000000" w:themeColor="text1"/>
                <w:szCs w:val="28"/>
              </w:rPr>
              <w:t>,</w:t>
            </w:r>
            <w:r>
              <w:rPr>
                <w:color w:val="000000" w:themeColor="text1"/>
                <w:szCs w:val="28"/>
              </w:rPr>
              <w:t>4</w:t>
            </w:r>
            <w:r w:rsidRPr="009B58D0">
              <w:rPr>
                <w:color w:val="000000" w:themeColor="text1"/>
                <w:szCs w:val="28"/>
              </w:rPr>
              <w:t xml:space="preserve"> milj. LVL.</w:t>
            </w:r>
            <w:r w:rsidRPr="007C1BFA">
              <w:rPr>
                <w:color w:val="000000" w:themeColor="text1"/>
                <w:szCs w:val="28"/>
              </w:rPr>
              <w:t xml:space="preserve"> </w:t>
            </w:r>
          </w:p>
          <w:p w:rsidR="00ED5840" w:rsidRDefault="00ED5840" w:rsidP="00ED5840">
            <w:pPr>
              <w:pStyle w:val="NormalWeb"/>
              <w:spacing w:before="0" w:beforeAutospacing="0" w:after="0" w:afterAutospacing="0"/>
              <w:jc w:val="both"/>
              <w:rPr>
                <w:color w:val="000000" w:themeColor="text1"/>
              </w:rPr>
            </w:pPr>
            <w:r>
              <w:rPr>
                <w:color w:val="000000" w:themeColor="text1"/>
              </w:rPr>
              <w:t xml:space="preserve">Kopumā izdevumu pozīcija </w:t>
            </w:r>
            <w:r w:rsidRPr="00572A45">
              <w:rPr>
                <w:color w:val="000000" w:themeColor="text1"/>
              </w:rPr>
              <w:t>2014.-201</w:t>
            </w:r>
            <w:r>
              <w:rPr>
                <w:color w:val="000000" w:themeColor="text1"/>
              </w:rPr>
              <w:t>7</w:t>
            </w:r>
            <w:r w:rsidRPr="00572A45">
              <w:rPr>
                <w:color w:val="000000" w:themeColor="text1"/>
              </w:rPr>
              <w:t>. </w:t>
            </w:r>
            <w:r w:rsidR="003A1DC4">
              <w:rPr>
                <w:color w:val="000000" w:themeColor="text1"/>
              </w:rPr>
              <w:t>g</w:t>
            </w:r>
            <w:r w:rsidRPr="00572A45">
              <w:rPr>
                <w:color w:val="000000" w:themeColor="text1"/>
              </w:rPr>
              <w:t>adam</w:t>
            </w:r>
            <w:r>
              <w:rPr>
                <w:color w:val="000000" w:themeColor="text1"/>
              </w:rPr>
              <w:t xml:space="preserve">, ņemot vērā iepriekš aprakstītos divus virzienus, veidotu </w:t>
            </w:r>
            <w:r w:rsidRPr="006F5442">
              <w:rPr>
                <w:b/>
                <w:color w:val="000000" w:themeColor="text1"/>
              </w:rPr>
              <w:t>113,5 milj.</w:t>
            </w:r>
            <w:r>
              <w:rPr>
                <w:b/>
                <w:color w:val="000000" w:themeColor="text1"/>
              </w:rPr>
              <w:t> </w:t>
            </w:r>
            <w:r w:rsidRPr="006F5442">
              <w:rPr>
                <w:b/>
                <w:color w:val="000000" w:themeColor="text1"/>
              </w:rPr>
              <w:t>LVL</w:t>
            </w:r>
            <w:r>
              <w:rPr>
                <w:color w:val="000000" w:themeColor="text1"/>
              </w:rPr>
              <w:t>, kas pa gadiem sadalītos šādi: 2014. gadā – 23,2 milj. LVL; 2015. gadā – 37,1 milj. LVL 2016. gadā – 43,0 milj. LVL, 2017. gadā – 10,2 milj. LVL.</w:t>
            </w:r>
          </w:p>
          <w:p w:rsidR="00ED5840" w:rsidRDefault="00ED5840" w:rsidP="00ED5840">
            <w:pPr>
              <w:pStyle w:val="NormalWeb"/>
              <w:spacing w:before="0" w:beforeAutospacing="0" w:after="0" w:afterAutospacing="0"/>
              <w:jc w:val="both"/>
              <w:rPr>
                <w:bCs/>
                <w:color w:val="000000" w:themeColor="text1"/>
                <w:szCs w:val="28"/>
              </w:rPr>
            </w:pPr>
          </w:p>
          <w:p w:rsidR="00ED5840" w:rsidRPr="00923749" w:rsidRDefault="00ED5840" w:rsidP="00ED5840">
            <w:pPr>
              <w:pStyle w:val="NormalWeb"/>
              <w:spacing w:before="0" w:beforeAutospacing="0" w:after="0" w:afterAutospacing="0"/>
              <w:jc w:val="both"/>
              <w:rPr>
                <w:color w:val="000000" w:themeColor="text1"/>
              </w:rPr>
            </w:pPr>
            <w:r>
              <w:rPr>
                <w:bCs/>
                <w:color w:val="000000" w:themeColor="text1"/>
                <w:szCs w:val="28"/>
              </w:rPr>
              <w:t>Vienlaikus, p</w:t>
            </w:r>
            <w:r w:rsidRPr="007C1BFA">
              <w:rPr>
                <w:bCs/>
                <w:color w:val="000000" w:themeColor="text1"/>
                <w:szCs w:val="28"/>
              </w:rPr>
              <w:t>ieaugot elektroenerģijas kopējai cenai, proporcionāli palielinās arī aprēķināmā pievienotās vērtības nodokļa (turpmāk – PVN) summa (šobrīd elektroenerģijas piegādēm piemēro PVN standartlikmi 21 procenta apmērā)</w:t>
            </w:r>
            <w:r w:rsidRPr="007C1BFA">
              <w:rPr>
                <w:color w:val="000000" w:themeColor="text1"/>
                <w:szCs w:val="28"/>
              </w:rPr>
              <w:t xml:space="preserve">. Paredzēts, ka pie kopējās cenas </w:t>
            </w:r>
            <w:r w:rsidRPr="007C1BFA">
              <w:rPr>
                <w:bCs/>
                <w:color w:val="000000" w:themeColor="text1"/>
                <w:szCs w:val="28"/>
              </w:rPr>
              <w:t>ar PVN</w:t>
            </w:r>
            <w:r w:rsidRPr="007C1BFA">
              <w:rPr>
                <w:color w:val="000000" w:themeColor="text1"/>
                <w:szCs w:val="28"/>
              </w:rPr>
              <w:t xml:space="preserve"> 11,30 sant./kWh PVN </w:t>
            </w:r>
            <w:r w:rsidRPr="007C1BFA">
              <w:rPr>
                <w:bCs/>
                <w:color w:val="000000" w:themeColor="text1"/>
                <w:szCs w:val="28"/>
              </w:rPr>
              <w:t>summa</w:t>
            </w:r>
            <w:r w:rsidRPr="007C1BFA">
              <w:rPr>
                <w:color w:val="000000" w:themeColor="text1"/>
                <w:szCs w:val="28"/>
              </w:rPr>
              <w:t xml:space="preserve"> sastādīs 1,96 sant., kas, salīdzinot ar PVN </w:t>
            </w:r>
            <w:r w:rsidRPr="007C1BFA">
              <w:rPr>
                <w:bCs/>
                <w:color w:val="000000" w:themeColor="text1"/>
                <w:szCs w:val="28"/>
              </w:rPr>
              <w:t xml:space="preserve">summu, kas ietilpst </w:t>
            </w:r>
            <w:r w:rsidRPr="007C1BFA">
              <w:rPr>
                <w:bCs/>
                <w:i/>
                <w:color w:val="000000" w:themeColor="text1"/>
                <w:szCs w:val="28"/>
              </w:rPr>
              <w:t>Starta tarifā</w:t>
            </w:r>
            <w:r w:rsidRPr="007C1BFA">
              <w:rPr>
                <w:bCs/>
                <w:color w:val="000000" w:themeColor="text1"/>
                <w:szCs w:val="28"/>
              </w:rPr>
              <w:t>,</w:t>
            </w:r>
            <w:r w:rsidRPr="007C1BFA">
              <w:rPr>
                <w:color w:val="000000" w:themeColor="text1"/>
                <w:szCs w:val="28"/>
              </w:rPr>
              <w:t xml:space="preserve"> nozīmē </w:t>
            </w:r>
            <w:r w:rsidRPr="007C1BFA">
              <w:rPr>
                <w:bCs/>
                <w:color w:val="000000" w:themeColor="text1"/>
                <w:szCs w:val="28"/>
              </w:rPr>
              <w:t>PVN summas</w:t>
            </w:r>
            <w:r w:rsidRPr="007C1BFA">
              <w:rPr>
                <w:color w:val="000000" w:themeColor="text1"/>
                <w:szCs w:val="28"/>
              </w:rPr>
              <w:t xml:space="preserve"> pieaugumu par 0,54 santīmiem. Gada griezumā kopējais </w:t>
            </w:r>
            <w:r w:rsidRPr="007C1BFA">
              <w:rPr>
                <w:bCs/>
                <w:color w:val="000000" w:themeColor="text1"/>
                <w:szCs w:val="28"/>
              </w:rPr>
              <w:t>elektroenerģijas cenas</w:t>
            </w:r>
            <w:r w:rsidRPr="007C1BFA">
              <w:rPr>
                <w:color w:val="000000" w:themeColor="text1"/>
                <w:szCs w:val="28"/>
              </w:rPr>
              <w:t xml:space="preserve"> pieaugums veidos papildus PVN </w:t>
            </w:r>
            <w:r w:rsidRPr="007C1BFA">
              <w:rPr>
                <w:bCs/>
                <w:color w:val="000000" w:themeColor="text1"/>
                <w:szCs w:val="28"/>
              </w:rPr>
              <w:t>maksājumus</w:t>
            </w:r>
            <w:r>
              <w:rPr>
                <w:color w:val="000000" w:themeColor="text1"/>
                <w:szCs w:val="28"/>
              </w:rPr>
              <w:t xml:space="preserve"> aptuveni 5.milj. LVL 2014.gadā, bet 2015.-2017. gadā un </w:t>
            </w:r>
            <w:r w:rsidRPr="00923749">
              <w:rPr>
                <w:color w:val="000000" w:themeColor="text1"/>
              </w:rPr>
              <w:t>turpmākajos gados aptuveni 6,7 milj. LVL apmērā katru gadu.</w:t>
            </w:r>
          </w:p>
          <w:p w:rsidR="00ED5840" w:rsidRPr="00923749" w:rsidRDefault="00ED5840" w:rsidP="00ED5840">
            <w:pPr>
              <w:pStyle w:val="NormalWeb"/>
              <w:spacing w:before="0" w:beforeAutospacing="0" w:after="0" w:afterAutospacing="0"/>
              <w:jc w:val="both"/>
              <w:rPr>
                <w:color w:val="000000" w:themeColor="text1"/>
              </w:rPr>
            </w:pPr>
          </w:p>
          <w:p w:rsidR="00ED5840" w:rsidRPr="00923749" w:rsidRDefault="00ED5840" w:rsidP="00ED5840">
            <w:pPr>
              <w:pStyle w:val="NormalWeb"/>
              <w:spacing w:before="0" w:beforeAutospacing="0" w:after="0" w:afterAutospacing="0"/>
              <w:jc w:val="both"/>
              <w:rPr>
                <w:color w:val="000000" w:themeColor="text1"/>
              </w:rPr>
            </w:pPr>
            <w:r w:rsidRPr="00923749">
              <w:rPr>
                <w:color w:val="000000" w:themeColor="text1"/>
              </w:rPr>
              <w:t xml:space="preserve">Savukārt efekts no </w:t>
            </w:r>
            <w:r>
              <w:rPr>
                <w:color w:val="000000" w:themeColor="text1"/>
              </w:rPr>
              <w:t>akciju sabiedrības</w:t>
            </w:r>
            <w:r w:rsidRPr="00923749">
              <w:rPr>
                <w:color w:val="000000" w:themeColor="text1"/>
              </w:rPr>
              <w:t xml:space="preserve"> „Latvenergo” dividenžu iemaks</w:t>
            </w:r>
            <w:r>
              <w:rPr>
                <w:color w:val="000000" w:themeColor="text1"/>
              </w:rPr>
              <w:t>u pieaugumu</w:t>
            </w:r>
            <w:r w:rsidRPr="00923749">
              <w:rPr>
                <w:color w:val="000000" w:themeColor="text1"/>
              </w:rPr>
              <w:t xml:space="preserve"> valsts budžetā veidos 4,9 milj. LVL 2015.gadā un attiecīgi 8,4 milj.LVL 2016. un 2017.</w:t>
            </w:r>
            <w:r>
              <w:rPr>
                <w:color w:val="000000" w:themeColor="text1"/>
              </w:rPr>
              <w:t> </w:t>
            </w:r>
            <w:r w:rsidRPr="00923749">
              <w:rPr>
                <w:color w:val="000000" w:themeColor="text1"/>
              </w:rPr>
              <w:t>gadā.</w:t>
            </w:r>
          </w:p>
          <w:p w:rsidR="00ED5840" w:rsidRPr="00923749" w:rsidRDefault="00ED5840" w:rsidP="00ED5840">
            <w:pPr>
              <w:pStyle w:val="NormalWeb"/>
              <w:spacing w:before="0" w:beforeAutospacing="0" w:after="0" w:afterAutospacing="0"/>
              <w:jc w:val="both"/>
              <w:rPr>
                <w:color w:val="000000" w:themeColor="text1"/>
              </w:rPr>
            </w:pPr>
          </w:p>
          <w:p w:rsidR="00F00FC8" w:rsidRDefault="00ED5840" w:rsidP="00ED5840">
            <w:pPr>
              <w:jc w:val="both"/>
              <w:rPr>
                <w:color w:val="000000" w:themeColor="text1"/>
              </w:rPr>
            </w:pPr>
            <w:r w:rsidRPr="00EB5FBB">
              <w:rPr>
                <w:color w:val="000000" w:themeColor="text1"/>
              </w:rPr>
              <w:t xml:space="preserve">Ministru kabineta 2013. gada 27. augusta protokollēmuma Nr.46, </w:t>
            </w:r>
            <w:r w:rsidRPr="00EB5FBB">
              <w:rPr>
                <w:bCs/>
                <w:color w:val="000000" w:themeColor="text1"/>
              </w:rPr>
              <w:t>102. § 17. punkt</w:t>
            </w:r>
            <w:r>
              <w:rPr>
                <w:bCs/>
                <w:color w:val="000000" w:themeColor="text1"/>
              </w:rPr>
              <w:t>s</w:t>
            </w:r>
            <w:r w:rsidRPr="00EB5FBB">
              <w:rPr>
                <w:bCs/>
                <w:color w:val="000000" w:themeColor="text1"/>
              </w:rPr>
              <w:t xml:space="preserve"> nosaka - </w:t>
            </w:r>
            <w:r>
              <w:rPr>
                <w:color w:val="000000" w:themeColor="text1"/>
              </w:rPr>
              <w:t>a</w:t>
            </w:r>
            <w:r w:rsidRPr="00EB5FBB">
              <w:rPr>
                <w:color w:val="000000" w:themeColor="text1"/>
              </w:rPr>
              <w:t>tbalstīt Ekonomikas ministrijas priekšlikumu palielināt valsts pamatbudžeta ieņēmumus no subsidētās enerģijas nodokļa 2014.</w:t>
            </w:r>
            <w:r>
              <w:rPr>
                <w:color w:val="000000" w:themeColor="text1"/>
              </w:rPr>
              <w:t> </w:t>
            </w:r>
            <w:r w:rsidRPr="00EB5FBB">
              <w:rPr>
                <w:color w:val="000000" w:themeColor="text1"/>
              </w:rPr>
              <w:t>gadā 24 000 000 latu apmērā, 2015.</w:t>
            </w:r>
            <w:r>
              <w:rPr>
                <w:color w:val="000000" w:themeColor="text1"/>
              </w:rPr>
              <w:t> </w:t>
            </w:r>
            <w:r w:rsidRPr="00EB5FBB">
              <w:rPr>
                <w:color w:val="000000" w:themeColor="text1"/>
              </w:rPr>
              <w:t>gadā 25 900 000 latu apmērā un 2016.</w:t>
            </w:r>
            <w:r>
              <w:rPr>
                <w:color w:val="000000" w:themeColor="text1"/>
              </w:rPr>
              <w:t> </w:t>
            </w:r>
            <w:r w:rsidRPr="00EB5FBB">
              <w:rPr>
                <w:color w:val="000000" w:themeColor="text1"/>
              </w:rPr>
              <w:t>gadā 27 900 000 latu apmērā, no pievienotās vērtības nodokļa 2014.gadā 5 000 000 latu apmērā, 2015. un 2016.gadā 6 700 000 latu apmērā katru gadu un no valsts akciju sabiedrības „Latvenergo” maksājumiem par valsts kapitāla izmantošanu (ieņēmumus no dividendēm) 2015.</w:t>
            </w:r>
            <w:r>
              <w:rPr>
                <w:color w:val="000000" w:themeColor="text1"/>
              </w:rPr>
              <w:t> </w:t>
            </w:r>
            <w:r w:rsidRPr="00EB5FBB">
              <w:rPr>
                <w:color w:val="000000" w:themeColor="text1"/>
              </w:rPr>
              <w:t>gadā 4 900 000 latu apmērā un 2016.gadā 8 400 000 latu apmērā, vienlaicīgi palielinot Ekonomikas ministrijai dotāciju no vispārējiem ieņēmumiem un izdevumus Elektroenerģijas lietotāju atbalsta fonda darbībai un sociālo pabalstu elektroenerģijas izmaksu segšanai 2014.</w:t>
            </w:r>
            <w:r>
              <w:rPr>
                <w:color w:val="000000" w:themeColor="text1"/>
              </w:rPr>
              <w:t> </w:t>
            </w:r>
            <w:r w:rsidRPr="00EB5FBB">
              <w:rPr>
                <w:color w:val="000000" w:themeColor="text1"/>
              </w:rPr>
              <w:t>gadā – 23 286 970 latu apmērā, 2015.</w:t>
            </w:r>
            <w:r>
              <w:rPr>
                <w:color w:val="000000" w:themeColor="text1"/>
              </w:rPr>
              <w:t> </w:t>
            </w:r>
            <w:r w:rsidRPr="00EB5FBB">
              <w:rPr>
                <w:color w:val="000000" w:themeColor="text1"/>
              </w:rPr>
              <w:t xml:space="preserve">gadā – 37 182 970 latu </w:t>
            </w:r>
            <w:r w:rsidRPr="00EB5FBB">
              <w:rPr>
                <w:color w:val="000000" w:themeColor="text1"/>
              </w:rPr>
              <w:lastRenderedPageBreak/>
              <w:t>apmērā, 2016.</w:t>
            </w:r>
            <w:r>
              <w:rPr>
                <w:color w:val="000000" w:themeColor="text1"/>
              </w:rPr>
              <w:t> </w:t>
            </w:r>
            <w:r w:rsidRPr="00EB5FBB">
              <w:rPr>
                <w:color w:val="000000" w:themeColor="text1"/>
              </w:rPr>
              <w:t>gadā – 43 082 970 latu apmērā un ēku energoefektivitātes uzlabošanas pārejas risinājumam 2014.</w:t>
            </w:r>
            <w:r>
              <w:rPr>
                <w:color w:val="000000" w:themeColor="text1"/>
              </w:rPr>
              <w:t> </w:t>
            </w:r>
            <w:r w:rsidRPr="00EB5FBB">
              <w:rPr>
                <w:color w:val="000000" w:themeColor="text1"/>
              </w:rPr>
              <w:t xml:space="preserve">gadā 4 212 826 latu apmērā. Noteikt, ka līdzekļi plānojami atsevišķā budžeta apakšprogrammā (29.02.00 „Elektroenerģijas lietotāju atbalsts”). </w:t>
            </w:r>
          </w:p>
          <w:p w:rsidR="00ED5840" w:rsidRDefault="00ED5840" w:rsidP="00ED5840">
            <w:pPr>
              <w:jc w:val="both"/>
              <w:rPr>
                <w:color w:val="000000" w:themeColor="text1"/>
              </w:rPr>
            </w:pPr>
          </w:p>
          <w:p w:rsidR="00ED5840" w:rsidRPr="002A664E" w:rsidRDefault="00ED5840" w:rsidP="00C467A8">
            <w:pPr>
              <w:jc w:val="both"/>
              <w:rPr>
                <w:color w:val="000000" w:themeColor="text1"/>
              </w:rPr>
            </w:pPr>
            <w:r w:rsidRPr="002A664E">
              <w:rPr>
                <w:color w:val="000000" w:themeColor="text1"/>
              </w:rPr>
              <w:t xml:space="preserve">Savukārt </w:t>
            </w:r>
            <w:r w:rsidR="002A664E">
              <w:rPr>
                <w:color w:val="000000" w:themeColor="text1"/>
              </w:rPr>
              <w:t xml:space="preserve">saistībā ar </w:t>
            </w:r>
            <w:r w:rsidRPr="002A664E">
              <w:rPr>
                <w:color w:val="000000" w:themeColor="text1"/>
              </w:rPr>
              <w:t xml:space="preserve">sociālā atbalsta </w:t>
            </w:r>
            <w:r w:rsidR="00C467A8">
              <w:rPr>
                <w:color w:val="000000" w:themeColor="text1"/>
              </w:rPr>
              <w:t>administrēšanu</w:t>
            </w:r>
            <w:r w:rsidRPr="002A664E">
              <w:rPr>
                <w:color w:val="000000" w:themeColor="text1"/>
              </w:rPr>
              <w:t xml:space="preserve"> izmaksas veidotu divu jaunu štata vietu izveidošanu Labklājības ministrijā, kam būtu nepieciešami 2014.</w:t>
            </w:r>
            <w:r w:rsidR="00C467A8">
              <w:rPr>
                <w:color w:val="000000" w:themeColor="text1"/>
              </w:rPr>
              <w:t> </w:t>
            </w:r>
            <w:r w:rsidRPr="002A664E">
              <w:rPr>
                <w:color w:val="000000" w:themeColor="text1"/>
              </w:rPr>
              <w:t>gadā 19,8 tūkst. LVL</w:t>
            </w:r>
            <w:r w:rsidR="00735A2E" w:rsidRPr="002A664E">
              <w:rPr>
                <w:color w:val="000000" w:themeColor="text1"/>
              </w:rPr>
              <w:t xml:space="preserve"> (28,17 tūkst.</w:t>
            </w:r>
            <w:r w:rsidR="00C467A8">
              <w:rPr>
                <w:color w:val="000000" w:themeColor="text1"/>
              </w:rPr>
              <w:t xml:space="preserve"> </w:t>
            </w:r>
            <w:r w:rsidR="00735A2E" w:rsidRPr="002A664E">
              <w:rPr>
                <w:color w:val="000000" w:themeColor="text1"/>
              </w:rPr>
              <w:t>EUR)</w:t>
            </w:r>
            <w:r w:rsidRPr="002A664E">
              <w:rPr>
                <w:color w:val="000000" w:themeColor="text1"/>
              </w:rPr>
              <w:t>, savukārt 2015.g.-2017.</w:t>
            </w:r>
            <w:r w:rsidR="00735A2E" w:rsidRPr="002A664E">
              <w:rPr>
                <w:color w:val="000000" w:themeColor="text1"/>
              </w:rPr>
              <w:t> </w:t>
            </w:r>
            <w:r w:rsidRPr="002A664E">
              <w:rPr>
                <w:color w:val="000000" w:themeColor="text1"/>
              </w:rPr>
              <w:t>gadam 25</w:t>
            </w:r>
            <w:r w:rsidR="00735A2E" w:rsidRPr="002A664E">
              <w:rPr>
                <w:color w:val="000000" w:themeColor="text1"/>
              </w:rPr>
              <w:t xml:space="preserve">,53 </w:t>
            </w:r>
            <w:r w:rsidRPr="002A664E">
              <w:rPr>
                <w:color w:val="000000" w:themeColor="text1"/>
              </w:rPr>
              <w:t>tūkst.</w:t>
            </w:r>
            <w:r w:rsidR="00C467A8">
              <w:rPr>
                <w:color w:val="000000" w:themeColor="text1"/>
              </w:rPr>
              <w:t> </w:t>
            </w:r>
            <w:r w:rsidRPr="002A664E">
              <w:rPr>
                <w:color w:val="000000" w:themeColor="text1"/>
              </w:rPr>
              <w:t>LVL</w:t>
            </w:r>
            <w:r w:rsidR="00735A2E" w:rsidRPr="002A664E">
              <w:rPr>
                <w:color w:val="000000" w:themeColor="text1"/>
              </w:rPr>
              <w:t xml:space="preserve"> (36,32 tūkst.</w:t>
            </w:r>
            <w:r w:rsidR="00C467A8">
              <w:rPr>
                <w:color w:val="000000" w:themeColor="text1"/>
              </w:rPr>
              <w:t> </w:t>
            </w:r>
            <w:r w:rsidR="00735A2E" w:rsidRPr="002A664E">
              <w:rPr>
                <w:color w:val="000000" w:themeColor="text1"/>
              </w:rPr>
              <w:t>EUR)</w:t>
            </w:r>
            <w:r w:rsidRPr="002A664E">
              <w:rPr>
                <w:color w:val="000000" w:themeColor="text1"/>
              </w:rPr>
              <w:t>.</w:t>
            </w:r>
          </w:p>
        </w:tc>
      </w:tr>
      <w:tr w:rsidR="00F00FC8" w:rsidRPr="00C962CC" w:rsidTr="00ED5840">
        <w:trPr>
          <w:trHeight w:val="543"/>
        </w:trPr>
        <w:tc>
          <w:tcPr>
            <w:tcW w:w="1540" w:type="pct"/>
            <w:tcBorders>
              <w:top w:val="single" w:sz="4" w:space="0" w:color="auto"/>
              <w:left w:val="single" w:sz="4" w:space="0" w:color="auto"/>
              <w:bottom w:val="single" w:sz="4" w:space="0" w:color="auto"/>
              <w:right w:val="single" w:sz="4" w:space="0" w:color="auto"/>
            </w:tcBorders>
          </w:tcPr>
          <w:p w:rsidR="00F00FC8" w:rsidRPr="00F00FC8" w:rsidRDefault="00F00FC8" w:rsidP="00F00FC8">
            <w:pPr>
              <w:jc w:val="both"/>
              <w:rPr>
                <w:color w:val="000000" w:themeColor="text1"/>
              </w:rPr>
            </w:pPr>
            <w:r w:rsidRPr="00F00FC8">
              <w:rPr>
                <w:color w:val="000000" w:themeColor="text1"/>
              </w:rPr>
              <w:lastRenderedPageBreak/>
              <w:t>6.1. detalizēts ieņēmumu aprēķins</w:t>
            </w:r>
          </w:p>
        </w:tc>
        <w:tc>
          <w:tcPr>
            <w:tcW w:w="3460" w:type="pct"/>
            <w:gridSpan w:val="5"/>
            <w:vMerge/>
            <w:tcBorders>
              <w:left w:val="single" w:sz="4" w:space="0" w:color="auto"/>
              <w:right w:val="single" w:sz="4" w:space="0" w:color="auto"/>
            </w:tcBorders>
            <w:vAlign w:val="center"/>
          </w:tcPr>
          <w:p w:rsidR="00F00FC8" w:rsidRPr="00A84869" w:rsidRDefault="00F00FC8" w:rsidP="006A4BC8">
            <w:pPr>
              <w:jc w:val="both"/>
              <w:rPr>
                <w:color w:val="000000" w:themeColor="text1"/>
                <w:szCs w:val="28"/>
              </w:rPr>
            </w:pPr>
          </w:p>
        </w:tc>
      </w:tr>
      <w:tr w:rsidR="005C2622" w:rsidRPr="00C962CC" w:rsidTr="00ED5840">
        <w:trPr>
          <w:trHeight w:val="40"/>
        </w:trPr>
        <w:tc>
          <w:tcPr>
            <w:tcW w:w="1540" w:type="pct"/>
            <w:tcBorders>
              <w:top w:val="single" w:sz="4" w:space="0" w:color="auto"/>
              <w:left w:val="single" w:sz="4" w:space="0" w:color="auto"/>
              <w:right w:val="single" w:sz="4" w:space="0" w:color="auto"/>
            </w:tcBorders>
          </w:tcPr>
          <w:p w:rsidR="005C2622" w:rsidRPr="00F00FC8" w:rsidRDefault="005C2622" w:rsidP="005C2622">
            <w:pPr>
              <w:jc w:val="both"/>
              <w:rPr>
                <w:color w:val="000000" w:themeColor="text1"/>
              </w:rPr>
            </w:pPr>
            <w:r w:rsidRPr="00F00FC8">
              <w:rPr>
                <w:color w:val="000000" w:themeColor="text1"/>
              </w:rPr>
              <w:lastRenderedPageBreak/>
              <w:t>6.2. detalizēts izdevumu aprēķins</w:t>
            </w:r>
          </w:p>
        </w:tc>
        <w:tc>
          <w:tcPr>
            <w:tcW w:w="3460" w:type="pct"/>
            <w:gridSpan w:val="5"/>
            <w:vMerge/>
            <w:tcBorders>
              <w:left w:val="single" w:sz="4" w:space="0" w:color="auto"/>
              <w:right w:val="single" w:sz="4" w:space="0" w:color="auto"/>
            </w:tcBorders>
            <w:vAlign w:val="center"/>
          </w:tcPr>
          <w:p w:rsidR="005C2622" w:rsidRPr="00A84869" w:rsidRDefault="005C2622" w:rsidP="006A4BC8">
            <w:pPr>
              <w:jc w:val="both"/>
              <w:rPr>
                <w:color w:val="000000" w:themeColor="text1"/>
                <w:szCs w:val="28"/>
              </w:rPr>
            </w:pPr>
          </w:p>
        </w:tc>
      </w:tr>
      <w:tr w:rsidR="00C962CC" w:rsidRPr="00C962CC" w:rsidTr="00ED5840">
        <w:tc>
          <w:tcPr>
            <w:tcW w:w="1540" w:type="pct"/>
            <w:tcBorders>
              <w:top w:val="single" w:sz="4" w:space="0" w:color="auto"/>
              <w:left w:val="single" w:sz="4" w:space="0" w:color="auto"/>
              <w:bottom w:val="single" w:sz="4" w:space="0" w:color="auto"/>
              <w:right w:val="single" w:sz="4" w:space="0" w:color="auto"/>
            </w:tcBorders>
          </w:tcPr>
          <w:p w:rsidR="00802846" w:rsidRPr="00C962CC" w:rsidRDefault="00F00FC8" w:rsidP="00DE33E0">
            <w:pPr>
              <w:spacing w:before="100" w:beforeAutospacing="1" w:after="100" w:afterAutospacing="1"/>
              <w:rPr>
                <w:color w:val="000000" w:themeColor="text1"/>
              </w:rPr>
            </w:pPr>
            <w:r>
              <w:rPr>
                <w:color w:val="000000" w:themeColor="text1"/>
              </w:rPr>
              <w:lastRenderedPageBreak/>
              <w:t>7</w:t>
            </w:r>
            <w:r w:rsidR="00802846" w:rsidRPr="00C962CC">
              <w:rPr>
                <w:color w:val="000000" w:themeColor="text1"/>
              </w:rPr>
              <w:t>. Cita informācija</w:t>
            </w:r>
          </w:p>
        </w:tc>
        <w:tc>
          <w:tcPr>
            <w:tcW w:w="3460" w:type="pct"/>
            <w:gridSpan w:val="5"/>
            <w:tcBorders>
              <w:top w:val="single" w:sz="4" w:space="0" w:color="auto"/>
              <w:left w:val="single" w:sz="4" w:space="0" w:color="auto"/>
              <w:bottom w:val="single" w:sz="4" w:space="0" w:color="auto"/>
              <w:right w:val="single" w:sz="4" w:space="0" w:color="auto"/>
            </w:tcBorders>
          </w:tcPr>
          <w:p w:rsidR="00F00FC8" w:rsidRDefault="00F00FC8" w:rsidP="00F00FC8">
            <w:pPr>
              <w:jc w:val="both"/>
              <w:rPr>
                <w:i/>
                <w:color w:val="000000" w:themeColor="text1"/>
                <w:szCs w:val="28"/>
              </w:rPr>
            </w:pPr>
            <w:r w:rsidRPr="00A84869">
              <w:rPr>
                <w:color w:val="000000" w:themeColor="text1"/>
                <w:szCs w:val="28"/>
              </w:rPr>
              <w:t>Pēc pilnīgas elektroenerģijas tirgus liberalizācijas AS „Latvenergo” vairs nevajadzētu pildīt sociālās palīdzības funkcijas, līdz ar to pašvaldībām būs nepieciešami papildus līdzekļi sociāli mazāk aiz</w:t>
            </w:r>
            <w:r>
              <w:rPr>
                <w:color w:val="000000" w:themeColor="text1"/>
                <w:szCs w:val="28"/>
              </w:rPr>
              <w:t>sargāto iedzīvotāju atbalstam.  M</w:t>
            </w:r>
            <w:r>
              <w:rPr>
                <w:color w:val="000000" w:themeColor="text1"/>
              </w:rPr>
              <w:t>aznodrošinātām</w:t>
            </w:r>
            <w:r w:rsidRPr="00A84869">
              <w:rPr>
                <w:color w:val="000000" w:themeColor="text1"/>
                <w:szCs w:val="28"/>
              </w:rPr>
              <w:t xml:space="preserve"> mājsaimniecībām vajadzētu kompensēt elektroenerģijas cenas pieaugumu, kur</w:t>
            </w:r>
            <w:r>
              <w:rPr>
                <w:color w:val="000000" w:themeColor="text1"/>
                <w:szCs w:val="28"/>
              </w:rPr>
              <w:t>a</w:t>
            </w:r>
            <w:r w:rsidRPr="00A84869">
              <w:rPr>
                <w:color w:val="000000" w:themeColor="text1"/>
                <w:szCs w:val="28"/>
              </w:rPr>
              <w:t xml:space="preserve"> attiecīgi </w:t>
            </w:r>
            <w:r>
              <w:rPr>
                <w:color w:val="000000" w:themeColor="text1"/>
                <w:szCs w:val="28"/>
              </w:rPr>
              <w:t xml:space="preserve">veidotu </w:t>
            </w:r>
            <w:r w:rsidRPr="00A84869">
              <w:rPr>
                <w:color w:val="000000" w:themeColor="text1"/>
                <w:szCs w:val="28"/>
              </w:rPr>
              <w:t xml:space="preserve">izmaksājamā starpība starp </w:t>
            </w:r>
            <w:r w:rsidRPr="00A84869">
              <w:rPr>
                <w:i/>
                <w:color w:val="000000" w:themeColor="text1"/>
                <w:szCs w:val="28"/>
              </w:rPr>
              <w:t>Starta tarifu</w:t>
            </w:r>
            <w:r w:rsidRPr="00A84869">
              <w:rPr>
                <w:color w:val="000000" w:themeColor="text1"/>
                <w:szCs w:val="28"/>
              </w:rPr>
              <w:t xml:space="preserve"> un </w:t>
            </w:r>
            <w:r w:rsidRPr="00A84869">
              <w:rPr>
                <w:i/>
                <w:color w:val="000000" w:themeColor="text1"/>
                <w:szCs w:val="28"/>
              </w:rPr>
              <w:t>elektroenerģijas kopējo cenu</w:t>
            </w:r>
            <w:r>
              <w:rPr>
                <w:i/>
                <w:color w:val="000000" w:themeColor="text1"/>
                <w:szCs w:val="28"/>
              </w:rPr>
              <w:t xml:space="preserve">. </w:t>
            </w:r>
          </w:p>
          <w:p w:rsidR="00F00FC8" w:rsidRPr="007C1BFA" w:rsidRDefault="00F00FC8" w:rsidP="00F00FC8">
            <w:pPr>
              <w:jc w:val="both"/>
              <w:rPr>
                <w:color w:val="000000" w:themeColor="text1"/>
              </w:rPr>
            </w:pPr>
            <w:r w:rsidRPr="007C1BFA">
              <w:rPr>
                <w:color w:val="000000" w:themeColor="text1"/>
              </w:rPr>
              <w:t xml:space="preserve">Prognozes liecina, ka pēc elektroenerģijas tirgus liberalizācijas elektroenerģijas kopējā cena </w:t>
            </w:r>
            <w:r>
              <w:rPr>
                <w:color w:val="000000" w:themeColor="text1"/>
              </w:rPr>
              <w:t>būs</w:t>
            </w:r>
            <w:r w:rsidRPr="007C1BFA">
              <w:rPr>
                <w:color w:val="000000" w:themeColor="text1"/>
              </w:rPr>
              <w:t xml:space="preserve"> 11,3 sant./kWh. Līdz ar to starpība, kura būtu jāsedz ar plānotā sociālā instrumenta palīdzību, būs 3,12 sant./kWh</w:t>
            </w:r>
            <w:r>
              <w:rPr>
                <w:color w:val="000000" w:themeColor="text1"/>
              </w:rPr>
              <w:t>.</w:t>
            </w:r>
            <w:r w:rsidRPr="007C1BFA">
              <w:rPr>
                <w:color w:val="000000" w:themeColor="text1"/>
              </w:rPr>
              <w:t xml:space="preserve"> Balstoties uz </w:t>
            </w:r>
            <w:r>
              <w:rPr>
                <w:color w:val="000000" w:themeColor="text1"/>
              </w:rPr>
              <w:t xml:space="preserve">esošo elektroenerģijas </w:t>
            </w:r>
            <w:r w:rsidRPr="007C1BFA">
              <w:rPr>
                <w:color w:val="000000" w:themeColor="text1"/>
              </w:rPr>
              <w:t xml:space="preserve"> patēriņa struktūru, tiek </w:t>
            </w:r>
            <w:r>
              <w:rPr>
                <w:color w:val="000000" w:themeColor="text1"/>
              </w:rPr>
              <w:t>prognozēts</w:t>
            </w:r>
            <w:r w:rsidRPr="007C1BFA">
              <w:rPr>
                <w:color w:val="000000" w:themeColor="text1"/>
              </w:rPr>
              <w:t xml:space="preserve">, ka ar atbalsta instrumenta palīdzību sedzamais apjoms vienai </w:t>
            </w:r>
            <w:r>
              <w:rPr>
                <w:color w:val="000000" w:themeColor="text1"/>
              </w:rPr>
              <w:t xml:space="preserve">maznodrošinātai </w:t>
            </w:r>
            <w:r w:rsidRPr="007C1BFA">
              <w:rPr>
                <w:color w:val="000000" w:themeColor="text1"/>
              </w:rPr>
              <w:t xml:space="preserve">mājsaimniecībai </w:t>
            </w:r>
            <w:r>
              <w:rPr>
                <w:color w:val="000000" w:themeColor="text1"/>
              </w:rPr>
              <w:t>būs</w:t>
            </w:r>
            <w:r w:rsidRPr="007C1BFA">
              <w:rPr>
                <w:color w:val="000000" w:themeColor="text1"/>
              </w:rPr>
              <w:t xml:space="preserve"> 37,44 LVL gadā.</w:t>
            </w:r>
          </w:p>
          <w:p w:rsidR="00F00FC8" w:rsidRPr="00670EE3" w:rsidRDefault="00F00FC8" w:rsidP="00F00FC8">
            <w:pPr>
              <w:jc w:val="both"/>
              <w:rPr>
                <w:color w:val="000000" w:themeColor="text1"/>
              </w:rPr>
            </w:pPr>
            <w:r w:rsidRPr="00670EE3">
              <w:rPr>
                <w:color w:val="000000" w:themeColor="text1"/>
              </w:rPr>
              <w:t xml:space="preserve">Kopumā plānotais </w:t>
            </w:r>
            <w:r w:rsidRPr="00B375E0">
              <w:rPr>
                <w:color w:val="000000" w:themeColor="text1"/>
              </w:rPr>
              <w:t>sociālā atbalsta instrumentam laika periodam līdz 2016. gadam būs nepieciešami 9,9 milj. LVL,</w:t>
            </w:r>
            <w:r w:rsidRPr="00670EE3">
              <w:rPr>
                <w:color w:val="000000" w:themeColor="text1"/>
              </w:rPr>
              <w:t xml:space="preserve"> no kuriem 2,7 milj. LVL </w:t>
            </w:r>
            <w:r>
              <w:rPr>
                <w:color w:val="000000" w:themeColor="text1"/>
              </w:rPr>
              <w:t>(3,8 milj.</w:t>
            </w:r>
            <w:r w:rsidR="001574E1">
              <w:rPr>
                <w:color w:val="000000" w:themeColor="text1"/>
              </w:rPr>
              <w:t xml:space="preserve"> </w:t>
            </w:r>
            <w:r>
              <w:rPr>
                <w:color w:val="000000" w:themeColor="text1"/>
              </w:rPr>
              <w:t xml:space="preserve">EUR) </w:t>
            </w:r>
            <w:r w:rsidRPr="00670EE3">
              <w:rPr>
                <w:color w:val="000000" w:themeColor="text1"/>
              </w:rPr>
              <w:t>tiktu izmaksāti 2014. gadā, sākot ar 1. aprīli, kad tiks atvērts elektroenerģijas tirgus un stāsies spēkā jaunā OIK, un 3,6 milj. LVL</w:t>
            </w:r>
            <w:r>
              <w:rPr>
                <w:color w:val="000000" w:themeColor="text1"/>
              </w:rPr>
              <w:t xml:space="preserve"> (5,1 milj.</w:t>
            </w:r>
            <w:r w:rsidR="001574E1">
              <w:rPr>
                <w:color w:val="000000" w:themeColor="text1"/>
              </w:rPr>
              <w:t xml:space="preserve"> </w:t>
            </w:r>
            <w:r>
              <w:rPr>
                <w:color w:val="000000" w:themeColor="text1"/>
              </w:rPr>
              <w:t>EUR)</w:t>
            </w:r>
            <w:r w:rsidRPr="00670EE3">
              <w:rPr>
                <w:color w:val="000000" w:themeColor="text1"/>
              </w:rPr>
              <w:t xml:space="preserve"> 2015. gadā un 3,6 milj. LVL </w:t>
            </w:r>
            <w:r>
              <w:rPr>
                <w:color w:val="000000" w:themeColor="text1"/>
              </w:rPr>
              <w:t xml:space="preserve"> (5,1 milj</w:t>
            </w:r>
            <w:r w:rsidR="001574E1">
              <w:rPr>
                <w:color w:val="000000" w:themeColor="text1"/>
              </w:rPr>
              <w:t>.</w:t>
            </w:r>
            <w:r>
              <w:rPr>
                <w:color w:val="000000" w:themeColor="text1"/>
              </w:rPr>
              <w:t xml:space="preserve"> EUR) </w:t>
            </w:r>
            <w:r w:rsidRPr="00670EE3">
              <w:rPr>
                <w:color w:val="000000" w:themeColor="text1"/>
              </w:rPr>
              <w:t xml:space="preserve">2016. gadā. </w:t>
            </w:r>
          </w:p>
          <w:p w:rsidR="00F00FC8" w:rsidRDefault="00F00FC8" w:rsidP="00F00FC8">
            <w:pPr>
              <w:jc w:val="both"/>
              <w:rPr>
                <w:color w:val="000000" w:themeColor="text1"/>
                <w:szCs w:val="28"/>
              </w:rPr>
            </w:pPr>
            <w:r>
              <w:rPr>
                <w:color w:val="000000" w:themeColor="text1"/>
                <w:szCs w:val="28"/>
              </w:rPr>
              <w:t xml:space="preserve">Ņemot vērā, ka </w:t>
            </w:r>
            <w:r w:rsidRPr="00D95700">
              <w:t>elektroenerģijas tirgus problemātikai</w:t>
            </w:r>
            <w:r>
              <w:t xml:space="preserve"> tiek piedāvāti kompleksi</w:t>
            </w:r>
            <w:r w:rsidRPr="00D95700">
              <w:t xml:space="preserve"> risinājumi</w:t>
            </w:r>
            <w:r>
              <w:t>, arī ietekmi uz valsts budžeta ieņēmumu un izdevumu pozīcijām ir nepieciešams skatīt kompleksi un vienoti.</w:t>
            </w:r>
          </w:p>
          <w:p w:rsidR="00802846" w:rsidRPr="00C962CC" w:rsidRDefault="00F00FC8" w:rsidP="00F00FC8">
            <w:pPr>
              <w:jc w:val="both"/>
              <w:rPr>
                <w:color w:val="000000" w:themeColor="text1"/>
              </w:rPr>
            </w:pPr>
            <w:r w:rsidRPr="00B54DD6">
              <w:rPr>
                <w:i/>
                <w:color w:val="000000" w:themeColor="text1"/>
              </w:rPr>
              <w:t xml:space="preserve">Attiecīgi ieņēmumus valsts budžetā, lai varētu piešķirt līdzekļus pašvaldībām mērķdotācijas veidā </w:t>
            </w:r>
            <w:r w:rsidRPr="00B54DD6">
              <w:rPr>
                <w:i/>
                <w:color w:val="000000" w:themeColor="text1"/>
                <w:szCs w:val="28"/>
              </w:rPr>
              <w:t xml:space="preserve">sociālās palīdzības funkcijas </w:t>
            </w:r>
            <w:r>
              <w:rPr>
                <w:i/>
                <w:color w:val="000000" w:themeColor="text1"/>
                <w:szCs w:val="28"/>
              </w:rPr>
              <w:t>veikšanai</w:t>
            </w:r>
            <w:r w:rsidRPr="00B54DD6">
              <w:rPr>
                <w:i/>
                <w:color w:val="000000" w:themeColor="text1"/>
                <w:szCs w:val="28"/>
              </w:rPr>
              <w:t xml:space="preserve"> nodrošinātu attiecīgas Subsidētās elektroenerģijas nodokļa, </w:t>
            </w:r>
            <w:r w:rsidRPr="00B54DD6">
              <w:rPr>
                <w:bCs/>
                <w:i/>
                <w:color w:val="000000" w:themeColor="text1"/>
                <w:szCs w:val="28"/>
              </w:rPr>
              <w:t xml:space="preserve">pievienotās vērtības nodokļa no pārdotās elektroenerģijas apjoma pieauguma un </w:t>
            </w:r>
            <w:r w:rsidRPr="00B54DD6">
              <w:rPr>
                <w:i/>
                <w:color w:val="000000" w:themeColor="text1"/>
              </w:rPr>
              <w:t>efekta no AS „Latvenergo” dividenžu iemaksu pieaugumu</w:t>
            </w:r>
            <w:r w:rsidRPr="00B54DD6">
              <w:rPr>
                <w:i/>
                <w:color w:val="000000" w:themeColor="text1"/>
                <w:szCs w:val="28"/>
              </w:rPr>
              <w:t>, kas radīsies ieviešot Ziņojumā paredzētos risinājumus.</w:t>
            </w:r>
          </w:p>
        </w:tc>
      </w:tr>
    </w:tbl>
    <w:p w:rsidR="00F00FC8" w:rsidRDefault="00F00FC8" w:rsidP="001A56AB">
      <w:pPr>
        <w:tabs>
          <w:tab w:val="left" w:pos="5940"/>
        </w:tabs>
        <w:rPr>
          <w:color w:val="000000" w:themeColor="text1"/>
        </w:rPr>
      </w:pPr>
    </w:p>
    <w:tbl>
      <w:tblPr>
        <w:tblStyle w:val="TableGrid"/>
        <w:tblW w:w="0" w:type="auto"/>
        <w:tblLook w:val="04A0" w:firstRow="1" w:lastRow="0" w:firstColumn="1" w:lastColumn="0" w:noHBand="0" w:noVBand="1"/>
      </w:tblPr>
      <w:tblGrid>
        <w:gridCol w:w="396"/>
        <w:gridCol w:w="4554"/>
        <w:gridCol w:w="4904"/>
      </w:tblGrid>
      <w:tr w:rsidR="00A72965" w:rsidTr="00C26F09">
        <w:tc>
          <w:tcPr>
            <w:tcW w:w="9854" w:type="dxa"/>
            <w:gridSpan w:val="3"/>
          </w:tcPr>
          <w:p w:rsidR="00A72965" w:rsidRPr="00A72965" w:rsidRDefault="00A72965" w:rsidP="00A72965">
            <w:pPr>
              <w:tabs>
                <w:tab w:val="left" w:pos="5940"/>
              </w:tabs>
              <w:jc w:val="center"/>
              <w:rPr>
                <w:b/>
                <w:color w:val="000000" w:themeColor="text1"/>
              </w:rPr>
            </w:pPr>
            <w:r w:rsidRPr="00A72965">
              <w:rPr>
                <w:b/>
              </w:rPr>
              <w:t>IV. Tiesību akta projekta ietekme uz spēkā esošo tiesību normu sistēmu</w:t>
            </w:r>
          </w:p>
        </w:tc>
      </w:tr>
      <w:tr w:rsidR="00A72965" w:rsidTr="00A72965">
        <w:tc>
          <w:tcPr>
            <w:tcW w:w="392" w:type="dxa"/>
          </w:tcPr>
          <w:p w:rsidR="00A72965" w:rsidRDefault="00A72965" w:rsidP="001A56AB">
            <w:pPr>
              <w:tabs>
                <w:tab w:val="left" w:pos="5940"/>
              </w:tabs>
              <w:rPr>
                <w:color w:val="000000" w:themeColor="text1"/>
              </w:rPr>
            </w:pPr>
            <w:r>
              <w:rPr>
                <w:color w:val="000000" w:themeColor="text1"/>
              </w:rPr>
              <w:t>1.</w:t>
            </w:r>
          </w:p>
        </w:tc>
        <w:tc>
          <w:tcPr>
            <w:tcW w:w="4556" w:type="dxa"/>
          </w:tcPr>
          <w:p w:rsidR="00A72965" w:rsidRPr="00F840BC" w:rsidRDefault="00A72965" w:rsidP="00A72965">
            <w:pPr>
              <w:tabs>
                <w:tab w:val="left" w:pos="5940"/>
              </w:tabs>
              <w:rPr>
                <w:color w:val="000000" w:themeColor="text1"/>
              </w:rPr>
            </w:pPr>
            <w:r w:rsidRPr="00F840BC">
              <w:t>Nepieciešamie saistītie tiesību aktu projekti</w:t>
            </w:r>
          </w:p>
        </w:tc>
        <w:tc>
          <w:tcPr>
            <w:tcW w:w="4906" w:type="dxa"/>
          </w:tcPr>
          <w:p w:rsidR="00F840BC" w:rsidRPr="00F840BC" w:rsidRDefault="00A72965" w:rsidP="00F840BC">
            <w:pPr>
              <w:tabs>
                <w:tab w:val="left" w:pos="1134"/>
                <w:tab w:val="left" w:pos="1701"/>
                <w:tab w:val="left" w:pos="2268"/>
                <w:tab w:val="left" w:pos="3969"/>
              </w:tabs>
              <w:jc w:val="both"/>
            </w:pPr>
            <w:r w:rsidRPr="00F840BC">
              <w:rPr>
                <w:noProof/>
                <w:color w:val="000000"/>
              </w:rPr>
              <w:t xml:space="preserve">Likumprojektā ir paredzēts pilnvarojums Ministru kabinetam noteikt </w:t>
            </w:r>
            <w:r w:rsidR="00F840BC" w:rsidRPr="00F840BC">
              <w:t>valsts budžeta mērķdotāciju piešķiršanas nosacījumus un kārtību, kādā izvērtējami pašvaldību pieprasījumi.</w:t>
            </w:r>
          </w:p>
          <w:p w:rsidR="00A72965" w:rsidRPr="00F840BC" w:rsidRDefault="00A72965" w:rsidP="005854A4">
            <w:pPr>
              <w:tabs>
                <w:tab w:val="left" w:pos="1134"/>
                <w:tab w:val="left" w:pos="1701"/>
                <w:tab w:val="left" w:pos="2268"/>
                <w:tab w:val="left" w:pos="3969"/>
              </w:tabs>
              <w:jc w:val="both"/>
              <w:rPr>
                <w:color w:val="000000" w:themeColor="text1"/>
              </w:rPr>
            </w:pPr>
            <w:r w:rsidRPr="00F840BC">
              <w:rPr>
                <w:noProof/>
                <w:color w:val="000000"/>
              </w:rPr>
              <w:t xml:space="preserve">Par Ministru kabineta noteikumu projekta izstrādi atbildīgā institūcija – </w:t>
            </w:r>
            <w:r w:rsidR="005854A4">
              <w:rPr>
                <w:noProof/>
                <w:color w:val="000000"/>
              </w:rPr>
              <w:t>Labklājības ministrija</w:t>
            </w:r>
            <w:r w:rsidRPr="00F840BC">
              <w:rPr>
                <w:noProof/>
                <w:color w:val="000000"/>
              </w:rPr>
              <w:t xml:space="preserve">. Noteikumu projekts tiktu veidots sadarbībā ar </w:t>
            </w:r>
            <w:r w:rsidR="005854A4">
              <w:rPr>
                <w:noProof/>
                <w:color w:val="000000"/>
              </w:rPr>
              <w:t xml:space="preserve">Ekonomikas </w:t>
            </w:r>
            <w:r w:rsidR="00F840BC" w:rsidRPr="00F840BC">
              <w:rPr>
                <w:noProof/>
                <w:color w:val="000000"/>
              </w:rPr>
              <w:t xml:space="preserve"> ministriju</w:t>
            </w:r>
            <w:r w:rsidRPr="00F840BC">
              <w:rPr>
                <w:noProof/>
                <w:color w:val="000000"/>
              </w:rPr>
              <w:t>.</w:t>
            </w:r>
          </w:p>
        </w:tc>
      </w:tr>
      <w:tr w:rsidR="00A72965" w:rsidTr="00A72965">
        <w:tc>
          <w:tcPr>
            <w:tcW w:w="392" w:type="dxa"/>
          </w:tcPr>
          <w:p w:rsidR="00A72965" w:rsidRDefault="00A72965" w:rsidP="001A56AB">
            <w:pPr>
              <w:tabs>
                <w:tab w:val="left" w:pos="5940"/>
              </w:tabs>
              <w:rPr>
                <w:color w:val="000000" w:themeColor="text1"/>
              </w:rPr>
            </w:pPr>
            <w:r>
              <w:rPr>
                <w:color w:val="000000" w:themeColor="text1"/>
              </w:rPr>
              <w:t>2.</w:t>
            </w:r>
          </w:p>
        </w:tc>
        <w:tc>
          <w:tcPr>
            <w:tcW w:w="4556" w:type="dxa"/>
          </w:tcPr>
          <w:p w:rsidR="00A72965" w:rsidRDefault="00A72965" w:rsidP="001A56AB">
            <w:pPr>
              <w:tabs>
                <w:tab w:val="left" w:pos="5940"/>
              </w:tabs>
              <w:rPr>
                <w:color w:val="000000" w:themeColor="text1"/>
              </w:rPr>
            </w:pPr>
            <w:r w:rsidRPr="00A72965">
              <w:t>Cita informācija</w:t>
            </w:r>
          </w:p>
        </w:tc>
        <w:tc>
          <w:tcPr>
            <w:tcW w:w="4906" w:type="dxa"/>
          </w:tcPr>
          <w:p w:rsidR="00A72965" w:rsidRDefault="00A72965" w:rsidP="001A56AB">
            <w:pPr>
              <w:tabs>
                <w:tab w:val="left" w:pos="5940"/>
              </w:tabs>
              <w:rPr>
                <w:color w:val="000000" w:themeColor="text1"/>
              </w:rPr>
            </w:pPr>
            <w:r>
              <w:t>Nav</w:t>
            </w:r>
          </w:p>
        </w:tc>
      </w:tr>
    </w:tbl>
    <w:p w:rsidR="00802846" w:rsidRDefault="00802846" w:rsidP="00E65E27">
      <w:pPr>
        <w:jc w:val="center"/>
        <w:rPr>
          <w:i/>
          <w:color w:val="000000" w:themeColor="text1"/>
        </w:rPr>
      </w:pPr>
      <w:r w:rsidRPr="00C962CC">
        <w:rPr>
          <w:i/>
          <w:color w:val="000000" w:themeColor="text1"/>
        </w:rPr>
        <w:lastRenderedPageBreak/>
        <w:t>Anotācijas V, VI sadaļa – projekts šīs jomas neskar.</w:t>
      </w:r>
    </w:p>
    <w:p w:rsidR="00E65E27" w:rsidRPr="00C962CC" w:rsidRDefault="00E65E27" w:rsidP="001A56AB">
      <w:pPr>
        <w:rPr>
          <w:i/>
          <w:color w:val="000000" w:themeColor="text1"/>
        </w:rPr>
      </w:pPr>
    </w:p>
    <w:tbl>
      <w:tblPr>
        <w:tblpPr w:leftFromText="180" w:rightFromText="180" w:vertAnchor="text" w:horzAnchor="margin" w:tblpY="65"/>
        <w:tblW w:w="5000" w:type="pct"/>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243"/>
        <w:gridCol w:w="4608"/>
        <w:gridCol w:w="4847"/>
      </w:tblGrid>
      <w:tr w:rsidR="00C962CC" w:rsidRPr="00C962CC" w:rsidTr="00A84887">
        <w:tc>
          <w:tcPr>
            <w:tcW w:w="0" w:type="auto"/>
            <w:gridSpan w:val="3"/>
            <w:tcBorders>
              <w:top w:val="outset" w:sz="6" w:space="0" w:color="000000"/>
              <w:bottom w:val="outset" w:sz="6" w:space="0" w:color="000000"/>
            </w:tcBorders>
          </w:tcPr>
          <w:p w:rsidR="00802846" w:rsidRPr="00C962CC" w:rsidRDefault="00802846" w:rsidP="00A84887">
            <w:pPr>
              <w:jc w:val="center"/>
              <w:rPr>
                <w:b/>
                <w:bCs/>
                <w:color w:val="000000" w:themeColor="text1"/>
              </w:rPr>
            </w:pPr>
            <w:r w:rsidRPr="00C962CC">
              <w:rPr>
                <w:b/>
                <w:bCs/>
                <w:color w:val="000000" w:themeColor="text1"/>
              </w:rPr>
              <w:t>VII. Tiesību akta projekta izpildes nodrošināšana un tās ietekme uz institūcijām</w:t>
            </w:r>
          </w:p>
        </w:tc>
      </w:tr>
      <w:tr w:rsidR="00E65E27" w:rsidRPr="00C962CC" w:rsidTr="00E65E27">
        <w:trPr>
          <w:trHeight w:val="321"/>
        </w:trPr>
        <w:tc>
          <w:tcPr>
            <w:tcW w:w="0" w:type="auto"/>
            <w:tcBorders>
              <w:top w:val="outset" w:sz="6" w:space="0" w:color="000000"/>
              <w:bottom w:val="outset" w:sz="6" w:space="0" w:color="000000"/>
              <w:right w:val="outset" w:sz="6" w:space="0" w:color="000000"/>
            </w:tcBorders>
          </w:tcPr>
          <w:p w:rsidR="00802846" w:rsidRPr="00C962CC" w:rsidRDefault="00802846" w:rsidP="00A84887">
            <w:pPr>
              <w:rPr>
                <w:color w:val="000000" w:themeColor="text1"/>
              </w:rPr>
            </w:pPr>
            <w:r w:rsidRPr="00C962CC">
              <w:rPr>
                <w:color w:val="000000" w:themeColor="text1"/>
              </w:rPr>
              <w:t>1.</w:t>
            </w:r>
          </w:p>
        </w:tc>
        <w:tc>
          <w:tcPr>
            <w:tcW w:w="2376" w:type="pct"/>
            <w:tcBorders>
              <w:top w:val="outset" w:sz="6" w:space="0" w:color="000000"/>
              <w:left w:val="outset" w:sz="6" w:space="0" w:color="000000"/>
              <w:bottom w:val="outset" w:sz="6" w:space="0" w:color="000000"/>
              <w:right w:val="outset" w:sz="6" w:space="0" w:color="000000"/>
            </w:tcBorders>
          </w:tcPr>
          <w:p w:rsidR="00802846" w:rsidRPr="003A1DC4" w:rsidRDefault="00802846" w:rsidP="003A1DC4">
            <w:pPr>
              <w:rPr>
                <w:color w:val="000000" w:themeColor="text1"/>
              </w:rPr>
            </w:pPr>
            <w:r w:rsidRPr="003A1DC4">
              <w:rPr>
                <w:color w:val="000000" w:themeColor="text1"/>
              </w:rPr>
              <w:t>Projekta izpildē iesaistītās institūcijas</w:t>
            </w:r>
          </w:p>
        </w:tc>
        <w:tc>
          <w:tcPr>
            <w:tcW w:w="2499" w:type="pct"/>
            <w:tcBorders>
              <w:top w:val="outset" w:sz="6" w:space="0" w:color="000000"/>
              <w:left w:val="outset" w:sz="6" w:space="0" w:color="000000"/>
              <w:bottom w:val="outset" w:sz="6" w:space="0" w:color="000000"/>
            </w:tcBorders>
          </w:tcPr>
          <w:p w:rsidR="00802846" w:rsidRPr="003A1DC4" w:rsidRDefault="00B65111" w:rsidP="003A1DC4">
            <w:pPr>
              <w:tabs>
                <w:tab w:val="left" w:pos="1134"/>
                <w:tab w:val="left" w:pos="1701"/>
                <w:tab w:val="left" w:pos="2268"/>
                <w:tab w:val="left" w:pos="3969"/>
              </w:tabs>
              <w:jc w:val="both"/>
              <w:rPr>
                <w:color w:val="000000" w:themeColor="text1"/>
              </w:rPr>
            </w:pPr>
            <w:r w:rsidRPr="003A1DC4">
              <w:rPr>
                <w:noProof/>
                <w:color w:val="000000"/>
              </w:rPr>
              <w:t>Likumprojekta izpildē ir iesaistīt</w:t>
            </w:r>
            <w:r w:rsidR="00517BD5" w:rsidRPr="003A1DC4">
              <w:rPr>
                <w:noProof/>
                <w:color w:val="000000"/>
              </w:rPr>
              <w:t>a</w:t>
            </w:r>
            <w:r w:rsidRPr="003A1DC4">
              <w:rPr>
                <w:noProof/>
                <w:color w:val="000000"/>
              </w:rPr>
              <w:t xml:space="preserve"> </w:t>
            </w:r>
            <w:r w:rsidR="00F32763" w:rsidRPr="003A1DC4">
              <w:rPr>
                <w:noProof/>
                <w:color w:val="000000"/>
              </w:rPr>
              <w:t>Ekonomikas ministrija, Labklājības ministrija, pašvaldības</w:t>
            </w:r>
            <w:r w:rsidR="00517BD5" w:rsidRPr="003A1DC4">
              <w:rPr>
                <w:noProof/>
                <w:color w:val="000000"/>
              </w:rPr>
              <w:t xml:space="preserve">, kas sniedz atbalstu </w:t>
            </w:r>
            <w:r w:rsidR="003731EF" w:rsidRPr="003A1DC4">
              <w:rPr>
                <w:color w:val="000000" w:themeColor="text1"/>
              </w:rPr>
              <w:t xml:space="preserve"> </w:t>
            </w:r>
            <w:r w:rsidR="00517BD5" w:rsidRPr="003A1DC4">
              <w:rPr>
                <w:noProof/>
                <w:color w:val="000000"/>
              </w:rPr>
              <w:t>personām</w:t>
            </w:r>
            <w:r w:rsidR="004F7203" w:rsidRPr="003A1DC4">
              <w:rPr>
                <w:noProof/>
                <w:color w:val="000000"/>
              </w:rPr>
              <w:t xml:space="preserve"> dzīvokļa pabalsta izmaksai</w:t>
            </w:r>
            <w:r w:rsidR="00517BD5" w:rsidRPr="003A1DC4">
              <w:rPr>
                <w:noProof/>
                <w:color w:val="000000"/>
              </w:rPr>
              <w:t>.</w:t>
            </w:r>
          </w:p>
        </w:tc>
      </w:tr>
      <w:tr w:rsidR="00E65E27" w:rsidRPr="00C962CC" w:rsidTr="001F1440">
        <w:trPr>
          <w:trHeight w:val="409"/>
        </w:trPr>
        <w:tc>
          <w:tcPr>
            <w:tcW w:w="0" w:type="auto"/>
            <w:tcBorders>
              <w:top w:val="outset" w:sz="6" w:space="0" w:color="000000"/>
              <w:bottom w:val="outset" w:sz="6" w:space="0" w:color="000000"/>
              <w:right w:val="outset" w:sz="6" w:space="0" w:color="000000"/>
            </w:tcBorders>
          </w:tcPr>
          <w:p w:rsidR="00802846" w:rsidRPr="00C962CC" w:rsidRDefault="00802846" w:rsidP="00A84887">
            <w:pPr>
              <w:rPr>
                <w:color w:val="000000" w:themeColor="text1"/>
              </w:rPr>
            </w:pPr>
            <w:r w:rsidRPr="00C962CC">
              <w:rPr>
                <w:color w:val="000000" w:themeColor="text1"/>
              </w:rPr>
              <w:t>2.</w:t>
            </w:r>
          </w:p>
        </w:tc>
        <w:tc>
          <w:tcPr>
            <w:tcW w:w="2376" w:type="pct"/>
            <w:tcBorders>
              <w:top w:val="outset" w:sz="6" w:space="0" w:color="000000"/>
              <w:left w:val="outset" w:sz="6" w:space="0" w:color="000000"/>
              <w:bottom w:val="outset" w:sz="6" w:space="0" w:color="000000"/>
              <w:right w:val="outset" w:sz="6" w:space="0" w:color="000000"/>
            </w:tcBorders>
          </w:tcPr>
          <w:p w:rsidR="00802846" w:rsidRPr="003A1DC4" w:rsidRDefault="00802846" w:rsidP="003A1DC4">
            <w:pPr>
              <w:rPr>
                <w:color w:val="000000" w:themeColor="text1"/>
              </w:rPr>
            </w:pPr>
            <w:r w:rsidRPr="003A1DC4">
              <w:rPr>
                <w:color w:val="000000" w:themeColor="text1"/>
              </w:rPr>
              <w:t>Projekta izpildes ietekme uz pārvaldes funkcijām</w:t>
            </w:r>
          </w:p>
        </w:tc>
        <w:tc>
          <w:tcPr>
            <w:tcW w:w="2499" w:type="pct"/>
            <w:tcBorders>
              <w:top w:val="outset" w:sz="6" w:space="0" w:color="000000"/>
              <w:left w:val="outset" w:sz="6" w:space="0" w:color="000000"/>
              <w:bottom w:val="outset" w:sz="6" w:space="0" w:color="000000"/>
            </w:tcBorders>
          </w:tcPr>
          <w:p w:rsidR="00802846" w:rsidRPr="003A1DC4" w:rsidRDefault="001F1440" w:rsidP="001F1440">
            <w:pPr>
              <w:jc w:val="both"/>
              <w:outlineLvl w:val="0"/>
              <w:rPr>
                <w:color w:val="000000" w:themeColor="text1"/>
              </w:rPr>
            </w:pPr>
            <w:r>
              <w:t>Likumprojekts paredz, ka</w:t>
            </w:r>
            <w:r w:rsidRPr="00F840BC">
              <w:rPr>
                <w:noProof/>
                <w:color w:val="000000"/>
              </w:rPr>
              <w:t xml:space="preserve"> Ministru kabinet</w:t>
            </w:r>
            <w:r>
              <w:rPr>
                <w:noProof/>
                <w:color w:val="000000"/>
              </w:rPr>
              <w:t>s</w:t>
            </w:r>
            <w:r w:rsidRPr="00F840BC">
              <w:rPr>
                <w:noProof/>
                <w:color w:val="000000"/>
              </w:rPr>
              <w:t xml:space="preserve"> no</w:t>
            </w:r>
            <w:r>
              <w:rPr>
                <w:noProof/>
                <w:color w:val="000000"/>
              </w:rPr>
              <w:t>saka</w:t>
            </w:r>
            <w:r w:rsidRPr="00F840BC">
              <w:rPr>
                <w:noProof/>
                <w:color w:val="000000"/>
              </w:rPr>
              <w:t xml:space="preserve"> </w:t>
            </w:r>
            <w:r w:rsidRPr="00F840BC">
              <w:t>valsts budžeta mērķdotāciju piešķiršanas nosacījumus un kārtību, kādā izvērtējami pašvaldību pieprasījumi.</w:t>
            </w:r>
          </w:p>
        </w:tc>
      </w:tr>
      <w:tr w:rsidR="00E65E27" w:rsidRPr="00C962CC" w:rsidTr="00E65E27">
        <w:tc>
          <w:tcPr>
            <w:tcW w:w="0" w:type="auto"/>
            <w:tcBorders>
              <w:top w:val="outset" w:sz="6" w:space="0" w:color="000000"/>
              <w:bottom w:val="outset" w:sz="6" w:space="0" w:color="000000"/>
              <w:right w:val="outset" w:sz="6" w:space="0" w:color="000000"/>
            </w:tcBorders>
          </w:tcPr>
          <w:p w:rsidR="00802846" w:rsidRPr="00C962CC" w:rsidRDefault="00802846" w:rsidP="00A84887">
            <w:pPr>
              <w:spacing w:before="100" w:beforeAutospacing="1" w:after="100" w:afterAutospacing="1"/>
              <w:rPr>
                <w:color w:val="000000" w:themeColor="text1"/>
              </w:rPr>
            </w:pPr>
            <w:r w:rsidRPr="00C962CC">
              <w:rPr>
                <w:color w:val="000000" w:themeColor="text1"/>
              </w:rPr>
              <w:t>3.</w:t>
            </w:r>
          </w:p>
        </w:tc>
        <w:tc>
          <w:tcPr>
            <w:tcW w:w="2376" w:type="pct"/>
            <w:tcBorders>
              <w:top w:val="outset" w:sz="6" w:space="0" w:color="000000"/>
              <w:left w:val="outset" w:sz="6" w:space="0" w:color="000000"/>
              <w:bottom w:val="outset" w:sz="6" w:space="0" w:color="000000"/>
              <w:right w:val="outset" w:sz="6" w:space="0" w:color="000000"/>
            </w:tcBorders>
          </w:tcPr>
          <w:p w:rsidR="00802846" w:rsidRPr="00C962CC" w:rsidRDefault="00802846" w:rsidP="00B65111">
            <w:pPr>
              <w:rPr>
                <w:color w:val="000000" w:themeColor="text1"/>
              </w:rPr>
            </w:pPr>
            <w:r w:rsidRPr="00C962CC">
              <w:rPr>
                <w:color w:val="000000" w:themeColor="text1"/>
              </w:rPr>
              <w:t>Projekta izpildes ietekme uz pārvaldes institucionālo struktūru.</w:t>
            </w:r>
          </w:p>
          <w:p w:rsidR="00802846" w:rsidRPr="00C962CC" w:rsidRDefault="00802846" w:rsidP="00B65111">
            <w:pPr>
              <w:rPr>
                <w:color w:val="000000" w:themeColor="text1"/>
              </w:rPr>
            </w:pPr>
            <w:r w:rsidRPr="00C962CC">
              <w:rPr>
                <w:color w:val="000000" w:themeColor="text1"/>
              </w:rPr>
              <w:t>Jaunu institūciju izveide</w:t>
            </w:r>
          </w:p>
        </w:tc>
        <w:tc>
          <w:tcPr>
            <w:tcW w:w="2499" w:type="pct"/>
            <w:tcBorders>
              <w:top w:val="outset" w:sz="6" w:space="0" w:color="000000"/>
              <w:left w:val="outset" w:sz="6" w:space="0" w:color="000000"/>
              <w:bottom w:val="outset" w:sz="6" w:space="0" w:color="000000"/>
            </w:tcBorders>
          </w:tcPr>
          <w:p w:rsidR="00802846" w:rsidRPr="00C962CC" w:rsidRDefault="00E76B70" w:rsidP="00145072">
            <w:pPr>
              <w:jc w:val="both"/>
              <w:rPr>
                <w:color w:val="000000" w:themeColor="text1"/>
              </w:rPr>
            </w:pPr>
            <w:r>
              <w:rPr>
                <w:color w:val="000000" w:themeColor="text1"/>
              </w:rPr>
              <w:t>Likumprojekts</w:t>
            </w:r>
            <w:r w:rsidRPr="00C962CC">
              <w:rPr>
                <w:color w:val="000000" w:themeColor="text1"/>
              </w:rPr>
              <w:t xml:space="preserve"> </w:t>
            </w:r>
            <w:r w:rsidR="00802846" w:rsidRPr="00C962CC">
              <w:rPr>
                <w:color w:val="000000" w:themeColor="text1"/>
              </w:rPr>
              <w:t xml:space="preserve"> neparedz ietekmi uz pārvaldes institucionālo struktūru.</w:t>
            </w:r>
          </w:p>
          <w:p w:rsidR="00802846" w:rsidRPr="00C962CC" w:rsidRDefault="00802846" w:rsidP="00E76B70">
            <w:pPr>
              <w:jc w:val="both"/>
              <w:rPr>
                <w:color w:val="000000" w:themeColor="text1"/>
              </w:rPr>
            </w:pPr>
            <w:r w:rsidRPr="00C962CC">
              <w:rPr>
                <w:color w:val="000000" w:themeColor="text1"/>
              </w:rPr>
              <w:t>Jaunas institūcijas netiek paredzētas.</w:t>
            </w:r>
          </w:p>
        </w:tc>
      </w:tr>
      <w:tr w:rsidR="00E65E27" w:rsidRPr="00C962CC" w:rsidTr="00E65E27">
        <w:tc>
          <w:tcPr>
            <w:tcW w:w="0" w:type="auto"/>
            <w:tcBorders>
              <w:top w:val="outset" w:sz="6" w:space="0" w:color="000000"/>
              <w:bottom w:val="outset" w:sz="6" w:space="0" w:color="000000"/>
              <w:right w:val="outset" w:sz="6" w:space="0" w:color="000000"/>
            </w:tcBorders>
          </w:tcPr>
          <w:p w:rsidR="00802846" w:rsidRPr="00C962CC" w:rsidRDefault="00802846" w:rsidP="00A84887">
            <w:pPr>
              <w:spacing w:before="100" w:beforeAutospacing="1" w:after="100" w:afterAutospacing="1"/>
              <w:rPr>
                <w:color w:val="000000" w:themeColor="text1"/>
              </w:rPr>
            </w:pPr>
            <w:r w:rsidRPr="00C962CC">
              <w:rPr>
                <w:color w:val="000000" w:themeColor="text1"/>
              </w:rPr>
              <w:t>4.</w:t>
            </w:r>
          </w:p>
        </w:tc>
        <w:tc>
          <w:tcPr>
            <w:tcW w:w="2376" w:type="pct"/>
            <w:tcBorders>
              <w:top w:val="outset" w:sz="6" w:space="0" w:color="000000"/>
              <w:left w:val="outset" w:sz="6" w:space="0" w:color="000000"/>
              <w:bottom w:val="outset" w:sz="6" w:space="0" w:color="000000"/>
              <w:right w:val="outset" w:sz="6" w:space="0" w:color="000000"/>
            </w:tcBorders>
          </w:tcPr>
          <w:p w:rsidR="00802846" w:rsidRPr="00C962CC" w:rsidRDefault="00802846" w:rsidP="00A84887">
            <w:pPr>
              <w:spacing w:before="100" w:beforeAutospacing="1" w:after="100" w:afterAutospacing="1"/>
              <w:rPr>
                <w:color w:val="000000" w:themeColor="text1"/>
              </w:rPr>
            </w:pPr>
            <w:r w:rsidRPr="00C962CC">
              <w:rPr>
                <w:color w:val="000000" w:themeColor="text1"/>
              </w:rPr>
              <w:t>Projekta izpildes ietekme uz pārvaldes institucionālo struktūru.</w:t>
            </w:r>
          </w:p>
          <w:p w:rsidR="00802846" w:rsidRPr="00C962CC" w:rsidRDefault="00802846" w:rsidP="00A84887">
            <w:pPr>
              <w:spacing w:before="100" w:beforeAutospacing="1" w:after="100" w:afterAutospacing="1"/>
              <w:rPr>
                <w:color w:val="000000" w:themeColor="text1"/>
              </w:rPr>
            </w:pPr>
            <w:r w:rsidRPr="00C962CC">
              <w:rPr>
                <w:color w:val="000000" w:themeColor="text1"/>
              </w:rPr>
              <w:t>Esošu institūciju likvidācija</w:t>
            </w:r>
          </w:p>
        </w:tc>
        <w:tc>
          <w:tcPr>
            <w:tcW w:w="2499" w:type="pct"/>
            <w:tcBorders>
              <w:top w:val="outset" w:sz="6" w:space="0" w:color="000000"/>
              <w:left w:val="outset" w:sz="6" w:space="0" w:color="000000"/>
              <w:bottom w:val="outset" w:sz="6" w:space="0" w:color="000000"/>
            </w:tcBorders>
          </w:tcPr>
          <w:p w:rsidR="00802846" w:rsidRPr="00C962CC" w:rsidRDefault="00E76B70" w:rsidP="00145072">
            <w:pPr>
              <w:spacing w:before="100" w:beforeAutospacing="1" w:after="100" w:afterAutospacing="1"/>
              <w:jc w:val="both"/>
              <w:rPr>
                <w:color w:val="000000" w:themeColor="text1"/>
              </w:rPr>
            </w:pPr>
            <w:r>
              <w:rPr>
                <w:color w:val="000000" w:themeColor="text1"/>
              </w:rPr>
              <w:t>Likumprojekts</w:t>
            </w:r>
            <w:r w:rsidRPr="00C962CC">
              <w:rPr>
                <w:color w:val="000000" w:themeColor="text1"/>
              </w:rPr>
              <w:t xml:space="preserve"> </w:t>
            </w:r>
            <w:r w:rsidR="00802846" w:rsidRPr="00C962CC">
              <w:rPr>
                <w:color w:val="000000" w:themeColor="text1"/>
              </w:rPr>
              <w:t xml:space="preserve"> neparedz ietekmi uz pārvaldes institucionālo sistēmu.</w:t>
            </w:r>
          </w:p>
          <w:p w:rsidR="00802846" w:rsidRPr="00C962CC" w:rsidRDefault="00802846" w:rsidP="00145072">
            <w:pPr>
              <w:spacing w:before="100" w:beforeAutospacing="1" w:after="100" w:afterAutospacing="1"/>
              <w:jc w:val="both"/>
              <w:rPr>
                <w:color w:val="000000" w:themeColor="text1"/>
              </w:rPr>
            </w:pPr>
            <w:r w:rsidRPr="00C962CC">
              <w:rPr>
                <w:color w:val="000000" w:themeColor="text1"/>
              </w:rPr>
              <w:t>Esošās institūcijas netiek likvidētas.</w:t>
            </w:r>
          </w:p>
        </w:tc>
      </w:tr>
      <w:tr w:rsidR="00E65E27" w:rsidRPr="00C962CC" w:rsidTr="00E65E27">
        <w:tc>
          <w:tcPr>
            <w:tcW w:w="0" w:type="auto"/>
            <w:tcBorders>
              <w:top w:val="outset" w:sz="6" w:space="0" w:color="000000"/>
              <w:bottom w:val="outset" w:sz="6" w:space="0" w:color="000000"/>
              <w:right w:val="outset" w:sz="6" w:space="0" w:color="000000"/>
            </w:tcBorders>
          </w:tcPr>
          <w:p w:rsidR="00802846" w:rsidRPr="00C962CC" w:rsidRDefault="00802846" w:rsidP="00A84887">
            <w:pPr>
              <w:spacing w:before="100" w:beforeAutospacing="1" w:after="100" w:afterAutospacing="1"/>
              <w:rPr>
                <w:color w:val="000000" w:themeColor="text1"/>
              </w:rPr>
            </w:pPr>
            <w:r w:rsidRPr="00C962CC">
              <w:rPr>
                <w:color w:val="000000" w:themeColor="text1"/>
              </w:rPr>
              <w:t>5.</w:t>
            </w:r>
          </w:p>
        </w:tc>
        <w:tc>
          <w:tcPr>
            <w:tcW w:w="2376" w:type="pct"/>
            <w:tcBorders>
              <w:top w:val="outset" w:sz="6" w:space="0" w:color="000000"/>
              <w:left w:val="outset" w:sz="6" w:space="0" w:color="000000"/>
              <w:bottom w:val="outset" w:sz="6" w:space="0" w:color="000000"/>
              <w:right w:val="outset" w:sz="6" w:space="0" w:color="000000"/>
            </w:tcBorders>
          </w:tcPr>
          <w:p w:rsidR="00802846" w:rsidRPr="00C962CC" w:rsidRDefault="00802846" w:rsidP="00A84887">
            <w:pPr>
              <w:spacing w:before="100" w:beforeAutospacing="1" w:after="100" w:afterAutospacing="1"/>
              <w:rPr>
                <w:color w:val="000000" w:themeColor="text1"/>
              </w:rPr>
            </w:pPr>
            <w:r w:rsidRPr="00C962CC">
              <w:rPr>
                <w:color w:val="000000" w:themeColor="text1"/>
              </w:rPr>
              <w:t>Projekta izpildes ietekme uz pārvaldes institucionālo struktūru.</w:t>
            </w:r>
          </w:p>
          <w:p w:rsidR="00802846" w:rsidRPr="00C962CC" w:rsidRDefault="00802846" w:rsidP="00A84887">
            <w:pPr>
              <w:spacing w:before="100" w:beforeAutospacing="1" w:after="100" w:afterAutospacing="1"/>
              <w:rPr>
                <w:color w:val="000000" w:themeColor="text1"/>
              </w:rPr>
            </w:pPr>
            <w:r w:rsidRPr="00C962CC">
              <w:rPr>
                <w:color w:val="000000" w:themeColor="text1"/>
              </w:rPr>
              <w:t>Esošu institūciju reorganizācija</w:t>
            </w:r>
          </w:p>
        </w:tc>
        <w:tc>
          <w:tcPr>
            <w:tcW w:w="2499" w:type="pct"/>
            <w:tcBorders>
              <w:top w:val="outset" w:sz="6" w:space="0" w:color="000000"/>
              <w:left w:val="outset" w:sz="6" w:space="0" w:color="000000"/>
              <w:bottom w:val="outset" w:sz="6" w:space="0" w:color="000000"/>
            </w:tcBorders>
          </w:tcPr>
          <w:p w:rsidR="00802846" w:rsidRPr="00C962CC" w:rsidRDefault="00E76B70" w:rsidP="00145072">
            <w:pPr>
              <w:spacing w:before="100" w:beforeAutospacing="1" w:after="100" w:afterAutospacing="1"/>
              <w:jc w:val="both"/>
              <w:rPr>
                <w:color w:val="000000" w:themeColor="text1"/>
              </w:rPr>
            </w:pPr>
            <w:r>
              <w:rPr>
                <w:color w:val="000000" w:themeColor="text1"/>
              </w:rPr>
              <w:t>Likumprojekts</w:t>
            </w:r>
            <w:r w:rsidRPr="00C962CC">
              <w:rPr>
                <w:color w:val="000000" w:themeColor="text1"/>
              </w:rPr>
              <w:t xml:space="preserve"> </w:t>
            </w:r>
            <w:r w:rsidR="00802846" w:rsidRPr="00C962CC">
              <w:rPr>
                <w:color w:val="000000" w:themeColor="text1"/>
              </w:rPr>
              <w:t xml:space="preserve"> neparedz ietekmi uz pārvaldes institucionālo struktūru.</w:t>
            </w:r>
          </w:p>
          <w:p w:rsidR="00802846" w:rsidRPr="00C962CC" w:rsidRDefault="00802846" w:rsidP="00A84887">
            <w:pPr>
              <w:spacing w:before="100" w:beforeAutospacing="1" w:after="100" w:afterAutospacing="1"/>
              <w:rPr>
                <w:color w:val="000000" w:themeColor="text1"/>
              </w:rPr>
            </w:pPr>
            <w:r w:rsidRPr="00C962CC">
              <w:rPr>
                <w:color w:val="000000" w:themeColor="text1"/>
              </w:rPr>
              <w:t>Esošās institūcijas netiek reorganizētas.</w:t>
            </w:r>
          </w:p>
        </w:tc>
      </w:tr>
      <w:tr w:rsidR="00E65E27" w:rsidRPr="00C962CC" w:rsidTr="00E65E27">
        <w:tc>
          <w:tcPr>
            <w:tcW w:w="0" w:type="auto"/>
            <w:tcBorders>
              <w:top w:val="outset" w:sz="6" w:space="0" w:color="000000"/>
              <w:bottom w:val="outset" w:sz="6" w:space="0" w:color="000000"/>
              <w:right w:val="outset" w:sz="6" w:space="0" w:color="000000"/>
            </w:tcBorders>
          </w:tcPr>
          <w:p w:rsidR="00802846" w:rsidRPr="00C962CC" w:rsidRDefault="00802846" w:rsidP="00A84887">
            <w:pPr>
              <w:spacing w:before="100" w:beforeAutospacing="1" w:after="100" w:afterAutospacing="1"/>
              <w:rPr>
                <w:color w:val="000000" w:themeColor="text1"/>
              </w:rPr>
            </w:pPr>
            <w:r w:rsidRPr="00C962CC">
              <w:rPr>
                <w:color w:val="000000" w:themeColor="text1"/>
              </w:rPr>
              <w:t>6.</w:t>
            </w:r>
          </w:p>
        </w:tc>
        <w:tc>
          <w:tcPr>
            <w:tcW w:w="2376" w:type="pct"/>
            <w:tcBorders>
              <w:top w:val="outset" w:sz="6" w:space="0" w:color="000000"/>
              <w:left w:val="outset" w:sz="6" w:space="0" w:color="000000"/>
              <w:bottom w:val="outset" w:sz="6" w:space="0" w:color="000000"/>
              <w:right w:val="outset" w:sz="6" w:space="0" w:color="000000"/>
            </w:tcBorders>
          </w:tcPr>
          <w:p w:rsidR="00802846" w:rsidRPr="00C962CC" w:rsidRDefault="00802846" w:rsidP="00A84887">
            <w:pPr>
              <w:spacing w:before="100" w:beforeAutospacing="1" w:after="100" w:afterAutospacing="1"/>
              <w:rPr>
                <w:color w:val="000000" w:themeColor="text1"/>
              </w:rPr>
            </w:pPr>
            <w:r w:rsidRPr="00C962CC">
              <w:rPr>
                <w:color w:val="000000" w:themeColor="text1"/>
              </w:rPr>
              <w:t>Cita informācija</w:t>
            </w:r>
          </w:p>
        </w:tc>
        <w:tc>
          <w:tcPr>
            <w:tcW w:w="2499" w:type="pct"/>
            <w:tcBorders>
              <w:top w:val="outset" w:sz="6" w:space="0" w:color="000000"/>
              <w:left w:val="outset" w:sz="6" w:space="0" w:color="000000"/>
              <w:bottom w:val="outset" w:sz="6" w:space="0" w:color="000000"/>
            </w:tcBorders>
          </w:tcPr>
          <w:p w:rsidR="00802846" w:rsidRPr="00C962CC" w:rsidRDefault="00802846" w:rsidP="00A84887">
            <w:pPr>
              <w:spacing w:before="100" w:beforeAutospacing="1" w:after="100" w:afterAutospacing="1"/>
              <w:rPr>
                <w:color w:val="000000" w:themeColor="text1"/>
              </w:rPr>
            </w:pPr>
            <w:r w:rsidRPr="00C962CC">
              <w:rPr>
                <w:color w:val="000000" w:themeColor="text1"/>
              </w:rPr>
              <w:t>Nav</w:t>
            </w:r>
          </w:p>
        </w:tc>
      </w:tr>
    </w:tbl>
    <w:p w:rsidR="00802846" w:rsidRDefault="00802846" w:rsidP="005F0330">
      <w:pPr>
        <w:tabs>
          <w:tab w:val="left" w:pos="5940"/>
        </w:tabs>
        <w:rPr>
          <w:color w:val="000000" w:themeColor="text1"/>
        </w:rPr>
      </w:pPr>
    </w:p>
    <w:p w:rsidR="00DA1E93" w:rsidRPr="00C962CC" w:rsidRDefault="00DA1E93" w:rsidP="005F0330">
      <w:pPr>
        <w:tabs>
          <w:tab w:val="left" w:pos="5940"/>
        </w:tabs>
        <w:rPr>
          <w:color w:val="000000" w:themeColor="text1"/>
        </w:rPr>
      </w:pPr>
    </w:p>
    <w:p w:rsidR="005444C1" w:rsidRPr="00C962CC" w:rsidRDefault="005444C1" w:rsidP="005444C1">
      <w:pPr>
        <w:jc w:val="both"/>
        <w:rPr>
          <w:color w:val="000000" w:themeColor="text1"/>
          <w:sz w:val="28"/>
          <w:szCs w:val="28"/>
        </w:rPr>
      </w:pPr>
      <w:r w:rsidRPr="00C962CC">
        <w:rPr>
          <w:color w:val="000000" w:themeColor="text1"/>
          <w:sz w:val="28"/>
          <w:szCs w:val="28"/>
        </w:rPr>
        <w:t xml:space="preserve">Iesniedzējs: </w:t>
      </w:r>
    </w:p>
    <w:p w:rsidR="005444C1" w:rsidRPr="00C962CC" w:rsidRDefault="005444C1" w:rsidP="005444C1">
      <w:pPr>
        <w:jc w:val="both"/>
        <w:rPr>
          <w:color w:val="000000" w:themeColor="text1"/>
          <w:sz w:val="28"/>
          <w:szCs w:val="28"/>
        </w:rPr>
      </w:pPr>
      <w:r w:rsidRPr="00C962CC">
        <w:rPr>
          <w:color w:val="000000" w:themeColor="text1"/>
          <w:sz w:val="28"/>
          <w:szCs w:val="28"/>
        </w:rPr>
        <w:t>ekonomikas ministrs</w:t>
      </w:r>
      <w:r w:rsidRPr="00C962CC">
        <w:rPr>
          <w:color w:val="000000" w:themeColor="text1"/>
          <w:sz w:val="28"/>
          <w:szCs w:val="28"/>
        </w:rPr>
        <w:tab/>
      </w:r>
      <w:r w:rsidRPr="00C962CC">
        <w:rPr>
          <w:color w:val="000000" w:themeColor="text1"/>
          <w:sz w:val="28"/>
          <w:szCs w:val="28"/>
        </w:rPr>
        <w:tab/>
      </w:r>
      <w:r w:rsidRPr="00C962CC">
        <w:rPr>
          <w:color w:val="000000" w:themeColor="text1"/>
          <w:sz w:val="28"/>
          <w:szCs w:val="28"/>
        </w:rPr>
        <w:tab/>
      </w:r>
      <w:r w:rsidRPr="00C962CC">
        <w:rPr>
          <w:color w:val="000000" w:themeColor="text1"/>
          <w:sz w:val="28"/>
          <w:szCs w:val="28"/>
        </w:rPr>
        <w:tab/>
      </w:r>
      <w:r w:rsidRPr="00C962CC">
        <w:rPr>
          <w:color w:val="000000" w:themeColor="text1"/>
          <w:sz w:val="28"/>
          <w:szCs w:val="28"/>
        </w:rPr>
        <w:tab/>
      </w:r>
      <w:r w:rsidRPr="00C962CC">
        <w:rPr>
          <w:color w:val="000000" w:themeColor="text1"/>
          <w:sz w:val="28"/>
          <w:szCs w:val="28"/>
        </w:rPr>
        <w:tab/>
      </w:r>
      <w:r w:rsidRPr="00C962CC">
        <w:rPr>
          <w:color w:val="000000" w:themeColor="text1"/>
          <w:sz w:val="28"/>
          <w:szCs w:val="28"/>
        </w:rPr>
        <w:tab/>
        <w:t>D.Pavļuts</w:t>
      </w:r>
    </w:p>
    <w:p w:rsidR="005444C1" w:rsidRPr="00C962CC" w:rsidRDefault="005444C1" w:rsidP="005444C1">
      <w:pPr>
        <w:jc w:val="both"/>
        <w:rPr>
          <w:color w:val="000000" w:themeColor="text1"/>
          <w:sz w:val="28"/>
          <w:szCs w:val="28"/>
        </w:rPr>
      </w:pPr>
    </w:p>
    <w:p w:rsidR="005444C1" w:rsidRPr="00C962CC" w:rsidRDefault="005444C1" w:rsidP="005444C1">
      <w:pPr>
        <w:jc w:val="both"/>
        <w:rPr>
          <w:color w:val="000000" w:themeColor="text1"/>
          <w:sz w:val="28"/>
          <w:szCs w:val="28"/>
        </w:rPr>
      </w:pPr>
      <w:r w:rsidRPr="00C962CC">
        <w:rPr>
          <w:color w:val="000000" w:themeColor="text1"/>
          <w:sz w:val="28"/>
          <w:szCs w:val="28"/>
        </w:rPr>
        <w:t xml:space="preserve">Vīza: </w:t>
      </w:r>
      <w:r w:rsidR="006A4BC8">
        <w:rPr>
          <w:color w:val="000000" w:themeColor="text1"/>
          <w:sz w:val="28"/>
          <w:szCs w:val="28"/>
        </w:rPr>
        <w:t>v</w:t>
      </w:r>
      <w:r w:rsidRPr="00C962CC">
        <w:rPr>
          <w:color w:val="000000" w:themeColor="text1"/>
          <w:sz w:val="28"/>
          <w:szCs w:val="28"/>
        </w:rPr>
        <w:t>alsts sekretārs</w:t>
      </w:r>
      <w:r w:rsidRPr="00C962CC">
        <w:rPr>
          <w:color w:val="000000" w:themeColor="text1"/>
          <w:sz w:val="28"/>
          <w:szCs w:val="28"/>
        </w:rPr>
        <w:tab/>
      </w:r>
      <w:r w:rsidRPr="00C962CC">
        <w:rPr>
          <w:color w:val="000000" w:themeColor="text1"/>
          <w:sz w:val="28"/>
          <w:szCs w:val="28"/>
        </w:rPr>
        <w:tab/>
      </w:r>
      <w:r w:rsidRPr="00C962CC">
        <w:rPr>
          <w:color w:val="000000" w:themeColor="text1"/>
          <w:sz w:val="28"/>
          <w:szCs w:val="28"/>
        </w:rPr>
        <w:tab/>
      </w:r>
      <w:r w:rsidRPr="00C962CC">
        <w:rPr>
          <w:color w:val="000000" w:themeColor="text1"/>
          <w:sz w:val="28"/>
          <w:szCs w:val="28"/>
        </w:rPr>
        <w:tab/>
      </w:r>
      <w:r w:rsidRPr="00C962CC">
        <w:rPr>
          <w:color w:val="000000" w:themeColor="text1"/>
          <w:sz w:val="28"/>
          <w:szCs w:val="28"/>
        </w:rPr>
        <w:tab/>
      </w:r>
      <w:r w:rsidRPr="00C962CC">
        <w:rPr>
          <w:color w:val="000000" w:themeColor="text1"/>
          <w:sz w:val="28"/>
          <w:szCs w:val="28"/>
        </w:rPr>
        <w:tab/>
      </w:r>
      <w:r w:rsidRPr="00C962CC">
        <w:rPr>
          <w:color w:val="000000" w:themeColor="text1"/>
          <w:sz w:val="28"/>
          <w:szCs w:val="28"/>
        </w:rPr>
        <w:tab/>
        <w:t>J.Pūce</w:t>
      </w:r>
    </w:p>
    <w:p w:rsidR="00C962CC" w:rsidRDefault="00C962CC" w:rsidP="005444C1">
      <w:pPr>
        <w:pStyle w:val="NormalWeb"/>
        <w:spacing w:before="0" w:beforeAutospacing="0" w:after="0" w:afterAutospacing="0"/>
        <w:jc w:val="both"/>
        <w:rPr>
          <w:color w:val="000000" w:themeColor="text1"/>
          <w:sz w:val="28"/>
          <w:szCs w:val="28"/>
        </w:rPr>
      </w:pPr>
    </w:p>
    <w:p w:rsidR="00DA1E93" w:rsidRDefault="00DA1E93" w:rsidP="005444C1">
      <w:pPr>
        <w:pStyle w:val="NormalWeb"/>
        <w:spacing w:before="0" w:beforeAutospacing="0" w:after="0" w:afterAutospacing="0"/>
        <w:jc w:val="both"/>
        <w:rPr>
          <w:color w:val="000000" w:themeColor="text1"/>
          <w:sz w:val="28"/>
          <w:szCs w:val="28"/>
        </w:rPr>
      </w:pPr>
    </w:p>
    <w:p w:rsidR="001F1440" w:rsidRDefault="001F1440" w:rsidP="005444C1">
      <w:pPr>
        <w:pStyle w:val="NormalWeb"/>
        <w:spacing w:before="0" w:beforeAutospacing="0" w:after="0" w:afterAutospacing="0"/>
        <w:jc w:val="both"/>
        <w:rPr>
          <w:color w:val="000000" w:themeColor="text1"/>
          <w:sz w:val="28"/>
          <w:szCs w:val="28"/>
        </w:rPr>
      </w:pPr>
    </w:p>
    <w:p w:rsidR="001F1440" w:rsidRDefault="001F1440" w:rsidP="005444C1">
      <w:pPr>
        <w:pStyle w:val="NormalWeb"/>
        <w:spacing w:before="0" w:beforeAutospacing="0" w:after="0" w:afterAutospacing="0"/>
        <w:jc w:val="both"/>
        <w:rPr>
          <w:color w:val="000000" w:themeColor="text1"/>
          <w:sz w:val="28"/>
          <w:szCs w:val="28"/>
        </w:rPr>
      </w:pPr>
    </w:p>
    <w:p w:rsidR="001F1440" w:rsidRDefault="001F1440" w:rsidP="005444C1">
      <w:pPr>
        <w:pStyle w:val="NormalWeb"/>
        <w:spacing w:before="0" w:beforeAutospacing="0" w:after="0" w:afterAutospacing="0"/>
        <w:jc w:val="both"/>
        <w:rPr>
          <w:color w:val="000000" w:themeColor="text1"/>
          <w:sz w:val="28"/>
          <w:szCs w:val="28"/>
        </w:rPr>
      </w:pPr>
    </w:p>
    <w:p w:rsidR="001F1440" w:rsidRDefault="001F1440" w:rsidP="005444C1">
      <w:pPr>
        <w:pStyle w:val="NormalWeb"/>
        <w:spacing w:before="0" w:beforeAutospacing="0" w:after="0" w:afterAutospacing="0"/>
        <w:jc w:val="both"/>
        <w:rPr>
          <w:color w:val="000000" w:themeColor="text1"/>
          <w:sz w:val="28"/>
          <w:szCs w:val="28"/>
        </w:rPr>
      </w:pPr>
    </w:p>
    <w:p w:rsidR="001F1440" w:rsidRDefault="001F1440" w:rsidP="005444C1">
      <w:pPr>
        <w:pStyle w:val="NormalWeb"/>
        <w:spacing w:before="0" w:beforeAutospacing="0" w:after="0" w:afterAutospacing="0"/>
        <w:jc w:val="both"/>
        <w:rPr>
          <w:color w:val="000000" w:themeColor="text1"/>
          <w:sz w:val="28"/>
          <w:szCs w:val="28"/>
        </w:rPr>
      </w:pPr>
    </w:p>
    <w:p w:rsidR="001F1440" w:rsidRDefault="001F1440" w:rsidP="005444C1">
      <w:pPr>
        <w:pStyle w:val="NormalWeb"/>
        <w:spacing w:before="0" w:beforeAutospacing="0" w:after="0" w:afterAutospacing="0"/>
        <w:jc w:val="both"/>
        <w:rPr>
          <w:color w:val="000000" w:themeColor="text1"/>
          <w:sz w:val="28"/>
          <w:szCs w:val="28"/>
        </w:rPr>
      </w:pPr>
    </w:p>
    <w:p w:rsidR="001F1440" w:rsidRDefault="001F1440" w:rsidP="005444C1">
      <w:pPr>
        <w:pStyle w:val="NormalWeb"/>
        <w:spacing w:before="0" w:beforeAutospacing="0" w:after="0" w:afterAutospacing="0"/>
        <w:jc w:val="both"/>
        <w:rPr>
          <w:color w:val="000000" w:themeColor="text1"/>
          <w:sz w:val="28"/>
          <w:szCs w:val="28"/>
        </w:rPr>
      </w:pPr>
    </w:p>
    <w:p w:rsidR="001F1440" w:rsidRDefault="001F1440" w:rsidP="005444C1">
      <w:pPr>
        <w:pStyle w:val="NormalWeb"/>
        <w:spacing w:before="0" w:beforeAutospacing="0" w:after="0" w:afterAutospacing="0"/>
        <w:jc w:val="both"/>
        <w:rPr>
          <w:color w:val="000000" w:themeColor="text1"/>
          <w:sz w:val="28"/>
          <w:szCs w:val="28"/>
        </w:rPr>
      </w:pPr>
    </w:p>
    <w:p w:rsidR="001F1440" w:rsidRDefault="001F1440" w:rsidP="005444C1">
      <w:pPr>
        <w:pStyle w:val="NormalWeb"/>
        <w:spacing w:before="0" w:beforeAutospacing="0" w:after="0" w:afterAutospacing="0"/>
        <w:jc w:val="both"/>
        <w:rPr>
          <w:color w:val="000000" w:themeColor="text1"/>
          <w:sz w:val="28"/>
          <w:szCs w:val="28"/>
        </w:rPr>
      </w:pPr>
    </w:p>
    <w:p w:rsidR="001F1440" w:rsidRDefault="001F1440" w:rsidP="005444C1">
      <w:pPr>
        <w:pStyle w:val="NormalWeb"/>
        <w:spacing w:before="0" w:beforeAutospacing="0" w:after="0" w:afterAutospacing="0"/>
        <w:jc w:val="both"/>
        <w:rPr>
          <w:color w:val="000000" w:themeColor="text1"/>
          <w:sz w:val="28"/>
          <w:szCs w:val="28"/>
        </w:rPr>
      </w:pPr>
    </w:p>
    <w:p w:rsidR="001F1440" w:rsidRDefault="001F1440" w:rsidP="005444C1">
      <w:pPr>
        <w:pStyle w:val="NormalWeb"/>
        <w:spacing w:before="0" w:beforeAutospacing="0" w:after="0" w:afterAutospacing="0"/>
        <w:jc w:val="both"/>
        <w:rPr>
          <w:color w:val="000000" w:themeColor="text1"/>
          <w:sz w:val="28"/>
          <w:szCs w:val="28"/>
        </w:rPr>
      </w:pPr>
    </w:p>
    <w:p w:rsidR="005444C1" w:rsidRPr="00C962CC" w:rsidRDefault="001F4F59" w:rsidP="005444C1">
      <w:pPr>
        <w:jc w:val="both"/>
        <w:rPr>
          <w:color w:val="000000" w:themeColor="text1"/>
          <w:sz w:val="20"/>
          <w:szCs w:val="20"/>
        </w:rPr>
      </w:pPr>
      <w:r>
        <w:rPr>
          <w:color w:val="000000" w:themeColor="text1"/>
          <w:sz w:val="20"/>
          <w:szCs w:val="20"/>
        </w:rPr>
        <w:t>1</w:t>
      </w:r>
      <w:r w:rsidR="001F1440">
        <w:rPr>
          <w:color w:val="000000" w:themeColor="text1"/>
          <w:sz w:val="20"/>
          <w:szCs w:val="20"/>
        </w:rPr>
        <w:t>7</w:t>
      </w:r>
      <w:r w:rsidR="005444C1" w:rsidRPr="00C962CC">
        <w:rPr>
          <w:color w:val="000000" w:themeColor="text1"/>
          <w:sz w:val="20"/>
          <w:szCs w:val="20"/>
        </w:rPr>
        <w:t>.0</w:t>
      </w:r>
      <w:r w:rsidR="009B53A0">
        <w:rPr>
          <w:color w:val="000000" w:themeColor="text1"/>
          <w:sz w:val="20"/>
          <w:szCs w:val="20"/>
        </w:rPr>
        <w:t>9</w:t>
      </w:r>
      <w:r w:rsidR="00F767E2">
        <w:rPr>
          <w:color w:val="000000" w:themeColor="text1"/>
          <w:sz w:val="20"/>
          <w:szCs w:val="20"/>
        </w:rPr>
        <w:t xml:space="preserve">.2013 </w:t>
      </w:r>
      <w:r w:rsidR="001F1440">
        <w:rPr>
          <w:color w:val="000000" w:themeColor="text1"/>
          <w:sz w:val="20"/>
          <w:szCs w:val="20"/>
        </w:rPr>
        <w:t>0</w:t>
      </w:r>
      <w:r w:rsidR="00466FA8">
        <w:rPr>
          <w:color w:val="000000" w:themeColor="text1"/>
          <w:sz w:val="20"/>
          <w:szCs w:val="20"/>
        </w:rPr>
        <w:t>8</w:t>
      </w:r>
      <w:r w:rsidR="00F767E2">
        <w:rPr>
          <w:color w:val="000000" w:themeColor="text1"/>
          <w:sz w:val="20"/>
          <w:szCs w:val="20"/>
        </w:rPr>
        <w:t>:</w:t>
      </w:r>
      <w:r w:rsidR="00466FA8">
        <w:rPr>
          <w:color w:val="000000" w:themeColor="text1"/>
          <w:sz w:val="20"/>
          <w:szCs w:val="20"/>
        </w:rPr>
        <w:t>38</w:t>
      </w:r>
      <w:bookmarkStart w:id="1" w:name="_GoBack"/>
      <w:bookmarkEnd w:id="1"/>
    </w:p>
    <w:p w:rsidR="001F4F59" w:rsidRDefault="001F1440" w:rsidP="005444C1">
      <w:pPr>
        <w:pStyle w:val="NormalWeb"/>
        <w:spacing w:before="0" w:beforeAutospacing="0" w:after="0" w:afterAutospacing="0"/>
        <w:jc w:val="both"/>
        <w:rPr>
          <w:color w:val="000000" w:themeColor="text1"/>
          <w:sz w:val="20"/>
          <w:szCs w:val="20"/>
        </w:rPr>
      </w:pPr>
      <w:r>
        <w:rPr>
          <w:color w:val="000000" w:themeColor="text1"/>
          <w:sz w:val="20"/>
          <w:szCs w:val="20"/>
        </w:rPr>
        <w:t>2998</w:t>
      </w:r>
    </w:p>
    <w:p w:rsidR="005444C1" w:rsidRPr="00C962CC" w:rsidRDefault="001F1440" w:rsidP="005444C1">
      <w:pPr>
        <w:pStyle w:val="NormalWeb"/>
        <w:spacing w:before="0" w:beforeAutospacing="0" w:after="0" w:afterAutospacing="0"/>
        <w:jc w:val="both"/>
        <w:rPr>
          <w:color w:val="000000" w:themeColor="text1"/>
          <w:sz w:val="20"/>
          <w:szCs w:val="20"/>
        </w:rPr>
      </w:pPr>
      <w:r>
        <w:rPr>
          <w:color w:val="000000" w:themeColor="text1"/>
          <w:sz w:val="20"/>
          <w:szCs w:val="20"/>
        </w:rPr>
        <w:t>K.Piģēns</w:t>
      </w:r>
    </w:p>
    <w:p w:rsidR="001B5777" w:rsidRPr="00C962CC" w:rsidRDefault="001B5777" w:rsidP="005444C1">
      <w:pPr>
        <w:pStyle w:val="NormalWeb"/>
        <w:spacing w:before="0" w:beforeAutospacing="0" w:after="0" w:afterAutospacing="0"/>
        <w:jc w:val="both"/>
        <w:rPr>
          <w:color w:val="000000" w:themeColor="text1"/>
          <w:sz w:val="20"/>
          <w:szCs w:val="20"/>
        </w:rPr>
      </w:pPr>
      <w:r w:rsidRPr="00C962CC">
        <w:rPr>
          <w:color w:val="000000" w:themeColor="text1"/>
          <w:sz w:val="20"/>
          <w:szCs w:val="20"/>
        </w:rPr>
        <w:t>67013</w:t>
      </w:r>
      <w:r w:rsidR="001F1440">
        <w:rPr>
          <w:color w:val="000000" w:themeColor="text1"/>
          <w:sz w:val="20"/>
          <w:szCs w:val="20"/>
        </w:rPr>
        <w:t>133</w:t>
      </w:r>
    </w:p>
    <w:sectPr w:rsidR="001B5777" w:rsidRPr="00C962CC" w:rsidSect="00033EBA">
      <w:headerReference w:type="even" r:id="rId8"/>
      <w:headerReference w:type="default" r:id="rId9"/>
      <w:footerReference w:type="default" r:id="rId10"/>
      <w:footerReference w:type="first" r:id="rId11"/>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D7A" w:rsidRDefault="00415D7A">
      <w:r>
        <w:separator/>
      </w:r>
    </w:p>
  </w:endnote>
  <w:endnote w:type="continuationSeparator" w:id="0">
    <w:p w:rsidR="00415D7A" w:rsidRDefault="00415D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20000287" w:usb1="00000000" w:usb2="00000000" w:usb3="00000000" w:csb0="0000019F" w:csb1="00000000"/>
  </w:font>
  <w:font w:name="Nimbus Sans L">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46" w:rsidRPr="00861BB7" w:rsidRDefault="00861BB7" w:rsidP="00861BB7">
    <w:pPr>
      <w:jc w:val="both"/>
      <w:outlineLvl w:val="0"/>
    </w:pPr>
    <w:r w:rsidRPr="00483194">
      <w:rPr>
        <w:color w:val="000000" w:themeColor="text1"/>
        <w:sz w:val="20"/>
        <w:szCs w:val="20"/>
      </w:rPr>
      <w:t>EMAnot_</w:t>
    </w:r>
    <w:r w:rsidR="00D84780">
      <w:rPr>
        <w:color w:val="000000" w:themeColor="text1"/>
        <w:sz w:val="20"/>
        <w:szCs w:val="20"/>
      </w:rPr>
      <w:t>1</w:t>
    </w:r>
    <w:r w:rsidR="001F1440">
      <w:rPr>
        <w:color w:val="000000" w:themeColor="text1"/>
        <w:sz w:val="20"/>
        <w:szCs w:val="20"/>
      </w:rPr>
      <w:t>7</w:t>
    </w:r>
    <w:r>
      <w:rPr>
        <w:color w:val="000000" w:themeColor="text1"/>
        <w:sz w:val="20"/>
        <w:szCs w:val="20"/>
      </w:rPr>
      <w:t>0913_Lik_Dzīv_Pal</w:t>
    </w:r>
    <w:r w:rsidRPr="00483194">
      <w:rPr>
        <w:color w:val="000000" w:themeColor="text1"/>
        <w:sz w:val="20"/>
        <w:szCs w:val="20"/>
      </w:rPr>
      <w:t xml:space="preserve">; </w:t>
    </w:r>
    <w:r w:rsidRPr="00F81476">
      <w:rPr>
        <w:sz w:val="20"/>
        <w:szCs w:val="20"/>
      </w:rPr>
      <w:t>Likumprojekt</w:t>
    </w:r>
    <w:r>
      <w:rPr>
        <w:sz w:val="20"/>
        <w:szCs w:val="20"/>
      </w:rPr>
      <w:t xml:space="preserve">a </w:t>
    </w:r>
    <w:r w:rsidRPr="00F81476">
      <w:rPr>
        <w:sz w:val="20"/>
        <w:szCs w:val="20"/>
      </w:rPr>
      <w:t>„Grozījum</w:t>
    </w:r>
    <w:r w:rsidR="00B71467">
      <w:rPr>
        <w:sz w:val="20"/>
        <w:szCs w:val="20"/>
      </w:rPr>
      <w:t>i</w:t>
    </w:r>
    <w:r w:rsidRPr="00F81476">
      <w:rPr>
        <w:sz w:val="20"/>
        <w:szCs w:val="20"/>
      </w:rPr>
      <w:t xml:space="preserve"> likumā „Par </w:t>
    </w:r>
    <w:r>
      <w:rPr>
        <w:sz w:val="20"/>
        <w:szCs w:val="20"/>
      </w:rPr>
      <w:t>palīdzību dzīvokļa jautājumu risināšanā</w:t>
    </w:r>
    <w:r w:rsidRPr="00F81476">
      <w:rPr>
        <w:sz w:val="20"/>
        <w:szCs w:val="20"/>
      </w:rPr>
      <w:t>”</w:t>
    </w:r>
    <w:r>
      <w:rPr>
        <w:sz w:val="20"/>
        <w:szCs w:val="20"/>
      </w:rPr>
      <w:t xml:space="preserve">” </w:t>
    </w:r>
    <w:r w:rsidRPr="00483194">
      <w:rPr>
        <w:bCs/>
        <w:color w:val="000000" w:themeColor="text1"/>
        <w:sz w:val="20"/>
        <w:szCs w:val="20"/>
      </w:rPr>
      <w:t xml:space="preserve">sākotnējās ietekmes novērtējuma </w:t>
    </w:r>
    <w:smartTag w:uri="schemas-tilde-lv/tildestengine" w:element="veidnes">
      <w:smartTagPr>
        <w:attr w:name="id" w:val="-1"/>
        <w:attr w:name="baseform" w:val="ziņojums"/>
        <w:attr w:name="text" w:val="ziņojums"/>
      </w:smartTagPr>
      <w:r w:rsidRPr="00483194">
        <w:rPr>
          <w:bCs/>
          <w:color w:val="000000" w:themeColor="text1"/>
          <w:sz w:val="20"/>
          <w:szCs w:val="20"/>
        </w:rPr>
        <w:t>ziņojums</w:t>
      </w:r>
    </w:smartTag>
    <w:r w:rsidRPr="00483194">
      <w:rPr>
        <w:bCs/>
        <w:color w:val="000000" w:themeColor="text1"/>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194" w:rsidRPr="00483194" w:rsidRDefault="005444C1" w:rsidP="00483194">
    <w:pPr>
      <w:jc w:val="both"/>
      <w:outlineLvl w:val="0"/>
      <w:rPr>
        <w:bCs/>
        <w:color w:val="000000" w:themeColor="text1"/>
        <w:sz w:val="20"/>
        <w:szCs w:val="20"/>
      </w:rPr>
    </w:pPr>
    <w:r w:rsidRPr="00483194">
      <w:rPr>
        <w:color w:val="000000" w:themeColor="text1"/>
        <w:sz w:val="20"/>
        <w:szCs w:val="20"/>
      </w:rPr>
      <w:t>EMAnot_</w:t>
    </w:r>
    <w:r w:rsidR="00D57C85">
      <w:rPr>
        <w:color w:val="000000" w:themeColor="text1"/>
        <w:sz w:val="20"/>
        <w:szCs w:val="20"/>
      </w:rPr>
      <w:t>1</w:t>
    </w:r>
    <w:r w:rsidR="001F1440">
      <w:rPr>
        <w:color w:val="000000" w:themeColor="text1"/>
        <w:sz w:val="20"/>
        <w:szCs w:val="20"/>
      </w:rPr>
      <w:t>7</w:t>
    </w:r>
    <w:r w:rsidR="00861BB7">
      <w:rPr>
        <w:color w:val="000000" w:themeColor="text1"/>
        <w:sz w:val="20"/>
        <w:szCs w:val="20"/>
      </w:rPr>
      <w:t>0913_Lik_Dzīv_Pal</w:t>
    </w:r>
    <w:r w:rsidRPr="00483194">
      <w:rPr>
        <w:color w:val="000000" w:themeColor="text1"/>
        <w:sz w:val="20"/>
        <w:szCs w:val="20"/>
      </w:rPr>
      <w:t xml:space="preserve">; </w:t>
    </w:r>
    <w:r w:rsidR="00861BB7" w:rsidRPr="00F81476">
      <w:rPr>
        <w:sz w:val="20"/>
        <w:szCs w:val="20"/>
      </w:rPr>
      <w:t>Likumprojekt</w:t>
    </w:r>
    <w:r w:rsidR="00861BB7">
      <w:rPr>
        <w:sz w:val="20"/>
        <w:szCs w:val="20"/>
      </w:rPr>
      <w:t xml:space="preserve">a </w:t>
    </w:r>
    <w:r w:rsidR="00861BB7" w:rsidRPr="00F81476">
      <w:rPr>
        <w:sz w:val="20"/>
        <w:szCs w:val="20"/>
      </w:rPr>
      <w:t>„Grozījum</w:t>
    </w:r>
    <w:r w:rsidR="00B71467">
      <w:rPr>
        <w:sz w:val="20"/>
        <w:szCs w:val="20"/>
      </w:rPr>
      <w:t>i</w:t>
    </w:r>
    <w:r w:rsidR="00861BB7" w:rsidRPr="00F81476">
      <w:rPr>
        <w:sz w:val="20"/>
        <w:szCs w:val="20"/>
      </w:rPr>
      <w:t xml:space="preserve"> likumā „Par </w:t>
    </w:r>
    <w:r w:rsidR="00861BB7">
      <w:rPr>
        <w:sz w:val="20"/>
        <w:szCs w:val="20"/>
      </w:rPr>
      <w:t>palīdzību dzīvokļa jautājumu risināšanā</w:t>
    </w:r>
    <w:r w:rsidR="00861BB7" w:rsidRPr="00F81476">
      <w:rPr>
        <w:sz w:val="20"/>
        <w:szCs w:val="20"/>
      </w:rPr>
      <w:t>”</w:t>
    </w:r>
    <w:r w:rsidR="00861BB7">
      <w:rPr>
        <w:sz w:val="20"/>
        <w:szCs w:val="20"/>
      </w:rPr>
      <w:t xml:space="preserve">” </w:t>
    </w:r>
    <w:r w:rsidR="00483194" w:rsidRPr="00483194">
      <w:rPr>
        <w:bCs/>
        <w:color w:val="000000" w:themeColor="text1"/>
        <w:sz w:val="20"/>
        <w:szCs w:val="20"/>
      </w:rPr>
      <w:t xml:space="preserve">sākotnējās ietekmes novērtējuma </w:t>
    </w:r>
    <w:smartTag w:uri="schemas-tilde-lv/tildestengine" w:element="veidnes">
      <w:smartTagPr>
        <w:attr w:name="id" w:val="-1"/>
        <w:attr w:name="baseform" w:val="ziņojums"/>
        <w:attr w:name="text" w:val="ziņojums"/>
      </w:smartTagPr>
      <w:r w:rsidR="00483194" w:rsidRPr="00483194">
        <w:rPr>
          <w:bCs/>
          <w:color w:val="000000" w:themeColor="text1"/>
          <w:sz w:val="20"/>
          <w:szCs w:val="20"/>
        </w:rPr>
        <w:t>ziņojums</w:t>
      </w:r>
    </w:smartTag>
    <w:r w:rsidR="00483194" w:rsidRPr="00483194">
      <w:rPr>
        <w:bCs/>
        <w:color w:val="000000" w:themeColor="text1"/>
        <w:sz w:val="20"/>
        <w:szCs w:val="20"/>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D7A" w:rsidRDefault="00415D7A">
      <w:r>
        <w:separator/>
      </w:r>
    </w:p>
  </w:footnote>
  <w:footnote w:type="continuationSeparator" w:id="0">
    <w:p w:rsidR="00415D7A" w:rsidRDefault="00415D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46" w:rsidRDefault="00572FC3" w:rsidP="000D7206">
    <w:pPr>
      <w:pStyle w:val="Header"/>
      <w:framePr w:wrap="around" w:vAnchor="text" w:hAnchor="margin" w:xAlign="center" w:y="1"/>
      <w:rPr>
        <w:rStyle w:val="PageNumber"/>
      </w:rPr>
    </w:pPr>
    <w:r>
      <w:rPr>
        <w:rStyle w:val="PageNumber"/>
      </w:rPr>
      <w:fldChar w:fldCharType="begin"/>
    </w:r>
    <w:r w:rsidR="00802846">
      <w:rPr>
        <w:rStyle w:val="PageNumber"/>
      </w:rPr>
      <w:instrText xml:space="preserve">PAGE  </w:instrText>
    </w:r>
    <w:r>
      <w:rPr>
        <w:rStyle w:val="PageNumber"/>
      </w:rPr>
      <w:fldChar w:fldCharType="separate"/>
    </w:r>
    <w:r w:rsidR="00802846">
      <w:rPr>
        <w:rStyle w:val="PageNumber"/>
        <w:noProof/>
      </w:rPr>
      <w:t>10</w:t>
    </w:r>
    <w:r>
      <w:rPr>
        <w:rStyle w:val="PageNumber"/>
      </w:rPr>
      <w:fldChar w:fldCharType="end"/>
    </w:r>
  </w:p>
  <w:p w:rsidR="00802846" w:rsidRDefault="008028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2846" w:rsidRPr="00DB073B" w:rsidRDefault="00572FC3" w:rsidP="000D7206">
    <w:pPr>
      <w:pStyle w:val="Header"/>
      <w:framePr w:wrap="around" w:vAnchor="text" w:hAnchor="margin" w:xAlign="center" w:y="1"/>
      <w:rPr>
        <w:rStyle w:val="PageNumber"/>
        <w:sz w:val="20"/>
        <w:szCs w:val="20"/>
      </w:rPr>
    </w:pPr>
    <w:r w:rsidRPr="00DB073B">
      <w:rPr>
        <w:rStyle w:val="PageNumber"/>
        <w:sz w:val="20"/>
        <w:szCs w:val="20"/>
      </w:rPr>
      <w:fldChar w:fldCharType="begin"/>
    </w:r>
    <w:r w:rsidR="00802846" w:rsidRPr="00DB073B">
      <w:rPr>
        <w:rStyle w:val="PageNumber"/>
        <w:sz w:val="20"/>
        <w:szCs w:val="20"/>
      </w:rPr>
      <w:instrText xml:space="preserve">PAGE  </w:instrText>
    </w:r>
    <w:r w:rsidRPr="00DB073B">
      <w:rPr>
        <w:rStyle w:val="PageNumber"/>
        <w:sz w:val="20"/>
        <w:szCs w:val="20"/>
      </w:rPr>
      <w:fldChar w:fldCharType="separate"/>
    </w:r>
    <w:r w:rsidR="00466FA8">
      <w:rPr>
        <w:rStyle w:val="PageNumber"/>
        <w:noProof/>
        <w:sz w:val="20"/>
        <w:szCs w:val="20"/>
      </w:rPr>
      <w:t>9</w:t>
    </w:r>
    <w:r w:rsidRPr="00DB073B">
      <w:rPr>
        <w:rStyle w:val="PageNumber"/>
        <w:sz w:val="20"/>
        <w:szCs w:val="20"/>
      </w:rPr>
      <w:fldChar w:fldCharType="end"/>
    </w:r>
  </w:p>
  <w:p w:rsidR="00802846" w:rsidRDefault="0080284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D0BAB"/>
    <w:multiLevelType w:val="hybridMultilevel"/>
    <w:tmpl w:val="8E92FF88"/>
    <w:lvl w:ilvl="0" w:tplc="C6926DE4">
      <w:start w:val="1"/>
      <w:numFmt w:val="decimal"/>
      <w:lvlText w:val="%1)"/>
      <w:lvlJc w:val="left"/>
      <w:pPr>
        <w:ind w:left="1287" w:hanging="360"/>
      </w:pPr>
      <w:rPr>
        <w:b/>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1">
    <w:nsid w:val="164F0B66"/>
    <w:multiLevelType w:val="hybridMultilevel"/>
    <w:tmpl w:val="95BCC5A4"/>
    <w:lvl w:ilvl="0" w:tplc="63F29632">
      <w:start w:val="10"/>
      <w:numFmt w:val="bullet"/>
      <w:lvlText w:val="-"/>
      <w:lvlJc w:val="left"/>
      <w:pPr>
        <w:ind w:left="720" w:hanging="360"/>
      </w:pPr>
      <w:rPr>
        <w:rFonts w:ascii="Calibri" w:eastAsia="Calibri" w:hAnsi="Calibri"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nsid w:val="37393433"/>
    <w:multiLevelType w:val="hybridMultilevel"/>
    <w:tmpl w:val="94BEB082"/>
    <w:lvl w:ilvl="0" w:tplc="BD3424C8">
      <w:numFmt w:val="bullet"/>
      <w:lvlText w:val="-"/>
      <w:lvlJc w:val="left"/>
      <w:pPr>
        <w:ind w:left="453" w:hanging="360"/>
      </w:pPr>
      <w:rPr>
        <w:rFonts w:ascii="Times New Roman" w:eastAsia="Times New Roman" w:hAnsi="Times New Roman" w:cs="Times New Roman" w:hint="default"/>
      </w:rPr>
    </w:lvl>
    <w:lvl w:ilvl="1" w:tplc="04260003" w:tentative="1">
      <w:start w:val="1"/>
      <w:numFmt w:val="bullet"/>
      <w:lvlText w:val="o"/>
      <w:lvlJc w:val="left"/>
      <w:pPr>
        <w:ind w:left="1173" w:hanging="360"/>
      </w:pPr>
      <w:rPr>
        <w:rFonts w:ascii="Courier New" w:hAnsi="Courier New" w:cs="Courier New" w:hint="default"/>
      </w:rPr>
    </w:lvl>
    <w:lvl w:ilvl="2" w:tplc="04260005" w:tentative="1">
      <w:start w:val="1"/>
      <w:numFmt w:val="bullet"/>
      <w:lvlText w:val=""/>
      <w:lvlJc w:val="left"/>
      <w:pPr>
        <w:ind w:left="1893" w:hanging="360"/>
      </w:pPr>
      <w:rPr>
        <w:rFonts w:ascii="Wingdings" w:hAnsi="Wingdings" w:hint="default"/>
      </w:rPr>
    </w:lvl>
    <w:lvl w:ilvl="3" w:tplc="04260001" w:tentative="1">
      <w:start w:val="1"/>
      <w:numFmt w:val="bullet"/>
      <w:lvlText w:val=""/>
      <w:lvlJc w:val="left"/>
      <w:pPr>
        <w:ind w:left="2613" w:hanging="360"/>
      </w:pPr>
      <w:rPr>
        <w:rFonts w:ascii="Symbol" w:hAnsi="Symbol" w:hint="default"/>
      </w:rPr>
    </w:lvl>
    <w:lvl w:ilvl="4" w:tplc="04260003" w:tentative="1">
      <w:start w:val="1"/>
      <w:numFmt w:val="bullet"/>
      <w:lvlText w:val="o"/>
      <w:lvlJc w:val="left"/>
      <w:pPr>
        <w:ind w:left="3333" w:hanging="360"/>
      </w:pPr>
      <w:rPr>
        <w:rFonts w:ascii="Courier New" w:hAnsi="Courier New" w:cs="Courier New" w:hint="default"/>
      </w:rPr>
    </w:lvl>
    <w:lvl w:ilvl="5" w:tplc="04260005" w:tentative="1">
      <w:start w:val="1"/>
      <w:numFmt w:val="bullet"/>
      <w:lvlText w:val=""/>
      <w:lvlJc w:val="left"/>
      <w:pPr>
        <w:ind w:left="4053" w:hanging="360"/>
      </w:pPr>
      <w:rPr>
        <w:rFonts w:ascii="Wingdings" w:hAnsi="Wingdings" w:hint="default"/>
      </w:rPr>
    </w:lvl>
    <w:lvl w:ilvl="6" w:tplc="04260001" w:tentative="1">
      <w:start w:val="1"/>
      <w:numFmt w:val="bullet"/>
      <w:lvlText w:val=""/>
      <w:lvlJc w:val="left"/>
      <w:pPr>
        <w:ind w:left="4773" w:hanging="360"/>
      </w:pPr>
      <w:rPr>
        <w:rFonts w:ascii="Symbol" w:hAnsi="Symbol" w:hint="default"/>
      </w:rPr>
    </w:lvl>
    <w:lvl w:ilvl="7" w:tplc="04260003" w:tentative="1">
      <w:start w:val="1"/>
      <w:numFmt w:val="bullet"/>
      <w:lvlText w:val="o"/>
      <w:lvlJc w:val="left"/>
      <w:pPr>
        <w:ind w:left="5493" w:hanging="360"/>
      </w:pPr>
      <w:rPr>
        <w:rFonts w:ascii="Courier New" w:hAnsi="Courier New" w:cs="Courier New" w:hint="default"/>
      </w:rPr>
    </w:lvl>
    <w:lvl w:ilvl="8" w:tplc="04260005" w:tentative="1">
      <w:start w:val="1"/>
      <w:numFmt w:val="bullet"/>
      <w:lvlText w:val=""/>
      <w:lvlJc w:val="left"/>
      <w:pPr>
        <w:ind w:left="6213" w:hanging="360"/>
      </w:pPr>
      <w:rPr>
        <w:rFonts w:ascii="Wingdings" w:hAnsi="Wingdings" w:hint="default"/>
      </w:rPr>
    </w:lvl>
  </w:abstractNum>
  <w:abstractNum w:abstractNumId="3">
    <w:nsid w:val="57BF02D5"/>
    <w:multiLevelType w:val="hybridMultilevel"/>
    <w:tmpl w:val="C13482EE"/>
    <w:lvl w:ilvl="0" w:tplc="CEB6D93E">
      <w:start w:val="2011"/>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206"/>
    <w:rsid w:val="0000249B"/>
    <w:rsid w:val="000052F5"/>
    <w:rsid w:val="00030BAC"/>
    <w:rsid w:val="00031170"/>
    <w:rsid w:val="00033EBA"/>
    <w:rsid w:val="00040C06"/>
    <w:rsid w:val="0005606F"/>
    <w:rsid w:val="00056BC9"/>
    <w:rsid w:val="00063991"/>
    <w:rsid w:val="00065296"/>
    <w:rsid w:val="00072A95"/>
    <w:rsid w:val="00072B35"/>
    <w:rsid w:val="00073C58"/>
    <w:rsid w:val="00075C8C"/>
    <w:rsid w:val="000A5A35"/>
    <w:rsid w:val="000B0CEC"/>
    <w:rsid w:val="000B1B0A"/>
    <w:rsid w:val="000D0A3B"/>
    <w:rsid w:val="000D50CB"/>
    <w:rsid w:val="000D7206"/>
    <w:rsid w:val="000E0469"/>
    <w:rsid w:val="000E1AC9"/>
    <w:rsid w:val="00120BAF"/>
    <w:rsid w:val="001352AE"/>
    <w:rsid w:val="00143D6E"/>
    <w:rsid w:val="00145072"/>
    <w:rsid w:val="00145ACC"/>
    <w:rsid w:val="001574E1"/>
    <w:rsid w:val="00170300"/>
    <w:rsid w:val="001716AA"/>
    <w:rsid w:val="0017507E"/>
    <w:rsid w:val="001779FF"/>
    <w:rsid w:val="00181C8E"/>
    <w:rsid w:val="0018691D"/>
    <w:rsid w:val="00186928"/>
    <w:rsid w:val="0018750E"/>
    <w:rsid w:val="001946A1"/>
    <w:rsid w:val="001A55E9"/>
    <w:rsid w:val="001A56AB"/>
    <w:rsid w:val="001A5BCF"/>
    <w:rsid w:val="001A6D70"/>
    <w:rsid w:val="001B5777"/>
    <w:rsid w:val="001C22F0"/>
    <w:rsid w:val="001C547C"/>
    <w:rsid w:val="001D0DE6"/>
    <w:rsid w:val="001D6357"/>
    <w:rsid w:val="001E0E24"/>
    <w:rsid w:val="001E1797"/>
    <w:rsid w:val="001F1440"/>
    <w:rsid w:val="001F4F59"/>
    <w:rsid w:val="001F5C4D"/>
    <w:rsid w:val="002035A8"/>
    <w:rsid w:val="00214726"/>
    <w:rsid w:val="00224779"/>
    <w:rsid w:val="00230906"/>
    <w:rsid w:val="00232167"/>
    <w:rsid w:val="002325FD"/>
    <w:rsid w:val="00232ADB"/>
    <w:rsid w:val="002332D5"/>
    <w:rsid w:val="00243925"/>
    <w:rsid w:val="0024447C"/>
    <w:rsid w:val="0027189E"/>
    <w:rsid w:val="0028302B"/>
    <w:rsid w:val="0028746D"/>
    <w:rsid w:val="00287AA0"/>
    <w:rsid w:val="002A6079"/>
    <w:rsid w:val="002A664E"/>
    <w:rsid w:val="002B1DF6"/>
    <w:rsid w:val="002B6231"/>
    <w:rsid w:val="002C2F48"/>
    <w:rsid w:val="002C6A00"/>
    <w:rsid w:val="002C7EA2"/>
    <w:rsid w:val="002D668A"/>
    <w:rsid w:val="002D6FA7"/>
    <w:rsid w:val="002E0C2E"/>
    <w:rsid w:val="002E15F5"/>
    <w:rsid w:val="002E3EBF"/>
    <w:rsid w:val="002E420C"/>
    <w:rsid w:val="002E4ABC"/>
    <w:rsid w:val="002F38E8"/>
    <w:rsid w:val="002F79A5"/>
    <w:rsid w:val="003040EC"/>
    <w:rsid w:val="00306DB1"/>
    <w:rsid w:val="00310146"/>
    <w:rsid w:val="00316CE7"/>
    <w:rsid w:val="00332494"/>
    <w:rsid w:val="00332E01"/>
    <w:rsid w:val="003344B0"/>
    <w:rsid w:val="003527C3"/>
    <w:rsid w:val="00356035"/>
    <w:rsid w:val="00370392"/>
    <w:rsid w:val="00372F85"/>
    <w:rsid w:val="003731EF"/>
    <w:rsid w:val="0037459E"/>
    <w:rsid w:val="0039181A"/>
    <w:rsid w:val="003A1DC4"/>
    <w:rsid w:val="003A74FC"/>
    <w:rsid w:val="003B30ED"/>
    <w:rsid w:val="003C19AA"/>
    <w:rsid w:val="003C5258"/>
    <w:rsid w:val="003D1E01"/>
    <w:rsid w:val="00402B26"/>
    <w:rsid w:val="00410D68"/>
    <w:rsid w:val="0041456D"/>
    <w:rsid w:val="00415D7A"/>
    <w:rsid w:val="0041691D"/>
    <w:rsid w:val="0042469B"/>
    <w:rsid w:val="00424C65"/>
    <w:rsid w:val="004340E1"/>
    <w:rsid w:val="00445F28"/>
    <w:rsid w:val="004501F7"/>
    <w:rsid w:val="004651BC"/>
    <w:rsid w:val="00466FA8"/>
    <w:rsid w:val="00471207"/>
    <w:rsid w:val="00483194"/>
    <w:rsid w:val="00497D66"/>
    <w:rsid w:val="004A4E7B"/>
    <w:rsid w:val="004A7398"/>
    <w:rsid w:val="004B6FC6"/>
    <w:rsid w:val="004C0972"/>
    <w:rsid w:val="004C294A"/>
    <w:rsid w:val="004C327F"/>
    <w:rsid w:val="004C3740"/>
    <w:rsid w:val="004F20E1"/>
    <w:rsid w:val="004F4A06"/>
    <w:rsid w:val="004F6CD6"/>
    <w:rsid w:val="004F7203"/>
    <w:rsid w:val="00513027"/>
    <w:rsid w:val="005163AB"/>
    <w:rsid w:val="00517BD5"/>
    <w:rsid w:val="00521234"/>
    <w:rsid w:val="00536642"/>
    <w:rsid w:val="005444C1"/>
    <w:rsid w:val="00560841"/>
    <w:rsid w:val="005705D5"/>
    <w:rsid w:val="00572D14"/>
    <w:rsid w:val="00572FC3"/>
    <w:rsid w:val="00576CAE"/>
    <w:rsid w:val="00582132"/>
    <w:rsid w:val="00584597"/>
    <w:rsid w:val="005854A4"/>
    <w:rsid w:val="00591B85"/>
    <w:rsid w:val="00593890"/>
    <w:rsid w:val="005946C9"/>
    <w:rsid w:val="005A1726"/>
    <w:rsid w:val="005A4E66"/>
    <w:rsid w:val="005C0993"/>
    <w:rsid w:val="005C2622"/>
    <w:rsid w:val="005C7B43"/>
    <w:rsid w:val="005E1796"/>
    <w:rsid w:val="005E34F8"/>
    <w:rsid w:val="005F0330"/>
    <w:rsid w:val="005F4E19"/>
    <w:rsid w:val="005F6DA0"/>
    <w:rsid w:val="00605462"/>
    <w:rsid w:val="00607A51"/>
    <w:rsid w:val="0061581F"/>
    <w:rsid w:val="00623D9F"/>
    <w:rsid w:val="00656772"/>
    <w:rsid w:val="00664531"/>
    <w:rsid w:val="00667DDB"/>
    <w:rsid w:val="00670EE3"/>
    <w:rsid w:val="00672D4B"/>
    <w:rsid w:val="0069330F"/>
    <w:rsid w:val="006A4BC8"/>
    <w:rsid w:val="006C4DA0"/>
    <w:rsid w:val="006C5509"/>
    <w:rsid w:val="006C565A"/>
    <w:rsid w:val="006C7890"/>
    <w:rsid w:val="006D492F"/>
    <w:rsid w:val="006D5BA0"/>
    <w:rsid w:val="006F5442"/>
    <w:rsid w:val="00705FBD"/>
    <w:rsid w:val="0071479F"/>
    <w:rsid w:val="00717EA4"/>
    <w:rsid w:val="00717F74"/>
    <w:rsid w:val="0072327F"/>
    <w:rsid w:val="00727A92"/>
    <w:rsid w:val="00735A2E"/>
    <w:rsid w:val="007367CB"/>
    <w:rsid w:val="00736FF5"/>
    <w:rsid w:val="00756639"/>
    <w:rsid w:val="007620AA"/>
    <w:rsid w:val="00762990"/>
    <w:rsid w:val="0076361B"/>
    <w:rsid w:val="0076684A"/>
    <w:rsid w:val="0078465C"/>
    <w:rsid w:val="007912B7"/>
    <w:rsid w:val="00793950"/>
    <w:rsid w:val="00797F33"/>
    <w:rsid w:val="007A2FDB"/>
    <w:rsid w:val="007C121D"/>
    <w:rsid w:val="007E41DD"/>
    <w:rsid w:val="007E7CC4"/>
    <w:rsid w:val="0080017F"/>
    <w:rsid w:val="008010E4"/>
    <w:rsid w:val="00802846"/>
    <w:rsid w:val="00803983"/>
    <w:rsid w:val="00837343"/>
    <w:rsid w:val="00840A6E"/>
    <w:rsid w:val="00860BD2"/>
    <w:rsid w:val="00861BB7"/>
    <w:rsid w:val="00862A42"/>
    <w:rsid w:val="00880BD8"/>
    <w:rsid w:val="0088311B"/>
    <w:rsid w:val="00887E91"/>
    <w:rsid w:val="008910B7"/>
    <w:rsid w:val="00891FD2"/>
    <w:rsid w:val="008C79D8"/>
    <w:rsid w:val="008E1D96"/>
    <w:rsid w:val="008F2953"/>
    <w:rsid w:val="00914AB1"/>
    <w:rsid w:val="009151DE"/>
    <w:rsid w:val="0091625F"/>
    <w:rsid w:val="00921F77"/>
    <w:rsid w:val="00931121"/>
    <w:rsid w:val="00933626"/>
    <w:rsid w:val="00934EDE"/>
    <w:rsid w:val="00936D7B"/>
    <w:rsid w:val="009400C0"/>
    <w:rsid w:val="0094048C"/>
    <w:rsid w:val="0094450B"/>
    <w:rsid w:val="00984CA0"/>
    <w:rsid w:val="0099619E"/>
    <w:rsid w:val="00996B16"/>
    <w:rsid w:val="00996B6B"/>
    <w:rsid w:val="009A10B0"/>
    <w:rsid w:val="009A2831"/>
    <w:rsid w:val="009A729B"/>
    <w:rsid w:val="009B53A0"/>
    <w:rsid w:val="009C0E96"/>
    <w:rsid w:val="009C5B07"/>
    <w:rsid w:val="009E29FF"/>
    <w:rsid w:val="009E4BFB"/>
    <w:rsid w:val="009F7B47"/>
    <w:rsid w:val="00A006AF"/>
    <w:rsid w:val="00A03E92"/>
    <w:rsid w:val="00A04B24"/>
    <w:rsid w:val="00A1456E"/>
    <w:rsid w:val="00A3021E"/>
    <w:rsid w:val="00A41BE8"/>
    <w:rsid w:val="00A51142"/>
    <w:rsid w:val="00A57BDA"/>
    <w:rsid w:val="00A604E8"/>
    <w:rsid w:val="00A662A2"/>
    <w:rsid w:val="00A666C2"/>
    <w:rsid w:val="00A72965"/>
    <w:rsid w:val="00A84887"/>
    <w:rsid w:val="00A9194E"/>
    <w:rsid w:val="00A96158"/>
    <w:rsid w:val="00AA2B3F"/>
    <w:rsid w:val="00AA3DB9"/>
    <w:rsid w:val="00AA5E8B"/>
    <w:rsid w:val="00AB4CC9"/>
    <w:rsid w:val="00AF1773"/>
    <w:rsid w:val="00B00617"/>
    <w:rsid w:val="00B10DA6"/>
    <w:rsid w:val="00B13790"/>
    <w:rsid w:val="00B35AAC"/>
    <w:rsid w:val="00B375E0"/>
    <w:rsid w:val="00B37D47"/>
    <w:rsid w:val="00B45FA1"/>
    <w:rsid w:val="00B517B4"/>
    <w:rsid w:val="00B53509"/>
    <w:rsid w:val="00B54DD6"/>
    <w:rsid w:val="00B63F96"/>
    <w:rsid w:val="00B64EBA"/>
    <w:rsid w:val="00B65111"/>
    <w:rsid w:val="00B65731"/>
    <w:rsid w:val="00B71467"/>
    <w:rsid w:val="00B859E9"/>
    <w:rsid w:val="00BA79BC"/>
    <w:rsid w:val="00BB46BB"/>
    <w:rsid w:val="00BB5CAF"/>
    <w:rsid w:val="00BE0EE7"/>
    <w:rsid w:val="00BF6FFF"/>
    <w:rsid w:val="00C00896"/>
    <w:rsid w:val="00C03630"/>
    <w:rsid w:val="00C06778"/>
    <w:rsid w:val="00C12F5F"/>
    <w:rsid w:val="00C20D23"/>
    <w:rsid w:val="00C33976"/>
    <w:rsid w:val="00C36D4F"/>
    <w:rsid w:val="00C37260"/>
    <w:rsid w:val="00C41209"/>
    <w:rsid w:val="00C4518A"/>
    <w:rsid w:val="00C467A8"/>
    <w:rsid w:val="00C732D8"/>
    <w:rsid w:val="00C84FA8"/>
    <w:rsid w:val="00C91C99"/>
    <w:rsid w:val="00C962CC"/>
    <w:rsid w:val="00CA3011"/>
    <w:rsid w:val="00CB1AD2"/>
    <w:rsid w:val="00CB35C5"/>
    <w:rsid w:val="00CF5A90"/>
    <w:rsid w:val="00D12D78"/>
    <w:rsid w:val="00D1324A"/>
    <w:rsid w:val="00D22685"/>
    <w:rsid w:val="00D40ED1"/>
    <w:rsid w:val="00D42302"/>
    <w:rsid w:val="00D5192A"/>
    <w:rsid w:val="00D56915"/>
    <w:rsid w:val="00D57C85"/>
    <w:rsid w:val="00D60CD1"/>
    <w:rsid w:val="00D6104D"/>
    <w:rsid w:val="00D70324"/>
    <w:rsid w:val="00D77767"/>
    <w:rsid w:val="00D8294A"/>
    <w:rsid w:val="00D84780"/>
    <w:rsid w:val="00D95700"/>
    <w:rsid w:val="00DA0AC1"/>
    <w:rsid w:val="00DA1200"/>
    <w:rsid w:val="00DA1E93"/>
    <w:rsid w:val="00DA3563"/>
    <w:rsid w:val="00DA5C6E"/>
    <w:rsid w:val="00DB073B"/>
    <w:rsid w:val="00DB325C"/>
    <w:rsid w:val="00DB7DD9"/>
    <w:rsid w:val="00DC2EEC"/>
    <w:rsid w:val="00DC6860"/>
    <w:rsid w:val="00DD1EBA"/>
    <w:rsid w:val="00DD70C8"/>
    <w:rsid w:val="00DE0324"/>
    <w:rsid w:val="00DE33E0"/>
    <w:rsid w:val="00DF7F28"/>
    <w:rsid w:val="00E0433F"/>
    <w:rsid w:val="00E1386E"/>
    <w:rsid w:val="00E2109B"/>
    <w:rsid w:val="00E22EE2"/>
    <w:rsid w:val="00E25FB2"/>
    <w:rsid w:val="00E3438D"/>
    <w:rsid w:val="00E370E5"/>
    <w:rsid w:val="00E40400"/>
    <w:rsid w:val="00E40E06"/>
    <w:rsid w:val="00E40FD4"/>
    <w:rsid w:val="00E5458B"/>
    <w:rsid w:val="00E6512F"/>
    <w:rsid w:val="00E65E27"/>
    <w:rsid w:val="00E70136"/>
    <w:rsid w:val="00E757C2"/>
    <w:rsid w:val="00E76B2E"/>
    <w:rsid w:val="00E76B70"/>
    <w:rsid w:val="00E87427"/>
    <w:rsid w:val="00EA3725"/>
    <w:rsid w:val="00EA3D06"/>
    <w:rsid w:val="00EA3D27"/>
    <w:rsid w:val="00EA74D0"/>
    <w:rsid w:val="00EB4EA2"/>
    <w:rsid w:val="00EC74B0"/>
    <w:rsid w:val="00ED5840"/>
    <w:rsid w:val="00EE0189"/>
    <w:rsid w:val="00EF501E"/>
    <w:rsid w:val="00F00FC8"/>
    <w:rsid w:val="00F179A1"/>
    <w:rsid w:val="00F32763"/>
    <w:rsid w:val="00F32C3A"/>
    <w:rsid w:val="00F330DD"/>
    <w:rsid w:val="00F35800"/>
    <w:rsid w:val="00F72402"/>
    <w:rsid w:val="00F72458"/>
    <w:rsid w:val="00F767E2"/>
    <w:rsid w:val="00F818D1"/>
    <w:rsid w:val="00F840BC"/>
    <w:rsid w:val="00F860A3"/>
    <w:rsid w:val="00F928A9"/>
    <w:rsid w:val="00F936EF"/>
    <w:rsid w:val="00FA2370"/>
    <w:rsid w:val="00FB1FD6"/>
    <w:rsid w:val="00FC50CB"/>
    <w:rsid w:val="00FE4010"/>
    <w:rsid w:val="00FE5453"/>
    <w:rsid w:val="00FF0988"/>
    <w:rsid w:val="00FF71D6"/>
    <w:rsid w:val="00FF758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30"/>
    <w:rPr>
      <w:rFonts w:ascii="Times New Roman" w:eastAsia="Times New Roman" w:hAnsi="Times New Roman"/>
      <w:sz w:val="24"/>
      <w:szCs w:val="24"/>
    </w:rPr>
  </w:style>
  <w:style w:type="paragraph" w:styleId="Heading3">
    <w:name w:val="heading 3"/>
    <w:basedOn w:val="Normal"/>
    <w:link w:val="Heading3Char"/>
    <w:uiPriority w:val="99"/>
    <w:qFormat/>
    <w:rsid w:val="000D7206"/>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9"/>
    <w:qFormat/>
    <w:rsid w:val="0000249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0D7206"/>
    <w:rPr>
      <w:rFonts w:ascii="Times New Roman" w:hAnsi="Times New Roman" w:cs="Times New Roman"/>
      <w:b/>
      <w:bCs/>
      <w:sz w:val="27"/>
      <w:szCs w:val="27"/>
      <w:lang w:eastAsia="lv-LV"/>
    </w:rPr>
  </w:style>
  <w:style w:type="character" w:customStyle="1" w:styleId="Heading5Char">
    <w:name w:val="Heading 5 Char"/>
    <w:link w:val="Heading5"/>
    <w:uiPriority w:val="99"/>
    <w:semiHidden/>
    <w:locked/>
    <w:rsid w:val="0000249B"/>
    <w:rPr>
      <w:rFonts w:ascii="Cambria" w:hAnsi="Cambria" w:cs="Times New Roman"/>
      <w:color w:val="243F60"/>
      <w:sz w:val="24"/>
      <w:szCs w:val="24"/>
      <w:lang w:eastAsia="lv-LV"/>
    </w:rPr>
  </w:style>
  <w:style w:type="paragraph" w:styleId="Header">
    <w:name w:val="header"/>
    <w:basedOn w:val="Normal"/>
    <w:link w:val="HeaderChar"/>
    <w:uiPriority w:val="99"/>
    <w:rsid w:val="000D7206"/>
    <w:pPr>
      <w:tabs>
        <w:tab w:val="center" w:pos="4153"/>
        <w:tab w:val="right" w:pos="8306"/>
      </w:tabs>
    </w:pPr>
  </w:style>
  <w:style w:type="character" w:customStyle="1" w:styleId="HeaderChar">
    <w:name w:val="Header Char"/>
    <w:link w:val="Header"/>
    <w:uiPriority w:val="99"/>
    <w:locked/>
    <w:rsid w:val="000D7206"/>
    <w:rPr>
      <w:rFonts w:ascii="Times New Roman" w:hAnsi="Times New Roman" w:cs="Times New Roman"/>
      <w:sz w:val="24"/>
      <w:szCs w:val="24"/>
      <w:lang w:eastAsia="lv-LV"/>
    </w:rPr>
  </w:style>
  <w:style w:type="character" w:styleId="PageNumber">
    <w:name w:val="page number"/>
    <w:uiPriority w:val="99"/>
    <w:rsid w:val="000D7206"/>
    <w:rPr>
      <w:rFonts w:cs="Times New Roman"/>
    </w:rPr>
  </w:style>
  <w:style w:type="paragraph" w:customStyle="1" w:styleId="naislab">
    <w:name w:val="naislab"/>
    <w:basedOn w:val="Normal"/>
    <w:uiPriority w:val="99"/>
    <w:rsid w:val="000D7206"/>
    <w:pPr>
      <w:spacing w:before="75" w:after="75"/>
      <w:jc w:val="right"/>
    </w:pPr>
  </w:style>
  <w:style w:type="paragraph" w:styleId="Footer">
    <w:name w:val="footer"/>
    <w:basedOn w:val="Normal"/>
    <w:link w:val="FooterChar"/>
    <w:uiPriority w:val="99"/>
    <w:rsid w:val="000D7206"/>
    <w:pPr>
      <w:tabs>
        <w:tab w:val="center" w:pos="4153"/>
        <w:tab w:val="right" w:pos="8306"/>
      </w:tabs>
    </w:pPr>
  </w:style>
  <w:style w:type="character" w:customStyle="1" w:styleId="FooterChar">
    <w:name w:val="Footer Char"/>
    <w:link w:val="Footer"/>
    <w:uiPriority w:val="99"/>
    <w:locked/>
    <w:rsid w:val="000D7206"/>
    <w:rPr>
      <w:rFonts w:ascii="Times New Roman" w:hAnsi="Times New Roman" w:cs="Times New Roman"/>
      <w:sz w:val="24"/>
      <w:szCs w:val="24"/>
      <w:lang w:eastAsia="lv-LV"/>
    </w:rPr>
  </w:style>
  <w:style w:type="character" w:styleId="Hyperlink">
    <w:name w:val="Hyperlink"/>
    <w:uiPriority w:val="99"/>
    <w:rsid w:val="000D7206"/>
    <w:rPr>
      <w:rFonts w:cs="Times New Roman"/>
      <w:color w:val="0000FF"/>
      <w:u w:val="single"/>
    </w:rPr>
  </w:style>
  <w:style w:type="paragraph" w:styleId="NormalWeb">
    <w:name w:val="Normal (Web)"/>
    <w:basedOn w:val="Normal"/>
    <w:link w:val="NormalWebChar"/>
    <w:uiPriority w:val="99"/>
    <w:rsid w:val="000D7206"/>
    <w:pPr>
      <w:spacing w:before="100" w:beforeAutospacing="1" w:after="100" w:afterAutospacing="1"/>
    </w:pPr>
  </w:style>
  <w:style w:type="character" w:customStyle="1" w:styleId="c1">
    <w:name w:val="c1"/>
    <w:uiPriority w:val="99"/>
    <w:rsid w:val="000D7206"/>
    <w:rPr>
      <w:rFonts w:cs="Times New Roman"/>
    </w:rPr>
  </w:style>
  <w:style w:type="character" w:styleId="Strong">
    <w:name w:val="Strong"/>
    <w:uiPriority w:val="99"/>
    <w:qFormat/>
    <w:rsid w:val="000D7206"/>
    <w:rPr>
      <w:rFonts w:cs="Times New Roman"/>
      <w:b/>
      <w:bCs/>
    </w:rPr>
  </w:style>
  <w:style w:type="character" w:customStyle="1" w:styleId="c3">
    <w:name w:val="c3"/>
    <w:uiPriority w:val="99"/>
    <w:rsid w:val="000D7206"/>
    <w:rPr>
      <w:rFonts w:cs="Times New Roman"/>
    </w:rPr>
  </w:style>
  <w:style w:type="paragraph" w:customStyle="1" w:styleId="naiskr">
    <w:name w:val="naiskr"/>
    <w:basedOn w:val="Normal"/>
    <w:uiPriority w:val="99"/>
    <w:rsid w:val="000D7206"/>
    <w:pPr>
      <w:spacing w:before="75" w:after="75"/>
    </w:pPr>
  </w:style>
  <w:style w:type="character" w:customStyle="1" w:styleId="BalloonTextChar">
    <w:name w:val="Balloon Text Char"/>
    <w:uiPriority w:val="99"/>
    <w:semiHidden/>
    <w:locked/>
    <w:rsid w:val="000D7206"/>
    <w:rPr>
      <w:rFonts w:ascii="Tahoma" w:hAnsi="Tahoma" w:cs="Tahoma"/>
      <w:sz w:val="16"/>
      <w:szCs w:val="16"/>
      <w:lang w:eastAsia="lv-LV"/>
    </w:rPr>
  </w:style>
  <w:style w:type="paragraph" w:styleId="BalloonText">
    <w:name w:val="Balloon Text"/>
    <w:basedOn w:val="Normal"/>
    <w:link w:val="BalloonTextChar1"/>
    <w:uiPriority w:val="99"/>
    <w:semiHidden/>
    <w:rsid w:val="000D7206"/>
    <w:rPr>
      <w:rFonts w:ascii="Tahoma" w:hAnsi="Tahoma" w:cs="Tahoma"/>
      <w:sz w:val="16"/>
      <w:szCs w:val="16"/>
    </w:rPr>
  </w:style>
  <w:style w:type="character" w:customStyle="1" w:styleId="BalloonTextChar1">
    <w:name w:val="Balloon Text Char1"/>
    <w:link w:val="BalloonText"/>
    <w:uiPriority w:val="99"/>
    <w:semiHidden/>
    <w:locked/>
    <w:rsid w:val="00D77767"/>
    <w:rPr>
      <w:rFonts w:ascii="Times New Roman" w:hAnsi="Times New Roman" w:cs="Times New Roman"/>
      <w:sz w:val="2"/>
    </w:rPr>
  </w:style>
  <w:style w:type="paragraph" w:styleId="ListParagraph">
    <w:name w:val="List Paragraph"/>
    <w:basedOn w:val="Normal"/>
    <w:uiPriority w:val="34"/>
    <w:qFormat/>
    <w:rsid w:val="000D7206"/>
    <w:pPr>
      <w:ind w:left="720"/>
      <w:contextualSpacing/>
    </w:pPr>
  </w:style>
  <w:style w:type="paragraph" w:customStyle="1" w:styleId="naisf">
    <w:name w:val="naisf"/>
    <w:basedOn w:val="Normal"/>
    <w:rsid w:val="000D7206"/>
    <w:pPr>
      <w:spacing w:before="75" w:after="75"/>
      <w:ind w:firstLine="375"/>
      <w:jc w:val="both"/>
    </w:pPr>
  </w:style>
  <w:style w:type="paragraph" w:styleId="CommentText">
    <w:name w:val="annotation text"/>
    <w:basedOn w:val="Normal"/>
    <w:link w:val="CommentTextChar"/>
    <w:rsid w:val="000D7206"/>
    <w:rPr>
      <w:sz w:val="20"/>
      <w:szCs w:val="20"/>
    </w:rPr>
  </w:style>
  <w:style w:type="character" w:customStyle="1" w:styleId="CommentTextChar">
    <w:name w:val="Comment Text Char"/>
    <w:link w:val="CommentText"/>
    <w:locked/>
    <w:rsid w:val="000D7206"/>
    <w:rPr>
      <w:rFonts w:ascii="Times New Roman" w:hAnsi="Times New Roman" w:cs="Times New Roman"/>
      <w:sz w:val="20"/>
      <w:szCs w:val="20"/>
      <w:lang w:eastAsia="lv-LV"/>
    </w:rPr>
  </w:style>
  <w:style w:type="paragraph" w:styleId="FootnoteText">
    <w:name w:val="footnote text"/>
    <w:basedOn w:val="Normal"/>
    <w:link w:val="FootnoteTextChar"/>
    <w:uiPriority w:val="99"/>
    <w:semiHidden/>
    <w:rsid w:val="000D7206"/>
    <w:pPr>
      <w:ind w:left="720" w:hanging="720"/>
      <w:jc w:val="both"/>
    </w:pPr>
    <w:rPr>
      <w:sz w:val="20"/>
      <w:szCs w:val="20"/>
      <w:lang w:eastAsia="en-GB"/>
    </w:rPr>
  </w:style>
  <w:style w:type="character" w:customStyle="1" w:styleId="FootnoteTextChar">
    <w:name w:val="Footnote Text Char"/>
    <w:link w:val="FootnoteText"/>
    <w:uiPriority w:val="99"/>
    <w:semiHidden/>
    <w:locked/>
    <w:rsid w:val="000D7206"/>
    <w:rPr>
      <w:rFonts w:ascii="Times New Roman" w:hAnsi="Times New Roman" w:cs="Times New Roman"/>
      <w:sz w:val="20"/>
      <w:szCs w:val="20"/>
      <w:lang w:eastAsia="en-GB"/>
    </w:rPr>
  </w:style>
  <w:style w:type="character" w:styleId="CommentReference">
    <w:name w:val="annotation reference"/>
    <w:rsid w:val="000D7206"/>
    <w:rPr>
      <w:rFonts w:cs="Times New Roman"/>
      <w:sz w:val="16"/>
      <w:szCs w:val="16"/>
    </w:rPr>
  </w:style>
  <w:style w:type="character" w:customStyle="1" w:styleId="CommentSubjectChar">
    <w:name w:val="Comment Subject Char"/>
    <w:uiPriority w:val="99"/>
    <w:semiHidden/>
    <w:locked/>
    <w:rsid w:val="000D7206"/>
    <w:rPr>
      <w:rFonts w:ascii="Times New Roman" w:hAnsi="Times New Roman" w:cs="Times New Roman"/>
      <w:b/>
      <w:bCs/>
      <w:sz w:val="20"/>
      <w:szCs w:val="20"/>
      <w:lang w:eastAsia="lv-LV"/>
    </w:rPr>
  </w:style>
  <w:style w:type="paragraph" w:styleId="CommentSubject">
    <w:name w:val="annotation subject"/>
    <w:basedOn w:val="CommentText"/>
    <w:next w:val="CommentText"/>
    <w:link w:val="CommentSubjectChar1"/>
    <w:uiPriority w:val="99"/>
    <w:semiHidden/>
    <w:rsid w:val="000D7206"/>
    <w:rPr>
      <w:b/>
      <w:bCs/>
    </w:rPr>
  </w:style>
  <w:style w:type="character" w:customStyle="1" w:styleId="CommentSubjectChar1">
    <w:name w:val="Comment Subject Char1"/>
    <w:link w:val="CommentSubject"/>
    <w:uiPriority w:val="99"/>
    <w:semiHidden/>
    <w:locked/>
    <w:rsid w:val="00D77767"/>
    <w:rPr>
      <w:rFonts w:ascii="Times New Roman" w:hAnsi="Times New Roman" w:cs="Times New Roman"/>
      <w:b/>
      <w:bCs/>
      <w:sz w:val="20"/>
      <w:szCs w:val="20"/>
      <w:lang w:eastAsia="lv-LV"/>
    </w:rPr>
  </w:style>
  <w:style w:type="character" w:customStyle="1" w:styleId="NormalWebChar">
    <w:name w:val="Normal (Web) Char"/>
    <w:link w:val="NormalWeb"/>
    <w:uiPriority w:val="99"/>
    <w:locked/>
    <w:rsid w:val="00880BD8"/>
    <w:rPr>
      <w:rFonts w:ascii="Times New Roman" w:hAnsi="Times New Roman" w:cs="Times New Roman"/>
      <w:sz w:val="24"/>
      <w:szCs w:val="24"/>
      <w:lang w:eastAsia="lv-LV"/>
    </w:rPr>
  </w:style>
  <w:style w:type="paragraph" w:customStyle="1" w:styleId="naisc">
    <w:name w:val="naisc"/>
    <w:basedOn w:val="Normal"/>
    <w:uiPriority w:val="99"/>
    <w:rsid w:val="00880BD8"/>
    <w:pPr>
      <w:spacing w:before="100" w:beforeAutospacing="1" w:after="100" w:afterAutospacing="1"/>
    </w:pPr>
  </w:style>
  <w:style w:type="paragraph" w:styleId="ListBullet">
    <w:name w:val="List Bullet"/>
    <w:basedOn w:val="Normal"/>
    <w:uiPriority w:val="99"/>
    <w:rsid w:val="00120BAF"/>
    <w:pPr>
      <w:tabs>
        <w:tab w:val="num" w:pos="360"/>
      </w:tabs>
      <w:ind w:left="360" w:hanging="360"/>
      <w:contextualSpacing/>
    </w:pPr>
    <w:rPr>
      <w:lang w:eastAsia="en-US"/>
    </w:rPr>
  </w:style>
  <w:style w:type="paragraph" w:customStyle="1" w:styleId="tv2131">
    <w:name w:val="tv2131"/>
    <w:basedOn w:val="Normal"/>
    <w:uiPriority w:val="99"/>
    <w:rsid w:val="00BB5CAF"/>
    <w:pPr>
      <w:spacing w:before="240" w:line="360" w:lineRule="auto"/>
      <w:ind w:firstLine="272"/>
      <w:jc w:val="both"/>
    </w:pPr>
    <w:rPr>
      <w:rFonts w:ascii="Verdana" w:hAnsi="Verdana"/>
      <w:sz w:val="16"/>
      <w:szCs w:val="16"/>
    </w:rPr>
  </w:style>
  <w:style w:type="table" w:styleId="TableGrid">
    <w:name w:val="Table Grid"/>
    <w:basedOn w:val="TableNormal"/>
    <w:locked/>
    <w:rsid w:val="00A72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oins0">
    <w:name w:val="msoins"/>
    <w:basedOn w:val="DefaultParagraphFont"/>
    <w:rsid w:val="00914AB1"/>
  </w:style>
  <w:style w:type="paragraph" w:styleId="BodyText">
    <w:name w:val="Body Text"/>
    <w:basedOn w:val="Normal"/>
    <w:link w:val="BodyTextChar"/>
    <w:uiPriority w:val="99"/>
    <w:rsid w:val="00D95700"/>
    <w:pPr>
      <w:suppressAutoHyphens/>
      <w:spacing w:after="120"/>
      <w:ind w:firstLine="720"/>
      <w:jc w:val="both"/>
    </w:pPr>
    <w:rPr>
      <w:rFonts w:eastAsia="Nimbus Sans L" w:cs="Nimbus Sans L"/>
      <w:kern w:val="1"/>
      <w:sz w:val="28"/>
      <w:lang w:val="en-US" w:eastAsia="hi-IN" w:bidi="hi-IN"/>
    </w:rPr>
  </w:style>
  <w:style w:type="character" w:customStyle="1" w:styleId="BodyTextChar">
    <w:name w:val="Body Text Char"/>
    <w:basedOn w:val="DefaultParagraphFont"/>
    <w:link w:val="BodyText"/>
    <w:uiPriority w:val="99"/>
    <w:rsid w:val="00D95700"/>
    <w:rPr>
      <w:rFonts w:ascii="Times New Roman" w:eastAsia="Nimbus Sans L" w:hAnsi="Times New Roman" w:cs="Nimbus Sans L"/>
      <w:kern w:val="1"/>
      <w:sz w:val="28"/>
      <w:szCs w:val="24"/>
      <w:lang w:val="en-US" w:eastAsia="hi-IN" w:bidi="hi-IN"/>
    </w:rPr>
  </w:style>
  <w:style w:type="paragraph" w:styleId="PlainText">
    <w:name w:val="Plain Text"/>
    <w:basedOn w:val="Normal"/>
    <w:link w:val="PlainTextChar"/>
    <w:uiPriority w:val="99"/>
    <w:unhideWhenUsed/>
    <w:rsid w:val="003D1E01"/>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3D1E01"/>
    <w:rPr>
      <w:sz w:val="22"/>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List Bulle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330"/>
    <w:rPr>
      <w:rFonts w:ascii="Times New Roman" w:eastAsia="Times New Roman" w:hAnsi="Times New Roman"/>
      <w:sz w:val="24"/>
      <w:szCs w:val="24"/>
    </w:rPr>
  </w:style>
  <w:style w:type="paragraph" w:styleId="Heading3">
    <w:name w:val="heading 3"/>
    <w:basedOn w:val="Normal"/>
    <w:link w:val="Heading3Char"/>
    <w:uiPriority w:val="99"/>
    <w:qFormat/>
    <w:rsid w:val="000D7206"/>
    <w:pPr>
      <w:spacing w:before="100" w:beforeAutospacing="1" w:after="100" w:afterAutospacing="1"/>
      <w:outlineLvl w:val="2"/>
    </w:pPr>
    <w:rPr>
      <w:b/>
      <w:bCs/>
      <w:sz w:val="27"/>
      <w:szCs w:val="27"/>
    </w:rPr>
  </w:style>
  <w:style w:type="paragraph" w:styleId="Heading5">
    <w:name w:val="heading 5"/>
    <w:basedOn w:val="Normal"/>
    <w:next w:val="Normal"/>
    <w:link w:val="Heading5Char"/>
    <w:uiPriority w:val="99"/>
    <w:qFormat/>
    <w:rsid w:val="0000249B"/>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9"/>
    <w:locked/>
    <w:rsid w:val="000D7206"/>
    <w:rPr>
      <w:rFonts w:ascii="Times New Roman" w:hAnsi="Times New Roman" w:cs="Times New Roman"/>
      <w:b/>
      <w:bCs/>
      <w:sz w:val="27"/>
      <w:szCs w:val="27"/>
      <w:lang w:eastAsia="lv-LV"/>
    </w:rPr>
  </w:style>
  <w:style w:type="character" w:customStyle="1" w:styleId="Heading5Char">
    <w:name w:val="Heading 5 Char"/>
    <w:link w:val="Heading5"/>
    <w:uiPriority w:val="99"/>
    <w:semiHidden/>
    <w:locked/>
    <w:rsid w:val="0000249B"/>
    <w:rPr>
      <w:rFonts w:ascii="Cambria" w:hAnsi="Cambria" w:cs="Times New Roman"/>
      <w:color w:val="243F60"/>
      <w:sz w:val="24"/>
      <w:szCs w:val="24"/>
      <w:lang w:eastAsia="lv-LV"/>
    </w:rPr>
  </w:style>
  <w:style w:type="paragraph" w:styleId="Header">
    <w:name w:val="header"/>
    <w:basedOn w:val="Normal"/>
    <w:link w:val="HeaderChar"/>
    <w:uiPriority w:val="99"/>
    <w:rsid w:val="000D7206"/>
    <w:pPr>
      <w:tabs>
        <w:tab w:val="center" w:pos="4153"/>
        <w:tab w:val="right" w:pos="8306"/>
      </w:tabs>
    </w:pPr>
  </w:style>
  <w:style w:type="character" w:customStyle="1" w:styleId="HeaderChar">
    <w:name w:val="Header Char"/>
    <w:link w:val="Header"/>
    <w:uiPriority w:val="99"/>
    <w:locked/>
    <w:rsid w:val="000D7206"/>
    <w:rPr>
      <w:rFonts w:ascii="Times New Roman" w:hAnsi="Times New Roman" w:cs="Times New Roman"/>
      <w:sz w:val="24"/>
      <w:szCs w:val="24"/>
      <w:lang w:eastAsia="lv-LV"/>
    </w:rPr>
  </w:style>
  <w:style w:type="character" w:styleId="PageNumber">
    <w:name w:val="page number"/>
    <w:uiPriority w:val="99"/>
    <w:rsid w:val="000D7206"/>
    <w:rPr>
      <w:rFonts w:cs="Times New Roman"/>
    </w:rPr>
  </w:style>
  <w:style w:type="paragraph" w:customStyle="1" w:styleId="naislab">
    <w:name w:val="naislab"/>
    <w:basedOn w:val="Normal"/>
    <w:uiPriority w:val="99"/>
    <w:rsid w:val="000D7206"/>
    <w:pPr>
      <w:spacing w:before="75" w:after="75"/>
      <w:jc w:val="right"/>
    </w:pPr>
  </w:style>
  <w:style w:type="paragraph" w:styleId="Footer">
    <w:name w:val="footer"/>
    <w:basedOn w:val="Normal"/>
    <w:link w:val="FooterChar"/>
    <w:uiPriority w:val="99"/>
    <w:rsid w:val="000D7206"/>
    <w:pPr>
      <w:tabs>
        <w:tab w:val="center" w:pos="4153"/>
        <w:tab w:val="right" w:pos="8306"/>
      </w:tabs>
    </w:pPr>
  </w:style>
  <w:style w:type="character" w:customStyle="1" w:styleId="FooterChar">
    <w:name w:val="Footer Char"/>
    <w:link w:val="Footer"/>
    <w:uiPriority w:val="99"/>
    <w:locked/>
    <w:rsid w:val="000D7206"/>
    <w:rPr>
      <w:rFonts w:ascii="Times New Roman" w:hAnsi="Times New Roman" w:cs="Times New Roman"/>
      <w:sz w:val="24"/>
      <w:szCs w:val="24"/>
      <w:lang w:eastAsia="lv-LV"/>
    </w:rPr>
  </w:style>
  <w:style w:type="character" w:styleId="Hyperlink">
    <w:name w:val="Hyperlink"/>
    <w:uiPriority w:val="99"/>
    <w:rsid w:val="000D7206"/>
    <w:rPr>
      <w:rFonts w:cs="Times New Roman"/>
      <w:color w:val="0000FF"/>
      <w:u w:val="single"/>
    </w:rPr>
  </w:style>
  <w:style w:type="paragraph" w:styleId="NormalWeb">
    <w:name w:val="Normal (Web)"/>
    <w:basedOn w:val="Normal"/>
    <w:link w:val="NormalWebChar"/>
    <w:uiPriority w:val="99"/>
    <w:rsid w:val="000D7206"/>
    <w:pPr>
      <w:spacing w:before="100" w:beforeAutospacing="1" w:after="100" w:afterAutospacing="1"/>
    </w:pPr>
  </w:style>
  <w:style w:type="character" w:customStyle="1" w:styleId="c1">
    <w:name w:val="c1"/>
    <w:uiPriority w:val="99"/>
    <w:rsid w:val="000D7206"/>
    <w:rPr>
      <w:rFonts w:cs="Times New Roman"/>
    </w:rPr>
  </w:style>
  <w:style w:type="character" w:styleId="Strong">
    <w:name w:val="Strong"/>
    <w:uiPriority w:val="99"/>
    <w:qFormat/>
    <w:rsid w:val="000D7206"/>
    <w:rPr>
      <w:rFonts w:cs="Times New Roman"/>
      <w:b/>
      <w:bCs/>
    </w:rPr>
  </w:style>
  <w:style w:type="character" w:customStyle="1" w:styleId="c3">
    <w:name w:val="c3"/>
    <w:uiPriority w:val="99"/>
    <w:rsid w:val="000D7206"/>
    <w:rPr>
      <w:rFonts w:cs="Times New Roman"/>
    </w:rPr>
  </w:style>
  <w:style w:type="paragraph" w:customStyle="1" w:styleId="naiskr">
    <w:name w:val="naiskr"/>
    <w:basedOn w:val="Normal"/>
    <w:uiPriority w:val="99"/>
    <w:rsid w:val="000D7206"/>
    <w:pPr>
      <w:spacing w:before="75" w:after="75"/>
    </w:pPr>
  </w:style>
  <w:style w:type="character" w:customStyle="1" w:styleId="BalloonTextChar">
    <w:name w:val="Balloon Text Char"/>
    <w:uiPriority w:val="99"/>
    <w:semiHidden/>
    <w:locked/>
    <w:rsid w:val="000D7206"/>
    <w:rPr>
      <w:rFonts w:ascii="Tahoma" w:hAnsi="Tahoma" w:cs="Tahoma"/>
      <w:sz w:val="16"/>
      <w:szCs w:val="16"/>
      <w:lang w:eastAsia="lv-LV"/>
    </w:rPr>
  </w:style>
  <w:style w:type="paragraph" w:styleId="BalloonText">
    <w:name w:val="Balloon Text"/>
    <w:basedOn w:val="Normal"/>
    <w:link w:val="BalloonTextChar1"/>
    <w:uiPriority w:val="99"/>
    <w:semiHidden/>
    <w:rsid w:val="000D7206"/>
    <w:rPr>
      <w:rFonts w:ascii="Tahoma" w:hAnsi="Tahoma" w:cs="Tahoma"/>
      <w:sz w:val="16"/>
      <w:szCs w:val="16"/>
    </w:rPr>
  </w:style>
  <w:style w:type="character" w:customStyle="1" w:styleId="BalloonTextChar1">
    <w:name w:val="Balloon Text Char1"/>
    <w:link w:val="BalloonText"/>
    <w:uiPriority w:val="99"/>
    <w:semiHidden/>
    <w:locked/>
    <w:rsid w:val="00D77767"/>
    <w:rPr>
      <w:rFonts w:ascii="Times New Roman" w:hAnsi="Times New Roman" w:cs="Times New Roman"/>
      <w:sz w:val="2"/>
    </w:rPr>
  </w:style>
  <w:style w:type="paragraph" w:styleId="ListParagraph">
    <w:name w:val="List Paragraph"/>
    <w:basedOn w:val="Normal"/>
    <w:uiPriority w:val="34"/>
    <w:qFormat/>
    <w:rsid w:val="000D7206"/>
    <w:pPr>
      <w:ind w:left="720"/>
      <w:contextualSpacing/>
    </w:pPr>
  </w:style>
  <w:style w:type="paragraph" w:customStyle="1" w:styleId="naisf">
    <w:name w:val="naisf"/>
    <w:basedOn w:val="Normal"/>
    <w:rsid w:val="000D7206"/>
    <w:pPr>
      <w:spacing w:before="75" w:after="75"/>
      <w:ind w:firstLine="375"/>
      <w:jc w:val="both"/>
    </w:pPr>
  </w:style>
  <w:style w:type="paragraph" w:styleId="CommentText">
    <w:name w:val="annotation text"/>
    <w:basedOn w:val="Normal"/>
    <w:link w:val="CommentTextChar"/>
    <w:rsid w:val="000D7206"/>
    <w:rPr>
      <w:sz w:val="20"/>
      <w:szCs w:val="20"/>
    </w:rPr>
  </w:style>
  <w:style w:type="character" w:customStyle="1" w:styleId="CommentTextChar">
    <w:name w:val="Comment Text Char"/>
    <w:link w:val="CommentText"/>
    <w:locked/>
    <w:rsid w:val="000D7206"/>
    <w:rPr>
      <w:rFonts w:ascii="Times New Roman" w:hAnsi="Times New Roman" w:cs="Times New Roman"/>
      <w:sz w:val="20"/>
      <w:szCs w:val="20"/>
      <w:lang w:eastAsia="lv-LV"/>
    </w:rPr>
  </w:style>
  <w:style w:type="paragraph" w:styleId="FootnoteText">
    <w:name w:val="footnote text"/>
    <w:basedOn w:val="Normal"/>
    <w:link w:val="FootnoteTextChar"/>
    <w:uiPriority w:val="99"/>
    <w:semiHidden/>
    <w:rsid w:val="000D7206"/>
    <w:pPr>
      <w:ind w:left="720" w:hanging="720"/>
      <w:jc w:val="both"/>
    </w:pPr>
    <w:rPr>
      <w:sz w:val="20"/>
      <w:szCs w:val="20"/>
      <w:lang w:eastAsia="en-GB"/>
    </w:rPr>
  </w:style>
  <w:style w:type="character" w:customStyle="1" w:styleId="FootnoteTextChar">
    <w:name w:val="Footnote Text Char"/>
    <w:link w:val="FootnoteText"/>
    <w:uiPriority w:val="99"/>
    <w:semiHidden/>
    <w:locked/>
    <w:rsid w:val="000D7206"/>
    <w:rPr>
      <w:rFonts w:ascii="Times New Roman" w:hAnsi="Times New Roman" w:cs="Times New Roman"/>
      <w:sz w:val="20"/>
      <w:szCs w:val="20"/>
      <w:lang w:eastAsia="en-GB"/>
    </w:rPr>
  </w:style>
  <w:style w:type="character" w:styleId="CommentReference">
    <w:name w:val="annotation reference"/>
    <w:rsid w:val="000D7206"/>
    <w:rPr>
      <w:rFonts w:cs="Times New Roman"/>
      <w:sz w:val="16"/>
      <w:szCs w:val="16"/>
    </w:rPr>
  </w:style>
  <w:style w:type="character" w:customStyle="1" w:styleId="CommentSubjectChar">
    <w:name w:val="Comment Subject Char"/>
    <w:uiPriority w:val="99"/>
    <w:semiHidden/>
    <w:locked/>
    <w:rsid w:val="000D7206"/>
    <w:rPr>
      <w:rFonts w:ascii="Times New Roman" w:hAnsi="Times New Roman" w:cs="Times New Roman"/>
      <w:b/>
      <w:bCs/>
      <w:sz w:val="20"/>
      <w:szCs w:val="20"/>
      <w:lang w:eastAsia="lv-LV"/>
    </w:rPr>
  </w:style>
  <w:style w:type="paragraph" w:styleId="CommentSubject">
    <w:name w:val="annotation subject"/>
    <w:basedOn w:val="CommentText"/>
    <w:next w:val="CommentText"/>
    <w:link w:val="CommentSubjectChar1"/>
    <w:uiPriority w:val="99"/>
    <w:semiHidden/>
    <w:rsid w:val="000D7206"/>
    <w:rPr>
      <w:b/>
      <w:bCs/>
    </w:rPr>
  </w:style>
  <w:style w:type="character" w:customStyle="1" w:styleId="CommentSubjectChar1">
    <w:name w:val="Comment Subject Char1"/>
    <w:link w:val="CommentSubject"/>
    <w:uiPriority w:val="99"/>
    <w:semiHidden/>
    <w:locked/>
    <w:rsid w:val="00D77767"/>
    <w:rPr>
      <w:rFonts w:ascii="Times New Roman" w:hAnsi="Times New Roman" w:cs="Times New Roman"/>
      <w:b/>
      <w:bCs/>
      <w:sz w:val="20"/>
      <w:szCs w:val="20"/>
      <w:lang w:eastAsia="lv-LV"/>
    </w:rPr>
  </w:style>
  <w:style w:type="character" w:customStyle="1" w:styleId="NormalWebChar">
    <w:name w:val="Normal (Web) Char"/>
    <w:link w:val="NormalWeb"/>
    <w:uiPriority w:val="99"/>
    <w:locked/>
    <w:rsid w:val="00880BD8"/>
    <w:rPr>
      <w:rFonts w:ascii="Times New Roman" w:hAnsi="Times New Roman" w:cs="Times New Roman"/>
      <w:sz w:val="24"/>
      <w:szCs w:val="24"/>
      <w:lang w:eastAsia="lv-LV"/>
    </w:rPr>
  </w:style>
  <w:style w:type="paragraph" w:customStyle="1" w:styleId="naisc">
    <w:name w:val="naisc"/>
    <w:basedOn w:val="Normal"/>
    <w:uiPriority w:val="99"/>
    <w:rsid w:val="00880BD8"/>
    <w:pPr>
      <w:spacing w:before="100" w:beforeAutospacing="1" w:after="100" w:afterAutospacing="1"/>
    </w:pPr>
  </w:style>
  <w:style w:type="paragraph" w:styleId="ListBullet">
    <w:name w:val="List Bullet"/>
    <w:basedOn w:val="Normal"/>
    <w:uiPriority w:val="99"/>
    <w:rsid w:val="00120BAF"/>
    <w:pPr>
      <w:tabs>
        <w:tab w:val="num" w:pos="360"/>
      </w:tabs>
      <w:ind w:left="360" w:hanging="360"/>
      <w:contextualSpacing/>
    </w:pPr>
    <w:rPr>
      <w:lang w:eastAsia="en-US"/>
    </w:rPr>
  </w:style>
  <w:style w:type="paragraph" w:customStyle="1" w:styleId="tv2131">
    <w:name w:val="tv2131"/>
    <w:basedOn w:val="Normal"/>
    <w:uiPriority w:val="99"/>
    <w:rsid w:val="00BB5CAF"/>
    <w:pPr>
      <w:spacing w:before="240" w:line="360" w:lineRule="auto"/>
      <w:ind w:firstLine="272"/>
      <w:jc w:val="both"/>
    </w:pPr>
    <w:rPr>
      <w:rFonts w:ascii="Verdana" w:hAnsi="Verdana"/>
      <w:sz w:val="16"/>
      <w:szCs w:val="16"/>
    </w:rPr>
  </w:style>
  <w:style w:type="table" w:styleId="TableGrid">
    <w:name w:val="Table Grid"/>
    <w:basedOn w:val="TableNormal"/>
    <w:locked/>
    <w:rsid w:val="00A729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oins0">
    <w:name w:val="msoins"/>
    <w:basedOn w:val="DefaultParagraphFont"/>
    <w:rsid w:val="00914AB1"/>
  </w:style>
  <w:style w:type="paragraph" w:styleId="BodyText">
    <w:name w:val="Body Text"/>
    <w:basedOn w:val="Normal"/>
    <w:link w:val="BodyTextChar"/>
    <w:uiPriority w:val="99"/>
    <w:rsid w:val="00D95700"/>
    <w:pPr>
      <w:suppressAutoHyphens/>
      <w:spacing w:after="120"/>
      <w:ind w:firstLine="720"/>
      <w:jc w:val="both"/>
    </w:pPr>
    <w:rPr>
      <w:rFonts w:eastAsia="Nimbus Sans L" w:cs="Nimbus Sans L"/>
      <w:kern w:val="1"/>
      <w:sz w:val="28"/>
      <w:lang w:val="en-US" w:eastAsia="hi-IN" w:bidi="hi-IN"/>
    </w:rPr>
  </w:style>
  <w:style w:type="character" w:customStyle="1" w:styleId="BodyTextChar">
    <w:name w:val="Body Text Char"/>
    <w:basedOn w:val="DefaultParagraphFont"/>
    <w:link w:val="BodyText"/>
    <w:uiPriority w:val="99"/>
    <w:rsid w:val="00D95700"/>
    <w:rPr>
      <w:rFonts w:ascii="Times New Roman" w:eastAsia="Nimbus Sans L" w:hAnsi="Times New Roman" w:cs="Nimbus Sans L"/>
      <w:kern w:val="1"/>
      <w:sz w:val="28"/>
      <w:szCs w:val="24"/>
      <w:lang w:val="en-US" w:eastAsia="hi-IN" w:bidi="hi-IN"/>
    </w:rPr>
  </w:style>
  <w:style w:type="paragraph" w:styleId="PlainText">
    <w:name w:val="Plain Text"/>
    <w:basedOn w:val="Normal"/>
    <w:link w:val="PlainTextChar"/>
    <w:uiPriority w:val="99"/>
    <w:unhideWhenUsed/>
    <w:rsid w:val="003D1E01"/>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3D1E01"/>
    <w:rPr>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4293">
      <w:bodyDiv w:val="1"/>
      <w:marLeft w:val="0"/>
      <w:marRight w:val="0"/>
      <w:marTop w:val="0"/>
      <w:marBottom w:val="0"/>
      <w:divBdr>
        <w:top w:val="none" w:sz="0" w:space="0" w:color="auto"/>
        <w:left w:val="none" w:sz="0" w:space="0" w:color="auto"/>
        <w:bottom w:val="none" w:sz="0" w:space="0" w:color="auto"/>
        <w:right w:val="none" w:sz="0" w:space="0" w:color="auto"/>
      </w:divBdr>
    </w:div>
    <w:div w:id="544148713">
      <w:bodyDiv w:val="1"/>
      <w:marLeft w:val="0"/>
      <w:marRight w:val="0"/>
      <w:marTop w:val="0"/>
      <w:marBottom w:val="0"/>
      <w:divBdr>
        <w:top w:val="none" w:sz="0" w:space="0" w:color="auto"/>
        <w:left w:val="none" w:sz="0" w:space="0" w:color="auto"/>
        <w:bottom w:val="none" w:sz="0" w:space="0" w:color="auto"/>
        <w:right w:val="none" w:sz="0" w:space="0" w:color="auto"/>
      </w:divBdr>
    </w:div>
    <w:div w:id="1046875322">
      <w:bodyDiv w:val="1"/>
      <w:marLeft w:val="0"/>
      <w:marRight w:val="0"/>
      <w:marTop w:val="0"/>
      <w:marBottom w:val="0"/>
      <w:divBdr>
        <w:top w:val="none" w:sz="0" w:space="0" w:color="auto"/>
        <w:left w:val="none" w:sz="0" w:space="0" w:color="auto"/>
        <w:bottom w:val="none" w:sz="0" w:space="0" w:color="auto"/>
        <w:right w:val="none" w:sz="0" w:space="0" w:color="auto"/>
      </w:divBdr>
      <w:divsChild>
        <w:div w:id="150561600">
          <w:marLeft w:val="0"/>
          <w:marRight w:val="0"/>
          <w:marTop w:val="0"/>
          <w:marBottom w:val="0"/>
          <w:divBdr>
            <w:top w:val="none" w:sz="0" w:space="0" w:color="auto"/>
            <w:left w:val="none" w:sz="0" w:space="0" w:color="auto"/>
            <w:bottom w:val="none" w:sz="0" w:space="0" w:color="auto"/>
            <w:right w:val="none" w:sz="0" w:space="0" w:color="auto"/>
          </w:divBdr>
          <w:divsChild>
            <w:div w:id="687759310">
              <w:marLeft w:val="0"/>
              <w:marRight w:val="0"/>
              <w:marTop w:val="0"/>
              <w:marBottom w:val="0"/>
              <w:divBdr>
                <w:top w:val="none" w:sz="0" w:space="0" w:color="auto"/>
                <w:left w:val="none" w:sz="0" w:space="0" w:color="auto"/>
                <w:bottom w:val="none" w:sz="0" w:space="0" w:color="auto"/>
                <w:right w:val="none" w:sz="0" w:space="0" w:color="auto"/>
              </w:divBdr>
              <w:divsChild>
                <w:div w:id="116725946">
                  <w:marLeft w:val="0"/>
                  <w:marRight w:val="0"/>
                  <w:marTop w:val="0"/>
                  <w:marBottom w:val="0"/>
                  <w:divBdr>
                    <w:top w:val="none" w:sz="0" w:space="0" w:color="auto"/>
                    <w:left w:val="none" w:sz="0" w:space="0" w:color="auto"/>
                    <w:bottom w:val="none" w:sz="0" w:space="0" w:color="auto"/>
                    <w:right w:val="none" w:sz="0" w:space="0" w:color="auto"/>
                  </w:divBdr>
                  <w:divsChild>
                    <w:div w:id="934245431">
                      <w:marLeft w:val="0"/>
                      <w:marRight w:val="0"/>
                      <w:marTop w:val="0"/>
                      <w:marBottom w:val="0"/>
                      <w:divBdr>
                        <w:top w:val="none" w:sz="0" w:space="0" w:color="auto"/>
                        <w:left w:val="none" w:sz="0" w:space="0" w:color="auto"/>
                        <w:bottom w:val="none" w:sz="0" w:space="0" w:color="auto"/>
                        <w:right w:val="none" w:sz="0" w:space="0" w:color="auto"/>
                      </w:divBdr>
                      <w:divsChild>
                        <w:div w:id="797530247">
                          <w:marLeft w:val="0"/>
                          <w:marRight w:val="0"/>
                          <w:marTop w:val="300"/>
                          <w:marBottom w:val="0"/>
                          <w:divBdr>
                            <w:top w:val="none" w:sz="0" w:space="0" w:color="auto"/>
                            <w:left w:val="none" w:sz="0" w:space="0" w:color="auto"/>
                            <w:bottom w:val="none" w:sz="0" w:space="0" w:color="auto"/>
                            <w:right w:val="none" w:sz="0" w:space="0" w:color="auto"/>
                          </w:divBdr>
                          <w:divsChild>
                            <w:div w:id="52582724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2672047">
      <w:bodyDiv w:val="1"/>
      <w:marLeft w:val="0"/>
      <w:marRight w:val="0"/>
      <w:marTop w:val="0"/>
      <w:marBottom w:val="0"/>
      <w:divBdr>
        <w:top w:val="none" w:sz="0" w:space="0" w:color="auto"/>
        <w:left w:val="none" w:sz="0" w:space="0" w:color="auto"/>
        <w:bottom w:val="none" w:sz="0" w:space="0" w:color="auto"/>
        <w:right w:val="none" w:sz="0" w:space="0" w:color="auto"/>
      </w:divBdr>
      <w:divsChild>
        <w:div w:id="842428889">
          <w:marLeft w:val="0"/>
          <w:marRight w:val="0"/>
          <w:marTop w:val="0"/>
          <w:marBottom w:val="0"/>
          <w:divBdr>
            <w:top w:val="none" w:sz="0" w:space="0" w:color="auto"/>
            <w:left w:val="none" w:sz="0" w:space="0" w:color="auto"/>
            <w:bottom w:val="none" w:sz="0" w:space="0" w:color="auto"/>
            <w:right w:val="none" w:sz="0" w:space="0" w:color="auto"/>
          </w:divBdr>
          <w:divsChild>
            <w:div w:id="387387364">
              <w:marLeft w:val="0"/>
              <w:marRight w:val="0"/>
              <w:marTop w:val="0"/>
              <w:marBottom w:val="0"/>
              <w:divBdr>
                <w:top w:val="none" w:sz="0" w:space="0" w:color="auto"/>
                <w:left w:val="none" w:sz="0" w:space="0" w:color="auto"/>
                <w:bottom w:val="none" w:sz="0" w:space="0" w:color="auto"/>
                <w:right w:val="none" w:sz="0" w:space="0" w:color="auto"/>
              </w:divBdr>
              <w:divsChild>
                <w:div w:id="713849838">
                  <w:marLeft w:val="0"/>
                  <w:marRight w:val="0"/>
                  <w:marTop w:val="0"/>
                  <w:marBottom w:val="0"/>
                  <w:divBdr>
                    <w:top w:val="none" w:sz="0" w:space="0" w:color="auto"/>
                    <w:left w:val="none" w:sz="0" w:space="0" w:color="auto"/>
                    <w:bottom w:val="none" w:sz="0" w:space="0" w:color="auto"/>
                    <w:right w:val="none" w:sz="0" w:space="0" w:color="auto"/>
                  </w:divBdr>
                  <w:divsChild>
                    <w:div w:id="396516656">
                      <w:marLeft w:val="0"/>
                      <w:marRight w:val="0"/>
                      <w:marTop w:val="0"/>
                      <w:marBottom w:val="0"/>
                      <w:divBdr>
                        <w:top w:val="none" w:sz="0" w:space="0" w:color="auto"/>
                        <w:left w:val="none" w:sz="0" w:space="0" w:color="auto"/>
                        <w:bottom w:val="none" w:sz="0" w:space="0" w:color="auto"/>
                        <w:right w:val="none" w:sz="0" w:space="0" w:color="auto"/>
                      </w:divBdr>
                      <w:divsChild>
                        <w:div w:id="332417180">
                          <w:marLeft w:val="0"/>
                          <w:marRight w:val="0"/>
                          <w:marTop w:val="300"/>
                          <w:marBottom w:val="0"/>
                          <w:divBdr>
                            <w:top w:val="none" w:sz="0" w:space="0" w:color="auto"/>
                            <w:left w:val="none" w:sz="0" w:space="0" w:color="auto"/>
                            <w:bottom w:val="none" w:sz="0" w:space="0" w:color="auto"/>
                            <w:right w:val="none" w:sz="0" w:space="0" w:color="auto"/>
                          </w:divBdr>
                          <w:divsChild>
                            <w:div w:id="142190140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607833">
      <w:bodyDiv w:val="1"/>
      <w:marLeft w:val="0"/>
      <w:marRight w:val="0"/>
      <w:marTop w:val="0"/>
      <w:marBottom w:val="0"/>
      <w:divBdr>
        <w:top w:val="none" w:sz="0" w:space="0" w:color="auto"/>
        <w:left w:val="none" w:sz="0" w:space="0" w:color="auto"/>
        <w:bottom w:val="none" w:sz="0" w:space="0" w:color="auto"/>
        <w:right w:val="none" w:sz="0" w:space="0" w:color="auto"/>
      </w:divBdr>
    </w:div>
    <w:div w:id="1716269809">
      <w:bodyDiv w:val="1"/>
      <w:marLeft w:val="0"/>
      <w:marRight w:val="0"/>
      <w:marTop w:val="0"/>
      <w:marBottom w:val="0"/>
      <w:divBdr>
        <w:top w:val="none" w:sz="0" w:space="0" w:color="auto"/>
        <w:left w:val="none" w:sz="0" w:space="0" w:color="auto"/>
        <w:bottom w:val="none" w:sz="0" w:space="0" w:color="auto"/>
        <w:right w:val="none" w:sz="0" w:space="0" w:color="auto"/>
      </w:divBdr>
      <w:divsChild>
        <w:div w:id="1910117647">
          <w:marLeft w:val="0"/>
          <w:marRight w:val="0"/>
          <w:marTop w:val="0"/>
          <w:marBottom w:val="0"/>
          <w:divBdr>
            <w:top w:val="none" w:sz="0" w:space="0" w:color="auto"/>
            <w:left w:val="none" w:sz="0" w:space="0" w:color="auto"/>
            <w:bottom w:val="none" w:sz="0" w:space="0" w:color="auto"/>
            <w:right w:val="none" w:sz="0" w:space="0" w:color="auto"/>
          </w:divBdr>
          <w:divsChild>
            <w:div w:id="62459197">
              <w:marLeft w:val="0"/>
              <w:marRight w:val="0"/>
              <w:marTop w:val="0"/>
              <w:marBottom w:val="0"/>
              <w:divBdr>
                <w:top w:val="none" w:sz="0" w:space="0" w:color="auto"/>
                <w:left w:val="none" w:sz="0" w:space="0" w:color="auto"/>
                <w:bottom w:val="none" w:sz="0" w:space="0" w:color="auto"/>
                <w:right w:val="none" w:sz="0" w:space="0" w:color="auto"/>
              </w:divBdr>
              <w:divsChild>
                <w:div w:id="1527137845">
                  <w:marLeft w:val="0"/>
                  <w:marRight w:val="0"/>
                  <w:marTop w:val="0"/>
                  <w:marBottom w:val="0"/>
                  <w:divBdr>
                    <w:top w:val="none" w:sz="0" w:space="0" w:color="auto"/>
                    <w:left w:val="none" w:sz="0" w:space="0" w:color="auto"/>
                    <w:bottom w:val="none" w:sz="0" w:space="0" w:color="auto"/>
                    <w:right w:val="none" w:sz="0" w:space="0" w:color="auto"/>
                  </w:divBdr>
                  <w:divsChild>
                    <w:div w:id="1611282181">
                      <w:marLeft w:val="0"/>
                      <w:marRight w:val="0"/>
                      <w:marTop w:val="0"/>
                      <w:marBottom w:val="0"/>
                      <w:divBdr>
                        <w:top w:val="none" w:sz="0" w:space="0" w:color="auto"/>
                        <w:left w:val="none" w:sz="0" w:space="0" w:color="auto"/>
                        <w:bottom w:val="none" w:sz="0" w:space="0" w:color="auto"/>
                        <w:right w:val="none" w:sz="0" w:space="0" w:color="auto"/>
                      </w:divBdr>
                      <w:divsChild>
                        <w:div w:id="2034383492">
                          <w:marLeft w:val="0"/>
                          <w:marRight w:val="0"/>
                          <w:marTop w:val="300"/>
                          <w:marBottom w:val="0"/>
                          <w:divBdr>
                            <w:top w:val="none" w:sz="0" w:space="0" w:color="auto"/>
                            <w:left w:val="none" w:sz="0" w:space="0" w:color="auto"/>
                            <w:bottom w:val="none" w:sz="0" w:space="0" w:color="auto"/>
                            <w:right w:val="none" w:sz="0" w:space="0" w:color="auto"/>
                          </w:divBdr>
                          <w:divsChild>
                            <w:div w:id="11315576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4787339">
      <w:bodyDiv w:val="1"/>
      <w:marLeft w:val="0"/>
      <w:marRight w:val="0"/>
      <w:marTop w:val="0"/>
      <w:marBottom w:val="0"/>
      <w:divBdr>
        <w:top w:val="none" w:sz="0" w:space="0" w:color="auto"/>
        <w:left w:val="none" w:sz="0" w:space="0" w:color="auto"/>
        <w:bottom w:val="none" w:sz="0" w:space="0" w:color="auto"/>
        <w:right w:val="none" w:sz="0" w:space="0" w:color="auto"/>
      </w:divBdr>
      <w:divsChild>
        <w:div w:id="1945266824">
          <w:marLeft w:val="0"/>
          <w:marRight w:val="0"/>
          <w:marTop w:val="0"/>
          <w:marBottom w:val="0"/>
          <w:divBdr>
            <w:top w:val="none" w:sz="0" w:space="0" w:color="auto"/>
            <w:left w:val="none" w:sz="0" w:space="0" w:color="auto"/>
            <w:bottom w:val="none" w:sz="0" w:space="0" w:color="auto"/>
            <w:right w:val="none" w:sz="0" w:space="0" w:color="auto"/>
          </w:divBdr>
          <w:divsChild>
            <w:div w:id="739909707">
              <w:marLeft w:val="0"/>
              <w:marRight w:val="0"/>
              <w:marTop w:val="0"/>
              <w:marBottom w:val="0"/>
              <w:divBdr>
                <w:top w:val="none" w:sz="0" w:space="0" w:color="auto"/>
                <w:left w:val="none" w:sz="0" w:space="0" w:color="auto"/>
                <w:bottom w:val="none" w:sz="0" w:space="0" w:color="auto"/>
                <w:right w:val="none" w:sz="0" w:space="0" w:color="auto"/>
              </w:divBdr>
              <w:divsChild>
                <w:div w:id="725034838">
                  <w:marLeft w:val="0"/>
                  <w:marRight w:val="0"/>
                  <w:marTop w:val="0"/>
                  <w:marBottom w:val="0"/>
                  <w:divBdr>
                    <w:top w:val="none" w:sz="0" w:space="0" w:color="auto"/>
                    <w:left w:val="none" w:sz="0" w:space="0" w:color="auto"/>
                    <w:bottom w:val="none" w:sz="0" w:space="0" w:color="auto"/>
                    <w:right w:val="none" w:sz="0" w:space="0" w:color="auto"/>
                  </w:divBdr>
                  <w:divsChild>
                    <w:div w:id="1008943763">
                      <w:marLeft w:val="0"/>
                      <w:marRight w:val="0"/>
                      <w:marTop w:val="0"/>
                      <w:marBottom w:val="0"/>
                      <w:divBdr>
                        <w:top w:val="none" w:sz="0" w:space="0" w:color="auto"/>
                        <w:left w:val="none" w:sz="0" w:space="0" w:color="auto"/>
                        <w:bottom w:val="none" w:sz="0" w:space="0" w:color="auto"/>
                        <w:right w:val="none" w:sz="0" w:space="0" w:color="auto"/>
                      </w:divBdr>
                      <w:divsChild>
                        <w:div w:id="1627079448">
                          <w:marLeft w:val="0"/>
                          <w:marRight w:val="0"/>
                          <w:marTop w:val="300"/>
                          <w:marBottom w:val="0"/>
                          <w:divBdr>
                            <w:top w:val="none" w:sz="0" w:space="0" w:color="auto"/>
                            <w:left w:val="none" w:sz="0" w:space="0" w:color="auto"/>
                            <w:bottom w:val="none" w:sz="0" w:space="0" w:color="auto"/>
                            <w:right w:val="none" w:sz="0" w:space="0" w:color="auto"/>
                          </w:divBdr>
                          <w:divsChild>
                            <w:div w:id="109362682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9</Pages>
  <Words>15021</Words>
  <Characters>8562</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Anotācija</vt:lpstr>
      <vt:lpstr/>
    </vt:vector>
  </TitlesOfParts>
  <Company>IeM</Company>
  <LinksUpToDate>false</LinksUpToDate>
  <CharactersWithSpaces>23536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dc:title>
  <dc:subject/>
  <dc:creator>Kārlis Piģēns</dc:creator>
  <cp:keywords/>
  <dc:description>Kārlis Piģēns, 67013133</dc:description>
  <cp:lastModifiedBy>PigensK</cp:lastModifiedBy>
  <cp:revision>22</cp:revision>
  <cp:lastPrinted>2013-09-12T12:41:00Z</cp:lastPrinted>
  <dcterms:created xsi:type="dcterms:W3CDTF">2013-09-11T11:12:00Z</dcterms:created>
  <dcterms:modified xsi:type="dcterms:W3CDTF">2013-09-17T05:38:00Z</dcterms:modified>
</cp:coreProperties>
</file>