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B" w:rsidRPr="00FE48F3" w:rsidRDefault="00EF00AB" w:rsidP="00FE48F3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D92592">
        <w:rPr>
          <w:b/>
          <w:sz w:val="28"/>
          <w:szCs w:val="28"/>
        </w:rPr>
        <w:t xml:space="preserve">Noteikumu projekta </w:t>
      </w:r>
      <w:bookmarkEnd w:id="0"/>
      <w:bookmarkEnd w:id="1"/>
      <w:r>
        <w:rPr>
          <w:b/>
          <w:sz w:val="28"/>
          <w:szCs w:val="28"/>
        </w:rPr>
        <w:t>„</w:t>
      </w:r>
      <w:r w:rsidRPr="00EF00AB">
        <w:rPr>
          <w:b/>
          <w:bCs/>
          <w:sz w:val="28"/>
          <w:szCs w:val="28"/>
        </w:rPr>
        <w:t>Grozījum</w:t>
      </w:r>
      <w:r w:rsidR="009254DD">
        <w:rPr>
          <w:b/>
          <w:bCs/>
          <w:sz w:val="28"/>
          <w:szCs w:val="28"/>
        </w:rPr>
        <w:t>s</w:t>
      </w:r>
      <w:r w:rsidRPr="00EF00AB">
        <w:rPr>
          <w:b/>
          <w:bCs/>
          <w:sz w:val="28"/>
          <w:szCs w:val="28"/>
        </w:rPr>
        <w:t xml:space="preserve"> Ministru kabineta 2008.gada 29.septembra noteikumos Nr.799 „Kārtība, kādā iesniedz un izskata ziņojumu par tirgus dalībnieku vienošanos”</w:t>
      </w:r>
      <w:r w:rsidRPr="00A64692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D92592">
        <w:rPr>
          <w:b/>
          <w:sz w:val="28"/>
          <w:szCs w:val="28"/>
        </w:rPr>
        <w:t>sākotnējās ietekmes novērtējuma ziņojums</w:t>
      </w:r>
      <w:bookmarkEnd w:id="2"/>
      <w:bookmarkEnd w:id="3"/>
      <w:r w:rsidR="00FE48F3">
        <w:rPr>
          <w:b/>
          <w:bCs/>
          <w:sz w:val="28"/>
          <w:szCs w:val="28"/>
        </w:rPr>
        <w:t xml:space="preserve"> </w:t>
      </w:r>
      <w:r w:rsidRPr="00D92592">
        <w:rPr>
          <w:b/>
          <w:sz w:val="28"/>
          <w:szCs w:val="28"/>
        </w:rPr>
        <w:t>(anotācija)</w:t>
      </w: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41"/>
        <w:gridCol w:w="5953"/>
      </w:tblGrid>
      <w:tr w:rsidR="00EF00AB" w:rsidRPr="00ED439B" w:rsidTr="00CA6FA9">
        <w:tc>
          <w:tcPr>
            <w:tcW w:w="9644" w:type="dxa"/>
            <w:gridSpan w:val="3"/>
            <w:vAlign w:val="center"/>
          </w:tcPr>
          <w:p w:rsidR="00EF00AB" w:rsidRPr="00ED439B" w:rsidRDefault="00EF00AB" w:rsidP="00CA6FA9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EF00AB" w:rsidRPr="00ED439B" w:rsidTr="00CA6FA9">
        <w:trPr>
          <w:trHeight w:val="630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Pamatojums</w:t>
            </w:r>
          </w:p>
        </w:tc>
        <w:tc>
          <w:tcPr>
            <w:tcW w:w="5953" w:type="dxa"/>
            <w:shd w:val="clear" w:color="auto" w:fill="auto"/>
          </w:tcPr>
          <w:p w:rsidR="00EF00AB" w:rsidRPr="00960CB9" w:rsidRDefault="00E5705E" w:rsidP="00CA6FA9">
            <w:pPr>
              <w:pStyle w:val="naiskr"/>
              <w:spacing w:before="0" w:after="0"/>
              <w:ind w:hanging="5"/>
              <w:jc w:val="both"/>
              <w:rPr>
                <w:sz w:val="26"/>
                <w:szCs w:val="26"/>
              </w:rPr>
            </w:pPr>
            <w:proofErr w:type="spellStart"/>
            <w:r w:rsidRPr="00960CB9">
              <w:rPr>
                <w:i/>
                <w:sz w:val="26"/>
                <w:szCs w:val="26"/>
              </w:rPr>
              <w:t>Euro</w:t>
            </w:r>
            <w:proofErr w:type="spellEnd"/>
            <w:r w:rsidRPr="00960CB9">
              <w:rPr>
                <w:sz w:val="26"/>
                <w:szCs w:val="26"/>
              </w:rPr>
              <w:t xml:space="preserve"> ieviešanas kārtības likuma 30.panta pirmā daļa</w:t>
            </w:r>
            <w:r w:rsidR="00960CB9" w:rsidRPr="00960CB9">
              <w:rPr>
                <w:sz w:val="26"/>
                <w:szCs w:val="26"/>
              </w:rPr>
              <w:t xml:space="preserve">,  Ministru kabineta 2013.gada 29.jūnija rīkojums Nr.212 „Par tiesību aktu grozījumu virzību saistībā ar </w:t>
            </w:r>
            <w:proofErr w:type="spellStart"/>
            <w:r w:rsidR="00960CB9" w:rsidRPr="00960CB9">
              <w:rPr>
                <w:sz w:val="26"/>
                <w:szCs w:val="26"/>
              </w:rPr>
              <w:t>euro</w:t>
            </w:r>
            <w:proofErr w:type="spellEnd"/>
            <w:r w:rsidR="00960CB9" w:rsidRPr="00960CB9">
              <w:rPr>
                <w:sz w:val="26"/>
                <w:szCs w:val="26"/>
              </w:rPr>
              <w:t xml:space="preserve"> ieviešanu Latvijā”.</w:t>
            </w:r>
          </w:p>
        </w:tc>
      </w:tr>
      <w:tr w:rsidR="00EF00AB" w:rsidRPr="00ED439B" w:rsidTr="00CA6FA9">
        <w:trPr>
          <w:trHeight w:val="472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2.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Saskaņā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i/>
                <w:sz w:val="26"/>
                <w:szCs w:val="26"/>
              </w:rPr>
              <w:t xml:space="preserve"> </w:t>
            </w:r>
            <w:r w:rsidRPr="00ED439B">
              <w:rPr>
                <w:sz w:val="26"/>
                <w:szCs w:val="26"/>
              </w:rPr>
              <w:t xml:space="preserve">ieviešanas kārtības likuma 30.panta pirmo daļu ministrijas, Valsts kanceleja, Finanšu un kapitāla tirgus komisija un Latvijas Banka sagatavo to tiesību aktu grozījumu projektus, kurus nepieciešams pielāgot </w:t>
            </w:r>
            <w:proofErr w:type="spellStart"/>
            <w:r w:rsidRPr="00ED439B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ieviešanai. </w:t>
            </w:r>
          </w:p>
          <w:p w:rsidR="00EF00AB" w:rsidRPr="00ED439B" w:rsidRDefault="00EF00AB" w:rsidP="00CA6FA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Šobrīd Ministru kabineta 2008.gada 29.septembra noteikumos </w:t>
            </w:r>
            <w:r w:rsidR="00E5705E">
              <w:t xml:space="preserve"> </w:t>
            </w:r>
            <w:r w:rsidR="00E5705E" w:rsidRPr="00E5705E">
              <w:rPr>
                <w:sz w:val="26"/>
                <w:szCs w:val="26"/>
              </w:rPr>
              <w:t>Nr.799 „Kārtība, kādā iesniedz un izskata ziņojumu par tirgus dalībnieku vienošanos”</w:t>
            </w:r>
            <w:r w:rsidR="00E5705E">
              <w:rPr>
                <w:sz w:val="26"/>
                <w:szCs w:val="26"/>
              </w:rPr>
              <w:t xml:space="preserve"> </w:t>
            </w:r>
            <w:r w:rsidRPr="00ED439B">
              <w:rPr>
                <w:sz w:val="26"/>
                <w:szCs w:val="26"/>
              </w:rPr>
              <w:t>(turpmāk – Ministru kabineta noteikumi Nr.79</w:t>
            </w:r>
            <w:r w:rsidR="00E5705E">
              <w:rPr>
                <w:sz w:val="26"/>
                <w:szCs w:val="26"/>
              </w:rPr>
              <w:t>9</w:t>
            </w:r>
            <w:r w:rsidRPr="00ED439B">
              <w:rPr>
                <w:sz w:val="26"/>
                <w:szCs w:val="26"/>
              </w:rPr>
              <w:t xml:space="preserve">) </w:t>
            </w:r>
            <w:r w:rsidR="00DD4EA5">
              <w:rPr>
                <w:sz w:val="26"/>
                <w:szCs w:val="26"/>
              </w:rPr>
              <w:t xml:space="preserve">pielikuma 4.3., 4.4., 4.5.apakšpunktos </w:t>
            </w:r>
            <w:r w:rsidR="00E5705E">
              <w:rPr>
                <w:sz w:val="26"/>
                <w:szCs w:val="26"/>
              </w:rPr>
              <w:t>kā valūta minēti lati.</w:t>
            </w:r>
          </w:p>
          <w:p w:rsidR="00EF00AB" w:rsidRPr="00ED439B" w:rsidRDefault="00EF00AB" w:rsidP="00E570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Ņemot vērā, ka ar 2014.gada 1.janvāri Latvijā plānots ieviest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, ir nepieciešams veikt grozījumu  Ministru kabineta noteikumos Nr.79</w:t>
            </w:r>
            <w:r w:rsidR="00E5705E">
              <w:rPr>
                <w:sz w:val="26"/>
                <w:szCs w:val="26"/>
              </w:rPr>
              <w:t>9</w:t>
            </w:r>
            <w:r w:rsidRPr="00ED439B">
              <w:rPr>
                <w:sz w:val="26"/>
                <w:szCs w:val="26"/>
              </w:rPr>
              <w:t xml:space="preserve">, aizstājot noteikumu projektā minētās atsauces uz latiem pret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.</w:t>
            </w:r>
          </w:p>
        </w:tc>
      </w:tr>
      <w:tr w:rsidR="00EF00AB" w:rsidRPr="00ED439B" w:rsidTr="00CA6FA9">
        <w:trPr>
          <w:trHeight w:val="1071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3.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pStyle w:val="FootnoteText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Projekts šo jomu neskar.</w:t>
            </w:r>
          </w:p>
        </w:tc>
      </w:tr>
      <w:tr w:rsidR="00EF00AB" w:rsidRPr="00ED439B" w:rsidTr="00CA6FA9">
        <w:trPr>
          <w:trHeight w:val="384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4.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tabs>
                <w:tab w:val="left" w:pos="26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Noteikumu projekta mērķis ir pielāgot  Ministru kabineta noteikumus Nr.</w:t>
            </w:r>
            <w:r>
              <w:rPr>
                <w:sz w:val="26"/>
                <w:szCs w:val="26"/>
              </w:rPr>
              <w:t>79</w:t>
            </w:r>
            <w:r w:rsidR="00812C64">
              <w:rPr>
                <w:sz w:val="26"/>
                <w:szCs w:val="26"/>
              </w:rPr>
              <w:t>9</w:t>
            </w:r>
            <w:r w:rsidRPr="00ED439B">
              <w:rPr>
                <w:sz w:val="26"/>
                <w:szCs w:val="26"/>
              </w:rPr>
              <w:t xml:space="preserve">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ieviešanai, svītrojot tajos atsauces uz latiem atbilstoši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ieviešanas kārtības likumā noteiktajam.</w:t>
            </w:r>
          </w:p>
          <w:p w:rsidR="00EF00AB" w:rsidRPr="00ED439B" w:rsidRDefault="00EF00AB" w:rsidP="00CA6FA9">
            <w:pPr>
              <w:tabs>
                <w:tab w:val="left" w:pos="26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Paredzēts, ka noteikumu projektā noteiktās normas par lata aizstāšanu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stājas spēkā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ieviešanas di</w:t>
            </w:r>
            <w:r>
              <w:rPr>
                <w:sz w:val="26"/>
                <w:szCs w:val="26"/>
              </w:rPr>
              <w:t xml:space="preserve">enā, </w:t>
            </w:r>
            <w:proofErr w:type="spellStart"/>
            <w:r>
              <w:rPr>
                <w:sz w:val="26"/>
                <w:szCs w:val="26"/>
              </w:rPr>
              <w:t>t.i</w:t>
            </w:r>
            <w:proofErr w:type="spellEnd"/>
            <w:r>
              <w:rPr>
                <w:sz w:val="26"/>
                <w:szCs w:val="26"/>
              </w:rPr>
              <w:t>., 2014.gada 1.janvārī.</w:t>
            </w:r>
          </w:p>
        </w:tc>
      </w:tr>
      <w:tr w:rsidR="00EF00AB" w:rsidRPr="00ED439B" w:rsidTr="00CA6FA9">
        <w:trPr>
          <w:trHeight w:val="476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5.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Noteikumu projektu nepieciešams saskaņot ar Finanšu ministriju un Tieslietu ministriju.</w:t>
            </w:r>
          </w:p>
        </w:tc>
      </w:tr>
      <w:tr w:rsidR="00EF00AB" w:rsidRPr="00ED439B" w:rsidTr="00CA6FA9">
        <w:trPr>
          <w:trHeight w:val="1340"/>
        </w:trPr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6.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ED439B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pStyle w:val="FootnoteText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Sabiedrības līdzdalība noteikumu projekta izstrādē netika nodrošināta, jo projekts nemaina pastāvošo tiesisko regulējumu pēc būtības, bet tikai aizstāj latus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.</w:t>
            </w:r>
          </w:p>
        </w:tc>
      </w:tr>
      <w:tr w:rsidR="00EF00AB" w:rsidRPr="00ED439B" w:rsidTr="00CA6FA9">
        <w:tc>
          <w:tcPr>
            <w:tcW w:w="550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7.</w:t>
            </w:r>
          </w:p>
        </w:tc>
        <w:tc>
          <w:tcPr>
            <w:tcW w:w="3141" w:type="dxa"/>
          </w:tcPr>
          <w:p w:rsidR="00EF00AB" w:rsidRPr="00ED439B" w:rsidRDefault="00EF00AB" w:rsidP="00CA6FA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  <w:shd w:val="clear" w:color="auto" w:fill="auto"/>
          </w:tcPr>
          <w:p w:rsidR="00EF00AB" w:rsidRPr="00ED439B" w:rsidRDefault="00EF00AB" w:rsidP="00CA6FA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Saskaņā ar </w:t>
            </w:r>
            <w:proofErr w:type="spellStart"/>
            <w:r w:rsidRPr="00ED439B">
              <w:rPr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ieviešanas kārtības likuma 13.panta pirmo daļu  projektam ir jābūt izskatītam Ministru kabinetā un publicētam oficiālajā izdevumā „Latvijas </w:t>
            </w:r>
            <w:r w:rsidRPr="00ED439B">
              <w:rPr>
                <w:sz w:val="26"/>
                <w:szCs w:val="26"/>
              </w:rPr>
              <w:lastRenderedPageBreak/>
              <w:t>Vēstnesis” līdz 2013.gada 1.oktobrim.</w:t>
            </w:r>
          </w:p>
        </w:tc>
      </w:tr>
    </w:tbl>
    <w:p w:rsidR="00EF00AB" w:rsidRPr="00ED439B" w:rsidRDefault="00EF00AB" w:rsidP="00EF00AB">
      <w:pPr>
        <w:pStyle w:val="naisf"/>
        <w:spacing w:before="0" w:after="0"/>
        <w:rPr>
          <w:sz w:val="26"/>
          <w:szCs w:val="26"/>
        </w:rPr>
      </w:pPr>
    </w:p>
    <w:p w:rsidR="00EF00AB" w:rsidRPr="00CC5738" w:rsidRDefault="00EF00AB" w:rsidP="00EF00AB">
      <w:pPr>
        <w:pStyle w:val="NormalWeb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Anotācijas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2C64">
        <w:rPr>
          <w:rFonts w:ascii="Times New Roman" w:hAnsi="Times New Roman" w:cs="Times New Roman"/>
          <w:i/>
          <w:sz w:val="26"/>
          <w:szCs w:val="26"/>
        </w:rPr>
        <w:t xml:space="preserve">II, III, IV, V, VI </w:t>
      </w:r>
      <w:proofErr w:type="gramStart"/>
      <w:r w:rsidR="00812C64">
        <w:rPr>
          <w:rFonts w:ascii="Times New Roman" w:hAnsi="Times New Roman" w:cs="Times New Roman"/>
          <w:i/>
          <w:sz w:val="26"/>
          <w:szCs w:val="26"/>
        </w:rPr>
        <w:t>un</w:t>
      </w:r>
      <w:proofErr w:type="gramEnd"/>
      <w:r w:rsidR="00812C64">
        <w:rPr>
          <w:rFonts w:ascii="Times New Roman" w:hAnsi="Times New Roman" w:cs="Times New Roman"/>
          <w:i/>
          <w:sz w:val="26"/>
          <w:szCs w:val="26"/>
        </w:rPr>
        <w:t xml:space="preserve"> VII</w:t>
      </w:r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sadaļas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projekts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šīs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jomas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neskar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>.</w:t>
      </w:r>
    </w:p>
    <w:p w:rsidR="00EF00AB" w:rsidRDefault="00EF00AB" w:rsidP="00EF00AB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EF00AB" w:rsidRPr="00CC5738" w:rsidRDefault="00EF00AB" w:rsidP="00EF00AB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>Ekonomikas ministrs</w:t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proofErr w:type="spellStart"/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>D.Pavļuts</w:t>
      </w:r>
      <w:proofErr w:type="spellEnd"/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>Iesniedzējs:</w:t>
      </w:r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>Ekonomikas ministrs</w:t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proofErr w:type="spellStart"/>
      <w:r w:rsidRPr="00FE48F3">
        <w:rPr>
          <w:rFonts w:eastAsia="Times New Roman"/>
          <w:bCs/>
          <w:iCs/>
          <w:kern w:val="1"/>
          <w:sz w:val="28"/>
          <w:szCs w:val="28"/>
          <w:lang w:eastAsia="ar-SA"/>
        </w:rPr>
        <w:t>D.Pavļuts</w:t>
      </w:r>
      <w:proofErr w:type="spellEnd"/>
    </w:p>
    <w:p w:rsidR="00FE48F3" w:rsidRPr="00FE48F3" w:rsidRDefault="00FE48F3" w:rsidP="00FE48F3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E412D5" w:rsidRPr="00E412D5" w:rsidRDefault="00E412D5" w:rsidP="00E412D5">
      <w:pPr>
        <w:spacing w:after="0" w:line="240" w:lineRule="auto"/>
        <w:rPr>
          <w:sz w:val="28"/>
          <w:szCs w:val="28"/>
        </w:rPr>
      </w:pPr>
      <w:r w:rsidRPr="00E412D5">
        <w:rPr>
          <w:sz w:val="28"/>
          <w:szCs w:val="28"/>
        </w:rPr>
        <w:t>Vīza: Valsts sekretāra pienākumu izpildītājs,</w:t>
      </w:r>
    </w:p>
    <w:p w:rsidR="00EF00AB" w:rsidRDefault="00E412D5" w:rsidP="00E412D5">
      <w:pPr>
        <w:spacing w:after="0" w:line="240" w:lineRule="auto"/>
        <w:rPr>
          <w:sz w:val="20"/>
          <w:szCs w:val="20"/>
        </w:rPr>
      </w:pPr>
      <w:r w:rsidRPr="00E412D5">
        <w:rPr>
          <w:sz w:val="28"/>
          <w:szCs w:val="28"/>
        </w:rPr>
        <w:t>valsts sekretāra vietnieks</w:t>
      </w:r>
      <w:r w:rsidRPr="00E412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2D5">
        <w:rPr>
          <w:sz w:val="28"/>
          <w:szCs w:val="28"/>
        </w:rPr>
        <w:t>A.Liepiņš</w:t>
      </w:r>
      <w:r w:rsidRPr="00E412D5">
        <w:rPr>
          <w:sz w:val="28"/>
          <w:szCs w:val="28"/>
        </w:rPr>
        <w:tab/>
      </w:r>
    </w:p>
    <w:p w:rsidR="00EF00AB" w:rsidRDefault="00EF00AB" w:rsidP="00EF00AB">
      <w:pPr>
        <w:spacing w:after="0" w:line="240" w:lineRule="auto"/>
        <w:rPr>
          <w:sz w:val="20"/>
          <w:szCs w:val="20"/>
        </w:rPr>
      </w:pPr>
    </w:p>
    <w:p w:rsidR="00EF00AB" w:rsidRDefault="00EF00AB" w:rsidP="00EF00AB">
      <w:pPr>
        <w:spacing w:after="0" w:line="240" w:lineRule="auto"/>
        <w:rPr>
          <w:sz w:val="20"/>
          <w:szCs w:val="20"/>
        </w:rPr>
      </w:pPr>
    </w:p>
    <w:p w:rsidR="00EF00AB" w:rsidRDefault="00EF00AB" w:rsidP="00EF00AB">
      <w:pPr>
        <w:spacing w:after="0" w:line="240" w:lineRule="auto"/>
        <w:rPr>
          <w:sz w:val="20"/>
          <w:szCs w:val="20"/>
        </w:rPr>
      </w:pPr>
    </w:p>
    <w:p w:rsidR="00EF00AB" w:rsidRDefault="00EF00AB" w:rsidP="00EF00AB">
      <w:pPr>
        <w:spacing w:after="0" w:line="240" w:lineRule="auto"/>
        <w:rPr>
          <w:sz w:val="20"/>
          <w:szCs w:val="20"/>
        </w:rPr>
      </w:pPr>
    </w:p>
    <w:p w:rsidR="00EF00AB" w:rsidRDefault="00EF00AB" w:rsidP="00EF00AB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EF00AB" w:rsidRPr="00FD3D0D" w:rsidRDefault="00C25101" w:rsidP="00EF00AB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17</w:t>
      </w:r>
      <w:r w:rsidR="0087349E">
        <w:rPr>
          <w:rFonts w:ascii="Times New Roman" w:hAnsi="Times New Roman" w:cs="Times New Roman"/>
          <w:sz w:val="20"/>
          <w:szCs w:val="28"/>
        </w:rPr>
        <w:t>.09</w:t>
      </w:r>
      <w:r w:rsidR="009708DE">
        <w:rPr>
          <w:rFonts w:ascii="Times New Roman" w:hAnsi="Times New Roman" w:cs="Times New Roman"/>
          <w:sz w:val="20"/>
          <w:szCs w:val="28"/>
        </w:rPr>
        <w:t>.2013</w:t>
      </w:r>
    </w:p>
    <w:p w:rsidR="00EF00AB" w:rsidRPr="00FD3D0D" w:rsidRDefault="00EF00AB" w:rsidP="00EF00AB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FD3D0D">
        <w:rPr>
          <w:rFonts w:ascii="Times New Roman" w:hAnsi="Times New Roman" w:cs="Times New Roman"/>
        </w:rPr>
        <w:fldChar w:fldCharType="begin"/>
      </w:r>
      <w:r w:rsidRPr="00FD3D0D">
        <w:rPr>
          <w:rFonts w:ascii="Times New Roman" w:hAnsi="Times New Roman" w:cs="Times New Roman"/>
        </w:rPr>
        <w:instrText xml:space="preserve"> NUMWORDS   \* MERGEFORMAT </w:instrText>
      </w:r>
      <w:r w:rsidRPr="00FD3D0D">
        <w:rPr>
          <w:rFonts w:ascii="Times New Roman" w:hAnsi="Times New Roman" w:cs="Times New Roman"/>
        </w:rPr>
        <w:fldChar w:fldCharType="separate"/>
      </w:r>
      <w:r w:rsidR="00867FCF" w:rsidRPr="00867FCF">
        <w:rPr>
          <w:rFonts w:ascii="Times New Roman" w:hAnsi="Times New Roman" w:cs="Times New Roman"/>
          <w:noProof/>
          <w:sz w:val="20"/>
          <w:szCs w:val="28"/>
        </w:rPr>
        <w:t>310</w:t>
      </w:r>
      <w:r w:rsidRPr="00FD3D0D">
        <w:rPr>
          <w:rFonts w:ascii="Times New Roman" w:hAnsi="Times New Roman" w:cs="Times New Roman"/>
          <w:noProof/>
          <w:sz w:val="20"/>
          <w:szCs w:val="28"/>
        </w:rPr>
        <w:fldChar w:fldCharType="end"/>
      </w:r>
    </w:p>
    <w:p w:rsidR="00EF00AB" w:rsidRPr="00FD3D0D" w:rsidRDefault="00EF00AB" w:rsidP="00EF00AB">
      <w:pPr>
        <w:spacing w:after="0"/>
        <w:rPr>
          <w:sz w:val="20"/>
        </w:rPr>
      </w:pPr>
      <w:r w:rsidRPr="00FD3D0D">
        <w:rPr>
          <w:sz w:val="20"/>
        </w:rPr>
        <w:t>I.Peipiņa, 67013146</w:t>
      </w:r>
    </w:p>
    <w:p w:rsidR="00EF00AB" w:rsidRPr="008F47B4" w:rsidRDefault="00EF00AB" w:rsidP="00EF00AB">
      <w:pPr>
        <w:spacing w:after="0"/>
      </w:pPr>
      <w:r w:rsidRPr="00FD3D0D">
        <w:rPr>
          <w:sz w:val="20"/>
        </w:rPr>
        <w:t>Ilze.Peipina@em.gov.lv</w:t>
      </w:r>
    </w:p>
    <w:p w:rsidR="00172556" w:rsidRDefault="00430D88">
      <w:bookmarkStart w:id="4" w:name="_GoBack"/>
      <w:bookmarkEnd w:id="4"/>
    </w:p>
    <w:sectPr w:rsidR="00172556" w:rsidSect="00A00164">
      <w:headerReference w:type="default" r:id="rId7"/>
      <w:footerReference w:type="default" r:id="rId8"/>
      <w:footerReference w:type="first" r:id="rId9"/>
      <w:pgSz w:w="11906" w:h="16838" w:code="9"/>
      <w:pgMar w:top="1021" w:right="1134" w:bottom="851" w:left="1701" w:header="567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88" w:rsidRDefault="00430D88" w:rsidP="00812C64">
      <w:pPr>
        <w:spacing w:after="0" w:line="240" w:lineRule="auto"/>
      </w:pPr>
      <w:r>
        <w:separator/>
      </w:r>
    </w:p>
  </w:endnote>
  <w:endnote w:type="continuationSeparator" w:id="0">
    <w:p w:rsidR="00430D88" w:rsidRDefault="00430D88" w:rsidP="008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4" w:rsidRPr="008261D8" w:rsidRDefault="00812C64" w:rsidP="00AB24C4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867FCF">
      <w:rPr>
        <w:bCs/>
        <w:noProof/>
        <w:sz w:val="20"/>
        <w:szCs w:val="20"/>
      </w:rPr>
      <w:t>EMAnot_170913_grozMKnot_799</w:t>
    </w:r>
    <w:r>
      <w:rPr>
        <w:bCs/>
        <w:sz w:val="20"/>
        <w:szCs w:val="20"/>
      </w:rPr>
      <w:fldChar w:fldCharType="end"/>
    </w:r>
    <w:r w:rsidRPr="00AB24C4">
      <w:rPr>
        <w:bCs/>
        <w:sz w:val="20"/>
        <w:szCs w:val="20"/>
      </w:rPr>
      <w:t>;</w:t>
    </w:r>
    <w:r w:rsidRPr="00BE2B8E">
      <w:rPr>
        <w:b/>
        <w:bCs/>
        <w:sz w:val="20"/>
        <w:szCs w:val="20"/>
      </w:rPr>
      <w:t xml:space="preserve"> </w:t>
    </w:r>
    <w:r w:rsidRPr="00812C64">
      <w:rPr>
        <w:bCs/>
        <w:sz w:val="20"/>
        <w:szCs w:val="20"/>
      </w:rPr>
      <w:t>Grozījum</w:t>
    </w:r>
    <w:r w:rsidR="00B02DCB">
      <w:rPr>
        <w:bCs/>
        <w:sz w:val="20"/>
        <w:szCs w:val="20"/>
      </w:rPr>
      <w:t>s</w:t>
    </w:r>
    <w:r w:rsidRPr="00812C64">
      <w:rPr>
        <w:bCs/>
        <w:sz w:val="20"/>
        <w:szCs w:val="20"/>
      </w:rPr>
      <w:t xml:space="preserve"> Ministru kabineta 2008.gada 29.septembra noteikumos Nr.799 „Kārtība, kādā iesniedz un izskata ziņojumu par tirgus dalībnieku vienošanos”</w:t>
    </w:r>
  </w:p>
  <w:p w:rsidR="005F2B79" w:rsidRPr="00C91121" w:rsidRDefault="00430D88" w:rsidP="00AB24C4">
    <w:pPr>
      <w:pStyle w:val="Heading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4" w:rsidRPr="008261D8" w:rsidRDefault="00812C64" w:rsidP="00AB24C4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867FCF">
      <w:rPr>
        <w:bCs/>
        <w:noProof/>
        <w:sz w:val="20"/>
        <w:szCs w:val="20"/>
      </w:rPr>
      <w:t>EMAnot_170913_grozMKnot_799</w:t>
    </w:r>
    <w:r>
      <w:rPr>
        <w:bCs/>
        <w:sz w:val="20"/>
        <w:szCs w:val="20"/>
      </w:rPr>
      <w:fldChar w:fldCharType="end"/>
    </w:r>
    <w:r w:rsidRPr="00AB24C4">
      <w:rPr>
        <w:bCs/>
        <w:sz w:val="20"/>
        <w:szCs w:val="20"/>
      </w:rPr>
      <w:t>;</w:t>
    </w:r>
    <w:r w:rsidRPr="00BE2B8E">
      <w:rPr>
        <w:b/>
        <w:bCs/>
        <w:sz w:val="20"/>
        <w:szCs w:val="20"/>
      </w:rPr>
      <w:t xml:space="preserve"> </w:t>
    </w:r>
    <w:r w:rsidRPr="00812C64">
      <w:rPr>
        <w:bCs/>
        <w:sz w:val="20"/>
        <w:szCs w:val="20"/>
      </w:rPr>
      <w:t>Grozījum</w:t>
    </w:r>
    <w:r w:rsidR="00B02DCB">
      <w:rPr>
        <w:bCs/>
        <w:sz w:val="20"/>
        <w:szCs w:val="20"/>
      </w:rPr>
      <w:t>s</w:t>
    </w:r>
    <w:r w:rsidRPr="00812C64">
      <w:rPr>
        <w:bCs/>
        <w:sz w:val="20"/>
        <w:szCs w:val="20"/>
      </w:rPr>
      <w:t xml:space="preserve"> Ministru kabineta 2008.gada 29.septembra noteikumos Nr.799 „Kārtība, kādā iesniedz un izskata ziņojumu par tirgus dalībnieku vienošanos”</w:t>
    </w:r>
  </w:p>
  <w:p w:rsidR="005F2B79" w:rsidRDefault="00430D88" w:rsidP="00AB24C4">
    <w:pPr>
      <w:pStyle w:val="Heading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88" w:rsidRDefault="00430D88" w:rsidP="00812C64">
      <w:pPr>
        <w:spacing w:after="0" w:line="240" w:lineRule="auto"/>
      </w:pPr>
      <w:r>
        <w:separator/>
      </w:r>
    </w:p>
  </w:footnote>
  <w:footnote w:type="continuationSeparator" w:id="0">
    <w:p w:rsidR="00430D88" w:rsidRDefault="00430D88" w:rsidP="0081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79" w:rsidRDefault="00812C6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FCF">
      <w:rPr>
        <w:noProof/>
      </w:rPr>
      <w:t>2</w:t>
    </w:r>
    <w:r>
      <w:rPr>
        <w:noProof/>
      </w:rPr>
      <w:fldChar w:fldCharType="end"/>
    </w:r>
  </w:p>
  <w:p w:rsidR="005F2B79" w:rsidRDefault="0043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AB"/>
    <w:rsid w:val="000E3DEA"/>
    <w:rsid w:val="001E4F52"/>
    <w:rsid w:val="001F513F"/>
    <w:rsid w:val="002B53D1"/>
    <w:rsid w:val="00336417"/>
    <w:rsid w:val="00360BC1"/>
    <w:rsid w:val="00430D88"/>
    <w:rsid w:val="004D0128"/>
    <w:rsid w:val="005A261F"/>
    <w:rsid w:val="005C26CC"/>
    <w:rsid w:val="005D29DB"/>
    <w:rsid w:val="00812C64"/>
    <w:rsid w:val="00867FCF"/>
    <w:rsid w:val="0087349E"/>
    <w:rsid w:val="009254DD"/>
    <w:rsid w:val="00960CB9"/>
    <w:rsid w:val="009708DE"/>
    <w:rsid w:val="00A80337"/>
    <w:rsid w:val="00B02DCB"/>
    <w:rsid w:val="00C25101"/>
    <w:rsid w:val="00DD4EA5"/>
    <w:rsid w:val="00E205E8"/>
    <w:rsid w:val="00E412D5"/>
    <w:rsid w:val="00E5705E"/>
    <w:rsid w:val="00E84522"/>
    <w:rsid w:val="00EF00AB"/>
    <w:rsid w:val="00F7385A"/>
    <w:rsid w:val="00F837AB"/>
    <w:rsid w:val="00F85F72"/>
    <w:rsid w:val="00FD010E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AB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0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0AB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00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AB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EF00A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0AB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0AB"/>
  </w:style>
  <w:style w:type="paragraph" w:styleId="FootnoteText">
    <w:name w:val="footnote text"/>
    <w:basedOn w:val="Normal"/>
    <w:link w:val="FootnoteTextChar"/>
    <w:semiHidden/>
    <w:rsid w:val="00EF00AB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EF00A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AB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12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64"/>
    <w:rPr>
      <w:rFonts w:ascii="Times New Roman" w:eastAsia="Calibri" w:hAnsi="Times New Roman" w:cs="Times New Roman"/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AB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0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0AB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EF00AB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00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AB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EF00A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0AB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0AB"/>
  </w:style>
  <w:style w:type="paragraph" w:styleId="FootnoteText">
    <w:name w:val="footnote text"/>
    <w:basedOn w:val="Normal"/>
    <w:link w:val="FootnoteTextChar"/>
    <w:semiHidden/>
    <w:rsid w:val="00EF00AB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EF00A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AB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12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64"/>
    <w:rPr>
      <w:rFonts w:ascii="Times New Roman" w:eastAsia="Calibri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2263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„Grozījumi Ministru kabineta 2008.gada 29.septembra noteikumos Nr.799 „Kārtība, kādā iesniedz un izskata ziņojumu par tirgus dalībnieku vienošanos”” sākotnējās ietekmes novērtējuma ziņojums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2008.gada 29.septembra noteikumos Nr.799 „Kārtība, kādā iesniedz un izskata ziņojumu par tirgus dalībnieku vienošanos”” sākotnējās ietekmes novērtējuma ziņojums</dc:title>
  <dc:creator>Ilze Peipiņa</dc:creator>
  <dc:description>Ilze Peipina, 67013146, Ilze.Peipina@em.gov.lv</dc:description>
  <cp:lastModifiedBy>Ilze Peipiņa</cp:lastModifiedBy>
  <cp:revision>5</cp:revision>
  <cp:lastPrinted>2013-09-17T12:44:00Z</cp:lastPrinted>
  <dcterms:created xsi:type="dcterms:W3CDTF">2013-09-17T12:07:00Z</dcterms:created>
  <dcterms:modified xsi:type="dcterms:W3CDTF">2013-09-17T12:44:00Z</dcterms:modified>
</cp:coreProperties>
</file>