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42" w:rsidRPr="006F6777" w:rsidRDefault="00852042" w:rsidP="00214094">
      <w:pPr>
        <w:pStyle w:val="naislab"/>
        <w:spacing w:before="0" w:after="0"/>
        <w:rPr>
          <w:sz w:val="28"/>
          <w:szCs w:val="28"/>
        </w:rPr>
      </w:pPr>
    </w:p>
    <w:p w:rsidR="008C5649" w:rsidRPr="006F6777" w:rsidRDefault="003115FC" w:rsidP="003115FC">
      <w:pPr>
        <w:spacing w:before="71" w:after="71"/>
        <w:jc w:val="center"/>
        <w:rPr>
          <w:b/>
          <w:sz w:val="28"/>
          <w:szCs w:val="28"/>
        </w:rPr>
      </w:pPr>
      <w:r w:rsidRPr="006F6777">
        <w:rPr>
          <w:b/>
          <w:sz w:val="28"/>
          <w:szCs w:val="28"/>
        </w:rPr>
        <w:t>Noteikumu projekta „</w:t>
      </w:r>
      <w:r w:rsidR="007F2A7B" w:rsidRPr="006F6777">
        <w:rPr>
          <w:b/>
          <w:sz w:val="28"/>
          <w:szCs w:val="28"/>
        </w:rPr>
        <w:t>Parāda atgūšanas pakalpojuma sniedzēju licencēšanas kārtība</w:t>
      </w:r>
      <w:r w:rsidRPr="006F6777">
        <w:rPr>
          <w:b/>
          <w:sz w:val="28"/>
          <w:szCs w:val="28"/>
        </w:rPr>
        <w:t xml:space="preserve">” </w:t>
      </w:r>
      <w:r w:rsidR="00852042" w:rsidRPr="006F6777">
        <w:rPr>
          <w:b/>
          <w:sz w:val="28"/>
          <w:szCs w:val="28"/>
        </w:rPr>
        <w:t>sākotnējā</w:t>
      </w:r>
      <w:r w:rsidR="002D3306" w:rsidRPr="006F6777">
        <w:rPr>
          <w:b/>
          <w:sz w:val="28"/>
          <w:szCs w:val="28"/>
        </w:rPr>
        <w:t>s</w:t>
      </w:r>
      <w:r w:rsidR="00852042" w:rsidRPr="006F6777">
        <w:rPr>
          <w:b/>
          <w:sz w:val="28"/>
          <w:szCs w:val="28"/>
        </w:rPr>
        <w:t xml:space="preserve">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52042" w:rsidRPr="006F6777">
        <w:tc>
          <w:tcPr>
            <w:tcW w:w="9725" w:type="dxa"/>
            <w:gridSpan w:val="3"/>
            <w:vAlign w:val="center"/>
          </w:tcPr>
          <w:p w:rsidR="00852042" w:rsidRPr="00FF4956" w:rsidRDefault="00852042" w:rsidP="006C4607">
            <w:pPr>
              <w:pStyle w:val="naisnod"/>
              <w:spacing w:before="0" w:after="0"/>
            </w:pPr>
            <w:r w:rsidRPr="00FF4956">
              <w:t>I</w:t>
            </w:r>
            <w:r w:rsidR="000941C5" w:rsidRPr="00FF4956">
              <w:t>.</w:t>
            </w:r>
            <w:r w:rsidRPr="00FF4956">
              <w:t xml:space="preserve"> Tiesību akta </w:t>
            </w:r>
            <w:r w:rsidR="002E3FF4" w:rsidRPr="00FF4956">
              <w:t xml:space="preserve">projekta </w:t>
            </w:r>
            <w:r w:rsidRPr="00FF4956">
              <w:t>izstrādes nepieciešamība</w:t>
            </w:r>
          </w:p>
        </w:tc>
      </w:tr>
      <w:tr w:rsidR="00262E2B" w:rsidRPr="006F6777">
        <w:trPr>
          <w:trHeight w:val="630"/>
        </w:trPr>
        <w:tc>
          <w:tcPr>
            <w:tcW w:w="550" w:type="dxa"/>
          </w:tcPr>
          <w:p w:rsidR="00262E2B" w:rsidRPr="006F6777" w:rsidRDefault="00262E2B" w:rsidP="006C4607">
            <w:pPr>
              <w:pStyle w:val="naiskr"/>
              <w:spacing w:before="0" w:after="0"/>
              <w:rPr>
                <w:sz w:val="22"/>
                <w:szCs w:val="22"/>
              </w:rPr>
            </w:pPr>
            <w:r w:rsidRPr="006F6777">
              <w:rPr>
                <w:sz w:val="22"/>
                <w:szCs w:val="22"/>
              </w:rPr>
              <w:t>1.</w:t>
            </w:r>
          </w:p>
        </w:tc>
        <w:tc>
          <w:tcPr>
            <w:tcW w:w="4315" w:type="dxa"/>
          </w:tcPr>
          <w:p w:rsidR="00262E2B" w:rsidRPr="006F6777" w:rsidRDefault="002D7F54" w:rsidP="006C4607">
            <w:pPr>
              <w:pStyle w:val="naiskr"/>
              <w:spacing w:before="0" w:after="0"/>
              <w:ind w:hanging="10"/>
              <w:rPr>
                <w:sz w:val="22"/>
                <w:szCs w:val="22"/>
              </w:rPr>
            </w:pPr>
            <w:r w:rsidRPr="006F6777">
              <w:rPr>
                <w:sz w:val="22"/>
                <w:szCs w:val="22"/>
              </w:rPr>
              <w:t>Pamatojums</w:t>
            </w:r>
          </w:p>
        </w:tc>
        <w:tc>
          <w:tcPr>
            <w:tcW w:w="4860" w:type="dxa"/>
          </w:tcPr>
          <w:p w:rsidR="00262E2B" w:rsidRPr="006F6777" w:rsidRDefault="00FB37FF" w:rsidP="00E51875">
            <w:pPr>
              <w:pStyle w:val="naiskr"/>
              <w:spacing w:before="0" w:after="0"/>
              <w:ind w:hanging="5"/>
              <w:rPr>
                <w:sz w:val="22"/>
                <w:szCs w:val="22"/>
              </w:rPr>
            </w:pPr>
            <w:r w:rsidRPr="006F6777">
              <w:rPr>
                <w:sz w:val="22"/>
                <w:szCs w:val="22"/>
              </w:rPr>
              <w:t>Noteikumu projekts sagatavots saskaņā ar l</w:t>
            </w:r>
            <w:r w:rsidR="00633760" w:rsidRPr="006F6777">
              <w:rPr>
                <w:sz w:val="22"/>
                <w:szCs w:val="22"/>
              </w:rPr>
              <w:t>ikumprojekt</w:t>
            </w:r>
            <w:r w:rsidR="00655563" w:rsidRPr="006F6777">
              <w:rPr>
                <w:sz w:val="22"/>
                <w:szCs w:val="22"/>
              </w:rPr>
              <w:t>a</w:t>
            </w:r>
            <w:r w:rsidR="00633760" w:rsidRPr="006F6777">
              <w:rPr>
                <w:sz w:val="22"/>
                <w:szCs w:val="22"/>
              </w:rPr>
              <w:t xml:space="preserve"> „Parāda ārpustiesas atgūšanas likums” 5.panta ceturt</w:t>
            </w:r>
            <w:r w:rsidRPr="006F6777">
              <w:rPr>
                <w:sz w:val="22"/>
                <w:szCs w:val="22"/>
              </w:rPr>
              <w:t>o un piekto daļu</w:t>
            </w:r>
            <w:r w:rsidR="00E51875" w:rsidRPr="006F6777">
              <w:rPr>
                <w:sz w:val="22"/>
                <w:szCs w:val="22"/>
              </w:rPr>
              <w:t>.</w:t>
            </w:r>
          </w:p>
        </w:tc>
      </w:tr>
      <w:tr w:rsidR="00262E2B" w:rsidRPr="006F6777">
        <w:trPr>
          <w:trHeight w:val="472"/>
        </w:trPr>
        <w:tc>
          <w:tcPr>
            <w:tcW w:w="550" w:type="dxa"/>
          </w:tcPr>
          <w:p w:rsidR="00262E2B" w:rsidRPr="006F6777" w:rsidRDefault="00262E2B" w:rsidP="006C4607">
            <w:pPr>
              <w:pStyle w:val="naiskr"/>
              <w:spacing w:before="0" w:after="0"/>
              <w:rPr>
                <w:sz w:val="22"/>
                <w:szCs w:val="22"/>
              </w:rPr>
            </w:pPr>
            <w:r w:rsidRPr="006F6777">
              <w:rPr>
                <w:sz w:val="22"/>
                <w:szCs w:val="22"/>
              </w:rPr>
              <w:t>2.</w:t>
            </w:r>
          </w:p>
        </w:tc>
        <w:tc>
          <w:tcPr>
            <w:tcW w:w="4315" w:type="dxa"/>
          </w:tcPr>
          <w:p w:rsidR="00262E2B" w:rsidRPr="006F6777" w:rsidRDefault="00262E2B" w:rsidP="006C4607">
            <w:pPr>
              <w:pStyle w:val="naiskr"/>
              <w:tabs>
                <w:tab w:val="left" w:pos="170"/>
              </w:tabs>
              <w:spacing w:before="0" w:after="0"/>
              <w:rPr>
                <w:sz w:val="22"/>
                <w:szCs w:val="22"/>
              </w:rPr>
            </w:pPr>
            <w:r w:rsidRPr="006F6777">
              <w:rPr>
                <w:sz w:val="22"/>
                <w:szCs w:val="22"/>
              </w:rPr>
              <w:t>Pašreizējā situācija</w:t>
            </w:r>
            <w:r w:rsidR="001F5CD6" w:rsidRPr="006F6777">
              <w:rPr>
                <w:sz w:val="22"/>
                <w:szCs w:val="22"/>
              </w:rPr>
              <w:t xml:space="preserve"> un problēmas</w:t>
            </w:r>
          </w:p>
        </w:tc>
        <w:tc>
          <w:tcPr>
            <w:tcW w:w="4860" w:type="dxa"/>
          </w:tcPr>
          <w:p w:rsidR="00E26886" w:rsidRPr="006F6777" w:rsidRDefault="00265DB7" w:rsidP="00FA6F85">
            <w:pPr>
              <w:autoSpaceDE w:val="0"/>
              <w:autoSpaceDN w:val="0"/>
              <w:adjustRightInd w:val="0"/>
              <w:ind w:firstLine="720"/>
              <w:jc w:val="both"/>
            </w:pPr>
            <w:r w:rsidRPr="006F6777">
              <w:rPr>
                <w:sz w:val="22"/>
                <w:szCs w:val="22"/>
              </w:rPr>
              <w:t xml:space="preserve">Sabiedrībā pēdējā laikā arvien vairāk pieaug neapmierinātība ar parādu piedziņas uzņēmumu darbību un Patērētāju tiesību aizsardzības centrā </w:t>
            </w:r>
            <w:r w:rsidR="00FA6F85" w:rsidRPr="006F6777">
              <w:rPr>
                <w:sz w:val="22"/>
                <w:szCs w:val="22"/>
              </w:rPr>
              <w:t xml:space="preserve">(turpmāk – PTAC) </w:t>
            </w:r>
            <w:r w:rsidRPr="006F6777">
              <w:rPr>
                <w:sz w:val="22"/>
                <w:szCs w:val="22"/>
              </w:rPr>
              <w:t xml:space="preserve">tiek saņemtas arvien vairāk sūdzības, kurās patērētāji </w:t>
            </w:r>
            <w:r w:rsidR="00E51875" w:rsidRPr="006F6777">
              <w:rPr>
                <w:sz w:val="22"/>
                <w:szCs w:val="22"/>
              </w:rPr>
              <w:t>pauž neapmierinātību</w:t>
            </w:r>
            <w:r w:rsidRPr="006F6777">
              <w:rPr>
                <w:sz w:val="22"/>
                <w:szCs w:val="22"/>
              </w:rPr>
              <w:t xml:space="preserve"> par parādu piedziņas procesu, nevis pašu preci vai pakalpojumu.</w:t>
            </w:r>
            <w:r w:rsidR="00E26886" w:rsidRPr="006F6777">
              <w:rPr>
                <w:sz w:val="22"/>
                <w:szCs w:val="22"/>
              </w:rPr>
              <w:t xml:space="preserve"> </w:t>
            </w:r>
            <w:r w:rsidR="00E26886" w:rsidRPr="006F6777">
              <w:t xml:space="preserve"> </w:t>
            </w:r>
            <w:r w:rsidR="00FA6F85" w:rsidRPr="006F6777">
              <w:rPr>
                <w:sz w:val="22"/>
                <w:szCs w:val="22"/>
              </w:rPr>
              <w:t xml:space="preserve">Pēc PTAC sniegtās informācijas </w:t>
            </w:r>
            <w:r w:rsidR="00E26886" w:rsidRPr="006F6777">
              <w:rPr>
                <w:sz w:val="22"/>
                <w:szCs w:val="22"/>
              </w:rPr>
              <w:t>2012.gada 3 ceturkšņos  par parādu piedziņas sabiedrībām saņemtas 37 sūdzības. 2011.gadā par parādu piedziņas sabiedrībām saņemtas 13 sūdzības.</w:t>
            </w:r>
            <w:r w:rsidR="00E26886" w:rsidRPr="006F6777">
              <w:t xml:space="preserve"> </w:t>
            </w:r>
          </w:p>
          <w:p w:rsidR="00265DB7" w:rsidRPr="006F6777" w:rsidRDefault="00265DB7" w:rsidP="00265DB7">
            <w:pPr>
              <w:pStyle w:val="naiskr"/>
              <w:ind w:firstLine="243"/>
              <w:jc w:val="both"/>
              <w:rPr>
                <w:iCs/>
                <w:sz w:val="22"/>
                <w:szCs w:val="22"/>
              </w:rPr>
            </w:pPr>
            <w:r w:rsidRPr="006F6777">
              <w:rPr>
                <w:iCs/>
                <w:sz w:val="22"/>
                <w:szCs w:val="22"/>
              </w:rPr>
              <w:t xml:space="preserve">Būtiskākās problēmas, ar kurām saskaras patērētāji ārpustiesas parāda piedziņas procesā, ir </w:t>
            </w:r>
            <w:r w:rsidRPr="006F6777">
              <w:rPr>
                <w:iCs/>
                <w:sz w:val="22"/>
                <w:szCs w:val="22"/>
                <w:u w:val="single"/>
              </w:rPr>
              <w:t>pārmērīga samaksa</w:t>
            </w:r>
            <w:r w:rsidRPr="006F6777">
              <w:rPr>
                <w:iCs/>
                <w:sz w:val="22"/>
                <w:szCs w:val="22"/>
              </w:rPr>
              <w:t xml:space="preserve"> par parāda piedziņas pakalpojumu; </w:t>
            </w:r>
            <w:r w:rsidRPr="006F6777">
              <w:rPr>
                <w:iCs/>
                <w:sz w:val="22"/>
                <w:szCs w:val="22"/>
                <w:u w:val="single"/>
              </w:rPr>
              <w:t>draudi</w:t>
            </w:r>
            <w:r w:rsidRPr="006F6777">
              <w:rPr>
                <w:iCs/>
                <w:sz w:val="22"/>
                <w:szCs w:val="22"/>
              </w:rPr>
              <w:t xml:space="preserve"> par iekļaušanu parādnieku reģistrā izmantošana (tai skaitā, lai panāktu neesošu parādu piedziņu); </w:t>
            </w:r>
            <w:r w:rsidRPr="006F6777">
              <w:rPr>
                <w:iCs/>
                <w:sz w:val="22"/>
                <w:szCs w:val="22"/>
                <w:u w:val="single"/>
              </w:rPr>
              <w:t>agresīva ārpustiesas parāda piedziņas metožu izmantošana</w:t>
            </w:r>
            <w:r w:rsidRPr="006F6777">
              <w:rPr>
                <w:iCs/>
                <w:sz w:val="22"/>
                <w:szCs w:val="22"/>
              </w:rPr>
              <w:t xml:space="preserve">; </w:t>
            </w:r>
            <w:r w:rsidRPr="006F6777">
              <w:rPr>
                <w:iCs/>
                <w:sz w:val="22"/>
                <w:szCs w:val="22"/>
                <w:u w:val="single"/>
              </w:rPr>
              <w:t>pilnīgas un patiesas informācijas nesniegšana par piedzenamā parāda apmēru un tā veidojošām komponentēm</w:t>
            </w:r>
            <w:r w:rsidRPr="006F6777">
              <w:rPr>
                <w:iCs/>
                <w:sz w:val="22"/>
                <w:szCs w:val="22"/>
              </w:rPr>
              <w:t>.</w:t>
            </w:r>
          </w:p>
          <w:p w:rsidR="001D330C" w:rsidRPr="006F6777" w:rsidRDefault="00265DB7" w:rsidP="001D330C">
            <w:pPr>
              <w:pStyle w:val="naiskr"/>
              <w:spacing w:before="0" w:after="0"/>
              <w:ind w:firstLine="243"/>
              <w:jc w:val="both"/>
              <w:rPr>
                <w:iCs/>
                <w:sz w:val="22"/>
                <w:szCs w:val="22"/>
              </w:rPr>
            </w:pPr>
            <w:r w:rsidRPr="006F6777">
              <w:rPr>
                <w:iCs/>
                <w:sz w:val="22"/>
                <w:szCs w:val="22"/>
              </w:rPr>
              <w:t xml:space="preserve">2011.gadā Ekonomikas ministrija izstrādāja likumprojektu „Parādu ārpustiesas atgūšanas likums”, kurš </w:t>
            </w:r>
            <w:r w:rsidR="00435E62" w:rsidRPr="006F6777">
              <w:rPr>
                <w:iCs/>
                <w:sz w:val="22"/>
                <w:szCs w:val="22"/>
              </w:rPr>
              <w:t>tika pieņemts 2012.gada 8.novembrī</w:t>
            </w:r>
            <w:r w:rsidRPr="006F6777">
              <w:rPr>
                <w:iCs/>
                <w:sz w:val="22"/>
                <w:szCs w:val="22"/>
              </w:rPr>
              <w:t xml:space="preserve">. </w:t>
            </w:r>
            <w:r w:rsidR="00435E62" w:rsidRPr="006F6777">
              <w:rPr>
                <w:iCs/>
                <w:sz w:val="22"/>
                <w:szCs w:val="22"/>
              </w:rPr>
              <w:t>Likuma mērķis ir radīt tiesisko regulējumu, kas</w:t>
            </w:r>
            <w:r w:rsidR="00865289" w:rsidRPr="006F6777">
              <w:rPr>
                <w:iCs/>
                <w:sz w:val="22"/>
                <w:szCs w:val="22"/>
              </w:rPr>
              <w:t xml:space="preserve">: </w:t>
            </w:r>
          </w:p>
          <w:p w:rsidR="001D330C" w:rsidRPr="00FC4593" w:rsidRDefault="00865289" w:rsidP="001D330C">
            <w:pPr>
              <w:pStyle w:val="naiskr"/>
              <w:spacing w:before="0" w:after="0"/>
              <w:ind w:firstLine="243"/>
              <w:jc w:val="both"/>
              <w:rPr>
                <w:sz w:val="22"/>
                <w:szCs w:val="22"/>
                <w:lang w:eastAsia="en-US"/>
              </w:rPr>
            </w:pPr>
            <w:r w:rsidRPr="006F6777">
              <w:rPr>
                <w:iCs/>
                <w:sz w:val="22"/>
                <w:szCs w:val="22"/>
              </w:rPr>
              <w:t>-</w:t>
            </w:r>
            <w:r w:rsidR="001D330C" w:rsidRPr="006F6777">
              <w:rPr>
                <w:iCs/>
                <w:sz w:val="22"/>
                <w:szCs w:val="22"/>
              </w:rPr>
              <w:t xml:space="preserve"> </w:t>
            </w:r>
            <w:r w:rsidRPr="006F6777">
              <w:rPr>
                <w:iCs/>
                <w:sz w:val="22"/>
                <w:szCs w:val="22"/>
              </w:rPr>
              <w:t xml:space="preserve">noteiktu </w:t>
            </w:r>
            <w:r w:rsidR="001D330C" w:rsidRPr="00FC4593">
              <w:rPr>
                <w:sz w:val="22"/>
                <w:szCs w:val="22"/>
                <w:lang w:eastAsia="en-US"/>
              </w:rPr>
              <w:t>kreditora un parāda atgūšanas pakalpojuma sniedzēja tiesības un pienākumus parāda atgūšanas jomā;</w:t>
            </w:r>
          </w:p>
          <w:p w:rsidR="001D330C" w:rsidRPr="00FC4593" w:rsidRDefault="00865289" w:rsidP="001D330C">
            <w:pPr>
              <w:pStyle w:val="naiskr"/>
              <w:spacing w:before="0" w:after="0"/>
              <w:ind w:firstLine="243"/>
              <w:jc w:val="both"/>
              <w:rPr>
                <w:sz w:val="22"/>
                <w:szCs w:val="22"/>
                <w:lang w:eastAsia="en-US"/>
              </w:rPr>
            </w:pPr>
            <w:r w:rsidRPr="00FC4593">
              <w:rPr>
                <w:sz w:val="22"/>
                <w:szCs w:val="22"/>
                <w:lang w:eastAsia="en-US"/>
              </w:rPr>
              <w:t>-</w:t>
            </w:r>
            <w:r w:rsidR="001D330C" w:rsidRPr="00FC4593">
              <w:rPr>
                <w:sz w:val="22"/>
                <w:szCs w:val="22"/>
                <w:lang w:eastAsia="en-US"/>
              </w:rPr>
              <w:t xml:space="preserve"> nodrošinātu taisnīgu, samērīgu un saprātīgu parāda atgūšanu,</w:t>
            </w:r>
          </w:p>
          <w:p w:rsidR="001D330C" w:rsidRPr="006F6777" w:rsidRDefault="00865289" w:rsidP="001D330C">
            <w:pPr>
              <w:pStyle w:val="naiskr"/>
              <w:spacing w:before="0" w:after="0"/>
              <w:ind w:firstLine="243"/>
              <w:jc w:val="both"/>
              <w:rPr>
                <w:sz w:val="22"/>
                <w:szCs w:val="22"/>
                <w:lang w:val="en-US" w:eastAsia="en-US"/>
              </w:rPr>
            </w:pPr>
            <w:r w:rsidRPr="006F6777">
              <w:rPr>
                <w:sz w:val="22"/>
                <w:szCs w:val="22"/>
                <w:lang w:val="en-US" w:eastAsia="en-US"/>
              </w:rPr>
              <w:t>-</w:t>
            </w:r>
            <w:r w:rsidR="001D330C" w:rsidRPr="006F6777">
              <w:rPr>
                <w:sz w:val="22"/>
                <w:szCs w:val="22"/>
                <w:lang w:val="en-US" w:eastAsia="en-US"/>
              </w:rPr>
              <w:t xml:space="preserve"> </w:t>
            </w:r>
            <w:r w:rsidR="001D330C" w:rsidRPr="006F6777">
              <w:rPr>
                <w:rFonts w:eastAsia="Courier New"/>
                <w:sz w:val="22"/>
                <w:szCs w:val="22"/>
                <w:lang w:val="en-US" w:eastAsia="en-US"/>
              </w:rPr>
              <w:t xml:space="preserve"> </w:t>
            </w:r>
            <w:r w:rsidR="001D330C" w:rsidRPr="006F6777">
              <w:rPr>
                <w:sz w:val="22"/>
                <w:szCs w:val="22"/>
                <w:lang w:val="en-US" w:eastAsia="en-US"/>
              </w:rPr>
              <w:t>veicinātu parādu labprātīgu atmaksu;</w:t>
            </w:r>
          </w:p>
          <w:p w:rsidR="00F06879" w:rsidRPr="006F6777" w:rsidRDefault="00865289" w:rsidP="001D330C">
            <w:pPr>
              <w:pStyle w:val="naiskr"/>
              <w:spacing w:before="0" w:after="0"/>
              <w:ind w:firstLine="243"/>
              <w:jc w:val="both"/>
              <w:rPr>
                <w:sz w:val="22"/>
                <w:szCs w:val="22"/>
                <w:lang w:val="en-US" w:eastAsia="en-US"/>
              </w:rPr>
            </w:pPr>
            <w:r w:rsidRPr="006F6777">
              <w:rPr>
                <w:sz w:val="22"/>
                <w:szCs w:val="22"/>
                <w:lang w:val="en-US" w:eastAsia="en-US"/>
              </w:rPr>
              <w:t>-</w:t>
            </w:r>
            <w:r w:rsidR="001D330C" w:rsidRPr="006F6777">
              <w:rPr>
                <w:sz w:val="22"/>
                <w:szCs w:val="22"/>
                <w:lang w:val="en-US" w:eastAsia="en-US"/>
              </w:rPr>
              <w:t xml:space="preserve"> sekmētu iespēju trešajām personām novērtēt fiziskas personas uzņemto maksājuma saistību izpildi.</w:t>
            </w:r>
          </w:p>
          <w:p w:rsidR="00865289" w:rsidRPr="006F6777" w:rsidRDefault="00865289" w:rsidP="00865289">
            <w:pPr>
              <w:pStyle w:val="naiskr"/>
              <w:spacing w:before="0" w:after="0"/>
              <w:ind w:firstLine="243"/>
              <w:jc w:val="both"/>
              <w:rPr>
                <w:sz w:val="22"/>
                <w:szCs w:val="22"/>
                <w:lang w:val="en-US" w:eastAsia="en-US"/>
              </w:rPr>
            </w:pPr>
            <w:r w:rsidRPr="006F6777">
              <w:rPr>
                <w:sz w:val="22"/>
                <w:szCs w:val="22"/>
                <w:lang w:val="en-US" w:eastAsia="en-US"/>
              </w:rPr>
              <w:t>Tajā noteiktas prasības parāda atgūšanas pakalpojuma sniedzēja darbībai, prasības kreditoram un parāda atgūšanas pakalpojumu sniedzējam parāda atgūšanā īstenojamai komunikācijai, risināt</w:t>
            </w:r>
            <w:r w:rsidR="007D1163" w:rsidRPr="006F6777">
              <w:rPr>
                <w:sz w:val="22"/>
                <w:szCs w:val="22"/>
                <w:lang w:val="en-US" w:eastAsia="en-US"/>
              </w:rPr>
              <w:t>s</w:t>
            </w:r>
            <w:r w:rsidRPr="006F6777">
              <w:rPr>
                <w:sz w:val="22"/>
                <w:szCs w:val="22"/>
                <w:lang w:val="en-US" w:eastAsia="en-US"/>
              </w:rPr>
              <w:t xml:space="preserve"> fizisko personu datu izmantošanas jautājum</w:t>
            </w:r>
            <w:r w:rsidR="006D2D18" w:rsidRPr="006F6777">
              <w:rPr>
                <w:sz w:val="22"/>
                <w:szCs w:val="22"/>
                <w:lang w:val="en-US" w:eastAsia="en-US"/>
              </w:rPr>
              <w:t xml:space="preserve">s </w:t>
            </w:r>
            <w:r w:rsidRPr="006F6777">
              <w:rPr>
                <w:sz w:val="22"/>
                <w:szCs w:val="22"/>
                <w:lang w:val="en-US" w:eastAsia="en-US"/>
              </w:rPr>
              <w:t>parāda atgūšanā.</w:t>
            </w:r>
          </w:p>
          <w:p w:rsidR="00265DB7" w:rsidRPr="00FC4593" w:rsidRDefault="001D330C" w:rsidP="00865289">
            <w:pPr>
              <w:pStyle w:val="naiskr"/>
              <w:spacing w:before="0" w:after="0"/>
              <w:ind w:firstLine="243"/>
              <w:jc w:val="both"/>
              <w:rPr>
                <w:sz w:val="22"/>
                <w:szCs w:val="22"/>
                <w:lang w:eastAsia="en-US"/>
              </w:rPr>
            </w:pPr>
            <w:r w:rsidRPr="006F6777">
              <w:rPr>
                <w:iCs/>
                <w:sz w:val="22"/>
                <w:szCs w:val="22"/>
              </w:rPr>
              <w:t xml:space="preserve"> </w:t>
            </w:r>
            <w:r w:rsidR="00265DB7" w:rsidRPr="006F6777">
              <w:rPr>
                <w:iCs/>
                <w:sz w:val="22"/>
                <w:szCs w:val="22"/>
              </w:rPr>
              <w:t>Liku</w:t>
            </w:r>
            <w:r w:rsidR="007A71C6" w:rsidRPr="006F6777">
              <w:rPr>
                <w:iCs/>
                <w:sz w:val="22"/>
                <w:szCs w:val="22"/>
              </w:rPr>
              <w:t>ma</w:t>
            </w:r>
            <w:r w:rsidR="00265DB7" w:rsidRPr="006F6777">
              <w:rPr>
                <w:iCs/>
                <w:sz w:val="22"/>
                <w:szCs w:val="22"/>
              </w:rPr>
              <w:t xml:space="preserve"> 5.panta </w:t>
            </w:r>
            <w:r w:rsidR="00F06879" w:rsidRPr="006F6777">
              <w:rPr>
                <w:iCs/>
                <w:sz w:val="22"/>
                <w:szCs w:val="22"/>
              </w:rPr>
              <w:t>pirmajā</w:t>
            </w:r>
            <w:r w:rsidR="00265DB7" w:rsidRPr="006F6777">
              <w:rPr>
                <w:iCs/>
                <w:sz w:val="22"/>
                <w:szCs w:val="22"/>
              </w:rPr>
              <w:t xml:space="preserve"> daļā </w:t>
            </w:r>
            <w:r w:rsidR="00F06879" w:rsidRPr="006F6777">
              <w:rPr>
                <w:iCs/>
                <w:sz w:val="22"/>
                <w:szCs w:val="22"/>
              </w:rPr>
              <w:t xml:space="preserve">ir </w:t>
            </w:r>
            <w:r w:rsidR="00265DB7" w:rsidRPr="006F6777">
              <w:rPr>
                <w:iCs/>
                <w:sz w:val="22"/>
                <w:szCs w:val="22"/>
              </w:rPr>
              <w:t>noteikts, ka parāda atgūšanas pakalpojuma sniedzējam jāsaņem speciālā atļauja (licence), lai t</w:t>
            </w:r>
            <w:r w:rsidR="00F06879" w:rsidRPr="006F6777">
              <w:rPr>
                <w:iCs/>
                <w:sz w:val="22"/>
                <w:szCs w:val="22"/>
              </w:rPr>
              <w:t>as</w:t>
            </w:r>
            <w:r w:rsidR="00265DB7" w:rsidRPr="006F6777">
              <w:rPr>
                <w:iCs/>
                <w:sz w:val="22"/>
                <w:szCs w:val="22"/>
              </w:rPr>
              <w:t xml:space="preserve"> savas komercdarbības vai profesionālās darbības ietvaros būtu tiesī</w:t>
            </w:r>
            <w:r w:rsidR="005E6A7F" w:rsidRPr="006F6777">
              <w:rPr>
                <w:iCs/>
                <w:sz w:val="22"/>
                <w:szCs w:val="22"/>
              </w:rPr>
              <w:t>g</w:t>
            </w:r>
            <w:r w:rsidR="00F06879" w:rsidRPr="006F6777">
              <w:rPr>
                <w:iCs/>
                <w:sz w:val="22"/>
                <w:szCs w:val="22"/>
              </w:rPr>
              <w:t>s</w:t>
            </w:r>
            <w:r w:rsidR="00265DB7" w:rsidRPr="006F6777">
              <w:rPr>
                <w:iCs/>
                <w:sz w:val="22"/>
                <w:szCs w:val="22"/>
              </w:rPr>
              <w:t xml:space="preserve"> veikt ārpustiesas parāda atgūšanu kreditora vārdā vai uzdevumā. </w:t>
            </w:r>
          </w:p>
          <w:p w:rsidR="00633760" w:rsidRPr="006F6777" w:rsidRDefault="008A5B11" w:rsidP="007A71C6">
            <w:pPr>
              <w:pStyle w:val="naiskr"/>
              <w:spacing w:before="0" w:after="0"/>
              <w:ind w:firstLine="243"/>
              <w:jc w:val="both"/>
              <w:rPr>
                <w:iCs/>
                <w:sz w:val="22"/>
                <w:szCs w:val="22"/>
              </w:rPr>
            </w:pPr>
            <w:r w:rsidRPr="006F6777">
              <w:rPr>
                <w:iCs/>
                <w:sz w:val="22"/>
                <w:szCs w:val="22"/>
              </w:rPr>
              <w:t>Turklāt s</w:t>
            </w:r>
            <w:r w:rsidR="005E6A7F" w:rsidRPr="006F6777">
              <w:rPr>
                <w:iCs/>
                <w:sz w:val="22"/>
                <w:szCs w:val="22"/>
              </w:rPr>
              <w:t>askaņā ar likum</w:t>
            </w:r>
            <w:r w:rsidR="007A71C6" w:rsidRPr="006F6777">
              <w:rPr>
                <w:iCs/>
                <w:sz w:val="22"/>
                <w:szCs w:val="22"/>
              </w:rPr>
              <w:t>a</w:t>
            </w:r>
            <w:r w:rsidR="005E6A7F" w:rsidRPr="006F6777">
              <w:rPr>
                <w:iCs/>
                <w:sz w:val="22"/>
                <w:szCs w:val="22"/>
              </w:rPr>
              <w:t xml:space="preserve"> 5.panta ceturt</w:t>
            </w:r>
            <w:r w:rsidRPr="006F6777">
              <w:rPr>
                <w:iCs/>
                <w:sz w:val="22"/>
                <w:szCs w:val="22"/>
              </w:rPr>
              <w:t>ajā</w:t>
            </w:r>
            <w:r w:rsidR="005E6A7F" w:rsidRPr="006F6777">
              <w:rPr>
                <w:iCs/>
                <w:sz w:val="22"/>
                <w:szCs w:val="22"/>
              </w:rPr>
              <w:t xml:space="preserve"> un piekt</w:t>
            </w:r>
            <w:r w:rsidRPr="006F6777">
              <w:rPr>
                <w:iCs/>
                <w:sz w:val="22"/>
                <w:szCs w:val="22"/>
              </w:rPr>
              <w:t>ajā</w:t>
            </w:r>
            <w:r w:rsidR="005E6A7F" w:rsidRPr="006F6777">
              <w:rPr>
                <w:iCs/>
                <w:sz w:val="22"/>
                <w:szCs w:val="22"/>
              </w:rPr>
              <w:t xml:space="preserve"> daļ</w:t>
            </w:r>
            <w:r w:rsidRPr="006F6777">
              <w:rPr>
                <w:iCs/>
                <w:sz w:val="22"/>
                <w:szCs w:val="22"/>
              </w:rPr>
              <w:t xml:space="preserve">ā noteikto </w:t>
            </w:r>
            <w:r w:rsidR="007A71C6" w:rsidRPr="006F6777">
              <w:rPr>
                <w:iCs/>
                <w:sz w:val="22"/>
                <w:szCs w:val="22"/>
              </w:rPr>
              <w:t>likumā</w:t>
            </w:r>
            <w:r w:rsidRPr="006F6777">
              <w:rPr>
                <w:iCs/>
                <w:sz w:val="22"/>
                <w:szCs w:val="22"/>
              </w:rPr>
              <w:t xml:space="preserve"> ir iekļauts pilnvarojums Ministru kabinetam </w:t>
            </w:r>
            <w:r w:rsidRPr="006F6777">
              <w:rPr>
                <w:sz w:val="22"/>
                <w:szCs w:val="22"/>
              </w:rPr>
              <w:t xml:space="preserve">noteikt prasības, kas jāievēro, lai parāda atgūšanas </w:t>
            </w:r>
            <w:r w:rsidRPr="006F6777">
              <w:rPr>
                <w:spacing w:val="-2"/>
                <w:sz w:val="22"/>
                <w:szCs w:val="22"/>
              </w:rPr>
              <w:t>pakalpojuma sniedzējs saņemtu speciālo atļauju (licenci), minētās speciālās atļaujas (licences) izsniegšanas, izmantošanas, darbības apturēšanas, pārreģistrācijas un</w:t>
            </w:r>
            <w:r w:rsidRPr="006F6777">
              <w:rPr>
                <w:sz w:val="22"/>
                <w:szCs w:val="22"/>
              </w:rPr>
              <w:t xml:space="preserve"> anulēšanas kārtību, kā </w:t>
            </w:r>
            <w:r w:rsidRPr="006F6777">
              <w:rPr>
                <w:sz w:val="22"/>
                <w:szCs w:val="22"/>
              </w:rPr>
              <w:lastRenderedPageBreak/>
              <w:t>arī valsts nodevas par speciālās atļaujas (licences) izsniegšanu un pārreģistrāciju apmēru un maksāšanas kārtību.</w:t>
            </w:r>
            <w:r w:rsidR="005E6A7F" w:rsidRPr="006F6777">
              <w:rPr>
                <w:iCs/>
                <w:sz w:val="22"/>
                <w:szCs w:val="22"/>
              </w:rPr>
              <w:t xml:space="preserve"> </w:t>
            </w:r>
          </w:p>
        </w:tc>
      </w:tr>
      <w:tr w:rsidR="00262E2B" w:rsidRPr="006F6777">
        <w:trPr>
          <w:trHeight w:val="1071"/>
        </w:trPr>
        <w:tc>
          <w:tcPr>
            <w:tcW w:w="550" w:type="dxa"/>
          </w:tcPr>
          <w:p w:rsidR="00262E2B" w:rsidRPr="006F6777" w:rsidRDefault="00262E2B" w:rsidP="006C4607">
            <w:pPr>
              <w:pStyle w:val="naiskr"/>
              <w:spacing w:before="0" w:after="0"/>
              <w:rPr>
                <w:sz w:val="22"/>
                <w:szCs w:val="22"/>
              </w:rPr>
            </w:pPr>
            <w:r w:rsidRPr="006F6777">
              <w:rPr>
                <w:sz w:val="22"/>
                <w:szCs w:val="22"/>
              </w:rPr>
              <w:lastRenderedPageBreak/>
              <w:t>3.</w:t>
            </w:r>
          </w:p>
        </w:tc>
        <w:tc>
          <w:tcPr>
            <w:tcW w:w="4315" w:type="dxa"/>
          </w:tcPr>
          <w:p w:rsidR="00262E2B" w:rsidRPr="006F6777" w:rsidRDefault="00420870" w:rsidP="006C4607">
            <w:pPr>
              <w:pStyle w:val="naiskr"/>
              <w:spacing w:before="0" w:after="0"/>
              <w:rPr>
                <w:sz w:val="22"/>
                <w:szCs w:val="22"/>
              </w:rPr>
            </w:pPr>
            <w:r w:rsidRPr="006F6777">
              <w:rPr>
                <w:sz w:val="22"/>
                <w:szCs w:val="22"/>
              </w:rPr>
              <w:t>S</w:t>
            </w:r>
            <w:r w:rsidR="000B69CF" w:rsidRPr="006F6777">
              <w:rPr>
                <w:sz w:val="22"/>
                <w:szCs w:val="22"/>
              </w:rPr>
              <w:t xml:space="preserve">aistītie </w:t>
            </w:r>
            <w:r w:rsidR="001A6AE4" w:rsidRPr="006F6777">
              <w:rPr>
                <w:sz w:val="22"/>
                <w:szCs w:val="22"/>
              </w:rPr>
              <w:t>politikas ietekmes novērtējumi</w:t>
            </w:r>
            <w:r w:rsidR="00CB0247" w:rsidRPr="006F6777">
              <w:rPr>
                <w:sz w:val="22"/>
                <w:szCs w:val="22"/>
              </w:rPr>
              <w:t xml:space="preserve"> un</w:t>
            </w:r>
            <w:r w:rsidR="001A6AE4" w:rsidRPr="006F6777">
              <w:rPr>
                <w:sz w:val="22"/>
                <w:szCs w:val="22"/>
              </w:rPr>
              <w:t xml:space="preserve"> </w:t>
            </w:r>
            <w:r w:rsidR="000B69CF" w:rsidRPr="006F6777">
              <w:rPr>
                <w:sz w:val="22"/>
                <w:szCs w:val="22"/>
              </w:rPr>
              <w:t>pētījumi</w:t>
            </w:r>
          </w:p>
        </w:tc>
        <w:tc>
          <w:tcPr>
            <w:tcW w:w="4860" w:type="dxa"/>
          </w:tcPr>
          <w:p w:rsidR="00D20FF4" w:rsidRPr="006F6777" w:rsidRDefault="000C7D57" w:rsidP="006C4607">
            <w:pPr>
              <w:pStyle w:val="FootnoteText"/>
              <w:rPr>
                <w:sz w:val="22"/>
                <w:szCs w:val="22"/>
              </w:rPr>
            </w:pPr>
            <w:r w:rsidRPr="006F6777">
              <w:rPr>
                <w:sz w:val="22"/>
                <w:szCs w:val="22"/>
              </w:rPr>
              <w:t>Nav attiecināms</w:t>
            </w:r>
          </w:p>
        </w:tc>
      </w:tr>
      <w:tr w:rsidR="00262E2B" w:rsidRPr="006F6777">
        <w:trPr>
          <w:trHeight w:val="384"/>
        </w:trPr>
        <w:tc>
          <w:tcPr>
            <w:tcW w:w="550" w:type="dxa"/>
          </w:tcPr>
          <w:p w:rsidR="00262E2B" w:rsidRPr="006F6777" w:rsidRDefault="00262E2B" w:rsidP="006C4607">
            <w:pPr>
              <w:pStyle w:val="naiskr"/>
              <w:spacing w:before="0" w:after="0"/>
              <w:rPr>
                <w:sz w:val="22"/>
                <w:szCs w:val="22"/>
              </w:rPr>
            </w:pPr>
            <w:r w:rsidRPr="006F6777">
              <w:rPr>
                <w:sz w:val="22"/>
                <w:szCs w:val="22"/>
              </w:rPr>
              <w:t>4.</w:t>
            </w:r>
          </w:p>
        </w:tc>
        <w:tc>
          <w:tcPr>
            <w:tcW w:w="4315" w:type="dxa"/>
          </w:tcPr>
          <w:p w:rsidR="00262E2B" w:rsidRPr="006F6777" w:rsidRDefault="000C790C" w:rsidP="006C4607">
            <w:pPr>
              <w:pStyle w:val="naiskr"/>
              <w:spacing w:before="0" w:after="0"/>
              <w:rPr>
                <w:sz w:val="22"/>
                <w:szCs w:val="22"/>
              </w:rPr>
            </w:pPr>
            <w:r w:rsidRPr="006F6777">
              <w:rPr>
                <w:sz w:val="22"/>
                <w:szCs w:val="22"/>
              </w:rPr>
              <w:t>Tiesiskā r</w:t>
            </w:r>
            <w:r w:rsidR="00400032" w:rsidRPr="006F6777">
              <w:rPr>
                <w:sz w:val="22"/>
                <w:szCs w:val="22"/>
              </w:rPr>
              <w:t xml:space="preserve">egulējuma </w:t>
            </w:r>
            <w:r w:rsidR="00262E2B" w:rsidRPr="006F6777">
              <w:rPr>
                <w:sz w:val="22"/>
                <w:szCs w:val="22"/>
              </w:rPr>
              <w:t>mērķis un būtība</w:t>
            </w:r>
          </w:p>
        </w:tc>
        <w:tc>
          <w:tcPr>
            <w:tcW w:w="4860" w:type="dxa"/>
          </w:tcPr>
          <w:p w:rsidR="00DD208A" w:rsidRPr="006F6777" w:rsidRDefault="00DD208A" w:rsidP="00DD208A">
            <w:pPr>
              <w:pStyle w:val="naiskr"/>
              <w:spacing w:before="0" w:after="0"/>
              <w:ind w:firstLine="243"/>
              <w:jc w:val="both"/>
              <w:rPr>
                <w:iCs/>
                <w:sz w:val="22"/>
                <w:szCs w:val="22"/>
              </w:rPr>
            </w:pPr>
            <w:r w:rsidRPr="006F6777">
              <w:rPr>
                <w:iCs/>
                <w:sz w:val="22"/>
                <w:szCs w:val="22"/>
              </w:rPr>
              <w:t xml:space="preserve">Tiesiskā regulējuma mērķis ir </w:t>
            </w:r>
            <w:r w:rsidRPr="006F6777">
              <w:rPr>
                <w:iCs/>
                <w:sz w:val="22"/>
                <w:szCs w:val="22"/>
                <w:u w:val="single"/>
              </w:rPr>
              <w:t>reglamentēt kārtību</w:t>
            </w:r>
            <w:r w:rsidRPr="006F6777">
              <w:rPr>
                <w:iCs/>
                <w:sz w:val="22"/>
                <w:szCs w:val="22"/>
              </w:rPr>
              <w:t xml:space="preserve">, kādā izsniedz, izmanto, pārreģistrē, aptur un anulē speciālo atļauju (licenci) parāda atgūšanas pakalpojuma sniegšanai un maksā valsts nodevu par speciālās atļaujas (licences) izsniegšanu un pārreģistrāciju, kā arī </w:t>
            </w:r>
            <w:r w:rsidRPr="006F6777">
              <w:rPr>
                <w:iCs/>
                <w:sz w:val="22"/>
                <w:szCs w:val="22"/>
                <w:u w:val="single"/>
              </w:rPr>
              <w:t>noteikt prasības</w:t>
            </w:r>
            <w:r w:rsidRPr="006F6777">
              <w:rPr>
                <w:iCs/>
                <w:sz w:val="22"/>
                <w:szCs w:val="22"/>
              </w:rPr>
              <w:t xml:space="preserve"> parāda ārpustiesas atgūšanas pakalpojuma sniedzējam speciālās atļaujas (licences) saņemšanai.</w:t>
            </w:r>
          </w:p>
          <w:p w:rsidR="00DD208A" w:rsidRPr="006F6777" w:rsidRDefault="00DD208A" w:rsidP="00DD208A">
            <w:pPr>
              <w:pStyle w:val="naiskr"/>
              <w:spacing w:before="0" w:after="0"/>
              <w:ind w:firstLine="243"/>
              <w:jc w:val="both"/>
              <w:rPr>
                <w:i/>
                <w:iCs/>
                <w:sz w:val="22"/>
                <w:szCs w:val="22"/>
              </w:rPr>
            </w:pPr>
            <w:r w:rsidRPr="006F6777">
              <w:rPr>
                <w:iCs/>
                <w:sz w:val="22"/>
                <w:szCs w:val="22"/>
              </w:rPr>
              <w:t xml:space="preserve">Noteikumu projekts izstrādāts saskaņā ar </w:t>
            </w:r>
            <w:r w:rsidRPr="006F6777">
              <w:rPr>
                <w:iCs/>
                <w:sz w:val="22"/>
                <w:szCs w:val="22"/>
                <w:u w:val="single"/>
              </w:rPr>
              <w:t>likum</w:t>
            </w:r>
            <w:r w:rsidR="007A71C6" w:rsidRPr="006F6777">
              <w:rPr>
                <w:iCs/>
                <w:sz w:val="22"/>
                <w:szCs w:val="22"/>
                <w:u w:val="single"/>
              </w:rPr>
              <w:t>a</w:t>
            </w:r>
            <w:r w:rsidRPr="006F6777">
              <w:rPr>
                <w:iCs/>
                <w:sz w:val="22"/>
                <w:szCs w:val="22"/>
                <w:u w:val="single"/>
              </w:rPr>
              <w:t xml:space="preserve"> „Parāda ārpustiesas atgūšanas likums” 5.panta ceturto un piekto daļu</w:t>
            </w:r>
            <w:r w:rsidRPr="006F6777">
              <w:rPr>
                <w:iCs/>
                <w:sz w:val="22"/>
                <w:szCs w:val="22"/>
              </w:rPr>
              <w:t xml:space="preserve">, kas nosaka, ka </w:t>
            </w:r>
            <w:r w:rsidRPr="006F6777">
              <w:rPr>
                <w:i/>
                <w:iCs/>
                <w:sz w:val="22"/>
                <w:szCs w:val="22"/>
              </w:rPr>
              <w:t>Ministru kabinets nosaka prasības, kas jāievēro, lai parāda atgūšanas pakalpojuma sniedzējs saņemtu speciālo atļauju (licenci), kā arī minētās speciālās atļaujas (licences) izsniegšanas, izmantošanas, darbības apturēšanas, pārreģistrācijas un anulēšanas kārtību</w:t>
            </w:r>
            <w:r w:rsidRPr="006F6777">
              <w:rPr>
                <w:iCs/>
                <w:sz w:val="22"/>
                <w:szCs w:val="22"/>
              </w:rPr>
              <w:t xml:space="preserve">, kā arī </w:t>
            </w:r>
            <w:r w:rsidRPr="006F6777">
              <w:rPr>
                <w:i/>
                <w:iCs/>
                <w:sz w:val="22"/>
                <w:szCs w:val="22"/>
              </w:rPr>
              <w:t>par speciālās atļaujas (licences) izsniegšanu un pārreģistrāciju parāda atgūšanas pakalpojuma sniedzējs maksā valsts nodevu. Valsts nodevas apmēru un tās maksāšanas kārtību nosaka Ministru kabinet</w:t>
            </w:r>
            <w:r w:rsidR="002B021E" w:rsidRPr="006F6777">
              <w:rPr>
                <w:i/>
                <w:iCs/>
                <w:sz w:val="22"/>
                <w:szCs w:val="22"/>
              </w:rPr>
              <w:t>s</w:t>
            </w:r>
            <w:r w:rsidR="00842499" w:rsidRPr="006F6777">
              <w:rPr>
                <w:i/>
                <w:iCs/>
                <w:sz w:val="22"/>
                <w:szCs w:val="22"/>
              </w:rPr>
              <w:t>.</w:t>
            </w:r>
          </w:p>
          <w:p w:rsidR="00842499" w:rsidRPr="006F6777" w:rsidRDefault="00391CB4" w:rsidP="00DD208A">
            <w:pPr>
              <w:pStyle w:val="naiskr"/>
              <w:spacing w:before="0" w:after="0"/>
              <w:ind w:firstLine="243"/>
              <w:jc w:val="both"/>
              <w:rPr>
                <w:iCs/>
                <w:sz w:val="22"/>
                <w:szCs w:val="22"/>
              </w:rPr>
            </w:pPr>
            <w:r w:rsidRPr="006F6777">
              <w:rPr>
                <w:iCs/>
                <w:sz w:val="22"/>
                <w:szCs w:val="22"/>
              </w:rPr>
              <w:t xml:space="preserve">Noteikumu projekts paredz, ka speciālo atļauju (licenci) parāda atgūšanas pakalpojuma sniegšanai izsniegs Patērētāju tiesību aizsardzības centrs (turpmāk – PTAC) uz trīs gadiem ar iespēju to pārreģistrēt. </w:t>
            </w:r>
          </w:p>
          <w:p w:rsidR="00F91F84" w:rsidRPr="006F6777" w:rsidRDefault="000814FD" w:rsidP="00056FB2">
            <w:pPr>
              <w:pStyle w:val="naiskr"/>
              <w:spacing w:before="0" w:after="0"/>
              <w:ind w:firstLine="243"/>
              <w:jc w:val="both"/>
              <w:rPr>
                <w:iCs/>
                <w:sz w:val="22"/>
                <w:szCs w:val="22"/>
              </w:rPr>
            </w:pPr>
            <w:r w:rsidRPr="006F6777">
              <w:rPr>
                <w:iCs/>
                <w:sz w:val="22"/>
                <w:szCs w:val="22"/>
              </w:rPr>
              <w:t>Noteikumu projekta II</w:t>
            </w:r>
            <w:r w:rsidR="00C711F0" w:rsidRPr="006F6777">
              <w:rPr>
                <w:iCs/>
                <w:sz w:val="22"/>
                <w:szCs w:val="22"/>
              </w:rPr>
              <w:t>.</w:t>
            </w:r>
            <w:r w:rsidRPr="006F6777">
              <w:rPr>
                <w:iCs/>
                <w:sz w:val="22"/>
                <w:szCs w:val="22"/>
              </w:rPr>
              <w:t xml:space="preserve"> nodaļa paredz noteikt prasības, kādām jāatbilst parāda atgūšanas pakalpojuma sniedzējam, tā valdes un padomes </w:t>
            </w:r>
            <w:r w:rsidR="00F91F84" w:rsidRPr="006F6777">
              <w:rPr>
                <w:iCs/>
                <w:sz w:val="22"/>
                <w:szCs w:val="22"/>
              </w:rPr>
              <w:t xml:space="preserve"> locekļiem vai pārstāvēttiesīgajiem biedriem</w:t>
            </w:r>
            <w:r w:rsidRPr="006F6777">
              <w:rPr>
                <w:iCs/>
                <w:sz w:val="22"/>
                <w:szCs w:val="22"/>
              </w:rPr>
              <w:t xml:space="preserve">, darbiniekiem, </w:t>
            </w:r>
            <w:r w:rsidR="00F91F84" w:rsidRPr="006F6777">
              <w:rPr>
                <w:iCs/>
                <w:sz w:val="22"/>
                <w:szCs w:val="22"/>
              </w:rPr>
              <w:t>kuru pienākumos ietilpst parādu atgūšana</w:t>
            </w:r>
            <w:r w:rsidRPr="006F6777">
              <w:rPr>
                <w:iCs/>
                <w:sz w:val="22"/>
                <w:szCs w:val="22"/>
              </w:rPr>
              <w:t xml:space="preserve">, lai saņemtu licenci. </w:t>
            </w:r>
            <w:r w:rsidR="00056FB2" w:rsidRPr="006F6777">
              <w:rPr>
                <w:iCs/>
                <w:sz w:val="22"/>
                <w:szCs w:val="22"/>
              </w:rPr>
              <w:t xml:space="preserve">To, kas var sniegt parāda atgūšanas pakalpojumu, </w:t>
            </w:r>
            <w:r w:rsidR="00461E90" w:rsidRPr="006F6777">
              <w:rPr>
                <w:iCs/>
                <w:sz w:val="22"/>
                <w:szCs w:val="22"/>
              </w:rPr>
              <w:t>nosaka</w:t>
            </w:r>
            <w:r w:rsidR="00056FB2" w:rsidRPr="006F6777">
              <w:rPr>
                <w:iCs/>
                <w:sz w:val="22"/>
                <w:szCs w:val="22"/>
              </w:rPr>
              <w:t xml:space="preserve"> likums – tā ir persona, kura </w:t>
            </w:r>
            <w:r w:rsidR="00F91F84" w:rsidRPr="006F6777">
              <w:rPr>
                <w:iCs/>
                <w:sz w:val="22"/>
                <w:szCs w:val="22"/>
              </w:rPr>
              <w:t xml:space="preserve">savas komercdarbības vai profesionālās darbības ietvaros atgūst parādu kreditora vārdā vai uzdevumā. Tā var būt fiziska persona, kas reģistrējusi saimniecisko darbību un veic parādu atgūšanu profesionālās darbības ietvaros, vai komersants, kas komercdarbības ietvaros sniedz </w:t>
            </w:r>
            <w:r w:rsidR="00056FB2" w:rsidRPr="006F6777">
              <w:rPr>
                <w:iCs/>
                <w:sz w:val="22"/>
                <w:szCs w:val="22"/>
              </w:rPr>
              <w:t xml:space="preserve">pakalpojumu (kapitālsabiedrība, personālsabiedrība, individuālais komersants). </w:t>
            </w:r>
          </w:p>
          <w:p w:rsidR="007A2FD2" w:rsidRPr="006F6777" w:rsidRDefault="007A2FD2" w:rsidP="00056FB2">
            <w:pPr>
              <w:pStyle w:val="naiskr"/>
              <w:spacing w:before="0" w:after="0"/>
              <w:ind w:firstLine="243"/>
              <w:jc w:val="both"/>
              <w:rPr>
                <w:iCs/>
                <w:sz w:val="22"/>
                <w:szCs w:val="22"/>
              </w:rPr>
            </w:pPr>
            <w:r w:rsidRPr="006F6777">
              <w:rPr>
                <w:iCs/>
                <w:sz w:val="22"/>
                <w:szCs w:val="22"/>
              </w:rPr>
              <w:t>Parāda atgūšanas pakalpojuma sniedzējam ir jāatbilst vairākām prasībām, lai tas varētu saņemt speciālo atļauju (licenci) pakalpojuma sniegšanai. Prasības atspoguļotas Noteikumu projekta 9.</w:t>
            </w:r>
            <w:r w:rsidR="006C564E" w:rsidRPr="006F6777">
              <w:rPr>
                <w:iCs/>
                <w:sz w:val="22"/>
                <w:szCs w:val="22"/>
              </w:rPr>
              <w:t xml:space="preserve"> </w:t>
            </w:r>
            <w:r w:rsidRPr="006F6777">
              <w:rPr>
                <w:iCs/>
                <w:sz w:val="22"/>
                <w:szCs w:val="22"/>
              </w:rPr>
              <w:t xml:space="preserve">punktā. Lai pakalpojuma sniedzējs varētu saņemt licenci, noteiktas šādas prasības: </w:t>
            </w:r>
          </w:p>
          <w:p w:rsidR="007A2FD2" w:rsidRPr="006F6777" w:rsidRDefault="007A2FD2" w:rsidP="007A2FD2">
            <w:pPr>
              <w:pStyle w:val="naiskr"/>
              <w:spacing w:before="0" w:after="0"/>
              <w:jc w:val="both"/>
              <w:rPr>
                <w:iCs/>
                <w:sz w:val="22"/>
                <w:szCs w:val="22"/>
              </w:rPr>
            </w:pPr>
            <w:r w:rsidRPr="006F6777">
              <w:rPr>
                <w:iCs/>
                <w:sz w:val="22"/>
                <w:szCs w:val="22"/>
              </w:rPr>
              <w:t xml:space="preserve">- parāda atgūšanas pakalpojuma sniedzējs ir komersants vai </w:t>
            </w:r>
            <w:r w:rsidR="006C564E" w:rsidRPr="006F6777">
              <w:rPr>
                <w:iCs/>
                <w:sz w:val="22"/>
                <w:szCs w:val="22"/>
              </w:rPr>
              <w:t xml:space="preserve">fiziska persona - </w:t>
            </w:r>
            <w:r w:rsidRPr="006F6777">
              <w:rPr>
                <w:iCs/>
                <w:sz w:val="22"/>
                <w:szCs w:val="22"/>
              </w:rPr>
              <w:t>saimnieciskās darbības veicējs, kas profesionālās darbības ietvaros sniedz parādu atgūšanas pakalpojumu;</w:t>
            </w:r>
          </w:p>
          <w:p w:rsidR="007A2FD2" w:rsidRPr="006F6777" w:rsidRDefault="007A2FD2" w:rsidP="007A2FD2">
            <w:pPr>
              <w:pStyle w:val="naiskr"/>
              <w:spacing w:before="0" w:after="0"/>
              <w:jc w:val="both"/>
              <w:rPr>
                <w:iCs/>
                <w:sz w:val="22"/>
                <w:szCs w:val="22"/>
              </w:rPr>
            </w:pPr>
            <w:r w:rsidRPr="006F6777">
              <w:rPr>
                <w:iCs/>
                <w:sz w:val="22"/>
                <w:szCs w:val="22"/>
              </w:rPr>
              <w:t xml:space="preserve">- parāda atgūšanas pakalpojuma sniedzējam ir reģistrēta personas datu apstrāde vai personas datu </w:t>
            </w:r>
            <w:r w:rsidRPr="006F6777">
              <w:rPr>
                <w:iCs/>
                <w:sz w:val="22"/>
                <w:szCs w:val="22"/>
              </w:rPr>
              <w:lastRenderedPageBreak/>
              <w:t>aizsardzības speciālists saskaņā ar normatīvajiem aktiem par fizisko personu datu aizsardzību;</w:t>
            </w:r>
          </w:p>
          <w:p w:rsidR="007A2FD2" w:rsidRPr="006F6777" w:rsidRDefault="007A2FD2" w:rsidP="007A2FD2">
            <w:pPr>
              <w:pStyle w:val="naiskr"/>
              <w:spacing w:before="0" w:after="0"/>
              <w:jc w:val="both"/>
              <w:rPr>
                <w:iCs/>
                <w:sz w:val="22"/>
                <w:szCs w:val="22"/>
              </w:rPr>
            </w:pPr>
            <w:r w:rsidRPr="006F6777">
              <w:rPr>
                <w:iCs/>
                <w:sz w:val="22"/>
                <w:szCs w:val="22"/>
              </w:rPr>
              <w:t>- parāda atgūšanas pakalpojumu sniedzējs ir izstrādājis parāda atgūšanas pakalpojuma sniegšanas iekšējo kārtību, kas nosaka parāda atgūšanas kārtību, parāda atgūšanas izmaksas un saskarsmi ar parādniekiem;</w:t>
            </w:r>
          </w:p>
          <w:p w:rsidR="007A2FD2" w:rsidRPr="006F6777" w:rsidRDefault="007A2FD2" w:rsidP="007A2FD2">
            <w:pPr>
              <w:pStyle w:val="naiskr"/>
              <w:spacing w:before="0" w:after="0"/>
              <w:jc w:val="both"/>
              <w:rPr>
                <w:iCs/>
                <w:sz w:val="22"/>
                <w:szCs w:val="22"/>
              </w:rPr>
            </w:pPr>
            <w:r w:rsidRPr="006F6777">
              <w:rPr>
                <w:iCs/>
                <w:sz w:val="22"/>
                <w:szCs w:val="22"/>
              </w:rPr>
              <w:t xml:space="preserve">- parāda atgūšanas pakalpojuma sniedzējs ir izstrādājis patērētāju sūdzību izskatīšanas kārtību, lai saprātīgā termiņā nodrošinātu saņemto sūdzību izskatīšanu un atbilžu sniegšanu. </w:t>
            </w:r>
          </w:p>
          <w:p w:rsidR="007A2FD2" w:rsidRPr="006F6777" w:rsidRDefault="00C66130" w:rsidP="007E51E1">
            <w:pPr>
              <w:pStyle w:val="naiskr"/>
              <w:spacing w:before="0" w:after="0"/>
              <w:ind w:firstLine="243"/>
              <w:jc w:val="both"/>
              <w:rPr>
                <w:iCs/>
                <w:sz w:val="22"/>
                <w:szCs w:val="22"/>
              </w:rPr>
            </w:pPr>
            <w:r w:rsidRPr="006F6777">
              <w:rPr>
                <w:iCs/>
                <w:sz w:val="22"/>
                <w:szCs w:val="22"/>
              </w:rPr>
              <w:t>Lai nodrošinātu patērētāju tiesību aizsardzību un pasargātu patērētāju no negodprātīgiem parādu atgūšanas pakalpojuma sniedzējiem, noteiktas prasības</w:t>
            </w:r>
            <w:r w:rsidR="00C5739E" w:rsidRPr="006F6777">
              <w:rPr>
                <w:iCs/>
                <w:sz w:val="22"/>
                <w:szCs w:val="22"/>
              </w:rPr>
              <w:t xml:space="preserve">, kas atspoguļotas Noteikumu projekta </w:t>
            </w:r>
            <w:r w:rsidR="006C564E" w:rsidRPr="006F6777">
              <w:rPr>
                <w:iCs/>
                <w:sz w:val="22"/>
                <w:szCs w:val="22"/>
              </w:rPr>
              <w:t xml:space="preserve">9.5., 9.6., 9.7.apakšpunktos. </w:t>
            </w:r>
          </w:p>
          <w:p w:rsidR="006C564E" w:rsidRPr="006F6777" w:rsidRDefault="006C564E" w:rsidP="007E51E1">
            <w:pPr>
              <w:pStyle w:val="naiskr"/>
              <w:spacing w:before="0" w:after="0"/>
              <w:ind w:firstLine="243"/>
              <w:jc w:val="both"/>
              <w:rPr>
                <w:iCs/>
                <w:sz w:val="22"/>
                <w:szCs w:val="22"/>
              </w:rPr>
            </w:pPr>
            <w:r w:rsidRPr="006F6777">
              <w:rPr>
                <w:iCs/>
                <w:sz w:val="22"/>
                <w:szCs w:val="22"/>
              </w:rPr>
              <w:t xml:space="preserve">Noteikumu projekta 9.7.punktā ietvertā prasība liedz parāda atgūšanas pakalpojuma sniedzējam saņemt licenci, ja tas vai tā valdes vai padomes locekļi vai pārstāvēttiesīgie biedri, ja pakalpojuma sniedzējs ir komersants, ir krimināli sodīti par tīša noziedzīga nodarījuma izdarīšanu, par ko paredzēta atbildība Krimināllikuma IX, </w:t>
            </w:r>
            <w:r w:rsidR="000403DF">
              <w:rPr>
                <w:iCs/>
                <w:sz w:val="22"/>
                <w:szCs w:val="22"/>
              </w:rPr>
              <w:t xml:space="preserve">X, </w:t>
            </w:r>
            <w:r w:rsidRPr="006F6777">
              <w:rPr>
                <w:iCs/>
                <w:sz w:val="22"/>
                <w:szCs w:val="22"/>
              </w:rPr>
              <w:t xml:space="preserve">XII, XIII, XIV, XV, XVI, XII, XVII, </w:t>
            </w:r>
            <w:r w:rsidR="000403DF">
              <w:rPr>
                <w:iCs/>
                <w:sz w:val="22"/>
                <w:szCs w:val="22"/>
              </w:rPr>
              <w:t xml:space="preserve">XIX </w:t>
            </w:r>
            <w:r w:rsidRPr="006F6777">
              <w:rPr>
                <w:iCs/>
                <w:sz w:val="22"/>
                <w:szCs w:val="22"/>
              </w:rPr>
              <w:t xml:space="preserve">vai XX nodaļā, izņemot gadījumu, ja sodāmība ir dzēsta. Šajās nodaļās ietvertie noziedzīgie nodarījumi attiecas uz </w:t>
            </w:r>
            <w:r w:rsidR="008F7C6C" w:rsidRPr="006F6777">
              <w:rPr>
                <w:iCs/>
                <w:sz w:val="22"/>
                <w:szCs w:val="22"/>
              </w:rPr>
              <w:t xml:space="preserve">personas </w:t>
            </w:r>
            <w:r w:rsidRPr="006F6777">
              <w:rPr>
                <w:iCs/>
                <w:sz w:val="22"/>
                <w:szCs w:val="22"/>
              </w:rPr>
              <w:t>dzīvību, veselību, īpašumu un</w:t>
            </w:r>
            <w:r w:rsidR="008F7C6C" w:rsidRPr="006F6777">
              <w:t xml:space="preserve"> </w:t>
            </w:r>
            <w:r w:rsidR="008F7C6C" w:rsidRPr="006F6777">
              <w:rPr>
                <w:iCs/>
                <w:sz w:val="22"/>
                <w:szCs w:val="22"/>
              </w:rPr>
              <w:t>vispārējo drošību un sabiedrisko kārtību, un</w:t>
            </w:r>
            <w:r w:rsidRPr="006F6777">
              <w:rPr>
                <w:iCs/>
                <w:sz w:val="22"/>
                <w:szCs w:val="22"/>
              </w:rPr>
              <w:t xml:space="preserve"> </w:t>
            </w:r>
            <w:r w:rsidR="008F7C6C" w:rsidRPr="006F6777">
              <w:rPr>
                <w:iCs/>
                <w:sz w:val="22"/>
                <w:szCs w:val="22"/>
              </w:rPr>
              <w:t xml:space="preserve">sodāmība par šādu noziegumu izdarīšanu </w:t>
            </w:r>
            <w:r w:rsidRPr="006F6777">
              <w:rPr>
                <w:iCs/>
                <w:sz w:val="22"/>
                <w:szCs w:val="22"/>
              </w:rPr>
              <w:t xml:space="preserve">var būt </w:t>
            </w:r>
            <w:r w:rsidR="008F7C6C" w:rsidRPr="006F6777">
              <w:rPr>
                <w:iCs/>
                <w:sz w:val="22"/>
                <w:szCs w:val="22"/>
              </w:rPr>
              <w:t xml:space="preserve">cieša </w:t>
            </w:r>
            <w:r w:rsidRPr="006F6777">
              <w:rPr>
                <w:iCs/>
                <w:sz w:val="22"/>
                <w:szCs w:val="22"/>
              </w:rPr>
              <w:t>saistī</w:t>
            </w:r>
            <w:r w:rsidR="008F7C6C" w:rsidRPr="006F6777">
              <w:rPr>
                <w:iCs/>
                <w:sz w:val="22"/>
                <w:szCs w:val="22"/>
              </w:rPr>
              <w:t>t</w:t>
            </w:r>
            <w:r w:rsidRPr="006F6777">
              <w:rPr>
                <w:iCs/>
                <w:sz w:val="22"/>
                <w:szCs w:val="22"/>
              </w:rPr>
              <w:t>a ar personas spēju veikt parādu atgūšanu saskaņā ar likum</w:t>
            </w:r>
            <w:r w:rsidR="008F7C6C" w:rsidRPr="006F6777">
              <w:rPr>
                <w:iCs/>
                <w:sz w:val="22"/>
                <w:szCs w:val="22"/>
              </w:rPr>
              <w:t xml:space="preserve">ā noteikto kārtību. </w:t>
            </w:r>
          </w:p>
          <w:p w:rsidR="000814FD" w:rsidRPr="006F6777" w:rsidRDefault="000814FD" w:rsidP="000814FD">
            <w:pPr>
              <w:pStyle w:val="naiskr"/>
              <w:spacing w:before="0" w:after="0"/>
              <w:ind w:firstLine="243"/>
              <w:jc w:val="both"/>
              <w:rPr>
                <w:iCs/>
                <w:sz w:val="22"/>
                <w:szCs w:val="22"/>
              </w:rPr>
            </w:pPr>
            <w:r w:rsidRPr="006F6777">
              <w:rPr>
                <w:iCs/>
                <w:sz w:val="22"/>
                <w:szCs w:val="22"/>
              </w:rPr>
              <w:t>Noteikumu projekta III</w:t>
            </w:r>
            <w:r w:rsidR="00C711F0" w:rsidRPr="006F6777">
              <w:rPr>
                <w:iCs/>
                <w:sz w:val="22"/>
                <w:szCs w:val="22"/>
              </w:rPr>
              <w:t>.</w:t>
            </w:r>
            <w:r w:rsidRPr="006F6777">
              <w:rPr>
                <w:iCs/>
                <w:sz w:val="22"/>
                <w:szCs w:val="22"/>
              </w:rPr>
              <w:t xml:space="preserve"> nodaļa nosaka licences izsniegšanas kārtību, nosakot kāda informācija parāda atgūšanas pakalpojuma sniedzējam jāsniedz PTAC licences saņemšanai, kā arī kādu informāciju par pakalpojuma sniedzēju PTAC iegūst pats. Nodaļā noteikti gadījumi, kad PTAC var atteikt licences izsniegšanu, kā arī licences dublikāta izsniegšanas un grozījumu veikšanas licencē norādītajā informācijā kārtība.</w:t>
            </w:r>
          </w:p>
          <w:p w:rsidR="00DE1E9B" w:rsidRPr="006F6777" w:rsidRDefault="000814FD" w:rsidP="00DE1E9B">
            <w:pPr>
              <w:pStyle w:val="naiskr"/>
              <w:spacing w:before="0" w:after="0"/>
              <w:ind w:firstLine="243"/>
              <w:jc w:val="both"/>
              <w:rPr>
                <w:iCs/>
                <w:sz w:val="22"/>
                <w:szCs w:val="22"/>
              </w:rPr>
            </w:pPr>
            <w:r w:rsidRPr="006F6777">
              <w:rPr>
                <w:iCs/>
                <w:sz w:val="22"/>
                <w:szCs w:val="22"/>
              </w:rPr>
              <w:t xml:space="preserve">Papildus minētajam, noteikumu projekts paredz, ka PTAC ir tiesības un parāda atgūšanas pakalpojuma sniedzējam ir pienākums sniegt PTAC informāciju par iepriekšējā kalendārā gadā sniegtajiem parāda atgūšanas pakalpojumiem. Šī informācija nepieciešama PTAC uzraudzības darbību un pasākumu plānošanai, lai nodrošinātu efektīvu piešķirto valsts budžeta līdzekļu izlietojumu un patērētāju kolektīvo interešu aizsardzību. Tāpat minētā informācija sniegs priekšstatu par </w:t>
            </w:r>
            <w:r w:rsidR="007924A2" w:rsidRPr="006F6777">
              <w:rPr>
                <w:iCs/>
                <w:sz w:val="22"/>
                <w:szCs w:val="22"/>
              </w:rPr>
              <w:t xml:space="preserve">parādu ārpustiesas atgūšanas pakalpojumu </w:t>
            </w:r>
            <w:r w:rsidRPr="006F6777">
              <w:rPr>
                <w:iCs/>
                <w:sz w:val="22"/>
                <w:szCs w:val="22"/>
              </w:rPr>
              <w:t>tirgus daļu Latvijā un tā specifiku.</w:t>
            </w:r>
          </w:p>
          <w:p w:rsidR="00DE1E9B" w:rsidRPr="006F6777" w:rsidRDefault="000814FD" w:rsidP="00327146">
            <w:pPr>
              <w:pStyle w:val="naiskr"/>
              <w:ind w:firstLine="243"/>
              <w:jc w:val="both"/>
              <w:rPr>
                <w:iCs/>
                <w:sz w:val="22"/>
                <w:szCs w:val="22"/>
              </w:rPr>
            </w:pPr>
            <w:r w:rsidRPr="006F6777">
              <w:rPr>
                <w:iCs/>
                <w:sz w:val="22"/>
                <w:szCs w:val="22"/>
              </w:rPr>
              <w:t>Noteikumu IV</w:t>
            </w:r>
            <w:r w:rsidR="00461E90" w:rsidRPr="006F6777">
              <w:rPr>
                <w:iCs/>
                <w:sz w:val="22"/>
                <w:szCs w:val="22"/>
              </w:rPr>
              <w:t>.</w:t>
            </w:r>
            <w:r w:rsidRPr="006F6777">
              <w:rPr>
                <w:iCs/>
                <w:sz w:val="22"/>
                <w:szCs w:val="22"/>
              </w:rPr>
              <w:t xml:space="preserve"> nodaļa nosaka licences pārreģistrācijas kārtību un iesniedzamos dokumentus, kā arī gadījumus, kad PTAC ir tiesīgs atteikt licences pārreģistrāciju.</w:t>
            </w:r>
            <w:r w:rsidR="00C065FE" w:rsidRPr="006F6777">
              <w:rPr>
                <w:iCs/>
                <w:sz w:val="22"/>
                <w:szCs w:val="22"/>
              </w:rPr>
              <w:t xml:space="preserve"> </w:t>
            </w:r>
            <w:r w:rsidR="00327146" w:rsidRPr="006F6777">
              <w:rPr>
                <w:iCs/>
                <w:sz w:val="22"/>
                <w:szCs w:val="22"/>
              </w:rPr>
              <w:t xml:space="preserve">Iesniedzot pārreģistrācijas iesniegumu, pakalpojuma sniedzējam ir pienākums iesniegt ziņas, kuras nav PTAC rīcībā. </w:t>
            </w:r>
            <w:r w:rsidR="00C065FE" w:rsidRPr="006F6777">
              <w:rPr>
                <w:iCs/>
                <w:sz w:val="22"/>
                <w:szCs w:val="22"/>
              </w:rPr>
              <w:t xml:space="preserve">Ja parāda atgūšanas pakalpojuma sniedzējs, kurš saņēmis speciālo atļauju (licenci), vēlas pagarināt tās derīguma termiņu (pārreģistrēt speciālo atļauju (licenci)), tas ne agrāk kā </w:t>
            </w:r>
            <w:r w:rsidR="00C065FE" w:rsidRPr="006F6777">
              <w:rPr>
                <w:iCs/>
                <w:sz w:val="22"/>
                <w:szCs w:val="22"/>
              </w:rPr>
              <w:lastRenderedPageBreak/>
              <w:t>četrus mēnešus, bet ne vēlāk kā divus mēnešus iesniedz nepieciešamos dokumentus. Šāds termiņš paredzēts tādēļ, lai nodrošinātu to, ka PTAC tiek dots saprātīgs laiks izvērtēt iesniegumu un dokumentus, kā arī, ja nepieciešams, sniegt norādījumus pakalpojuma sniedzējam</w:t>
            </w:r>
            <w:r w:rsidR="00466849" w:rsidRPr="006F6777">
              <w:rPr>
                <w:iCs/>
                <w:sz w:val="22"/>
                <w:szCs w:val="22"/>
              </w:rPr>
              <w:t xml:space="preserve"> tā atbilstībai noteikumu prasībām</w:t>
            </w:r>
            <w:r w:rsidR="00C065FE" w:rsidRPr="006F6777">
              <w:rPr>
                <w:iCs/>
                <w:sz w:val="22"/>
                <w:szCs w:val="22"/>
              </w:rPr>
              <w:t xml:space="preserve">, lai tā licence tiktu pārreģistrēta. </w:t>
            </w:r>
          </w:p>
          <w:p w:rsidR="006A59F8" w:rsidRPr="006F6777" w:rsidRDefault="000814FD" w:rsidP="001F43A5">
            <w:pPr>
              <w:pStyle w:val="naiskr"/>
              <w:ind w:firstLine="243"/>
              <w:jc w:val="both"/>
              <w:rPr>
                <w:iCs/>
                <w:sz w:val="22"/>
                <w:szCs w:val="22"/>
              </w:rPr>
            </w:pPr>
            <w:r w:rsidRPr="006F6777">
              <w:rPr>
                <w:iCs/>
                <w:sz w:val="22"/>
                <w:szCs w:val="22"/>
              </w:rPr>
              <w:t>Noteikumu V</w:t>
            </w:r>
            <w:r w:rsidR="00C711F0" w:rsidRPr="006F6777">
              <w:rPr>
                <w:iCs/>
                <w:sz w:val="22"/>
                <w:szCs w:val="22"/>
              </w:rPr>
              <w:t>.</w:t>
            </w:r>
            <w:r w:rsidRPr="006F6777">
              <w:rPr>
                <w:iCs/>
                <w:sz w:val="22"/>
                <w:szCs w:val="22"/>
              </w:rPr>
              <w:t xml:space="preserve"> nodaļa nosaka licences darbības apturēšanas un anulēšanas kārtību. </w:t>
            </w:r>
            <w:r w:rsidR="004F611E">
              <w:rPr>
                <w:iCs/>
                <w:sz w:val="22"/>
                <w:szCs w:val="22"/>
              </w:rPr>
              <w:t xml:space="preserve">Licences apturēšanas pamati vērsti uz pārkāpumiem, kurus iespējams novērst vai kuru sekas ir novēršamas, savukārt anulēšanas pamati vērsti uz būtiskiem pārkāpumiem, kuru sekas nav iespējams novērst. </w:t>
            </w:r>
          </w:p>
          <w:p w:rsidR="00DD208A" w:rsidRPr="006F6777" w:rsidRDefault="000814FD" w:rsidP="008C1B5B">
            <w:pPr>
              <w:pStyle w:val="naiskr"/>
              <w:ind w:firstLine="243"/>
              <w:jc w:val="both"/>
              <w:rPr>
                <w:iCs/>
                <w:sz w:val="22"/>
                <w:szCs w:val="22"/>
              </w:rPr>
            </w:pPr>
            <w:r w:rsidRPr="006F6777">
              <w:rPr>
                <w:iCs/>
                <w:sz w:val="22"/>
                <w:szCs w:val="22"/>
              </w:rPr>
              <w:t>Noteikumu VI</w:t>
            </w:r>
            <w:r w:rsidR="00C711F0" w:rsidRPr="006F6777">
              <w:rPr>
                <w:iCs/>
                <w:sz w:val="22"/>
                <w:szCs w:val="22"/>
              </w:rPr>
              <w:t>.</w:t>
            </w:r>
            <w:r w:rsidRPr="006F6777">
              <w:rPr>
                <w:iCs/>
                <w:sz w:val="22"/>
                <w:szCs w:val="22"/>
              </w:rPr>
              <w:t xml:space="preserve"> nodaļa paredz valsts nodevu par licences izsniegšanu un pārreģistrāciju a</w:t>
            </w:r>
            <w:r w:rsidR="008C1B5B" w:rsidRPr="006F6777">
              <w:rPr>
                <w:iCs/>
                <w:sz w:val="22"/>
                <w:szCs w:val="22"/>
              </w:rPr>
              <w:t xml:space="preserve">pmēru un to maksāšanas kārtību. </w:t>
            </w:r>
            <w:r w:rsidRPr="006F6777">
              <w:rPr>
                <w:iCs/>
                <w:sz w:val="22"/>
                <w:szCs w:val="22"/>
              </w:rPr>
              <w:t xml:space="preserve">Nodevu apmērs </w:t>
            </w:r>
            <w:r w:rsidR="00456797" w:rsidRPr="006F6777">
              <w:rPr>
                <w:iCs/>
                <w:sz w:val="22"/>
                <w:szCs w:val="22"/>
              </w:rPr>
              <w:t xml:space="preserve">noteikts </w:t>
            </w:r>
            <w:r w:rsidR="006A59F8" w:rsidRPr="006F6777">
              <w:rPr>
                <w:iCs/>
                <w:sz w:val="22"/>
                <w:szCs w:val="22"/>
              </w:rPr>
              <w:t xml:space="preserve">2500 </w:t>
            </w:r>
            <w:r w:rsidRPr="006F6777">
              <w:rPr>
                <w:iCs/>
                <w:sz w:val="22"/>
                <w:szCs w:val="22"/>
              </w:rPr>
              <w:t>Ls</w:t>
            </w:r>
            <w:r w:rsidR="006A59F8" w:rsidRPr="006F6777">
              <w:rPr>
                <w:iCs/>
                <w:sz w:val="22"/>
                <w:szCs w:val="22"/>
              </w:rPr>
              <w:t xml:space="preserve"> par licences izsniegšanu un 1</w:t>
            </w:r>
            <w:r w:rsidRPr="006F6777">
              <w:rPr>
                <w:iCs/>
                <w:sz w:val="22"/>
                <w:szCs w:val="22"/>
              </w:rPr>
              <w:t>000 Ls par licences pārreģistrāciju</w:t>
            </w:r>
            <w:r w:rsidR="00456797" w:rsidRPr="006F6777">
              <w:rPr>
                <w:iCs/>
                <w:sz w:val="22"/>
                <w:szCs w:val="22"/>
              </w:rPr>
              <w:t>.</w:t>
            </w:r>
            <w:r w:rsidR="007A71C6" w:rsidRPr="006F6777">
              <w:rPr>
                <w:iCs/>
                <w:sz w:val="22"/>
                <w:szCs w:val="22"/>
              </w:rPr>
              <w:t xml:space="preserve"> </w:t>
            </w:r>
            <w:r w:rsidR="009D0605" w:rsidRPr="006F6777">
              <w:rPr>
                <w:bCs/>
                <w:i/>
                <w:sz w:val="22"/>
                <w:szCs w:val="22"/>
              </w:rPr>
              <w:t xml:space="preserve"> </w:t>
            </w:r>
            <w:r w:rsidR="009D0605" w:rsidRPr="006F6777">
              <w:rPr>
                <w:bCs/>
                <w:sz w:val="22"/>
                <w:szCs w:val="22"/>
              </w:rPr>
              <w:t xml:space="preserve">Valsts nodevas apmērs tika noteikts un saskaņots likumprojekta „Parādu atgūšanas likums” saskaņošanas laikā, </w:t>
            </w:r>
            <w:r w:rsidR="007A71C6" w:rsidRPr="006F6777">
              <w:rPr>
                <w:iCs/>
                <w:sz w:val="22"/>
                <w:szCs w:val="22"/>
              </w:rPr>
              <w:t>ievērojot samērīguma principu</w:t>
            </w:r>
            <w:r w:rsidR="009D0605" w:rsidRPr="006F6777">
              <w:rPr>
                <w:iCs/>
                <w:sz w:val="22"/>
                <w:szCs w:val="22"/>
              </w:rPr>
              <w:t xml:space="preserve"> un</w:t>
            </w:r>
            <w:r w:rsidR="007A71C6" w:rsidRPr="006F6777">
              <w:rPr>
                <w:iCs/>
                <w:sz w:val="22"/>
                <w:szCs w:val="22"/>
              </w:rPr>
              <w:t xml:space="preserve"> ņemot vērā administratīvās izmaksas, kas izriet no likumā noteiktā d</w:t>
            </w:r>
            <w:r w:rsidR="00AB3A44" w:rsidRPr="006F6777">
              <w:rPr>
                <w:iCs/>
                <w:sz w:val="22"/>
                <w:szCs w:val="22"/>
              </w:rPr>
              <w:t>eleģējuma PTAC veikt uzraudzību</w:t>
            </w:r>
            <w:r w:rsidR="00647DC9" w:rsidRPr="006F6777">
              <w:rPr>
                <w:iCs/>
                <w:sz w:val="22"/>
                <w:szCs w:val="22"/>
              </w:rPr>
              <w:t>.</w:t>
            </w:r>
            <w:r w:rsidR="007A71C6" w:rsidRPr="006F6777">
              <w:rPr>
                <w:iCs/>
                <w:sz w:val="22"/>
                <w:szCs w:val="22"/>
              </w:rPr>
              <w:t xml:space="preserve"> </w:t>
            </w:r>
          </w:p>
        </w:tc>
      </w:tr>
      <w:tr w:rsidR="00262E2B" w:rsidRPr="006F6777">
        <w:trPr>
          <w:trHeight w:val="476"/>
        </w:trPr>
        <w:tc>
          <w:tcPr>
            <w:tcW w:w="550" w:type="dxa"/>
          </w:tcPr>
          <w:p w:rsidR="00262E2B" w:rsidRPr="006F6777" w:rsidRDefault="00262E2B" w:rsidP="006C4607">
            <w:pPr>
              <w:pStyle w:val="naiskr"/>
              <w:spacing w:before="0" w:after="0"/>
              <w:rPr>
                <w:sz w:val="22"/>
                <w:szCs w:val="22"/>
              </w:rPr>
            </w:pPr>
            <w:r w:rsidRPr="006F6777">
              <w:rPr>
                <w:sz w:val="22"/>
                <w:szCs w:val="22"/>
              </w:rPr>
              <w:lastRenderedPageBreak/>
              <w:t>5.</w:t>
            </w:r>
          </w:p>
        </w:tc>
        <w:tc>
          <w:tcPr>
            <w:tcW w:w="4315" w:type="dxa"/>
          </w:tcPr>
          <w:p w:rsidR="00262E2B" w:rsidRPr="006F6777" w:rsidRDefault="001A4066" w:rsidP="006C4607">
            <w:pPr>
              <w:pStyle w:val="naiskr"/>
              <w:spacing w:before="0" w:after="0"/>
              <w:rPr>
                <w:sz w:val="22"/>
                <w:szCs w:val="22"/>
              </w:rPr>
            </w:pPr>
            <w:r w:rsidRPr="006F6777">
              <w:rPr>
                <w:sz w:val="22"/>
                <w:szCs w:val="22"/>
              </w:rPr>
              <w:t>Projekta i</w:t>
            </w:r>
            <w:r w:rsidR="00262E2B" w:rsidRPr="006F6777">
              <w:rPr>
                <w:sz w:val="22"/>
                <w:szCs w:val="22"/>
              </w:rPr>
              <w:t>zstrād</w:t>
            </w:r>
            <w:r w:rsidR="00420870" w:rsidRPr="006F6777">
              <w:rPr>
                <w:sz w:val="22"/>
                <w:szCs w:val="22"/>
              </w:rPr>
              <w:t xml:space="preserve">ē </w:t>
            </w:r>
            <w:r w:rsidR="00262E2B" w:rsidRPr="006F6777">
              <w:rPr>
                <w:sz w:val="22"/>
                <w:szCs w:val="22"/>
              </w:rPr>
              <w:t>iesaistītās institūcijas</w:t>
            </w:r>
          </w:p>
        </w:tc>
        <w:tc>
          <w:tcPr>
            <w:tcW w:w="4860" w:type="dxa"/>
          </w:tcPr>
          <w:p w:rsidR="00262E2B" w:rsidRPr="006F6777" w:rsidRDefault="004C0250" w:rsidP="004C0250">
            <w:pPr>
              <w:pStyle w:val="naiskr"/>
              <w:spacing w:before="0" w:after="0"/>
              <w:rPr>
                <w:sz w:val="22"/>
                <w:szCs w:val="22"/>
              </w:rPr>
            </w:pPr>
            <w:r w:rsidRPr="006F6777">
              <w:rPr>
                <w:iCs/>
                <w:sz w:val="22"/>
                <w:szCs w:val="22"/>
              </w:rPr>
              <w:t>Patērētāju tiesību aizsardzības centrs un Latvijas Ārpustiesas parādu piedzinēju asociācija.</w:t>
            </w:r>
            <w:r w:rsidR="0001070A" w:rsidRPr="006F6777">
              <w:rPr>
                <w:iCs/>
                <w:sz w:val="22"/>
                <w:szCs w:val="22"/>
              </w:rPr>
              <w:t xml:space="preserve"> </w:t>
            </w:r>
          </w:p>
        </w:tc>
      </w:tr>
      <w:tr w:rsidR="00262E2B" w:rsidRPr="006F6777" w:rsidTr="00865289">
        <w:trPr>
          <w:trHeight w:val="566"/>
        </w:trPr>
        <w:tc>
          <w:tcPr>
            <w:tcW w:w="550" w:type="dxa"/>
          </w:tcPr>
          <w:p w:rsidR="00262E2B" w:rsidRPr="006F6777" w:rsidRDefault="00262E2B" w:rsidP="006C4607">
            <w:pPr>
              <w:pStyle w:val="naiskr"/>
              <w:spacing w:before="0" w:after="0"/>
              <w:rPr>
                <w:sz w:val="22"/>
                <w:szCs w:val="22"/>
              </w:rPr>
            </w:pPr>
            <w:r w:rsidRPr="006F6777">
              <w:rPr>
                <w:sz w:val="22"/>
                <w:szCs w:val="22"/>
              </w:rPr>
              <w:t>6.</w:t>
            </w:r>
          </w:p>
        </w:tc>
        <w:tc>
          <w:tcPr>
            <w:tcW w:w="4315" w:type="dxa"/>
          </w:tcPr>
          <w:p w:rsidR="00262E2B" w:rsidRPr="006F6777" w:rsidRDefault="00BB7C94" w:rsidP="006C4607">
            <w:pPr>
              <w:pStyle w:val="naiskr"/>
              <w:spacing w:before="0" w:after="0"/>
              <w:rPr>
                <w:i/>
                <w:sz w:val="22"/>
                <w:szCs w:val="22"/>
              </w:rPr>
            </w:pPr>
            <w:r w:rsidRPr="006F6777">
              <w:rPr>
                <w:sz w:val="22"/>
                <w:szCs w:val="22"/>
              </w:rPr>
              <w:t xml:space="preserve">Iemesli, kādēļ netika nodrošināta </w:t>
            </w:r>
            <w:r w:rsidR="00262E2B" w:rsidRPr="006F6777">
              <w:rPr>
                <w:sz w:val="22"/>
                <w:szCs w:val="22"/>
              </w:rPr>
              <w:t xml:space="preserve">sabiedrības </w:t>
            </w:r>
            <w:r w:rsidRPr="006F6777">
              <w:rPr>
                <w:sz w:val="22"/>
                <w:szCs w:val="22"/>
              </w:rPr>
              <w:t>līdzdalība</w:t>
            </w:r>
          </w:p>
        </w:tc>
        <w:tc>
          <w:tcPr>
            <w:tcW w:w="4860" w:type="dxa"/>
          </w:tcPr>
          <w:p w:rsidR="00D20FF4" w:rsidRPr="006F6777" w:rsidRDefault="004C0250" w:rsidP="006C4607">
            <w:pPr>
              <w:pStyle w:val="FootnoteText"/>
              <w:rPr>
                <w:sz w:val="22"/>
                <w:szCs w:val="22"/>
              </w:rPr>
            </w:pPr>
            <w:r w:rsidRPr="006F6777">
              <w:rPr>
                <w:iCs/>
                <w:sz w:val="22"/>
                <w:szCs w:val="22"/>
              </w:rPr>
              <w:t>Projekts šo jomu neskar</w:t>
            </w:r>
          </w:p>
        </w:tc>
      </w:tr>
      <w:tr w:rsidR="00262E2B" w:rsidRPr="006F6777">
        <w:tc>
          <w:tcPr>
            <w:tcW w:w="550" w:type="dxa"/>
          </w:tcPr>
          <w:p w:rsidR="00262E2B" w:rsidRPr="006F6777" w:rsidRDefault="00262E2B" w:rsidP="006C4607">
            <w:pPr>
              <w:pStyle w:val="naiskr"/>
              <w:spacing w:before="0" w:after="0"/>
              <w:rPr>
                <w:sz w:val="22"/>
                <w:szCs w:val="22"/>
              </w:rPr>
            </w:pPr>
            <w:r w:rsidRPr="006F6777">
              <w:rPr>
                <w:sz w:val="22"/>
                <w:szCs w:val="22"/>
              </w:rPr>
              <w:t>7.</w:t>
            </w:r>
          </w:p>
        </w:tc>
        <w:tc>
          <w:tcPr>
            <w:tcW w:w="4315" w:type="dxa"/>
          </w:tcPr>
          <w:p w:rsidR="00262E2B" w:rsidRPr="006F6777" w:rsidRDefault="00262E2B" w:rsidP="006C4607">
            <w:pPr>
              <w:pStyle w:val="naiskr"/>
              <w:spacing w:before="0" w:after="0"/>
              <w:rPr>
                <w:sz w:val="22"/>
                <w:szCs w:val="22"/>
              </w:rPr>
            </w:pPr>
            <w:r w:rsidRPr="006F6777">
              <w:rPr>
                <w:sz w:val="22"/>
                <w:szCs w:val="22"/>
              </w:rPr>
              <w:t>Cita informācija</w:t>
            </w:r>
          </w:p>
        </w:tc>
        <w:tc>
          <w:tcPr>
            <w:tcW w:w="4860" w:type="dxa"/>
          </w:tcPr>
          <w:p w:rsidR="00262E2B" w:rsidRPr="006F6777" w:rsidRDefault="0001070A" w:rsidP="004C0250">
            <w:pPr>
              <w:pStyle w:val="naiskr"/>
              <w:spacing w:before="0" w:after="0"/>
              <w:rPr>
                <w:sz w:val="22"/>
                <w:szCs w:val="22"/>
              </w:rPr>
            </w:pPr>
            <w:r w:rsidRPr="006F6777">
              <w:rPr>
                <w:iCs/>
                <w:sz w:val="22"/>
                <w:szCs w:val="22"/>
              </w:rPr>
              <w:t xml:space="preserve">Nav </w:t>
            </w:r>
          </w:p>
        </w:tc>
      </w:tr>
    </w:tbl>
    <w:p w:rsidR="00852042" w:rsidRPr="006F6777" w:rsidRDefault="00852042" w:rsidP="006C4607">
      <w:pPr>
        <w:pStyle w:val="naisf"/>
        <w:spacing w:before="0" w:after="0"/>
        <w:rPr>
          <w:sz w:val="22"/>
          <w:szCs w:val="22"/>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395"/>
        <w:gridCol w:w="4791"/>
      </w:tblGrid>
      <w:tr w:rsidR="0062298A" w:rsidRPr="006F6777" w:rsidTr="008F635F">
        <w:tc>
          <w:tcPr>
            <w:tcW w:w="9758" w:type="dxa"/>
            <w:gridSpan w:val="3"/>
            <w:vAlign w:val="center"/>
          </w:tcPr>
          <w:p w:rsidR="0062298A" w:rsidRPr="00FF4956" w:rsidRDefault="0062298A" w:rsidP="006C4607">
            <w:pPr>
              <w:pStyle w:val="naisnod"/>
              <w:spacing w:before="0" w:after="0"/>
              <w:rPr>
                <w:sz w:val="22"/>
                <w:szCs w:val="22"/>
              </w:rPr>
            </w:pPr>
            <w:r w:rsidRPr="00FF4956">
              <w:rPr>
                <w:sz w:val="22"/>
                <w:szCs w:val="22"/>
              </w:rPr>
              <w:t>II</w:t>
            </w:r>
            <w:r w:rsidR="000941C5" w:rsidRPr="00FF4956">
              <w:rPr>
                <w:sz w:val="22"/>
                <w:szCs w:val="22"/>
              </w:rPr>
              <w:t>.</w:t>
            </w:r>
            <w:r w:rsidRPr="00FF4956">
              <w:rPr>
                <w:sz w:val="22"/>
                <w:szCs w:val="22"/>
              </w:rPr>
              <w:t xml:space="preserve"> Tiesību akta projekta ietekme uz sabiedrību</w:t>
            </w:r>
          </w:p>
        </w:tc>
      </w:tr>
      <w:tr w:rsidR="0062298A" w:rsidRPr="006F6777" w:rsidTr="008F635F">
        <w:trPr>
          <w:trHeight w:val="467"/>
        </w:trPr>
        <w:tc>
          <w:tcPr>
            <w:tcW w:w="572" w:type="dxa"/>
          </w:tcPr>
          <w:p w:rsidR="0062298A" w:rsidRPr="006F6777" w:rsidRDefault="0062298A" w:rsidP="006C4607">
            <w:pPr>
              <w:pStyle w:val="naiskr"/>
              <w:spacing w:before="0" w:after="0"/>
              <w:rPr>
                <w:sz w:val="22"/>
                <w:szCs w:val="22"/>
              </w:rPr>
            </w:pPr>
            <w:r w:rsidRPr="006F6777">
              <w:rPr>
                <w:sz w:val="22"/>
                <w:szCs w:val="22"/>
              </w:rPr>
              <w:t>1.</w:t>
            </w:r>
          </w:p>
        </w:tc>
        <w:tc>
          <w:tcPr>
            <w:tcW w:w="4395" w:type="dxa"/>
          </w:tcPr>
          <w:p w:rsidR="0062298A" w:rsidRPr="006F6777" w:rsidRDefault="00C27A08" w:rsidP="006C4607">
            <w:pPr>
              <w:pStyle w:val="naiskr"/>
              <w:spacing w:before="0" w:after="0"/>
              <w:rPr>
                <w:sz w:val="22"/>
                <w:szCs w:val="22"/>
              </w:rPr>
            </w:pPr>
            <w:r w:rsidRPr="006F6777">
              <w:rPr>
                <w:sz w:val="22"/>
                <w:szCs w:val="22"/>
              </w:rPr>
              <w:t>Sabiedrības mērķgrupa</w:t>
            </w:r>
          </w:p>
        </w:tc>
        <w:tc>
          <w:tcPr>
            <w:tcW w:w="4791" w:type="dxa"/>
          </w:tcPr>
          <w:p w:rsidR="0062298A" w:rsidRPr="006F6777" w:rsidRDefault="004C0250" w:rsidP="004C0250">
            <w:pPr>
              <w:pStyle w:val="naiskr"/>
              <w:spacing w:before="0" w:after="0"/>
              <w:ind w:firstLine="283"/>
              <w:jc w:val="both"/>
              <w:rPr>
                <w:sz w:val="22"/>
                <w:szCs w:val="22"/>
              </w:rPr>
            </w:pPr>
            <w:r w:rsidRPr="006F6777">
              <w:rPr>
                <w:sz w:val="22"/>
                <w:szCs w:val="22"/>
              </w:rPr>
              <w:t>P</w:t>
            </w:r>
            <w:r w:rsidR="0001070A" w:rsidRPr="006F6777">
              <w:rPr>
                <w:sz w:val="22"/>
                <w:szCs w:val="22"/>
              </w:rPr>
              <w:t xml:space="preserve">arāda </w:t>
            </w:r>
            <w:r w:rsidRPr="006F6777">
              <w:rPr>
                <w:sz w:val="22"/>
                <w:szCs w:val="22"/>
              </w:rPr>
              <w:t xml:space="preserve">atgūšanas </w:t>
            </w:r>
            <w:r w:rsidR="0001070A" w:rsidRPr="006F6777">
              <w:rPr>
                <w:sz w:val="22"/>
                <w:szCs w:val="22"/>
              </w:rPr>
              <w:t xml:space="preserve">pakalpojuma sniedzēji, kas veic ārpustiesas parāda </w:t>
            </w:r>
            <w:r w:rsidRPr="006F6777">
              <w:rPr>
                <w:sz w:val="22"/>
                <w:szCs w:val="22"/>
              </w:rPr>
              <w:t>atgūšanu</w:t>
            </w:r>
            <w:r w:rsidR="0001070A" w:rsidRPr="006F6777">
              <w:rPr>
                <w:sz w:val="22"/>
                <w:szCs w:val="22"/>
              </w:rPr>
              <w:t>.</w:t>
            </w:r>
          </w:p>
        </w:tc>
      </w:tr>
      <w:tr w:rsidR="0062298A" w:rsidRPr="006F6777" w:rsidTr="008F635F">
        <w:trPr>
          <w:trHeight w:val="523"/>
        </w:trPr>
        <w:tc>
          <w:tcPr>
            <w:tcW w:w="572" w:type="dxa"/>
          </w:tcPr>
          <w:p w:rsidR="0062298A" w:rsidRPr="006F6777" w:rsidRDefault="0062298A" w:rsidP="006C4607">
            <w:pPr>
              <w:pStyle w:val="naiskr"/>
              <w:spacing w:before="0" w:after="0"/>
              <w:rPr>
                <w:sz w:val="22"/>
                <w:szCs w:val="22"/>
              </w:rPr>
            </w:pPr>
            <w:r w:rsidRPr="006F6777">
              <w:rPr>
                <w:sz w:val="22"/>
                <w:szCs w:val="22"/>
              </w:rPr>
              <w:t>2.</w:t>
            </w:r>
          </w:p>
        </w:tc>
        <w:tc>
          <w:tcPr>
            <w:tcW w:w="4395" w:type="dxa"/>
          </w:tcPr>
          <w:p w:rsidR="00C1133D" w:rsidRPr="006F6777" w:rsidRDefault="00C27A08" w:rsidP="006C4607">
            <w:pPr>
              <w:pStyle w:val="naiskr"/>
              <w:spacing w:before="0" w:after="0"/>
              <w:rPr>
                <w:sz w:val="22"/>
                <w:szCs w:val="22"/>
              </w:rPr>
            </w:pPr>
            <w:r w:rsidRPr="006F6777">
              <w:rPr>
                <w:sz w:val="22"/>
                <w:szCs w:val="22"/>
              </w:rPr>
              <w:t>Citas sabiedrības grupas (bez mērķgrupas), kuras tiesiskais regulējums arī ietekmē vai varētu ietekmēt</w:t>
            </w:r>
          </w:p>
        </w:tc>
        <w:tc>
          <w:tcPr>
            <w:tcW w:w="4791" w:type="dxa"/>
          </w:tcPr>
          <w:p w:rsidR="0062298A" w:rsidRPr="006F6777" w:rsidRDefault="00721AEC" w:rsidP="004C0250">
            <w:pPr>
              <w:pStyle w:val="naiskr"/>
              <w:spacing w:before="0" w:after="0"/>
              <w:ind w:firstLine="283"/>
              <w:jc w:val="both"/>
              <w:rPr>
                <w:sz w:val="22"/>
                <w:szCs w:val="22"/>
              </w:rPr>
            </w:pPr>
            <w:r w:rsidRPr="006F6777">
              <w:rPr>
                <w:sz w:val="22"/>
                <w:szCs w:val="22"/>
              </w:rPr>
              <w:t xml:space="preserve"> </w:t>
            </w:r>
            <w:r w:rsidR="0001070A" w:rsidRPr="006F6777">
              <w:rPr>
                <w:sz w:val="22"/>
                <w:szCs w:val="22"/>
              </w:rPr>
              <w:t xml:space="preserve">Fiziskās personas, kuras līgumā noteiktajā termiņā vai kārtībā nav izpildījušas ar līgumu uzņemtās maksājuma saistības un pret kurām tiek īstenota ārpustiesas parāda </w:t>
            </w:r>
            <w:r w:rsidR="004C0250" w:rsidRPr="006F6777">
              <w:rPr>
                <w:sz w:val="22"/>
                <w:szCs w:val="22"/>
              </w:rPr>
              <w:t>atgūšana</w:t>
            </w:r>
            <w:r w:rsidR="0001070A" w:rsidRPr="006F6777">
              <w:rPr>
                <w:sz w:val="22"/>
                <w:szCs w:val="22"/>
              </w:rPr>
              <w:t>.</w:t>
            </w:r>
          </w:p>
        </w:tc>
      </w:tr>
      <w:tr w:rsidR="0062298A" w:rsidRPr="006F6777" w:rsidTr="008F635F">
        <w:trPr>
          <w:trHeight w:val="517"/>
        </w:trPr>
        <w:tc>
          <w:tcPr>
            <w:tcW w:w="572" w:type="dxa"/>
          </w:tcPr>
          <w:p w:rsidR="0062298A" w:rsidRPr="006F6777" w:rsidRDefault="0062298A" w:rsidP="006C4607">
            <w:pPr>
              <w:pStyle w:val="naiskr"/>
              <w:spacing w:before="0" w:after="0"/>
              <w:rPr>
                <w:sz w:val="22"/>
                <w:szCs w:val="22"/>
              </w:rPr>
            </w:pPr>
            <w:r w:rsidRPr="006F6777">
              <w:rPr>
                <w:sz w:val="22"/>
                <w:szCs w:val="22"/>
              </w:rPr>
              <w:t>3.</w:t>
            </w:r>
          </w:p>
        </w:tc>
        <w:tc>
          <w:tcPr>
            <w:tcW w:w="4395" w:type="dxa"/>
          </w:tcPr>
          <w:p w:rsidR="00C1133D" w:rsidRPr="006F6777" w:rsidRDefault="000C790C" w:rsidP="006C4607">
            <w:pPr>
              <w:pStyle w:val="naiskr"/>
              <w:spacing w:before="0" w:after="0"/>
              <w:rPr>
                <w:sz w:val="22"/>
                <w:szCs w:val="22"/>
              </w:rPr>
            </w:pPr>
            <w:r w:rsidRPr="006F6777">
              <w:rPr>
                <w:sz w:val="22"/>
                <w:szCs w:val="22"/>
              </w:rPr>
              <w:t>Tiesiskā r</w:t>
            </w:r>
            <w:r w:rsidR="003D21FF" w:rsidRPr="006F6777">
              <w:rPr>
                <w:sz w:val="22"/>
                <w:szCs w:val="22"/>
              </w:rPr>
              <w:t>egulējuma</w:t>
            </w:r>
            <w:r w:rsidR="00C27A08" w:rsidRPr="006F6777">
              <w:rPr>
                <w:sz w:val="22"/>
                <w:szCs w:val="22"/>
              </w:rPr>
              <w:t xml:space="preserve"> finansiālā ietekme</w:t>
            </w:r>
          </w:p>
        </w:tc>
        <w:tc>
          <w:tcPr>
            <w:tcW w:w="4791" w:type="dxa"/>
          </w:tcPr>
          <w:p w:rsidR="002B021E" w:rsidRPr="006F6777" w:rsidRDefault="002B021E" w:rsidP="001C12C5">
            <w:pPr>
              <w:pStyle w:val="naiskr"/>
              <w:spacing w:before="0" w:after="0"/>
              <w:ind w:firstLine="283"/>
              <w:jc w:val="both"/>
              <w:rPr>
                <w:iCs/>
                <w:sz w:val="22"/>
                <w:szCs w:val="22"/>
              </w:rPr>
            </w:pPr>
            <w:r w:rsidRPr="006F6777">
              <w:rPr>
                <w:iCs/>
                <w:sz w:val="22"/>
                <w:szCs w:val="22"/>
              </w:rPr>
              <w:t>Ieviešot likumprojekta 5.pantā paredzēto licencēšanas sistēmu, 201</w:t>
            </w:r>
            <w:r w:rsidR="00721AEC" w:rsidRPr="006F6777">
              <w:rPr>
                <w:iCs/>
                <w:sz w:val="22"/>
                <w:szCs w:val="22"/>
              </w:rPr>
              <w:t>3</w:t>
            </w:r>
            <w:r w:rsidRPr="006F6777">
              <w:rPr>
                <w:iCs/>
                <w:sz w:val="22"/>
                <w:szCs w:val="22"/>
              </w:rPr>
              <w:t>.gadā valsts budžeta ieņēmumi palielinātos par 135 tūkstošiem latu no valsts nodevas par parāda atgūšanas pakalpojuma sniedzēja licences izsniegšanu.</w:t>
            </w:r>
          </w:p>
          <w:p w:rsidR="002B021E" w:rsidRPr="006F6777" w:rsidRDefault="002B021E" w:rsidP="001C12C5">
            <w:pPr>
              <w:pStyle w:val="naiskr"/>
              <w:spacing w:before="0" w:after="0"/>
              <w:ind w:firstLine="283"/>
              <w:jc w:val="both"/>
              <w:rPr>
                <w:iCs/>
                <w:sz w:val="22"/>
                <w:szCs w:val="22"/>
              </w:rPr>
            </w:pPr>
            <w:r w:rsidRPr="006F6777">
              <w:rPr>
                <w:iCs/>
                <w:sz w:val="22"/>
                <w:szCs w:val="22"/>
              </w:rPr>
              <w:t>Licencēšanas sistēmas ieviešanas un uzturēšanas izmaksas PTAC 201</w:t>
            </w:r>
            <w:r w:rsidR="00721AEC" w:rsidRPr="006F6777">
              <w:rPr>
                <w:iCs/>
                <w:sz w:val="22"/>
                <w:szCs w:val="22"/>
              </w:rPr>
              <w:t>3</w:t>
            </w:r>
            <w:r w:rsidRPr="006F6777">
              <w:rPr>
                <w:iCs/>
                <w:sz w:val="22"/>
                <w:szCs w:val="22"/>
              </w:rPr>
              <w:t>.gadā sastādīs 38,7 tūkstošus latu, ko iespējams kompensēt, piešķirot dotācijas no vispārējiem ieņēmumiem.</w:t>
            </w:r>
          </w:p>
          <w:p w:rsidR="002B021E" w:rsidRPr="006F6777" w:rsidRDefault="004C0250" w:rsidP="001C12C5">
            <w:pPr>
              <w:pStyle w:val="naiskr"/>
              <w:spacing w:before="0" w:after="0"/>
              <w:ind w:firstLine="283"/>
              <w:jc w:val="both"/>
              <w:rPr>
                <w:iCs/>
                <w:sz w:val="22"/>
                <w:szCs w:val="22"/>
              </w:rPr>
            </w:pPr>
            <w:r w:rsidRPr="006F6777">
              <w:rPr>
                <w:iCs/>
                <w:sz w:val="22"/>
                <w:szCs w:val="22"/>
              </w:rPr>
              <w:t>P</w:t>
            </w:r>
            <w:r w:rsidR="002B021E" w:rsidRPr="006F6777">
              <w:rPr>
                <w:iCs/>
                <w:sz w:val="22"/>
                <w:szCs w:val="22"/>
              </w:rPr>
              <w:t xml:space="preserve">arāda atgūšanas pakalpojumu sniedzēju licencēšanas sistēmas ieviešanai un uzraudzībai nepieciešams paredzēt valsts budžeta līdzekļus atbilstoši veiktajam aprēķinam </w:t>
            </w:r>
            <w:r w:rsidR="00D53596" w:rsidRPr="006F6777">
              <w:rPr>
                <w:iCs/>
                <w:sz w:val="22"/>
                <w:szCs w:val="22"/>
              </w:rPr>
              <w:t>2014</w:t>
            </w:r>
            <w:r w:rsidR="002B021E" w:rsidRPr="006F6777">
              <w:rPr>
                <w:iCs/>
                <w:sz w:val="22"/>
                <w:szCs w:val="22"/>
              </w:rPr>
              <w:t>.gadam (Ls 38  658,50 apmērā).</w:t>
            </w:r>
          </w:p>
          <w:p w:rsidR="002B021E" w:rsidRPr="006F6777" w:rsidRDefault="002B021E" w:rsidP="001C12C5">
            <w:pPr>
              <w:pStyle w:val="naiskr"/>
              <w:spacing w:before="0" w:after="0"/>
              <w:ind w:firstLine="283"/>
              <w:jc w:val="both"/>
              <w:rPr>
                <w:iCs/>
                <w:sz w:val="22"/>
                <w:szCs w:val="22"/>
              </w:rPr>
            </w:pPr>
            <w:r w:rsidRPr="006F6777">
              <w:rPr>
                <w:iCs/>
                <w:sz w:val="22"/>
                <w:szCs w:val="22"/>
              </w:rPr>
              <w:t>Licencēšanas sistēmas ieviešana, uzturēšana un parāda atgūšanas uzraudzības nodrošināšana parāda atgūšanas pakalpojuma sniedzējam radīs šādas izmaksas:</w:t>
            </w:r>
          </w:p>
          <w:p w:rsidR="002B021E" w:rsidRPr="006F6777" w:rsidRDefault="001C12C5" w:rsidP="001C12C5">
            <w:pPr>
              <w:pStyle w:val="naiskr"/>
              <w:spacing w:before="0" w:after="0"/>
              <w:ind w:firstLine="283"/>
              <w:jc w:val="both"/>
              <w:rPr>
                <w:iCs/>
                <w:sz w:val="22"/>
                <w:szCs w:val="22"/>
              </w:rPr>
            </w:pPr>
            <w:r w:rsidRPr="006F6777">
              <w:rPr>
                <w:iCs/>
                <w:sz w:val="22"/>
                <w:szCs w:val="22"/>
              </w:rPr>
              <w:t xml:space="preserve">- </w:t>
            </w:r>
            <w:r w:rsidR="002B021E" w:rsidRPr="006F6777">
              <w:rPr>
                <w:iCs/>
                <w:sz w:val="22"/>
                <w:szCs w:val="22"/>
              </w:rPr>
              <w:t>par licences saņemšanu parāda atgūšanas pakalpojumu sniegšanai – 2500 Ls,</w:t>
            </w:r>
          </w:p>
          <w:p w:rsidR="00BE6553" w:rsidRPr="006F6777" w:rsidRDefault="001C12C5" w:rsidP="00CC567D">
            <w:pPr>
              <w:pStyle w:val="naiskr"/>
              <w:spacing w:before="0" w:after="0"/>
              <w:ind w:firstLine="283"/>
              <w:jc w:val="both"/>
              <w:rPr>
                <w:iCs/>
                <w:sz w:val="22"/>
                <w:szCs w:val="22"/>
              </w:rPr>
            </w:pPr>
            <w:r w:rsidRPr="006F6777">
              <w:rPr>
                <w:iCs/>
                <w:sz w:val="22"/>
                <w:szCs w:val="22"/>
              </w:rPr>
              <w:t xml:space="preserve">- </w:t>
            </w:r>
            <w:r w:rsidR="002B021E" w:rsidRPr="006F6777">
              <w:rPr>
                <w:iCs/>
                <w:sz w:val="22"/>
                <w:szCs w:val="22"/>
              </w:rPr>
              <w:t>par parāda atgūšanas pakalpojuma sniedzēja pārreģistrāciju (reizi trijos gados) – 1000 Ls.</w:t>
            </w:r>
          </w:p>
        </w:tc>
      </w:tr>
      <w:tr w:rsidR="00C27A08" w:rsidRPr="006F6777" w:rsidTr="008F635F">
        <w:trPr>
          <w:trHeight w:val="517"/>
        </w:trPr>
        <w:tc>
          <w:tcPr>
            <w:tcW w:w="572" w:type="dxa"/>
          </w:tcPr>
          <w:p w:rsidR="00C27A08" w:rsidRPr="006F6777" w:rsidRDefault="00C27A08" w:rsidP="006C4607">
            <w:pPr>
              <w:pStyle w:val="naiskr"/>
              <w:spacing w:before="0" w:after="0"/>
              <w:rPr>
                <w:sz w:val="22"/>
                <w:szCs w:val="22"/>
              </w:rPr>
            </w:pPr>
            <w:r w:rsidRPr="006F6777">
              <w:rPr>
                <w:sz w:val="22"/>
                <w:szCs w:val="22"/>
              </w:rPr>
              <w:lastRenderedPageBreak/>
              <w:t>4.</w:t>
            </w:r>
          </w:p>
        </w:tc>
        <w:tc>
          <w:tcPr>
            <w:tcW w:w="4395" w:type="dxa"/>
          </w:tcPr>
          <w:p w:rsidR="00C27A08" w:rsidRPr="006F6777" w:rsidRDefault="00C27A08" w:rsidP="006C4607">
            <w:pPr>
              <w:pStyle w:val="naiskr"/>
              <w:spacing w:before="0" w:after="0"/>
              <w:rPr>
                <w:sz w:val="22"/>
                <w:szCs w:val="22"/>
              </w:rPr>
            </w:pPr>
            <w:r w:rsidRPr="006F6777">
              <w:rPr>
                <w:sz w:val="22"/>
                <w:szCs w:val="22"/>
              </w:rPr>
              <w:t>Tiesiskā regulējuma nefinansiālā ietekme</w:t>
            </w:r>
          </w:p>
        </w:tc>
        <w:tc>
          <w:tcPr>
            <w:tcW w:w="4791" w:type="dxa"/>
          </w:tcPr>
          <w:p w:rsidR="005262E5" w:rsidRPr="006F6777" w:rsidRDefault="005262E5" w:rsidP="00C7028D">
            <w:pPr>
              <w:pStyle w:val="naiskr"/>
              <w:spacing w:before="0" w:after="0"/>
              <w:ind w:firstLine="283"/>
              <w:jc w:val="both"/>
              <w:rPr>
                <w:iCs/>
                <w:sz w:val="22"/>
                <w:szCs w:val="22"/>
              </w:rPr>
            </w:pPr>
            <w:r w:rsidRPr="006F6777">
              <w:rPr>
                <w:iCs/>
                <w:sz w:val="22"/>
                <w:szCs w:val="22"/>
              </w:rPr>
              <w:t xml:space="preserve">Noteikumu projekts reglamentēs parāda atgūšanas pakalpojuma sniedzēju licencēšanas kārtību, kas veicinās efektīvu patērētāju tiesību aizsardzību un </w:t>
            </w:r>
            <w:r w:rsidR="00342BA5" w:rsidRPr="006F6777">
              <w:rPr>
                <w:iCs/>
                <w:sz w:val="22"/>
                <w:szCs w:val="22"/>
              </w:rPr>
              <w:t>parāda ārpustiesas atgū</w:t>
            </w:r>
            <w:r w:rsidR="001F43A5" w:rsidRPr="006F6777">
              <w:rPr>
                <w:iCs/>
                <w:sz w:val="22"/>
                <w:szCs w:val="22"/>
              </w:rPr>
              <w:t>ša</w:t>
            </w:r>
            <w:r w:rsidR="00342BA5" w:rsidRPr="006F6777">
              <w:rPr>
                <w:iCs/>
                <w:sz w:val="22"/>
                <w:szCs w:val="22"/>
              </w:rPr>
              <w:t xml:space="preserve">nas </w:t>
            </w:r>
            <w:r w:rsidRPr="006F6777">
              <w:rPr>
                <w:iCs/>
                <w:sz w:val="22"/>
                <w:szCs w:val="22"/>
              </w:rPr>
              <w:t xml:space="preserve">jomas uzraudzību. </w:t>
            </w:r>
          </w:p>
        </w:tc>
      </w:tr>
      <w:tr w:rsidR="005262E5" w:rsidRPr="006F6777" w:rsidTr="008F635F">
        <w:trPr>
          <w:trHeight w:val="531"/>
        </w:trPr>
        <w:tc>
          <w:tcPr>
            <w:tcW w:w="572" w:type="dxa"/>
          </w:tcPr>
          <w:p w:rsidR="005262E5" w:rsidRPr="006F6777" w:rsidRDefault="005262E5" w:rsidP="006C4607">
            <w:pPr>
              <w:pStyle w:val="naiskr"/>
              <w:spacing w:before="0" w:after="0"/>
              <w:rPr>
                <w:sz w:val="22"/>
                <w:szCs w:val="22"/>
              </w:rPr>
            </w:pPr>
            <w:r w:rsidRPr="006F6777">
              <w:rPr>
                <w:sz w:val="22"/>
                <w:szCs w:val="22"/>
              </w:rPr>
              <w:t>5.</w:t>
            </w:r>
          </w:p>
        </w:tc>
        <w:tc>
          <w:tcPr>
            <w:tcW w:w="4395" w:type="dxa"/>
          </w:tcPr>
          <w:p w:rsidR="005262E5" w:rsidRPr="006F6777" w:rsidRDefault="005262E5" w:rsidP="006C4607">
            <w:pPr>
              <w:pStyle w:val="naiskr"/>
              <w:spacing w:before="0" w:after="0"/>
              <w:rPr>
                <w:sz w:val="22"/>
                <w:szCs w:val="22"/>
              </w:rPr>
            </w:pPr>
            <w:r w:rsidRPr="006F6777">
              <w:rPr>
                <w:sz w:val="22"/>
                <w:szCs w:val="22"/>
              </w:rPr>
              <w:t>Administratīvās procedūras raksturojums</w:t>
            </w:r>
          </w:p>
        </w:tc>
        <w:tc>
          <w:tcPr>
            <w:tcW w:w="4791" w:type="dxa"/>
          </w:tcPr>
          <w:p w:rsidR="00990380" w:rsidRPr="006F6777" w:rsidRDefault="00990380" w:rsidP="00990380">
            <w:pPr>
              <w:pStyle w:val="NormalWeb"/>
              <w:spacing w:before="0" w:beforeAutospacing="0" w:after="0" w:afterAutospacing="0"/>
              <w:ind w:firstLine="283"/>
              <w:jc w:val="both"/>
              <w:rPr>
                <w:sz w:val="22"/>
                <w:szCs w:val="22"/>
              </w:rPr>
            </w:pPr>
            <w:r w:rsidRPr="006F6777">
              <w:rPr>
                <w:sz w:val="22"/>
                <w:szCs w:val="22"/>
              </w:rPr>
              <w:t>Lēmuma pieņemšana par licences izsniegšanu, pārreģistrāciju, darbības apturēšanu vai anulēšanu notiks Administratīvā procesa likumā noteiktajā kārtībā.</w:t>
            </w:r>
          </w:p>
          <w:p w:rsidR="005262E5" w:rsidRPr="006F6777" w:rsidRDefault="00990380" w:rsidP="000403DF">
            <w:pPr>
              <w:pStyle w:val="NormalWeb"/>
              <w:spacing w:before="0" w:beforeAutospacing="0" w:after="0" w:afterAutospacing="0"/>
              <w:ind w:firstLine="283"/>
              <w:jc w:val="both"/>
              <w:rPr>
                <w:sz w:val="22"/>
                <w:szCs w:val="22"/>
              </w:rPr>
            </w:pPr>
            <w:r w:rsidRPr="006F6777">
              <w:rPr>
                <w:sz w:val="22"/>
                <w:szCs w:val="22"/>
              </w:rPr>
              <w:t xml:space="preserve">Noteikumu projekta </w:t>
            </w:r>
            <w:r w:rsidR="008C1B5B" w:rsidRPr="006F6777">
              <w:rPr>
                <w:sz w:val="22"/>
                <w:szCs w:val="22"/>
              </w:rPr>
              <w:t>12.</w:t>
            </w:r>
            <w:r w:rsidR="000403DF">
              <w:rPr>
                <w:sz w:val="22"/>
                <w:szCs w:val="22"/>
              </w:rPr>
              <w:t xml:space="preserve"> un 29</w:t>
            </w:r>
            <w:r w:rsidRPr="006F6777">
              <w:rPr>
                <w:sz w:val="22"/>
                <w:szCs w:val="22"/>
              </w:rPr>
              <w:t xml:space="preserve">.punkts nosaka, kāda informācija </w:t>
            </w:r>
            <w:r w:rsidR="009D44C4" w:rsidRPr="006F6777">
              <w:rPr>
                <w:sz w:val="22"/>
                <w:szCs w:val="22"/>
              </w:rPr>
              <w:t>parāda atgūšanas pakalpojuma sniedzējam</w:t>
            </w:r>
            <w:r w:rsidRPr="006F6777">
              <w:rPr>
                <w:sz w:val="22"/>
                <w:szCs w:val="22"/>
              </w:rPr>
              <w:t xml:space="preserve"> jāiesniedz PTAC lēmuma pieņemšanai par licences izsniegšanu vai pārreģistrāciju. Noteikumu projekts paredz iespēju minētos dokumentus iesniegt elektroniski atbilstoši normatīvo aktu par elektronisko dokumentu noformēšanu prasībām, kā arī saņemt licenci elektroniskā formā elektronisko dokumentu apriti regulējošajos normatīvajos aktos noteiktajā kārtībā.</w:t>
            </w:r>
          </w:p>
        </w:tc>
      </w:tr>
      <w:tr w:rsidR="005262E5" w:rsidRPr="006F6777" w:rsidTr="008F635F">
        <w:trPr>
          <w:trHeight w:val="357"/>
        </w:trPr>
        <w:tc>
          <w:tcPr>
            <w:tcW w:w="572" w:type="dxa"/>
          </w:tcPr>
          <w:p w:rsidR="005262E5" w:rsidRPr="006F6777" w:rsidRDefault="005262E5" w:rsidP="006C4607">
            <w:pPr>
              <w:pStyle w:val="naiskr"/>
              <w:spacing w:before="0" w:after="0"/>
              <w:rPr>
                <w:sz w:val="22"/>
                <w:szCs w:val="22"/>
              </w:rPr>
            </w:pPr>
            <w:r w:rsidRPr="006F6777">
              <w:rPr>
                <w:sz w:val="22"/>
                <w:szCs w:val="22"/>
              </w:rPr>
              <w:t>6.</w:t>
            </w:r>
          </w:p>
        </w:tc>
        <w:tc>
          <w:tcPr>
            <w:tcW w:w="4395" w:type="dxa"/>
          </w:tcPr>
          <w:p w:rsidR="005262E5" w:rsidRPr="006F6777" w:rsidRDefault="005262E5" w:rsidP="006C4607">
            <w:pPr>
              <w:pStyle w:val="naiskr"/>
              <w:spacing w:before="0" w:after="0"/>
              <w:rPr>
                <w:sz w:val="22"/>
                <w:szCs w:val="22"/>
              </w:rPr>
            </w:pPr>
            <w:r w:rsidRPr="006F6777">
              <w:rPr>
                <w:sz w:val="22"/>
                <w:szCs w:val="22"/>
              </w:rPr>
              <w:t>Administratīvo izmaksu monetārs novērtējums</w:t>
            </w:r>
          </w:p>
        </w:tc>
        <w:tc>
          <w:tcPr>
            <w:tcW w:w="4791" w:type="dxa"/>
          </w:tcPr>
          <w:p w:rsidR="005262E5" w:rsidRPr="006F6777" w:rsidRDefault="005262E5" w:rsidP="00467E8D">
            <w:pPr>
              <w:pStyle w:val="NormalWeb"/>
              <w:ind w:firstLine="283"/>
              <w:jc w:val="both"/>
              <w:rPr>
                <w:color w:val="000000"/>
                <w:sz w:val="22"/>
                <w:szCs w:val="22"/>
              </w:rPr>
            </w:pPr>
            <w:r w:rsidRPr="006F6777">
              <w:rPr>
                <w:rStyle w:val="apple-style-span"/>
                <w:color w:val="000000"/>
                <w:sz w:val="22"/>
                <w:szCs w:val="22"/>
              </w:rPr>
              <w:t>Administratīvā procesa likumā noteiktā valsts nodeva 20 latu apmērā par pieteikumu par lietas ierosināšanu tiesā.</w:t>
            </w:r>
          </w:p>
        </w:tc>
      </w:tr>
      <w:tr w:rsidR="005262E5" w:rsidRPr="006F6777" w:rsidTr="008F635F">
        <w:tc>
          <w:tcPr>
            <w:tcW w:w="572" w:type="dxa"/>
          </w:tcPr>
          <w:p w:rsidR="005262E5" w:rsidRPr="006F6777" w:rsidRDefault="005262E5" w:rsidP="006C4607">
            <w:pPr>
              <w:pStyle w:val="naiskr"/>
              <w:spacing w:before="0" w:after="0"/>
              <w:rPr>
                <w:sz w:val="22"/>
                <w:szCs w:val="22"/>
              </w:rPr>
            </w:pPr>
            <w:r w:rsidRPr="006F6777">
              <w:rPr>
                <w:sz w:val="22"/>
                <w:szCs w:val="22"/>
              </w:rPr>
              <w:t>7.</w:t>
            </w:r>
          </w:p>
        </w:tc>
        <w:tc>
          <w:tcPr>
            <w:tcW w:w="4395" w:type="dxa"/>
          </w:tcPr>
          <w:p w:rsidR="005262E5" w:rsidRPr="006F6777" w:rsidRDefault="005262E5" w:rsidP="006C4607">
            <w:pPr>
              <w:pStyle w:val="naiskr"/>
              <w:spacing w:before="0" w:after="0"/>
              <w:rPr>
                <w:sz w:val="22"/>
                <w:szCs w:val="22"/>
              </w:rPr>
            </w:pPr>
            <w:r w:rsidRPr="006F6777">
              <w:rPr>
                <w:sz w:val="22"/>
                <w:szCs w:val="22"/>
              </w:rPr>
              <w:t>Cita informācija</w:t>
            </w:r>
          </w:p>
        </w:tc>
        <w:tc>
          <w:tcPr>
            <w:tcW w:w="4791" w:type="dxa"/>
          </w:tcPr>
          <w:p w:rsidR="005262E5" w:rsidRPr="006F6777" w:rsidRDefault="005262E5" w:rsidP="00CC48F1">
            <w:pPr>
              <w:pStyle w:val="NormalWeb"/>
              <w:rPr>
                <w:sz w:val="22"/>
                <w:szCs w:val="22"/>
              </w:rPr>
            </w:pPr>
            <w:r w:rsidRPr="006F6777">
              <w:rPr>
                <w:sz w:val="22"/>
                <w:szCs w:val="22"/>
              </w:rPr>
              <w:t>Nav</w:t>
            </w:r>
          </w:p>
        </w:tc>
      </w:tr>
    </w:tbl>
    <w:p w:rsidR="008C5649" w:rsidRPr="006F6777" w:rsidRDefault="008C5649" w:rsidP="006C4607">
      <w:pPr>
        <w:pStyle w:val="naisf"/>
        <w:spacing w:before="0" w:after="0"/>
        <w:rPr>
          <w:sz w:val="22"/>
          <w:szCs w:val="22"/>
        </w:rPr>
      </w:pPr>
    </w:p>
    <w:tbl>
      <w:tblPr>
        <w:tblW w:w="5619"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75"/>
        <w:gridCol w:w="1418"/>
        <w:gridCol w:w="1720"/>
        <w:gridCol w:w="1482"/>
        <w:gridCol w:w="1482"/>
        <w:gridCol w:w="1484"/>
      </w:tblGrid>
      <w:tr w:rsidR="00810D02" w:rsidRPr="006F6777" w:rsidTr="00810D02">
        <w:trPr>
          <w:trHeight w:val="252"/>
        </w:trPr>
        <w:tc>
          <w:tcPr>
            <w:tcW w:w="5000" w:type="pct"/>
            <w:gridSpan w:val="6"/>
            <w:tcBorders>
              <w:top w:val="outset" w:sz="6" w:space="0" w:color="000000"/>
              <w:left w:val="outset" w:sz="6" w:space="0" w:color="000000"/>
              <w:bottom w:val="outset" w:sz="6" w:space="0" w:color="000000"/>
              <w:right w:val="outset" w:sz="6" w:space="0" w:color="000000"/>
            </w:tcBorders>
            <w:hideMark/>
          </w:tcPr>
          <w:p w:rsidR="00CC48F1" w:rsidRPr="00FF4956" w:rsidRDefault="00810D02" w:rsidP="00CC48F1">
            <w:pPr>
              <w:spacing w:before="100" w:beforeAutospacing="1" w:after="100" w:afterAutospacing="1"/>
              <w:jc w:val="center"/>
              <w:rPr>
                <w:b/>
                <w:sz w:val="22"/>
                <w:szCs w:val="22"/>
              </w:rPr>
            </w:pPr>
            <w:r w:rsidRPr="00FF4956">
              <w:rPr>
                <w:b/>
                <w:bCs/>
                <w:sz w:val="22"/>
                <w:szCs w:val="22"/>
              </w:rPr>
              <w:t>III. Tiesību akta projekta ietekme uz valsts budžetu un pašvaldību budžetiem</w:t>
            </w:r>
          </w:p>
        </w:tc>
      </w:tr>
      <w:tr w:rsidR="00810D02" w:rsidRPr="006F6777" w:rsidTr="00810D02">
        <w:trPr>
          <w:trHeight w:val="252"/>
        </w:trPr>
        <w:tc>
          <w:tcPr>
            <w:tcW w:w="1304" w:type="pct"/>
            <w:vMerge w:val="restar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810D02" w:rsidP="00CC48F1">
            <w:pPr>
              <w:spacing w:before="100" w:beforeAutospacing="1" w:after="100" w:afterAutospacing="1"/>
              <w:jc w:val="center"/>
              <w:rPr>
                <w:sz w:val="22"/>
                <w:szCs w:val="22"/>
              </w:rPr>
            </w:pPr>
            <w:r w:rsidRPr="006F6777">
              <w:rPr>
                <w:bCs/>
                <w:sz w:val="22"/>
                <w:szCs w:val="22"/>
              </w:rPr>
              <w:t>Rādītāji</w:t>
            </w:r>
          </w:p>
        </w:tc>
        <w:tc>
          <w:tcPr>
            <w:tcW w:w="1529"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3025DE" w:rsidP="003025DE">
            <w:pPr>
              <w:spacing w:before="100" w:beforeAutospacing="1" w:after="100" w:afterAutospacing="1"/>
              <w:jc w:val="center"/>
              <w:rPr>
                <w:sz w:val="22"/>
                <w:szCs w:val="22"/>
              </w:rPr>
            </w:pPr>
            <w:r w:rsidRPr="006F6777">
              <w:rPr>
                <w:bCs/>
                <w:sz w:val="22"/>
                <w:szCs w:val="22"/>
              </w:rPr>
              <w:t>2013</w:t>
            </w:r>
            <w:r w:rsidR="00810D02" w:rsidRPr="006F6777">
              <w:rPr>
                <w:bCs/>
                <w:sz w:val="22"/>
                <w:szCs w:val="22"/>
              </w:rPr>
              <w:t>. gads</w:t>
            </w:r>
          </w:p>
        </w:tc>
        <w:tc>
          <w:tcPr>
            <w:tcW w:w="2167" w:type="pct"/>
            <w:gridSpan w:val="3"/>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810D02" w:rsidP="00CC48F1">
            <w:pPr>
              <w:spacing w:before="100" w:beforeAutospacing="1" w:after="100" w:afterAutospacing="1"/>
              <w:jc w:val="center"/>
              <w:rPr>
                <w:sz w:val="22"/>
                <w:szCs w:val="22"/>
              </w:rPr>
            </w:pPr>
            <w:r w:rsidRPr="006F6777">
              <w:rPr>
                <w:sz w:val="22"/>
                <w:szCs w:val="22"/>
              </w:rPr>
              <w:t>Turpmākie trīs gadi (tūkst. latu)</w:t>
            </w:r>
          </w:p>
        </w:tc>
      </w:tr>
      <w:tr w:rsidR="00810D02" w:rsidRPr="006F6777" w:rsidTr="00810D02">
        <w:trPr>
          <w:trHeight w:val="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10D02" w:rsidRPr="006F6777" w:rsidRDefault="00810D02" w:rsidP="00CC48F1">
            <w:pPr>
              <w:rPr>
                <w:sz w:val="22"/>
                <w:szCs w:val="22"/>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10D02" w:rsidRPr="006F6777" w:rsidRDefault="00810D02" w:rsidP="00CC48F1">
            <w:pPr>
              <w:rPr>
                <w:sz w:val="22"/>
                <w:szCs w:val="22"/>
              </w:rPr>
            </w:pP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3025DE" w:rsidP="003025DE">
            <w:pPr>
              <w:spacing w:before="100" w:beforeAutospacing="1" w:after="100" w:afterAutospacing="1"/>
              <w:jc w:val="center"/>
              <w:rPr>
                <w:sz w:val="22"/>
                <w:szCs w:val="22"/>
              </w:rPr>
            </w:pPr>
            <w:r w:rsidRPr="006F6777">
              <w:rPr>
                <w:bCs/>
                <w:sz w:val="22"/>
                <w:szCs w:val="22"/>
              </w:rPr>
              <w:t>2014</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3025DE" w:rsidP="003025DE">
            <w:pPr>
              <w:spacing w:before="100" w:beforeAutospacing="1" w:after="100" w:afterAutospacing="1"/>
              <w:jc w:val="center"/>
              <w:rPr>
                <w:sz w:val="22"/>
                <w:szCs w:val="22"/>
              </w:rPr>
            </w:pPr>
            <w:r w:rsidRPr="006F6777">
              <w:rPr>
                <w:bCs/>
                <w:sz w:val="22"/>
                <w:szCs w:val="22"/>
              </w:rPr>
              <w:t>2015</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3025DE" w:rsidP="003025DE">
            <w:pPr>
              <w:spacing w:before="100" w:beforeAutospacing="1" w:after="100" w:afterAutospacing="1"/>
              <w:jc w:val="center"/>
              <w:rPr>
                <w:sz w:val="22"/>
                <w:szCs w:val="22"/>
              </w:rPr>
            </w:pPr>
            <w:r w:rsidRPr="006F6777">
              <w:rPr>
                <w:bCs/>
                <w:sz w:val="22"/>
                <w:szCs w:val="22"/>
              </w:rPr>
              <w:t>2016</w:t>
            </w:r>
          </w:p>
        </w:tc>
      </w:tr>
      <w:tr w:rsidR="00810D02" w:rsidRPr="006F6777" w:rsidTr="00810D02">
        <w:trPr>
          <w:trHeight w:val="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10D02" w:rsidRPr="006F6777" w:rsidRDefault="00810D02" w:rsidP="00CC48F1">
            <w:pPr>
              <w:rPr>
                <w:sz w:val="22"/>
                <w:szCs w:val="22"/>
              </w:rPr>
            </w:pPr>
          </w:p>
        </w:tc>
        <w:tc>
          <w:tcPr>
            <w:tcW w:w="691"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810D02" w:rsidP="00CC48F1">
            <w:pPr>
              <w:spacing w:before="100" w:beforeAutospacing="1" w:after="100" w:afterAutospacing="1"/>
              <w:jc w:val="center"/>
              <w:rPr>
                <w:sz w:val="22"/>
                <w:szCs w:val="22"/>
              </w:rPr>
            </w:pPr>
            <w:r w:rsidRPr="006F6777">
              <w:rPr>
                <w:sz w:val="22"/>
                <w:szCs w:val="22"/>
              </w:rPr>
              <w:t>Saskaņā ar valsts budžetu kārtējam gadam</w:t>
            </w:r>
          </w:p>
        </w:tc>
        <w:tc>
          <w:tcPr>
            <w:tcW w:w="838"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810D02" w:rsidP="00CC48F1">
            <w:pPr>
              <w:spacing w:before="100" w:beforeAutospacing="1" w:after="100" w:afterAutospacing="1"/>
              <w:jc w:val="center"/>
              <w:rPr>
                <w:sz w:val="22"/>
                <w:szCs w:val="22"/>
              </w:rPr>
            </w:pPr>
            <w:r w:rsidRPr="006F6777">
              <w:rPr>
                <w:sz w:val="22"/>
                <w:szCs w:val="22"/>
              </w:rPr>
              <w:t>Izmaiņas kārtējā gadā, salīdzinot ar budžetu kārtējam gadam</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810D02" w:rsidP="00CC48F1">
            <w:pPr>
              <w:spacing w:before="100" w:beforeAutospacing="1" w:after="100" w:afterAutospacing="1"/>
              <w:jc w:val="center"/>
              <w:rPr>
                <w:sz w:val="22"/>
                <w:szCs w:val="22"/>
              </w:rPr>
            </w:pPr>
            <w:r w:rsidRPr="006F6777">
              <w:rPr>
                <w:sz w:val="22"/>
                <w:szCs w:val="22"/>
              </w:rPr>
              <w:t>Izmaiņas, salīdzinot ar kārtējo (n) gadu</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810D02" w:rsidP="00CC48F1">
            <w:pPr>
              <w:spacing w:before="100" w:beforeAutospacing="1" w:after="100" w:afterAutospacing="1"/>
              <w:jc w:val="center"/>
              <w:rPr>
                <w:sz w:val="22"/>
                <w:szCs w:val="22"/>
              </w:rPr>
            </w:pPr>
            <w:r w:rsidRPr="006F6777">
              <w:rPr>
                <w:sz w:val="22"/>
                <w:szCs w:val="22"/>
              </w:rPr>
              <w:t>Izmaiņas, salīdzinot ar kārtējo (n) gadu</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810D02" w:rsidP="00CC48F1">
            <w:pPr>
              <w:spacing w:before="100" w:beforeAutospacing="1" w:after="100" w:afterAutospacing="1"/>
              <w:jc w:val="center"/>
              <w:rPr>
                <w:sz w:val="22"/>
                <w:szCs w:val="22"/>
              </w:rPr>
            </w:pPr>
            <w:r w:rsidRPr="006F6777">
              <w:rPr>
                <w:sz w:val="22"/>
                <w:szCs w:val="22"/>
              </w:rPr>
              <w:t>Izmaiņas, salīdzinot ar kārtējo (n) gadu</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810D02" w:rsidP="00CC48F1">
            <w:pPr>
              <w:spacing w:before="100" w:beforeAutospacing="1" w:after="100" w:afterAutospacing="1"/>
              <w:jc w:val="center"/>
              <w:rPr>
                <w:sz w:val="22"/>
                <w:szCs w:val="22"/>
              </w:rPr>
            </w:pPr>
            <w:r w:rsidRPr="006F6777">
              <w:rPr>
                <w:sz w:val="22"/>
                <w:szCs w:val="22"/>
              </w:rPr>
              <w:t>1</w:t>
            </w:r>
          </w:p>
        </w:tc>
        <w:tc>
          <w:tcPr>
            <w:tcW w:w="691"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810D02" w:rsidP="00CC48F1">
            <w:pPr>
              <w:spacing w:before="100" w:beforeAutospacing="1" w:after="100" w:afterAutospacing="1"/>
              <w:jc w:val="center"/>
              <w:rPr>
                <w:sz w:val="22"/>
                <w:szCs w:val="22"/>
              </w:rPr>
            </w:pPr>
            <w:r w:rsidRPr="006F6777">
              <w:rPr>
                <w:sz w:val="22"/>
                <w:szCs w:val="22"/>
              </w:rPr>
              <w:t>2</w:t>
            </w:r>
          </w:p>
        </w:tc>
        <w:tc>
          <w:tcPr>
            <w:tcW w:w="838"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810D02" w:rsidP="00CC48F1">
            <w:pPr>
              <w:spacing w:before="100" w:beforeAutospacing="1" w:after="100" w:afterAutospacing="1"/>
              <w:jc w:val="center"/>
              <w:rPr>
                <w:sz w:val="22"/>
                <w:szCs w:val="22"/>
              </w:rPr>
            </w:pPr>
            <w:r w:rsidRPr="006F6777">
              <w:rPr>
                <w:sz w:val="22"/>
                <w:szCs w:val="22"/>
              </w:rPr>
              <w:t>3</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810D02" w:rsidP="00CC48F1">
            <w:pPr>
              <w:spacing w:before="100" w:beforeAutospacing="1" w:after="100" w:afterAutospacing="1"/>
              <w:jc w:val="center"/>
              <w:rPr>
                <w:sz w:val="22"/>
                <w:szCs w:val="22"/>
              </w:rPr>
            </w:pPr>
            <w:r w:rsidRPr="006F6777">
              <w:rPr>
                <w:sz w:val="22"/>
                <w:szCs w:val="22"/>
              </w:rPr>
              <w:t>4</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810D02" w:rsidP="00CC48F1">
            <w:pPr>
              <w:spacing w:before="100" w:beforeAutospacing="1" w:after="100" w:afterAutospacing="1"/>
              <w:jc w:val="center"/>
              <w:rPr>
                <w:sz w:val="22"/>
                <w:szCs w:val="22"/>
              </w:rPr>
            </w:pPr>
            <w:r w:rsidRPr="006F6777">
              <w:rPr>
                <w:sz w:val="22"/>
                <w:szCs w:val="22"/>
              </w:rPr>
              <w:t>5</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CC48F1" w:rsidRPr="006F6777" w:rsidRDefault="00810D02" w:rsidP="00CC48F1">
            <w:pPr>
              <w:spacing w:before="100" w:beforeAutospacing="1" w:after="100" w:afterAutospacing="1"/>
              <w:jc w:val="center"/>
              <w:rPr>
                <w:sz w:val="22"/>
                <w:szCs w:val="22"/>
              </w:rPr>
            </w:pPr>
            <w:r w:rsidRPr="006F6777">
              <w:rPr>
                <w:sz w:val="22"/>
                <w:szCs w:val="22"/>
              </w:rPr>
              <w:t>6</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1. Budžeta ieņēmumi:</w:t>
            </w:r>
          </w:p>
        </w:tc>
        <w:tc>
          <w:tcPr>
            <w:tcW w:w="691"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w:t>
            </w:r>
            <w:r w:rsidR="00EE1C36" w:rsidRPr="006F6777">
              <w:rPr>
                <w:bCs/>
                <w:sz w:val="22"/>
                <w:szCs w:val="22"/>
              </w:rPr>
              <w:t>135</w:t>
            </w:r>
            <w:r w:rsidR="00CE1768" w:rsidRPr="006F6777">
              <w:rPr>
                <w:bCs/>
                <w:sz w:val="22"/>
                <w:szCs w:val="22"/>
              </w:rPr>
              <w:t>,</w:t>
            </w:r>
            <w:r w:rsidR="00D53596"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EE1C36" w:rsidP="00CC48F1">
            <w:pPr>
              <w:spacing w:before="100" w:beforeAutospacing="1" w:after="100" w:afterAutospacing="1" w:line="270" w:lineRule="atLeast"/>
              <w:rPr>
                <w:sz w:val="22"/>
                <w:szCs w:val="22"/>
              </w:rPr>
            </w:pPr>
            <w:r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1.1. valsts pamatbudžets, tai skaitā ieņēmumi no maksas pakalpo-jumiem un citi pašu ieņēmumi</w:t>
            </w:r>
          </w:p>
        </w:tc>
        <w:tc>
          <w:tcPr>
            <w:tcW w:w="691"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EE1C36" w:rsidP="00CC48F1">
            <w:pPr>
              <w:spacing w:before="100" w:beforeAutospacing="1" w:after="100" w:afterAutospacing="1" w:line="270" w:lineRule="atLeast"/>
              <w:rPr>
                <w:sz w:val="22"/>
                <w:szCs w:val="22"/>
              </w:rPr>
            </w:pPr>
            <w:r w:rsidRPr="006F6777">
              <w:rPr>
                <w:bCs/>
                <w:sz w:val="22"/>
                <w:szCs w:val="22"/>
              </w:rPr>
              <w:t>135</w:t>
            </w:r>
            <w:r w:rsidR="00CE1768" w:rsidRPr="006F6777">
              <w:rPr>
                <w:bCs/>
                <w:sz w:val="22"/>
                <w:szCs w:val="22"/>
              </w:rPr>
              <w:t>,</w:t>
            </w:r>
            <w:r w:rsidR="00D53596"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EE1C36" w:rsidP="00CC48F1">
            <w:pPr>
              <w:spacing w:before="100" w:beforeAutospacing="1" w:after="100" w:afterAutospacing="1" w:line="270" w:lineRule="atLeast"/>
              <w:rPr>
                <w:sz w:val="22"/>
                <w:szCs w:val="22"/>
              </w:rPr>
            </w:pPr>
            <w:r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w:t>
            </w:r>
            <w:r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rPr>
                <w:sz w:val="22"/>
                <w:szCs w:val="22"/>
              </w:rPr>
            </w:pPr>
            <w:r w:rsidRPr="006F6777">
              <w:rPr>
                <w:sz w:val="22"/>
                <w:szCs w:val="22"/>
              </w:rPr>
              <w:t> 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1.2. valsts speciālais budžets</w:t>
            </w:r>
          </w:p>
        </w:tc>
        <w:tc>
          <w:tcPr>
            <w:tcW w:w="691"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w:t>
            </w:r>
            <w:r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w:t>
            </w:r>
            <w:r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w:t>
            </w:r>
            <w:r w:rsidRPr="006F6777">
              <w:rPr>
                <w:bCs/>
                <w:sz w:val="22"/>
                <w:szCs w:val="22"/>
              </w:rPr>
              <w:t>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1.3. pašvaldību budžets</w:t>
            </w:r>
          </w:p>
        </w:tc>
        <w:tc>
          <w:tcPr>
            <w:tcW w:w="691"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w:t>
            </w:r>
            <w:r w:rsidRPr="006F6777">
              <w:rPr>
                <w:bCs/>
                <w:sz w:val="22"/>
                <w:szCs w:val="22"/>
              </w:rPr>
              <w:t>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2. Budžeta izdevumi:</w:t>
            </w:r>
          </w:p>
        </w:tc>
        <w:tc>
          <w:tcPr>
            <w:tcW w:w="691"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p w:rsidR="00810D02" w:rsidRPr="006F6777" w:rsidRDefault="00810D02" w:rsidP="00CC48F1">
            <w:pPr>
              <w:spacing w:before="100" w:beforeAutospacing="1" w:after="100" w:afterAutospacing="1" w:line="270" w:lineRule="atLeast"/>
              <w:rPr>
                <w:sz w:val="22"/>
                <w:szCs w:val="22"/>
              </w:rPr>
            </w:pPr>
            <w:r w:rsidRPr="006F6777">
              <w:rPr>
                <w:bCs/>
                <w:sz w:val="22"/>
                <w:szCs w:val="22"/>
              </w:rPr>
              <w:t> </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38,7</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27</w:t>
            </w:r>
            <w:r w:rsidR="00CE1768"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27</w:t>
            </w:r>
            <w:r w:rsidR="00CE1768" w:rsidRPr="006F6777">
              <w:rPr>
                <w:bCs/>
                <w:sz w:val="22"/>
                <w:szCs w:val="22"/>
              </w:rPr>
              <w:t>,0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2.1. valsts pamatbudžets</w:t>
            </w:r>
          </w:p>
        </w:tc>
        <w:tc>
          <w:tcPr>
            <w:tcW w:w="691"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38,7</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27</w:t>
            </w:r>
            <w:r w:rsidR="00CE1768"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27</w:t>
            </w:r>
            <w:r w:rsidR="00CE1768" w:rsidRPr="006F6777">
              <w:rPr>
                <w:bCs/>
                <w:sz w:val="22"/>
                <w:szCs w:val="22"/>
              </w:rPr>
              <w:t>,0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2.2. valsts speciālais budžets</w:t>
            </w:r>
          </w:p>
        </w:tc>
        <w:tc>
          <w:tcPr>
            <w:tcW w:w="691"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xml:space="preserve">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2.3. pašvaldību budžets</w:t>
            </w:r>
          </w:p>
        </w:tc>
        <w:tc>
          <w:tcPr>
            <w:tcW w:w="691"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xml:space="preserve">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3. Finansiālā ietekme:</w:t>
            </w:r>
          </w:p>
        </w:tc>
        <w:tc>
          <w:tcPr>
            <w:tcW w:w="691"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EE1C36">
            <w:pPr>
              <w:spacing w:before="100" w:beforeAutospacing="1" w:after="100" w:afterAutospacing="1" w:line="270" w:lineRule="atLeast"/>
              <w:rPr>
                <w:sz w:val="22"/>
                <w:szCs w:val="22"/>
              </w:rPr>
            </w:pPr>
            <w:r w:rsidRPr="006F6777">
              <w:rPr>
                <w:bCs/>
                <w:sz w:val="22"/>
                <w:szCs w:val="22"/>
              </w:rPr>
              <w:t> </w:t>
            </w:r>
            <w:r w:rsidR="00EE1C36" w:rsidRPr="006F6777">
              <w:rPr>
                <w:bCs/>
                <w:sz w:val="22"/>
                <w:szCs w:val="22"/>
              </w:rPr>
              <w:t>+ 135</w:t>
            </w:r>
            <w:r w:rsidR="00CE1768"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EE1C36" w:rsidP="00D53596">
            <w:pPr>
              <w:spacing w:before="100" w:beforeAutospacing="1" w:after="100" w:afterAutospacing="1" w:line="270" w:lineRule="atLeast"/>
              <w:rPr>
                <w:sz w:val="22"/>
                <w:szCs w:val="22"/>
              </w:rPr>
            </w:pPr>
            <w:r w:rsidRPr="006F6777">
              <w:rPr>
                <w:bCs/>
                <w:sz w:val="22"/>
                <w:szCs w:val="22"/>
              </w:rPr>
              <w:t xml:space="preserve">- </w:t>
            </w:r>
            <w:r w:rsidR="00D53596" w:rsidRPr="006F6777">
              <w:rPr>
                <w:bCs/>
                <w:sz w:val="22"/>
                <w:szCs w:val="22"/>
              </w:rPr>
              <w:t>38.7</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- 27</w:t>
            </w:r>
            <w:r w:rsidR="00CE1768"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- 27</w:t>
            </w:r>
            <w:r w:rsidR="00AB0A0E" w:rsidRPr="006F6777">
              <w:rPr>
                <w:sz w:val="22"/>
                <w:szCs w:val="22"/>
              </w:rPr>
              <w:t>,0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3.1. valsts pamatbudžets</w:t>
            </w:r>
          </w:p>
        </w:tc>
        <w:tc>
          <w:tcPr>
            <w:tcW w:w="691"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r w:rsidR="00EE1C36" w:rsidRPr="006F6777">
              <w:rPr>
                <w:bCs/>
                <w:sz w:val="22"/>
                <w:szCs w:val="22"/>
              </w:rPr>
              <w:t>+ 135</w:t>
            </w:r>
            <w:r w:rsidR="00CE1768"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EE1C36" w:rsidP="00D53596">
            <w:pPr>
              <w:spacing w:before="100" w:beforeAutospacing="1" w:after="100" w:afterAutospacing="1" w:line="270" w:lineRule="atLeast"/>
              <w:rPr>
                <w:sz w:val="22"/>
                <w:szCs w:val="22"/>
              </w:rPr>
            </w:pPr>
            <w:r w:rsidRPr="006F6777">
              <w:rPr>
                <w:bCs/>
                <w:sz w:val="22"/>
                <w:szCs w:val="22"/>
              </w:rPr>
              <w:t xml:space="preserve">- </w:t>
            </w:r>
            <w:r w:rsidR="00D53596" w:rsidRPr="006F6777">
              <w:rPr>
                <w:bCs/>
                <w:sz w:val="22"/>
                <w:szCs w:val="22"/>
              </w:rPr>
              <w:t>38.7</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- 27</w:t>
            </w:r>
            <w:r w:rsidR="00CE1768"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- 27</w:t>
            </w:r>
            <w:r w:rsidR="00AB0A0E" w:rsidRPr="006F6777">
              <w:rPr>
                <w:sz w:val="22"/>
                <w:szCs w:val="22"/>
              </w:rPr>
              <w:t>,0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3.2. speciālais budžets</w:t>
            </w:r>
          </w:p>
        </w:tc>
        <w:tc>
          <w:tcPr>
            <w:tcW w:w="691"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3.3. pašvaldību budžets</w:t>
            </w:r>
          </w:p>
        </w:tc>
        <w:tc>
          <w:tcPr>
            <w:tcW w:w="691"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r>
      <w:tr w:rsidR="00810D02" w:rsidRPr="006F6777" w:rsidTr="00810D02">
        <w:trPr>
          <w:trHeight w:val="3385"/>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lastRenderedPageBreak/>
              <w:t>4. Finanšu līdzekļi papildu izdevumu finansēšanai (kompensējošu izdevumu samazinājumu norāda ar "+" zīmi)</w:t>
            </w:r>
          </w:p>
        </w:tc>
        <w:tc>
          <w:tcPr>
            <w:tcW w:w="691"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bCs/>
                <w:sz w:val="22"/>
                <w:szCs w:val="22"/>
              </w:rPr>
              <w:t xml:space="preserve"> 0</w:t>
            </w:r>
          </w:p>
        </w:tc>
        <w:tc>
          <w:tcPr>
            <w:tcW w:w="838" w:type="pct"/>
            <w:tcBorders>
              <w:top w:val="outset" w:sz="6" w:space="0" w:color="000000"/>
              <w:left w:val="outset" w:sz="6" w:space="0" w:color="000000"/>
              <w:bottom w:val="nil"/>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nil"/>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w:t>
            </w:r>
          </w:p>
          <w:p w:rsidR="00810D02" w:rsidRPr="006F6777" w:rsidRDefault="00810D02" w:rsidP="00CC48F1">
            <w:pPr>
              <w:spacing w:before="100" w:beforeAutospacing="1" w:after="100" w:afterAutospacing="1" w:line="270" w:lineRule="atLeast"/>
              <w:rPr>
                <w:sz w:val="22"/>
                <w:szCs w:val="22"/>
              </w:rPr>
            </w:pPr>
            <w:r w:rsidRPr="006F6777">
              <w:rPr>
                <w:bCs/>
                <w:sz w:val="22"/>
                <w:szCs w:val="22"/>
              </w:rPr>
              <w:t> </w:t>
            </w:r>
          </w:p>
          <w:p w:rsidR="00810D02" w:rsidRPr="006F6777" w:rsidRDefault="00810D02" w:rsidP="00CC48F1">
            <w:pPr>
              <w:spacing w:before="100" w:beforeAutospacing="1" w:after="100" w:afterAutospacing="1" w:line="270" w:lineRule="atLeast"/>
              <w:rPr>
                <w:sz w:val="22"/>
                <w:szCs w:val="22"/>
              </w:rPr>
            </w:pPr>
            <w:r w:rsidRPr="006F6777">
              <w:rPr>
                <w:bCs/>
                <w:sz w:val="22"/>
                <w:szCs w:val="22"/>
              </w:rPr>
              <w:t> </w:t>
            </w:r>
          </w:p>
        </w:tc>
        <w:tc>
          <w:tcPr>
            <w:tcW w:w="722" w:type="pct"/>
            <w:tcBorders>
              <w:top w:val="outset" w:sz="6" w:space="0" w:color="000000"/>
              <w:left w:val="outset" w:sz="6" w:space="0" w:color="000000"/>
              <w:bottom w:val="nil"/>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p w:rsidR="00810D02" w:rsidRPr="006F6777" w:rsidRDefault="00810D02" w:rsidP="00CC48F1">
            <w:pPr>
              <w:spacing w:before="100" w:beforeAutospacing="1" w:after="100" w:afterAutospacing="1" w:line="270" w:lineRule="atLeast"/>
              <w:rPr>
                <w:sz w:val="22"/>
                <w:szCs w:val="22"/>
              </w:rPr>
            </w:pPr>
            <w:r w:rsidRPr="006F6777">
              <w:rPr>
                <w:bCs/>
                <w:sz w:val="22"/>
                <w:szCs w:val="22"/>
              </w:rPr>
              <w:t> </w:t>
            </w:r>
          </w:p>
          <w:p w:rsidR="00810D02" w:rsidRPr="006F6777" w:rsidRDefault="00810D02" w:rsidP="00CC48F1">
            <w:pPr>
              <w:spacing w:before="100" w:beforeAutospacing="1" w:after="100" w:afterAutospacing="1" w:line="270" w:lineRule="atLeast"/>
              <w:rPr>
                <w:sz w:val="22"/>
                <w:szCs w:val="22"/>
              </w:rPr>
            </w:pPr>
            <w:r w:rsidRPr="006F6777">
              <w:rPr>
                <w:bCs/>
                <w:sz w:val="22"/>
                <w:szCs w:val="22"/>
              </w:rPr>
              <w:t> </w:t>
            </w:r>
          </w:p>
        </w:tc>
        <w:tc>
          <w:tcPr>
            <w:tcW w:w="722" w:type="pct"/>
            <w:tcBorders>
              <w:top w:val="outset" w:sz="6" w:space="0" w:color="000000"/>
              <w:left w:val="outset" w:sz="6" w:space="0" w:color="000000"/>
              <w:bottom w:val="nil"/>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p w:rsidR="00810D02" w:rsidRPr="006F6777" w:rsidRDefault="00810D02" w:rsidP="00CC48F1">
            <w:pPr>
              <w:spacing w:before="100" w:beforeAutospacing="1" w:after="100" w:afterAutospacing="1" w:line="270" w:lineRule="atLeast"/>
              <w:rPr>
                <w:sz w:val="22"/>
                <w:szCs w:val="22"/>
              </w:rPr>
            </w:pPr>
            <w:r w:rsidRPr="006F6777">
              <w:rPr>
                <w:bCs/>
                <w:sz w:val="22"/>
                <w:szCs w:val="22"/>
              </w:rPr>
              <w:t> </w:t>
            </w:r>
          </w:p>
          <w:p w:rsidR="00810D02" w:rsidRPr="006F6777" w:rsidRDefault="00810D02" w:rsidP="00CC48F1">
            <w:pPr>
              <w:spacing w:before="100" w:beforeAutospacing="1" w:after="100" w:afterAutospacing="1" w:line="270" w:lineRule="atLeast"/>
              <w:rPr>
                <w:sz w:val="22"/>
                <w:szCs w:val="22"/>
              </w:rPr>
            </w:pPr>
            <w:r w:rsidRPr="006F6777">
              <w:rPr>
                <w:bCs/>
                <w:sz w:val="22"/>
                <w:szCs w:val="22"/>
              </w:rPr>
              <w:t> </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5. Precizēta finansiālā ietekme:</w:t>
            </w:r>
          </w:p>
        </w:tc>
        <w:tc>
          <w:tcPr>
            <w:tcW w:w="691" w:type="pct"/>
            <w:tcBorders>
              <w:top w:val="outset" w:sz="6" w:space="0" w:color="000000"/>
              <w:left w:val="outset" w:sz="6" w:space="0" w:color="000000"/>
              <w:bottom w:val="single" w:sz="4" w:space="0" w:color="auto"/>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bCs/>
                <w:sz w:val="22"/>
                <w:szCs w:val="22"/>
              </w:rPr>
              <w:t> 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w:t>
            </w:r>
            <w:r w:rsidR="00EE1C36" w:rsidRPr="006F6777">
              <w:rPr>
                <w:bCs/>
                <w:sz w:val="22"/>
                <w:szCs w:val="22"/>
              </w:rPr>
              <w:t>+ 135</w:t>
            </w:r>
            <w:r w:rsidR="00F872F0"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EE1C36" w:rsidP="00D53596">
            <w:pPr>
              <w:spacing w:before="100" w:beforeAutospacing="1" w:after="100" w:afterAutospacing="1" w:line="270" w:lineRule="atLeast"/>
              <w:rPr>
                <w:sz w:val="22"/>
                <w:szCs w:val="22"/>
              </w:rPr>
            </w:pPr>
            <w:r w:rsidRPr="006F6777">
              <w:rPr>
                <w:bCs/>
                <w:sz w:val="22"/>
                <w:szCs w:val="22"/>
              </w:rPr>
              <w:t xml:space="preserve">- </w:t>
            </w:r>
            <w:r w:rsidR="00D53596" w:rsidRPr="006F6777">
              <w:rPr>
                <w:bCs/>
                <w:sz w:val="22"/>
                <w:szCs w:val="22"/>
              </w:rPr>
              <w:t>38.7</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- 27</w:t>
            </w:r>
            <w:r w:rsidR="00F872F0"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- 27</w:t>
            </w:r>
            <w:r w:rsidR="00F872F0" w:rsidRPr="006F6777">
              <w:rPr>
                <w:sz w:val="22"/>
                <w:szCs w:val="22"/>
              </w:rPr>
              <w:t>,0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5.1. valsts pamatbudžets</w:t>
            </w:r>
          </w:p>
        </w:tc>
        <w:tc>
          <w:tcPr>
            <w:tcW w:w="691" w:type="pct"/>
            <w:tcBorders>
              <w:top w:val="single" w:sz="4" w:space="0" w:color="auto"/>
              <w:left w:val="outset" w:sz="6" w:space="0" w:color="000000"/>
              <w:bottom w:val="single" w:sz="4" w:space="0" w:color="auto"/>
              <w:right w:val="outset" w:sz="6" w:space="0" w:color="000000"/>
            </w:tcBorders>
            <w:vAlign w:val="center"/>
            <w:hideMark/>
          </w:tcPr>
          <w:p w:rsidR="00CC48F1" w:rsidRPr="006F6777" w:rsidRDefault="00810D02" w:rsidP="00CC48F1">
            <w:pPr>
              <w:spacing w:before="100" w:beforeAutospacing="1" w:after="100" w:afterAutospacing="1"/>
              <w:rPr>
                <w:sz w:val="22"/>
                <w:szCs w:val="22"/>
              </w:rPr>
            </w:pPr>
            <w:r w:rsidRPr="006F6777">
              <w:rPr>
                <w:bCs/>
                <w:sz w:val="22"/>
                <w:szCs w:val="22"/>
              </w:rPr>
              <w:t> 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w:t>
            </w:r>
            <w:r w:rsidR="00EE1C36" w:rsidRPr="006F6777">
              <w:rPr>
                <w:bCs/>
                <w:sz w:val="22"/>
                <w:szCs w:val="22"/>
              </w:rPr>
              <w:t>+ 135</w:t>
            </w:r>
            <w:r w:rsidR="00F872F0"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EE1C36" w:rsidP="00D53596">
            <w:pPr>
              <w:spacing w:before="100" w:beforeAutospacing="1" w:after="100" w:afterAutospacing="1" w:line="270" w:lineRule="atLeast"/>
              <w:rPr>
                <w:sz w:val="22"/>
                <w:szCs w:val="22"/>
              </w:rPr>
            </w:pPr>
            <w:r w:rsidRPr="006F6777">
              <w:rPr>
                <w:bCs/>
                <w:sz w:val="22"/>
                <w:szCs w:val="22"/>
              </w:rPr>
              <w:t xml:space="preserve">- </w:t>
            </w:r>
            <w:r w:rsidR="00D53596" w:rsidRPr="006F6777">
              <w:rPr>
                <w:bCs/>
                <w:sz w:val="22"/>
                <w:szCs w:val="22"/>
              </w:rPr>
              <w:t>38.7</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- 27</w:t>
            </w:r>
            <w:r w:rsidR="00F872F0"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- 27</w:t>
            </w:r>
            <w:r w:rsidR="00F872F0" w:rsidRPr="006F6777">
              <w:rPr>
                <w:sz w:val="22"/>
                <w:szCs w:val="22"/>
              </w:rPr>
              <w:t>,0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5.2. speciālais budžets</w:t>
            </w:r>
          </w:p>
        </w:tc>
        <w:tc>
          <w:tcPr>
            <w:tcW w:w="691" w:type="pct"/>
            <w:tcBorders>
              <w:top w:val="single" w:sz="4" w:space="0" w:color="auto"/>
              <w:left w:val="outset" w:sz="6" w:space="0" w:color="000000"/>
              <w:bottom w:val="single" w:sz="4" w:space="0" w:color="auto"/>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w:t>
            </w:r>
            <w:r w:rsidRPr="006F6777">
              <w:rPr>
                <w:bCs/>
                <w:sz w:val="22"/>
                <w:szCs w:val="22"/>
              </w:rPr>
              <w:t>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w:t>
            </w:r>
            <w:r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w:t>
            </w:r>
            <w:r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w:t>
            </w:r>
            <w:r w:rsidRPr="006F6777">
              <w:rPr>
                <w:bCs/>
                <w:sz w:val="22"/>
                <w:szCs w:val="22"/>
              </w:rPr>
              <w:t>0</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t>5.3. pašvaldību budžets</w:t>
            </w:r>
          </w:p>
        </w:tc>
        <w:tc>
          <w:tcPr>
            <w:tcW w:w="691" w:type="pct"/>
            <w:tcBorders>
              <w:top w:val="single" w:sz="4" w:space="0" w:color="auto"/>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w:t>
            </w:r>
            <w:r w:rsidRPr="006F6777">
              <w:rPr>
                <w:bCs/>
                <w:sz w:val="22"/>
                <w:szCs w:val="22"/>
              </w:rPr>
              <w:t>0</w:t>
            </w:r>
          </w:p>
        </w:tc>
        <w:tc>
          <w:tcPr>
            <w:tcW w:w="838"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bCs/>
                <w:sz w:val="22"/>
                <w:szCs w:val="22"/>
              </w:rPr>
              <w:t> 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w:t>
            </w:r>
            <w:r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w:t>
            </w:r>
            <w:r w:rsidRPr="006F6777">
              <w:rPr>
                <w:bCs/>
                <w:sz w:val="22"/>
                <w:szCs w:val="22"/>
              </w:rPr>
              <w:t>0</w:t>
            </w:r>
          </w:p>
        </w:tc>
        <w:tc>
          <w:tcPr>
            <w:tcW w:w="722" w:type="pct"/>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spacing w:before="100" w:beforeAutospacing="1" w:after="100" w:afterAutospacing="1" w:line="270" w:lineRule="atLeast"/>
              <w:rPr>
                <w:sz w:val="22"/>
                <w:szCs w:val="22"/>
              </w:rPr>
            </w:pPr>
            <w:r w:rsidRPr="006F6777">
              <w:rPr>
                <w:sz w:val="22"/>
                <w:szCs w:val="22"/>
              </w:rPr>
              <w:t> </w:t>
            </w:r>
            <w:r w:rsidRPr="006F6777">
              <w:rPr>
                <w:bCs/>
                <w:sz w:val="22"/>
                <w:szCs w:val="22"/>
              </w:rPr>
              <w:t>0</w:t>
            </w:r>
          </w:p>
        </w:tc>
      </w:tr>
      <w:tr w:rsidR="00810D02" w:rsidRPr="006F6777" w:rsidTr="00461E90">
        <w:trPr>
          <w:trHeight w:val="14134"/>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rPr>
                <w:sz w:val="22"/>
                <w:szCs w:val="22"/>
              </w:rPr>
            </w:pPr>
            <w:r w:rsidRPr="006F6777">
              <w:rPr>
                <w:sz w:val="22"/>
                <w:szCs w:val="22"/>
              </w:rPr>
              <w:lastRenderedPageBreak/>
              <w:t>6. Detalizēts ieņēmumu un izdevumu aprēķins (ja nepieciešams, detalizētu ieņēmumu un izdevumu aprēķinu var pievienot anotācijas pielikumā):</w:t>
            </w:r>
          </w:p>
        </w:tc>
        <w:tc>
          <w:tcPr>
            <w:tcW w:w="3695" w:type="pct"/>
            <w:gridSpan w:val="5"/>
            <w:vMerge w:val="restart"/>
            <w:tcBorders>
              <w:top w:val="outset" w:sz="6" w:space="0" w:color="000000"/>
              <w:left w:val="outset" w:sz="6" w:space="0" w:color="000000"/>
              <w:bottom w:val="outset" w:sz="6" w:space="0" w:color="000000"/>
              <w:right w:val="outset" w:sz="6" w:space="0" w:color="000000"/>
            </w:tcBorders>
            <w:vAlign w:val="center"/>
            <w:hideMark/>
          </w:tcPr>
          <w:p w:rsidR="00810D02" w:rsidRPr="006F6777" w:rsidRDefault="00810D02" w:rsidP="00AF16F6">
            <w:pPr>
              <w:spacing w:before="100" w:beforeAutospacing="1" w:after="100" w:afterAutospacing="1" w:line="270" w:lineRule="atLeast"/>
              <w:jc w:val="both"/>
              <w:rPr>
                <w:sz w:val="22"/>
                <w:szCs w:val="22"/>
              </w:rPr>
            </w:pPr>
            <w:r w:rsidRPr="006F6777">
              <w:rPr>
                <w:color w:val="000000"/>
                <w:sz w:val="22"/>
                <w:szCs w:val="22"/>
              </w:rPr>
              <w:t xml:space="preserve">Budžeta ieņēmumu aprēķins </w:t>
            </w:r>
            <w:r w:rsidR="00EE1C36" w:rsidRPr="006F6777">
              <w:rPr>
                <w:color w:val="000000"/>
                <w:sz w:val="22"/>
                <w:szCs w:val="22"/>
              </w:rPr>
              <w:t>2014</w:t>
            </w:r>
            <w:r w:rsidRPr="006F6777">
              <w:rPr>
                <w:color w:val="000000"/>
                <w:sz w:val="22"/>
                <w:szCs w:val="22"/>
              </w:rPr>
              <w:t>. – 201</w:t>
            </w:r>
            <w:r w:rsidR="00342BA5" w:rsidRPr="006F6777">
              <w:rPr>
                <w:color w:val="000000"/>
                <w:sz w:val="22"/>
                <w:szCs w:val="22"/>
              </w:rPr>
              <w:t>5</w:t>
            </w:r>
            <w:r w:rsidRPr="006F6777">
              <w:rPr>
                <w:color w:val="000000"/>
                <w:sz w:val="22"/>
                <w:szCs w:val="22"/>
              </w:rPr>
              <w:t>.gadam veikts, pieņemot, ka parāda atgūšanas pakalpojuma sniedzēju skaits būtiski nesamazināsies pēc tiesiskā regulējuma spēkā stāšanās un licenci parāda atgūšanai saņems 54 parāda atgūšanas pakalpojuma sniedzēji (80% no šobrīd identificētajiem tirgus dalībniekiem) un licences saņemšanas valsts nodeva tiks noteikta Ls 2500 apmērā (54 x 2500 = Ls 135 000).</w:t>
            </w:r>
          </w:p>
          <w:p w:rsidR="00810D02" w:rsidRPr="006F6777" w:rsidRDefault="00810D02" w:rsidP="00AF16F6">
            <w:pPr>
              <w:spacing w:before="100" w:beforeAutospacing="1" w:after="100" w:afterAutospacing="1" w:line="270" w:lineRule="atLeast"/>
              <w:jc w:val="both"/>
              <w:rPr>
                <w:sz w:val="22"/>
                <w:szCs w:val="22"/>
              </w:rPr>
            </w:pPr>
            <w:r w:rsidRPr="006F6777">
              <w:rPr>
                <w:color w:val="000000"/>
                <w:sz w:val="22"/>
                <w:szCs w:val="22"/>
                <w:u w:val="single"/>
              </w:rPr>
              <w:t xml:space="preserve">PTAC budžeta </w:t>
            </w:r>
            <w:r w:rsidRPr="006F6777">
              <w:rPr>
                <w:sz w:val="22"/>
                <w:szCs w:val="22"/>
                <w:u w:val="single"/>
              </w:rPr>
              <w:t xml:space="preserve">izdevumu detalizēts aprēķins </w:t>
            </w:r>
            <w:r w:rsidR="003025DE" w:rsidRPr="006F6777">
              <w:rPr>
                <w:sz w:val="22"/>
                <w:szCs w:val="22"/>
                <w:u w:val="single"/>
              </w:rPr>
              <w:t>2014</w:t>
            </w:r>
            <w:r w:rsidRPr="006F6777">
              <w:rPr>
                <w:sz w:val="22"/>
                <w:szCs w:val="22"/>
                <w:u w:val="single"/>
              </w:rPr>
              <w:t>.gadam</w:t>
            </w:r>
            <w:r w:rsidRPr="006F6777">
              <w:rPr>
                <w:sz w:val="22"/>
                <w:szCs w:val="22"/>
              </w:rPr>
              <w:t xml:space="preserve"> (</w:t>
            </w:r>
            <w:r w:rsidRPr="006F6777">
              <w:rPr>
                <w:bCs/>
                <w:sz w:val="22"/>
                <w:szCs w:val="22"/>
              </w:rPr>
              <w:t>Ls 38  658,50</w:t>
            </w:r>
            <w:r w:rsidRPr="006F6777">
              <w:rPr>
                <w:sz w:val="22"/>
                <w:szCs w:val="22"/>
              </w:rPr>
              <w:t>):</w:t>
            </w:r>
          </w:p>
          <w:p w:rsidR="00810D02" w:rsidRPr="006F6777" w:rsidRDefault="00BC33A0" w:rsidP="00CC567D">
            <w:pPr>
              <w:jc w:val="both"/>
              <w:rPr>
                <w:sz w:val="22"/>
                <w:szCs w:val="22"/>
              </w:rPr>
            </w:pPr>
            <w:r w:rsidRPr="006F6777">
              <w:rPr>
                <w:sz w:val="22"/>
                <w:szCs w:val="22"/>
              </w:rPr>
              <w:t xml:space="preserve">I </w:t>
            </w:r>
            <w:r w:rsidR="00810D02" w:rsidRPr="006F6777">
              <w:rPr>
                <w:sz w:val="22"/>
                <w:szCs w:val="22"/>
                <w:u w:val="single"/>
              </w:rPr>
              <w:t>Licences pieteikumu izvērtēšana un parāda piedzinēju tirgus uzraudzība</w:t>
            </w:r>
            <w:r w:rsidR="00810D02" w:rsidRPr="006F6777">
              <w:rPr>
                <w:sz w:val="22"/>
                <w:szCs w:val="22"/>
              </w:rPr>
              <w:t xml:space="preserve"> – </w:t>
            </w:r>
            <w:r w:rsidR="00810D02" w:rsidRPr="006F6777">
              <w:rPr>
                <w:bCs/>
                <w:sz w:val="22"/>
                <w:szCs w:val="22"/>
              </w:rPr>
              <w:t>Ls 20 251,50</w:t>
            </w:r>
            <w:r w:rsidR="00810D02" w:rsidRPr="006F6777">
              <w:rPr>
                <w:sz w:val="22"/>
                <w:szCs w:val="22"/>
              </w:rPr>
              <w:t>:</w:t>
            </w:r>
          </w:p>
          <w:p w:rsidR="00810D02" w:rsidRPr="006F6777" w:rsidRDefault="00C251A2" w:rsidP="00CC567D">
            <w:pPr>
              <w:jc w:val="both"/>
              <w:rPr>
                <w:sz w:val="22"/>
                <w:szCs w:val="22"/>
              </w:rPr>
            </w:pPr>
            <w:r w:rsidRPr="006F6777">
              <w:rPr>
                <w:sz w:val="22"/>
                <w:szCs w:val="22"/>
              </w:rPr>
              <w:t xml:space="preserve">- </w:t>
            </w:r>
            <w:r w:rsidR="00810D02" w:rsidRPr="006F6777">
              <w:rPr>
                <w:sz w:val="22"/>
                <w:szCs w:val="22"/>
              </w:rPr>
              <w:t>Atalgojums 2 darbiniekiem: (26.3. saime, IV līmenis, 11.mēnešalgu grupa)  Ls 680 x 12 mēn. = Ls 8160 x 2 darbinieki = Ls 16320</w:t>
            </w:r>
          </w:p>
          <w:p w:rsidR="00810D02" w:rsidRPr="006F6777" w:rsidRDefault="00832554" w:rsidP="00CC567D">
            <w:pPr>
              <w:tabs>
                <w:tab w:val="left" w:pos="139"/>
              </w:tabs>
              <w:jc w:val="both"/>
              <w:rPr>
                <w:sz w:val="22"/>
                <w:szCs w:val="22"/>
              </w:rPr>
            </w:pPr>
            <w:r w:rsidRPr="006F6777">
              <w:rPr>
                <w:rFonts w:eastAsia="Calibri"/>
                <w:sz w:val="22"/>
                <w:szCs w:val="22"/>
              </w:rPr>
              <w:t>-</w:t>
            </w:r>
            <w:r w:rsidR="00C251A2" w:rsidRPr="006F6777">
              <w:rPr>
                <w:rFonts w:eastAsia="Calibri"/>
                <w:sz w:val="22"/>
                <w:szCs w:val="22"/>
              </w:rPr>
              <w:t xml:space="preserve"> </w:t>
            </w:r>
            <w:r w:rsidR="00810D02" w:rsidRPr="006F6777">
              <w:rPr>
                <w:rFonts w:eastAsia="Calibri"/>
                <w:sz w:val="22"/>
                <w:szCs w:val="22"/>
              </w:rPr>
              <w:t>Valsts sociālās apdrošināšanas iemaksas: 24,09% x  16320 = 3931,50</w:t>
            </w:r>
          </w:p>
          <w:p w:rsidR="00CC567D" w:rsidRPr="006F6777" w:rsidRDefault="00CC567D" w:rsidP="00CC567D">
            <w:pPr>
              <w:jc w:val="both"/>
              <w:rPr>
                <w:sz w:val="22"/>
                <w:szCs w:val="22"/>
              </w:rPr>
            </w:pPr>
          </w:p>
          <w:p w:rsidR="00810D02" w:rsidRPr="006F6777" w:rsidRDefault="00BC33A0" w:rsidP="00CC567D">
            <w:pPr>
              <w:jc w:val="both"/>
              <w:rPr>
                <w:sz w:val="22"/>
                <w:szCs w:val="22"/>
              </w:rPr>
            </w:pPr>
            <w:r w:rsidRPr="006F6777">
              <w:rPr>
                <w:sz w:val="22"/>
                <w:szCs w:val="22"/>
              </w:rPr>
              <w:t xml:space="preserve">II </w:t>
            </w:r>
            <w:r w:rsidR="00810D02" w:rsidRPr="006F6777">
              <w:rPr>
                <w:sz w:val="22"/>
                <w:szCs w:val="22"/>
                <w:u w:val="single"/>
              </w:rPr>
              <w:t>Pakalpojumu apmaksa darbiniekiem</w:t>
            </w:r>
            <w:r w:rsidR="00810D02" w:rsidRPr="006F6777">
              <w:rPr>
                <w:sz w:val="22"/>
                <w:szCs w:val="22"/>
              </w:rPr>
              <w:t xml:space="preserve"> – </w:t>
            </w:r>
            <w:r w:rsidR="00810D02" w:rsidRPr="006F6777">
              <w:rPr>
                <w:bCs/>
                <w:sz w:val="22"/>
                <w:szCs w:val="22"/>
              </w:rPr>
              <w:t>Ls 5978</w:t>
            </w:r>
            <w:r w:rsidR="00810D02" w:rsidRPr="006F6777">
              <w:rPr>
                <w:sz w:val="22"/>
                <w:szCs w:val="22"/>
              </w:rPr>
              <w:t>:</w:t>
            </w:r>
          </w:p>
          <w:p w:rsidR="00810D02" w:rsidRPr="006F6777" w:rsidRDefault="00810D02" w:rsidP="00CC567D">
            <w:pPr>
              <w:jc w:val="both"/>
              <w:rPr>
                <w:sz w:val="22"/>
                <w:szCs w:val="22"/>
              </w:rPr>
            </w:pPr>
            <w:r w:rsidRPr="006F6777">
              <w:rPr>
                <w:sz w:val="22"/>
                <w:szCs w:val="22"/>
              </w:rPr>
              <w:t xml:space="preserve">- telpu noma (ieskaitot komunālos maksājumus) – (30 m² x 7 Ls) x 12 mēn. = Ls 2520; </w:t>
            </w:r>
          </w:p>
          <w:p w:rsidR="00810D02" w:rsidRPr="006F6777" w:rsidRDefault="00810D02" w:rsidP="00CC567D">
            <w:pPr>
              <w:jc w:val="both"/>
              <w:rPr>
                <w:sz w:val="22"/>
                <w:szCs w:val="22"/>
              </w:rPr>
            </w:pPr>
            <w:r w:rsidRPr="006F6777">
              <w:rPr>
                <w:sz w:val="22"/>
                <w:szCs w:val="22"/>
              </w:rPr>
              <w:t>- telekomunikāciju pakalpojumi  (Ls 40 x 12 mēn.) x 2 cilv. =  Ls 960</w:t>
            </w:r>
          </w:p>
          <w:p w:rsidR="00810D02" w:rsidRPr="006F6777" w:rsidRDefault="005D1389" w:rsidP="00CC567D">
            <w:pPr>
              <w:jc w:val="both"/>
              <w:rPr>
                <w:sz w:val="22"/>
                <w:szCs w:val="22"/>
              </w:rPr>
            </w:pPr>
            <w:r w:rsidRPr="006F6777">
              <w:rPr>
                <w:sz w:val="22"/>
                <w:szCs w:val="22"/>
              </w:rPr>
              <w:t>- internets</w:t>
            </w:r>
            <w:r w:rsidR="00810D02" w:rsidRPr="006F6777">
              <w:rPr>
                <w:sz w:val="22"/>
                <w:szCs w:val="22"/>
              </w:rPr>
              <w:t>, Komercreģistrs un citi sakari (Ls 10 x 12 mēn.) x 2 cilv. = Ls 240</w:t>
            </w:r>
          </w:p>
          <w:p w:rsidR="00810D02" w:rsidRPr="006F6777" w:rsidRDefault="00810D02" w:rsidP="00CC567D">
            <w:pPr>
              <w:jc w:val="both"/>
              <w:rPr>
                <w:sz w:val="22"/>
                <w:szCs w:val="22"/>
              </w:rPr>
            </w:pPr>
            <w:r w:rsidRPr="006F6777">
              <w:rPr>
                <w:sz w:val="22"/>
                <w:szCs w:val="22"/>
              </w:rPr>
              <w:t>- pasta pakalpojumi Ls 100 x 2 cilv. = Ls 200</w:t>
            </w:r>
          </w:p>
          <w:p w:rsidR="00810D02" w:rsidRPr="006F6777" w:rsidRDefault="00810D02" w:rsidP="00CC567D">
            <w:pPr>
              <w:jc w:val="both"/>
              <w:rPr>
                <w:sz w:val="22"/>
                <w:szCs w:val="22"/>
              </w:rPr>
            </w:pPr>
            <w:r w:rsidRPr="006F6777">
              <w:rPr>
                <w:sz w:val="22"/>
                <w:szCs w:val="22"/>
              </w:rPr>
              <w:t>- darbinieku apmācība Ls 300 x 2 cilv. = Ls 600</w:t>
            </w:r>
          </w:p>
          <w:p w:rsidR="00810D02" w:rsidRPr="006F6777" w:rsidRDefault="00810D02" w:rsidP="00CC567D">
            <w:pPr>
              <w:jc w:val="both"/>
              <w:rPr>
                <w:sz w:val="22"/>
                <w:szCs w:val="22"/>
              </w:rPr>
            </w:pPr>
            <w:r w:rsidRPr="006F6777">
              <w:rPr>
                <w:sz w:val="22"/>
                <w:szCs w:val="22"/>
              </w:rPr>
              <w:t>- komandējumi = Ls 1458, tai skaitā:</w:t>
            </w:r>
          </w:p>
          <w:p w:rsidR="00810D02" w:rsidRPr="006F6777" w:rsidRDefault="00EA4C38" w:rsidP="00EA4C38">
            <w:pPr>
              <w:ind w:left="414"/>
              <w:jc w:val="both"/>
              <w:rPr>
                <w:sz w:val="22"/>
                <w:szCs w:val="22"/>
              </w:rPr>
            </w:pPr>
            <w:r w:rsidRPr="006F6777">
              <w:rPr>
                <w:rFonts w:eastAsia="Wingdings"/>
                <w:bCs/>
                <w:sz w:val="22"/>
                <w:szCs w:val="22"/>
              </w:rPr>
              <w:t>-</w:t>
            </w:r>
            <w:r w:rsidR="00810D02" w:rsidRPr="006F6777">
              <w:rPr>
                <w:rFonts w:eastAsia="Wingdings"/>
                <w:bCs/>
                <w:sz w:val="22"/>
                <w:szCs w:val="22"/>
              </w:rPr>
              <w:t xml:space="preserve"> </w:t>
            </w:r>
            <w:r w:rsidR="00810D02" w:rsidRPr="006F6777">
              <w:rPr>
                <w:sz w:val="22"/>
                <w:szCs w:val="22"/>
              </w:rPr>
              <w:t xml:space="preserve">Latvija 6 reizes gadā x 43 Ls (dienas nauda Ls 4 x 2 + viesnīca Ls 25 + transports Ls 10) = Ls 258 x 2 cilv. </w:t>
            </w:r>
            <w:r w:rsidR="00810D02" w:rsidRPr="006F6777">
              <w:rPr>
                <w:bCs/>
                <w:sz w:val="22"/>
                <w:szCs w:val="22"/>
              </w:rPr>
              <w:t xml:space="preserve">= </w:t>
            </w:r>
            <w:r w:rsidR="00810D02" w:rsidRPr="006F6777">
              <w:rPr>
                <w:sz w:val="22"/>
                <w:szCs w:val="22"/>
              </w:rPr>
              <w:t>Ls 516;</w:t>
            </w:r>
          </w:p>
          <w:p w:rsidR="00810D02" w:rsidRPr="006F6777" w:rsidRDefault="00EA4C38" w:rsidP="00EA4C38">
            <w:pPr>
              <w:ind w:left="414"/>
              <w:jc w:val="both"/>
              <w:rPr>
                <w:sz w:val="22"/>
                <w:szCs w:val="22"/>
              </w:rPr>
            </w:pPr>
            <w:r w:rsidRPr="006F6777">
              <w:rPr>
                <w:rFonts w:eastAsia="Wingdings"/>
                <w:sz w:val="22"/>
                <w:szCs w:val="22"/>
              </w:rPr>
              <w:t>-</w:t>
            </w:r>
            <w:r w:rsidR="00832554" w:rsidRPr="006F6777">
              <w:rPr>
                <w:rFonts w:eastAsia="Wingdings"/>
                <w:sz w:val="22"/>
                <w:szCs w:val="22"/>
              </w:rPr>
              <w:t xml:space="preserve"> </w:t>
            </w:r>
            <w:r w:rsidR="00810D02" w:rsidRPr="006F6777">
              <w:rPr>
                <w:sz w:val="22"/>
                <w:szCs w:val="22"/>
              </w:rPr>
              <w:t>Ārvalstis 1 reizes gadā (apmācības, semināri kvalifikācijas celšanai</w:t>
            </w:r>
            <w:r w:rsidRPr="006F6777">
              <w:rPr>
                <w:sz w:val="22"/>
                <w:szCs w:val="22"/>
              </w:rPr>
              <w:t xml:space="preserve">): </w:t>
            </w:r>
            <w:r w:rsidR="00810D02" w:rsidRPr="006F6777">
              <w:rPr>
                <w:sz w:val="22"/>
                <w:szCs w:val="22"/>
              </w:rPr>
              <w:t>x 2 cilv. = Ls 471 (dienas nauda Ls 33 x 2 = Ls 66; viesnīca Ls 105; transports Ls 300) x 2 cilv.= Ls 942</w:t>
            </w:r>
          </w:p>
          <w:p w:rsidR="00CC567D" w:rsidRPr="006F6777" w:rsidRDefault="00CC567D" w:rsidP="00CC567D">
            <w:pPr>
              <w:jc w:val="both"/>
              <w:rPr>
                <w:sz w:val="22"/>
                <w:szCs w:val="22"/>
              </w:rPr>
            </w:pPr>
          </w:p>
          <w:p w:rsidR="00810D02" w:rsidRPr="006F6777" w:rsidRDefault="00810D02" w:rsidP="00CC567D">
            <w:pPr>
              <w:jc w:val="both"/>
              <w:rPr>
                <w:sz w:val="22"/>
                <w:szCs w:val="22"/>
              </w:rPr>
            </w:pPr>
            <w:r w:rsidRPr="006F6777">
              <w:rPr>
                <w:sz w:val="22"/>
                <w:szCs w:val="22"/>
              </w:rPr>
              <w:t>III</w:t>
            </w:r>
            <w:r w:rsidR="00BC33A0" w:rsidRPr="006F6777">
              <w:rPr>
                <w:sz w:val="22"/>
                <w:szCs w:val="22"/>
              </w:rPr>
              <w:t xml:space="preserve"> </w:t>
            </w:r>
            <w:r w:rsidRPr="006F6777">
              <w:rPr>
                <w:sz w:val="22"/>
                <w:szCs w:val="22"/>
                <w:u w:val="single"/>
              </w:rPr>
              <w:t>Materiālais nodrošinājums darbiniekiem</w:t>
            </w:r>
            <w:r w:rsidRPr="006F6777">
              <w:rPr>
                <w:sz w:val="22"/>
                <w:szCs w:val="22"/>
              </w:rPr>
              <w:t xml:space="preserve"> – </w:t>
            </w:r>
            <w:r w:rsidRPr="006F6777">
              <w:rPr>
                <w:bCs/>
                <w:sz w:val="22"/>
                <w:szCs w:val="22"/>
              </w:rPr>
              <w:t>Ls 739</w:t>
            </w:r>
            <w:r w:rsidRPr="006F6777">
              <w:rPr>
                <w:sz w:val="22"/>
                <w:szCs w:val="22"/>
              </w:rPr>
              <w:t>:</w:t>
            </w:r>
          </w:p>
          <w:p w:rsidR="00810D02" w:rsidRPr="006F6777" w:rsidRDefault="00810D02" w:rsidP="00CC567D">
            <w:pPr>
              <w:jc w:val="both"/>
              <w:rPr>
                <w:sz w:val="22"/>
                <w:szCs w:val="22"/>
              </w:rPr>
            </w:pPr>
            <w:r w:rsidRPr="006F6777">
              <w:rPr>
                <w:rFonts w:eastAsia="Calibri"/>
                <w:sz w:val="22"/>
                <w:szCs w:val="22"/>
              </w:rPr>
              <w:t>-</w:t>
            </w:r>
            <w:r w:rsidR="00C251A2" w:rsidRPr="006F6777">
              <w:rPr>
                <w:rFonts w:eastAsia="Calibri"/>
                <w:sz w:val="22"/>
                <w:szCs w:val="22"/>
              </w:rPr>
              <w:t xml:space="preserve"> </w:t>
            </w:r>
            <w:r w:rsidRPr="006F6777">
              <w:rPr>
                <w:sz w:val="22"/>
                <w:szCs w:val="22"/>
              </w:rPr>
              <w:t>biroja tehnikas uzturēšana – kopētāju kasetes (2 x Ls 30 = Ls 60), lāzerprinteru kasetes (10 x Ls 48 = Ls 480), faksa kasetes (1 x Ls 55 = Ls 55) = kopā Ls 595;</w:t>
            </w:r>
          </w:p>
          <w:p w:rsidR="00810D02" w:rsidRPr="006F6777" w:rsidRDefault="00810D02" w:rsidP="00CC567D">
            <w:pPr>
              <w:jc w:val="both"/>
              <w:rPr>
                <w:sz w:val="22"/>
                <w:szCs w:val="22"/>
              </w:rPr>
            </w:pPr>
            <w:r w:rsidRPr="006F6777">
              <w:rPr>
                <w:rFonts w:eastAsia="Calibri"/>
                <w:sz w:val="22"/>
                <w:szCs w:val="22"/>
              </w:rPr>
              <w:t>-</w:t>
            </w:r>
            <w:r w:rsidR="00C251A2" w:rsidRPr="006F6777">
              <w:rPr>
                <w:rFonts w:eastAsia="Calibri"/>
                <w:sz w:val="22"/>
                <w:szCs w:val="22"/>
              </w:rPr>
              <w:t xml:space="preserve"> </w:t>
            </w:r>
            <w:r w:rsidRPr="006F6777">
              <w:rPr>
                <w:sz w:val="22"/>
                <w:szCs w:val="22"/>
              </w:rPr>
              <w:t>kancelejas piederumi –</w:t>
            </w:r>
            <w:r w:rsidRPr="006F6777">
              <w:rPr>
                <w:bCs/>
                <w:sz w:val="22"/>
                <w:szCs w:val="22"/>
              </w:rPr>
              <w:t xml:space="preserve"> </w:t>
            </w:r>
            <w:r w:rsidRPr="006F6777">
              <w:rPr>
                <w:sz w:val="22"/>
                <w:szCs w:val="22"/>
              </w:rPr>
              <w:t>(Ls 6 x 12 mēn.) x 2 cilv. = Ls 144;</w:t>
            </w:r>
          </w:p>
          <w:p w:rsidR="00CC567D" w:rsidRPr="006F6777" w:rsidRDefault="00CC567D" w:rsidP="00CC567D">
            <w:pPr>
              <w:jc w:val="both"/>
              <w:rPr>
                <w:sz w:val="22"/>
                <w:szCs w:val="22"/>
              </w:rPr>
            </w:pPr>
          </w:p>
          <w:p w:rsidR="00810D02" w:rsidRPr="006F6777" w:rsidRDefault="00810D02" w:rsidP="00CC567D">
            <w:pPr>
              <w:jc w:val="both"/>
              <w:rPr>
                <w:sz w:val="22"/>
                <w:szCs w:val="22"/>
              </w:rPr>
            </w:pPr>
            <w:r w:rsidRPr="006F6777">
              <w:rPr>
                <w:sz w:val="22"/>
                <w:szCs w:val="22"/>
              </w:rPr>
              <w:t>IV</w:t>
            </w:r>
            <w:r w:rsidR="00BC33A0" w:rsidRPr="006F6777">
              <w:rPr>
                <w:sz w:val="22"/>
                <w:szCs w:val="22"/>
              </w:rPr>
              <w:t xml:space="preserve"> </w:t>
            </w:r>
            <w:r w:rsidRPr="006F6777">
              <w:rPr>
                <w:sz w:val="22"/>
                <w:szCs w:val="22"/>
              </w:rPr>
              <w:t xml:space="preserve">Kapitālās izmaksas – </w:t>
            </w:r>
            <w:r w:rsidRPr="006F6777">
              <w:rPr>
                <w:bCs/>
                <w:sz w:val="22"/>
                <w:szCs w:val="22"/>
              </w:rPr>
              <w:t>Ls 2680:</w:t>
            </w:r>
          </w:p>
          <w:p w:rsidR="00810D02" w:rsidRPr="006F6777" w:rsidRDefault="00810D02" w:rsidP="00CC567D">
            <w:pPr>
              <w:jc w:val="both"/>
              <w:rPr>
                <w:sz w:val="22"/>
                <w:szCs w:val="22"/>
              </w:rPr>
            </w:pPr>
            <w:r w:rsidRPr="006F6777">
              <w:rPr>
                <w:sz w:val="22"/>
                <w:szCs w:val="22"/>
              </w:rPr>
              <w:t>-</w:t>
            </w:r>
            <w:r w:rsidR="00C251A2" w:rsidRPr="006F6777">
              <w:rPr>
                <w:sz w:val="22"/>
                <w:szCs w:val="22"/>
              </w:rPr>
              <w:t xml:space="preserve"> </w:t>
            </w:r>
            <w:r w:rsidRPr="006F6777">
              <w:rPr>
                <w:sz w:val="22"/>
                <w:szCs w:val="22"/>
              </w:rPr>
              <w:t>2 stacionārie datori (Ls 700 x 2) = 1400 Ls;</w:t>
            </w:r>
          </w:p>
          <w:p w:rsidR="00832554" w:rsidRPr="006F6777" w:rsidRDefault="00810D02" w:rsidP="00CC567D">
            <w:pPr>
              <w:jc w:val="both"/>
              <w:rPr>
                <w:sz w:val="22"/>
                <w:szCs w:val="22"/>
              </w:rPr>
            </w:pPr>
            <w:r w:rsidRPr="006F6777">
              <w:rPr>
                <w:sz w:val="22"/>
                <w:szCs w:val="22"/>
              </w:rPr>
              <w:t>-</w:t>
            </w:r>
            <w:r w:rsidR="00C251A2" w:rsidRPr="006F6777">
              <w:rPr>
                <w:sz w:val="22"/>
                <w:szCs w:val="22"/>
              </w:rPr>
              <w:t xml:space="preserve"> </w:t>
            </w:r>
            <w:r w:rsidRPr="006F6777">
              <w:rPr>
                <w:sz w:val="22"/>
                <w:szCs w:val="22"/>
              </w:rPr>
              <w:t>1 krāsainais tīkla printeris  = Ls  400;</w:t>
            </w:r>
          </w:p>
          <w:p w:rsidR="00810D02" w:rsidRPr="006F6777" w:rsidRDefault="00810D02" w:rsidP="00CC567D">
            <w:pPr>
              <w:jc w:val="both"/>
              <w:rPr>
                <w:sz w:val="22"/>
                <w:szCs w:val="22"/>
              </w:rPr>
            </w:pPr>
            <w:r w:rsidRPr="006F6777">
              <w:rPr>
                <w:rFonts w:eastAsia="Calibri"/>
                <w:sz w:val="22"/>
                <w:szCs w:val="22"/>
              </w:rPr>
              <w:t>-</w:t>
            </w:r>
            <w:r w:rsidR="00C251A2" w:rsidRPr="006F6777">
              <w:rPr>
                <w:rFonts w:eastAsia="Calibri"/>
                <w:sz w:val="22"/>
                <w:szCs w:val="22"/>
              </w:rPr>
              <w:t xml:space="preserve"> </w:t>
            </w:r>
            <w:r w:rsidRPr="006F6777">
              <w:rPr>
                <w:rFonts w:eastAsia="Calibri"/>
                <w:sz w:val="22"/>
                <w:szCs w:val="22"/>
              </w:rPr>
              <w:t>2 darba galdi Ls 250 x 2 = Ls 500;</w:t>
            </w:r>
          </w:p>
          <w:p w:rsidR="00810D02" w:rsidRPr="006F6777" w:rsidRDefault="00810D02" w:rsidP="00CC567D">
            <w:pPr>
              <w:jc w:val="both"/>
              <w:rPr>
                <w:sz w:val="22"/>
                <w:szCs w:val="22"/>
              </w:rPr>
            </w:pPr>
            <w:r w:rsidRPr="006F6777">
              <w:rPr>
                <w:sz w:val="22"/>
                <w:szCs w:val="22"/>
              </w:rPr>
              <w:t>-</w:t>
            </w:r>
            <w:r w:rsidR="00C251A2" w:rsidRPr="006F6777">
              <w:rPr>
                <w:sz w:val="22"/>
                <w:szCs w:val="22"/>
              </w:rPr>
              <w:t xml:space="preserve"> </w:t>
            </w:r>
            <w:r w:rsidRPr="006F6777">
              <w:rPr>
                <w:sz w:val="22"/>
                <w:szCs w:val="22"/>
              </w:rPr>
              <w:t>2 darba krēsli Ls 65 x 2 = Ls 130;</w:t>
            </w:r>
          </w:p>
          <w:p w:rsidR="00C251A2" w:rsidRPr="006F6777" w:rsidRDefault="00810D02" w:rsidP="00CC567D">
            <w:pPr>
              <w:jc w:val="both"/>
              <w:rPr>
                <w:sz w:val="22"/>
                <w:szCs w:val="22"/>
              </w:rPr>
            </w:pPr>
            <w:r w:rsidRPr="006F6777">
              <w:rPr>
                <w:sz w:val="22"/>
                <w:szCs w:val="22"/>
              </w:rPr>
              <w:t>-</w:t>
            </w:r>
            <w:r w:rsidR="00C251A2" w:rsidRPr="006F6777">
              <w:rPr>
                <w:sz w:val="22"/>
                <w:szCs w:val="22"/>
              </w:rPr>
              <w:t xml:space="preserve"> </w:t>
            </w:r>
            <w:r w:rsidRPr="006F6777">
              <w:rPr>
                <w:sz w:val="22"/>
                <w:szCs w:val="22"/>
              </w:rPr>
              <w:t>dokumentu skapis = Ls 250.</w:t>
            </w:r>
          </w:p>
          <w:p w:rsidR="00CC567D" w:rsidRPr="006F6777" w:rsidRDefault="00CC567D" w:rsidP="00CC567D">
            <w:pPr>
              <w:jc w:val="both"/>
              <w:rPr>
                <w:color w:val="000000"/>
                <w:sz w:val="22"/>
                <w:szCs w:val="22"/>
              </w:rPr>
            </w:pPr>
          </w:p>
          <w:p w:rsidR="00810D02" w:rsidRPr="006F6777" w:rsidRDefault="00BC33A0" w:rsidP="00CC567D">
            <w:pPr>
              <w:jc w:val="both"/>
              <w:rPr>
                <w:sz w:val="22"/>
                <w:szCs w:val="22"/>
              </w:rPr>
            </w:pPr>
            <w:r w:rsidRPr="006F6777">
              <w:rPr>
                <w:color w:val="000000"/>
                <w:sz w:val="22"/>
                <w:szCs w:val="22"/>
              </w:rPr>
              <w:t xml:space="preserve">V </w:t>
            </w:r>
            <w:r w:rsidR="00810D02" w:rsidRPr="006F6777">
              <w:rPr>
                <w:color w:val="000000"/>
                <w:sz w:val="22"/>
                <w:szCs w:val="22"/>
              </w:rPr>
              <w:t xml:space="preserve"> </w:t>
            </w:r>
            <w:r w:rsidR="00810D02" w:rsidRPr="006F6777">
              <w:rPr>
                <w:sz w:val="22"/>
                <w:szCs w:val="22"/>
                <w:u w:val="single"/>
              </w:rPr>
              <w:t>Licences veidlapas</w:t>
            </w:r>
            <w:r w:rsidR="00810D02" w:rsidRPr="006F6777">
              <w:rPr>
                <w:sz w:val="22"/>
                <w:szCs w:val="22"/>
              </w:rPr>
              <w:t xml:space="preserve"> – vienas veidlapas</w:t>
            </w:r>
            <w:r w:rsidR="00810D02" w:rsidRPr="006F6777">
              <w:rPr>
                <w:color w:val="000000"/>
                <w:sz w:val="22"/>
                <w:szCs w:val="22"/>
              </w:rPr>
              <w:t xml:space="preserve"> izmaksas Ls 0,10 x 100 = </w:t>
            </w:r>
            <w:r w:rsidR="00810D02" w:rsidRPr="006F6777">
              <w:rPr>
                <w:bCs/>
                <w:color w:val="000000"/>
                <w:sz w:val="22"/>
                <w:szCs w:val="22"/>
              </w:rPr>
              <w:t>Ls 10</w:t>
            </w:r>
            <w:r w:rsidR="00810D02" w:rsidRPr="006F6777">
              <w:rPr>
                <w:color w:val="000000"/>
                <w:sz w:val="22"/>
                <w:szCs w:val="22"/>
              </w:rPr>
              <w:t>.</w:t>
            </w:r>
          </w:p>
          <w:p w:rsidR="00CC567D" w:rsidRPr="006F6777" w:rsidRDefault="00CC567D" w:rsidP="00CC567D">
            <w:pPr>
              <w:jc w:val="both"/>
              <w:rPr>
                <w:color w:val="000000"/>
                <w:sz w:val="22"/>
                <w:szCs w:val="22"/>
              </w:rPr>
            </w:pPr>
          </w:p>
          <w:p w:rsidR="00461E90" w:rsidRPr="006F6777" w:rsidRDefault="00810D02" w:rsidP="00461E90">
            <w:pPr>
              <w:jc w:val="both"/>
              <w:rPr>
                <w:sz w:val="22"/>
                <w:szCs w:val="22"/>
              </w:rPr>
            </w:pPr>
            <w:r w:rsidRPr="006F6777">
              <w:rPr>
                <w:color w:val="000000"/>
                <w:sz w:val="22"/>
                <w:szCs w:val="22"/>
              </w:rPr>
              <w:t>VI</w:t>
            </w:r>
            <w:r w:rsidR="00BC33A0" w:rsidRPr="006F6777">
              <w:rPr>
                <w:color w:val="000000"/>
                <w:sz w:val="22"/>
                <w:szCs w:val="22"/>
              </w:rPr>
              <w:t xml:space="preserve"> </w:t>
            </w:r>
            <w:r w:rsidRPr="006F6777">
              <w:rPr>
                <w:color w:val="000000"/>
                <w:sz w:val="22"/>
                <w:szCs w:val="22"/>
                <w:u w:val="single"/>
              </w:rPr>
              <w:t xml:space="preserve">Programmu nodrošinājuma izstrāde un datu bāzes izveide par licenci saņēmušajiem komersantiem, izsniegtajām licencēm, patērētāju sūdzībām un to atrisinājumiem </w:t>
            </w:r>
            <w:r w:rsidRPr="006F6777">
              <w:rPr>
                <w:color w:val="000000"/>
                <w:sz w:val="22"/>
                <w:szCs w:val="22"/>
              </w:rPr>
              <w:t xml:space="preserve">= </w:t>
            </w:r>
            <w:r w:rsidRPr="006F6777">
              <w:rPr>
                <w:bCs/>
                <w:color w:val="000000"/>
                <w:sz w:val="22"/>
                <w:szCs w:val="22"/>
              </w:rPr>
              <w:t>Ls 9</w:t>
            </w:r>
            <w:r w:rsidR="00461E90" w:rsidRPr="006F6777">
              <w:rPr>
                <w:bCs/>
                <w:color w:val="000000"/>
                <w:sz w:val="22"/>
                <w:szCs w:val="22"/>
              </w:rPr>
              <w:t> </w:t>
            </w:r>
            <w:r w:rsidRPr="006F6777">
              <w:rPr>
                <w:bCs/>
                <w:color w:val="000000"/>
                <w:sz w:val="22"/>
                <w:szCs w:val="22"/>
              </w:rPr>
              <w:t>000</w:t>
            </w:r>
            <w:r w:rsidRPr="006F6777">
              <w:rPr>
                <w:color w:val="000000"/>
                <w:sz w:val="22"/>
                <w:szCs w:val="22"/>
              </w:rPr>
              <w:t>.</w:t>
            </w:r>
          </w:p>
          <w:p w:rsidR="00461E90" w:rsidRPr="006F6777" w:rsidRDefault="00461E90" w:rsidP="00461E90">
            <w:pPr>
              <w:jc w:val="both"/>
              <w:rPr>
                <w:sz w:val="22"/>
                <w:szCs w:val="22"/>
              </w:rPr>
            </w:pPr>
          </w:p>
          <w:p w:rsidR="00810D02" w:rsidRPr="006F6777" w:rsidRDefault="00810D02" w:rsidP="00CC567D">
            <w:pPr>
              <w:spacing w:after="100" w:afterAutospacing="1" w:line="270" w:lineRule="atLeast"/>
              <w:jc w:val="both"/>
              <w:rPr>
                <w:sz w:val="22"/>
                <w:szCs w:val="22"/>
                <w:u w:val="single"/>
              </w:rPr>
            </w:pPr>
            <w:r w:rsidRPr="006F6777">
              <w:rPr>
                <w:sz w:val="22"/>
                <w:szCs w:val="22"/>
                <w:u w:val="single"/>
              </w:rPr>
              <w:t xml:space="preserve">PTAC budžeta izdevumu detalizēts aprēķins </w:t>
            </w:r>
            <w:r w:rsidR="003025DE" w:rsidRPr="006F6777">
              <w:rPr>
                <w:sz w:val="22"/>
                <w:szCs w:val="22"/>
                <w:u w:val="single"/>
              </w:rPr>
              <w:t>2015</w:t>
            </w:r>
            <w:r w:rsidRPr="006F6777">
              <w:rPr>
                <w:sz w:val="22"/>
                <w:szCs w:val="22"/>
                <w:u w:val="single"/>
              </w:rPr>
              <w:t>.gadam (</w:t>
            </w:r>
            <w:r w:rsidRPr="006F6777">
              <w:rPr>
                <w:bCs/>
                <w:sz w:val="22"/>
                <w:szCs w:val="22"/>
                <w:u w:val="single"/>
              </w:rPr>
              <w:t>Ls 26 978,50</w:t>
            </w:r>
            <w:r w:rsidRPr="006F6777">
              <w:rPr>
                <w:sz w:val="22"/>
                <w:szCs w:val="22"/>
                <w:u w:val="single"/>
              </w:rPr>
              <w:t>):</w:t>
            </w:r>
          </w:p>
          <w:p w:rsidR="00810D02" w:rsidRPr="006F6777" w:rsidRDefault="00810D02" w:rsidP="00CC567D">
            <w:pPr>
              <w:jc w:val="both"/>
              <w:rPr>
                <w:sz w:val="22"/>
                <w:szCs w:val="22"/>
              </w:rPr>
            </w:pPr>
            <w:r w:rsidRPr="006F6777">
              <w:rPr>
                <w:sz w:val="22"/>
                <w:szCs w:val="22"/>
              </w:rPr>
              <w:t>I</w:t>
            </w:r>
            <w:r w:rsidR="00BC33A0" w:rsidRPr="006F6777">
              <w:rPr>
                <w:sz w:val="22"/>
                <w:szCs w:val="22"/>
              </w:rPr>
              <w:t xml:space="preserve"> </w:t>
            </w:r>
            <w:r w:rsidRPr="006F6777">
              <w:rPr>
                <w:sz w:val="22"/>
                <w:szCs w:val="22"/>
                <w:u w:val="single"/>
              </w:rPr>
              <w:t>Licences pieteikumu izvērtēšana un parāda piedzinēju tirgus uzraudzība</w:t>
            </w:r>
            <w:r w:rsidRPr="006F6777">
              <w:rPr>
                <w:sz w:val="22"/>
                <w:szCs w:val="22"/>
              </w:rPr>
              <w:t xml:space="preserve"> – </w:t>
            </w:r>
            <w:r w:rsidRPr="006F6777">
              <w:rPr>
                <w:bCs/>
                <w:sz w:val="22"/>
                <w:szCs w:val="22"/>
              </w:rPr>
              <w:t>Ls 20 251,50</w:t>
            </w:r>
            <w:r w:rsidRPr="006F6777">
              <w:rPr>
                <w:sz w:val="22"/>
                <w:szCs w:val="22"/>
              </w:rPr>
              <w:t>:</w:t>
            </w:r>
          </w:p>
          <w:p w:rsidR="00810D02" w:rsidRPr="006F6777" w:rsidRDefault="00810D02" w:rsidP="00CC567D">
            <w:pPr>
              <w:jc w:val="both"/>
              <w:rPr>
                <w:sz w:val="22"/>
                <w:szCs w:val="22"/>
              </w:rPr>
            </w:pPr>
            <w:r w:rsidRPr="006F6777">
              <w:rPr>
                <w:sz w:val="22"/>
                <w:szCs w:val="22"/>
              </w:rPr>
              <w:t>-</w:t>
            </w:r>
            <w:r w:rsidR="00C251A2" w:rsidRPr="006F6777">
              <w:rPr>
                <w:sz w:val="22"/>
                <w:szCs w:val="22"/>
              </w:rPr>
              <w:t xml:space="preserve"> </w:t>
            </w:r>
            <w:r w:rsidRPr="006F6777">
              <w:rPr>
                <w:sz w:val="22"/>
                <w:szCs w:val="22"/>
              </w:rPr>
              <w:t>Atalgojums 2 darbiniekiem: (26.3. saime, IV līmenis, 11.mēnešalgu grupa)  Ls 680 x 12 mēn. = Ls 8160 x 2 darbinieki = Ls 16320</w:t>
            </w:r>
          </w:p>
          <w:p w:rsidR="00810D02" w:rsidRPr="006F6777" w:rsidRDefault="00832554" w:rsidP="00CC567D">
            <w:pPr>
              <w:tabs>
                <w:tab w:val="left" w:pos="139"/>
              </w:tabs>
              <w:jc w:val="both"/>
              <w:rPr>
                <w:sz w:val="22"/>
                <w:szCs w:val="22"/>
              </w:rPr>
            </w:pPr>
            <w:r w:rsidRPr="006F6777">
              <w:rPr>
                <w:rFonts w:eastAsia="Calibri"/>
                <w:sz w:val="22"/>
                <w:szCs w:val="22"/>
              </w:rPr>
              <w:t>-</w:t>
            </w:r>
            <w:r w:rsidR="00C251A2" w:rsidRPr="006F6777">
              <w:rPr>
                <w:rFonts w:eastAsia="Calibri"/>
                <w:sz w:val="22"/>
                <w:szCs w:val="22"/>
              </w:rPr>
              <w:t xml:space="preserve"> </w:t>
            </w:r>
            <w:r w:rsidR="00810D02" w:rsidRPr="006F6777">
              <w:rPr>
                <w:rFonts w:eastAsia="Calibri"/>
                <w:sz w:val="22"/>
                <w:szCs w:val="22"/>
              </w:rPr>
              <w:t>Valsts sociālās apdrošināšanas iemaksas: 24,09% x  16320 = 3931,50</w:t>
            </w:r>
          </w:p>
          <w:p w:rsidR="00CC567D" w:rsidRPr="006F6777" w:rsidRDefault="00CC567D" w:rsidP="00CC567D">
            <w:pPr>
              <w:jc w:val="both"/>
              <w:rPr>
                <w:sz w:val="22"/>
                <w:szCs w:val="22"/>
              </w:rPr>
            </w:pPr>
          </w:p>
          <w:p w:rsidR="00810D02" w:rsidRPr="006F6777" w:rsidRDefault="00810D02" w:rsidP="00CC567D">
            <w:pPr>
              <w:jc w:val="both"/>
              <w:rPr>
                <w:sz w:val="22"/>
                <w:szCs w:val="22"/>
              </w:rPr>
            </w:pPr>
            <w:r w:rsidRPr="006F6777">
              <w:rPr>
                <w:sz w:val="22"/>
                <w:szCs w:val="22"/>
              </w:rPr>
              <w:t>II</w:t>
            </w:r>
            <w:r w:rsidR="00BC33A0" w:rsidRPr="006F6777">
              <w:rPr>
                <w:sz w:val="22"/>
                <w:szCs w:val="22"/>
              </w:rPr>
              <w:t xml:space="preserve"> </w:t>
            </w:r>
            <w:r w:rsidRPr="006F6777">
              <w:rPr>
                <w:sz w:val="22"/>
                <w:szCs w:val="22"/>
              </w:rPr>
              <w:t xml:space="preserve"> </w:t>
            </w:r>
            <w:r w:rsidRPr="006F6777">
              <w:rPr>
                <w:sz w:val="22"/>
                <w:szCs w:val="22"/>
                <w:u w:val="single"/>
              </w:rPr>
              <w:t>Pakalpojumu apmaksa darbiniekiem</w:t>
            </w:r>
            <w:r w:rsidRPr="006F6777">
              <w:rPr>
                <w:sz w:val="22"/>
                <w:szCs w:val="22"/>
              </w:rPr>
              <w:t xml:space="preserve"> – </w:t>
            </w:r>
            <w:r w:rsidRPr="006F6777">
              <w:rPr>
                <w:bCs/>
                <w:sz w:val="22"/>
                <w:szCs w:val="22"/>
              </w:rPr>
              <w:t>Ls 5978</w:t>
            </w:r>
            <w:r w:rsidRPr="006F6777">
              <w:rPr>
                <w:sz w:val="22"/>
                <w:szCs w:val="22"/>
              </w:rPr>
              <w:t>:</w:t>
            </w:r>
          </w:p>
          <w:p w:rsidR="00810D02" w:rsidRPr="006F6777" w:rsidRDefault="00810D02" w:rsidP="00CC567D">
            <w:pPr>
              <w:jc w:val="both"/>
              <w:rPr>
                <w:sz w:val="22"/>
                <w:szCs w:val="22"/>
              </w:rPr>
            </w:pPr>
            <w:r w:rsidRPr="006F6777">
              <w:rPr>
                <w:sz w:val="22"/>
                <w:szCs w:val="22"/>
              </w:rPr>
              <w:t xml:space="preserve">- telpu noma (ieskaitot komunālos maksājumus) – (30 m² x 7 Ls) x 12 mēn. = Ls </w:t>
            </w:r>
            <w:r w:rsidRPr="006F6777">
              <w:rPr>
                <w:sz w:val="22"/>
                <w:szCs w:val="22"/>
              </w:rPr>
              <w:lastRenderedPageBreak/>
              <w:t xml:space="preserve">2520; </w:t>
            </w:r>
          </w:p>
          <w:p w:rsidR="00810D02" w:rsidRPr="006F6777" w:rsidRDefault="00810D02" w:rsidP="00CC567D">
            <w:pPr>
              <w:jc w:val="both"/>
              <w:rPr>
                <w:sz w:val="22"/>
                <w:szCs w:val="22"/>
              </w:rPr>
            </w:pPr>
            <w:r w:rsidRPr="006F6777">
              <w:rPr>
                <w:sz w:val="22"/>
                <w:szCs w:val="22"/>
              </w:rPr>
              <w:t>- telekomunikāciju pakalpojumi  (Ls 40 x 12 mēn.) x 2 cilv. =  Ls 960</w:t>
            </w:r>
          </w:p>
          <w:p w:rsidR="00810D02" w:rsidRPr="006F6777" w:rsidRDefault="00810D02" w:rsidP="00CC567D">
            <w:pPr>
              <w:jc w:val="both"/>
              <w:rPr>
                <w:sz w:val="22"/>
                <w:szCs w:val="22"/>
              </w:rPr>
            </w:pPr>
            <w:r w:rsidRPr="006F6777">
              <w:rPr>
                <w:sz w:val="22"/>
                <w:szCs w:val="22"/>
              </w:rPr>
              <w:t>- internets, , Komercreģistrs un citi sakari (Ls 10 x 12 mēn.) x 2 cilv. = Ls 240</w:t>
            </w:r>
          </w:p>
          <w:p w:rsidR="00810D02" w:rsidRPr="006F6777" w:rsidRDefault="00810D02" w:rsidP="00CC567D">
            <w:pPr>
              <w:jc w:val="both"/>
              <w:rPr>
                <w:sz w:val="22"/>
                <w:szCs w:val="22"/>
              </w:rPr>
            </w:pPr>
            <w:r w:rsidRPr="006F6777">
              <w:rPr>
                <w:sz w:val="22"/>
                <w:szCs w:val="22"/>
              </w:rPr>
              <w:t>- pasta pakalpojumi Ls 100 x 2 cilv. = Ls 200</w:t>
            </w:r>
          </w:p>
          <w:p w:rsidR="00810D02" w:rsidRPr="006F6777" w:rsidRDefault="00810D02" w:rsidP="00CC567D">
            <w:pPr>
              <w:jc w:val="both"/>
              <w:rPr>
                <w:sz w:val="22"/>
                <w:szCs w:val="22"/>
              </w:rPr>
            </w:pPr>
            <w:r w:rsidRPr="006F6777">
              <w:rPr>
                <w:sz w:val="22"/>
                <w:szCs w:val="22"/>
              </w:rPr>
              <w:t>- darbinieku apmācība</w:t>
            </w:r>
            <w:r w:rsidR="00EA4C38" w:rsidRPr="006F6777">
              <w:rPr>
                <w:sz w:val="22"/>
                <w:szCs w:val="22"/>
              </w:rPr>
              <w:t xml:space="preserve"> parāda atgūšanas tiesiskā regulējuma, procedūras, saistīto jomu jautājumos </w:t>
            </w:r>
            <w:r w:rsidRPr="006F6777">
              <w:rPr>
                <w:sz w:val="22"/>
                <w:szCs w:val="22"/>
              </w:rPr>
              <w:t xml:space="preserve"> Ls 300 x 2 cilv. = Ls 600</w:t>
            </w:r>
          </w:p>
          <w:p w:rsidR="00810D02" w:rsidRPr="006F6777" w:rsidRDefault="00810D02" w:rsidP="00CC567D">
            <w:pPr>
              <w:jc w:val="both"/>
              <w:rPr>
                <w:sz w:val="22"/>
                <w:szCs w:val="22"/>
              </w:rPr>
            </w:pPr>
            <w:r w:rsidRPr="006F6777">
              <w:rPr>
                <w:sz w:val="22"/>
                <w:szCs w:val="22"/>
              </w:rPr>
              <w:t>- komandējumi = Ls 1458, tai skaitā:</w:t>
            </w:r>
          </w:p>
          <w:p w:rsidR="00EA4C38" w:rsidRPr="006F6777" w:rsidRDefault="00EA4C38" w:rsidP="00EA4C38">
            <w:pPr>
              <w:ind w:left="414"/>
              <w:jc w:val="both"/>
              <w:rPr>
                <w:sz w:val="22"/>
                <w:szCs w:val="22"/>
              </w:rPr>
            </w:pPr>
            <w:r w:rsidRPr="006F6777">
              <w:rPr>
                <w:rFonts w:eastAsia="Wingdings"/>
                <w:bCs/>
                <w:sz w:val="22"/>
                <w:szCs w:val="22"/>
              </w:rPr>
              <w:t xml:space="preserve">- </w:t>
            </w:r>
            <w:r w:rsidRPr="006F6777">
              <w:rPr>
                <w:sz w:val="22"/>
                <w:szCs w:val="22"/>
              </w:rPr>
              <w:t xml:space="preserve">Latvija 6 reizes gadā (uzraudzības pasākumi) x 43 Ls (dienas nauda Ls 4 x 2 + viesnīca Ls 25 + transports Ls 10) = Ls 258 x 2 cilv. </w:t>
            </w:r>
            <w:r w:rsidRPr="006F6777">
              <w:rPr>
                <w:bCs/>
                <w:sz w:val="22"/>
                <w:szCs w:val="22"/>
              </w:rPr>
              <w:t xml:space="preserve">= </w:t>
            </w:r>
            <w:r w:rsidRPr="006F6777">
              <w:rPr>
                <w:sz w:val="22"/>
                <w:szCs w:val="22"/>
              </w:rPr>
              <w:t>Ls 516;</w:t>
            </w:r>
          </w:p>
          <w:p w:rsidR="00EA4C38" w:rsidRPr="006F6777" w:rsidRDefault="00EA4C38" w:rsidP="00EA4C38">
            <w:pPr>
              <w:ind w:left="414"/>
              <w:jc w:val="both"/>
              <w:rPr>
                <w:sz w:val="22"/>
                <w:szCs w:val="22"/>
              </w:rPr>
            </w:pPr>
            <w:r w:rsidRPr="006F6777">
              <w:rPr>
                <w:rFonts w:eastAsia="Wingdings"/>
                <w:sz w:val="22"/>
                <w:szCs w:val="22"/>
              </w:rPr>
              <w:t xml:space="preserve">- </w:t>
            </w:r>
            <w:r w:rsidRPr="006F6777">
              <w:rPr>
                <w:sz w:val="22"/>
                <w:szCs w:val="22"/>
              </w:rPr>
              <w:t>Ārvalstis 1 reizes gadā (apmācības, semināri kvalifikācijas celšanai, pieredzes apmaiņa): x 2 cilv. = Ls 471 (dienas nauda Ls 33 x 2 = Ls 66; viesnīca Ls 105; transports Ls 300) x 2 cilv.= Ls 942</w:t>
            </w:r>
          </w:p>
          <w:p w:rsidR="00CC567D" w:rsidRPr="006F6777" w:rsidRDefault="00CC567D" w:rsidP="00CC567D">
            <w:pPr>
              <w:jc w:val="both"/>
              <w:rPr>
                <w:sz w:val="22"/>
                <w:szCs w:val="22"/>
              </w:rPr>
            </w:pPr>
          </w:p>
          <w:p w:rsidR="00810D02" w:rsidRPr="006F6777" w:rsidRDefault="00810D02" w:rsidP="00CC567D">
            <w:pPr>
              <w:jc w:val="both"/>
              <w:rPr>
                <w:sz w:val="22"/>
                <w:szCs w:val="22"/>
              </w:rPr>
            </w:pPr>
            <w:r w:rsidRPr="006F6777">
              <w:rPr>
                <w:sz w:val="22"/>
                <w:szCs w:val="22"/>
              </w:rPr>
              <w:t>III</w:t>
            </w:r>
            <w:r w:rsidR="00BC33A0" w:rsidRPr="006F6777">
              <w:rPr>
                <w:sz w:val="22"/>
                <w:szCs w:val="22"/>
              </w:rPr>
              <w:t xml:space="preserve"> </w:t>
            </w:r>
            <w:r w:rsidRPr="006F6777">
              <w:rPr>
                <w:sz w:val="22"/>
                <w:szCs w:val="22"/>
                <w:u w:val="single"/>
              </w:rPr>
              <w:t>Materiālais nodrošinājums darbiniekiem</w:t>
            </w:r>
            <w:r w:rsidRPr="006F6777">
              <w:rPr>
                <w:sz w:val="22"/>
                <w:szCs w:val="22"/>
              </w:rPr>
              <w:t xml:space="preserve"> – </w:t>
            </w:r>
            <w:r w:rsidRPr="006F6777">
              <w:rPr>
                <w:bCs/>
                <w:sz w:val="22"/>
                <w:szCs w:val="22"/>
              </w:rPr>
              <w:t>Ls 739</w:t>
            </w:r>
            <w:r w:rsidRPr="006F6777">
              <w:rPr>
                <w:sz w:val="22"/>
                <w:szCs w:val="22"/>
              </w:rPr>
              <w:t>:</w:t>
            </w:r>
          </w:p>
          <w:p w:rsidR="00810D02" w:rsidRPr="006F6777" w:rsidRDefault="00810D02" w:rsidP="00CC567D">
            <w:pPr>
              <w:jc w:val="both"/>
              <w:rPr>
                <w:sz w:val="22"/>
                <w:szCs w:val="22"/>
              </w:rPr>
            </w:pPr>
            <w:r w:rsidRPr="006F6777">
              <w:rPr>
                <w:rFonts w:eastAsia="Calibri"/>
                <w:sz w:val="22"/>
                <w:szCs w:val="22"/>
              </w:rPr>
              <w:t>-</w:t>
            </w:r>
            <w:r w:rsidR="00C251A2" w:rsidRPr="006F6777">
              <w:rPr>
                <w:rFonts w:eastAsia="Calibri"/>
                <w:sz w:val="22"/>
                <w:szCs w:val="22"/>
              </w:rPr>
              <w:t xml:space="preserve"> </w:t>
            </w:r>
            <w:r w:rsidRPr="006F6777">
              <w:rPr>
                <w:sz w:val="22"/>
                <w:szCs w:val="22"/>
              </w:rPr>
              <w:t>biroja tehnikas uzturēšana – kopētāju kasetes (2 x Ls 30 = Ls 60), lāzerprinteru kasetes (10 x Ls 48 = Ls 480), faksa kasetes (1 x Ls 55 = Ls 55) = kopā Ls 595;</w:t>
            </w:r>
          </w:p>
          <w:p w:rsidR="00810D02" w:rsidRPr="006F6777" w:rsidRDefault="00810D02" w:rsidP="00CC567D">
            <w:pPr>
              <w:jc w:val="both"/>
              <w:rPr>
                <w:sz w:val="22"/>
                <w:szCs w:val="22"/>
              </w:rPr>
            </w:pPr>
            <w:r w:rsidRPr="006F6777">
              <w:rPr>
                <w:rFonts w:eastAsia="Calibri"/>
                <w:sz w:val="22"/>
                <w:szCs w:val="22"/>
              </w:rPr>
              <w:t>-</w:t>
            </w:r>
            <w:r w:rsidR="00C251A2" w:rsidRPr="006F6777">
              <w:rPr>
                <w:rFonts w:eastAsia="Calibri"/>
                <w:sz w:val="22"/>
                <w:szCs w:val="22"/>
              </w:rPr>
              <w:t xml:space="preserve"> </w:t>
            </w:r>
            <w:r w:rsidRPr="006F6777">
              <w:rPr>
                <w:sz w:val="22"/>
                <w:szCs w:val="22"/>
              </w:rPr>
              <w:t>kancelejas piederumi –</w:t>
            </w:r>
            <w:r w:rsidRPr="006F6777">
              <w:rPr>
                <w:bCs/>
                <w:sz w:val="22"/>
                <w:szCs w:val="22"/>
              </w:rPr>
              <w:t xml:space="preserve"> </w:t>
            </w:r>
            <w:r w:rsidRPr="006F6777">
              <w:rPr>
                <w:sz w:val="22"/>
                <w:szCs w:val="22"/>
              </w:rPr>
              <w:t>(Ls 6 x 12 mēn.) x 2 cilv. = Ls 144;</w:t>
            </w:r>
          </w:p>
          <w:p w:rsidR="00CC567D" w:rsidRPr="006F6777" w:rsidRDefault="00CC567D" w:rsidP="00CC567D">
            <w:pPr>
              <w:jc w:val="both"/>
              <w:rPr>
                <w:sz w:val="22"/>
                <w:szCs w:val="22"/>
              </w:rPr>
            </w:pPr>
          </w:p>
          <w:p w:rsidR="00832554" w:rsidRPr="006F6777" w:rsidRDefault="00810D02" w:rsidP="00CC567D">
            <w:pPr>
              <w:jc w:val="both"/>
              <w:rPr>
                <w:sz w:val="22"/>
                <w:szCs w:val="22"/>
              </w:rPr>
            </w:pPr>
            <w:r w:rsidRPr="006F6777">
              <w:rPr>
                <w:sz w:val="22"/>
                <w:szCs w:val="22"/>
              </w:rPr>
              <w:t xml:space="preserve">IV </w:t>
            </w:r>
            <w:r w:rsidRPr="006F6777">
              <w:rPr>
                <w:sz w:val="22"/>
                <w:szCs w:val="22"/>
                <w:u w:val="single"/>
              </w:rPr>
              <w:t>Licences veidlapas</w:t>
            </w:r>
            <w:r w:rsidRPr="006F6777">
              <w:rPr>
                <w:sz w:val="22"/>
                <w:szCs w:val="22"/>
              </w:rPr>
              <w:t xml:space="preserve"> – vienas veidlapas</w:t>
            </w:r>
            <w:r w:rsidRPr="006F6777">
              <w:rPr>
                <w:color w:val="000000"/>
                <w:sz w:val="22"/>
                <w:szCs w:val="22"/>
              </w:rPr>
              <w:t xml:space="preserve"> izmaksas Ls 0,10 x 100 = </w:t>
            </w:r>
            <w:r w:rsidRPr="006F6777">
              <w:rPr>
                <w:bCs/>
                <w:color w:val="000000"/>
                <w:sz w:val="22"/>
                <w:szCs w:val="22"/>
              </w:rPr>
              <w:t>Ls 10</w:t>
            </w:r>
          </w:p>
          <w:p w:rsidR="00810D02" w:rsidRPr="006F6777" w:rsidRDefault="003025DE" w:rsidP="003025DE">
            <w:pPr>
              <w:jc w:val="both"/>
              <w:rPr>
                <w:sz w:val="22"/>
                <w:szCs w:val="22"/>
              </w:rPr>
            </w:pPr>
            <w:r w:rsidRPr="006F6777">
              <w:rPr>
                <w:color w:val="000000"/>
                <w:sz w:val="22"/>
                <w:szCs w:val="22"/>
              </w:rPr>
              <w:t>2015</w:t>
            </w:r>
            <w:r w:rsidR="00810D02" w:rsidRPr="006F6777">
              <w:rPr>
                <w:color w:val="000000"/>
                <w:sz w:val="22"/>
                <w:szCs w:val="22"/>
              </w:rPr>
              <w:t xml:space="preserve">.gadā un turpmākajos gados PTAC izmaksas, kas saistītas ar parāda atgūšanas pakalpojumu sniedzēju licencēšanu, pārreģistrāciju un parāda </w:t>
            </w:r>
            <w:r w:rsidR="00810D02" w:rsidRPr="006F6777">
              <w:rPr>
                <w:sz w:val="22"/>
                <w:szCs w:val="22"/>
              </w:rPr>
              <w:t xml:space="preserve">atgūšanas darbības jomas uzraudzību ir nosakāmas </w:t>
            </w:r>
            <w:r w:rsidR="00810D02" w:rsidRPr="006F6777">
              <w:rPr>
                <w:bCs/>
                <w:sz w:val="22"/>
                <w:szCs w:val="22"/>
              </w:rPr>
              <w:t>Ls 26 978,50</w:t>
            </w:r>
            <w:r w:rsidR="00810D02" w:rsidRPr="006F6777">
              <w:rPr>
                <w:sz w:val="22"/>
                <w:szCs w:val="22"/>
              </w:rPr>
              <w:t xml:space="preserve"> apmērā</w:t>
            </w:r>
            <w:r w:rsidR="00810D02" w:rsidRPr="006F6777">
              <w:rPr>
                <w:color w:val="000000"/>
                <w:sz w:val="22"/>
                <w:szCs w:val="22"/>
              </w:rPr>
              <w:t>.</w:t>
            </w:r>
          </w:p>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pPr>
            <w:r w:rsidRPr="006F6777">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810D02" w:rsidRPr="006F6777" w:rsidRDefault="00810D02" w:rsidP="00CC48F1"/>
        </w:tc>
      </w:tr>
      <w:tr w:rsidR="00810D02" w:rsidRPr="006F6777" w:rsidTr="00810D02">
        <w:trPr>
          <w:trHeight w:val="252"/>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pPr>
            <w:r w:rsidRPr="006F6777">
              <w:lastRenderedPageBreak/>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810D02" w:rsidRPr="006F6777" w:rsidRDefault="00810D02" w:rsidP="00CC48F1"/>
        </w:tc>
      </w:tr>
      <w:tr w:rsidR="00810D02" w:rsidRPr="006F6777" w:rsidTr="00C251A2">
        <w:trPr>
          <w:trHeight w:val="2743"/>
        </w:trPr>
        <w:tc>
          <w:tcPr>
            <w:tcW w:w="1304" w:type="pct"/>
            <w:tcBorders>
              <w:top w:val="outset" w:sz="6" w:space="0" w:color="000000"/>
              <w:left w:val="outset" w:sz="6" w:space="0" w:color="000000"/>
              <w:bottom w:val="outset" w:sz="6" w:space="0" w:color="000000"/>
              <w:right w:val="outset" w:sz="6" w:space="0" w:color="000000"/>
            </w:tcBorders>
            <w:hideMark/>
          </w:tcPr>
          <w:p w:rsidR="00CC48F1" w:rsidRPr="006F6777" w:rsidRDefault="00810D02" w:rsidP="00CC48F1">
            <w:pPr>
              <w:spacing w:before="100" w:beforeAutospacing="1" w:after="100" w:afterAutospacing="1"/>
            </w:pPr>
            <w:r w:rsidRPr="006F6777">
              <w:lastRenderedPageBreak/>
              <w:t>7. Cita informācija</w:t>
            </w:r>
          </w:p>
        </w:tc>
        <w:tc>
          <w:tcPr>
            <w:tcW w:w="3695" w:type="pct"/>
            <w:gridSpan w:val="5"/>
            <w:tcBorders>
              <w:top w:val="outset" w:sz="6" w:space="0" w:color="000000"/>
              <w:left w:val="outset" w:sz="6" w:space="0" w:color="000000"/>
              <w:bottom w:val="outset" w:sz="6" w:space="0" w:color="000000"/>
              <w:right w:val="outset" w:sz="6" w:space="0" w:color="000000"/>
            </w:tcBorders>
            <w:hideMark/>
          </w:tcPr>
          <w:p w:rsidR="00810D02" w:rsidRPr="006F6777" w:rsidRDefault="00810D02" w:rsidP="00CC48F1">
            <w:pPr>
              <w:jc w:val="both"/>
              <w:rPr>
                <w:sz w:val="22"/>
                <w:szCs w:val="22"/>
              </w:rPr>
            </w:pPr>
            <w:r w:rsidRPr="006F6777">
              <w:rPr>
                <w:sz w:val="22"/>
                <w:szCs w:val="22"/>
              </w:rPr>
              <w:t>Šobrīd Latvijā nav pieejama precīza informācija par parāda atgūšanas pakalpojumu sniedzēju kopapjomu, jo Centrālā statistikas pārvalde šādas informācijas apzināšanu un datu analīzi līdz šim nav veikusi.</w:t>
            </w:r>
          </w:p>
          <w:p w:rsidR="00810D02" w:rsidRPr="006F6777" w:rsidRDefault="00810D02" w:rsidP="00CC48F1">
            <w:pPr>
              <w:jc w:val="both"/>
              <w:rPr>
                <w:sz w:val="22"/>
                <w:szCs w:val="22"/>
              </w:rPr>
            </w:pPr>
            <w:r w:rsidRPr="006F6777">
              <w:rPr>
                <w:sz w:val="22"/>
                <w:szCs w:val="22"/>
              </w:rPr>
              <w:t xml:space="preserve">Saskaņā ar parāda atgūšanas darbības jomas pārstāvju sniegto informāciju likumprojekta izstrādes darba grupas ietvaros šobrīd Latvijā parāda atgūšanu kā pamatdarbības veidu ir norādījuši 67 tirgus dalībnieki. </w:t>
            </w:r>
          </w:p>
          <w:p w:rsidR="00836419" w:rsidRPr="006F6777" w:rsidRDefault="00810D02" w:rsidP="00EE1C36">
            <w:pPr>
              <w:jc w:val="both"/>
              <w:rPr>
                <w:bCs/>
                <w:sz w:val="22"/>
                <w:szCs w:val="22"/>
              </w:rPr>
            </w:pPr>
            <w:r w:rsidRPr="006F6777">
              <w:rPr>
                <w:sz w:val="22"/>
                <w:szCs w:val="22"/>
              </w:rPr>
              <w:t>Ņemot vērā, ka plānotie budžeta ieņēmumi 201</w:t>
            </w:r>
            <w:r w:rsidR="00342BA5" w:rsidRPr="006F6777">
              <w:rPr>
                <w:sz w:val="22"/>
                <w:szCs w:val="22"/>
              </w:rPr>
              <w:t>3</w:t>
            </w:r>
            <w:r w:rsidRPr="006F6777">
              <w:rPr>
                <w:sz w:val="22"/>
                <w:szCs w:val="22"/>
              </w:rPr>
              <w:t xml:space="preserve">.gadā Ls 135 000, apmērā sedz </w:t>
            </w:r>
            <w:r w:rsidR="00EE1C36" w:rsidRPr="006F6777">
              <w:rPr>
                <w:sz w:val="22"/>
                <w:szCs w:val="22"/>
              </w:rPr>
              <w:t>2014</w:t>
            </w:r>
            <w:r w:rsidRPr="006F6777">
              <w:rPr>
                <w:sz w:val="22"/>
                <w:szCs w:val="22"/>
              </w:rPr>
              <w:t>.-</w:t>
            </w:r>
            <w:r w:rsidR="00EE1C36" w:rsidRPr="006F6777">
              <w:rPr>
                <w:sz w:val="22"/>
                <w:szCs w:val="22"/>
              </w:rPr>
              <w:t>2016</w:t>
            </w:r>
            <w:r w:rsidRPr="006F6777">
              <w:rPr>
                <w:sz w:val="22"/>
                <w:szCs w:val="22"/>
              </w:rPr>
              <w:t>.gada izdevumus licencēšanas sistēmas ieviešanai, uzturēšanai un uzraudzības nodrošināšanai</w:t>
            </w:r>
            <w:r w:rsidRPr="006F6777">
              <w:rPr>
                <w:bCs/>
                <w:color w:val="000000"/>
                <w:sz w:val="22"/>
                <w:szCs w:val="22"/>
              </w:rPr>
              <w:t>,</w:t>
            </w:r>
            <w:r w:rsidRPr="006F6777">
              <w:rPr>
                <w:bCs/>
                <w:color w:val="4F81BD"/>
                <w:sz w:val="22"/>
                <w:szCs w:val="22"/>
              </w:rPr>
              <w:t xml:space="preserve"> </w:t>
            </w:r>
            <w:r w:rsidRPr="006F6777">
              <w:rPr>
                <w:bCs/>
                <w:sz w:val="22"/>
                <w:szCs w:val="22"/>
              </w:rPr>
              <w:t>iepriekš minētās izmaksas iespējams kompensēt, piešķirot dotācijas no vispārējiem ieņēmumiem.</w:t>
            </w:r>
            <w:r w:rsidR="00D53596" w:rsidRPr="006F6777">
              <w:rPr>
                <w:bCs/>
                <w:sz w:val="22"/>
                <w:szCs w:val="22"/>
              </w:rPr>
              <w:t xml:space="preserve"> Jautājums par papildu valsts budžeta līdzekļu piešķiršanu Patērētāju tiesību aizsardzības centram 2014.gadā un turpmākajos gados skatāms Ministru kabinetā likumprojekta „Par valsts budžetu 2014.gadan” un likumprojekta „Par vidējā termiņa budžeta ietvaru 2014., 2015.un 2016.gadam” sagatavošanas procesā kopā ar visu ministriju un centrālo valsts iestāžu jaunajām politikas iniciatīvām.</w:t>
            </w:r>
          </w:p>
        </w:tc>
      </w:tr>
    </w:tbl>
    <w:p w:rsidR="00810D02" w:rsidRPr="006F6777" w:rsidRDefault="00810D02" w:rsidP="006C4607">
      <w:pPr>
        <w:pStyle w:val="naisf"/>
        <w:spacing w:before="0" w:after="0"/>
        <w:rPr>
          <w:sz w:val="22"/>
          <w:szCs w:val="22"/>
        </w:rPr>
      </w:pPr>
    </w:p>
    <w:p w:rsidR="0015060C" w:rsidRPr="006F6777" w:rsidRDefault="0015060C" w:rsidP="006C4607">
      <w:pPr>
        <w:pStyle w:val="naisf"/>
        <w:spacing w:before="0" w:after="0"/>
        <w:rPr>
          <w:sz w:val="22"/>
          <w:szCs w:val="22"/>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23436E" w:rsidRPr="006F6777" w:rsidTr="00FD2A8A">
        <w:tc>
          <w:tcPr>
            <w:tcW w:w="10264" w:type="dxa"/>
            <w:gridSpan w:val="3"/>
            <w:tcBorders>
              <w:top w:val="single" w:sz="4" w:space="0" w:color="auto"/>
            </w:tcBorders>
          </w:tcPr>
          <w:p w:rsidR="0023436E" w:rsidRPr="006F6777" w:rsidRDefault="0023436E" w:rsidP="007D099D">
            <w:pPr>
              <w:pStyle w:val="naisnod"/>
              <w:spacing w:before="0" w:after="0"/>
              <w:ind w:left="57" w:right="57"/>
              <w:rPr>
                <w:b w:val="0"/>
                <w:sz w:val="22"/>
                <w:szCs w:val="22"/>
              </w:rPr>
            </w:pPr>
            <w:r w:rsidRPr="006F6777">
              <w:rPr>
                <w:b w:val="0"/>
                <w:sz w:val="22"/>
                <w:szCs w:val="22"/>
              </w:rPr>
              <w:t>VII</w:t>
            </w:r>
            <w:r w:rsidR="000941C5" w:rsidRPr="006F6777">
              <w:rPr>
                <w:b w:val="0"/>
                <w:sz w:val="22"/>
                <w:szCs w:val="22"/>
              </w:rPr>
              <w:t>.</w:t>
            </w:r>
            <w:r w:rsidRPr="006F6777">
              <w:rPr>
                <w:b w:val="0"/>
                <w:sz w:val="22"/>
                <w:szCs w:val="22"/>
              </w:rPr>
              <w:t xml:space="preserve"> Tiesību akta projekta izpildes nodrošināšana un tās ietekme uz institūcijām</w:t>
            </w:r>
          </w:p>
        </w:tc>
      </w:tr>
      <w:tr w:rsidR="004E0B9C" w:rsidRPr="006F6777" w:rsidTr="00FD2A8A">
        <w:trPr>
          <w:trHeight w:val="427"/>
        </w:trPr>
        <w:tc>
          <w:tcPr>
            <w:tcW w:w="374" w:type="dxa"/>
          </w:tcPr>
          <w:p w:rsidR="004E0B9C" w:rsidRPr="006F6777" w:rsidRDefault="004E0B9C" w:rsidP="007D099D">
            <w:pPr>
              <w:pStyle w:val="naisnod"/>
              <w:spacing w:before="0" w:after="0"/>
              <w:ind w:left="57" w:right="57"/>
              <w:jc w:val="left"/>
              <w:rPr>
                <w:b w:val="0"/>
                <w:sz w:val="22"/>
                <w:szCs w:val="22"/>
              </w:rPr>
            </w:pPr>
            <w:r w:rsidRPr="006F6777">
              <w:rPr>
                <w:b w:val="0"/>
                <w:sz w:val="22"/>
                <w:szCs w:val="22"/>
              </w:rPr>
              <w:t>1.</w:t>
            </w:r>
          </w:p>
        </w:tc>
        <w:tc>
          <w:tcPr>
            <w:tcW w:w="4588" w:type="dxa"/>
          </w:tcPr>
          <w:p w:rsidR="004E0B9C" w:rsidRPr="006F6777" w:rsidRDefault="004E0B9C" w:rsidP="007D099D">
            <w:pPr>
              <w:pStyle w:val="naisf"/>
              <w:spacing w:before="0" w:after="0"/>
              <w:ind w:left="57" w:right="57" w:firstLine="0"/>
              <w:jc w:val="left"/>
              <w:rPr>
                <w:sz w:val="22"/>
                <w:szCs w:val="22"/>
              </w:rPr>
            </w:pPr>
            <w:r w:rsidRPr="006F6777">
              <w:rPr>
                <w:sz w:val="22"/>
                <w:szCs w:val="22"/>
              </w:rPr>
              <w:t xml:space="preserve">Projekta izpildē iesaistītās institūcijas </w:t>
            </w:r>
          </w:p>
        </w:tc>
        <w:tc>
          <w:tcPr>
            <w:tcW w:w="5302" w:type="dxa"/>
          </w:tcPr>
          <w:p w:rsidR="004E0B9C" w:rsidRPr="006F6777" w:rsidRDefault="004E0B9C" w:rsidP="00C251A2">
            <w:pPr>
              <w:pStyle w:val="naisnod"/>
              <w:spacing w:before="0" w:after="0"/>
              <w:ind w:left="57" w:right="57"/>
              <w:jc w:val="both"/>
              <w:rPr>
                <w:b w:val="0"/>
                <w:sz w:val="22"/>
                <w:szCs w:val="22"/>
              </w:rPr>
            </w:pPr>
            <w:r w:rsidRPr="006F6777">
              <w:rPr>
                <w:b w:val="0"/>
                <w:sz w:val="22"/>
                <w:szCs w:val="22"/>
              </w:rPr>
              <w:t>Projekta izpildi nodrošina Ekonomikas ministrija, Patērētāju tiesību aizsardzības centrs.</w:t>
            </w:r>
          </w:p>
        </w:tc>
      </w:tr>
      <w:tr w:rsidR="004E0B9C" w:rsidRPr="006F6777" w:rsidTr="00FD2A8A">
        <w:trPr>
          <w:trHeight w:val="463"/>
        </w:trPr>
        <w:tc>
          <w:tcPr>
            <w:tcW w:w="374" w:type="dxa"/>
          </w:tcPr>
          <w:p w:rsidR="004E0B9C" w:rsidRPr="006F6777" w:rsidRDefault="004E0B9C" w:rsidP="007D099D">
            <w:pPr>
              <w:pStyle w:val="naisnod"/>
              <w:spacing w:before="0" w:after="0"/>
              <w:ind w:left="57" w:right="57"/>
              <w:jc w:val="left"/>
              <w:rPr>
                <w:b w:val="0"/>
                <w:sz w:val="22"/>
                <w:szCs w:val="22"/>
              </w:rPr>
            </w:pPr>
            <w:r w:rsidRPr="006F6777">
              <w:rPr>
                <w:b w:val="0"/>
                <w:sz w:val="22"/>
                <w:szCs w:val="22"/>
              </w:rPr>
              <w:t>2.</w:t>
            </w:r>
          </w:p>
        </w:tc>
        <w:tc>
          <w:tcPr>
            <w:tcW w:w="4588" w:type="dxa"/>
          </w:tcPr>
          <w:p w:rsidR="004E0B9C" w:rsidRPr="006F6777" w:rsidRDefault="004E0B9C" w:rsidP="007D099D">
            <w:pPr>
              <w:pStyle w:val="naisf"/>
              <w:spacing w:before="0" w:after="0"/>
              <w:ind w:left="57" w:right="57" w:firstLine="0"/>
              <w:jc w:val="left"/>
              <w:rPr>
                <w:sz w:val="22"/>
                <w:szCs w:val="22"/>
              </w:rPr>
            </w:pPr>
            <w:r w:rsidRPr="006F6777">
              <w:rPr>
                <w:sz w:val="22"/>
                <w:szCs w:val="22"/>
              </w:rPr>
              <w:t xml:space="preserve">Projekta izpildes ietekme uz pārvaldes funkcijām </w:t>
            </w:r>
          </w:p>
        </w:tc>
        <w:tc>
          <w:tcPr>
            <w:tcW w:w="5302" w:type="dxa"/>
          </w:tcPr>
          <w:p w:rsidR="004E0B9C" w:rsidRPr="006F6777" w:rsidRDefault="004E0B9C" w:rsidP="00C251A2">
            <w:pPr>
              <w:pStyle w:val="naisnod"/>
              <w:spacing w:before="0" w:after="0"/>
              <w:ind w:left="57" w:right="57"/>
              <w:jc w:val="both"/>
              <w:rPr>
                <w:b w:val="0"/>
                <w:sz w:val="22"/>
                <w:szCs w:val="22"/>
              </w:rPr>
            </w:pPr>
            <w:r w:rsidRPr="006F6777">
              <w:rPr>
                <w:b w:val="0"/>
                <w:sz w:val="22"/>
                <w:szCs w:val="22"/>
              </w:rPr>
              <w:t xml:space="preserve">Projekts paredz funkciju paplašināšanu Patērētāju tiesību aizsardzības centram, lai nodrošinātu </w:t>
            </w:r>
            <w:r w:rsidR="005559C9" w:rsidRPr="006F6777">
              <w:rPr>
                <w:b w:val="0"/>
                <w:sz w:val="22"/>
                <w:szCs w:val="22"/>
              </w:rPr>
              <w:t>Ministru kabineta noteikumu projektā noteiktās</w:t>
            </w:r>
            <w:r w:rsidRPr="006F6777">
              <w:rPr>
                <w:b w:val="0"/>
                <w:sz w:val="22"/>
                <w:szCs w:val="22"/>
              </w:rPr>
              <w:t xml:space="preserve"> </w:t>
            </w:r>
            <w:r w:rsidR="005559C9" w:rsidRPr="006F6777">
              <w:rPr>
                <w:b w:val="0"/>
                <w:spacing w:val="-2"/>
                <w:sz w:val="22"/>
                <w:szCs w:val="22"/>
              </w:rPr>
              <w:t>speciālās atļaujas (licences) izsniegšanas, izmantošanas, darbības apturēšanas, pārreģistrācijas un</w:t>
            </w:r>
            <w:r w:rsidR="005559C9" w:rsidRPr="006F6777">
              <w:rPr>
                <w:b w:val="0"/>
                <w:sz w:val="22"/>
                <w:szCs w:val="22"/>
              </w:rPr>
              <w:t xml:space="preserve"> anulēšanas kārtības īstenošanu. </w:t>
            </w:r>
          </w:p>
        </w:tc>
      </w:tr>
      <w:tr w:rsidR="004E0B9C" w:rsidRPr="006F6777" w:rsidTr="00FD2A8A">
        <w:trPr>
          <w:trHeight w:val="725"/>
        </w:trPr>
        <w:tc>
          <w:tcPr>
            <w:tcW w:w="374" w:type="dxa"/>
          </w:tcPr>
          <w:p w:rsidR="004E0B9C" w:rsidRPr="006F6777" w:rsidRDefault="004E0B9C" w:rsidP="007D099D">
            <w:pPr>
              <w:pStyle w:val="naisnod"/>
              <w:spacing w:before="0" w:after="0"/>
              <w:ind w:left="57" w:right="57"/>
              <w:jc w:val="left"/>
              <w:rPr>
                <w:b w:val="0"/>
                <w:sz w:val="22"/>
                <w:szCs w:val="22"/>
              </w:rPr>
            </w:pPr>
            <w:r w:rsidRPr="006F6777">
              <w:rPr>
                <w:b w:val="0"/>
                <w:sz w:val="22"/>
                <w:szCs w:val="22"/>
              </w:rPr>
              <w:t>3.</w:t>
            </w:r>
          </w:p>
        </w:tc>
        <w:tc>
          <w:tcPr>
            <w:tcW w:w="4588" w:type="dxa"/>
          </w:tcPr>
          <w:p w:rsidR="004E0B9C" w:rsidRPr="006F6777" w:rsidRDefault="004E0B9C" w:rsidP="007D099D">
            <w:pPr>
              <w:pStyle w:val="naisf"/>
              <w:spacing w:before="0" w:after="0"/>
              <w:ind w:left="57" w:right="57" w:firstLine="0"/>
              <w:jc w:val="left"/>
              <w:rPr>
                <w:sz w:val="22"/>
                <w:szCs w:val="22"/>
              </w:rPr>
            </w:pPr>
            <w:r w:rsidRPr="006F6777">
              <w:rPr>
                <w:sz w:val="22"/>
                <w:szCs w:val="22"/>
              </w:rPr>
              <w:t>Projekta izpildes ietekme uz pārvaldes institucionālo struktūru.</w:t>
            </w:r>
          </w:p>
          <w:p w:rsidR="004E0B9C" w:rsidRPr="006F6777" w:rsidRDefault="004E0B9C" w:rsidP="007D099D">
            <w:pPr>
              <w:pStyle w:val="naisf"/>
              <w:spacing w:before="0" w:after="0"/>
              <w:ind w:left="57" w:right="57" w:firstLine="0"/>
              <w:jc w:val="left"/>
              <w:rPr>
                <w:sz w:val="22"/>
                <w:szCs w:val="22"/>
              </w:rPr>
            </w:pPr>
            <w:r w:rsidRPr="006F6777">
              <w:rPr>
                <w:sz w:val="22"/>
                <w:szCs w:val="22"/>
              </w:rPr>
              <w:t>Jaunu institūciju izveide</w:t>
            </w:r>
          </w:p>
        </w:tc>
        <w:tc>
          <w:tcPr>
            <w:tcW w:w="5302" w:type="dxa"/>
          </w:tcPr>
          <w:p w:rsidR="004E0B9C" w:rsidRPr="006F6777" w:rsidRDefault="004E0B9C" w:rsidP="00C251A2">
            <w:pPr>
              <w:pStyle w:val="naisnod"/>
              <w:spacing w:before="0" w:after="0"/>
              <w:ind w:left="57" w:right="57"/>
              <w:jc w:val="both"/>
              <w:rPr>
                <w:b w:val="0"/>
                <w:sz w:val="22"/>
                <w:szCs w:val="22"/>
              </w:rPr>
            </w:pPr>
            <w:r w:rsidRPr="006F6777">
              <w:rPr>
                <w:b w:val="0"/>
                <w:sz w:val="22"/>
                <w:szCs w:val="22"/>
              </w:rPr>
              <w:t>Projekts neparedz veidot jaunas valsts institūcijas.</w:t>
            </w:r>
          </w:p>
        </w:tc>
      </w:tr>
      <w:tr w:rsidR="004E0B9C" w:rsidRPr="006F6777" w:rsidTr="00FD2A8A">
        <w:trPr>
          <w:trHeight w:val="780"/>
        </w:trPr>
        <w:tc>
          <w:tcPr>
            <w:tcW w:w="374" w:type="dxa"/>
          </w:tcPr>
          <w:p w:rsidR="004E0B9C" w:rsidRPr="006F6777" w:rsidRDefault="004E0B9C" w:rsidP="007D099D">
            <w:pPr>
              <w:pStyle w:val="naisnod"/>
              <w:spacing w:before="0" w:after="0"/>
              <w:ind w:left="57" w:right="57"/>
              <w:jc w:val="left"/>
              <w:rPr>
                <w:b w:val="0"/>
                <w:sz w:val="22"/>
                <w:szCs w:val="22"/>
              </w:rPr>
            </w:pPr>
            <w:r w:rsidRPr="006F6777">
              <w:rPr>
                <w:b w:val="0"/>
                <w:sz w:val="22"/>
                <w:szCs w:val="22"/>
              </w:rPr>
              <w:t>4.</w:t>
            </w:r>
          </w:p>
        </w:tc>
        <w:tc>
          <w:tcPr>
            <w:tcW w:w="4588" w:type="dxa"/>
          </w:tcPr>
          <w:p w:rsidR="004E0B9C" w:rsidRPr="006F6777" w:rsidRDefault="004E0B9C" w:rsidP="007D099D">
            <w:pPr>
              <w:pStyle w:val="naisf"/>
              <w:spacing w:before="0" w:after="0"/>
              <w:ind w:left="57" w:right="57" w:firstLine="0"/>
              <w:jc w:val="left"/>
              <w:rPr>
                <w:sz w:val="22"/>
                <w:szCs w:val="22"/>
              </w:rPr>
            </w:pPr>
            <w:r w:rsidRPr="006F6777">
              <w:rPr>
                <w:sz w:val="22"/>
                <w:szCs w:val="22"/>
              </w:rPr>
              <w:t>Projekta izpildes ietekme uz pārvaldes institucionālo struktūru.</w:t>
            </w:r>
          </w:p>
          <w:p w:rsidR="004E0B9C" w:rsidRPr="006F6777" w:rsidRDefault="004E0B9C" w:rsidP="007D099D">
            <w:pPr>
              <w:pStyle w:val="naisf"/>
              <w:spacing w:before="0" w:after="0"/>
              <w:ind w:left="57" w:right="57" w:firstLine="0"/>
              <w:jc w:val="left"/>
              <w:rPr>
                <w:sz w:val="22"/>
                <w:szCs w:val="22"/>
              </w:rPr>
            </w:pPr>
            <w:r w:rsidRPr="006F6777">
              <w:rPr>
                <w:sz w:val="22"/>
                <w:szCs w:val="22"/>
              </w:rPr>
              <w:t>Esošu institūciju likvidācija</w:t>
            </w:r>
          </w:p>
        </w:tc>
        <w:tc>
          <w:tcPr>
            <w:tcW w:w="5302" w:type="dxa"/>
          </w:tcPr>
          <w:p w:rsidR="004E0B9C" w:rsidRPr="006F6777" w:rsidRDefault="005559C9" w:rsidP="00C251A2">
            <w:pPr>
              <w:pStyle w:val="naisnod"/>
              <w:spacing w:before="0" w:after="0"/>
              <w:ind w:left="57" w:right="57"/>
              <w:jc w:val="both"/>
              <w:rPr>
                <w:b w:val="0"/>
                <w:sz w:val="22"/>
                <w:szCs w:val="22"/>
              </w:rPr>
            </w:pPr>
            <w:r w:rsidRPr="006F6777">
              <w:rPr>
                <w:b w:val="0"/>
                <w:iCs/>
                <w:sz w:val="22"/>
                <w:szCs w:val="22"/>
              </w:rPr>
              <w:t>Projekts šo jomu neskar</w:t>
            </w:r>
          </w:p>
        </w:tc>
      </w:tr>
      <w:tr w:rsidR="004E0B9C" w:rsidRPr="006F6777" w:rsidTr="00FD2A8A">
        <w:trPr>
          <w:trHeight w:val="703"/>
        </w:trPr>
        <w:tc>
          <w:tcPr>
            <w:tcW w:w="374" w:type="dxa"/>
          </w:tcPr>
          <w:p w:rsidR="004E0B9C" w:rsidRPr="006F6777" w:rsidRDefault="004E0B9C" w:rsidP="007D099D">
            <w:pPr>
              <w:pStyle w:val="naisnod"/>
              <w:spacing w:before="0" w:after="0"/>
              <w:ind w:left="57" w:right="57"/>
              <w:jc w:val="left"/>
              <w:rPr>
                <w:b w:val="0"/>
                <w:sz w:val="22"/>
                <w:szCs w:val="22"/>
              </w:rPr>
            </w:pPr>
            <w:r w:rsidRPr="006F6777">
              <w:rPr>
                <w:b w:val="0"/>
                <w:sz w:val="22"/>
                <w:szCs w:val="22"/>
              </w:rPr>
              <w:t>5.</w:t>
            </w:r>
          </w:p>
        </w:tc>
        <w:tc>
          <w:tcPr>
            <w:tcW w:w="4588" w:type="dxa"/>
          </w:tcPr>
          <w:p w:rsidR="004E0B9C" w:rsidRPr="006F6777" w:rsidRDefault="004E0B9C" w:rsidP="007D099D">
            <w:pPr>
              <w:pStyle w:val="naisf"/>
              <w:spacing w:before="0" w:after="0"/>
              <w:ind w:left="57" w:right="57" w:firstLine="0"/>
              <w:jc w:val="left"/>
              <w:rPr>
                <w:sz w:val="22"/>
                <w:szCs w:val="22"/>
              </w:rPr>
            </w:pPr>
            <w:r w:rsidRPr="006F6777">
              <w:rPr>
                <w:sz w:val="22"/>
                <w:szCs w:val="22"/>
              </w:rPr>
              <w:t>Projekta izpildes ietekme uz pārvaldes institucionālo struktūru.</w:t>
            </w:r>
          </w:p>
          <w:p w:rsidR="004E0B9C" w:rsidRPr="006F6777" w:rsidRDefault="004E0B9C" w:rsidP="007D099D">
            <w:pPr>
              <w:pStyle w:val="naisf"/>
              <w:spacing w:before="0" w:after="0"/>
              <w:ind w:left="57" w:right="57" w:firstLine="0"/>
              <w:jc w:val="left"/>
              <w:rPr>
                <w:sz w:val="22"/>
                <w:szCs w:val="22"/>
              </w:rPr>
            </w:pPr>
            <w:r w:rsidRPr="006F6777">
              <w:rPr>
                <w:sz w:val="22"/>
                <w:szCs w:val="22"/>
              </w:rPr>
              <w:t>Esošu institūciju reorganizācija</w:t>
            </w:r>
          </w:p>
        </w:tc>
        <w:tc>
          <w:tcPr>
            <w:tcW w:w="5302" w:type="dxa"/>
          </w:tcPr>
          <w:p w:rsidR="004E0B9C" w:rsidRPr="006F6777" w:rsidRDefault="005559C9" w:rsidP="00C251A2">
            <w:pPr>
              <w:pStyle w:val="naisnod"/>
              <w:spacing w:before="0" w:after="0"/>
              <w:ind w:left="57" w:right="57"/>
              <w:jc w:val="both"/>
              <w:rPr>
                <w:b w:val="0"/>
                <w:sz w:val="22"/>
                <w:szCs w:val="22"/>
              </w:rPr>
            </w:pPr>
            <w:r w:rsidRPr="006F6777">
              <w:rPr>
                <w:b w:val="0"/>
                <w:iCs/>
                <w:sz w:val="22"/>
                <w:szCs w:val="22"/>
              </w:rPr>
              <w:t>Projekts šo jomu neskar</w:t>
            </w:r>
          </w:p>
        </w:tc>
      </w:tr>
      <w:tr w:rsidR="004E0B9C" w:rsidRPr="006F6777" w:rsidTr="00FD2A8A">
        <w:trPr>
          <w:trHeight w:val="476"/>
        </w:trPr>
        <w:tc>
          <w:tcPr>
            <w:tcW w:w="374" w:type="dxa"/>
          </w:tcPr>
          <w:p w:rsidR="004E0B9C" w:rsidRPr="006F6777" w:rsidRDefault="004E0B9C" w:rsidP="007D099D">
            <w:pPr>
              <w:pStyle w:val="naiskr"/>
              <w:spacing w:before="0" w:after="0"/>
              <w:ind w:left="57" w:right="57"/>
              <w:rPr>
                <w:sz w:val="22"/>
                <w:szCs w:val="22"/>
              </w:rPr>
            </w:pPr>
            <w:r w:rsidRPr="006F6777">
              <w:rPr>
                <w:sz w:val="22"/>
                <w:szCs w:val="22"/>
              </w:rPr>
              <w:lastRenderedPageBreak/>
              <w:t>6.</w:t>
            </w:r>
          </w:p>
        </w:tc>
        <w:tc>
          <w:tcPr>
            <w:tcW w:w="4588" w:type="dxa"/>
          </w:tcPr>
          <w:p w:rsidR="004E0B9C" w:rsidRPr="006F6777" w:rsidRDefault="004E0B9C" w:rsidP="007D099D">
            <w:pPr>
              <w:pStyle w:val="naiskr"/>
              <w:spacing w:before="0" w:after="0"/>
              <w:ind w:left="57" w:right="57"/>
              <w:rPr>
                <w:sz w:val="22"/>
                <w:szCs w:val="22"/>
              </w:rPr>
            </w:pPr>
            <w:r w:rsidRPr="006F6777">
              <w:rPr>
                <w:sz w:val="22"/>
                <w:szCs w:val="22"/>
              </w:rPr>
              <w:t>Cita informācija</w:t>
            </w:r>
          </w:p>
        </w:tc>
        <w:tc>
          <w:tcPr>
            <w:tcW w:w="5302" w:type="dxa"/>
          </w:tcPr>
          <w:p w:rsidR="004E0B9C" w:rsidRPr="006F6777" w:rsidRDefault="004E0B9C" w:rsidP="00CC48F1">
            <w:pPr>
              <w:pStyle w:val="naiskr"/>
              <w:spacing w:before="0" w:after="0"/>
              <w:ind w:left="57" w:right="57"/>
              <w:rPr>
                <w:sz w:val="22"/>
                <w:szCs w:val="22"/>
              </w:rPr>
            </w:pPr>
            <w:r w:rsidRPr="006F6777">
              <w:rPr>
                <w:sz w:val="22"/>
                <w:szCs w:val="22"/>
              </w:rPr>
              <w:t>Nav</w:t>
            </w:r>
          </w:p>
        </w:tc>
      </w:tr>
    </w:tbl>
    <w:p w:rsidR="00461E90" w:rsidRDefault="00461E90" w:rsidP="006C4607">
      <w:pPr>
        <w:pStyle w:val="naisf"/>
        <w:tabs>
          <w:tab w:val="left" w:pos="5760"/>
        </w:tabs>
        <w:spacing w:before="0" w:after="0"/>
        <w:ind w:firstLine="720"/>
        <w:rPr>
          <w:sz w:val="28"/>
          <w:szCs w:val="28"/>
        </w:rPr>
      </w:pPr>
    </w:p>
    <w:p w:rsidR="00FC4593" w:rsidRDefault="00FC4593" w:rsidP="00FF4956">
      <w:pPr>
        <w:pStyle w:val="naisf"/>
        <w:tabs>
          <w:tab w:val="left" w:pos="5760"/>
        </w:tabs>
        <w:spacing w:before="0" w:after="0"/>
        <w:jc w:val="center"/>
        <w:rPr>
          <w:sz w:val="28"/>
          <w:szCs w:val="28"/>
        </w:rPr>
      </w:pPr>
      <w:r w:rsidRPr="007F5D52">
        <w:rPr>
          <w:i/>
        </w:rPr>
        <w:t>Anotācijas IV, V un VI – projekts šīs jomas neskar.</w:t>
      </w:r>
    </w:p>
    <w:p w:rsidR="008D73FE" w:rsidRDefault="008D73FE" w:rsidP="00BF5076">
      <w:pPr>
        <w:pStyle w:val="Subtitle"/>
        <w:tabs>
          <w:tab w:val="left" w:pos="6096"/>
        </w:tabs>
        <w:spacing w:before="240" w:after="120"/>
        <w:ind w:left="0"/>
        <w:rPr>
          <w:szCs w:val="28"/>
        </w:rPr>
      </w:pPr>
    </w:p>
    <w:p w:rsidR="008D73FE" w:rsidRDefault="008D73FE" w:rsidP="00BF5076">
      <w:pPr>
        <w:pStyle w:val="Subtitle"/>
        <w:tabs>
          <w:tab w:val="left" w:pos="6096"/>
        </w:tabs>
        <w:spacing w:before="240" w:after="120"/>
        <w:ind w:left="0"/>
        <w:rPr>
          <w:szCs w:val="28"/>
        </w:rPr>
      </w:pPr>
    </w:p>
    <w:p w:rsidR="00BF5076" w:rsidRPr="006F6777" w:rsidRDefault="00BF5076" w:rsidP="00BF5076">
      <w:pPr>
        <w:pStyle w:val="Subtitle"/>
        <w:tabs>
          <w:tab w:val="left" w:pos="6096"/>
        </w:tabs>
        <w:spacing w:before="240" w:after="120"/>
        <w:ind w:left="0"/>
        <w:rPr>
          <w:szCs w:val="28"/>
        </w:rPr>
      </w:pPr>
      <w:r w:rsidRPr="006F6777">
        <w:rPr>
          <w:szCs w:val="28"/>
        </w:rPr>
        <w:t>Ekonomikas ministrs</w:t>
      </w:r>
      <w:r w:rsidRPr="006F6777">
        <w:rPr>
          <w:szCs w:val="28"/>
        </w:rPr>
        <w:tab/>
        <w:t>D.Pavļuts</w:t>
      </w:r>
    </w:p>
    <w:p w:rsidR="00BF5076" w:rsidRPr="006F6777" w:rsidRDefault="00BF5076" w:rsidP="00BF5076">
      <w:pPr>
        <w:pStyle w:val="Heading1"/>
        <w:tabs>
          <w:tab w:val="left" w:pos="6096"/>
        </w:tabs>
        <w:spacing w:before="120" w:after="360"/>
        <w:jc w:val="both"/>
        <w:rPr>
          <w:szCs w:val="28"/>
        </w:rPr>
      </w:pPr>
      <w:r w:rsidRPr="006F6777">
        <w:rPr>
          <w:szCs w:val="28"/>
        </w:rPr>
        <w:tab/>
      </w:r>
    </w:p>
    <w:p w:rsidR="008D73FE" w:rsidRPr="008D73FE" w:rsidRDefault="00BF5076" w:rsidP="008D73FE">
      <w:pPr>
        <w:tabs>
          <w:tab w:val="left" w:pos="6096"/>
        </w:tabs>
        <w:spacing w:before="120"/>
        <w:rPr>
          <w:bCs/>
          <w:sz w:val="28"/>
          <w:szCs w:val="28"/>
        </w:rPr>
      </w:pPr>
      <w:r w:rsidRPr="006F6777">
        <w:rPr>
          <w:bCs/>
          <w:sz w:val="28"/>
          <w:szCs w:val="28"/>
        </w:rPr>
        <w:t>Vīza:</w:t>
      </w:r>
      <w:r w:rsidR="008D73FE" w:rsidRPr="008D73FE">
        <w:rPr>
          <w:bCs/>
          <w:sz w:val="28"/>
          <w:szCs w:val="28"/>
        </w:rPr>
        <w:tab/>
      </w:r>
      <w:r w:rsidR="008D73FE" w:rsidRPr="008D73FE">
        <w:rPr>
          <w:bCs/>
          <w:sz w:val="28"/>
          <w:szCs w:val="28"/>
        </w:rPr>
        <w:tab/>
      </w:r>
      <w:r w:rsidR="008D73FE" w:rsidRPr="008D73FE">
        <w:rPr>
          <w:bCs/>
          <w:sz w:val="28"/>
          <w:szCs w:val="28"/>
        </w:rPr>
        <w:tab/>
      </w:r>
    </w:p>
    <w:p w:rsidR="008D73FE" w:rsidRPr="008D73FE" w:rsidRDefault="008D73FE" w:rsidP="008D73FE">
      <w:pPr>
        <w:tabs>
          <w:tab w:val="left" w:pos="6096"/>
        </w:tabs>
        <w:spacing w:before="120"/>
        <w:rPr>
          <w:bCs/>
          <w:sz w:val="28"/>
          <w:szCs w:val="28"/>
        </w:rPr>
      </w:pPr>
      <w:r w:rsidRPr="008D73FE">
        <w:rPr>
          <w:bCs/>
          <w:sz w:val="28"/>
          <w:szCs w:val="28"/>
        </w:rPr>
        <w:t>Valsts sekretāra</w:t>
      </w:r>
    </w:p>
    <w:p w:rsidR="008D73FE" w:rsidRPr="008D73FE" w:rsidRDefault="008D73FE" w:rsidP="008D73FE">
      <w:pPr>
        <w:tabs>
          <w:tab w:val="left" w:pos="6096"/>
        </w:tabs>
        <w:spacing w:before="120"/>
        <w:rPr>
          <w:bCs/>
          <w:sz w:val="28"/>
          <w:szCs w:val="28"/>
        </w:rPr>
      </w:pPr>
      <w:r w:rsidRPr="008D73FE">
        <w:rPr>
          <w:bCs/>
          <w:sz w:val="28"/>
          <w:szCs w:val="28"/>
        </w:rPr>
        <w:t>pienākumu izpildītājs,</w:t>
      </w:r>
    </w:p>
    <w:p w:rsidR="00BF5076" w:rsidRPr="006F6777" w:rsidRDefault="008D73FE" w:rsidP="008D73FE">
      <w:pPr>
        <w:tabs>
          <w:tab w:val="left" w:pos="6096"/>
        </w:tabs>
        <w:spacing w:before="120"/>
        <w:rPr>
          <w:bCs/>
          <w:sz w:val="28"/>
          <w:szCs w:val="28"/>
        </w:rPr>
      </w:pPr>
      <w:r>
        <w:rPr>
          <w:bCs/>
          <w:sz w:val="28"/>
          <w:szCs w:val="28"/>
        </w:rPr>
        <w:t>valsts sekretāra vietnieks</w:t>
      </w:r>
      <w:r>
        <w:rPr>
          <w:bCs/>
          <w:sz w:val="28"/>
          <w:szCs w:val="28"/>
        </w:rPr>
        <w:tab/>
      </w:r>
      <w:r w:rsidRPr="008D73FE">
        <w:rPr>
          <w:bCs/>
          <w:sz w:val="28"/>
          <w:szCs w:val="28"/>
        </w:rPr>
        <w:t>A.Liepiņš</w:t>
      </w:r>
      <w:r w:rsidRPr="008D73FE">
        <w:rPr>
          <w:bCs/>
          <w:sz w:val="28"/>
          <w:szCs w:val="28"/>
        </w:rPr>
        <w:tab/>
      </w:r>
      <w:r w:rsidRPr="008D73FE">
        <w:rPr>
          <w:bCs/>
          <w:sz w:val="28"/>
          <w:szCs w:val="28"/>
        </w:rPr>
        <w:tab/>
      </w:r>
      <w:r w:rsidRPr="008D73FE">
        <w:rPr>
          <w:bCs/>
          <w:sz w:val="28"/>
          <w:szCs w:val="28"/>
        </w:rPr>
        <w:tab/>
      </w:r>
      <w:r w:rsidRPr="008D73FE">
        <w:rPr>
          <w:bCs/>
          <w:sz w:val="28"/>
          <w:szCs w:val="28"/>
        </w:rPr>
        <w:tab/>
      </w:r>
      <w:r w:rsidRPr="008D73FE">
        <w:rPr>
          <w:bCs/>
          <w:sz w:val="28"/>
          <w:szCs w:val="28"/>
        </w:rPr>
        <w:tab/>
      </w:r>
    </w:p>
    <w:p w:rsidR="00BF5076" w:rsidRPr="006F6777" w:rsidRDefault="00BF5076" w:rsidP="00BF5076">
      <w:pPr>
        <w:suppressAutoHyphens/>
        <w:rPr>
          <w:sz w:val="20"/>
        </w:rPr>
      </w:pPr>
    </w:p>
    <w:p w:rsidR="00BF5076" w:rsidRPr="006F6777" w:rsidRDefault="00BF5076" w:rsidP="00BF5076">
      <w:pPr>
        <w:rPr>
          <w:sz w:val="18"/>
          <w:szCs w:val="18"/>
        </w:rPr>
      </w:pPr>
    </w:p>
    <w:p w:rsidR="00BF5076" w:rsidRPr="006F6777" w:rsidRDefault="00BF5076" w:rsidP="00BF5076">
      <w:pPr>
        <w:rPr>
          <w:sz w:val="18"/>
          <w:szCs w:val="18"/>
        </w:rPr>
      </w:pPr>
    </w:p>
    <w:p w:rsidR="00865289" w:rsidRPr="006F6777" w:rsidRDefault="00865289" w:rsidP="00BF5076">
      <w:pPr>
        <w:rPr>
          <w:sz w:val="18"/>
          <w:szCs w:val="18"/>
        </w:rPr>
      </w:pPr>
    </w:p>
    <w:p w:rsidR="00865289" w:rsidRPr="006F6777" w:rsidRDefault="00865289" w:rsidP="00BF5076">
      <w:pPr>
        <w:rPr>
          <w:sz w:val="18"/>
          <w:szCs w:val="18"/>
        </w:rPr>
      </w:pPr>
    </w:p>
    <w:p w:rsidR="00865289" w:rsidRPr="006F6777" w:rsidRDefault="00735405" w:rsidP="00BF5076">
      <w:pPr>
        <w:rPr>
          <w:sz w:val="18"/>
          <w:szCs w:val="18"/>
        </w:rPr>
      </w:pPr>
      <w:r w:rsidRPr="006F6777">
        <w:rPr>
          <w:sz w:val="18"/>
          <w:szCs w:val="18"/>
        </w:rPr>
        <w:fldChar w:fldCharType="begin"/>
      </w:r>
      <w:r w:rsidR="00865289" w:rsidRPr="006F6777">
        <w:rPr>
          <w:sz w:val="18"/>
          <w:szCs w:val="18"/>
        </w:rPr>
        <w:instrText xml:space="preserve"> DATE  \@ "dd.MM.yyyy HH:mm"  \* MERGEFORMAT </w:instrText>
      </w:r>
      <w:r w:rsidRPr="006F6777">
        <w:rPr>
          <w:sz w:val="18"/>
          <w:szCs w:val="18"/>
        </w:rPr>
        <w:fldChar w:fldCharType="separate"/>
      </w:r>
      <w:r w:rsidR="00AF6C04">
        <w:rPr>
          <w:noProof/>
          <w:sz w:val="18"/>
          <w:szCs w:val="18"/>
        </w:rPr>
        <w:t>18.01.2013 14:07</w:t>
      </w:r>
      <w:r w:rsidRPr="006F6777">
        <w:rPr>
          <w:sz w:val="18"/>
          <w:szCs w:val="18"/>
        </w:rPr>
        <w:fldChar w:fldCharType="end"/>
      </w:r>
    </w:p>
    <w:p w:rsidR="00BF5076" w:rsidRPr="006F6777" w:rsidRDefault="000158FD" w:rsidP="00BF5076">
      <w:pPr>
        <w:rPr>
          <w:sz w:val="18"/>
          <w:szCs w:val="18"/>
        </w:rPr>
      </w:pPr>
      <w:fldSimple w:instr=" NUMWORDS   \* MERGEFORMAT ">
        <w:r w:rsidR="00AF6C04" w:rsidRPr="00AF6C04">
          <w:rPr>
            <w:noProof/>
            <w:sz w:val="18"/>
            <w:szCs w:val="18"/>
          </w:rPr>
          <w:t>2678</w:t>
        </w:r>
      </w:fldSimple>
      <w:bookmarkStart w:id="0" w:name="_GoBack"/>
      <w:bookmarkEnd w:id="0"/>
    </w:p>
    <w:p w:rsidR="00BF5076" w:rsidRPr="006F6777" w:rsidRDefault="00BF5076" w:rsidP="00BF5076">
      <w:pPr>
        <w:rPr>
          <w:sz w:val="18"/>
          <w:szCs w:val="18"/>
        </w:rPr>
      </w:pPr>
      <w:r w:rsidRPr="006F6777">
        <w:rPr>
          <w:sz w:val="18"/>
          <w:szCs w:val="18"/>
        </w:rPr>
        <w:t>I.Peipiņa</w:t>
      </w:r>
    </w:p>
    <w:p w:rsidR="008D73FE" w:rsidRDefault="00AA3F7D" w:rsidP="00BF5076">
      <w:pPr>
        <w:tabs>
          <w:tab w:val="center" w:pos="4535"/>
        </w:tabs>
        <w:rPr>
          <w:sz w:val="18"/>
          <w:szCs w:val="18"/>
        </w:rPr>
      </w:pPr>
      <w:hyperlink r:id="rId9" w:history="1">
        <w:r w:rsidR="00BF5076" w:rsidRPr="006F6777">
          <w:rPr>
            <w:rStyle w:val="Hyperlink"/>
            <w:sz w:val="18"/>
            <w:szCs w:val="18"/>
          </w:rPr>
          <w:t>Ilze.Peipina@em.gov.lv</w:t>
        </w:r>
      </w:hyperlink>
      <w:r w:rsidR="00BF5076" w:rsidRPr="006F6777">
        <w:rPr>
          <w:sz w:val="18"/>
          <w:szCs w:val="18"/>
        </w:rPr>
        <w:t xml:space="preserve">; </w:t>
      </w:r>
    </w:p>
    <w:p w:rsidR="00BF5076" w:rsidRPr="006F6777" w:rsidRDefault="00BF5076" w:rsidP="00BF5076">
      <w:pPr>
        <w:tabs>
          <w:tab w:val="center" w:pos="4535"/>
        </w:tabs>
        <w:rPr>
          <w:sz w:val="18"/>
          <w:szCs w:val="18"/>
        </w:rPr>
      </w:pPr>
      <w:r w:rsidRPr="006F6777">
        <w:rPr>
          <w:sz w:val="18"/>
          <w:szCs w:val="18"/>
        </w:rPr>
        <w:t>67013146</w:t>
      </w:r>
      <w:r w:rsidRPr="006F6777">
        <w:rPr>
          <w:sz w:val="18"/>
          <w:szCs w:val="18"/>
        </w:rPr>
        <w:tab/>
      </w:r>
    </w:p>
    <w:p w:rsidR="0015060C" w:rsidRPr="006F6777" w:rsidRDefault="0015060C" w:rsidP="00845811">
      <w:pPr>
        <w:pStyle w:val="naisf"/>
        <w:tabs>
          <w:tab w:val="left" w:pos="6804"/>
        </w:tabs>
        <w:spacing w:before="0" w:after="0"/>
        <w:ind w:firstLine="720"/>
        <w:rPr>
          <w:sz w:val="28"/>
          <w:szCs w:val="28"/>
        </w:rPr>
      </w:pPr>
    </w:p>
    <w:sectPr w:rsidR="0015060C" w:rsidRPr="006F6777" w:rsidSect="00865289">
      <w:headerReference w:type="even" r:id="rId10"/>
      <w:headerReference w:type="default" r:id="rId11"/>
      <w:footerReference w:type="default" r:id="rId12"/>
      <w:footerReference w:type="first" r:id="rId13"/>
      <w:pgSz w:w="11906" w:h="16838" w:code="9"/>
      <w:pgMar w:top="851" w:right="1134" w:bottom="568"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7D" w:rsidRDefault="00AA3F7D">
      <w:r>
        <w:separator/>
      </w:r>
    </w:p>
  </w:endnote>
  <w:endnote w:type="continuationSeparator" w:id="0">
    <w:p w:rsidR="00AA3F7D" w:rsidRDefault="00AA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64" w:rsidRPr="00865289" w:rsidRDefault="000158FD" w:rsidP="00865289">
    <w:pPr>
      <w:pStyle w:val="Footer"/>
      <w:rPr>
        <w:sz w:val="20"/>
        <w:szCs w:val="20"/>
      </w:rPr>
    </w:pPr>
    <w:fldSimple w:instr=" FILENAME   \* MERGEFORMAT ">
      <w:r w:rsidR="008D73FE" w:rsidRPr="008D73FE">
        <w:rPr>
          <w:noProof/>
          <w:sz w:val="20"/>
          <w:szCs w:val="20"/>
        </w:rPr>
        <w:t>EMAnot_180113_LicNot</w:t>
      </w:r>
    </w:fldSimple>
    <w:r w:rsidR="000B2264" w:rsidRPr="00865289">
      <w:rPr>
        <w:sz w:val="20"/>
        <w:szCs w:val="20"/>
      </w:rPr>
      <w:t>; Noteikumu projekta „</w:t>
    </w:r>
    <w:r w:rsidR="007F2A7B" w:rsidRPr="007F2A7B">
      <w:rPr>
        <w:sz w:val="20"/>
        <w:szCs w:val="20"/>
      </w:rPr>
      <w:t>Parāda atgūšanas pakalpojuma sniedzēju licencēšanas kārtība</w:t>
    </w:r>
    <w:r w:rsidR="000B2264" w:rsidRPr="00865289">
      <w:rPr>
        <w:sz w:val="20"/>
        <w:szCs w:val="20"/>
      </w:rPr>
      <w:t>” sākotnējās ietekmes novērtējuma ziņojums (anotācija)</w:t>
    </w:r>
  </w:p>
  <w:p w:rsidR="000B2264" w:rsidRDefault="000B2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64" w:rsidRPr="00865289" w:rsidRDefault="000158FD">
    <w:pPr>
      <w:pStyle w:val="Footer"/>
      <w:rPr>
        <w:sz w:val="20"/>
        <w:szCs w:val="20"/>
      </w:rPr>
    </w:pPr>
    <w:fldSimple w:instr=" FILENAME   \* MERGEFORMAT ">
      <w:r w:rsidR="00CE6D05" w:rsidRPr="00CE6D05">
        <w:rPr>
          <w:noProof/>
          <w:sz w:val="20"/>
          <w:szCs w:val="20"/>
        </w:rPr>
        <w:t>EMAnot_180113_LicNot</w:t>
      </w:r>
    </w:fldSimple>
    <w:r w:rsidR="000B2264" w:rsidRPr="00865289">
      <w:rPr>
        <w:sz w:val="20"/>
        <w:szCs w:val="20"/>
      </w:rPr>
      <w:t>; Noteikumu projekta „</w:t>
    </w:r>
    <w:r w:rsidR="007F2A7B" w:rsidRPr="007F2A7B">
      <w:rPr>
        <w:sz w:val="20"/>
        <w:szCs w:val="20"/>
      </w:rPr>
      <w:t>Parāda atgūšanas pakalpojuma sniedzēju licencēšanas kārtība</w:t>
    </w:r>
    <w:r w:rsidR="000B2264" w:rsidRPr="00865289">
      <w:rPr>
        <w:sz w:val="20"/>
        <w:szCs w:val="20"/>
      </w:rPr>
      <w:t>” sākotnējās ietekmes novērtējuma ziņojums (anotācija)</w:t>
    </w:r>
  </w:p>
  <w:p w:rsidR="000B2264" w:rsidRDefault="000B2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7D" w:rsidRDefault="00AA3F7D">
      <w:r>
        <w:separator/>
      </w:r>
    </w:p>
  </w:footnote>
  <w:footnote w:type="continuationSeparator" w:id="0">
    <w:p w:rsidR="00AA3F7D" w:rsidRDefault="00AA3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64" w:rsidRDefault="00735405" w:rsidP="003C449B">
    <w:pPr>
      <w:pStyle w:val="Header"/>
      <w:framePr w:wrap="around" w:vAnchor="text" w:hAnchor="margin" w:xAlign="center" w:y="1"/>
      <w:rPr>
        <w:rStyle w:val="PageNumber"/>
      </w:rPr>
    </w:pPr>
    <w:r>
      <w:rPr>
        <w:rStyle w:val="PageNumber"/>
      </w:rPr>
      <w:fldChar w:fldCharType="begin"/>
    </w:r>
    <w:r w:rsidR="000B2264">
      <w:rPr>
        <w:rStyle w:val="PageNumber"/>
      </w:rPr>
      <w:instrText xml:space="preserve">PAGE  </w:instrText>
    </w:r>
    <w:r>
      <w:rPr>
        <w:rStyle w:val="PageNumber"/>
      </w:rPr>
      <w:fldChar w:fldCharType="end"/>
    </w:r>
  </w:p>
  <w:p w:rsidR="000B2264" w:rsidRDefault="000B2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64" w:rsidRDefault="00735405" w:rsidP="003C449B">
    <w:pPr>
      <w:pStyle w:val="Header"/>
      <w:framePr w:wrap="around" w:vAnchor="text" w:hAnchor="margin" w:xAlign="center" w:y="1"/>
      <w:rPr>
        <w:rStyle w:val="PageNumber"/>
      </w:rPr>
    </w:pPr>
    <w:r>
      <w:rPr>
        <w:rStyle w:val="PageNumber"/>
      </w:rPr>
      <w:fldChar w:fldCharType="begin"/>
    </w:r>
    <w:r w:rsidR="000B2264">
      <w:rPr>
        <w:rStyle w:val="PageNumber"/>
      </w:rPr>
      <w:instrText xml:space="preserve">PAGE  </w:instrText>
    </w:r>
    <w:r>
      <w:rPr>
        <w:rStyle w:val="PageNumber"/>
      </w:rPr>
      <w:fldChar w:fldCharType="separate"/>
    </w:r>
    <w:r w:rsidR="00AF6C04">
      <w:rPr>
        <w:rStyle w:val="PageNumber"/>
        <w:noProof/>
      </w:rPr>
      <w:t>9</w:t>
    </w:r>
    <w:r>
      <w:rPr>
        <w:rStyle w:val="PageNumber"/>
      </w:rPr>
      <w:fldChar w:fldCharType="end"/>
    </w:r>
  </w:p>
  <w:p w:rsidR="000B2264" w:rsidRDefault="000B2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070A"/>
    <w:rsid w:val="00011D24"/>
    <w:rsid w:val="00013FF4"/>
    <w:rsid w:val="000158FD"/>
    <w:rsid w:val="00020FE1"/>
    <w:rsid w:val="00022E13"/>
    <w:rsid w:val="00032388"/>
    <w:rsid w:val="00035CE2"/>
    <w:rsid w:val="000403DF"/>
    <w:rsid w:val="00041D04"/>
    <w:rsid w:val="0005553B"/>
    <w:rsid w:val="00056FB2"/>
    <w:rsid w:val="000604D2"/>
    <w:rsid w:val="000814FD"/>
    <w:rsid w:val="0009005E"/>
    <w:rsid w:val="000941C5"/>
    <w:rsid w:val="000A6119"/>
    <w:rsid w:val="000A6451"/>
    <w:rsid w:val="000B064E"/>
    <w:rsid w:val="000B2264"/>
    <w:rsid w:val="000B30B3"/>
    <w:rsid w:val="000B69CF"/>
    <w:rsid w:val="000C3170"/>
    <w:rsid w:val="000C51AA"/>
    <w:rsid w:val="000C790C"/>
    <w:rsid w:val="000C7D57"/>
    <w:rsid w:val="000F061D"/>
    <w:rsid w:val="000F4794"/>
    <w:rsid w:val="00104152"/>
    <w:rsid w:val="00124F12"/>
    <w:rsid w:val="00130E0A"/>
    <w:rsid w:val="00144E3A"/>
    <w:rsid w:val="0015060C"/>
    <w:rsid w:val="00152583"/>
    <w:rsid w:val="00153001"/>
    <w:rsid w:val="0016018A"/>
    <w:rsid w:val="00161F0E"/>
    <w:rsid w:val="00170E2A"/>
    <w:rsid w:val="00177394"/>
    <w:rsid w:val="00182C18"/>
    <w:rsid w:val="00183CC2"/>
    <w:rsid w:val="001900E4"/>
    <w:rsid w:val="00190F88"/>
    <w:rsid w:val="00191C17"/>
    <w:rsid w:val="001A4066"/>
    <w:rsid w:val="001A6AE4"/>
    <w:rsid w:val="001B01FD"/>
    <w:rsid w:val="001B4A71"/>
    <w:rsid w:val="001C12C5"/>
    <w:rsid w:val="001D330C"/>
    <w:rsid w:val="001D5B54"/>
    <w:rsid w:val="001E1DBF"/>
    <w:rsid w:val="001E4639"/>
    <w:rsid w:val="001E4A7D"/>
    <w:rsid w:val="001E6FFF"/>
    <w:rsid w:val="001F2E2F"/>
    <w:rsid w:val="001F4209"/>
    <w:rsid w:val="001F43A5"/>
    <w:rsid w:val="001F43A8"/>
    <w:rsid w:val="001F5CD6"/>
    <w:rsid w:val="0021263D"/>
    <w:rsid w:val="00213F0C"/>
    <w:rsid w:val="00214094"/>
    <w:rsid w:val="0021592D"/>
    <w:rsid w:val="00222D76"/>
    <w:rsid w:val="002239A0"/>
    <w:rsid w:val="00223EB1"/>
    <w:rsid w:val="00231344"/>
    <w:rsid w:val="0023436E"/>
    <w:rsid w:val="002347C0"/>
    <w:rsid w:val="00236D1F"/>
    <w:rsid w:val="00241A6C"/>
    <w:rsid w:val="00242D2B"/>
    <w:rsid w:val="00262E2B"/>
    <w:rsid w:val="00265DB7"/>
    <w:rsid w:val="00270429"/>
    <w:rsid w:val="002723E9"/>
    <w:rsid w:val="00277929"/>
    <w:rsid w:val="00283B82"/>
    <w:rsid w:val="002846E9"/>
    <w:rsid w:val="00284C34"/>
    <w:rsid w:val="0029066C"/>
    <w:rsid w:val="002B021E"/>
    <w:rsid w:val="002B42D1"/>
    <w:rsid w:val="002B50DB"/>
    <w:rsid w:val="002C12AB"/>
    <w:rsid w:val="002C7CAC"/>
    <w:rsid w:val="002D3306"/>
    <w:rsid w:val="002D48AA"/>
    <w:rsid w:val="002D4AD5"/>
    <w:rsid w:val="002D7BAA"/>
    <w:rsid w:val="002D7F54"/>
    <w:rsid w:val="002E3FF4"/>
    <w:rsid w:val="002F1DB3"/>
    <w:rsid w:val="002F78C8"/>
    <w:rsid w:val="00301CF3"/>
    <w:rsid w:val="003025DE"/>
    <w:rsid w:val="003115FC"/>
    <w:rsid w:val="00327146"/>
    <w:rsid w:val="0032715C"/>
    <w:rsid w:val="003312AD"/>
    <w:rsid w:val="00337CA5"/>
    <w:rsid w:val="00342BA5"/>
    <w:rsid w:val="0035626C"/>
    <w:rsid w:val="00362478"/>
    <w:rsid w:val="00375B25"/>
    <w:rsid w:val="003812C7"/>
    <w:rsid w:val="0038132C"/>
    <w:rsid w:val="00381DE2"/>
    <w:rsid w:val="00391CB4"/>
    <w:rsid w:val="00396542"/>
    <w:rsid w:val="0039685B"/>
    <w:rsid w:val="003A31A6"/>
    <w:rsid w:val="003A7F0C"/>
    <w:rsid w:val="003A7F79"/>
    <w:rsid w:val="003B6404"/>
    <w:rsid w:val="003C449B"/>
    <w:rsid w:val="003D21FF"/>
    <w:rsid w:val="003F0112"/>
    <w:rsid w:val="003F071A"/>
    <w:rsid w:val="003F160B"/>
    <w:rsid w:val="00400032"/>
    <w:rsid w:val="00400B5B"/>
    <w:rsid w:val="00405A00"/>
    <w:rsid w:val="00420870"/>
    <w:rsid w:val="00432D0C"/>
    <w:rsid w:val="00435E62"/>
    <w:rsid w:val="0043791B"/>
    <w:rsid w:val="00441483"/>
    <w:rsid w:val="00441BCB"/>
    <w:rsid w:val="0045176A"/>
    <w:rsid w:val="00456332"/>
    <w:rsid w:val="00456797"/>
    <w:rsid w:val="00461826"/>
    <w:rsid w:val="00461E90"/>
    <w:rsid w:val="00466849"/>
    <w:rsid w:val="00467E8D"/>
    <w:rsid w:val="00472154"/>
    <w:rsid w:val="004800F9"/>
    <w:rsid w:val="0049134A"/>
    <w:rsid w:val="004A58CB"/>
    <w:rsid w:val="004B1795"/>
    <w:rsid w:val="004B50C9"/>
    <w:rsid w:val="004B56DD"/>
    <w:rsid w:val="004C020F"/>
    <w:rsid w:val="004C0250"/>
    <w:rsid w:val="004C1AFD"/>
    <w:rsid w:val="004C2E98"/>
    <w:rsid w:val="004C558B"/>
    <w:rsid w:val="004E0B9C"/>
    <w:rsid w:val="004F1F88"/>
    <w:rsid w:val="004F5F1B"/>
    <w:rsid w:val="004F611E"/>
    <w:rsid w:val="00502374"/>
    <w:rsid w:val="005060A1"/>
    <w:rsid w:val="00516072"/>
    <w:rsid w:val="00523012"/>
    <w:rsid w:val="005262E5"/>
    <w:rsid w:val="005332EC"/>
    <w:rsid w:val="00534418"/>
    <w:rsid w:val="005353AB"/>
    <w:rsid w:val="005559C9"/>
    <w:rsid w:val="005560BC"/>
    <w:rsid w:val="005573BE"/>
    <w:rsid w:val="00572700"/>
    <w:rsid w:val="00580468"/>
    <w:rsid w:val="005818EA"/>
    <w:rsid w:val="00582231"/>
    <w:rsid w:val="0058603B"/>
    <w:rsid w:val="0059431B"/>
    <w:rsid w:val="005A39CC"/>
    <w:rsid w:val="005B4730"/>
    <w:rsid w:val="005B6B2E"/>
    <w:rsid w:val="005D1389"/>
    <w:rsid w:val="005E05D7"/>
    <w:rsid w:val="005E41E7"/>
    <w:rsid w:val="005E450F"/>
    <w:rsid w:val="005E6A7F"/>
    <w:rsid w:val="00613E42"/>
    <w:rsid w:val="0062298A"/>
    <w:rsid w:val="00626514"/>
    <w:rsid w:val="00626589"/>
    <w:rsid w:val="00633760"/>
    <w:rsid w:val="006339A0"/>
    <w:rsid w:val="006413A8"/>
    <w:rsid w:val="00642E56"/>
    <w:rsid w:val="00647DC9"/>
    <w:rsid w:val="00651E00"/>
    <w:rsid w:val="00655563"/>
    <w:rsid w:val="00674572"/>
    <w:rsid w:val="00687763"/>
    <w:rsid w:val="00692B0D"/>
    <w:rsid w:val="00693E0E"/>
    <w:rsid w:val="006A1AE3"/>
    <w:rsid w:val="006A59F8"/>
    <w:rsid w:val="006C30E1"/>
    <w:rsid w:val="006C4607"/>
    <w:rsid w:val="006C564E"/>
    <w:rsid w:val="006D2D18"/>
    <w:rsid w:val="006D48F1"/>
    <w:rsid w:val="006E04D3"/>
    <w:rsid w:val="006F45BE"/>
    <w:rsid w:val="006F6777"/>
    <w:rsid w:val="007004FC"/>
    <w:rsid w:val="00700D4A"/>
    <w:rsid w:val="00706670"/>
    <w:rsid w:val="00707D54"/>
    <w:rsid w:val="00711F59"/>
    <w:rsid w:val="00716594"/>
    <w:rsid w:val="00721AEC"/>
    <w:rsid w:val="0072417C"/>
    <w:rsid w:val="007325D6"/>
    <w:rsid w:val="00734450"/>
    <w:rsid w:val="00735405"/>
    <w:rsid w:val="007446F2"/>
    <w:rsid w:val="00745F67"/>
    <w:rsid w:val="0075039E"/>
    <w:rsid w:val="00752D9D"/>
    <w:rsid w:val="00754784"/>
    <w:rsid w:val="00757C6E"/>
    <w:rsid w:val="00762BDA"/>
    <w:rsid w:val="007805FD"/>
    <w:rsid w:val="00784422"/>
    <w:rsid w:val="007924A2"/>
    <w:rsid w:val="007A2FD2"/>
    <w:rsid w:val="007A71C6"/>
    <w:rsid w:val="007B3B54"/>
    <w:rsid w:val="007B3FA0"/>
    <w:rsid w:val="007B4FC8"/>
    <w:rsid w:val="007C0F2C"/>
    <w:rsid w:val="007C12B5"/>
    <w:rsid w:val="007C2BCC"/>
    <w:rsid w:val="007C4EF0"/>
    <w:rsid w:val="007D099D"/>
    <w:rsid w:val="007D1163"/>
    <w:rsid w:val="007E2664"/>
    <w:rsid w:val="007E3ABF"/>
    <w:rsid w:val="007E51E1"/>
    <w:rsid w:val="007E5BFA"/>
    <w:rsid w:val="007E6689"/>
    <w:rsid w:val="007E731C"/>
    <w:rsid w:val="007F0A03"/>
    <w:rsid w:val="007F2A7B"/>
    <w:rsid w:val="00803105"/>
    <w:rsid w:val="00810040"/>
    <w:rsid w:val="00810D02"/>
    <w:rsid w:val="0081139C"/>
    <w:rsid w:val="0082023A"/>
    <w:rsid w:val="008205EF"/>
    <w:rsid w:val="00821A7A"/>
    <w:rsid w:val="008253F8"/>
    <w:rsid w:val="00832554"/>
    <w:rsid w:val="008325E4"/>
    <w:rsid w:val="00832A2B"/>
    <w:rsid w:val="00836419"/>
    <w:rsid w:val="00842499"/>
    <w:rsid w:val="0084461D"/>
    <w:rsid w:val="00845811"/>
    <w:rsid w:val="00846994"/>
    <w:rsid w:val="00850451"/>
    <w:rsid w:val="00852042"/>
    <w:rsid w:val="00853138"/>
    <w:rsid w:val="008534C9"/>
    <w:rsid w:val="0085599D"/>
    <w:rsid w:val="00865289"/>
    <w:rsid w:val="0087510C"/>
    <w:rsid w:val="008968D2"/>
    <w:rsid w:val="0089738E"/>
    <w:rsid w:val="008A5B11"/>
    <w:rsid w:val="008B5FDB"/>
    <w:rsid w:val="008C1B5B"/>
    <w:rsid w:val="008C50F4"/>
    <w:rsid w:val="008C5649"/>
    <w:rsid w:val="008D73FE"/>
    <w:rsid w:val="008E44A2"/>
    <w:rsid w:val="008E697D"/>
    <w:rsid w:val="008F635F"/>
    <w:rsid w:val="008F7C6C"/>
    <w:rsid w:val="00903263"/>
    <w:rsid w:val="00906A21"/>
    <w:rsid w:val="009079C3"/>
    <w:rsid w:val="00910462"/>
    <w:rsid w:val="00915AB1"/>
    <w:rsid w:val="00917532"/>
    <w:rsid w:val="009235BA"/>
    <w:rsid w:val="00924023"/>
    <w:rsid w:val="00924CE2"/>
    <w:rsid w:val="00925B9F"/>
    <w:rsid w:val="00931AED"/>
    <w:rsid w:val="009476A3"/>
    <w:rsid w:val="0095334F"/>
    <w:rsid w:val="009601ED"/>
    <w:rsid w:val="00965897"/>
    <w:rsid w:val="0096765C"/>
    <w:rsid w:val="009727E4"/>
    <w:rsid w:val="00990380"/>
    <w:rsid w:val="009934C5"/>
    <w:rsid w:val="00994C0F"/>
    <w:rsid w:val="009A1A45"/>
    <w:rsid w:val="009B22D7"/>
    <w:rsid w:val="009B72ED"/>
    <w:rsid w:val="009C6DEB"/>
    <w:rsid w:val="009D0605"/>
    <w:rsid w:val="009D44C4"/>
    <w:rsid w:val="009D6504"/>
    <w:rsid w:val="009E12D7"/>
    <w:rsid w:val="009E661A"/>
    <w:rsid w:val="009F0FAB"/>
    <w:rsid w:val="00A06781"/>
    <w:rsid w:val="00A074C3"/>
    <w:rsid w:val="00A1509C"/>
    <w:rsid w:val="00A249B9"/>
    <w:rsid w:val="00A31A3B"/>
    <w:rsid w:val="00A34260"/>
    <w:rsid w:val="00A70CFD"/>
    <w:rsid w:val="00A72A0B"/>
    <w:rsid w:val="00A81E42"/>
    <w:rsid w:val="00A864FE"/>
    <w:rsid w:val="00A86F41"/>
    <w:rsid w:val="00A87D04"/>
    <w:rsid w:val="00A950C5"/>
    <w:rsid w:val="00AA1D25"/>
    <w:rsid w:val="00AA3F7D"/>
    <w:rsid w:val="00AA6895"/>
    <w:rsid w:val="00AB0A0E"/>
    <w:rsid w:val="00AB2B1A"/>
    <w:rsid w:val="00AB397F"/>
    <w:rsid w:val="00AB3A44"/>
    <w:rsid w:val="00AB5832"/>
    <w:rsid w:val="00AC51F2"/>
    <w:rsid w:val="00AD3269"/>
    <w:rsid w:val="00AD5308"/>
    <w:rsid w:val="00AE5066"/>
    <w:rsid w:val="00AE5E24"/>
    <w:rsid w:val="00AE61B7"/>
    <w:rsid w:val="00AE6CBA"/>
    <w:rsid w:val="00AE79AD"/>
    <w:rsid w:val="00AF16F6"/>
    <w:rsid w:val="00AF35E4"/>
    <w:rsid w:val="00AF5CDE"/>
    <w:rsid w:val="00AF6C04"/>
    <w:rsid w:val="00B11A57"/>
    <w:rsid w:val="00B211C3"/>
    <w:rsid w:val="00B25597"/>
    <w:rsid w:val="00B267B9"/>
    <w:rsid w:val="00B33E09"/>
    <w:rsid w:val="00B50708"/>
    <w:rsid w:val="00B50C68"/>
    <w:rsid w:val="00B51293"/>
    <w:rsid w:val="00B52B1E"/>
    <w:rsid w:val="00B55481"/>
    <w:rsid w:val="00B56C32"/>
    <w:rsid w:val="00B57ACF"/>
    <w:rsid w:val="00B64BB1"/>
    <w:rsid w:val="00B73166"/>
    <w:rsid w:val="00B8426C"/>
    <w:rsid w:val="00B91B8D"/>
    <w:rsid w:val="00B934F3"/>
    <w:rsid w:val="00B94E90"/>
    <w:rsid w:val="00BA5C75"/>
    <w:rsid w:val="00BB0A82"/>
    <w:rsid w:val="00BB7C94"/>
    <w:rsid w:val="00BC0A9D"/>
    <w:rsid w:val="00BC33A0"/>
    <w:rsid w:val="00BC646D"/>
    <w:rsid w:val="00BE6553"/>
    <w:rsid w:val="00BE694A"/>
    <w:rsid w:val="00BF40ED"/>
    <w:rsid w:val="00BF5076"/>
    <w:rsid w:val="00BF5BC2"/>
    <w:rsid w:val="00C065FE"/>
    <w:rsid w:val="00C1133D"/>
    <w:rsid w:val="00C251A2"/>
    <w:rsid w:val="00C27A08"/>
    <w:rsid w:val="00C31312"/>
    <w:rsid w:val="00C31E36"/>
    <w:rsid w:val="00C326C6"/>
    <w:rsid w:val="00C35295"/>
    <w:rsid w:val="00C36ADD"/>
    <w:rsid w:val="00C36E74"/>
    <w:rsid w:val="00C40595"/>
    <w:rsid w:val="00C41621"/>
    <w:rsid w:val="00C449FA"/>
    <w:rsid w:val="00C46083"/>
    <w:rsid w:val="00C5384F"/>
    <w:rsid w:val="00C56964"/>
    <w:rsid w:val="00C5739E"/>
    <w:rsid w:val="00C656D5"/>
    <w:rsid w:val="00C66130"/>
    <w:rsid w:val="00C67103"/>
    <w:rsid w:val="00C7028D"/>
    <w:rsid w:val="00C711F0"/>
    <w:rsid w:val="00C71BB9"/>
    <w:rsid w:val="00C94C28"/>
    <w:rsid w:val="00CA279A"/>
    <w:rsid w:val="00CA2C39"/>
    <w:rsid w:val="00CB0247"/>
    <w:rsid w:val="00CB3440"/>
    <w:rsid w:val="00CC1692"/>
    <w:rsid w:val="00CC48F1"/>
    <w:rsid w:val="00CC567D"/>
    <w:rsid w:val="00CD138B"/>
    <w:rsid w:val="00CD3E31"/>
    <w:rsid w:val="00CD712E"/>
    <w:rsid w:val="00CD74A3"/>
    <w:rsid w:val="00CE0527"/>
    <w:rsid w:val="00CE08D1"/>
    <w:rsid w:val="00CE1768"/>
    <w:rsid w:val="00CE3012"/>
    <w:rsid w:val="00CE5B23"/>
    <w:rsid w:val="00CE5B45"/>
    <w:rsid w:val="00CE6D05"/>
    <w:rsid w:val="00CF70AD"/>
    <w:rsid w:val="00CF7729"/>
    <w:rsid w:val="00D00059"/>
    <w:rsid w:val="00D107FA"/>
    <w:rsid w:val="00D12275"/>
    <w:rsid w:val="00D12766"/>
    <w:rsid w:val="00D20FF4"/>
    <w:rsid w:val="00D24D2C"/>
    <w:rsid w:val="00D32A94"/>
    <w:rsid w:val="00D34F22"/>
    <w:rsid w:val="00D35881"/>
    <w:rsid w:val="00D53596"/>
    <w:rsid w:val="00D55929"/>
    <w:rsid w:val="00D60243"/>
    <w:rsid w:val="00D62082"/>
    <w:rsid w:val="00DA7DA5"/>
    <w:rsid w:val="00DB073B"/>
    <w:rsid w:val="00DB78F0"/>
    <w:rsid w:val="00DC0CEA"/>
    <w:rsid w:val="00DC2E43"/>
    <w:rsid w:val="00DD095C"/>
    <w:rsid w:val="00DD1020"/>
    <w:rsid w:val="00DD1330"/>
    <w:rsid w:val="00DD208A"/>
    <w:rsid w:val="00DD6AE9"/>
    <w:rsid w:val="00DE0B83"/>
    <w:rsid w:val="00DE0FCB"/>
    <w:rsid w:val="00DE1A81"/>
    <w:rsid w:val="00DE1C13"/>
    <w:rsid w:val="00DE1E9B"/>
    <w:rsid w:val="00DE4873"/>
    <w:rsid w:val="00DE4E10"/>
    <w:rsid w:val="00E02ABF"/>
    <w:rsid w:val="00E14995"/>
    <w:rsid w:val="00E158D9"/>
    <w:rsid w:val="00E179CD"/>
    <w:rsid w:val="00E23E8D"/>
    <w:rsid w:val="00E26886"/>
    <w:rsid w:val="00E37F98"/>
    <w:rsid w:val="00E46559"/>
    <w:rsid w:val="00E51875"/>
    <w:rsid w:val="00E6670C"/>
    <w:rsid w:val="00E776E8"/>
    <w:rsid w:val="00E92C1F"/>
    <w:rsid w:val="00E95936"/>
    <w:rsid w:val="00E95D4B"/>
    <w:rsid w:val="00EA4C38"/>
    <w:rsid w:val="00EB199F"/>
    <w:rsid w:val="00EC23F7"/>
    <w:rsid w:val="00EC4BD8"/>
    <w:rsid w:val="00EC63EB"/>
    <w:rsid w:val="00ED412F"/>
    <w:rsid w:val="00EE1C36"/>
    <w:rsid w:val="00EF36B2"/>
    <w:rsid w:val="00F06879"/>
    <w:rsid w:val="00F1246B"/>
    <w:rsid w:val="00F201EC"/>
    <w:rsid w:val="00F208A9"/>
    <w:rsid w:val="00F3258F"/>
    <w:rsid w:val="00F41D75"/>
    <w:rsid w:val="00F5139D"/>
    <w:rsid w:val="00F63DAC"/>
    <w:rsid w:val="00F64184"/>
    <w:rsid w:val="00F724D1"/>
    <w:rsid w:val="00F7454F"/>
    <w:rsid w:val="00F77988"/>
    <w:rsid w:val="00F77F48"/>
    <w:rsid w:val="00F872F0"/>
    <w:rsid w:val="00F91F84"/>
    <w:rsid w:val="00FA6F85"/>
    <w:rsid w:val="00FB30F1"/>
    <w:rsid w:val="00FB37FF"/>
    <w:rsid w:val="00FB53E7"/>
    <w:rsid w:val="00FB6358"/>
    <w:rsid w:val="00FC1965"/>
    <w:rsid w:val="00FC4593"/>
    <w:rsid w:val="00FD2A8A"/>
    <w:rsid w:val="00FF4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BF5076"/>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5262E5"/>
    <w:pPr>
      <w:spacing w:before="100" w:beforeAutospacing="1" w:after="100" w:afterAutospacing="1"/>
    </w:pPr>
  </w:style>
  <w:style w:type="character" w:customStyle="1" w:styleId="apple-style-span">
    <w:name w:val="apple-style-span"/>
    <w:rsid w:val="005262E5"/>
  </w:style>
  <w:style w:type="character" w:customStyle="1" w:styleId="Heading1Char">
    <w:name w:val="Heading 1 Char"/>
    <w:link w:val="Heading1"/>
    <w:rsid w:val="00BF5076"/>
    <w:rPr>
      <w:sz w:val="28"/>
      <w:lang w:val="lv-LV" w:eastAsia="lv-LV"/>
    </w:rPr>
  </w:style>
  <w:style w:type="paragraph" w:styleId="Subtitle">
    <w:name w:val="Subtitle"/>
    <w:basedOn w:val="Normal"/>
    <w:link w:val="SubtitleChar"/>
    <w:qFormat/>
    <w:rsid w:val="00BF5076"/>
    <w:pPr>
      <w:ind w:left="851"/>
      <w:jc w:val="both"/>
    </w:pPr>
    <w:rPr>
      <w:sz w:val="28"/>
      <w:szCs w:val="20"/>
    </w:rPr>
  </w:style>
  <w:style w:type="character" w:customStyle="1" w:styleId="SubtitleChar">
    <w:name w:val="Subtitle Char"/>
    <w:link w:val="Subtitle"/>
    <w:rsid w:val="00BF5076"/>
    <w:rPr>
      <w:sz w:val="28"/>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BF5076"/>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5262E5"/>
    <w:pPr>
      <w:spacing w:before="100" w:beforeAutospacing="1" w:after="100" w:afterAutospacing="1"/>
    </w:pPr>
  </w:style>
  <w:style w:type="character" w:customStyle="1" w:styleId="apple-style-span">
    <w:name w:val="apple-style-span"/>
    <w:rsid w:val="005262E5"/>
  </w:style>
  <w:style w:type="character" w:customStyle="1" w:styleId="Heading1Char">
    <w:name w:val="Heading 1 Char"/>
    <w:link w:val="Heading1"/>
    <w:rsid w:val="00BF5076"/>
    <w:rPr>
      <w:sz w:val="28"/>
      <w:lang w:val="lv-LV" w:eastAsia="lv-LV"/>
    </w:rPr>
  </w:style>
  <w:style w:type="paragraph" w:styleId="Subtitle">
    <w:name w:val="Subtitle"/>
    <w:basedOn w:val="Normal"/>
    <w:link w:val="SubtitleChar"/>
    <w:qFormat/>
    <w:rsid w:val="00BF5076"/>
    <w:pPr>
      <w:ind w:left="851"/>
      <w:jc w:val="both"/>
    </w:pPr>
    <w:rPr>
      <w:sz w:val="28"/>
      <w:szCs w:val="20"/>
    </w:rPr>
  </w:style>
  <w:style w:type="character" w:customStyle="1" w:styleId="SubtitleChar">
    <w:name w:val="Subtitle Char"/>
    <w:link w:val="Subtitle"/>
    <w:rsid w:val="00BF5076"/>
    <w:rPr>
      <w:sz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25241">
      <w:bodyDiv w:val="1"/>
      <w:marLeft w:val="0"/>
      <w:marRight w:val="0"/>
      <w:marTop w:val="0"/>
      <w:marBottom w:val="0"/>
      <w:divBdr>
        <w:top w:val="none" w:sz="0" w:space="0" w:color="auto"/>
        <w:left w:val="none" w:sz="0" w:space="0" w:color="auto"/>
        <w:bottom w:val="none" w:sz="0" w:space="0" w:color="auto"/>
        <w:right w:val="none" w:sz="0" w:space="0" w:color="auto"/>
      </w:divBdr>
    </w:div>
    <w:div w:id="1395934818">
      <w:bodyDiv w:val="1"/>
      <w:marLeft w:val="0"/>
      <w:marRight w:val="0"/>
      <w:marTop w:val="0"/>
      <w:marBottom w:val="0"/>
      <w:divBdr>
        <w:top w:val="none" w:sz="0" w:space="0" w:color="auto"/>
        <w:left w:val="none" w:sz="0" w:space="0" w:color="auto"/>
        <w:bottom w:val="none" w:sz="0" w:space="0" w:color="auto"/>
        <w:right w:val="none" w:sz="0" w:space="0" w:color="auto"/>
      </w:divBdr>
    </w:div>
    <w:div w:id="20808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Peipin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90C4-09C9-42B7-ADE2-7887D54D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2726</Words>
  <Characters>17153</Characters>
  <Application>Microsoft Office Word</Application>
  <DocSecurity>0</DocSecurity>
  <Lines>612</Lines>
  <Paragraphs>325</Paragraphs>
  <ScaleCrop>false</ScaleCrop>
  <HeadingPairs>
    <vt:vector size="2" baseType="variant">
      <vt:variant>
        <vt:lpstr>Title</vt:lpstr>
      </vt:variant>
      <vt:variant>
        <vt:i4>1</vt:i4>
      </vt:variant>
    </vt:vector>
  </HeadingPairs>
  <TitlesOfParts>
    <vt:vector size="1" baseType="lpstr">
      <vt:lpstr>Noteikumu projekta „Noteikumi par kārtību, kādā izsniedz, izmanto, pārreģistrē, aptur un anulē speciālo atļauju (licenci) parāda atgūšanas pakalpojuma sniegšanai un maksā valsts nodevu par speciālās atļaujas (licences) izsniegšanu un pārreģistrāciju, kā a</vt:lpstr>
    </vt:vector>
  </TitlesOfParts>
  <Company>Valsts kanceleja, Politikas koordinācijas departaments</Company>
  <LinksUpToDate>false</LinksUpToDate>
  <CharactersWithSpaces>19554</CharactersWithSpaces>
  <SharedDoc>false</SharedDoc>
  <HLinks>
    <vt:vector size="6" baseType="variant">
      <vt:variant>
        <vt:i4>7602264</vt:i4>
      </vt:variant>
      <vt:variant>
        <vt:i4>6</vt:i4>
      </vt:variant>
      <vt:variant>
        <vt:i4>0</vt:i4>
      </vt:variant>
      <vt:variant>
        <vt:i4>5</vt:i4>
      </vt:variant>
      <vt:variant>
        <vt:lpwstr>mailto:Ilze.Peipina@em.gov.lv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kārtību, kādā izsniedz, izmanto, pārreģistrē, aptur un anulē speciālo atļauju (licenci) parāda atgūšanas pakalpojuma sniegšanai un maksā valsts nodevu par speciālās atļaujas (licences) izsniegšanu un pārreģistrāciju, kā arī prasībām parāda atgūšanas pakalpojuma sniedzējam speciālās atļaujas (licences) saņemšanai” sākotnējās ietekmes novērtējuma ziņojums (anotācija)</dc:title>
  <dc:subject>Instrukcijas pielikums</dc:subject>
  <dc:creator>Ilze.Peipina@em.gov.lv</dc:creator>
  <dc:description>ilze.peipina@em.gov.lv</dc:description>
  <cp:lastModifiedBy>Ilze Peipiņa</cp:lastModifiedBy>
  <cp:revision>7</cp:revision>
  <cp:lastPrinted>2013-01-08T14:22:00Z</cp:lastPrinted>
  <dcterms:created xsi:type="dcterms:W3CDTF">2013-01-17T16:30:00Z</dcterms:created>
  <dcterms:modified xsi:type="dcterms:W3CDTF">2013-01-18T12:07:00Z</dcterms:modified>
</cp:coreProperties>
</file>