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DE7623" w:rsidRDefault="00034852" w:rsidP="00887C75">
      <w:pPr>
        <w:jc w:val="both"/>
        <w:rPr>
          <w:b/>
          <w:bCs/>
          <w:sz w:val="28"/>
        </w:rPr>
      </w:pPr>
      <w:r w:rsidRPr="00DE7623">
        <w:rPr>
          <w:b/>
          <w:sz w:val="28"/>
        </w:rPr>
        <w:t xml:space="preserve">Ministru kabineta noteikumu projekta </w:t>
      </w:r>
      <w:r w:rsidR="00004457" w:rsidRPr="00DE7623">
        <w:rPr>
          <w:b/>
          <w:sz w:val="28"/>
        </w:rPr>
        <w:t>„</w:t>
      </w:r>
      <w:r w:rsidR="00DA316D" w:rsidRPr="00DE7623">
        <w:rPr>
          <w:b/>
          <w:sz w:val="28"/>
        </w:rPr>
        <w:t>Grozījum</w:t>
      </w:r>
      <w:r w:rsidR="009E379E">
        <w:rPr>
          <w:b/>
          <w:sz w:val="28"/>
        </w:rPr>
        <w:t>s</w:t>
      </w:r>
      <w:r w:rsidR="00DA316D" w:rsidRPr="00DE7623">
        <w:rPr>
          <w:b/>
          <w:sz w:val="28"/>
        </w:rPr>
        <w:t xml:space="preserve"> Ministru kabineta </w:t>
      </w:r>
      <w:r w:rsidR="00646C36">
        <w:rPr>
          <w:b/>
          <w:sz w:val="28"/>
        </w:rPr>
        <w:t>1994.gada 5.jūlīja</w:t>
      </w:r>
      <w:r w:rsidR="00DA316D" w:rsidRPr="00DE7623">
        <w:rPr>
          <w:b/>
          <w:sz w:val="28"/>
        </w:rPr>
        <w:t xml:space="preserve"> noteikumos Nr.</w:t>
      </w:r>
      <w:r w:rsidR="00646C36">
        <w:rPr>
          <w:b/>
          <w:sz w:val="28"/>
        </w:rPr>
        <w:t>147</w:t>
      </w:r>
      <w:r w:rsidR="00DA316D" w:rsidRPr="00DE7623">
        <w:rPr>
          <w:b/>
          <w:sz w:val="28"/>
        </w:rPr>
        <w:t xml:space="preserve"> „</w:t>
      </w:r>
      <w:r w:rsidR="00646C36" w:rsidRPr="00646C36">
        <w:rPr>
          <w:b/>
          <w:sz w:val="28"/>
          <w:szCs w:val="28"/>
          <w:lang w:eastAsia="en-US"/>
        </w:rPr>
        <w:t>Par valsts īpašuma privatizācijas komisiju darbības finansēšanu</w:t>
      </w:r>
      <w:r w:rsidR="00DA316D" w:rsidRPr="00DE7623">
        <w:rPr>
          <w:b/>
          <w:sz w:val="28"/>
        </w:rPr>
        <w:t xml:space="preserve">” </w:t>
      </w:r>
      <w:r w:rsidRPr="00DE7623">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3B760A" w:rsidRPr="00DE7623" w:rsidRDefault="00E12D11" w:rsidP="00807B8B">
            <w:pPr>
              <w:tabs>
                <w:tab w:val="num" w:pos="0"/>
              </w:tabs>
              <w:ind w:firstLine="426"/>
              <w:jc w:val="both"/>
              <w:rPr>
                <w:szCs w:val="28"/>
              </w:rPr>
            </w:pPr>
            <w:r w:rsidRPr="00DE7623">
              <w:rPr>
                <w:i/>
                <w:sz w:val="28"/>
                <w:szCs w:val="28"/>
                <w:lang w:eastAsia="en-US"/>
              </w:rPr>
              <w:t>Euro</w:t>
            </w:r>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807B8B">
              <w:rPr>
                <w:sz w:val="28"/>
                <w:szCs w:val="28"/>
              </w:rPr>
              <w:t>2013.gada gada 29.maija rīkojums</w:t>
            </w:r>
            <w:r w:rsidR="00807B8B" w:rsidRPr="00DE7623">
              <w:rPr>
                <w:sz w:val="28"/>
                <w:szCs w:val="28"/>
              </w:rPr>
              <w:t xml:space="preserve"> Nr.212 „Par tiesību aktu grozījumu virzību saistībā ar </w:t>
            </w:r>
            <w:r w:rsidR="00807B8B" w:rsidRPr="00FC06B4">
              <w:rPr>
                <w:i/>
                <w:sz w:val="28"/>
                <w:szCs w:val="28"/>
              </w:rPr>
              <w:t>euro</w:t>
            </w:r>
            <w:r w:rsidR="00807B8B" w:rsidRPr="00DE7623">
              <w:rPr>
                <w:sz w:val="28"/>
                <w:szCs w:val="28"/>
              </w:rPr>
              <w:t xml:space="preserve"> ieviešanu Latvijā”</w:t>
            </w:r>
            <w:r w:rsidR="00163821">
              <w:rPr>
                <w:sz w:val="28"/>
                <w:szCs w:val="28"/>
              </w:rPr>
              <w:t xml:space="preserve"> 1.1.apakšpunkts</w:t>
            </w:r>
            <w:r w:rsidR="00807B8B">
              <w:rPr>
                <w:sz w:val="28"/>
                <w:szCs w:val="28"/>
              </w:rPr>
              <w:t xml:space="preserve"> 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 ar Ministru kabineta 2013.gada 4.aprīļa rīkojuma Nr.136) „Par Latvijas Nacionālo euro ieviešanas plānu” 1. pielikuma J2.2. pasākums.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9D5010">
              <w:rPr>
                <w:sz w:val="28"/>
                <w:szCs w:val="28"/>
              </w:rPr>
              <w:t>1994</w:t>
            </w:r>
            <w:r w:rsidR="00045CB0" w:rsidRPr="00DE7623">
              <w:rPr>
                <w:sz w:val="28"/>
                <w:szCs w:val="28"/>
              </w:rPr>
              <w:t xml:space="preserve">.gada </w:t>
            </w:r>
            <w:r w:rsidR="009D5010">
              <w:rPr>
                <w:sz w:val="28"/>
                <w:szCs w:val="28"/>
              </w:rPr>
              <w:t>5.jūlīja</w:t>
            </w:r>
            <w:r w:rsidR="00DB0233">
              <w:rPr>
                <w:sz w:val="28"/>
                <w:szCs w:val="28"/>
              </w:rPr>
              <w:t xml:space="preserve"> noteikumos </w:t>
            </w:r>
            <w:r w:rsidR="00045CB0" w:rsidRPr="00DE7623">
              <w:rPr>
                <w:sz w:val="28"/>
                <w:szCs w:val="28"/>
              </w:rPr>
              <w:t>Nr.</w:t>
            </w:r>
            <w:r w:rsidR="009D5010">
              <w:rPr>
                <w:sz w:val="28"/>
                <w:szCs w:val="28"/>
              </w:rPr>
              <w:t>147</w:t>
            </w:r>
            <w:r w:rsidR="00045CB0" w:rsidRPr="00DE7623">
              <w:rPr>
                <w:sz w:val="28"/>
                <w:szCs w:val="28"/>
              </w:rPr>
              <w:t xml:space="preserve"> „</w:t>
            </w:r>
            <w:r w:rsidR="009D5010">
              <w:t xml:space="preserve"> </w:t>
            </w:r>
            <w:r w:rsidR="009D5010" w:rsidRPr="009D5010">
              <w:rPr>
                <w:sz w:val="28"/>
                <w:szCs w:val="28"/>
              </w:rPr>
              <w:t xml:space="preserve">Par valsts īpašuma privatizācijas komisiju darbības finansēšanu </w:t>
            </w:r>
            <w:r w:rsidR="00045CB0" w:rsidRPr="00DE7623">
              <w:rPr>
                <w:sz w:val="28"/>
                <w:szCs w:val="28"/>
              </w:rPr>
              <w:t>”</w:t>
            </w:r>
            <w:r w:rsidR="009D5010">
              <w:rPr>
                <w:sz w:val="28"/>
                <w:szCs w:val="28"/>
              </w:rPr>
              <w:t xml:space="preserve"> (turpmāk – Noteikumi Nr.147</w:t>
            </w:r>
            <w:r w:rsidR="00146CE9">
              <w:rPr>
                <w:sz w:val="28"/>
                <w:szCs w:val="28"/>
              </w:rPr>
              <w:t>)</w:t>
            </w:r>
            <w:r w:rsidRPr="00DE7623">
              <w:rPr>
                <w:bCs/>
                <w:sz w:val="28"/>
                <w:szCs w:val="28"/>
              </w:rPr>
              <w:t xml:space="preserve">, </w:t>
            </w:r>
            <w:r w:rsidR="00E12D11" w:rsidRPr="00DE7623">
              <w:rPr>
                <w:sz w:val="28"/>
                <w:szCs w:val="28"/>
              </w:rPr>
              <w:t xml:space="preserve"> 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r w:rsidRPr="00DE7623">
              <w:rPr>
                <w:i/>
                <w:sz w:val="28"/>
                <w:szCs w:val="28"/>
              </w:rPr>
              <w:t>Euro</w:t>
            </w:r>
            <w:r w:rsidRPr="00DE7623">
              <w:rPr>
                <w:sz w:val="28"/>
                <w:szCs w:val="28"/>
              </w:rPr>
              <w:t xml:space="preserve"> ieviešanas kārtības likuma</w:t>
            </w:r>
            <w:r w:rsidR="000225B6">
              <w:rPr>
                <w:sz w:val="28"/>
                <w:szCs w:val="28"/>
              </w:rPr>
              <w:t xml:space="preserve"> (turpmāk arī – EIKL)</w:t>
            </w:r>
            <w:r w:rsidRPr="00DE7623">
              <w:rPr>
                <w:sz w:val="28"/>
                <w:szCs w:val="28"/>
              </w:rPr>
              <w:t xml:space="preserve"> 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D630EF" w:rsidRDefault="00D630EF" w:rsidP="00D630EF">
            <w:pPr>
              <w:ind w:firstLine="425"/>
              <w:jc w:val="both"/>
              <w:rPr>
                <w:szCs w:val="28"/>
              </w:rPr>
            </w:pPr>
            <w:r w:rsidRPr="00DE7623">
              <w:rPr>
                <w:sz w:val="28"/>
                <w:szCs w:val="28"/>
              </w:rPr>
              <w:t xml:space="preserve">Saskaņā ar Ministru kabineta 2013.gada gada 29.maija rīkojuma Nr.212 „Par tiesību aktu grozījumu virzību saistībā ar </w:t>
            </w:r>
            <w:r w:rsidRPr="00FC06B4">
              <w:rPr>
                <w:i/>
                <w:sz w:val="28"/>
                <w:szCs w:val="28"/>
              </w:rPr>
              <w:t>euro</w:t>
            </w:r>
            <w:r w:rsidRPr="00DE7623">
              <w:rPr>
                <w:sz w:val="28"/>
                <w:szCs w:val="28"/>
              </w:rPr>
              <w:t xml:space="preserve"> ieviešanu Latvijā” </w:t>
            </w:r>
            <w:r>
              <w:rPr>
                <w:sz w:val="28"/>
                <w:szCs w:val="28"/>
              </w:rPr>
              <w:t>1.1.apakšpunktu</w:t>
            </w:r>
            <w:r w:rsidRPr="00DE7623">
              <w:rPr>
                <w:sz w:val="28"/>
                <w:szCs w:val="28"/>
              </w:rPr>
              <w:t xml:space="preserve">  Valsts kanceleja un katra ministrija</w:t>
            </w:r>
            <w:r w:rsidR="00CC432B">
              <w:rPr>
                <w:sz w:val="28"/>
                <w:szCs w:val="28"/>
              </w:rPr>
              <w:t xml:space="preserve"> atbilstoši kompetencei </w:t>
            </w:r>
            <w:r w:rsidRPr="008D1C01">
              <w:rPr>
                <w:sz w:val="28"/>
                <w:szCs w:val="28"/>
              </w:rPr>
              <w:t xml:space="preserve">līdz 2013.gada 14.jūnijam izstrādā likumprojektus par grozījumiem visos likumos saistībā ar euro ieviešanu, </w:t>
            </w:r>
            <w:r w:rsidRPr="00D1419B">
              <w:rPr>
                <w:sz w:val="28"/>
                <w:szCs w:val="28"/>
                <w:u w:val="single"/>
              </w:rPr>
              <w:t>kā arī tiesību aktu projektus par grozījumiem tajos Ministru kabineta noteikumos, Ministru kabineta rīkojumos, instrukcijās un ieteikumos, kuros ir minētas naudas summas latos</w:t>
            </w:r>
            <w:r w:rsidRPr="008D1C01">
              <w:rPr>
                <w:sz w:val="28"/>
                <w:szCs w:val="28"/>
              </w:rPr>
              <w:t xml:space="preserve">, </w:t>
            </w:r>
            <w:r w:rsidRPr="00D1419B">
              <w:rPr>
                <w:sz w:val="28"/>
                <w:szCs w:val="28"/>
                <w:u w:val="single"/>
              </w:rPr>
              <w:t xml:space="preserve">Latvijas Bankas noteiktais valūtas kurss vai kurus citu apsvērumu dēļ tiesiskās noteiktības nodrošināšanai ir nepieciešams grozīt līdz </w:t>
            </w:r>
            <w:r w:rsidRPr="00D1419B">
              <w:rPr>
                <w:i/>
                <w:sz w:val="28"/>
                <w:szCs w:val="28"/>
                <w:u w:val="single"/>
              </w:rPr>
              <w:t>euro</w:t>
            </w:r>
            <w:r w:rsidRPr="00D1419B">
              <w:rPr>
                <w:sz w:val="28"/>
                <w:szCs w:val="28"/>
                <w:u w:val="single"/>
              </w:rPr>
              <w:t xml:space="preserve"> ieviešanas dienai</w:t>
            </w:r>
            <w:r>
              <w:rPr>
                <w:sz w:val="28"/>
                <w:szCs w:val="28"/>
              </w:rPr>
              <w:t xml:space="preserve">. </w:t>
            </w:r>
          </w:p>
          <w:p w:rsidR="0008167C" w:rsidRDefault="0008167C" w:rsidP="009E0D93">
            <w:pPr>
              <w:ind w:firstLine="425"/>
              <w:jc w:val="both"/>
              <w:rPr>
                <w:sz w:val="28"/>
                <w:szCs w:val="28"/>
              </w:rPr>
            </w:pPr>
            <w:r w:rsidRPr="0008167C">
              <w:rPr>
                <w:sz w:val="28"/>
                <w:szCs w:val="28"/>
              </w:rPr>
              <w:lastRenderedPageBreak/>
              <w:t xml:space="preserve">Saskaņā ar EIKL 6.panta pirmo daļu Latu konvertācijā uz </w:t>
            </w:r>
            <w:r w:rsidRPr="0008167C">
              <w:rPr>
                <w:i/>
                <w:sz w:val="28"/>
                <w:szCs w:val="28"/>
              </w:rPr>
              <w:t>euro</w:t>
            </w:r>
            <w:r w:rsidRPr="0008167C">
              <w:rPr>
                <w:sz w:val="28"/>
                <w:szCs w:val="28"/>
              </w:rPr>
              <w:t xml:space="preserve"> izmanto Padomes noteikto maiņas kursu no latiem uz</w:t>
            </w:r>
            <w:r w:rsidRPr="0008167C">
              <w:rPr>
                <w:i/>
                <w:sz w:val="28"/>
                <w:szCs w:val="28"/>
              </w:rPr>
              <w:t xml:space="preserve"> euro</w:t>
            </w:r>
            <w:r w:rsidRPr="0008167C">
              <w:rPr>
                <w:sz w:val="28"/>
                <w:szCs w:val="28"/>
              </w:rPr>
              <w:t xml:space="preserve">. Atbilstoši šī panta otrajai daļai  naudas summas un vērtības naudas izteiksmē pēc latu konvertācijas uz </w:t>
            </w:r>
            <w:r w:rsidRPr="0008167C">
              <w:rPr>
                <w:i/>
                <w:sz w:val="28"/>
                <w:szCs w:val="28"/>
              </w:rPr>
              <w:t>euro</w:t>
            </w:r>
            <w:r w:rsidRPr="0008167C">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  Eiropas Ekonomikas un finanšu lietu padome (ECOFIN) 2013.gada 9.jūlijā pieņēma galīgo lēmumu par Latvijas pilntiesīgu dalību Ekonomikas un monetārajā savienībā (EMS) no 2014. gada 1.janvāra, atceļot līdz šim spēkā bijušo "izņēmuma dalības" statusu. Vienlaikus Latvijas Bankas vēl 2005. gadā fiksētais lata kurss attiecībā pret eiro - 0.702804 - </w:t>
            </w:r>
            <w:r w:rsidRPr="0008167C">
              <w:rPr>
                <w:sz w:val="28"/>
                <w:szCs w:val="28"/>
                <w:u w:val="single"/>
              </w:rPr>
              <w:t>apstiprināts kā neatsaucami fiksēts pārejas kurss uz eiro</w:t>
            </w:r>
            <w:r w:rsidRPr="0008167C">
              <w:rPr>
                <w:sz w:val="28"/>
                <w:szCs w:val="28"/>
              </w:rPr>
              <w:t xml:space="preserve">. Līdz ar to par pamatu šo Ministru kabineta noteikumu grozījumiem tiek ņemts Latvijas Bankas vēl 2005. gadā fiksētais lata kurss attiecībā pret eiro - 0.702804, kas </w:t>
            </w:r>
            <w:r w:rsidRPr="0008167C">
              <w:rPr>
                <w:sz w:val="28"/>
                <w:szCs w:val="28"/>
                <w:u w:val="single"/>
              </w:rPr>
              <w:t>šobrīd</w:t>
            </w:r>
            <w:r w:rsidRPr="0008167C">
              <w:rPr>
                <w:sz w:val="28"/>
                <w:szCs w:val="28"/>
              </w:rPr>
              <w:t xml:space="preserve"> </w:t>
            </w:r>
            <w:r w:rsidRPr="0008167C">
              <w:rPr>
                <w:sz w:val="28"/>
                <w:szCs w:val="28"/>
                <w:u w:val="single"/>
              </w:rPr>
              <w:t>apstiprināts kā neatsaucami fiksēts pārejas kurss uz eiro.</w:t>
            </w:r>
            <w:r>
              <w:rPr>
                <w:sz w:val="28"/>
                <w:szCs w:val="28"/>
              </w:rPr>
              <w:t xml:space="preserve"> </w:t>
            </w:r>
          </w:p>
          <w:p w:rsidR="009D5010" w:rsidRDefault="009D5010" w:rsidP="009E0D93">
            <w:pPr>
              <w:ind w:firstLine="425"/>
              <w:jc w:val="both"/>
              <w:rPr>
                <w:sz w:val="28"/>
                <w:szCs w:val="28"/>
              </w:rPr>
            </w:pPr>
            <w:r>
              <w:rPr>
                <w:sz w:val="28"/>
                <w:szCs w:val="28"/>
              </w:rPr>
              <w:t xml:space="preserve">Noteikumu Nr.147 </w:t>
            </w:r>
            <w:r w:rsidR="00EA727F">
              <w:rPr>
                <w:sz w:val="28"/>
                <w:szCs w:val="28"/>
              </w:rPr>
              <w:t xml:space="preserve"> </w:t>
            </w:r>
            <w:r>
              <w:rPr>
                <w:sz w:val="28"/>
                <w:szCs w:val="28"/>
              </w:rPr>
              <w:t xml:space="preserve">6.punktā ir noteikts, ka </w:t>
            </w:r>
            <w:r>
              <w:t xml:space="preserve"> </w:t>
            </w:r>
            <w:r>
              <w:rPr>
                <w:sz w:val="28"/>
                <w:szCs w:val="28"/>
              </w:rPr>
              <w:t>n</w:t>
            </w:r>
            <w:r w:rsidRPr="009D5010">
              <w:rPr>
                <w:sz w:val="28"/>
                <w:szCs w:val="28"/>
              </w:rPr>
              <w:t>audas līdzekļu summu privatizācijas komisijas locekļu darba samaksai (bez sociālā nodokļa pieskaitījumiem) nosaka procentos no katra konkrētā valsts īpašuma objekta realizācijas cenas šādos apmēros:</w:t>
            </w:r>
            <w:r w:rsidR="00ED2808">
              <w:t xml:space="preserve"> </w:t>
            </w:r>
            <w:r w:rsidR="00ED2808" w:rsidRPr="00ED2808">
              <w:rPr>
                <w:sz w:val="28"/>
                <w:szCs w:val="28"/>
              </w:rPr>
              <w:t>līdz 500 latiem — 10%,</w:t>
            </w:r>
            <w:r w:rsidR="00ED2808">
              <w:rPr>
                <w:sz w:val="28"/>
                <w:szCs w:val="28"/>
              </w:rPr>
              <w:t xml:space="preserve"> </w:t>
            </w:r>
            <w:r w:rsidR="00ED2808">
              <w:t xml:space="preserve"> </w:t>
            </w:r>
            <w:r w:rsidR="00ED2808" w:rsidRPr="00ED2808">
              <w:rPr>
                <w:sz w:val="28"/>
                <w:szCs w:val="28"/>
              </w:rPr>
              <w:t>no 500 līdz 5000 latiem — 5%, bet ne mazāk par 50 latiem,</w:t>
            </w:r>
            <w:r w:rsidR="00ED2808">
              <w:rPr>
                <w:sz w:val="28"/>
                <w:szCs w:val="28"/>
              </w:rPr>
              <w:t xml:space="preserve"> </w:t>
            </w:r>
            <w:r w:rsidR="00ED2808">
              <w:t xml:space="preserve"> </w:t>
            </w:r>
            <w:r w:rsidR="00ED2808" w:rsidRPr="00ED2808">
              <w:rPr>
                <w:sz w:val="28"/>
                <w:szCs w:val="28"/>
              </w:rPr>
              <w:t>virs 5000 latiem — 0,35%, bet ne mazāk par 250 latiem.</w:t>
            </w:r>
            <w:r w:rsidR="00EA727F">
              <w:rPr>
                <w:sz w:val="28"/>
                <w:szCs w:val="28"/>
              </w:rPr>
              <w:t xml:space="preserve"> </w:t>
            </w:r>
            <w:r w:rsidR="00EA727F" w:rsidRPr="00EA727F">
              <w:rPr>
                <w:sz w:val="28"/>
                <w:szCs w:val="28"/>
              </w:rPr>
              <w:t>Ja objekta realizācijas cena pi</w:t>
            </w:r>
            <w:r w:rsidR="00E56B96">
              <w:rPr>
                <w:sz w:val="28"/>
                <w:szCs w:val="28"/>
              </w:rPr>
              <w:t>rms privatizētāja pārņemamo parā</w:t>
            </w:r>
            <w:r w:rsidR="00EA727F" w:rsidRPr="00EA727F">
              <w:rPr>
                <w:sz w:val="28"/>
                <w:szCs w:val="28"/>
              </w:rPr>
              <w:t>du saistību atskaitīšanas ir virs 50000 latiem, bet objekta realizācijas cena — no 350 līdz 5000 latiem, privatizācijas komisijas locekļu darba samaksa ir 250 latu.</w:t>
            </w:r>
          </w:p>
          <w:p w:rsidR="003B760A" w:rsidRPr="00A154BD" w:rsidRDefault="00E56B96" w:rsidP="0008167C">
            <w:pPr>
              <w:ind w:firstLine="474"/>
              <w:jc w:val="both"/>
              <w:rPr>
                <w:szCs w:val="28"/>
                <w:lang w:eastAsia="en-US"/>
              </w:rPr>
            </w:pPr>
            <w:r w:rsidRPr="003A390A">
              <w:rPr>
                <w:sz w:val="28"/>
                <w:szCs w:val="28"/>
                <w:lang w:eastAsia="en-US"/>
              </w:rPr>
              <w:t xml:space="preserve">Līdz ar to, lai nodrošinātu, ka ar 2014.gada 1.janvāri varētu ieviest </w:t>
            </w:r>
            <w:r w:rsidRPr="00AC622C">
              <w:rPr>
                <w:i/>
                <w:sz w:val="28"/>
                <w:szCs w:val="28"/>
                <w:lang w:eastAsia="en-US"/>
              </w:rPr>
              <w:t>euro</w:t>
            </w:r>
            <w:r w:rsidRPr="003A390A">
              <w:rPr>
                <w:sz w:val="28"/>
                <w:szCs w:val="28"/>
                <w:lang w:eastAsia="en-US"/>
              </w:rPr>
              <w:t xml:space="preserve"> Latvijas Republikā, ir</w:t>
            </w:r>
            <w:r>
              <w:rPr>
                <w:sz w:val="28"/>
                <w:szCs w:val="28"/>
                <w:lang w:eastAsia="en-US"/>
              </w:rPr>
              <w:t xml:space="preserve"> </w:t>
            </w:r>
            <w:r w:rsidRPr="003A390A">
              <w:rPr>
                <w:sz w:val="28"/>
                <w:szCs w:val="28"/>
                <w:lang w:eastAsia="en-US"/>
              </w:rPr>
              <w:t xml:space="preserve"> </w:t>
            </w:r>
            <w:r>
              <w:rPr>
                <w:sz w:val="28"/>
                <w:szCs w:val="28"/>
                <w:lang w:eastAsia="en-US"/>
              </w:rPr>
              <w:t xml:space="preserve">nepieciešami </w:t>
            </w:r>
            <w:r w:rsidRPr="003A390A">
              <w:rPr>
                <w:sz w:val="28"/>
                <w:szCs w:val="28"/>
                <w:lang w:eastAsia="en-US"/>
              </w:rPr>
              <w:t xml:space="preserve">grozījumi </w:t>
            </w:r>
            <w:r>
              <w:rPr>
                <w:sz w:val="28"/>
                <w:szCs w:val="28"/>
              </w:rPr>
              <w:t>Noteikumos Nr.147,</w:t>
            </w:r>
            <w:r w:rsidRPr="00D55618">
              <w:rPr>
                <w:sz w:val="28"/>
                <w:szCs w:val="28"/>
              </w:rPr>
              <w:t xml:space="preserve"> </w:t>
            </w:r>
            <w:r>
              <w:rPr>
                <w:sz w:val="28"/>
                <w:szCs w:val="28"/>
                <w:lang w:eastAsia="en-US"/>
              </w:rPr>
              <w:t xml:space="preserve"> nosakot</w:t>
            </w:r>
            <w:r w:rsidR="00BD1F0F">
              <w:rPr>
                <w:sz w:val="28"/>
                <w:szCs w:val="28"/>
                <w:lang w:eastAsia="en-US"/>
              </w:rPr>
              <w:t xml:space="preserve"> </w:t>
            </w:r>
            <w:r w:rsidR="0008167C">
              <w:rPr>
                <w:sz w:val="28"/>
                <w:szCs w:val="28"/>
                <w:lang w:eastAsia="en-US"/>
              </w:rPr>
              <w:t xml:space="preserve">precizētu </w:t>
            </w:r>
            <w:r w:rsidR="000C15C1" w:rsidRPr="000C15C1">
              <w:rPr>
                <w:sz w:val="28"/>
                <w:szCs w:val="28"/>
                <w:lang w:eastAsia="en-US"/>
              </w:rPr>
              <w:t>naudas līdzekļu summu privatizācijas komisijas locekļu darba samaksai</w:t>
            </w:r>
            <w:r w:rsidR="000C15C1">
              <w:rPr>
                <w:sz w:val="28"/>
                <w:szCs w:val="28"/>
                <w:lang w:eastAsia="en-US"/>
              </w:rPr>
              <w:t xml:space="preserve">  tās vērtību norādot </w:t>
            </w:r>
            <w:r w:rsidR="00BD1F0F">
              <w:rPr>
                <w:i/>
                <w:sz w:val="28"/>
                <w:szCs w:val="28"/>
                <w:lang w:eastAsia="en-US"/>
              </w:rPr>
              <w:t xml:space="preserve">euro, </w:t>
            </w:r>
            <w:r w:rsidR="00BD1F0F">
              <w:rPr>
                <w:sz w:val="28"/>
                <w:szCs w:val="28"/>
              </w:rPr>
              <w:t xml:space="preserve"> kuras apmērs noteikts</w:t>
            </w:r>
            <w:r w:rsidR="00BD1F0F" w:rsidRPr="00DE7623">
              <w:rPr>
                <w:sz w:val="28"/>
                <w:szCs w:val="28"/>
              </w:rPr>
              <w:t xml:space="preserve"> ievērojot</w:t>
            </w:r>
            <w:r w:rsidR="00BD1F0F">
              <w:rPr>
                <w:sz w:val="28"/>
                <w:szCs w:val="28"/>
                <w:u w:val="single"/>
              </w:rPr>
              <w:t xml:space="preserve"> EIKL </w:t>
            </w:r>
            <w:r w:rsidR="0008167C">
              <w:rPr>
                <w:sz w:val="28"/>
                <w:szCs w:val="28"/>
                <w:u w:val="single"/>
              </w:rPr>
              <w:t>6</w:t>
            </w:r>
            <w:r w:rsidR="00BD1F0F">
              <w:rPr>
                <w:sz w:val="28"/>
                <w:szCs w:val="28"/>
                <w:u w:val="single"/>
              </w:rPr>
              <w:t>.pant</w:t>
            </w:r>
            <w:r w:rsidR="0008167C">
              <w:rPr>
                <w:sz w:val="28"/>
                <w:szCs w:val="28"/>
                <w:u w:val="single"/>
              </w:rPr>
              <w:t xml:space="preserve">ā </w:t>
            </w:r>
            <w:r w:rsidR="00BD1F0F" w:rsidRPr="00DE7623">
              <w:rPr>
                <w:sz w:val="28"/>
                <w:szCs w:val="28"/>
                <w:u w:val="single"/>
              </w:rPr>
              <w:t>n</w:t>
            </w:r>
            <w:r w:rsidR="00BD1F0F">
              <w:rPr>
                <w:sz w:val="28"/>
                <w:szCs w:val="28"/>
                <w:u w:val="single"/>
              </w:rPr>
              <w:t>oteikto principu</w:t>
            </w:r>
            <w:r w:rsidR="00BD1F0F">
              <w:rPr>
                <w:szCs w:val="28"/>
                <w:lang w:eastAsia="en-US"/>
              </w:rPr>
              <w:t>.</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 xml:space="preserve">Saistītie politikas ietekmes novērtējumi un </w:t>
            </w:r>
            <w:r w:rsidRPr="00DE7623">
              <w:rPr>
                <w:color w:val="auto"/>
                <w:sz w:val="28"/>
                <w:szCs w:val="28"/>
              </w:rPr>
              <w:lastRenderedPageBreak/>
              <w:t>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lastRenderedPageBreak/>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3B760A" w:rsidRPr="003A3586" w:rsidRDefault="00FD1884" w:rsidP="00CC432B">
            <w:pPr>
              <w:ind w:firstLine="426"/>
              <w:jc w:val="both"/>
              <w:rPr>
                <w:sz w:val="28"/>
                <w:szCs w:val="28"/>
                <w:lang w:eastAsia="en-US"/>
              </w:rPr>
            </w:pPr>
            <w:r>
              <w:rPr>
                <w:sz w:val="28"/>
                <w:szCs w:val="28"/>
                <w:lang w:eastAsia="en-US"/>
              </w:rPr>
              <w:t>Šo</w:t>
            </w:r>
            <w:r w:rsidRPr="00DE7623">
              <w:rPr>
                <w:sz w:val="28"/>
                <w:szCs w:val="28"/>
                <w:lang w:eastAsia="en-US"/>
              </w:rPr>
              <w:t xml:space="preserve"> </w:t>
            </w:r>
            <w:r>
              <w:rPr>
                <w:sz w:val="28"/>
                <w:szCs w:val="28"/>
                <w:lang w:eastAsia="en-US"/>
              </w:rPr>
              <w:t xml:space="preserve">Ministru kabineta noteikumu projekta mērķis </w:t>
            </w:r>
            <w:r w:rsidRPr="00A818A3">
              <w:rPr>
                <w:i/>
                <w:sz w:val="28"/>
                <w:szCs w:val="28"/>
                <w:lang w:eastAsia="en-US"/>
              </w:rPr>
              <w:t>euro</w:t>
            </w:r>
            <w:r>
              <w:rPr>
                <w:sz w:val="28"/>
                <w:szCs w:val="28"/>
                <w:lang w:eastAsia="en-US"/>
              </w:rPr>
              <w:t xml:space="preserve"> ieviešanas dienā</w:t>
            </w:r>
            <w:r w:rsidRPr="00DE7623">
              <w:rPr>
                <w:sz w:val="28"/>
                <w:szCs w:val="28"/>
                <w:lang w:eastAsia="en-US"/>
              </w:rPr>
              <w:t xml:space="preserve"> pielāgot</w:t>
            </w:r>
            <w:r w:rsidRPr="00DE7623">
              <w:rPr>
                <w:iCs/>
                <w:sz w:val="28"/>
                <w:szCs w:val="28"/>
                <w:lang w:eastAsia="en-US"/>
              </w:rPr>
              <w:t xml:space="preserve"> Ministru kabineta </w:t>
            </w:r>
            <w:r>
              <w:rPr>
                <w:sz w:val="28"/>
                <w:szCs w:val="28"/>
              </w:rPr>
              <w:t>1994</w:t>
            </w:r>
            <w:r w:rsidR="00CC432B">
              <w:rPr>
                <w:sz w:val="28"/>
                <w:szCs w:val="28"/>
              </w:rPr>
              <w:t xml:space="preserve">.gada </w:t>
            </w:r>
            <w:r>
              <w:rPr>
                <w:sz w:val="28"/>
                <w:szCs w:val="28"/>
              </w:rPr>
              <w:t xml:space="preserve">5.jūlija noteikumus Nr.147 </w:t>
            </w:r>
            <w:r w:rsidRPr="00FD1884">
              <w:rPr>
                <w:sz w:val="28"/>
                <w:szCs w:val="28"/>
              </w:rPr>
              <w:t>„Par valsts īpašuma privatizācijas komisiju darbības finansēšanu”</w:t>
            </w:r>
            <w:r>
              <w:rPr>
                <w:sz w:val="28"/>
                <w:szCs w:val="28"/>
              </w:rPr>
              <w:t xml:space="preserve"> </w:t>
            </w:r>
            <w:r w:rsidRPr="00FD1884">
              <w:rPr>
                <w:i/>
                <w:sz w:val="28"/>
                <w:szCs w:val="28"/>
              </w:rPr>
              <w:t>euro</w:t>
            </w:r>
            <w:r>
              <w:rPr>
                <w:sz w:val="28"/>
                <w:szCs w:val="28"/>
              </w:rPr>
              <w:t xml:space="preserve"> ieviešanai</w:t>
            </w:r>
            <w:r w:rsidR="003A3586">
              <w:rPr>
                <w:sz w:val="28"/>
                <w:szCs w:val="28"/>
              </w:rPr>
              <w:t xml:space="preserve">, lai atbilstoši šo noteikumu 6.punktā noteiktajam regulējumam </w:t>
            </w:r>
            <w:r w:rsidR="00CC432B">
              <w:rPr>
                <w:sz w:val="28"/>
                <w:szCs w:val="28"/>
              </w:rPr>
              <w:t>naudas līdzekļu summas apmēru</w:t>
            </w:r>
            <w:r w:rsidR="003A3586" w:rsidRPr="003A3586">
              <w:rPr>
                <w:sz w:val="28"/>
                <w:szCs w:val="28"/>
              </w:rPr>
              <w:t xml:space="preserve"> privatizācijas komisijas locekļu darba samaksai (bez sociālā nodokļa pieskaitījumiem)</w:t>
            </w:r>
            <w:r w:rsidR="003A3586">
              <w:rPr>
                <w:sz w:val="28"/>
                <w:szCs w:val="28"/>
              </w:rPr>
              <w:t xml:space="preserve"> būtu iespējams noteikt </w:t>
            </w:r>
            <w:r w:rsidR="003A3586" w:rsidRPr="00340DE5">
              <w:rPr>
                <w:bCs/>
                <w:i/>
                <w:sz w:val="28"/>
                <w:szCs w:val="28"/>
                <w:lang w:eastAsia="en-US"/>
              </w:rPr>
              <w:t>euro</w:t>
            </w:r>
            <w:r w:rsidR="003A3586">
              <w:rPr>
                <w:bCs/>
                <w:sz w:val="28"/>
                <w:szCs w:val="28"/>
                <w:lang w:eastAsia="en-US"/>
              </w:rPr>
              <w:t xml:space="preserve"> vērtībā.</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3B760A" w:rsidRPr="00DE7623" w:rsidRDefault="003B760A" w:rsidP="00163821">
            <w:pPr>
              <w:pStyle w:val="FootnoteText"/>
              <w:ind w:firstLine="426"/>
              <w:jc w:val="both"/>
              <w:rPr>
                <w:i/>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ar </w:t>
            </w:r>
            <w:r w:rsidR="00163821">
              <w:rPr>
                <w:sz w:val="28"/>
                <w:szCs w:val="28"/>
              </w:rPr>
              <w:t>EIKL izpildi</w:t>
            </w:r>
            <w:r w:rsidR="00FC06B4">
              <w:rPr>
                <w:sz w:val="28"/>
                <w:szCs w:val="28"/>
              </w:rPr>
              <w:t xml:space="preserve">, kā arī </w:t>
            </w:r>
            <w:r w:rsidR="00FC06B4">
              <w:t xml:space="preserve"> </w:t>
            </w:r>
            <w:r w:rsidR="00FC06B4" w:rsidRPr="00FC06B4">
              <w:rPr>
                <w:sz w:val="28"/>
                <w:szCs w:val="28"/>
              </w:rPr>
              <w:t>nemaina pastāvošo tiesisko regulējumu pēc būtības</w:t>
            </w:r>
            <w:r w:rsidR="00FC06B4">
              <w:rPr>
                <w:sz w:val="28"/>
                <w:szCs w:val="28"/>
              </w:rPr>
              <w:t>.</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Pr="004C0D3E" w:rsidRDefault="003A3586" w:rsidP="003A3586">
            <w:pPr>
              <w:ind w:firstLine="474"/>
              <w:jc w:val="both"/>
              <w:outlineLvl w:val="0"/>
            </w:pPr>
            <w:r>
              <w:rPr>
                <w:sz w:val="28"/>
                <w:szCs w:val="28"/>
              </w:rPr>
              <w:t>Nav.</w:t>
            </w:r>
          </w:p>
        </w:tc>
      </w:tr>
    </w:tbl>
    <w:p w:rsidR="009540BF" w:rsidRPr="00DE7623" w:rsidRDefault="009540BF" w:rsidP="00DE7623">
      <w:pPr>
        <w:rPr>
          <w:sz w:val="28"/>
          <w:szCs w:val="28"/>
        </w:rPr>
      </w:pPr>
    </w:p>
    <w:tbl>
      <w:tblPr>
        <w:tblW w:w="10151"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0151"/>
      </w:tblGrid>
      <w:tr w:rsidR="00DE7623" w:rsidRPr="00DE7623" w:rsidTr="009540BF">
        <w:trPr>
          <w:trHeight w:val="507"/>
        </w:trPr>
        <w:tc>
          <w:tcPr>
            <w:tcW w:w="10151"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DE7623" w:rsidRPr="00DE7623" w:rsidTr="00C6038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DE7623" w:rsidRPr="00DE7623" w:rsidRDefault="00DE7623" w:rsidP="00C6038D">
                  <w:pPr>
                    <w:ind w:firstLine="720"/>
                    <w:jc w:val="both"/>
                    <w:rPr>
                      <w:b/>
                      <w:lang w:eastAsia="en-US"/>
                    </w:rPr>
                  </w:pPr>
                </w:p>
                <w:p w:rsidR="00DE7623" w:rsidRPr="00DE7623" w:rsidRDefault="00DE7623" w:rsidP="00C6038D">
                  <w:pPr>
                    <w:ind w:firstLine="720"/>
                    <w:jc w:val="both"/>
                    <w:rPr>
                      <w:b/>
                      <w:lang w:eastAsia="en-US"/>
                    </w:rPr>
                  </w:pPr>
                  <w:r w:rsidRPr="00DE7623">
                    <w:rPr>
                      <w:b/>
                      <w:sz w:val="28"/>
                      <w:lang w:eastAsia="en-US"/>
                    </w:rPr>
                    <w:t>III. Tiesību akta projekta ietekme uz valsts budžetu un pašvaldību budžetiem</w:t>
                  </w:r>
                </w:p>
              </w:tc>
            </w:tr>
            <w:tr w:rsidR="00DE7623" w:rsidRPr="00DE7623" w:rsidTr="00C6038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66"/>
                    <w:jc w:val="both"/>
                    <w:rPr>
                      <w:lang w:eastAsia="en-US"/>
                    </w:rPr>
                  </w:pPr>
                  <w:r w:rsidRPr="00DE7623">
                    <w:rPr>
                      <w:sz w:val="28"/>
                      <w:lang w:eastAsia="en-US"/>
                    </w:rPr>
                    <w:t> Turpmākie trīs gadi (tūkst. latu)</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25"/>
                    <w:jc w:val="both"/>
                    <w:rPr>
                      <w:b/>
                      <w:lang w:eastAsia="en-US"/>
                    </w:rPr>
                  </w:pPr>
                  <w:r w:rsidRPr="00DE7623">
                    <w:rPr>
                      <w:b/>
                      <w:sz w:val="28"/>
                      <w:lang w:eastAsia="en-US"/>
                    </w:rPr>
                    <w:t>2016.</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6</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xml:space="preserve"> 1.1. valsts pamatbudžets, tai skaitā ieņēmumi no maksas </w:t>
                  </w:r>
                  <w:r w:rsidRPr="00DE7623">
                    <w:rPr>
                      <w:sz w:val="28"/>
                      <w:lang w:eastAsia="en-US"/>
                    </w:rPr>
                    <w:lastRenderedPageBreak/>
                    <w:t>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lastRenderedPageBreak/>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4. Finanšu līdzekļi papildu 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BB075F" w:rsidRDefault="00BB075F" w:rsidP="005B34A2">
                  <w:pPr>
                    <w:rPr>
                      <w:rFonts w:eastAsiaTheme="minorHAnsi" w:cstheme="minorBidi"/>
                      <w:lang w:eastAsia="en-US"/>
                    </w:rPr>
                  </w:pPr>
                </w:p>
                <w:p w:rsidR="00872930" w:rsidRDefault="00872930" w:rsidP="005B34A2">
                  <w:pPr>
                    <w:rPr>
                      <w:rFonts w:eastAsiaTheme="minorHAnsi" w:cstheme="minorBidi"/>
                      <w:lang w:eastAsia="en-US"/>
                    </w:rPr>
                  </w:pPr>
                </w:p>
                <w:p w:rsidR="00872930" w:rsidRPr="00DE7623" w:rsidRDefault="00872930" w:rsidP="005B34A2">
                  <w:pPr>
                    <w:rPr>
                      <w:rFonts w:eastAsiaTheme="minorHAnsi" w:cstheme="minorBidi"/>
                      <w:lang w:eastAsia="en-US"/>
                    </w:rPr>
                  </w:pP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C6038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BB075F">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F802BC" w:rsidRDefault="00F802BC" w:rsidP="0008167C">
                  <w:pPr>
                    <w:ind w:firstLine="556"/>
                    <w:jc w:val="both"/>
                    <w:rPr>
                      <w:lang w:eastAsia="en-US"/>
                    </w:rPr>
                  </w:pPr>
                  <w:r>
                    <w:rPr>
                      <w:sz w:val="28"/>
                      <w:lang w:eastAsia="en-US"/>
                    </w:rPr>
                    <w:t>Ministru kabineta noteikum</w:t>
                  </w:r>
                  <w:r w:rsidR="005265BA">
                    <w:rPr>
                      <w:sz w:val="28"/>
                      <w:lang w:eastAsia="en-US"/>
                    </w:rPr>
                    <w:t>u projektā</w:t>
                  </w:r>
                  <w:r w:rsidR="00951F2D">
                    <w:rPr>
                      <w:sz w:val="28"/>
                      <w:lang w:eastAsia="en-US"/>
                    </w:rPr>
                    <w:t xml:space="preserve"> </w:t>
                  </w:r>
                  <w:r w:rsidR="00362E9C">
                    <w:rPr>
                      <w:sz w:val="28"/>
                      <w:lang w:eastAsia="en-US"/>
                    </w:rPr>
                    <w:t>paredzētajai</w:t>
                  </w:r>
                  <w:r w:rsidR="00DE7623">
                    <w:rPr>
                      <w:sz w:val="28"/>
                      <w:lang w:eastAsia="en-US"/>
                    </w:rPr>
                    <w:t xml:space="preserve"> lata </w:t>
                  </w:r>
                  <w:r w:rsidR="00DE7623" w:rsidRPr="00DE7623">
                    <w:rPr>
                      <w:sz w:val="28"/>
                      <w:lang w:eastAsia="en-US"/>
                    </w:rPr>
                    <w:t xml:space="preserve">valūtas konvertācija uz </w:t>
                  </w:r>
                  <w:r w:rsidR="00DE7623" w:rsidRPr="00DE7623">
                    <w:rPr>
                      <w:i/>
                      <w:sz w:val="28"/>
                      <w:lang w:eastAsia="en-US"/>
                    </w:rPr>
                    <w:t>euro</w:t>
                  </w:r>
                  <w:r>
                    <w:rPr>
                      <w:i/>
                      <w:sz w:val="28"/>
                      <w:lang w:eastAsia="en-US"/>
                    </w:rPr>
                    <w:t xml:space="preserve"> </w:t>
                  </w:r>
                  <w:r>
                    <w:rPr>
                      <w:sz w:val="28"/>
                      <w:lang w:eastAsia="en-US"/>
                    </w:rPr>
                    <w:t xml:space="preserve">būs </w:t>
                  </w:r>
                  <w:r w:rsidRPr="00DE7623">
                    <w:rPr>
                      <w:sz w:val="28"/>
                      <w:lang w:eastAsia="en-US"/>
                    </w:rPr>
                    <w:t>neitrāla ietekme uz valsts budžetu</w:t>
                  </w:r>
                  <w:r w:rsidR="00CC432B">
                    <w:rPr>
                      <w:sz w:val="28"/>
                      <w:lang w:eastAsia="en-US"/>
                    </w:rPr>
                    <w:t xml:space="preserve">, jo </w:t>
                  </w:r>
                  <w:r w:rsidR="00366855">
                    <w:rPr>
                      <w:sz w:val="28"/>
                      <w:lang w:eastAsia="en-US"/>
                    </w:rPr>
                    <w:t>N</w:t>
                  </w:r>
                  <w:r w:rsidR="009E7363">
                    <w:rPr>
                      <w:sz w:val="28"/>
                      <w:lang w:eastAsia="en-US"/>
                    </w:rPr>
                    <w:t>oteikumu</w:t>
                  </w:r>
                  <w:r w:rsidR="00366855">
                    <w:rPr>
                      <w:sz w:val="28"/>
                      <w:lang w:eastAsia="en-US"/>
                    </w:rPr>
                    <w:t xml:space="preserve"> Nr.147</w:t>
                  </w:r>
                  <w:r w:rsidR="009E7363">
                    <w:rPr>
                      <w:sz w:val="28"/>
                      <w:lang w:eastAsia="en-US"/>
                    </w:rPr>
                    <w:t xml:space="preserve"> </w:t>
                  </w:r>
                  <w:r w:rsidR="003A3586">
                    <w:rPr>
                      <w:sz w:val="28"/>
                      <w:lang w:eastAsia="en-US"/>
                    </w:rPr>
                    <w:t>6.</w:t>
                  </w:r>
                  <w:r w:rsidR="00EC27EC">
                    <w:rPr>
                      <w:sz w:val="28"/>
                      <w:lang w:eastAsia="en-US"/>
                    </w:rPr>
                    <w:t>punkta grozījumi</w:t>
                  </w:r>
                  <w:r w:rsidR="009E7363">
                    <w:rPr>
                      <w:sz w:val="28"/>
                      <w:lang w:eastAsia="en-US"/>
                    </w:rPr>
                    <w:t xml:space="preserve"> </w:t>
                  </w:r>
                  <w:r w:rsidR="005B34A2">
                    <w:rPr>
                      <w:sz w:val="28"/>
                      <w:lang w:eastAsia="en-US"/>
                    </w:rPr>
                    <w:t xml:space="preserve">veikti ievērojot </w:t>
                  </w:r>
                  <w:r w:rsidR="0008167C" w:rsidRPr="0008167C">
                    <w:rPr>
                      <w:sz w:val="28"/>
                      <w:lang w:eastAsia="en-US"/>
                    </w:rPr>
                    <w:t>EIKL</w:t>
                  </w:r>
                  <w:r w:rsidR="005B34A2">
                    <w:rPr>
                      <w:sz w:val="28"/>
                      <w:lang w:eastAsia="en-US"/>
                    </w:rPr>
                    <w:t xml:space="preserve"> </w:t>
                  </w:r>
                  <w:r w:rsidR="0008167C">
                    <w:rPr>
                      <w:sz w:val="28"/>
                      <w:lang w:eastAsia="en-US"/>
                    </w:rPr>
                    <w:t xml:space="preserve">6.pantā </w:t>
                  </w:r>
                  <w:r w:rsidR="005B34A2">
                    <w:rPr>
                      <w:sz w:val="28"/>
                      <w:lang w:eastAsia="en-US"/>
                    </w:rPr>
                    <w:t>noteikto principu</w:t>
                  </w:r>
                  <w:r w:rsidR="003A3586">
                    <w:rPr>
                      <w:sz w:val="28"/>
                      <w:lang w:eastAsia="en-US"/>
                    </w:rPr>
                    <w:t xml:space="preserve"> </w:t>
                  </w:r>
                  <w:r w:rsidR="003A3586" w:rsidRPr="00DE7623">
                    <w:rPr>
                      <w:sz w:val="28"/>
                      <w:lang w:eastAsia="en-US"/>
                    </w:rPr>
                    <w:t>un attiecīgi tam ir neitrāla ietekme uz valsts budžetu.</w:t>
                  </w:r>
                </w:p>
              </w:tc>
            </w:tr>
          </w:tbl>
          <w:p w:rsidR="00DE7623" w:rsidRPr="00DE7623" w:rsidRDefault="00DE7623" w:rsidP="00C6038D">
            <w:pPr>
              <w:rPr>
                <w:lang w:eastAsia="en-US"/>
              </w:rPr>
            </w:pPr>
          </w:p>
        </w:tc>
      </w:tr>
    </w:tbl>
    <w:p w:rsidR="00DE7623" w:rsidRPr="00BB075F" w:rsidRDefault="00DE7623" w:rsidP="00DE7623">
      <w:pPr>
        <w:rPr>
          <w:i/>
          <w:iCs/>
          <w:sz w:val="28"/>
          <w:szCs w:val="28"/>
        </w:rPr>
      </w:pPr>
      <w:r w:rsidRPr="00DE7623">
        <w:rPr>
          <w:i/>
          <w:iCs/>
          <w:sz w:val="28"/>
          <w:szCs w:val="28"/>
        </w:rPr>
        <w:lastRenderedPageBreak/>
        <w:t> </w:t>
      </w:r>
    </w:p>
    <w:p w:rsidR="00BB075F" w:rsidRDefault="00BB075F" w:rsidP="00BB075F">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BB075F" w:rsidRPr="00DE7623" w:rsidRDefault="00BB075F" w:rsidP="00DE7623">
      <w:pPr>
        <w:rPr>
          <w:vanish/>
          <w:sz w:val="28"/>
          <w:szCs w:val="28"/>
        </w:rPr>
      </w:pPr>
    </w:p>
    <w:p w:rsidR="00DE7623" w:rsidRPr="00DE7623" w:rsidRDefault="00DE7623" w:rsidP="00DE7623">
      <w:pPr>
        <w:rPr>
          <w:vanish/>
          <w:sz w:val="28"/>
          <w:szCs w:val="28"/>
        </w:rPr>
      </w:pPr>
    </w:p>
    <w:p w:rsidR="00DE7623" w:rsidRPr="00DE7623" w:rsidRDefault="00DE7623" w:rsidP="00DE7623">
      <w:pPr>
        <w:pStyle w:val="naisf"/>
        <w:tabs>
          <w:tab w:val="left" w:pos="5760"/>
        </w:tabs>
        <w:spacing w:before="0" w:after="0"/>
        <w:ind w:firstLine="0"/>
        <w:rPr>
          <w:sz w:val="28"/>
          <w:szCs w:val="28"/>
        </w:rPr>
      </w:pPr>
    </w:p>
    <w:p w:rsidR="00DE7623" w:rsidRPr="00DE7623" w:rsidRDefault="00B9757D" w:rsidP="00B9757D">
      <w:pPr>
        <w:tabs>
          <w:tab w:val="left" w:pos="7230"/>
        </w:tabs>
        <w:spacing w:before="120" w:after="360"/>
        <w:ind w:right="-521"/>
        <w:rPr>
          <w:b/>
          <w:sz w:val="28"/>
        </w:rPr>
      </w:pPr>
      <w:r>
        <w:rPr>
          <w:b/>
          <w:sz w:val="28"/>
        </w:rPr>
        <w:t>Ekonomikas ministrs</w:t>
      </w:r>
      <w:r>
        <w:rPr>
          <w:b/>
          <w:sz w:val="28"/>
        </w:rPr>
        <w:tab/>
      </w:r>
      <w:proofErr w:type="spellStart"/>
      <w:r w:rsidR="00DE7623" w:rsidRPr="00DE7623">
        <w:rPr>
          <w:b/>
          <w:sz w:val="28"/>
        </w:rPr>
        <w:t>D.Pavļuts</w:t>
      </w:r>
      <w:proofErr w:type="spellEnd"/>
    </w:p>
    <w:p w:rsidR="00B9757D" w:rsidRPr="002F2FF4" w:rsidRDefault="00DE7623" w:rsidP="00B9757D">
      <w:pPr>
        <w:tabs>
          <w:tab w:val="left" w:pos="7655"/>
        </w:tabs>
        <w:ind w:right="-521"/>
        <w:rPr>
          <w:b/>
          <w:sz w:val="28"/>
        </w:rPr>
      </w:pPr>
      <w:r w:rsidRPr="00DE7623">
        <w:rPr>
          <w:b/>
          <w:sz w:val="28"/>
        </w:rPr>
        <w:t xml:space="preserve">Vīza: </w:t>
      </w:r>
      <w:r w:rsidR="00B9757D">
        <w:rPr>
          <w:b/>
          <w:sz w:val="28"/>
        </w:rPr>
        <w:t>v</w:t>
      </w:r>
      <w:r w:rsidR="00B9757D" w:rsidRPr="002F2FF4">
        <w:rPr>
          <w:b/>
          <w:sz w:val="28"/>
        </w:rPr>
        <w:t xml:space="preserve">alsts sekretāra </w:t>
      </w:r>
    </w:p>
    <w:p w:rsidR="00B9757D" w:rsidRPr="002F2FF4" w:rsidRDefault="00B9757D" w:rsidP="00B9757D">
      <w:pPr>
        <w:tabs>
          <w:tab w:val="left" w:pos="7655"/>
        </w:tabs>
        <w:ind w:right="-521"/>
        <w:rPr>
          <w:b/>
          <w:sz w:val="28"/>
        </w:rPr>
      </w:pPr>
      <w:r>
        <w:rPr>
          <w:b/>
          <w:sz w:val="28"/>
        </w:rPr>
        <w:t xml:space="preserve">pienākumu izpildītājs - </w:t>
      </w:r>
    </w:p>
    <w:p w:rsidR="00DE7623" w:rsidRPr="00B9757D" w:rsidRDefault="00B9757D" w:rsidP="00B9757D">
      <w:pPr>
        <w:tabs>
          <w:tab w:val="left" w:pos="6946"/>
        </w:tabs>
        <w:spacing w:after="120" w:line="276" w:lineRule="auto"/>
        <w:rPr>
          <w:rFonts w:eastAsia="Calibri"/>
          <w:b/>
          <w:sz w:val="28"/>
          <w:szCs w:val="28"/>
          <w:lang w:eastAsia="en-US"/>
        </w:rPr>
      </w:pPr>
      <w:r w:rsidRPr="002F2FF4">
        <w:rPr>
          <w:b/>
          <w:sz w:val="28"/>
        </w:rPr>
        <w:t xml:space="preserve">valsts sekretāra vietnieks                             </w:t>
      </w:r>
      <w:r w:rsidRPr="002F2FF4">
        <w:rPr>
          <w:b/>
          <w:sz w:val="28"/>
        </w:rPr>
        <w:tab/>
      </w:r>
      <w:r>
        <w:rPr>
          <w:b/>
          <w:sz w:val="28"/>
        </w:rPr>
        <w:tab/>
      </w:r>
      <w:r w:rsidRPr="002F2FF4">
        <w:rPr>
          <w:b/>
          <w:sz w:val="28"/>
        </w:rPr>
        <w:t>A.Liepiņš</w:t>
      </w:r>
    </w:p>
    <w:p w:rsidR="00B9757D" w:rsidRDefault="00B9757D" w:rsidP="00DE7623">
      <w:pPr>
        <w:pStyle w:val="StyleRight"/>
        <w:tabs>
          <w:tab w:val="left" w:pos="2552"/>
        </w:tabs>
        <w:spacing w:after="0"/>
        <w:ind w:firstLine="0"/>
        <w:jc w:val="both"/>
        <w:rPr>
          <w:sz w:val="24"/>
          <w:szCs w:val="24"/>
        </w:rPr>
      </w:pPr>
    </w:p>
    <w:p w:rsidR="00B9757D" w:rsidRDefault="00B9757D" w:rsidP="00DE7623">
      <w:pPr>
        <w:pStyle w:val="StyleRight"/>
        <w:tabs>
          <w:tab w:val="left" w:pos="2552"/>
        </w:tabs>
        <w:spacing w:after="0"/>
        <w:ind w:firstLine="0"/>
        <w:jc w:val="both"/>
        <w:rPr>
          <w:sz w:val="24"/>
          <w:szCs w:val="24"/>
        </w:rPr>
      </w:pPr>
    </w:p>
    <w:p w:rsidR="00DE7623" w:rsidRPr="00DE7623" w:rsidRDefault="00B9757D" w:rsidP="00DE7623">
      <w:pPr>
        <w:pStyle w:val="StyleRight"/>
        <w:tabs>
          <w:tab w:val="left" w:pos="2552"/>
        </w:tabs>
        <w:spacing w:after="0"/>
        <w:ind w:firstLine="0"/>
        <w:jc w:val="both"/>
        <w:rPr>
          <w:sz w:val="24"/>
          <w:szCs w:val="24"/>
          <w:lang w:eastAsia="lv-LV"/>
        </w:rPr>
      </w:pPr>
      <w:r>
        <w:rPr>
          <w:sz w:val="24"/>
          <w:szCs w:val="24"/>
        </w:rPr>
        <w:t>18</w:t>
      </w:r>
      <w:r w:rsidR="00030079">
        <w:rPr>
          <w:sz w:val="24"/>
          <w:szCs w:val="24"/>
        </w:rPr>
        <w:t>.09</w:t>
      </w:r>
      <w:r w:rsidR="00DE7623" w:rsidRPr="00DE7623">
        <w:rPr>
          <w:sz w:val="24"/>
          <w:szCs w:val="24"/>
        </w:rPr>
        <w:t>.2013</w:t>
      </w:r>
      <w:r w:rsidR="00584A25">
        <w:rPr>
          <w:sz w:val="24"/>
          <w:szCs w:val="24"/>
          <w:lang w:eastAsia="lv-LV"/>
        </w:rPr>
        <w:t>. 1</w:t>
      </w:r>
      <w:r w:rsidR="008F7D1C">
        <w:rPr>
          <w:sz w:val="24"/>
          <w:szCs w:val="24"/>
          <w:lang w:eastAsia="lv-LV"/>
        </w:rPr>
        <w:t>3</w:t>
      </w:r>
      <w:bookmarkStart w:id="0" w:name="_GoBack"/>
      <w:bookmarkEnd w:id="0"/>
      <w:r w:rsidR="008F01EC">
        <w:rPr>
          <w:sz w:val="24"/>
          <w:szCs w:val="24"/>
          <w:lang w:eastAsia="lv-LV"/>
        </w:rPr>
        <w:t>:00</w:t>
      </w:r>
    </w:p>
    <w:p w:rsidR="00DE7623" w:rsidRPr="00DE7623" w:rsidRDefault="00B9757D" w:rsidP="00DE7623">
      <w:pPr>
        <w:pStyle w:val="StyleRight"/>
        <w:tabs>
          <w:tab w:val="left" w:pos="2552"/>
        </w:tabs>
        <w:spacing w:after="0"/>
        <w:ind w:firstLine="0"/>
        <w:jc w:val="both"/>
        <w:rPr>
          <w:sz w:val="24"/>
          <w:szCs w:val="24"/>
          <w:lang w:eastAsia="lv-LV"/>
        </w:rPr>
      </w:pPr>
      <w:r>
        <w:rPr>
          <w:sz w:val="24"/>
          <w:szCs w:val="24"/>
          <w:lang w:eastAsia="lv-LV"/>
        </w:rPr>
        <w:t>1003</w:t>
      </w:r>
    </w:p>
    <w:p w:rsidR="00DE7623" w:rsidRPr="00DE7623" w:rsidRDefault="00DE7623" w:rsidP="00DE7623">
      <w:pPr>
        <w:pStyle w:val="naisf"/>
        <w:spacing w:before="0" w:after="0"/>
        <w:ind w:firstLine="0"/>
      </w:pPr>
      <w:r w:rsidRPr="00DE7623">
        <w:t xml:space="preserve">Drāke </w:t>
      </w:r>
    </w:p>
    <w:p w:rsidR="006C408F" w:rsidRPr="00DE7623" w:rsidRDefault="00DE7623" w:rsidP="0008167C">
      <w:pPr>
        <w:pStyle w:val="naisf"/>
        <w:spacing w:before="0" w:after="0"/>
        <w:ind w:firstLine="0"/>
      </w:pPr>
      <w:r w:rsidRPr="00DE7623">
        <w:t xml:space="preserve">67013162, </w:t>
      </w:r>
      <w:hyperlink r:id="rId8" w:history="1">
        <w:r w:rsidRPr="00DE7623">
          <w:rPr>
            <w:rStyle w:val="Hyperlink"/>
          </w:rPr>
          <w:t>Martins.Drake@em.gov.lv</w:t>
        </w:r>
      </w:hyperlink>
      <w:r w:rsidRPr="00DE7623">
        <w:t xml:space="preserve"> </w:t>
      </w:r>
    </w:p>
    <w:sectPr w:rsidR="006C408F" w:rsidRPr="00DE7623"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60" w:rsidRDefault="000B4B60">
      <w:r>
        <w:separator/>
      </w:r>
    </w:p>
  </w:endnote>
  <w:endnote w:type="continuationSeparator" w:id="0">
    <w:p w:rsidR="000B4B60" w:rsidRDefault="000B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215CA3" w:rsidRDefault="00B9757D" w:rsidP="00215CA3">
    <w:pPr>
      <w:pStyle w:val="Footer"/>
      <w:jc w:val="both"/>
      <w:rPr>
        <w:szCs w:val="24"/>
      </w:rPr>
    </w:pPr>
    <w:r>
      <w:rPr>
        <w:szCs w:val="24"/>
      </w:rPr>
      <w:t>EMAnot_18</w:t>
    </w:r>
    <w:r w:rsidR="00030079">
      <w:rPr>
        <w:szCs w:val="24"/>
      </w:rPr>
      <w:t>09</w:t>
    </w:r>
    <w:r w:rsidR="00215CA3" w:rsidRPr="00E12D11">
      <w:rPr>
        <w:szCs w:val="24"/>
      </w:rPr>
      <w:t>13</w:t>
    </w:r>
    <w:r w:rsidR="00215CA3" w:rsidRPr="00F44ACA">
      <w:rPr>
        <w:szCs w:val="24"/>
      </w:rPr>
      <w:t xml:space="preserve">; Ministru kabineta </w:t>
    </w:r>
    <w:r w:rsidR="00215CA3">
      <w:rPr>
        <w:szCs w:val="24"/>
      </w:rPr>
      <w:t>noteikumu projekta</w:t>
    </w:r>
    <w:r w:rsidR="00215CA3" w:rsidRPr="00F44ACA">
      <w:rPr>
        <w:szCs w:val="24"/>
      </w:rPr>
      <w:t xml:space="preserve"> </w:t>
    </w:r>
    <w:r w:rsidR="006913F9" w:rsidRPr="006913F9">
      <w:rPr>
        <w:szCs w:val="24"/>
      </w:rPr>
      <w:t>„Grozījums Ministru kabineta 1994.gada 5.jūlīja noteikumos Nr.147 „Par valsts īpašuma privatizācijas komisiju darbības finansēšanu” sākotnējās ietekmes izvērtējums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60" w:rsidRDefault="000B4B60">
      <w:r>
        <w:separator/>
      </w:r>
    </w:p>
  </w:footnote>
  <w:footnote w:type="continuationSeparator" w:id="0">
    <w:p w:rsidR="000B4B60" w:rsidRDefault="000B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0B4B60"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D"/>
    <w:rsid w:val="00004457"/>
    <w:rsid w:val="000225B6"/>
    <w:rsid w:val="00026970"/>
    <w:rsid w:val="00030079"/>
    <w:rsid w:val="00034852"/>
    <w:rsid w:val="00045CB0"/>
    <w:rsid w:val="0008167C"/>
    <w:rsid w:val="00097E5A"/>
    <w:rsid w:val="000B4B60"/>
    <w:rsid w:val="000B7391"/>
    <w:rsid w:val="000C140B"/>
    <w:rsid w:val="000C15C1"/>
    <w:rsid w:val="000D02C8"/>
    <w:rsid w:val="00100C3C"/>
    <w:rsid w:val="00113FD8"/>
    <w:rsid w:val="00126621"/>
    <w:rsid w:val="00146CE9"/>
    <w:rsid w:val="00151B6D"/>
    <w:rsid w:val="001537A3"/>
    <w:rsid w:val="001576D3"/>
    <w:rsid w:val="00163821"/>
    <w:rsid w:val="001668C4"/>
    <w:rsid w:val="00184CBB"/>
    <w:rsid w:val="001957C1"/>
    <w:rsid w:val="001A1964"/>
    <w:rsid w:val="001B601A"/>
    <w:rsid w:val="001D7065"/>
    <w:rsid w:val="001E1EF1"/>
    <w:rsid w:val="001E4F6C"/>
    <w:rsid w:val="001E5F1C"/>
    <w:rsid w:val="00205ABA"/>
    <w:rsid w:val="00215CA3"/>
    <w:rsid w:val="002278AC"/>
    <w:rsid w:val="002405B8"/>
    <w:rsid w:val="00245E93"/>
    <w:rsid w:val="00246531"/>
    <w:rsid w:val="00250C98"/>
    <w:rsid w:val="00263FF8"/>
    <w:rsid w:val="00264443"/>
    <w:rsid w:val="002749D4"/>
    <w:rsid w:val="00277655"/>
    <w:rsid w:val="00282F58"/>
    <w:rsid w:val="00293820"/>
    <w:rsid w:val="002B2218"/>
    <w:rsid w:val="002B48D2"/>
    <w:rsid w:val="002C7A4F"/>
    <w:rsid w:val="002E77B8"/>
    <w:rsid w:val="00325B0B"/>
    <w:rsid w:val="00331F00"/>
    <w:rsid w:val="003372AF"/>
    <w:rsid w:val="003416C9"/>
    <w:rsid w:val="003556C3"/>
    <w:rsid w:val="00362E9C"/>
    <w:rsid w:val="00366855"/>
    <w:rsid w:val="00376079"/>
    <w:rsid w:val="003A3586"/>
    <w:rsid w:val="003B760A"/>
    <w:rsid w:val="003C1648"/>
    <w:rsid w:val="003C2F4B"/>
    <w:rsid w:val="003D1A38"/>
    <w:rsid w:val="003F4CA3"/>
    <w:rsid w:val="004006AE"/>
    <w:rsid w:val="00410721"/>
    <w:rsid w:val="00430079"/>
    <w:rsid w:val="004304AF"/>
    <w:rsid w:val="004622BD"/>
    <w:rsid w:val="004A4DDA"/>
    <w:rsid w:val="004C0D3E"/>
    <w:rsid w:val="004C2148"/>
    <w:rsid w:val="004C4CAA"/>
    <w:rsid w:val="004E3988"/>
    <w:rsid w:val="00511703"/>
    <w:rsid w:val="005265BA"/>
    <w:rsid w:val="005368EA"/>
    <w:rsid w:val="00563F7C"/>
    <w:rsid w:val="00571849"/>
    <w:rsid w:val="00581902"/>
    <w:rsid w:val="00584A25"/>
    <w:rsid w:val="00586C5C"/>
    <w:rsid w:val="005B1E30"/>
    <w:rsid w:val="005B34A2"/>
    <w:rsid w:val="005E3437"/>
    <w:rsid w:val="005F121E"/>
    <w:rsid w:val="005F3B9A"/>
    <w:rsid w:val="005F6BD1"/>
    <w:rsid w:val="0060041D"/>
    <w:rsid w:val="006112CB"/>
    <w:rsid w:val="00613D7C"/>
    <w:rsid w:val="00614084"/>
    <w:rsid w:val="006159CB"/>
    <w:rsid w:val="00621937"/>
    <w:rsid w:val="006239CE"/>
    <w:rsid w:val="00634ACF"/>
    <w:rsid w:val="006440FF"/>
    <w:rsid w:val="00646C36"/>
    <w:rsid w:val="0067745B"/>
    <w:rsid w:val="006807CC"/>
    <w:rsid w:val="0068218A"/>
    <w:rsid w:val="006913F9"/>
    <w:rsid w:val="006A420C"/>
    <w:rsid w:val="006C408F"/>
    <w:rsid w:val="006D2E8D"/>
    <w:rsid w:val="006D60A3"/>
    <w:rsid w:val="006F0AE5"/>
    <w:rsid w:val="006F4580"/>
    <w:rsid w:val="007007DA"/>
    <w:rsid w:val="007159F2"/>
    <w:rsid w:val="00717390"/>
    <w:rsid w:val="00741C4B"/>
    <w:rsid w:val="0075404E"/>
    <w:rsid w:val="00761386"/>
    <w:rsid w:val="00762EDE"/>
    <w:rsid w:val="00765A01"/>
    <w:rsid w:val="00793995"/>
    <w:rsid w:val="007A29F4"/>
    <w:rsid w:val="007C5B5C"/>
    <w:rsid w:val="007D5B4C"/>
    <w:rsid w:val="007E158F"/>
    <w:rsid w:val="00807727"/>
    <w:rsid w:val="00807B8B"/>
    <w:rsid w:val="0081391A"/>
    <w:rsid w:val="008172FE"/>
    <w:rsid w:val="00822C71"/>
    <w:rsid w:val="0082698E"/>
    <w:rsid w:val="00843146"/>
    <w:rsid w:val="00872930"/>
    <w:rsid w:val="00876EF1"/>
    <w:rsid w:val="00887C75"/>
    <w:rsid w:val="008A3F43"/>
    <w:rsid w:val="008C458E"/>
    <w:rsid w:val="008D7D2C"/>
    <w:rsid w:val="008F01EC"/>
    <w:rsid w:val="008F7D1C"/>
    <w:rsid w:val="00903699"/>
    <w:rsid w:val="00914A7B"/>
    <w:rsid w:val="00916A27"/>
    <w:rsid w:val="00924E9D"/>
    <w:rsid w:val="00947C5B"/>
    <w:rsid w:val="00951F2D"/>
    <w:rsid w:val="009540BF"/>
    <w:rsid w:val="00972E9D"/>
    <w:rsid w:val="00992863"/>
    <w:rsid w:val="009A47E3"/>
    <w:rsid w:val="009A4BA9"/>
    <w:rsid w:val="009D22FA"/>
    <w:rsid w:val="009D5010"/>
    <w:rsid w:val="009E0D93"/>
    <w:rsid w:val="009E379E"/>
    <w:rsid w:val="009E7363"/>
    <w:rsid w:val="009F154A"/>
    <w:rsid w:val="00A154BD"/>
    <w:rsid w:val="00A16619"/>
    <w:rsid w:val="00A17219"/>
    <w:rsid w:val="00A227C3"/>
    <w:rsid w:val="00A244FF"/>
    <w:rsid w:val="00A353DD"/>
    <w:rsid w:val="00A46472"/>
    <w:rsid w:val="00A52993"/>
    <w:rsid w:val="00A60F43"/>
    <w:rsid w:val="00A818A3"/>
    <w:rsid w:val="00A8226E"/>
    <w:rsid w:val="00A83152"/>
    <w:rsid w:val="00A9414A"/>
    <w:rsid w:val="00AB4E9B"/>
    <w:rsid w:val="00AE7DFE"/>
    <w:rsid w:val="00AF410F"/>
    <w:rsid w:val="00AF5648"/>
    <w:rsid w:val="00B0213E"/>
    <w:rsid w:val="00B07337"/>
    <w:rsid w:val="00B372A9"/>
    <w:rsid w:val="00B450F3"/>
    <w:rsid w:val="00B6782E"/>
    <w:rsid w:val="00B9364F"/>
    <w:rsid w:val="00B9757D"/>
    <w:rsid w:val="00BA7669"/>
    <w:rsid w:val="00BB075F"/>
    <w:rsid w:val="00BC398B"/>
    <w:rsid w:val="00BD1F0F"/>
    <w:rsid w:val="00BE21B9"/>
    <w:rsid w:val="00BE6FEF"/>
    <w:rsid w:val="00BE7142"/>
    <w:rsid w:val="00BF037C"/>
    <w:rsid w:val="00C04755"/>
    <w:rsid w:val="00C12FC6"/>
    <w:rsid w:val="00C201BB"/>
    <w:rsid w:val="00C215F9"/>
    <w:rsid w:val="00C43343"/>
    <w:rsid w:val="00C433EC"/>
    <w:rsid w:val="00C624A4"/>
    <w:rsid w:val="00C627A7"/>
    <w:rsid w:val="00C64FB5"/>
    <w:rsid w:val="00C711FF"/>
    <w:rsid w:val="00C82281"/>
    <w:rsid w:val="00CA1739"/>
    <w:rsid w:val="00CB01AE"/>
    <w:rsid w:val="00CC3AAE"/>
    <w:rsid w:val="00CC432B"/>
    <w:rsid w:val="00CC6358"/>
    <w:rsid w:val="00CC6685"/>
    <w:rsid w:val="00CC6CB7"/>
    <w:rsid w:val="00CD0F36"/>
    <w:rsid w:val="00CF1FA6"/>
    <w:rsid w:val="00CF6A7C"/>
    <w:rsid w:val="00D01AF4"/>
    <w:rsid w:val="00D02ECC"/>
    <w:rsid w:val="00D262FE"/>
    <w:rsid w:val="00D46498"/>
    <w:rsid w:val="00D522A5"/>
    <w:rsid w:val="00D55618"/>
    <w:rsid w:val="00D56EA1"/>
    <w:rsid w:val="00D630EF"/>
    <w:rsid w:val="00D65819"/>
    <w:rsid w:val="00D84DCC"/>
    <w:rsid w:val="00D97E98"/>
    <w:rsid w:val="00DA316D"/>
    <w:rsid w:val="00DB0233"/>
    <w:rsid w:val="00DB05EF"/>
    <w:rsid w:val="00DB3CF8"/>
    <w:rsid w:val="00DC2DE4"/>
    <w:rsid w:val="00DC4244"/>
    <w:rsid w:val="00DD4169"/>
    <w:rsid w:val="00DD556C"/>
    <w:rsid w:val="00DE7623"/>
    <w:rsid w:val="00DF418F"/>
    <w:rsid w:val="00DF7797"/>
    <w:rsid w:val="00E04573"/>
    <w:rsid w:val="00E111EA"/>
    <w:rsid w:val="00E12D11"/>
    <w:rsid w:val="00E1461F"/>
    <w:rsid w:val="00E434F3"/>
    <w:rsid w:val="00E450A5"/>
    <w:rsid w:val="00E55E0E"/>
    <w:rsid w:val="00E56B96"/>
    <w:rsid w:val="00E86EED"/>
    <w:rsid w:val="00EA727F"/>
    <w:rsid w:val="00EC27EC"/>
    <w:rsid w:val="00EC6FA1"/>
    <w:rsid w:val="00EC7A8D"/>
    <w:rsid w:val="00ED0E49"/>
    <w:rsid w:val="00ED2808"/>
    <w:rsid w:val="00F04D94"/>
    <w:rsid w:val="00F32745"/>
    <w:rsid w:val="00F568AD"/>
    <w:rsid w:val="00F6692D"/>
    <w:rsid w:val="00F802BC"/>
    <w:rsid w:val="00F917A4"/>
    <w:rsid w:val="00FA24D3"/>
    <w:rsid w:val="00FA3D5E"/>
    <w:rsid w:val="00FA6A26"/>
    <w:rsid w:val="00FC06B4"/>
    <w:rsid w:val="00FD1884"/>
    <w:rsid w:val="00FD4160"/>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251">
      <w:bodyDiv w:val="1"/>
      <w:marLeft w:val="0"/>
      <w:marRight w:val="0"/>
      <w:marTop w:val="0"/>
      <w:marBottom w:val="0"/>
      <w:divBdr>
        <w:top w:val="none" w:sz="0" w:space="0" w:color="auto"/>
        <w:left w:val="none" w:sz="0" w:space="0" w:color="auto"/>
        <w:bottom w:val="none" w:sz="0" w:space="0" w:color="auto"/>
        <w:right w:val="none" w:sz="0" w:space="0" w:color="auto"/>
      </w:divBdr>
    </w:div>
    <w:div w:id="1239972972">
      <w:bodyDiv w:val="1"/>
      <w:marLeft w:val="0"/>
      <w:marRight w:val="0"/>
      <w:marTop w:val="0"/>
      <w:marBottom w:val="0"/>
      <w:divBdr>
        <w:top w:val="none" w:sz="0" w:space="0" w:color="auto"/>
        <w:left w:val="none" w:sz="0" w:space="0" w:color="auto"/>
        <w:bottom w:val="none" w:sz="0" w:space="0" w:color="auto"/>
        <w:right w:val="none" w:sz="0" w:space="0" w:color="auto"/>
      </w:divBdr>
    </w:div>
    <w:div w:id="15069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4650</Words>
  <Characters>2652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1994.gada 5.jūlīja noteikumos Nr.147 „Par valsts īpašuma privatizācijas komisiju darbības finansēšanu” sākotnējās ietekmes izvērtējums (anotācija)</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1994.gada 5.jūlīja noteikumos Nr.147 „Par valsts īpašuma privatizācijas komisiju darbības finansēšanu” sākotnējās ietekmes izvērtējums (anotācija)</dc:title>
  <dc:subject>MK Noteikumu grozījumi</dc:subject>
  <dc:creator>Mārtiņš Drāke</dc:creator>
  <dc:description>Martins.Drake@em.gov.lv;
67013162</dc:description>
  <cp:lastModifiedBy>Mārtiņš Drāke</cp:lastModifiedBy>
  <cp:revision>30</cp:revision>
  <cp:lastPrinted>2013-08-05T12:56:00Z</cp:lastPrinted>
  <dcterms:created xsi:type="dcterms:W3CDTF">2013-07-17T08:30:00Z</dcterms:created>
  <dcterms:modified xsi:type="dcterms:W3CDTF">2013-09-18T10:03:00Z</dcterms:modified>
</cp:coreProperties>
</file>