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8E9" w:rsidRPr="00BA5E1C" w:rsidRDefault="00034852" w:rsidP="00E95643">
      <w:pPr>
        <w:jc w:val="both"/>
        <w:rPr>
          <w:b/>
          <w:bCs/>
          <w:sz w:val="28"/>
        </w:rPr>
      </w:pPr>
      <w:r w:rsidRPr="003416C9">
        <w:rPr>
          <w:b/>
          <w:sz w:val="28"/>
        </w:rPr>
        <w:t xml:space="preserve">Ministru kabineta noteikumu projekta </w:t>
      </w:r>
      <w:r w:rsidR="008268E9">
        <w:rPr>
          <w:b/>
          <w:sz w:val="28"/>
        </w:rPr>
        <w:t>„</w:t>
      </w:r>
      <w:r w:rsidR="004622BD" w:rsidRPr="003416C9">
        <w:rPr>
          <w:b/>
          <w:sz w:val="28"/>
        </w:rPr>
        <w:t>Grozījum</w:t>
      </w:r>
      <w:r w:rsidR="00825685">
        <w:rPr>
          <w:b/>
          <w:sz w:val="28"/>
        </w:rPr>
        <w:t>i</w:t>
      </w:r>
      <w:r w:rsidR="004622BD" w:rsidRPr="003416C9">
        <w:rPr>
          <w:b/>
          <w:sz w:val="28"/>
        </w:rPr>
        <w:t xml:space="preserve"> Ministru kabineta </w:t>
      </w:r>
      <w:r w:rsidR="00045CB0">
        <w:rPr>
          <w:b/>
          <w:sz w:val="28"/>
        </w:rPr>
        <w:t>199</w:t>
      </w:r>
      <w:r w:rsidR="00E75FEB">
        <w:rPr>
          <w:b/>
          <w:sz w:val="28"/>
        </w:rPr>
        <w:t>5</w:t>
      </w:r>
      <w:r w:rsidR="004622BD" w:rsidRPr="003416C9">
        <w:rPr>
          <w:b/>
          <w:sz w:val="28"/>
        </w:rPr>
        <w:t>.g</w:t>
      </w:r>
      <w:r w:rsidR="00D522A5" w:rsidRPr="003416C9">
        <w:rPr>
          <w:b/>
          <w:sz w:val="28"/>
        </w:rPr>
        <w:t xml:space="preserve">ada </w:t>
      </w:r>
      <w:r w:rsidR="00E75FEB">
        <w:rPr>
          <w:b/>
          <w:sz w:val="28"/>
        </w:rPr>
        <w:t>11.jūlija</w:t>
      </w:r>
      <w:r w:rsidR="00D522A5" w:rsidRPr="003416C9">
        <w:rPr>
          <w:b/>
          <w:sz w:val="28"/>
        </w:rPr>
        <w:t xml:space="preserve"> noteikumos Nr.</w:t>
      </w:r>
      <w:r w:rsidR="00E75FEB">
        <w:rPr>
          <w:b/>
          <w:sz w:val="28"/>
        </w:rPr>
        <w:t>197</w:t>
      </w:r>
      <w:r w:rsidR="00D522A5" w:rsidRPr="003416C9">
        <w:rPr>
          <w:b/>
          <w:sz w:val="28"/>
        </w:rPr>
        <w:t xml:space="preserve"> </w:t>
      </w:r>
      <w:r w:rsidR="004622BD" w:rsidRPr="003416C9">
        <w:rPr>
          <w:b/>
          <w:sz w:val="28"/>
        </w:rPr>
        <w:t>„</w:t>
      </w:r>
      <w:r w:rsidR="00E75FEB" w:rsidRPr="00E75FEB">
        <w:rPr>
          <w:b/>
          <w:sz w:val="28"/>
        </w:rPr>
        <w:t>Noteikumi par bijušo īpašnieku mantas kompensācijas vērtības noteikšanu un tās salīdzināšanu ar privatizējamo objektu (mantas) pašreizējo vērtību</w:t>
      </w:r>
      <w:r w:rsidR="004622BD" w:rsidRPr="003416C9">
        <w:rPr>
          <w:b/>
          <w:sz w:val="28"/>
        </w:rPr>
        <w:t>”</w:t>
      </w:r>
      <w:r w:rsidR="008268E9">
        <w:rPr>
          <w:b/>
          <w:sz w:val="28"/>
        </w:rPr>
        <w:t>”</w:t>
      </w:r>
      <w:r w:rsidR="004622BD" w:rsidRPr="003416C9">
        <w:rPr>
          <w:b/>
          <w:sz w:val="28"/>
        </w:rPr>
        <w:t xml:space="preserve"> </w:t>
      </w:r>
      <w:r w:rsidRPr="003416C9">
        <w:rPr>
          <w:b/>
          <w:bCs/>
          <w:sz w:val="28"/>
        </w:rPr>
        <w:t>sākotnējās ietekmes izvērtējums (anotācija)</w:t>
      </w:r>
    </w:p>
    <w:tbl>
      <w:tblPr>
        <w:tblpPr w:leftFromText="180" w:rightFromText="180" w:vertAnchor="text" w:horzAnchor="margin" w:tblpXSpec="center" w:tblpY="14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45"/>
        <w:gridCol w:w="2814"/>
        <w:gridCol w:w="6258"/>
        <w:gridCol w:w="22"/>
      </w:tblGrid>
      <w:tr w:rsidR="003B760A" w:rsidRPr="003416C9" w:rsidTr="003D2862">
        <w:tc>
          <w:tcPr>
            <w:tcW w:w="9639" w:type="dxa"/>
            <w:gridSpan w:val="4"/>
            <w:vAlign w:val="center"/>
          </w:tcPr>
          <w:p w:rsidR="003B760A" w:rsidRPr="003416C9" w:rsidRDefault="003B760A" w:rsidP="003D2862">
            <w:pPr>
              <w:pStyle w:val="naisnod"/>
              <w:spacing w:before="0" w:after="0"/>
              <w:rPr>
                <w:color w:val="auto"/>
                <w:szCs w:val="28"/>
              </w:rPr>
            </w:pPr>
            <w:r w:rsidRPr="003416C9">
              <w:rPr>
                <w:color w:val="auto"/>
                <w:sz w:val="28"/>
                <w:szCs w:val="28"/>
              </w:rPr>
              <w:t>I. Tiesību akta projekta izstrādes nepieciešamība</w:t>
            </w:r>
          </w:p>
        </w:tc>
      </w:tr>
      <w:tr w:rsidR="003B760A" w:rsidRPr="003416C9" w:rsidTr="003D2862">
        <w:trPr>
          <w:gridAfter w:val="1"/>
          <w:wAfter w:w="22" w:type="dxa"/>
          <w:trHeight w:val="283"/>
        </w:trPr>
        <w:tc>
          <w:tcPr>
            <w:tcW w:w="545" w:type="dxa"/>
          </w:tcPr>
          <w:p w:rsidR="003B760A" w:rsidRPr="003416C9" w:rsidRDefault="003B760A" w:rsidP="003D2862">
            <w:pPr>
              <w:pStyle w:val="naiskr"/>
              <w:spacing w:before="0" w:after="0"/>
              <w:rPr>
                <w:color w:val="auto"/>
                <w:szCs w:val="28"/>
              </w:rPr>
            </w:pPr>
            <w:r w:rsidRPr="003416C9">
              <w:rPr>
                <w:color w:val="auto"/>
                <w:sz w:val="28"/>
                <w:szCs w:val="28"/>
              </w:rPr>
              <w:t>1.</w:t>
            </w:r>
          </w:p>
        </w:tc>
        <w:tc>
          <w:tcPr>
            <w:tcW w:w="2814" w:type="dxa"/>
          </w:tcPr>
          <w:p w:rsidR="003B760A" w:rsidRPr="003416C9" w:rsidRDefault="003B760A" w:rsidP="003D2862">
            <w:pPr>
              <w:pStyle w:val="naiskr"/>
              <w:spacing w:before="0" w:after="0"/>
              <w:ind w:hanging="10"/>
              <w:rPr>
                <w:color w:val="auto"/>
                <w:szCs w:val="28"/>
              </w:rPr>
            </w:pPr>
            <w:r w:rsidRPr="003416C9">
              <w:rPr>
                <w:color w:val="auto"/>
                <w:sz w:val="28"/>
                <w:szCs w:val="28"/>
              </w:rPr>
              <w:t>Pamatojums</w:t>
            </w:r>
          </w:p>
        </w:tc>
        <w:tc>
          <w:tcPr>
            <w:tcW w:w="6258" w:type="dxa"/>
          </w:tcPr>
          <w:p w:rsidR="003B760A" w:rsidRPr="003416C9" w:rsidRDefault="008268E9" w:rsidP="003D2862">
            <w:pPr>
              <w:tabs>
                <w:tab w:val="num" w:pos="0"/>
              </w:tabs>
              <w:ind w:firstLine="426"/>
              <w:jc w:val="both"/>
              <w:rPr>
                <w:szCs w:val="28"/>
              </w:rPr>
            </w:pPr>
            <w:proofErr w:type="spellStart"/>
            <w:r w:rsidRPr="003416C9">
              <w:rPr>
                <w:i/>
                <w:sz w:val="28"/>
                <w:szCs w:val="28"/>
              </w:rPr>
              <w:t>Euro</w:t>
            </w:r>
            <w:proofErr w:type="spellEnd"/>
            <w:r w:rsidRPr="003416C9">
              <w:rPr>
                <w:sz w:val="28"/>
                <w:szCs w:val="28"/>
              </w:rPr>
              <w:t xml:space="preserve"> ieviešanas kārtības likuma 30.panta pirmā daļa un Latvijas Nacionālā </w:t>
            </w:r>
            <w:r w:rsidRPr="003416C9">
              <w:rPr>
                <w:i/>
                <w:iCs/>
                <w:sz w:val="28"/>
                <w:szCs w:val="28"/>
              </w:rPr>
              <w:t>euro</w:t>
            </w:r>
            <w:r w:rsidRPr="003416C9">
              <w:rPr>
                <w:sz w:val="28"/>
                <w:szCs w:val="28"/>
              </w:rPr>
              <w:t xml:space="preserve"> ieviešanas plāna (apstiprināts ar Ministru kabineta 2013.gada 4.aprīļa rīkojuma Nr.136) „Par Latvijas Nacionālo euro ieviešanas plānu” 1. pielikuma J2.</w:t>
            </w:r>
            <w:r>
              <w:rPr>
                <w:sz w:val="28"/>
                <w:szCs w:val="28"/>
              </w:rPr>
              <w:t>2.</w:t>
            </w:r>
            <w:r w:rsidRPr="003416C9">
              <w:rPr>
                <w:sz w:val="28"/>
                <w:szCs w:val="28"/>
              </w:rPr>
              <w:t xml:space="preserve"> pasākums.</w:t>
            </w:r>
          </w:p>
        </w:tc>
      </w:tr>
      <w:tr w:rsidR="003B760A" w:rsidRPr="003416C9" w:rsidTr="003D2862">
        <w:trPr>
          <w:gridAfter w:val="1"/>
          <w:wAfter w:w="22" w:type="dxa"/>
          <w:trHeight w:val="472"/>
        </w:trPr>
        <w:tc>
          <w:tcPr>
            <w:tcW w:w="545" w:type="dxa"/>
          </w:tcPr>
          <w:p w:rsidR="003B760A" w:rsidRPr="003416C9" w:rsidRDefault="003B760A" w:rsidP="003D2862">
            <w:pPr>
              <w:pStyle w:val="naiskr"/>
              <w:spacing w:before="0" w:after="0"/>
              <w:rPr>
                <w:color w:val="auto"/>
                <w:szCs w:val="28"/>
              </w:rPr>
            </w:pPr>
            <w:r w:rsidRPr="003416C9">
              <w:rPr>
                <w:color w:val="auto"/>
                <w:sz w:val="28"/>
                <w:szCs w:val="28"/>
              </w:rPr>
              <w:t>2.</w:t>
            </w:r>
          </w:p>
        </w:tc>
        <w:tc>
          <w:tcPr>
            <w:tcW w:w="2814" w:type="dxa"/>
          </w:tcPr>
          <w:p w:rsidR="003B760A" w:rsidRPr="003416C9" w:rsidRDefault="003B760A" w:rsidP="003D2862">
            <w:pPr>
              <w:pStyle w:val="naiskr"/>
              <w:tabs>
                <w:tab w:val="left" w:pos="170"/>
              </w:tabs>
              <w:spacing w:before="0" w:after="0"/>
              <w:rPr>
                <w:color w:val="auto"/>
                <w:szCs w:val="28"/>
              </w:rPr>
            </w:pPr>
            <w:r w:rsidRPr="003416C9">
              <w:rPr>
                <w:color w:val="auto"/>
                <w:sz w:val="28"/>
                <w:szCs w:val="28"/>
              </w:rPr>
              <w:t>Pašreizējā situācija un problēmas</w:t>
            </w:r>
          </w:p>
        </w:tc>
        <w:tc>
          <w:tcPr>
            <w:tcW w:w="6258" w:type="dxa"/>
          </w:tcPr>
          <w:p w:rsidR="003416C9" w:rsidRPr="003416C9" w:rsidRDefault="003416C9" w:rsidP="003416C9">
            <w:pPr>
              <w:ind w:firstLine="474"/>
              <w:jc w:val="both"/>
              <w:rPr>
                <w:szCs w:val="28"/>
              </w:rPr>
            </w:pPr>
            <w:r w:rsidRPr="003416C9">
              <w:rPr>
                <w:sz w:val="28"/>
                <w:szCs w:val="28"/>
              </w:rPr>
              <w:t xml:space="preserve">Saskaņā ar likuma „Par Latvijas Banku” 34.pantu </w:t>
            </w:r>
            <w:r w:rsidRPr="003416C9">
              <w:rPr>
                <w:b/>
                <w:bCs/>
                <w:sz w:val="28"/>
                <w:szCs w:val="28"/>
              </w:rPr>
              <w:t xml:space="preserve"> </w:t>
            </w:r>
            <w:r w:rsidRPr="003416C9">
              <w:rPr>
                <w:sz w:val="28"/>
                <w:szCs w:val="28"/>
              </w:rPr>
              <w:t xml:space="preserve">Latvijas Republikas nacionālās </w:t>
            </w:r>
            <w:r w:rsidRPr="003416C9">
              <w:rPr>
                <w:sz w:val="28"/>
                <w:szCs w:val="28"/>
                <w:u w:val="single"/>
              </w:rPr>
              <w:t>naudas vienība ir lats</w:t>
            </w:r>
            <w:r w:rsidRPr="003416C9">
              <w:rPr>
                <w:sz w:val="28"/>
                <w:szCs w:val="28"/>
              </w:rPr>
              <w:t xml:space="preserve">, kurā ir 100 santīmu. </w:t>
            </w:r>
            <w:r w:rsidRPr="003416C9">
              <w:rPr>
                <w:sz w:val="28"/>
                <w:szCs w:val="28"/>
                <w:u w:val="single"/>
              </w:rPr>
              <w:t>Lats ir vienīgais likumīgais maksāšanas līdzeklis Latvijā</w:t>
            </w:r>
            <w:r w:rsidRPr="003416C9">
              <w:rPr>
                <w:sz w:val="28"/>
                <w:szCs w:val="28"/>
              </w:rPr>
              <w:t xml:space="preserve">. Naudaszīmju aprakstu, numurēšanu, reģistrāciju un monetāro segumu nosaka Latvijas Bankas padome. Ņemot vērā, ka ar 2014.gada 1.janvāri Latvijā plānots ieviest </w:t>
            </w:r>
            <w:r w:rsidRPr="003416C9">
              <w:rPr>
                <w:i/>
                <w:sz w:val="28"/>
                <w:szCs w:val="28"/>
              </w:rPr>
              <w:t>euro</w:t>
            </w:r>
            <w:r w:rsidRPr="003416C9">
              <w:rPr>
                <w:sz w:val="28"/>
                <w:szCs w:val="28"/>
              </w:rPr>
              <w:t>, ir nepieciešams veikt grozījumus</w:t>
            </w:r>
            <w:r w:rsidRPr="003416C9" w:rsidDel="00843D50">
              <w:rPr>
                <w:iCs/>
                <w:sz w:val="28"/>
                <w:szCs w:val="28"/>
              </w:rPr>
              <w:t xml:space="preserve"> </w:t>
            </w:r>
            <w:r w:rsidR="00045CB0">
              <w:t xml:space="preserve"> </w:t>
            </w:r>
            <w:r w:rsidR="00045CB0" w:rsidRPr="00045CB0">
              <w:rPr>
                <w:sz w:val="28"/>
                <w:szCs w:val="28"/>
              </w:rPr>
              <w:t>Ministru kabineta 199</w:t>
            </w:r>
            <w:r w:rsidR="00F336E8">
              <w:rPr>
                <w:sz w:val="28"/>
                <w:szCs w:val="28"/>
              </w:rPr>
              <w:t>5</w:t>
            </w:r>
            <w:r w:rsidR="00045CB0" w:rsidRPr="00045CB0">
              <w:rPr>
                <w:sz w:val="28"/>
                <w:szCs w:val="28"/>
              </w:rPr>
              <w:t xml:space="preserve">.gada </w:t>
            </w:r>
            <w:r w:rsidR="00F336E8">
              <w:rPr>
                <w:sz w:val="28"/>
                <w:szCs w:val="28"/>
              </w:rPr>
              <w:t>11.jūlija noteikumos Nr.197</w:t>
            </w:r>
            <w:r w:rsidR="00045CB0" w:rsidRPr="00045CB0">
              <w:rPr>
                <w:sz w:val="28"/>
                <w:szCs w:val="28"/>
              </w:rPr>
              <w:t xml:space="preserve"> „</w:t>
            </w:r>
            <w:r w:rsidR="003830AC">
              <w:t xml:space="preserve"> </w:t>
            </w:r>
            <w:r w:rsidR="003830AC" w:rsidRPr="003830AC">
              <w:rPr>
                <w:sz w:val="28"/>
                <w:szCs w:val="28"/>
              </w:rPr>
              <w:t>Noteikumi par bijušo īpašnieku mantas kompensācijas vērtības noteikšanu un tās salīdzināšanu ar privatizējamo objektu (mantas) pašreizējo vērtību</w:t>
            </w:r>
            <w:r w:rsidR="00045CB0" w:rsidRPr="00045CB0">
              <w:rPr>
                <w:sz w:val="28"/>
                <w:szCs w:val="28"/>
              </w:rPr>
              <w:t>”</w:t>
            </w:r>
            <w:r w:rsidRPr="003416C9">
              <w:rPr>
                <w:bCs/>
                <w:sz w:val="28"/>
                <w:szCs w:val="28"/>
              </w:rPr>
              <w:t xml:space="preserve">, </w:t>
            </w:r>
            <w:r w:rsidRPr="003416C9">
              <w:rPr>
                <w:sz w:val="28"/>
                <w:szCs w:val="28"/>
              </w:rPr>
              <w:t xml:space="preserve">aizstājot tajā latus ar </w:t>
            </w:r>
            <w:r w:rsidRPr="003416C9">
              <w:rPr>
                <w:i/>
                <w:sz w:val="28"/>
                <w:szCs w:val="28"/>
              </w:rPr>
              <w:t>euro</w:t>
            </w:r>
            <w:r w:rsidRPr="003416C9">
              <w:rPr>
                <w:sz w:val="28"/>
                <w:szCs w:val="28"/>
              </w:rPr>
              <w:t>.</w:t>
            </w:r>
            <w:r w:rsidRPr="003416C9">
              <w:rPr>
                <w:iCs/>
                <w:sz w:val="28"/>
                <w:szCs w:val="28"/>
              </w:rPr>
              <w:t xml:space="preserve">  </w:t>
            </w:r>
          </w:p>
          <w:p w:rsidR="00176825" w:rsidRDefault="00176825" w:rsidP="00176825">
            <w:pPr>
              <w:ind w:firstLine="425"/>
              <w:jc w:val="both"/>
              <w:rPr>
                <w:szCs w:val="28"/>
              </w:rPr>
            </w:pPr>
            <w:r>
              <w:rPr>
                <w:sz w:val="28"/>
                <w:szCs w:val="28"/>
              </w:rPr>
              <w:t xml:space="preserve">Saskaņā ar </w:t>
            </w:r>
            <w:proofErr w:type="spellStart"/>
            <w:r>
              <w:rPr>
                <w:i/>
                <w:sz w:val="28"/>
                <w:szCs w:val="28"/>
              </w:rPr>
              <w:t>Euro</w:t>
            </w:r>
            <w:proofErr w:type="spellEnd"/>
            <w:r>
              <w:rPr>
                <w:sz w:val="28"/>
                <w:szCs w:val="28"/>
              </w:rPr>
              <w:t xml:space="preserve"> ieviešanas kārtības likuma 30.panta pirmo daļu Ministrijas, Valsts kanceleja, Finanšu un kapitāla tirgus komisija un Latvijas Banka sagatavo to tiesību aktu grozījumu projektus, kurus nepieciešams pielāgot </w:t>
            </w:r>
            <w:r>
              <w:rPr>
                <w:i/>
                <w:sz w:val="28"/>
                <w:szCs w:val="28"/>
              </w:rPr>
              <w:t>euro</w:t>
            </w:r>
            <w:r>
              <w:rPr>
                <w:sz w:val="28"/>
                <w:szCs w:val="28"/>
              </w:rPr>
              <w:t xml:space="preserve"> ieviešanai.</w:t>
            </w:r>
          </w:p>
          <w:p w:rsidR="00176825" w:rsidRDefault="00176825" w:rsidP="00176825">
            <w:pPr>
              <w:ind w:firstLine="425"/>
              <w:jc w:val="both"/>
              <w:rPr>
                <w:szCs w:val="28"/>
              </w:rPr>
            </w:pPr>
            <w:r>
              <w:rPr>
                <w:sz w:val="28"/>
                <w:szCs w:val="28"/>
              </w:rPr>
              <w:t xml:space="preserve">Saskaņā ar Ministru kabineta 2013.gada gada 29.maija rīkojuma Nr.212 „Par tiesību aktu grozījumu virzību saistībā ar </w:t>
            </w:r>
            <w:r>
              <w:rPr>
                <w:i/>
                <w:sz w:val="28"/>
                <w:szCs w:val="28"/>
              </w:rPr>
              <w:t>euro</w:t>
            </w:r>
            <w:r>
              <w:rPr>
                <w:sz w:val="28"/>
                <w:szCs w:val="28"/>
              </w:rPr>
              <w:t xml:space="preserve"> ieviešanu Latvijā” 1.5.apakšpunktu Valsts kancelejai un katrai ministrijai savas kompetences ietvaros ne vēlāk kā līdz 2013.gada 6.augustam grozījumus Ministru kabineta noteikumos, instrukcijās un ieteikumos, kuri ir saistīti ar </w:t>
            </w:r>
            <w:r>
              <w:rPr>
                <w:i/>
                <w:sz w:val="28"/>
                <w:szCs w:val="28"/>
              </w:rPr>
              <w:t>euro</w:t>
            </w:r>
            <w:r>
              <w:rPr>
                <w:sz w:val="28"/>
                <w:szCs w:val="28"/>
              </w:rPr>
              <w:t xml:space="preserve"> ieviešanu un kuriem jāstājas spēkā </w:t>
            </w:r>
            <w:r>
              <w:rPr>
                <w:i/>
                <w:sz w:val="28"/>
                <w:szCs w:val="28"/>
              </w:rPr>
              <w:t>euro</w:t>
            </w:r>
            <w:r>
              <w:rPr>
                <w:sz w:val="28"/>
                <w:szCs w:val="28"/>
              </w:rPr>
              <w:t xml:space="preserve"> ieviešanas dienā, iesniedz izsludināšanai Valsts sekretāru sanāksmē ar divu nedēļu saskaņošanas termiņu (tos projektus, kuros nav izmantots </w:t>
            </w:r>
            <w:proofErr w:type="spellStart"/>
            <w:r>
              <w:rPr>
                <w:sz w:val="28"/>
                <w:szCs w:val="28"/>
              </w:rPr>
              <w:t>Euro</w:t>
            </w:r>
            <w:proofErr w:type="spellEnd"/>
            <w:r>
              <w:rPr>
                <w:sz w:val="28"/>
                <w:szCs w:val="28"/>
              </w:rPr>
              <w:t xml:space="preserve"> ieviešanas kārtības likuma 32.panta otrās daļas 2.punkts var izsludināt saīsinātā izsludināšanas un saskaņošanas kārtībā </w:t>
            </w:r>
            <w:r>
              <w:rPr>
                <w:sz w:val="28"/>
                <w:szCs w:val="28"/>
              </w:rPr>
              <w:lastRenderedPageBreak/>
              <w:t>(noklusējuma saskaņojums).</w:t>
            </w:r>
          </w:p>
          <w:p w:rsidR="003B760A" w:rsidRPr="003416C9" w:rsidRDefault="003416C9" w:rsidP="00E75FEB">
            <w:pPr>
              <w:ind w:firstLine="425"/>
              <w:jc w:val="both"/>
              <w:rPr>
                <w:szCs w:val="28"/>
              </w:rPr>
            </w:pPr>
            <w:r w:rsidRPr="003416C9">
              <w:rPr>
                <w:sz w:val="28"/>
                <w:szCs w:val="28"/>
              </w:rPr>
              <w:t xml:space="preserve">Ievērojot minēto, Ekonomikas ministrija ir sagatavojusi grozījumus </w:t>
            </w:r>
            <w:r w:rsidR="00045CB0">
              <w:t xml:space="preserve"> </w:t>
            </w:r>
            <w:r w:rsidR="00045CB0" w:rsidRPr="00045CB0">
              <w:rPr>
                <w:sz w:val="28"/>
                <w:szCs w:val="28"/>
              </w:rPr>
              <w:t>Mini</w:t>
            </w:r>
            <w:r w:rsidR="00045CB0">
              <w:rPr>
                <w:sz w:val="28"/>
                <w:szCs w:val="28"/>
              </w:rPr>
              <w:t>stru kabineta 199</w:t>
            </w:r>
            <w:r w:rsidR="00E75FEB">
              <w:rPr>
                <w:sz w:val="28"/>
                <w:szCs w:val="28"/>
              </w:rPr>
              <w:t>5</w:t>
            </w:r>
            <w:r w:rsidR="00045CB0">
              <w:rPr>
                <w:sz w:val="28"/>
                <w:szCs w:val="28"/>
              </w:rPr>
              <w:t xml:space="preserve">.gada </w:t>
            </w:r>
            <w:r w:rsidR="00E75FEB">
              <w:rPr>
                <w:sz w:val="28"/>
                <w:szCs w:val="28"/>
              </w:rPr>
              <w:t>11.jūlija</w:t>
            </w:r>
            <w:r w:rsidR="00045CB0">
              <w:rPr>
                <w:sz w:val="28"/>
                <w:szCs w:val="28"/>
              </w:rPr>
              <w:t xml:space="preserve"> </w:t>
            </w:r>
            <w:r w:rsidR="00045CB0" w:rsidRPr="00045CB0">
              <w:rPr>
                <w:sz w:val="28"/>
                <w:szCs w:val="28"/>
              </w:rPr>
              <w:t>noteikumos Nr.1</w:t>
            </w:r>
            <w:r w:rsidR="003830AC">
              <w:rPr>
                <w:sz w:val="28"/>
                <w:szCs w:val="28"/>
              </w:rPr>
              <w:t>97</w:t>
            </w:r>
            <w:r w:rsidR="00045CB0" w:rsidRPr="00045CB0">
              <w:rPr>
                <w:sz w:val="28"/>
                <w:szCs w:val="28"/>
              </w:rPr>
              <w:t xml:space="preserve"> „</w:t>
            </w:r>
            <w:r w:rsidR="00E75FEB" w:rsidRPr="00E75FEB">
              <w:rPr>
                <w:sz w:val="28"/>
                <w:szCs w:val="28"/>
              </w:rPr>
              <w:t xml:space="preserve">Noteikumi par bijušo īpašnieku mantas kompensācijas vērtības noteikšanu un tās salīdzināšanu ar privatizējamo objektu (mantas) pašreizējo vērtību </w:t>
            </w:r>
            <w:r w:rsidR="00045CB0" w:rsidRPr="00045CB0">
              <w:rPr>
                <w:sz w:val="28"/>
                <w:szCs w:val="28"/>
              </w:rPr>
              <w:t>”</w:t>
            </w:r>
            <w:r w:rsidRPr="003416C9">
              <w:rPr>
                <w:sz w:val="28"/>
                <w:szCs w:val="28"/>
              </w:rPr>
              <w:t xml:space="preserve">, lai nodrošinātu, ka  ar 2014.gada 1.janvāri varētu ieviest </w:t>
            </w:r>
            <w:r w:rsidRPr="003416C9">
              <w:rPr>
                <w:i/>
                <w:sz w:val="28"/>
                <w:szCs w:val="28"/>
              </w:rPr>
              <w:t>euro</w:t>
            </w:r>
            <w:r w:rsidRPr="003416C9">
              <w:rPr>
                <w:sz w:val="28"/>
                <w:szCs w:val="28"/>
              </w:rPr>
              <w:t xml:space="preserve"> Latvijas Republikā.</w:t>
            </w:r>
          </w:p>
        </w:tc>
      </w:tr>
      <w:tr w:rsidR="003B760A" w:rsidRPr="003416C9" w:rsidTr="003D2862">
        <w:trPr>
          <w:gridAfter w:val="1"/>
          <w:wAfter w:w="22" w:type="dxa"/>
          <w:trHeight w:val="668"/>
        </w:trPr>
        <w:tc>
          <w:tcPr>
            <w:tcW w:w="545" w:type="dxa"/>
            <w:tcBorders>
              <w:bottom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lastRenderedPageBreak/>
              <w:t>3.</w:t>
            </w:r>
          </w:p>
        </w:tc>
        <w:tc>
          <w:tcPr>
            <w:tcW w:w="2814" w:type="dxa"/>
            <w:tcBorders>
              <w:bottom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Saistītie politikas ietekmes novērtējumi un pētījumi</w:t>
            </w:r>
          </w:p>
        </w:tc>
        <w:tc>
          <w:tcPr>
            <w:tcW w:w="6258" w:type="dxa"/>
            <w:tcBorders>
              <w:bottom w:val="single" w:sz="4" w:space="0" w:color="auto"/>
            </w:tcBorders>
          </w:tcPr>
          <w:p w:rsidR="003B760A" w:rsidRPr="003416C9" w:rsidRDefault="003B760A" w:rsidP="003D2862">
            <w:pPr>
              <w:ind w:firstLine="426"/>
              <w:jc w:val="both"/>
              <w:rPr>
                <w:i/>
                <w:szCs w:val="28"/>
              </w:rPr>
            </w:pPr>
            <w:r w:rsidRPr="003416C9">
              <w:rPr>
                <w:sz w:val="28"/>
                <w:szCs w:val="28"/>
              </w:rPr>
              <w:t>Projekts šo jomu neskar</w:t>
            </w:r>
          </w:p>
        </w:tc>
      </w:tr>
      <w:tr w:rsidR="003B760A" w:rsidRPr="003416C9" w:rsidTr="003D2862">
        <w:trPr>
          <w:gridAfter w:val="1"/>
          <w:wAfter w:w="22" w:type="dxa"/>
          <w:trHeight w:val="384"/>
        </w:trPr>
        <w:tc>
          <w:tcPr>
            <w:tcW w:w="545" w:type="dxa"/>
            <w:tcBorders>
              <w:top w:val="single" w:sz="4" w:space="0" w:color="auto"/>
              <w:left w:val="single" w:sz="4" w:space="0" w:color="auto"/>
              <w:bottom w:val="single" w:sz="4" w:space="0" w:color="auto"/>
              <w:right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4.</w:t>
            </w:r>
          </w:p>
        </w:tc>
        <w:tc>
          <w:tcPr>
            <w:tcW w:w="2814" w:type="dxa"/>
            <w:tcBorders>
              <w:top w:val="single" w:sz="4" w:space="0" w:color="auto"/>
              <w:left w:val="single" w:sz="4" w:space="0" w:color="auto"/>
              <w:bottom w:val="single" w:sz="4" w:space="0" w:color="auto"/>
              <w:right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Tiesiskā regulējuma mērķis un būtība</w:t>
            </w:r>
          </w:p>
        </w:tc>
        <w:tc>
          <w:tcPr>
            <w:tcW w:w="6258" w:type="dxa"/>
            <w:tcBorders>
              <w:top w:val="single" w:sz="4" w:space="0" w:color="auto"/>
              <w:left w:val="single" w:sz="4" w:space="0" w:color="auto"/>
              <w:bottom w:val="single" w:sz="4" w:space="0" w:color="auto"/>
              <w:right w:val="single" w:sz="4" w:space="0" w:color="auto"/>
            </w:tcBorders>
          </w:tcPr>
          <w:p w:rsidR="009B3EE8" w:rsidRDefault="003416C9" w:rsidP="008268E9">
            <w:pPr>
              <w:ind w:firstLine="426"/>
              <w:jc w:val="both"/>
              <w:rPr>
                <w:szCs w:val="28"/>
              </w:rPr>
            </w:pPr>
            <w:r w:rsidRPr="003416C9">
              <w:rPr>
                <w:sz w:val="28"/>
                <w:szCs w:val="28"/>
              </w:rPr>
              <w:t>Š</w:t>
            </w:r>
            <w:r w:rsidR="008268E9">
              <w:rPr>
                <w:sz w:val="28"/>
                <w:szCs w:val="28"/>
              </w:rPr>
              <w:t>o</w:t>
            </w:r>
            <w:r w:rsidRPr="003416C9">
              <w:rPr>
                <w:sz w:val="28"/>
                <w:szCs w:val="28"/>
              </w:rPr>
              <w:t xml:space="preserve"> </w:t>
            </w:r>
            <w:r w:rsidR="008268E9">
              <w:rPr>
                <w:sz w:val="28"/>
                <w:szCs w:val="28"/>
              </w:rPr>
              <w:t xml:space="preserve">Ministru kabineta noteikumu projekta mērķis </w:t>
            </w:r>
            <w:r w:rsidR="008268E9" w:rsidRPr="008268E9">
              <w:rPr>
                <w:i/>
                <w:sz w:val="28"/>
                <w:szCs w:val="28"/>
              </w:rPr>
              <w:t>euro</w:t>
            </w:r>
            <w:r w:rsidR="008268E9">
              <w:rPr>
                <w:sz w:val="28"/>
                <w:szCs w:val="28"/>
              </w:rPr>
              <w:t xml:space="preserve"> ieviešanas brīdī </w:t>
            </w:r>
            <w:r w:rsidRPr="003416C9">
              <w:rPr>
                <w:sz w:val="28"/>
                <w:szCs w:val="28"/>
              </w:rPr>
              <w:t>pielāgot</w:t>
            </w:r>
            <w:r w:rsidR="008268E9">
              <w:rPr>
                <w:iCs/>
                <w:sz w:val="28"/>
                <w:szCs w:val="28"/>
              </w:rPr>
              <w:t xml:space="preserve"> </w:t>
            </w:r>
            <w:r w:rsidRPr="003416C9">
              <w:rPr>
                <w:sz w:val="28"/>
                <w:szCs w:val="28"/>
              </w:rPr>
              <w:t xml:space="preserve">Ministru kabineta </w:t>
            </w:r>
            <w:r w:rsidR="001325E5">
              <w:rPr>
                <w:sz w:val="28"/>
                <w:szCs w:val="28"/>
              </w:rPr>
              <w:t>1995</w:t>
            </w:r>
            <w:r>
              <w:rPr>
                <w:sz w:val="28"/>
                <w:szCs w:val="28"/>
              </w:rPr>
              <w:t xml:space="preserve">.gada </w:t>
            </w:r>
            <w:r w:rsidR="001325E5">
              <w:rPr>
                <w:sz w:val="28"/>
                <w:szCs w:val="28"/>
              </w:rPr>
              <w:t>11.jūlija</w:t>
            </w:r>
            <w:r>
              <w:rPr>
                <w:sz w:val="28"/>
                <w:szCs w:val="28"/>
              </w:rPr>
              <w:t xml:space="preserve"> noteikumus Nr.</w:t>
            </w:r>
            <w:r w:rsidR="001325E5">
              <w:rPr>
                <w:sz w:val="28"/>
                <w:szCs w:val="28"/>
              </w:rPr>
              <w:t>197</w:t>
            </w:r>
            <w:r>
              <w:rPr>
                <w:sz w:val="28"/>
                <w:szCs w:val="28"/>
              </w:rPr>
              <w:t xml:space="preserve"> </w:t>
            </w:r>
            <w:r w:rsidRPr="003416C9">
              <w:rPr>
                <w:sz w:val="28"/>
                <w:szCs w:val="28"/>
              </w:rPr>
              <w:t>„</w:t>
            </w:r>
            <w:r w:rsidR="001325E5" w:rsidRPr="001325E5">
              <w:rPr>
                <w:sz w:val="28"/>
                <w:szCs w:val="28"/>
              </w:rPr>
              <w:t xml:space="preserve">Noteikumi par bijušo īpašnieku mantas kompensācijas vērtības noteikšanu un tās salīdzināšanu ar privatizējamo objektu (mantas) pašreizējo vērtību </w:t>
            </w:r>
            <w:r w:rsidRPr="003416C9">
              <w:rPr>
                <w:sz w:val="28"/>
                <w:szCs w:val="28"/>
              </w:rPr>
              <w:t>”</w:t>
            </w:r>
            <w:r w:rsidRPr="003416C9">
              <w:rPr>
                <w:bCs/>
                <w:sz w:val="28"/>
                <w:szCs w:val="28"/>
              </w:rPr>
              <w:t xml:space="preserve"> </w:t>
            </w:r>
            <w:r w:rsidRPr="003416C9">
              <w:rPr>
                <w:i/>
                <w:sz w:val="28"/>
                <w:szCs w:val="28"/>
              </w:rPr>
              <w:t>euro</w:t>
            </w:r>
            <w:r w:rsidR="009B3EE8">
              <w:rPr>
                <w:sz w:val="28"/>
                <w:szCs w:val="28"/>
              </w:rPr>
              <w:t xml:space="preserve"> ieviešanai </w:t>
            </w:r>
            <w:r w:rsidR="009B3EE8">
              <w:rPr>
                <w:bCs/>
                <w:sz w:val="28"/>
                <w:szCs w:val="28"/>
                <w:lang w:eastAsia="en-US"/>
              </w:rPr>
              <w:t xml:space="preserve"> un attiecīgi:</w:t>
            </w:r>
            <w:r w:rsidR="009B3EE8">
              <w:rPr>
                <w:sz w:val="28"/>
                <w:szCs w:val="28"/>
              </w:rPr>
              <w:t xml:space="preserve"> </w:t>
            </w:r>
          </w:p>
          <w:p w:rsidR="003B760A" w:rsidRDefault="009B3EE8" w:rsidP="008268E9">
            <w:pPr>
              <w:ind w:firstLine="426"/>
              <w:jc w:val="both"/>
              <w:rPr>
                <w:szCs w:val="28"/>
              </w:rPr>
            </w:pPr>
            <w:r>
              <w:rPr>
                <w:sz w:val="28"/>
                <w:szCs w:val="28"/>
              </w:rPr>
              <w:t>1) aizstā</w:t>
            </w:r>
            <w:r w:rsidR="003416C9" w:rsidRPr="003416C9">
              <w:rPr>
                <w:sz w:val="28"/>
                <w:szCs w:val="28"/>
              </w:rPr>
              <w:t>t</w:t>
            </w:r>
            <w:r w:rsidR="001945B9">
              <w:rPr>
                <w:sz w:val="28"/>
                <w:szCs w:val="28"/>
              </w:rPr>
              <w:t xml:space="preserve"> noteikumu 3.3. un 7.1.</w:t>
            </w:r>
            <w:r w:rsidR="00992E75">
              <w:rPr>
                <w:sz w:val="28"/>
                <w:szCs w:val="28"/>
              </w:rPr>
              <w:t>a</w:t>
            </w:r>
            <w:r>
              <w:rPr>
                <w:sz w:val="28"/>
                <w:szCs w:val="28"/>
              </w:rPr>
              <w:t>pak</w:t>
            </w:r>
            <w:r w:rsidR="001945B9">
              <w:rPr>
                <w:sz w:val="28"/>
                <w:szCs w:val="28"/>
              </w:rPr>
              <w:t>špunktā</w:t>
            </w:r>
            <w:r w:rsidR="003416C9" w:rsidRPr="003416C9">
              <w:rPr>
                <w:sz w:val="28"/>
                <w:szCs w:val="28"/>
              </w:rPr>
              <w:t xml:space="preserve"> vārdu „lati„ ar „</w:t>
            </w:r>
            <w:r w:rsidR="003416C9" w:rsidRPr="003416C9">
              <w:rPr>
                <w:i/>
                <w:sz w:val="28"/>
                <w:szCs w:val="28"/>
              </w:rPr>
              <w:t>euro”</w:t>
            </w:r>
            <w:r>
              <w:rPr>
                <w:sz w:val="28"/>
                <w:szCs w:val="28"/>
              </w:rPr>
              <w:t>;</w:t>
            </w:r>
          </w:p>
          <w:p w:rsidR="009B3EE8" w:rsidRPr="009B3EE8" w:rsidRDefault="009B3EE8" w:rsidP="009B3EE8">
            <w:pPr>
              <w:ind w:firstLine="426"/>
              <w:jc w:val="both"/>
              <w:rPr>
                <w:szCs w:val="28"/>
              </w:rPr>
            </w:pPr>
            <w:r>
              <w:rPr>
                <w:sz w:val="28"/>
                <w:szCs w:val="28"/>
              </w:rPr>
              <w:t xml:space="preserve">2) precizēt noteikumu 7.1.apakšpunktā kas nosaka </w:t>
            </w:r>
            <w:r w:rsidRPr="009B3EE8">
              <w:rPr>
                <w:i/>
                <w:sz w:val="28"/>
                <w:szCs w:val="28"/>
              </w:rPr>
              <w:t>euro</w:t>
            </w:r>
            <w:r>
              <w:rPr>
                <w:sz w:val="28"/>
                <w:szCs w:val="28"/>
              </w:rPr>
              <w:t xml:space="preserve"> kursu pret vienu ASV dolāru.</w:t>
            </w:r>
          </w:p>
        </w:tc>
      </w:tr>
      <w:tr w:rsidR="003B760A" w:rsidRPr="003416C9" w:rsidTr="003D2862">
        <w:trPr>
          <w:gridAfter w:val="1"/>
          <w:wAfter w:w="22" w:type="dxa"/>
          <w:trHeight w:val="476"/>
        </w:trPr>
        <w:tc>
          <w:tcPr>
            <w:tcW w:w="545" w:type="dxa"/>
            <w:tcBorders>
              <w:top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5.</w:t>
            </w:r>
          </w:p>
        </w:tc>
        <w:tc>
          <w:tcPr>
            <w:tcW w:w="2814" w:type="dxa"/>
            <w:tcBorders>
              <w:top w:val="single" w:sz="4" w:space="0" w:color="auto"/>
            </w:tcBorders>
          </w:tcPr>
          <w:p w:rsidR="003B760A" w:rsidRPr="003416C9" w:rsidRDefault="003B760A" w:rsidP="003D2862">
            <w:pPr>
              <w:pStyle w:val="naiskr"/>
              <w:spacing w:before="0" w:after="0"/>
              <w:rPr>
                <w:color w:val="auto"/>
                <w:szCs w:val="28"/>
              </w:rPr>
            </w:pPr>
            <w:r w:rsidRPr="003416C9">
              <w:rPr>
                <w:color w:val="auto"/>
                <w:sz w:val="28"/>
                <w:szCs w:val="28"/>
              </w:rPr>
              <w:t>Projekta izstrādē iesaistītās institūcijas</w:t>
            </w:r>
          </w:p>
        </w:tc>
        <w:tc>
          <w:tcPr>
            <w:tcW w:w="6258" w:type="dxa"/>
            <w:tcBorders>
              <w:top w:val="single" w:sz="4" w:space="0" w:color="auto"/>
            </w:tcBorders>
          </w:tcPr>
          <w:p w:rsidR="003B760A" w:rsidRPr="003416C9" w:rsidRDefault="003B760A" w:rsidP="003D2862">
            <w:pPr>
              <w:tabs>
                <w:tab w:val="num" w:pos="0"/>
              </w:tabs>
              <w:ind w:firstLine="426"/>
              <w:jc w:val="both"/>
              <w:rPr>
                <w:i/>
                <w:szCs w:val="28"/>
              </w:rPr>
            </w:pPr>
            <w:r w:rsidRPr="003416C9">
              <w:rPr>
                <w:sz w:val="28"/>
                <w:szCs w:val="28"/>
              </w:rPr>
              <w:t>Projekts šo jomu neskar</w:t>
            </w:r>
          </w:p>
        </w:tc>
      </w:tr>
      <w:tr w:rsidR="003B760A" w:rsidRPr="003416C9" w:rsidTr="003D2862">
        <w:trPr>
          <w:gridAfter w:val="1"/>
          <w:wAfter w:w="22" w:type="dxa"/>
          <w:trHeight w:val="844"/>
        </w:trPr>
        <w:tc>
          <w:tcPr>
            <w:tcW w:w="545" w:type="dxa"/>
          </w:tcPr>
          <w:p w:rsidR="003B760A" w:rsidRPr="003416C9" w:rsidRDefault="003B760A" w:rsidP="003D2862">
            <w:pPr>
              <w:pStyle w:val="naiskr"/>
              <w:spacing w:before="0" w:after="0"/>
              <w:rPr>
                <w:color w:val="auto"/>
                <w:szCs w:val="28"/>
              </w:rPr>
            </w:pPr>
            <w:r w:rsidRPr="003416C9">
              <w:rPr>
                <w:color w:val="auto"/>
                <w:sz w:val="28"/>
                <w:szCs w:val="28"/>
              </w:rPr>
              <w:t>6.</w:t>
            </w:r>
          </w:p>
        </w:tc>
        <w:tc>
          <w:tcPr>
            <w:tcW w:w="2814" w:type="dxa"/>
          </w:tcPr>
          <w:p w:rsidR="003B760A" w:rsidRPr="003416C9" w:rsidRDefault="003B760A" w:rsidP="003D2862">
            <w:pPr>
              <w:pStyle w:val="naiskr"/>
              <w:spacing w:before="0" w:after="0"/>
              <w:rPr>
                <w:i/>
                <w:color w:val="auto"/>
                <w:szCs w:val="28"/>
                <w:highlight w:val="yellow"/>
              </w:rPr>
            </w:pPr>
            <w:r w:rsidRPr="003416C9">
              <w:rPr>
                <w:color w:val="auto"/>
                <w:sz w:val="28"/>
                <w:szCs w:val="28"/>
              </w:rPr>
              <w:t>Iemesli, kādēļ netika nodrošināta sabiedrības līdzdalība</w:t>
            </w:r>
          </w:p>
        </w:tc>
        <w:tc>
          <w:tcPr>
            <w:tcW w:w="6258" w:type="dxa"/>
          </w:tcPr>
          <w:p w:rsidR="003B760A" w:rsidRPr="003416C9" w:rsidRDefault="003B760A" w:rsidP="008268E9">
            <w:pPr>
              <w:pStyle w:val="FootnoteText"/>
              <w:ind w:firstLine="426"/>
              <w:jc w:val="both"/>
              <w:rPr>
                <w:i/>
                <w:sz w:val="28"/>
                <w:szCs w:val="28"/>
              </w:rPr>
            </w:pPr>
            <w:r w:rsidRPr="003416C9">
              <w:rPr>
                <w:sz w:val="28"/>
                <w:szCs w:val="28"/>
              </w:rPr>
              <w:t xml:space="preserve">Sabiedrības līdzdalība </w:t>
            </w:r>
            <w:r w:rsidR="008268E9">
              <w:rPr>
                <w:sz w:val="28"/>
                <w:szCs w:val="28"/>
              </w:rPr>
              <w:t>Ministru kabineta noteikumu projekta</w:t>
            </w:r>
            <w:r w:rsidRPr="003416C9">
              <w:rPr>
                <w:sz w:val="28"/>
                <w:szCs w:val="28"/>
              </w:rPr>
              <w:t xml:space="preserve"> izstrādē</w:t>
            </w:r>
            <w:r w:rsidR="008268E9">
              <w:rPr>
                <w:sz w:val="28"/>
                <w:szCs w:val="28"/>
              </w:rPr>
              <w:t xml:space="preserve"> netika nodrošināta, jo minētie</w:t>
            </w:r>
            <w:r w:rsidRPr="003416C9">
              <w:rPr>
                <w:sz w:val="28"/>
                <w:szCs w:val="28"/>
              </w:rPr>
              <w:t xml:space="preserve"> </w:t>
            </w:r>
            <w:r w:rsidR="008268E9">
              <w:rPr>
                <w:sz w:val="28"/>
                <w:szCs w:val="28"/>
              </w:rPr>
              <w:t>Ministru kabineta noteikumi ir saistīti</w:t>
            </w:r>
            <w:r w:rsidRPr="003416C9">
              <w:rPr>
                <w:sz w:val="28"/>
                <w:szCs w:val="28"/>
              </w:rPr>
              <w:t xml:space="preserve"> ar citu jau spēkā esošā </w:t>
            </w:r>
            <w:r w:rsidRPr="009E25E3">
              <w:rPr>
                <w:i/>
                <w:sz w:val="28"/>
                <w:szCs w:val="28"/>
              </w:rPr>
              <w:t>Euro</w:t>
            </w:r>
            <w:r w:rsidRPr="003416C9">
              <w:rPr>
                <w:sz w:val="28"/>
                <w:szCs w:val="28"/>
              </w:rPr>
              <w:t xml:space="preserve"> likuma izpildi.</w:t>
            </w:r>
          </w:p>
        </w:tc>
      </w:tr>
      <w:tr w:rsidR="003B760A" w:rsidRPr="003416C9" w:rsidTr="00BA5E1C">
        <w:trPr>
          <w:trHeight w:val="388"/>
        </w:trPr>
        <w:tc>
          <w:tcPr>
            <w:tcW w:w="545" w:type="dxa"/>
          </w:tcPr>
          <w:p w:rsidR="003B760A" w:rsidRPr="003416C9" w:rsidRDefault="003B760A" w:rsidP="003D2862">
            <w:pPr>
              <w:pStyle w:val="naiskr"/>
              <w:spacing w:before="0" w:after="0"/>
              <w:rPr>
                <w:color w:val="auto"/>
                <w:szCs w:val="28"/>
              </w:rPr>
            </w:pPr>
            <w:r w:rsidRPr="003416C9">
              <w:rPr>
                <w:color w:val="auto"/>
                <w:sz w:val="28"/>
                <w:szCs w:val="28"/>
              </w:rPr>
              <w:t>7.</w:t>
            </w:r>
          </w:p>
        </w:tc>
        <w:tc>
          <w:tcPr>
            <w:tcW w:w="2814" w:type="dxa"/>
          </w:tcPr>
          <w:p w:rsidR="00BA5E1C" w:rsidRDefault="003B760A" w:rsidP="00E95643">
            <w:pPr>
              <w:pStyle w:val="naiskr"/>
              <w:spacing w:before="0" w:after="0"/>
              <w:rPr>
                <w:color w:val="auto"/>
                <w:szCs w:val="28"/>
              </w:rPr>
            </w:pPr>
            <w:r w:rsidRPr="003416C9">
              <w:rPr>
                <w:color w:val="auto"/>
                <w:sz w:val="28"/>
                <w:szCs w:val="28"/>
              </w:rPr>
              <w:t>Cita informācija</w:t>
            </w:r>
          </w:p>
          <w:p w:rsidR="003B760A" w:rsidRPr="00BA5E1C" w:rsidRDefault="003B760A" w:rsidP="00BA5E1C"/>
        </w:tc>
        <w:tc>
          <w:tcPr>
            <w:tcW w:w="6280" w:type="dxa"/>
            <w:gridSpan w:val="2"/>
          </w:tcPr>
          <w:p w:rsidR="008268E9" w:rsidRDefault="00992E75" w:rsidP="009B3EE8">
            <w:pPr>
              <w:tabs>
                <w:tab w:val="left" w:pos="1560"/>
              </w:tabs>
              <w:ind w:firstLine="474"/>
              <w:jc w:val="both"/>
              <w:rPr>
                <w:sz w:val="28"/>
                <w:lang w:eastAsia="en-US"/>
              </w:rPr>
            </w:pPr>
            <w:r w:rsidRPr="00992E75">
              <w:rPr>
                <w:sz w:val="28"/>
                <w:u w:val="single"/>
                <w:lang w:eastAsia="en-US"/>
              </w:rPr>
              <w:t>Grāmatvedībā izmantojamais valūtas kurss</w:t>
            </w:r>
            <w:r w:rsidRPr="00992E75">
              <w:rPr>
                <w:sz w:val="28"/>
                <w:lang w:eastAsia="en-US"/>
              </w:rPr>
              <w:t xml:space="preserve"> ir Eiropas Centrālās bankas publicētais </w:t>
            </w:r>
            <w:r w:rsidRPr="00992E75">
              <w:rPr>
                <w:i/>
                <w:sz w:val="28"/>
                <w:lang w:eastAsia="en-US"/>
              </w:rPr>
              <w:t>euro</w:t>
            </w:r>
            <w:r w:rsidRPr="00992E75">
              <w:rPr>
                <w:sz w:val="28"/>
                <w:lang w:eastAsia="en-US"/>
              </w:rPr>
              <w:t xml:space="preserve"> atsauces kurss. </w:t>
            </w:r>
            <w:r w:rsidRPr="00992E75">
              <w:rPr>
                <w:color w:val="000000"/>
                <w:sz w:val="28"/>
                <w:szCs w:val="24"/>
                <w:lang w:eastAsia="en-US"/>
              </w:rPr>
              <w:t xml:space="preserve">Jāatzīmē, ka </w:t>
            </w:r>
            <w:proofErr w:type="spellStart"/>
            <w:r w:rsidRPr="00992E75">
              <w:rPr>
                <w:i/>
                <w:color w:val="000000"/>
                <w:sz w:val="28"/>
                <w:szCs w:val="24"/>
                <w:lang w:eastAsia="en-US"/>
              </w:rPr>
              <w:t>Euro</w:t>
            </w:r>
            <w:proofErr w:type="spellEnd"/>
            <w:r w:rsidRPr="00992E75">
              <w:rPr>
                <w:color w:val="000000"/>
                <w:sz w:val="28"/>
                <w:szCs w:val="24"/>
                <w:lang w:eastAsia="en-US"/>
              </w:rPr>
              <w:t xml:space="preserve"> atsauces kursi tiek noteikti, pamatojoties uz Eiropas Centrālo Banku sistēmas un citu centrālo banku saskaņošanas procedūru, kas</w:t>
            </w:r>
            <w:r w:rsidR="00D31D0D">
              <w:rPr>
                <w:color w:val="000000"/>
                <w:sz w:val="28"/>
                <w:szCs w:val="24"/>
                <w:lang w:eastAsia="en-US"/>
              </w:rPr>
              <w:t xml:space="preserve"> notiek katru darbadienu plkst.</w:t>
            </w:r>
            <w:r w:rsidRPr="00992E75">
              <w:rPr>
                <w:color w:val="000000"/>
                <w:sz w:val="28"/>
                <w:szCs w:val="24"/>
                <w:lang w:eastAsia="en-US"/>
              </w:rPr>
              <w:t>15.15 (pēc Latvijas laika), un atspoguļo valūtas tirgus situāciju attiecīgajā brīdī.</w:t>
            </w:r>
            <w:r w:rsidRPr="00992E75">
              <w:rPr>
                <w:color w:val="000000"/>
                <w:sz w:val="28"/>
                <w:lang w:eastAsia="en-US"/>
              </w:rPr>
              <w:t xml:space="preserve"> </w:t>
            </w:r>
            <w:proofErr w:type="spellStart"/>
            <w:r w:rsidRPr="00992E75">
              <w:rPr>
                <w:i/>
                <w:sz w:val="28"/>
                <w:lang w:eastAsia="en-US"/>
              </w:rPr>
              <w:t>Euro</w:t>
            </w:r>
            <w:proofErr w:type="spellEnd"/>
            <w:r w:rsidRPr="00992E75">
              <w:rPr>
                <w:sz w:val="28"/>
                <w:lang w:eastAsia="en-US"/>
              </w:rPr>
              <w:t xml:space="preserve"> atsauces kursi tiek publicēti atbilstoši kalendāram, saskaņā ar kuru darbojas Eiropas vienotā automatizētā reālā laika bruto norēķinu sistēma TARGET2, </w:t>
            </w:r>
            <w:proofErr w:type="spellStart"/>
            <w:r w:rsidRPr="00992E75">
              <w:rPr>
                <w:sz w:val="28"/>
                <w:lang w:eastAsia="en-US"/>
              </w:rPr>
              <w:t>t.i</w:t>
            </w:r>
            <w:proofErr w:type="spellEnd"/>
            <w:r w:rsidRPr="00992E75">
              <w:rPr>
                <w:sz w:val="28"/>
                <w:lang w:eastAsia="en-US"/>
              </w:rPr>
              <w:t xml:space="preserve">. katru dienu, izņemot sestdienas un svētdienas, kā arī šādas svētku dienas: Jaungada diena (1. janvāris), Lielā piektdiena, pirmās Lieldienas, Darba svētki (1. maijs), </w:t>
            </w:r>
            <w:r w:rsidRPr="00992E75">
              <w:rPr>
                <w:sz w:val="28"/>
                <w:lang w:eastAsia="en-US"/>
              </w:rPr>
              <w:lastRenderedPageBreak/>
              <w:t xml:space="preserve">Ziemassvētki (25. un 26. decembris). </w:t>
            </w:r>
          </w:p>
          <w:p w:rsidR="001752BE" w:rsidRPr="00BA5E1C" w:rsidRDefault="001752BE" w:rsidP="009B3EE8">
            <w:pPr>
              <w:tabs>
                <w:tab w:val="left" w:pos="1560"/>
              </w:tabs>
              <w:ind w:firstLine="474"/>
              <w:jc w:val="both"/>
            </w:pPr>
            <w:bookmarkStart w:id="0" w:name="_GoBack"/>
            <w:bookmarkEnd w:id="0"/>
          </w:p>
        </w:tc>
      </w:tr>
    </w:tbl>
    <w:p w:rsidR="003416C9" w:rsidRPr="003416C9" w:rsidRDefault="003416C9" w:rsidP="003416C9">
      <w:pPr>
        <w:pStyle w:val="naisf"/>
        <w:spacing w:before="0" w:after="0"/>
        <w:ind w:right="-766" w:firstLine="0"/>
        <w:rPr>
          <w:sz w:val="28"/>
          <w:szCs w:val="28"/>
        </w:rPr>
      </w:pPr>
    </w:p>
    <w:p w:rsidR="008268E9" w:rsidRPr="002A27D2" w:rsidRDefault="008268E9" w:rsidP="008268E9">
      <w:pPr>
        <w:jc w:val="both"/>
        <w:outlineLvl w:val="0"/>
        <w:rPr>
          <w:color w:val="000000"/>
          <w:sz w:val="28"/>
          <w:szCs w:val="28"/>
        </w:rPr>
      </w:pPr>
      <w:r w:rsidRPr="002A27D2">
        <w:rPr>
          <w:sz w:val="28"/>
          <w:szCs w:val="28"/>
        </w:rPr>
        <w:t>A</w:t>
      </w:r>
      <w:r w:rsidRPr="002A27D2">
        <w:rPr>
          <w:color w:val="000000"/>
          <w:sz w:val="28"/>
          <w:szCs w:val="28"/>
        </w:rPr>
        <w:t xml:space="preserve">notācijas II, </w:t>
      </w:r>
      <w:r>
        <w:rPr>
          <w:color w:val="000000"/>
          <w:sz w:val="28"/>
          <w:szCs w:val="28"/>
        </w:rPr>
        <w:t xml:space="preserve">III, IV, V, </w:t>
      </w:r>
      <w:r w:rsidRPr="002A27D2">
        <w:rPr>
          <w:color w:val="000000"/>
          <w:sz w:val="28"/>
          <w:szCs w:val="28"/>
        </w:rPr>
        <w:t>VI</w:t>
      </w:r>
      <w:r>
        <w:rPr>
          <w:color w:val="000000"/>
          <w:sz w:val="28"/>
          <w:szCs w:val="28"/>
        </w:rPr>
        <w:t xml:space="preserve"> un VII</w:t>
      </w:r>
      <w:r w:rsidRPr="002A27D2">
        <w:rPr>
          <w:color w:val="000000"/>
          <w:sz w:val="28"/>
          <w:szCs w:val="28"/>
        </w:rPr>
        <w:t xml:space="preserve"> sadaļa – projekts šīs jomas neskar.</w:t>
      </w:r>
    </w:p>
    <w:p w:rsidR="008268E9" w:rsidRPr="003416C9" w:rsidRDefault="008268E9" w:rsidP="008268E9">
      <w:pPr>
        <w:pStyle w:val="naisf"/>
        <w:spacing w:before="0" w:after="0"/>
        <w:ind w:right="-109" w:firstLine="0"/>
        <w:rPr>
          <w:b/>
          <w:sz w:val="28"/>
          <w:szCs w:val="28"/>
        </w:rPr>
      </w:pPr>
    </w:p>
    <w:p w:rsidR="008268E9" w:rsidRPr="003416C9" w:rsidRDefault="008268E9" w:rsidP="008268E9">
      <w:pPr>
        <w:rPr>
          <w:vanish/>
          <w:sz w:val="28"/>
          <w:szCs w:val="28"/>
        </w:rPr>
      </w:pPr>
    </w:p>
    <w:p w:rsidR="008268E9" w:rsidRPr="003416C9" w:rsidRDefault="008268E9" w:rsidP="008268E9">
      <w:pPr>
        <w:rPr>
          <w:vanish/>
          <w:sz w:val="28"/>
          <w:szCs w:val="28"/>
        </w:rPr>
      </w:pPr>
    </w:p>
    <w:p w:rsidR="008268E9" w:rsidRPr="00AF77FE" w:rsidRDefault="008268E9" w:rsidP="00B81812">
      <w:pPr>
        <w:tabs>
          <w:tab w:val="left" w:pos="6946"/>
        </w:tabs>
        <w:spacing w:after="240" w:line="276" w:lineRule="auto"/>
        <w:rPr>
          <w:rFonts w:eastAsia="Calibri"/>
          <w:b/>
          <w:sz w:val="28"/>
          <w:szCs w:val="28"/>
          <w:lang w:eastAsia="en-US"/>
        </w:rPr>
      </w:pPr>
      <w:r>
        <w:rPr>
          <w:rFonts w:eastAsia="Calibri"/>
          <w:b/>
          <w:sz w:val="28"/>
          <w:szCs w:val="28"/>
          <w:lang w:eastAsia="en-US"/>
        </w:rPr>
        <w:t>Ministru prezidents</w:t>
      </w:r>
      <w:r>
        <w:rPr>
          <w:rFonts w:eastAsia="Calibri"/>
          <w:b/>
          <w:sz w:val="28"/>
          <w:szCs w:val="28"/>
          <w:lang w:eastAsia="en-US"/>
        </w:rPr>
        <w:tab/>
      </w:r>
      <w:r w:rsidRPr="00AF77FE">
        <w:rPr>
          <w:rFonts w:eastAsia="Calibri"/>
          <w:b/>
          <w:sz w:val="28"/>
          <w:szCs w:val="28"/>
          <w:lang w:eastAsia="en-US"/>
        </w:rPr>
        <w:t>V.Dombrovskis</w:t>
      </w:r>
    </w:p>
    <w:p w:rsidR="008268E9" w:rsidRPr="00AF77FE" w:rsidRDefault="008268E9" w:rsidP="00B81812">
      <w:pPr>
        <w:tabs>
          <w:tab w:val="left" w:pos="6946"/>
        </w:tabs>
        <w:spacing w:after="240" w:line="276" w:lineRule="auto"/>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t>D.Pavļuts</w:t>
      </w:r>
    </w:p>
    <w:p w:rsidR="008268E9" w:rsidRPr="00AF77FE" w:rsidRDefault="008268E9" w:rsidP="008268E9">
      <w:pPr>
        <w:spacing w:after="60" w:line="276" w:lineRule="auto"/>
        <w:rPr>
          <w:rFonts w:eastAsia="Calibri"/>
          <w:b/>
          <w:sz w:val="28"/>
          <w:szCs w:val="28"/>
          <w:lang w:eastAsia="en-US"/>
        </w:rPr>
      </w:pPr>
      <w:r w:rsidRPr="00AF77FE">
        <w:rPr>
          <w:rFonts w:eastAsia="Calibri"/>
          <w:b/>
          <w:sz w:val="28"/>
          <w:szCs w:val="28"/>
          <w:lang w:eastAsia="en-US"/>
        </w:rPr>
        <w:t>Iesniedzējs:</w:t>
      </w:r>
    </w:p>
    <w:p w:rsidR="00BA5E1C" w:rsidRDefault="008268E9" w:rsidP="00B81812">
      <w:pPr>
        <w:tabs>
          <w:tab w:val="left" w:pos="6946"/>
        </w:tabs>
        <w:spacing w:after="60" w:line="276" w:lineRule="auto"/>
        <w:rPr>
          <w:rFonts w:eastAsia="Calibri"/>
          <w:b/>
          <w:sz w:val="28"/>
          <w:szCs w:val="28"/>
          <w:lang w:eastAsia="en-US"/>
        </w:rPr>
      </w:pPr>
      <w:r w:rsidRPr="00AF77FE">
        <w:rPr>
          <w:rFonts w:eastAsia="Calibri"/>
          <w:b/>
          <w:sz w:val="28"/>
          <w:szCs w:val="28"/>
          <w:lang w:eastAsia="en-US"/>
        </w:rPr>
        <w:t>Ekonomikas ministrs</w:t>
      </w:r>
      <w:r w:rsidRPr="00AF77FE">
        <w:rPr>
          <w:rFonts w:eastAsia="Calibri"/>
          <w:b/>
          <w:sz w:val="28"/>
          <w:szCs w:val="28"/>
          <w:lang w:eastAsia="en-US"/>
        </w:rPr>
        <w:tab/>
        <w:t>D.Pavļuts</w:t>
      </w:r>
    </w:p>
    <w:p w:rsidR="00B81812" w:rsidRDefault="00B81812" w:rsidP="00B81812">
      <w:pPr>
        <w:tabs>
          <w:tab w:val="left" w:pos="6946"/>
        </w:tabs>
        <w:spacing w:after="60" w:line="276" w:lineRule="auto"/>
        <w:rPr>
          <w:rFonts w:eastAsia="Calibri"/>
          <w:b/>
          <w:sz w:val="28"/>
          <w:szCs w:val="28"/>
          <w:lang w:eastAsia="en-US"/>
        </w:rPr>
      </w:pPr>
    </w:p>
    <w:p w:rsidR="00B514CB" w:rsidRPr="002F2FF4" w:rsidRDefault="008268E9" w:rsidP="00B514CB">
      <w:pPr>
        <w:tabs>
          <w:tab w:val="left" w:pos="7655"/>
        </w:tabs>
        <w:ind w:right="-521"/>
        <w:rPr>
          <w:b/>
          <w:sz w:val="28"/>
        </w:rPr>
      </w:pPr>
      <w:r>
        <w:rPr>
          <w:rFonts w:eastAsia="Calibri"/>
          <w:b/>
          <w:sz w:val="28"/>
          <w:szCs w:val="28"/>
          <w:lang w:eastAsia="en-US"/>
        </w:rPr>
        <w:t xml:space="preserve">Vīza: </w:t>
      </w:r>
      <w:r w:rsidR="00B514CB">
        <w:rPr>
          <w:b/>
          <w:sz w:val="28"/>
        </w:rPr>
        <w:t>v</w:t>
      </w:r>
      <w:r w:rsidR="00B514CB" w:rsidRPr="002F2FF4">
        <w:rPr>
          <w:b/>
          <w:sz w:val="28"/>
        </w:rPr>
        <w:t xml:space="preserve">alsts sekretāra </w:t>
      </w:r>
    </w:p>
    <w:p w:rsidR="00B514CB" w:rsidRPr="002F2FF4" w:rsidRDefault="00B514CB" w:rsidP="00B514CB">
      <w:pPr>
        <w:tabs>
          <w:tab w:val="left" w:pos="7655"/>
        </w:tabs>
        <w:ind w:right="-521"/>
        <w:rPr>
          <w:b/>
          <w:sz w:val="28"/>
        </w:rPr>
      </w:pPr>
      <w:r>
        <w:rPr>
          <w:b/>
          <w:sz w:val="28"/>
        </w:rPr>
        <w:t xml:space="preserve">pienākumu izpildītājs - </w:t>
      </w:r>
    </w:p>
    <w:p w:rsidR="00B514CB" w:rsidRPr="00AF77FE" w:rsidRDefault="00B514CB" w:rsidP="00B514CB">
      <w:pPr>
        <w:tabs>
          <w:tab w:val="left" w:pos="6946"/>
        </w:tabs>
        <w:spacing w:after="120" w:line="276" w:lineRule="auto"/>
        <w:rPr>
          <w:rFonts w:eastAsia="Calibri"/>
          <w:b/>
          <w:sz w:val="28"/>
          <w:szCs w:val="28"/>
          <w:lang w:eastAsia="en-US"/>
        </w:rPr>
      </w:pPr>
      <w:r w:rsidRPr="002F2FF4">
        <w:rPr>
          <w:b/>
          <w:sz w:val="28"/>
        </w:rPr>
        <w:t xml:space="preserve">valsts sekretāra vietnieks                             </w:t>
      </w:r>
      <w:r w:rsidRPr="002F2FF4">
        <w:rPr>
          <w:b/>
          <w:sz w:val="28"/>
        </w:rPr>
        <w:tab/>
        <w:t>A.Liepiņš</w:t>
      </w:r>
    </w:p>
    <w:p w:rsidR="008268E9" w:rsidRPr="00BA5E1C" w:rsidRDefault="008268E9" w:rsidP="00BA5E1C">
      <w:pPr>
        <w:tabs>
          <w:tab w:val="left" w:pos="6946"/>
        </w:tabs>
        <w:spacing w:after="120" w:line="276" w:lineRule="auto"/>
        <w:rPr>
          <w:rFonts w:eastAsia="Calibri"/>
          <w:b/>
          <w:sz w:val="28"/>
          <w:szCs w:val="28"/>
          <w:lang w:eastAsia="en-US"/>
        </w:rPr>
      </w:pPr>
    </w:p>
    <w:p w:rsidR="003B760A" w:rsidRPr="00992E75" w:rsidRDefault="001752BE" w:rsidP="003B760A">
      <w:pPr>
        <w:pStyle w:val="StyleRight"/>
        <w:tabs>
          <w:tab w:val="left" w:pos="2552"/>
        </w:tabs>
        <w:spacing w:after="0"/>
        <w:ind w:firstLine="0"/>
        <w:jc w:val="both"/>
        <w:rPr>
          <w:sz w:val="24"/>
          <w:szCs w:val="24"/>
          <w:lang w:eastAsia="lv-LV"/>
        </w:rPr>
      </w:pPr>
      <w:r>
        <w:rPr>
          <w:sz w:val="24"/>
          <w:szCs w:val="24"/>
        </w:rPr>
        <w:t>18</w:t>
      </w:r>
      <w:r w:rsidR="00B514CB">
        <w:rPr>
          <w:sz w:val="24"/>
          <w:szCs w:val="24"/>
        </w:rPr>
        <w:t>.09</w:t>
      </w:r>
      <w:r w:rsidR="003B760A" w:rsidRPr="00992E75">
        <w:rPr>
          <w:sz w:val="24"/>
          <w:szCs w:val="24"/>
        </w:rPr>
        <w:t>.2013</w:t>
      </w:r>
      <w:r w:rsidR="003B760A" w:rsidRPr="00992E75">
        <w:rPr>
          <w:sz w:val="24"/>
          <w:szCs w:val="24"/>
          <w:lang w:eastAsia="lv-LV"/>
        </w:rPr>
        <w:t xml:space="preserve">. </w:t>
      </w:r>
      <w:r>
        <w:rPr>
          <w:sz w:val="24"/>
          <w:szCs w:val="24"/>
          <w:lang w:eastAsia="lv-LV"/>
        </w:rPr>
        <w:t>09</w:t>
      </w:r>
      <w:r w:rsidR="003B760A" w:rsidRPr="00992E75">
        <w:rPr>
          <w:sz w:val="24"/>
          <w:szCs w:val="24"/>
          <w:lang w:eastAsia="lv-LV"/>
        </w:rPr>
        <w:t>:00</w:t>
      </w:r>
    </w:p>
    <w:p w:rsidR="003B760A" w:rsidRPr="00992E75" w:rsidRDefault="00B514CB" w:rsidP="003B760A">
      <w:pPr>
        <w:pStyle w:val="StyleRight"/>
        <w:tabs>
          <w:tab w:val="left" w:pos="2552"/>
        </w:tabs>
        <w:spacing w:after="0"/>
        <w:ind w:firstLine="0"/>
        <w:jc w:val="both"/>
        <w:rPr>
          <w:sz w:val="24"/>
          <w:szCs w:val="24"/>
          <w:lang w:eastAsia="lv-LV"/>
        </w:rPr>
      </w:pPr>
      <w:r>
        <w:rPr>
          <w:sz w:val="24"/>
          <w:szCs w:val="24"/>
          <w:lang w:eastAsia="lv-LV"/>
        </w:rPr>
        <w:t>568</w:t>
      </w:r>
    </w:p>
    <w:p w:rsidR="003B760A" w:rsidRPr="00992E75" w:rsidRDefault="003B760A" w:rsidP="003B760A">
      <w:pPr>
        <w:pStyle w:val="naisf"/>
        <w:spacing w:before="0" w:after="0"/>
        <w:ind w:firstLine="0"/>
      </w:pPr>
      <w:r w:rsidRPr="00992E75">
        <w:t xml:space="preserve">Drāke </w:t>
      </w:r>
    </w:p>
    <w:p w:rsidR="006C408F" w:rsidRPr="00992E75" w:rsidRDefault="003416C9" w:rsidP="00E95643">
      <w:pPr>
        <w:pStyle w:val="naisf"/>
        <w:spacing w:before="0" w:after="0"/>
        <w:ind w:firstLine="0"/>
      </w:pPr>
      <w:r w:rsidRPr="00992E75">
        <w:t>67013162</w:t>
      </w:r>
      <w:r w:rsidR="003B760A" w:rsidRPr="00992E75">
        <w:t xml:space="preserve">, </w:t>
      </w:r>
      <w:hyperlink r:id="rId8" w:history="1">
        <w:r w:rsidR="003B760A" w:rsidRPr="00992E75">
          <w:rPr>
            <w:rStyle w:val="Hyperlink"/>
          </w:rPr>
          <w:t>Martins.Drake@em.gov.lv</w:t>
        </w:r>
      </w:hyperlink>
      <w:r w:rsidR="003B760A" w:rsidRPr="00992E75">
        <w:t xml:space="preserve"> </w:t>
      </w:r>
    </w:p>
    <w:sectPr w:rsidR="006C408F" w:rsidRPr="00992E75" w:rsidSect="001C57B0">
      <w:headerReference w:type="default" r:id="rId9"/>
      <w:footerReference w:type="default" r:id="rId10"/>
      <w:pgSz w:w="11906" w:h="16838"/>
      <w:pgMar w:top="1440" w:right="1274" w:bottom="1135"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1431" w:rsidRDefault="00D51431">
      <w:r>
        <w:separator/>
      </w:r>
    </w:p>
  </w:endnote>
  <w:endnote w:type="continuationSeparator" w:id="0">
    <w:p w:rsidR="00D51431" w:rsidRDefault="00D5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DE5" w:rsidRPr="00F44ACA" w:rsidRDefault="00B81812" w:rsidP="00433DE5">
    <w:pPr>
      <w:pStyle w:val="Footer"/>
      <w:jc w:val="both"/>
      <w:rPr>
        <w:szCs w:val="24"/>
      </w:rPr>
    </w:pPr>
    <w:r>
      <w:rPr>
        <w:szCs w:val="24"/>
      </w:rPr>
      <w:t>EMAnot_</w:t>
    </w:r>
    <w:r w:rsidR="001752BE">
      <w:rPr>
        <w:szCs w:val="24"/>
      </w:rPr>
      <w:t>18</w:t>
    </w:r>
    <w:r w:rsidR="00B514CB">
      <w:rPr>
        <w:szCs w:val="24"/>
      </w:rPr>
      <w:t>09</w:t>
    </w:r>
    <w:r w:rsidR="00F04D94" w:rsidRPr="00F44ACA">
      <w:rPr>
        <w:szCs w:val="24"/>
      </w:rPr>
      <w:t xml:space="preserve">13; Ministru kabineta </w:t>
    </w:r>
    <w:r w:rsidR="003416C9">
      <w:rPr>
        <w:szCs w:val="24"/>
      </w:rPr>
      <w:t>noteikumu projekta</w:t>
    </w:r>
    <w:r w:rsidR="00F04D94" w:rsidRPr="00F44ACA">
      <w:rPr>
        <w:szCs w:val="24"/>
      </w:rPr>
      <w:t xml:space="preserve"> „</w:t>
    </w:r>
    <w:r w:rsidR="003416C9" w:rsidRPr="003416C9">
      <w:rPr>
        <w:szCs w:val="24"/>
      </w:rPr>
      <w:t>Grozījum</w:t>
    </w:r>
    <w:r w:rsidR="00BE6F24">
      <w:rPr>
        <w:szCs w:val="24"/>
      </w:rPr>
      <w:t>i</w:t>
    </w:r>
    <w:r w:rsidR="003416C9">
      <w:rPr>
        <w:szCs w:val="24"/>
      </w:rPr>
      <w:t xml:space="preserve"> Ministru kabineta </w:t>
    </w:r>
    <w:r w:rsidR="00E75FEB">
      <w:rPr>
        <w:szCs w:val="24"/>
      </w:rPr>
      <w:t>1995</w:t>
    </w:r>
    <w:r w:rsidR="00F0260B">
      <w:rPr>
        <w:szCs w:val="24"/>
      </w:rPr>
      <w:t xml:space="preserve">.gada </w:t>
    </w:r>
    <w:r w:rsidR="00E75FEB">
      <w:rPr>
        <w:szCs w:val="24"/>
      </w:rPr>
      <w:t>11.jūlija</w:t>
    </w:r>
    <w:r w:rsidR="003416C9" w:rsidRPr="003416C9">
      <w:rPr>
        <w:szCs w:val="24"/>
      </w:rPr>
      <w:t xml:space="preserve"> noteikumos Nr.</w:t>
    </w:r>
    <w:r w:rsidR="00045CB0">
      <w:rPr>
        <w:szCs w:val="24"/>
      </w:rPr>
      <w:t>1</w:t>
    </w:r>
    <w:r w:rsidR="00E560DE">
      <w:rPr>
        <w:szCs w:val="24"/>
      </w:rPr>
      <w:t>97</w:t>
    </w:r>
    <w:r w:rsidR="003416C9" w:rsidRPr="003416C9">
      <w:rPr>
        <w:szCs w:val="24"/>
      </w:rPr>
      <w:t xml:space="preserve"> </w:t>
    </w:r>
    <w:r w:rsidR="00045CB0" w:rsidRPr="00045CB0">
      <w:rPr>
        <w:szCs w:val="24"/>
      </w:rPr>
      <w:t>„</w:t>
    </w:r>
    <w:r w:rsidR="00E75FEB" w:rsidRPr="00E75FEB">
      <w:rPr>
        <w:szCs w:val="24"/>
      </w:rPr>
      <w:t>Noteikumi par bijušo īpašnieku mantas kompensācijas vērtības noteikšanu un tās salīdzināšanu ar privatizējamo objektu (mantas) pašreizējo vērtību</w:t>
    </w:r>
    <w:r w:rsidR="003416C9" w:rsidRPr="003416C9">
      <w:rPr>
        <w:szCs w:val="24"/>
      </w:rPr>
      <w:t>”</w:t>
    </w:r>
    <w:r w:rsidR="00F04D94" w:rsidRPr="00F44ACA">
      <w:rPr>
        <w:szCs w:val="24"/>
      </w:rPr>
      <w:t xml:space="preserve"> 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1431" w:rsidRDefault="00D51431">
      <w:r>
        <w:separator/>
      </w:r>
    </w:p>
  </w:footnote>
  <w:footnote w:type="continuationSeparator" w:id="0">
    <w:p w:rsidR="00D51431" w:rsidRDefault="00D514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5EB5" w:rsidRDefault="00D51431" w:rsidP="00E55EB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52791"/>
    <w:multiLevelType w:val="hybridMultilevel"/>
    <w:tmpl w:val="9DBCAAB8"/>
    <w:lvl w:ilvl="0" w:tplc="04260011">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0637631"/>
    <w:multiLevelType w:val="hybridMultilevel"/>
    <w:tmpl w:val="F9E4349E"/>
    <w:lvl w:ilvl="0" w:tplc="F98E6988">
      <w:start w:val="1"/>
      <w:numFmt w:val="decimal"/>
      <w:lvlText w:val="%1."/>
      <w:lvlJc w:val="left"/>
      <w:pPr>
        <w:ind w:left="1080" w:hanging="72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469C7FD2"/>
    <w:multiLevelType w:val="hybridMultilevel"/>
    <w:tmpl w:val="63041EE2"/>
    <w:lvl w:ilvl="0" w:tplc="2CBA5E40">
      <w:start w:val="1"/>
      <w:numFmt w:val="decimal"/>
      <w:lvlText w:val="%1."/>
      <w:lvlJc w:val="left"/>
      <w:pPr>
        <w:ind w:left="360" w:hanging="360"/>
      </w:pPr>
      <w:rPr>
        <w:sz w:val="28"/>
        <w:szCs w:val="28"/>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7F843015"/>
    <w:multiLevelType w:val="hybridMultilevel"/>
    <w:tmpl w:val="0166237E"/>
    <w:lvl w:ilvl="0" w:tplc="56243F90">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6692D"/>
    <w:rsid w:val="00034852"/>
    <w:rsid w:val="00045CB0"/>
    <w:rsid w:val="001325E5"/>
    <w:rsid w:val="001752BE"/>
    <w:rsid w:val="00176825"/>
    <w:rsid w:val="00184CBB"/>
    <w:rsid w:val="001945B9"/>
    <w:rsid w:val="001B601A"/>
    <w:rsid w:val="00205334"/>
    <w:rsid w:val="00246531"/>
    <w:rsid w:val="00284D8C"/>
    <w:rsid w:val="002C668C"/>
    <w:rsid w:val="00337CD7"/>
    <w:rsid w:val="003416C9"/>
    <w:rsid w:val="00346BF0"/>
    <w:rsid w:val="0035095D"/>
    <w:rsid w:val="0037594C"/>
    <w:rsid w:val="003830AC"/>
    <w:rsid w:val="003B760A"/>
    <w:rsid w:val="003D2B25"/>
    <w:rsid w:val="00441036"/>
    <w:rsid w:val="004622BD"/>
    <w:rsid w:val="004A137C"/>
    <w:rsid w:val="004A2DED"/>
    <w:rsid w:val="00534D01"/>
    <w:rsid w:val="005368EA"/>
    <w:rsid w:val="00563F7C"/>
    <w:rsid w:val="005746B7"/>
    <w:rsid w:val="00586C5C"/>
    <w:rsid w:val="005941B8"/>
    <w:rsid w:val="00613D7C"/>
    <w:rsid w:val="0063797C"/>
    <w:rsid w:val="006C408F"/>
    <w:rsid w:val="006F4865"/>
    <w:rsid w:val="0070439B"/>
    <w:rsid w:val="0071374C"/>
    <w:rsid w:val="007159F2"/>
    <w:rsid w:val="00765DA7"/>
    <w:rsid w:val="00783AB6"/>
    <w:rsid w:val="007B4E36"/>
    <w:rsid w:val="007C5B5C"/>
    <w:rsid w:val="007E158F"/>
    <w:rsid w:val="007F7609"/>
    <w:rsid w:val="00822C71"/>
    <w:rsid w:val="0082369A"/>
    <w:rsid w:val="00825685"/>
    <w:rsid w:val="008268E9"/>
    <w:rsid w:val="008563AF"/>
    <w:rsid w:val="00880FDC"/>
    <w:rsid w:val="008C2CB1"/>
    <w:rsid w:val="008D7D2C"/>
    <w:rsid w:val="008E103F"/>
    <w:rsid w:val="009625AD"/>
    <w:rsid w:val="00992E75"/>
    <w:rsid w:val="009B3EE8"/>
    <w:rsid w:val="009E25E3"/>
    <w:rsid w:val="00A45CA8"/>
    <w:rsid w:val="00A60F43"/>
    <w:rsid w:val="00AD5838"/>
    <w:rsid w:val="00B514CB"/>
    <w:rsid w:val="00B81812"/>
    <w:rsid w:val="00BA5E1C"/>
    <w:rsid w:val="00BB1C7C"/>
    <w:rsid w:val="00BE6F24"/>
    <w:rsid w:val="00BF46EC"/>
    <w:rsid w:val="00C215F9"/>
    <w:rsid w:val="00C27977"/>
    <w:rsid w:val="00C43343"/>
    <w:rsid w:val="00C627A7"/>
    <w:rsid w:val="00CB4798"/>
    <w:rsid w:val="00CB5161"/>
    <w:rsid w:val="00CC6CB7"/>
    <w:rsid w:val="00D02ECC"/>
    <w:rsid w:val="00D159AD"/>
    <w:rsid w:val="00D31D0D"/>
    <w:rsid w:val="00D51431"/>
    <w:rsid w:val="00D522A5"/>
    <w:rsid w:val="00D618E4"/>
    <w:rsid w:val="00D91688"/>
    <w:rsid w:val="00DD1BFE"/>
    <w:rsid w:val="00E111EA"/>
    <w:rsid w:val="00E317FA"/>
    <w:rsid w:val="00E560DE"/>
    <w:rsid w:val="00E75FEB"/>
    <w:rsid w:val="00E95643"/>
    <w:rsid w:val="00EB6C42"/>
    <w:rsid w:val="00F0260B"/>
    <w:rsid w:val="00F04D94"/>
    <w:rsid w:val="00F336E8"/>
    <w:rsid w:val="00F6692D"/>
    <w:rsid w:val="00F67A08"/>
    <w:rsid w:val="00FD41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D94"/>
    <w:rPr>
      <w:rFonts w:eastAsia="Times New Roman" w:cs="Times New Roman"/>
      <w:sz w:val="24"/>
      <w:szCs w:val="20"/>
      <w:lang w:eastAsia="lv-LV"/>
    </w:rPr>
  </w:style>
  <w:style w:type="paragraph" w:styleId="Heading3">
    <w:name w:val="heading 3"/>
    <w:basedOn w:val="Normal"/>
    <w:next w:val="Normal"/>
    <w:link w:val="Heading3Char"/>
    <w:qFormat/>
    <w:rsid w:val="00F04D94"/>
    <w:pPr>
      <w:keepNext/>
      <w:spacing w:before="240" w:after="120"/>
      <w:jc w:val="center"/>
      <w:outlineLvl w:val="2"/>
    </w:pPr>
    <w:rPr>
      <w:b/>
      <w:sz w:val="28"/>
      <w:lang w:val="en-AU"/>
    </w:rPr>
  </w:style>
  <w:style w:type="paragraph" w:styleId="Heading5">
    <w:name w:val="heading 5"/>
    <w:basedOn w:val="Normal"/>
    <w:next w:val="Normal"/>
    <w:link w:val="Heading5Char"/>
    <w:qFormat/>
    <w:rsid w:val="00F04D94"/>
    <w:pPr>
      <w:keepNext/>
      <w:ind w:firstLine="720"/>
      <w:jc w:val="both"/>
      <w:outlineLvl w:val="4"/>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04D94"/>
    <w:rPr>
      <w:rFonts w:eastAsia="Times New Roman" w:cs="Times New Roman"/>
      <w:b/>
      <w:szCs w:val="20"/>
      <w:lang w:val="en-AU" w:eastAsia="lv-LV"/>
    </w:rPr>
  </w:style>
  <w:style w:type="character" w:customStyle="1" w:styleId="Heading5Char">
    <w:name w:val="Heading 5 Char"/>
    <w:basedOn w:val="DefaultParagraphFont"/>
    <w:link w:val="Heading5"/>
    <w:rsid w:val="00F04D94"/>
    <w:rPr>
      <w:rFonts w:eastAsia="Times New Roman" w:cs="Times New Roman"/>
      <w:szCs w:val="20"/>
      <w:lang w:eastAsia="lv-LV"/>
    </w:rPr>
  </w:style>
  <w:style w:type="paragraph" w:styleId="BodyText">
    <w:name w:val="Body Text"/>
    <w:basedOn w:val="Normal"/>
    <w:link w:val="BodyTextChar"/>
    <w:semiHidden/>
    <w:rsid w:val="00F04D94"/>
    <w:pPr>
      <w:ind w:right="-766"/>
    </w:pPr>
    <w:rPr>
      <w:lang w:val="en-AU"/>
    </w:rPr>
  </w:style>
  <w:style w:type="character" w:customStyle="1" w:styleId="BodyTextChar">
    <w:name w:val="Body Text Char"/>
    <w:basedOn w:val="DefaultParagraphFont"/>
    <w:link w:val="BodyText"/>
    <w:semiHidden/>
    <w:rsid w:val="00F04D94"/>
    <w:rPr>
      <w:rFonts w:eastAsia="Times New Roman" w:cs="Times New Roman"/>
      <w:sz w:val="24"/>
      <w:szCs w:val="20"/>
      <w:lang w:val="en-AU" w:eastAsia="lv-LV"/>
    </w:rPr>
  </w:style>
  <w:style w:type="paragraph" w:styleId="BodyText2">
    <w:name w:val="Body Text 2"/>
    <w:basedOn w:val="Normal"/>
    <w:link w:val="BodyText2Char"/>
    <w:semiHidden/>
    <w:rsid w:val="00F04D94"/>
    <w:pPr>
      <w:ind w:right="-521"/>
      <w:jc w:val="both"/>
    </w:pPr>
    <w:rPr>
      <w:sz w:val="28"/>
      <w:lang w:val="en-AU"/>
    </w:rPr>
  </w:style>
  <w:style w:type="character" w:customStyle="1" w:styleId="BodyText2Char">
    <w:name w:val="Body Text 2 Char"/>
    <w:basedOn w:val="DefaultParagraphFont"/>
    <w:link w:val="BodyText2"/>
    <w:semiHidden/>
    <w:rsid w:val="00F04D94"/>
    <w:rPr>
      <w:rFonts w:eastAsia="Times New Roman" w:cs="Times New Roman"/>
      <w:szCs w:val="20"/>
      <w:lang w:val="en-AU" w:eastAsia="lv-LV"/>
    </w:rPr>
  </w:style>
  <w:style w:type="paragraph" w:customStyle="1" w:styleId="naisf">
    <w:name w:val="naisf"/>
    <w:basedOn w:val="Normal"/>
    <w:rsid w:val="00F04D94"/>
    <w:pPr>
      <w:spacing w:before="75" w:after="75"/>
      <w:ind w:firstLine="375"/>
      <w:jc w:val="both"/>
    </w:pPr>
    <w:rPr>
      <w:szCs w:val="24"/>
    </w:rPr>
  </w:style>
  <w:style w:type="paragraph" w:customStyle="1" w:styleId="StyleRight">
    <w:name w:val="Style Right"/>
    <w:basedOn w:val="Normal"/>
    <w:rsid w:val="00F04D94"/>
    <w:pPr>
      <w:spacing w:after="120"/>
      <w:ind w:firstLine="720"/>
      <w:jc w:val="right"/>
    </w:pPr>
    <w:rPr>
      <w:sz w:val="28"/>
      <w:szCs w:val="28"/>
      <w:lang w:eastAsia="en-US"/>
    </w:rPr>
  </w:style>
  <w:style w:type="paragraph" w:styleId="FootnoteText">
    <w:name w:val="footnote text"/>
    <w:basedOn w:val="Normal"/>
    <w:link w:val="FootnoteTextChar"/>
    <w:uiPriority w:val="99"/>
    <w:unhideWhenUsed/>
    <w:rsid w:val="00F04D94"/>
    <w:rPr>
      <w:sz w:val="20"/>
    </w:rPr>
  </w:style>
  <w:style w:type="character" w:customStyle="1" w:styleId="FootnoteTextChar">
    <w:name w:val="Footnote Text Char"/>
    <w:basedOn w:val="DefaultParagraphFont"/>
    <w:link w:val="FootnoteText"/>
    <w:uiPriority w:val="99"/>
    <w:rsid w:val="00F04D94"/>
    <w:rPr>
      <w:rFonts w:eastAsia="Times New Roman" w:cs="Times New Roman"/>
      <w:sz w:val="20"/>
      <w:szCs w:val="20"/>
      <w:lang w:eastAsia="lv-LV"/>
    </w:rPr>
  </w:style>
  <w:style w:type="paragraph" w:styleId="Footer">
    <w:name w:val="footer"/>
    <w:basedOn w:val="Normal"/>
    <w:link w:val="FooterChar"/>
    <w:uiPriority w:val="99"/>
    <w:unhideWhenUsed/>
    <w:rsid w:val="00F04D94"/>
    <w:pPr>
      <w:tabs>
        <w:tab w:val="center" w:pos="4153"/>
        <w:tab w:val="right" w:pos="8306"/>
      </w:tabs>
    </w:pPr>
  </w:style>
  <w:style w:type="character" w:customStyle="1" w:styleId="FooterChar">
    <w:name w:val="Footer Char"/>
    <w:basedOn w:val="DefaultParagraphFont"/>
    <w:link w:val="Footer"/>
    <w:uiPriority w:val="99"/>
    <w:rsid w:val="00F04D94"/>
    <w:rPr>
      <w:rFonts w:eastAsia="Times New Roman" w:cs="Times New Roman"/>
      <w:sz w:val="24"/>
      <w:szCs w:val="20"/>
      <w:lang w:eastAsia="lv-LV"/>
    </w:rPr>
  </w:style>
  <w:style w:type="paragraph" w:styleId="Header">
    <w:name w:val="header"/>
    <w:basedOn w:val="Normal"/>
    <w:link w:val="HeaderChar"/>
    <w:uiPriority w:val="99"/>
    <w:unhideWhenUsed/>
    <w:rsid w:val="00F04D94"/>
    <w:pPr>
      <w:tabs>
        <w:tab w:val="center" w:pos="4153"/>
        <w:tab w:val="right" w:pos="8306"/>
      </w:tabs>
    </w:pPr>
  </w:style>
  <w:style w:type="character" w:customStyle="1" w:styleId="HeaderChar">
    <w:name w:val="Header Char"/>
    <w:basedOn w:val="DefaultParagraphFont"/>
    <w:link w:val="Header"/>
    <w:uiPriority w:val="99"/>
    <w:rsid w:val="00F04D94"/>
    <w:rPr>
      <w:rFonts w:eastAsia="Times New Roman" w:cs="Times New Roman"/>
      <w:sz w:val="24"/>
      <w:szCs w:val="20"/>
      <w:lang w:eastAsia="lv-LV"/>
    </w:rPr>
  </w:style>
  <w:style w:type="paragraph" w:styleId="BodyTextIndent3">
    <w:name w:val="Body Text Indent 3"/>
    <w:basedOn w:val="Normal"/>
    <w:link w:val="BodyTextIndent3Char"/>
    <w:uiPriority w:val="99"/>
    <w:semiHidden/>
    <w:unhideWhenUsed/>
    <w:rsid w:val="0003485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34852"/>
    <w:rPr>
      <w:rFonts w:eastAsia="Times New Roman" w:cs="Times New Roman"/>
      <w:sz w:val="16"/>
      <w:szCs w:val="16"/>
      <w:lang w:eastAsia="lv-LV"/>
    </w:rPr>
  </w:style>
  <w:style w:type="character" w:styleId="Hyperlink">
    <w:name w:val="Hyperlink"/>
    <w:basedOn w:val="DefaultParagraphFont"/>
    <w:uiPriority w:val="99"/>
    <w:unhideWhenUsed/>
    <w:rsid w:val="00034852"/>
    <w:rPr>
      <w:color w:val="0000FF" w:themeColor="hyperlink"/>
      <w:u w:val="single"/>
    </w:rPr>
  </w:style>
  <w:style w:type="paragraph" w:customStyle="1" w:styleId="naisnod">
    <w:name w:val="naisnod"/>
    <w:basedOn w:val="Normal"/>
    <w:rsid w:val="003B760A"/>
    <w:pPr>
      <w:spacing w:before="150" w:after="150"/>
      <w:jc w:val="center"/>
    </w:pPr>
    <w:rPr>
      <w:b/>
      <w:bCs/>
      <w:color w:val="0D0D0D"/>
      <w:szCs w:val="24"/>
    </w:rPr>
  </w:style>
  <w:style w:type="paragraph" w:customStyle="1" w:styleId="naislab">
    <w:name w:val="naislab"/>
    <w:basedOn w:val="Normal"/>
    <w:rsid w:val="003B760A"/>
    <w:pPr>
      <w:spacing w:before="75" w:after="75"/>
      <w:jc w:val="right"/>
    </w:pPr>
    <w:rPr>
      <w:color w:val="0D0D0D"/>
      <w:szCs w:val="24"/>
    </w:rPr>
  </w:style>
  <w:style w:type="paragraph" w:customStyle="1" w:styleId="naiskr">
    <w:name w:val="naiskr"/>
    <w:basedOn w:val="Normal"/>
    <w:rsid w:val="003B760A"/>
    <w:pPr>
      <w:spacing w:before="75" w:after="75"/>
    </w:pPr>
    <w:rPr>
      <w:color w:val="0D0D0D"/>
      <w:szCs w:val="24"/>
    </w:rPr>
  </w:style>
  <w:style w:type="character" w:styleId="CommentReference">
    <w:name w:val="annotation reference"/>
    <w:basedOn w:val="DefaultParagraphFont"/>
    <w:uiPriority w:val="99"/>
    <w:semiHidden/>
    <w:unhideWhenUsed/>
    <w:rsid w:val="003B760A"/>
    <w:rPr>
      <w:sz w:val="16"/>
      <w:szCs w:val="16"/>
    </w:rPr>
  </w:style>
  <w:style w:type="paragraph" w:styleId="CommentText">
    <w:name w:val="annotation text"/>
    <w:basedOn w:val="Normal"/>
    <w:link w:val="CommentTextChar"/>
    <w:uiPriority w:val="99"/>
    <w:semiHidden/>
    <w:unhideWhenUsed/>
    <w:rsid w:val="003B760A"/>
    <w:rPr>
      <w:color w:val="0D0D0D"/>
      <w:sz w:val="20"/>
    </w:rPr>
  </w:style>
  <w:style w:type="character" w:customStyle="1" w:styleId="CommentTextChar">
    <w:name w:val="Comment Text Char"/>
    <w:basedOn w:val="DefaultParagraphFont"/>
    <w:link w:val="CommentText"/>
    <w:uiPriority w:val="99"/>
    <w:semiHidden/>
    <w:rsid w:val="003B760A"/>
    <w:rPr>
      <w:rFonts w:eastAsia="Times New Roman" w:cs="Times New Roman"/>
      <w:color w:val="0D0D0D"/>
      <w:sz w:val="20"/>
      <w:szCs w:val="20"/>
      <w:lang w:eastAsia="lv-LV"/>
    </w:rPr>
  </w:style>
  <w:style w:type="paragraph" w:styleId="BalloonText">
    <w:name w:val="Balloon Text"/>
    <w:basedOn w:val="Normal"/>
    <w:link w:val="BalloonTextChar"/>
    <w:uiPriority w:val="99"/>
    <w:semiHidden/>
    <w:unhideWhenUsed/>
    <w:rsid w:val="003B760A"/>
    <w:rPr>
      <w:rFonts w:ascii="Tahoma" w:hAnsi="Tahoma" w:cs="Tahoma"/>
      <w:sz w:val="16"/>
      <w:szCs w:val="16"/>
    </w:rPr>
  </w:style>
  <w:style w:type="character" w:customStyle="1" w:styleId="BalloonTextChar">
    <w:name w:val="Balloon Text Char"/>
    <w:basedOn w:val="DefaultParagraphFont"/>
    <w:link w:val="BalloonText"/>
    <w:uiPriority w:val="99"/>
    <w:semiHidden/>
    <w:rsid w:val="003B760A"/>
    <w:rPr>
      <w:rFonts w:ascii="Tahoma" w:eastAsia="Times New Roman" w:hAnsi="Tahoma" w:cs="Tahoma"/>
      <w:sz w:val="16"/>
      <w:szCs w:val="16"/>
      <w:lang w:eastAsia="lv-LV"/>
    </w:rPr>
  </w:style>
  <w:style w:type="paragraph" w:customStyle="1" w:styleId="naisc">
    <w:name w:val="naisc"/>
    <w:basedOn w:val="Normal"/>
    <w:uiPriority w:val="99"/>
    <w:rsid w:val="003416C9"/>
    <w:pPr>
      <w:spacing w:before="75" w:after="75"/>
      <w:jc w:val="center"/>
    </w:pPr>
    <w:rPr>
      <w:szCs w:val="24"/>
    </w:rPr>
  </w:style>
  <w:style w:type="paragraph" w:styleId="ListParagraph">
    <w:name w:val="List Paragraph"/>
    <w:basedOn w:val="Normal"/>
    <w:uiPriority w:val="34"/>
    <w:qFormat/>
    <w:rsid w:val="003416C9"/>
    <w:pPr>
      <w:ind w:left="720"/>
      <w:contextualSpacing/>
    </w:pPr>
    <w:rPr>
      <w:color w:val="0D0D0D"/>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976980">
      <w:bodyDiv w:val="1"/>
      <w:marLeft w:val="0"/>
      <w:marRight w:val="0"/>
      <w:marTop w:val="0"/>
      <w:marBottom w:val="0"/>
      <w:divBdr>
        <w:top w:val="none" w:sz="0" w:space="0" w:color="auto"/>
        <w:left w:val="none" w:sz="0" w:space="0" w:color="auto"/>
        <w:bottom w:val="none" w:sz="0" w:space="0" w:color="auto"/>
        <w:right w:val="none" w:sz="0" w:space="0" w:color="auto"/>
      </w:divBdr>
    </w:div>
    <w:div w:id="14266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s.Drake@em.gov.l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2943</Words>
  <Characters>1679</Characters>
  <Application>Microsoft Office Word</Application>
  <DocSecurity>0</DocSecurity>
  <Lines>13</Lines>
  <Paragraphs>9</Paragraphs>
  <ScaleCrop>false</ScaleCrop>
  <HeadingPairs>
    <vt:vector size="2" baseType="variant">
      <vt:variant>
        <vt:lpstr>Title</vt:lpstr>
      </vt:variant>
      <vt:variant>
        <vt:i4>1</vt:i4>
      </vt:variant>
    </vt:vector>
  </HeadingPairs>
  <TitlesOfParts>
    <vt:vector size="1" baseType="lpstr">
      <vt:lpstr>Ministru kabineta noteikumu projekta Grozījums Ministru kabineta 1995.gada 11.jūlija noteikumos Nr.197 „Noteikumi par bijušo īpašnieku mantas kompensācijas vērtības noteikšanu un tās salīdzināšanu ar privatizējamo objektu (mantas) pašreizējo vērtību” sāko</vt:lpstr>
    </vt:vector>
  </TitlesOfParts>
  <Company/>
  <LinksUpToDate>false</LinksUpToDate>
  <CharactersWithSpaces>4613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Grozījums Ministru kabineta 1995.gada 11.jūlija noteikumos Nr.197 „Noteikumi par bijušo īpašnieku mantas kompensācijas vērtības noteikšanu un tās salīdzināšanu ar privatizējamo objektu (mantas) pašreizējo vērtību” sākotnējās ietekmes izvērtējums (anotācija)</dc:title>
  <dc:subject>MK Noteikumu grozījums</dc:subject>
  <dc:creator>Mārtiņš Drāke</dc:creator>
  <dc:description>Martins.Drake@em.gov.lv;
67013162</dc:description>
  <cp:lastModifiedBy>Mārtiņš Drāke</cp:lastModifiedBy>
  <cp:revision>58</cp:revision>
  <cp:lastPrinted>2013-08-05T12:55:00Z</cp:lastPrinted>
  <dcterms:created xsi:type="dcterms:W3CDTF">2013-05-22T07:18:00Z</dcterms:created>
  <dcterms:modified xsi:type="dcterms:W3CDTF">2013-09-18T05:52:00Z</dcterms:modified>
</cp:coreProperties>
</file>