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4" w:rsidRPr="008C335D" w:rsidRDefault="004F2AA5" w:rsidP="008C335D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D92592">
        <w:rPr>
          <w:b/>
          <w:sz w:val="28"/>
          <w:szCs w:val="28"/>
        </w:rPr>
        <w:t xml:space="preserve">Noteikumu projekta </w:t>
      </w:r>
      <w:bookmarkEnd w:id="0"/>
      <w:bookmarkEnd w:id="1"/>
      <w:r w:rsidR="00220692">
        <w:rPr>
          <w:b/>
          <w:sz w:val="28"/>
          <w:szCs w:val="28"/>
        </w:rPr>
        <w:t>„</w:t>
      </w:r>
      <w:r w:rsidR="00220692" w:rsidRPr="00220692">
        <w:rPr>
          <w:b/>
          <w:sz w:val="28"/>
          <w:szCs w:val="28"/>
        </w:rPr>
        <w:t>Grozījumi Ministru kabineta 2013.gada 29.janvāra noteikumos Nr.61 „Noteikumi par parāda atgūšanas izdevumu pieļaujamo apmēru un izdevumiem, kuri nav atlīdzināmi”</w:t>
      </w:r>
      <w:r w:rsidR="00220692">
        <w:rPr>
          <w:b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="008C335D">
        <w:rPr>
          <w:b/>
          <w:sz w:val="28"/>
          <w:szCs w:val="28"/>
        </w:rPr>
        <w:t xml:space="preserve">sākotnējās ietekmes </w:t>
      </w:r>
      <w:r w:rsidRPr="00D92592">
        <w:rPr>
          <w:b/>
          <w:sz w:val="28"/>
          <w:szCs w:val="28"/>
        </w:rPr>
        <w:t>novērtējuma ziņojums</w:t>
      </w:r>
      <w:bookmarkEnd w:id="2"/>
      <w:bookmarkEnd w:id="3"/>
      <w:r w:rsidR="008C335D">
        <w:rPr>
          <w:b/>
          <w:bCs/>
          <w:sz w:val="28"/>
          <w:szCs w:val="28"/>
        </w:rPr>
        <w:t xml:space="preserve"> </w:t>
      </w:r>
      <w:r w:rsidRPr="00D92592">
        <w:rPr>
          <w:b/>
          <w:sz w:val="28"/>
          <w:szCs w:val="28"/>
        </w:rPr>
        <w:t>(anotācija)</w:t>
      </w:r>
    </w:p>
    <w:tbl>
      <w:tblPr>
        <w:tblpPr w:leftFromText="180" w:rightFromText="180" w:vertAnchor="text" w:horzAnchor="margin" w:tblpXSpec="center" w:tblpY="14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141"/>
        <w:gridCol w:w="5953"/>
      </w:tblGrid>
      <w:tr w:rsidR="002154D4" w:rsidRPr="00D8580D" w:rsidTr="008C335D">
        <w:tc>
          <w:tcPr>
            <w:tcW w:w="9644" w:type="dxa"/>
            <w:gridSpan w:val="3"/>
            <w:vAlign w:val="center"/>
          </w:tcPr>
          <w:p w:rsidR="002154D4" w:rsidRPr="00D8580D" w:rsidRDefault="002154D4" w:rsidP="00C24635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2154D4" w:rsidRPr="00D8580D" w:rsidTr="008C335D">
        <w:trPr>
          <w:trHeight w:val="630"/>
        </w:trPr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Pamatojums</w:t>
            </w:r>
          </w:p>
        </w:tc>
        <w:tc>
          <w:tcPr>
            <w:tcW w:w="5953" w:type="dxa"/>
            <w:shd w:val="clear" w:color="auto" w:fill="auto"/>
          </w:tcPr>
          <w:p w:rsidR="002154D4" w:rsidRPr="00D8580D" w:rsidRDefault="002154D4" w:rsidP="001F3BF8">
            <w:pPr>
              <w:pStyle w:val="naiskr"/>
              <w:spacing w:before="0" w:after="0"/>
              <w:ind w:hanging="5"/>
              <w:jc w:val="both"/>
              <w:rPr>
                <w:sz w:val="28"/>
                <w:szCs w:val="28"/>
              </w:rPr>
            </w:pP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i/>
                <w:sz w:val="28"/>
                <w:szCs w:val="28"/>
              </w:rPr>
              <w:t xml:space="preserve"> </w:t>
            </w:r>
            <w:r w:rsidRPr="00D8580D">
              <w:rPr>
                <w:sz w:val="28"/>
                <w:szCs w:val="28"/>
              </w:rPr>
              <w:t xml:space="preserve">ieviešanas kārtības likuma 30.panta pirmā daļa un 32.panta otrās daļas </w:t>
            </w:r>
            <w:r w:rsidR="001F3BF8">
              <w:rPr>
                <w:sz w:val="28"/>
                <w:szCs w:val="28"/>
              </w:rPr>
              <w:t>2</w:t>
            </w:r>
            <w:r w:rsidRPr="00D8580D">
              <w:rPr>
                <w:sz w:val="28"/>
                <w:szCs w:val="28"/>
              </w:rPr>
              <w:t xml:space="preserve">.apakšpunkts, </w:t>
            </w:r>
            <w:r w:rsidR="009F74B7">
              <w:t xml:space="preserve"> </w:t>
            </w:r>
            <w:r w:rsidR="009F74B7" w:rsidRPr="009F74B7">
              <w:rPr>
                <w:sz w:val="28"/>
                <w:szCs w:val="28"/>
              </w:rPr>
              <w:t xml:space="preserve">Ministru kabineta 2013.gada 29.jūnija rīkojums Nr.212 „Par tiesību aktu grozījumu virzību saistībā ar </w:t>
            </w:r>
            <w:proofErr w:type="spellStart"/>
            <w:r w:rsidR="009F74B7" w:rsidRPr="009F74B7">
              <w:rPr>
                <w:sz w:val="28"/>
                <w:szCs w:val="28"/>
              </w:rPr>
              <w:t>euro</w:t>
            </w:r>
            <w:proofErr w:type="spellEnd"/>
            <w:r w:rsidR="009F74B7" w:rsidRPr="009F74B7">
              <w:rPr>
                <w:sz w:val="28"/>
                <w:szCs w:val="28"/>
              </w:rPr>
              <w:t xml:space="preserve"> ieviešanu Latvijā”</w:t>
            </w:r>
            <w:r w:rsidR="006B12F4">
              <w:rPr>
                <w:sz w:val="28"/>
                <w:szCs w:val="28"/>
              </w:rPr>
              <w:t xml:space="preserve"> 1.5.apakšpunkts</w:t>
            </w:r>
            <w:r w:rsidR="009F74B7" w:rsidRPr="009F74B7">
              <w:rPr>
                <w:sz w:val="28"/>
                <w:szCs w:val="28"/>
              </w:rPr>
              <w:t>.</w:t>
            </w:r>
            <w:r w:rsidR="009F74B7">
              <w:rPr>
                <w:sz w:val="28"/>
                <w:szCs w:val="28"/>
              </w:rPr>
              <w:t xml:space="preserve"> </w:t>
            </w:r>
          </w:p>
        </w:tc>
      </w:tr>
      <w:tr w:rsidR="002154D4" w:rsidRPr="00D8580D" w:rsidTr="008C335D">
        <w:trPr>
          <w:trHeight w:val="472"/>
        </w:trPr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953" w:type="dxa"/>
            <w:shd w:val="clear" w:color="auto" w:fill="auto"/>
          </w:tcPr>
          <w:p w:rsidR="00CC7914" w:rsidRPr="00D8580D" w:rsidRDefault="002154D4" w:rsidP="00CC791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 xml:space="preserve">Saskaņā ar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i/>
                <w:sz w:val="28"/>
                <w:szCs w:val="28"/>
              </w:rPr>
              <w:t xml:space="preserve"> </w:t>
            </w:r>
            <w:r w:rsidRPr="00D8580D">
              <w:rPr>
                <w:sz w:val="28"/>
                <w:szCs w:val="28"/>
              </w:rPr>
              <w:t xml:space="preserve">ieviešanas kārtības likuma 30.panta pirmo daļu ministrijas, Valsts kanceleja, Finanšu un kapitāla tirgus komisija un Latvijas Banka sagatavo to tiesību aktu grozījumu projektus, kurus nepieciešams pielāgot </w:t>
            </w:r>
            <w:proofErr w:type="spellStart"/>
            <w:r w:rsidRPr="00D8580D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 xml:space="preserve"> ieviešanai. </w:t>
            </w:r>
          </w:p>
          <w:p w:rsidR="00220692" w:rsidRPr="00D8580D" w:rsidRDefault="002154D4" w:rsidP="0022069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 xml:space="preserve">Šobrīd </w:t>
            </w:r>
            <w:r w:rsidR="00CC7914" w:rsidRPr="00D8580D">
              <w:rPr>
                <w:sz w:val="28"/>
                <w:szCs w:val="28"/>
              </w:rPr>
              <w:t xml:space="preserve">Ministru kabineta </w:t>
            </w:r>
            <w:r w:rsidR="00220692" w:rsidRPr="00D8580D">
              <w:rPr>
                <w:sz w:val="28"/>
                <w:szCs w:val="28"/>
              </w:rPr>
              <w:t xml:space="preserve">2013.gada 29.janvāra noteikumos Nr.61 „Noteikumi par parāda atgūšanas izdevumu pieļaujamo apmēru un izdevumiem, kuri nav atlīdzināmi” </w:t>
            </w:r>
            <w:r w:rsidRPr="00D8580D">
              <w:rPr>
                <w:sz w:val="28"/>
                <w:szCs w:val="28"/>
              </w:rPr>
              <w:t>(turpmāk – Ministru kabineta noteikumi Nr.</w:t>
            </w:r>
            <w:r w:rsidR="00220692" w:rsidRPr="00D8580D">
              <w:rPr>
                <w:sz w:val="28"/>
                <w:szCs w:val="28"/>
              </w:rPr>
              <w:t>61</w:t>
            </w:r>
            <w:r w:rsidRPr="00D8580D">
              <w:rPr>
                <w:sz w:val="28"/>
                <w:szCs w:val="28"/>
              </w:rPr>
              <w:t xml:space="preserve">) </w:t>
            </w:r>
            <w:r w:rsidR="00220692" w:rsidRPr="00D8580D">
              <w:rPr>
                <w:sz w:val="28"/>
                <w:szCs w:val="28"/>
              </w:rPr>
              <w:t xml:space="preserve">2.1. un 2.2.apakšpunkts nosaka parāda atgūšanas pakalpojumu izdevumu pieļaujamo apmēru latos. </w:t>
            </w:r>
          </w:p>
          <w:p w:rsidR="002154D4" w:rsidRPr="00D8580D" w:rsidRDefault="002154D4" w:rsidP="0022069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>, ir nepieciešams veikt grozījumu  Ministru kabineta noteikumos Nr.</w:t>
            </w:r>
            <w:r w:rsidR="00220692" w:rsidRPr="00D8580D">
              <w:rPr>
                <w:sz w:val="28"/>
                <w:szCs w:val="28"/>
              </w:rPr>
              <w:t>61</w:t>
            </w:r>
            <w:r w:rsidRPr="00D8580D">
              <w:rPr>
                <w:sz w:val="28"/>
                <w:szCs w:val="28"/>
              </w:rPr>
              <w:t xml:space="preserve">, aizstājot noteikumu projektā minētās atsauces uz latiem pret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>.</w:t>
            </w:r>
          </w:p>
        </w:tc>
      </w:tr>
      <w:tr w:rsidR="002154D4" w:rsidRPr="00D8580D" w:rsidTr="008C335D">
        <w:trPr>
          <w:trHeight w:val="736"/>
        </w:trPr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953" w:type="dxa"/>
            <w:shd w:val="clear" w:color="auto" w:fill="auto"/>
          </w:tcPr>
          <w:p w:rsidR="002154D4" w:rsidRPr="00D8580D" w:rsidRDefault="002154D4" w:rsidP="00CC7914">
            <w:pPr>
              <w:pStyle w:val="FootnoteText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Projekts šo jomu neskar.</w:t>
            </w:r>
          </w:p>
        </w:tc>
      </w:tr>
      <w:tr w:rsidR="002154D4" w:rsidRPr="00D8580D" w:rsidTr="008C335D">
        <w:trPr>
          <w:trHeight w:val="384"/>
        </w:trPr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4.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953" w:type="dxa"/>
            <w:shd w:val="clear" w:color="auto" w:fill="auto"/>
          </w:tcPr>
          <w:p w:rsidR="002154D4" w:rsidRPr="00D8580D" w:rsidRDefault="002154D4" w:rsidP="00CC7914">
            <w:pPr>
              <w:tabs>
                <w:tab w:val="left" w:pos="2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Noteikumu projekta mērķis ir pielāgot  Ministru kabineta noteikumus Nr.</w:t>
            </w:r>
            <w:r w:rsidR="007C23D3" w:rsidRPr="00D8580D">
              <w:rPr>
                <w:sz w:val="28"/>
                <w:szCs w:val="28"/>
              </w:rPr>
              <w:t>61</w:t>
            </w:r>
            <w:r w:rsidRPr="00D8580D">
              <w:rPr>
                <w:sz w:val="28"/>
                <w:szCs w:val="28"/>
              </w:rPr>
              <w:t xml:space="preserve">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 xml:space="preserve"> ieviešanai, svītrojot tajos atsauces uz latiem atbilstoši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 xml:space="preserve"> ieviešanas kārtības likumā noteiktajam.</w:t>
            </w:r>
          </w:p>
          <w:p w:rsidR="002F5DE4" w:rsidRDefault="001F3BF8" w:rsidP="00D8580D">
            <w:pPr>
              <w:tabs>
                <w:tab w:val="left" w:pos="268"/>
              </w:tabs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Saskaņā ar </w:t>
            </w:r>
            <w:proofErr w:type="spellStart"/>
            <w:r w:rsidRPr="001F3BF8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ieviešanas kārtības likuma 32.panta otrās daļas 2.apakšpunktu </w:t>
            </w:r>
            <w:r w:rsidR="00D8580D" w:rsidRPr="00D8580D">
              <w:rPr>
                <w:sz w:val="28"/>
                <w:szCs w:val="28"/>
              </w:rPr>
              <w:t xml:space="preserve">Ministru kabineta noteikumu Nr.61 2.1.apakšpunktā noteiktā summa </w:t>
            </w:r>
            <w:r w:rsidR="00295857">
              <w:rPr>
                <w:sz w:val="28"/>
                <w:szCs w:val="28"/>
              </w:rPr>
              <w:t xml:space="preserve">- </w:t>
            </w:r>
            <w:r w:rsidR="00D8580D" w:rsidRPr="00D8580D">
              <w:rPr>
                <w:sz w:val="28"/>
                <w:szCs w:val="28"/>
              </w:rPr>
              <w:t xml:space="preserve">5 lati </w:t>
            </w:r>
            <w:r w:rsidR="00295857">
              <w:rPr>
                <w:sz w:val="28"/>
                <w:szCs w:val="28"/>
              </w:rPr>
              <w:t xml:space="preserve">- </w:t>
            </w:r>
            <w:r w:rsidR="00D8580D" w:rsidRPr="00D8580D">
              <w:rPr>
                <w:sz w:val="28"/>
                <w:szCs w:val="28"/>
              </w:rPr>
              <w:t xml:space="preserve">konvertācijas rezultātā iegūtā summa  7,114359 </w:t>
            </w:r>
            <w:proofErr w:type="spellStart"/>
            <w:r w:rsidR="00D8580D" w:rsidRPr="00D8580D">
              <w:rPr>
                <w:sz w:val="28"/>
                <w:szCs w:val="28"/>
              </w:rPr>
              <w:t>euro</w:t>
            </w:r>
            <w:proofErr w:type="spellEnd"/>
            <w:r w:rsidR="00D8580D" w:rsidRPr="00D8580D">
              <w:rPr>
                <w:sz w:val="28"/>
                <w:szCs w:val="28"/>
              </w:rPr>
              <w:t xml:space="preserve"> ir noapaļota uz leju līdz 7 </w:t>
            </w:r>
            <w:proofErr w:type="spellStart"/>
            <w:r w:rsidR="00D8580D" w:rsidRPr="00D8580D">
              <w:rPr>
                <w:sz w:val="28"/>
                <w:szCs w:val="28"/>
              </w:rPr>
              <w:t>euro</w:t>
            </w:r>
            <w:proofErr w:type="spellEnd"/>
            <w:r w:rsidR="00295857">
              <w:rPr>
                <w:sz w:val="28"/>
                <w:szCs w:val="28"/>
              </w:rPr>
              <w:t xml:space="preserve"> par labu patērētājam (summa, ko varēs prasīt par 2.1.apakšpunktā noteiktajiem izdevumiem, tiek samazināta par </w:t>
            </w:r>
            <w:r w:rsidR="0004740E">
              <w:rPr>
                <w:sz w:val="28"/>
                <w:szCs w:val="28"/>
              </w:rPr>
              <w:t>0,</w:t>
            </w:r>
            <w:r w:rsidR="00295857">
              <w:rPr>
                <w:sz w:val="28"/>
                <w:szCs w:val="28"/>
              </w:rPr>
              <w:t xml:space="preserve">11 </w:t>
            </w:r>
            <w:proofErr w:type="spellStart"/>
            <w:r w:rsidR="00295857" w:rsidRPr="00295857">
              <w:rPr>
                <w:i/>
                <w:sz w:val="28"/>
                <w:szCs w:val="28"/>
              </w:rPr>
              <w:t>euro</w:t>
            </w:r>
            <w:proofErr w:type="spellEnd"/>
            <w:r w:rsidR="00295857">
              <w:rPr>
                <w:sz w:val="28"/>
                <w:szCs w:val="28"/>
              </w:rPr>
              <w:t>)</w:t>
            </w:r>
            <w:r w:rsidR="00D8580D" w:rsidRPr="00D8580D">
              <w:rPr>
                <w:sz w:val="28"/>
                <w:szCs w:val="28"/>
              </w:rPr>
              <w:t xml:space="preserve">. 2.2.apakšpunktā noteiktā summa 7 lati  konvertācijas rezultātā iegūtā summa   9,960103 </w:t>
            </w:r>
            <w:proofErr w:type="spellStart"/>
            <w:r w:rsidR="00D8580D" w:rsidRPr="00D8580D">
              <w:rPr>
                <w:sz w:val="28"/>
                <w:szCs w:val="28"/>
              </w:rPr>
              <w:t>euro</w:t>
            </w:r>
            <w:proofErr w:type="spellEnd"/>
            <w:r w:rsidR="00D8580D" w:rsidRPr="00D8580D">
              <w:rPr>
                <w:sz w:val="28"/>
                <w:szCs w:val="28"/>
              </w:rPr>
              <w:t xml:space="preserve"> ir no</w:t>
            </w:r>
            <w:r>
              <w:rPr>
                <w:sz w:val="28"/>
                <w:szCs w:val="28"/>
              </w:rPr>
              <w:t xml:space="preserve">apaļota uz augšu līdz 10 </w:t>
            </w:r>
            <w:proofErr w:type="spellStart"/>
            <w:r>
              <w:rPr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Noapaļojot summu uz augšu, ietekme uz sabiedrību ir minimāla un nebūtiska (noapaļots uz augšu par 0,04 </w:t>
            </w:r>
            <w:proofErr w:type="spellStart"/>
            <w:r w:rsidRPr="001F3BF8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), tādejādi nevar uzskatīt, ka tā ir personai nelabvēlīgāka par sākotnējo tiesību normu</w:t>
            </w:r>
            <w:r w:rsidR="0004740E">
              <w:rPr>
                <w:sz w:val="28"/>
                <w:szCs w:val="28"/>
              </w:rPr>
              <w:t>.</w:t>
            </w:r>
            <w:r w:rsidR="00295857">
              <w:rPr>
                <w:sz w:val="28"/>
                <w:szCs w:val="28"/>
              </w:rPr>
              <w:t xml:space="preserve"> </w:t>
            </w:r>
          </w:p>
          <w:p w:rsidR="00D8580D" w:rsidRPr="00D8580D" w:rsidRDefault="00D8580D" w:rsidP="00D8580D">
            <w:pPr>
              <w:tabs>
                <w:tab w:val="left" w:pos="2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 xml:space="preserve">Jāuzsver, ka noapaļotās summas </w:t>
            </w:r>
            <w:r w:rsidR="001F3BF8">
              <w:rPr>
                <w:sz w:val="28"/>
                <w:szCs w:val="28"/>
              </w:rPr>
              <w:t>noapaļotas</w:t>
            </w:r>
            <w:r w:rsidRPr="00D8580D">
              <w:rPr>
                <w:sz w:val="28"/>
                <w:szCs w:val="28"/>
              </w:rPr>
              <w:t xml:space="preserve"> uz augšu, gan uz leju</w:t>
            </w:r>
            <w:r w:rsidR="001F3BF8">
              <w:rPr>
                <w:sz w:val="28"/>
                <w:szCs w:val="28"/>
              </w:rPr>
              <w:t xml:space="preserve"> ar mērķi </w:t>
            </w:r>
            <w:r w:rsidRPr="00D8580D">
              <w:rPr>
                <w:sz w:val="28"/>
                <w:szCs w:val="28"/>
              </w:rPr>
              <w:t xml:space="preserve">saglabāt viegli uztveramu parāda atgūšanas pakalpojumu sniegšanas pieļaujamo izdevumu apmēru un atvieglotu kā tiesību piemērotāja darbu, tā parāda atgūšanas pakalpojuma sniedzēju un patērētāju izpratni par izdevumu pieļaujamo apmēru.  </w:t>
            </w:r>
          </w:p>
          <w:p w:rsidR="002154D4" w:rsidRPr="00D8580D" w:rsidRDefault="002154D4" w:rsidP="00D8580D">
            <w:pPr>
              <w:tabs>
                <w:tab w:val="left" w:pos="2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 xml:space="preserve">Paredzēts, ka noteikumu projektā noteiktās normas par lata aizstāšanu ar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 xml:space="preserve"> stājas spēkā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 xml:space="preserve"> ieviešanas di</w:t>
            </w:r>
            <w:r w:rsidR="00ED439B" w:rsidRPr="00D8580D">
              <w:rPr>
                <w:sz w:val="28"/>
                <w:szCs w:val="28"/>
              </w:rPr>
              <w:t xml:space="preserve">enā, </w:t>
            </w:r>
            <w:proofErr w:type="spellStart"/>
            <w:r w:rsidR="00ED439B" w:rsidRPr="00D8580D">
              <w:rPr>
                <w:sz w:val="28"/>
                <w:szCs w:val="28"/>
              </w:rPr>
              <w:t>t.i</w:t>
            </w:r>
            <w:proofErr w:type="spellEnd"/>
            <w:r w:rsidR="00ED439B" w:rsidRPr="00D8580D">
              <w:rPr>
                <w:sz w:val="28"/>
                <w:szCs w:val="28"/>
              </w:rPr>
              <w:t>., 2014.gada 1.janvārī.</w:t>
            </w:r>
          </w:p>
        </w:tc>
      </w:tr>
      <w:tr w:rsidR="002154D4" w:rsidRPr="00D8580D" w:rsidTr="008C335D">
        <w:trPr>
          <w:trHeight w:val="476"/>
        </w:trPr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953" w:type="dxa"/>
            <w:shd w:val="clear" w:color="auto" w:fill="auto"/>
          </w:tcPr>
          <w:p w:rsidR="002154D4" w:rsidRPr="00D8580D" w:rsidRDefault="002154D4" w:rsidP="00CC7914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Noteikumu projektu nepieciešams saskaņot ar Finanšu ministriju un Tieslietu ministriju.</w:t>
            </w:r>
          </w:p>
        </w:tc>
      </w:tr>
      <w:tr w:rsidR="002154D4" w:rsidRPr="00D8580D" w:rsidTr="008C335D">
        <w:trPr>
          <w:trHeight w:val="1340"/>
        </w:trPr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6.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D8580D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953" w:type="dxa"/>
            <w:shd w:val="clear" w:color="auto" w:fill="auto"/>
          </w:tcPr>
          <w:p w:rsidR="002154D4" w:rsidRPr="00D8580D" w:rsidRDefault="002154D4" w:rsidP="00CC7914">
            <w:pPr>
              <w:pStyle w:val="FootnoteText"/>
              <w:jc w:val="both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 xml:space="preserve">Sabiedrības līdzdalība noteikumu projekta izstrādē netika nodrošināta, jo projekts nemaina pastāvošo tiesisko regulējumu pēc būtības, bet tikai aizstāj latus ar </w:t>
            </w:r>
            <w:proofErr w:type="spellStart"/>
            <w:r w:rsidRPr="00D8580D">
              <w:rPr>
                <w:i/>
                <w:sz w:val="28"/>
                <w:szCs w:val="28"/>
              </w:rPr>
              <w:t>euro</w:t>
            </w:r>
            <w:proofErr w:type="spellEnd"/>
            <w:r w:rsidRPr="00D8580D">
              <w:rPr>
                <w:sz w:val="28"/>
                <w:szCs w:val="28"/>
              </w:rPr>
              <w:t>.</w:t>
            </w:r>
          </w:p>
        </w:tc>
      </w:tr>
      <w:tr w:rsidR="002154D4" w:rsidRPr="00D8580D" w:rsidTr="008C335D">
        <w:tc>
          <w:tcPr>
            <w:tcW w:w="550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7.</w:t>
            </w:r>
          </w:p>
        </w:tc>
        <w:tc>
          <w:tcPr>
            <w:tcW w:w="3141" w:type="dxa"/>
          </w:tcPr>
          <w:p w:rsidR="002154D4" w:rsidRPr="00D8580D" w:rsidRDefault="002154D4" w:rsidP="00C2463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8580D">
              <w:rPr>
                <w:sz w:val="28"/>
                <w:szCs w:val="28"/>
              </w:rPr>
              <w:t>Cita informācija</w:t>
            </w:r>
          </w:p>
        </w:tc>
        <w:tc>
          <w:tcPr>
            <w:tcW w:w="5953" w:type="dxa"/>
            <w:shd w:val="clear" w:color="auto" w:fill="auto"/>
          </w:tcPr>
          <w:p w:rsidR="002154D4" w:rsidRPr="00D8580D" w:rsidRDefault="00CE1AD1" w:rsidP="00CC7914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CE1AD1">
              <w:rPr>
                <w:sz w:val="28"/>
                <w:szCs w:val="28"/>
              </w:rPr>
              <w:t>Projekts šo jomu neskar.</w:t>
            </w:r>
          </w:p>
        </w:tc>
      </w:tr>
    </w:tbl>
    <w:p w:rsidR="002154D4" w:rsidRPr="00D8580D" w:rsidRDefault="002154D4" w:rsidP="002154D4">
      <w:pPr>
        <w:pStyle w:val="naisf"/>
        <w:spacing w:before="0" w:after="0"/>
        <w:rPr>
          <w:sz w:val="28"/>
          <w:szCs w:val="28"/>
        </w:rPr>
      </w:pPr>
    </w:p>
    <w:tbl>
      <w:tblPr>
        <w:tblW w:w="4977" w:type="pct"/>
        <w:tblInd w:w="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2539"/>
        <w:gridCol w:w="6674"/>
      </w:tblGrid>
      <w:tr w:rsidR="00ED439B" w:rsidRPr="00D8580D" w:rsidTr="00270797">
        <w:trPr>
          <w:trHeight w:val="30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II. Tiesību akta projekta ietekme uz sabiedrību</w:t>
            </w:r>
          </w:p>
        </w:tc>
      </w:tr>
      <w:tr w:rsidR="00ED439B" w:rsidRPr="00D8580D" w:rsidTr="00270797">
        <w:trPr>
          <w:trHeight w:val="594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D8580D">
              <w:rPr>
                <w:rFonts w:eastAsia="Times New Roman"/>
                <w:sz w:val="28"/>
                <w:szCs w:val="28"/>
                <w:lang w:eastAsia="lv-LV"/>
              </w:rPr>
              <w:t>mērķgrupa</w:t>
            </w:r>
            <w:proofErr w:type="spellEnd"/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7C23D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Noteikumu projektā ietvertās normas attiecas </w:t>
            </w:r>
            <w:r w:rsidR="007C23D3"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patērētājiem, pret kuriem tiek vērstas parādu atgūšanas darbības. </w:t>
            </w:r>
          </w:p>
        </w:tc>
      </w:tr>
      <w:tr w:rsidR="00ED439B" w:rsidRPr="00D8580D" w:rsidTr="00270797">
        <w:trPr>
          <w:trHeight w:val="1736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Citas sabiedrības grupas (bez </w:t>
            </w:r>
            <w:proofErr w:type="spellStart"/>
            <w:r w:rsidRPr="00D8580D">
              <w:rPr>
                <w:rFonts w:eastAsia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D8580D">
              <w:rPr>
                <w:rFonts w:eastAsia="Times New Roman"/>
                <w:sz w:val="28"/>
                <w:szCs w:val="28"/>
                <w:lang w:eastAsia="lv-LV"/>
              </w:rPr>
              <w:t>), kuras tiesiskais regulējums arī ietekmē vai varētu ietekmēt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7C23D3" w:rsidP="007C23D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Komersanti, kas sniedz parādu atgūšanas pakalpojumus.</w:t>
            </w:r>
          </w:p>
        </w:tc>
      </w:tr>
      <w:tr w:rsidR="00ED439B" w:rsidRPr="00D8580D" w:rsidTr="00270797">
        <w:trPr>
          <w:trHeight w:val="578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Tiesiskā regulējuma finansiālā ietekme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2F5DE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Projektā paredzētais regulējums, veicot </w:t>
            </w:r>
            <w:r w:rsidR="007C23D3" w:rsidRPr="00D8580D">
              <w:rPr>
                <w:rFonts w:eastAsia="Times New Roman"/>
                <w:sz w:val="28"/>
                <w:szCs w:val="28"/>
                <w:lang w:eastAsia="lv-LV"/>
              </w:rPr>
              <w:t>pieļaujamo izdevumu</w:t>
            </w:r>
            <w:r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 noapaļošanu, </w:t>
            </w:r>
            <w:r w:rsidR="007C23D3"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ir labvēlīgāks patērētājiem, pret kuriem vērstas parāda atgūšanas darbības. </w:t>
            </w:r>
            <w:r w:rsidRPr="00D8580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2F5DE4" w:rsidRPr="002F5DE4">
              <w:rPr>
                <w:rFonts w:eastAsia="Times New Roman"/>
                <w:sz w:val="28"/>
                <w:szCs w:val="28"/>
                <w:lang w:eastAsia="lv-LV"/>
              </w:rPr>
              <w:t>Kopējā</w:t>
            </w:r>
            <w:r w:rsidR="002F5DE4">
              <w:rPr>
                <w:rFonts w:eastAsia="Times New Roman"/>
                <w:sz w:val="28"/>
                <w:szCs w:val="28"/>
                <w:lang w:eastAsia="lv-LV"/>
              </w:rPr>
              <w:t xml:space="preserve"> izdevumu</w:t>
            </w:r>
            <w:r w:rsidR="002F5DE4" w:rsidRPr="002F5DE4">
              <w:rPr>
                <w:rFonts w:eastAsia="Times New Roman"/>
                <w:sz w:val="28"/>
                <w:szCs w:val="28"/>
                <w:lang w:eastAsia="lv-LV"/>
              </w:rPr>
              <w:t xml:space="preserve"> summa, kuru parādu atgūšanas pakalpojuma sniedzējs varēs pieprasīt segt,  noapaļošanas procesā tiek samazināta par 0,07 </w:t>
            </w:r>
            <w:proofErr w:type="spellStart"/>
            <w:r w:rsidR="002F5DE4" w:rsidRPr="002F5DE4">
              <w:rPr>
                <w:rFonts w:eastAsia="Times New Roman"/>
                <w:sz w:val="28"/>
                <w:szCs w:val="28"/>
                <w:lang w:eastAsia="lv-LV"/>
              </w:rPr>
              <w:t>euro</w:t>
            </w:r>
            <w:proofErr w:type="spellEnd"/>
            <w:r w:rsidR="002F5DE4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2F5DE4" w:rsidRPr="002F5DE4">
              <w:rPr>
                <w:rFonts w:eastAsia="Times New Roman"/>
                <w:sz w:val="28"/>
                <w:szCs w:val="28"/>
                <w:lang w:eastAsia="lv-LV"/>
              </w:rPr>
              <w:t xml:space="preserve">(12 lati noapaļoti uz 17 </w:t>
            </w:r>
            <w:proofErr w:type="spellStart"/>
            <w:r w:rsidR="002F5DE4" w:rsidRPr="002F5DE4">
              <w:rPr>
                <w:rFonts w:eastAsia="Times New Roman"/>
                <w:sz w:val="28"/>
                <w:szCs w:val="28"/>
                <w:lang w:eastAsia="lv-LV"/>
              </w:rPr>
              <w:t>euro</w:t>
            </w:r>
            <w:proofErr w:type="spellEnd"/>
            <w:r w:rsidR="002F5DE4" w:rsidRPr="002F5DE4">
              <w:rPr>
                <w:rFonts w:eastAsia="Times New Roman"/>
                <w:sz w:val="28"/>
                <w:szCs w:val="28"/>
                <w:lang w:eastAsia="lv-LV"/>
              </w:rPr>
              <w:t>).</w:t>
            </w:r>
          </w:p>
        </w:tc>
      </w:tr>
      <w:tr w:rsidR="00ED439B" w:rsidRPr="00D8580D" w:rsidTr="00270797">
        <w:trPr>
          <w:trHeight w:val="594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Tiesiskā regulējuma nefinansiālā ietekme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D439B" w:rsidRPr="00D8580D" w:rsidTr="00270797">
        <w:trPr>
          <w:trHeight w:val="883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Administratīvās procedūras raksturojums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D439B" w:rsidRPr="00D8580D" w:rsidTr="00270797">
        <w:trPr>
          <w:trHeight w:val="594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D439B" w:rsidRPr="00D8580D" w:rsidTr="00270797">
        <w:trPr>
          <w:trHeight w:val="305"/>
        </w:trPr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D8580D" w:rsidRDefault="00ED439B" w:rsidP="00C246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D8580D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CC7914" w:rsidRPr="00D8580D" w:rsidRDefault="00CC7914" w:rsidP="008C335D">
      <w:pPr>
        <w:pStyle w:val="NormalWeb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580D">
        <w:rPr>
          <w:rFonts w:ascii="Times New Roman" w:hAnsi="Times New Roman" w:cs="Times New Roman"/>
          <w:i/>
          <w:sz w:val="28"/>
          <w:szCs w:val="28"/>
        </w:rPr>
        <w:t>Anotācijas</w:t>
      </w:r>
      <w:proofErr w:type="spell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35D" w:rsidRPr="00D8580D">
        <w:rPr>
          <w:rFonts w:ascii="Times New Roman" w:hAnsi="Times New Roman" w:cs="Times New Roman"/>
          <w:i/>
          <w:sz w:val="28"/>
          <w:szCs w:val="28"/>
        </w:rPr>
        <w:t xml:space="preserve">III., </w:t>
      </w:r>
      <w:proofErr w:type="gramStart"/>
      <w:r w:rsidRPr="00D8580D">
        <w:rPr>
          <w:rFonts w:ascii="Times New Roman" w:hAnsi="Times New Roman" w:cs="Times New Roman"/>
          <w:i/>
          <w:sz w:val="28"/>
          <w:szCs w:val="28"/>
        </w:rPr>
        <w:t>IV.,</w:t>
      </w:r>
      <w:proofErr w:type="gram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V., VI. </w:t>
      </w:r>
      <w:proofErr w:type="gramStart"/>
      <w:r w:rsidRPr="00D8580D">
        <w:rPr>
          <w:rFonts w:ascii="Times New Roman" w:hAnsi="Times New Roman" w:cs="Times New Roman"/>
          <w:i/>
          <w:sz w:val="28"/>
          <w:szCs w:val="28"/>
        </w:rPr>
        <w:t>un</w:t>
      </w:r>
      <w:proofErr w:type="gram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VII. </w:t>
      </w:r>
      <w:proofErr w:type="spellStart"/>
      <w:proofErr w:type="gramStart"/>
      <w:r w:rsidRPr="00D8580D">
        <w:rPr>
          <w:rFonts w:ascii="Times New Roman" w:hAnsi="Times New Roman" w:cs="Times New Roman"/>
          <w:i/>
          <w:sz w:val="28"/>
          <w:szCs w:val="28"/>
        </w:rPr>
        <w:t>sadaļas</w:t>
      </w:r>
      <w:proofErr w:type="spellEnd"/>
      <w:proofErr w:type="gram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580D">
        <w:rPr>
          <w:rFonts w:ascii="Times New Roman" w:hAnsi="Times New Roman" w:cs="Times New Roman"/>
          <w:i/>
          <w:sz w:val="28"/>
          <w:szCs w:val="28"/>
        </w:rPr>
        <w:t>projekts</w:t>
      </w:r>
      <w:proofErr w:type="spell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580D">
        <w:rPr>
          <w:rFonts w:ascii="Times New Roman" w:hAnsi="Times New Roman" w:cs="Times New Roman"/>
          <w:i/>
          <w:sz w:val="28"/>
          <w:szCs w:val="28"/>
        </w:rPr>
        <w:t>šīs</w:t>
      </w:r>
      <w:proofErr w:type="spell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580D">
        <w:rPr>
          <w:rFonts w:ascii="Times New Roman" w:hAnsi="Times New Roman" w:cs="Times New Roman"/>
          <w:i/>
          <w:sz w:val="28"/>
          <w:szCs w:val="28"/>
        </w:rPr>
        <w:t>jomas</w:t>
      </w:r>
      <w:proofErr w:type="spellEnd"/>
      <w:r w:rsidRPr="00D858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580D">
        <w:rPr>
          <w:rFonts w:ascii="Times New Roman" w:hAnsi="Times New Roman" w:cs="Times New Roman"/>
          <w:i/>
          <w:sz w:val="28"/>
          <w:szCs w:val="28"/>
        </w:rPr>
        <w:t>neskar</w:t>
      </w:r>
      <w:proofErr w:type="spellEnd"/>
      <w:r w:rsidRPr="00D8580D">
        <w:rPr>
          <w:rFonts w:ascii="Times New Roman" w:hAnsi="Times New Roman" w:cs="Times New Roman"/>
          <w:i/>
          <w:sz w:val="28"/>
          <w:szCs w:val="28"/>
        </w:rPr>
        <w:t>.</w:t>
      </w:r>
    </w:p>
    <w:p w:rsidR="00CC7914" w:rsidRPr="00D8580D" w:rsidRDefault="00CC7914" w:rsidP="00CC7914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 xml:space="preserve">Pielikumā: MK noteikumu projektā ietvertā skaitļa pārrēķins no latiem uz </w:t>
      </w:r>
      <w:proofErr w:type="spellStart"/>
      <w:r w:rsidRPr="00D8580D">
        <w:rPr>
          <w:rFonts w:eastAsia="Times New Roman"/>
          <w:bCs/>
          <w:i/>
          <w:iCs/>
          <w:kern w:val="1"/>
          <w:sz w:val="28"/>
          <w:szCs w:val="28"/>
          <w:lang w:eastAsia="ar-SA"/>
        </w:rPr>
        <w:t>euro</w:t>
      </w:r>
      <w:proofErr w:type="spellEnd"/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 xml:space="preserve"> uz 1 lp.</w:t>
      </w:r>
    </w:p>
    <w:p w:rsidR="004F2AA5" w:rsidRPr="00D8580D" w:rsidRDefault="004F2AA5" w:rsidP="004F2AA5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CC7914" w:rsidRPr="00D8580D" w:rsidRDefault="00CC7914" w:rsidP="004F2AA5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>Ekonomikas ministrs</w:t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proofErr w:type="spellStart"/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>D.Pavļuts</w:t>
      </w:r>
      <w:proofErr w:type="spellEnd"/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>Iesniedzējs:</w:t>
      </w:r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>Ekonomikas ministrs</w:t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ab/>
      </w:r>
      <w:proofErr w:type="spellStart"/>
      <w:r w:rsidRPr="00D8580D">
        <w:rPr>
          <w:rFonts w:eastAsia="Times New Roman"/>
          <w:bCs/>
          <w:iCs/>
          <w:kern w:val="1"/>
          <w:sz w:val="28"/>
          <w:szCs w:val="28"/>
          <w:lang w:eastAsia="ar-SA"/>
        </w:rPr>
        <w:t>D.Pavļuts</w:t>
      </w:r>
      <w:proofErr w:type="spellEnd"/>
    </w:p>
    <w:p w:rsidR="00270797" w:rsidRPr="00D8580D" w:rsidRDefault="00270797" w:rsidP="00270797">
      <w:pPr>
        <w:spacing w:after="0" w:line="240" w:lineRule="auto"/>
        <w:rPr>
          <w:rFonts w:eastAsia="Times New Roman"/>
          <w:bCs/>
          <w:iCs/>
          <w:kern w:val="1"/>
          <w:sz w:val="28"/>
          <w:szCs w:val="28"/>
          <w:lang w:eastAsia="ar-SA"/>
        </w:rPr>
      </w:pPr>
    </w:p>
    <w:p w:rsidR="00EE6ABF" w:rsidRPr="00E412D5" w:rsidRDefault="00EE6ABF" w:rsidP="00EE6ABF">
      <w:pPr>
        <w:spacing w:after="0" w:line="240" w:lineRule="auto"/>
        <w:rPr>
          <w:sz w:val="28"/>
          <w:szCs w:val="28"/>
        </w:rPr>
      </w:pPr>
      <w:r w:rsidRPr="00E412D5">
        <w:rPr>
          <w:sz w:val="28"/>
          <w:szCs w:val="28"/>
        </w:rPr>
        <w:t>Vīza: Valsts sekretāra pienākumu izpildītājs,</w:t>
      </w:r>
    </w:p>
    <w:p w:rsidR="00EE6ABF" w:rsidRDefault="00EE6ABF" w:rsidP="00EE6ABF">
      <w:pPr>
        <w:spacing w:after="0" w:line="240" w:lineRule="auto"/>
        <w:rPr>
          <w:sz w:val="20"/>
          <w:szCs w:val="20"/>
        </w:rPr>
      </w:pPr>
      <w:r w:rsidRPr="00E412D5">
        <w:rPr>
          <w:sz w:val="28"/>
          <w:szCs w:val="28"/>
        </w:rPr>
        <w:t>valsts sekretāra vietnieks</w:t>
      </w:r>
      <w:r w:rsidRPr="00E412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2D5">
        <w:rPr>
          <w:sz w:val="28"/>
          <w:szCs w:val="28"/>
        </w:rPr>
        <w:t>A.Liepiņš</w:t>
      </w:r>
      <w:r w:rsidRPr="00E412D5">
        <w:rPr>
          <w:sz w:val="28"/>
          <w:szCs w:val="28"/>
        </w:rPr>
        <w:tab/>
      </w:r>
    </w:p>
    <w:p w:rsidR="004F2AA5" w:rsidRPr="00D8580D" w:rsidRDefault="004F2AA5" w:rsidP="004F2AA5">
      <w:pPr>
        <w:spacing w:after="0" w:line="240" w:lineRule="auto"/>
        <w:rPr>
          <w:sz w:val="28"/>
          <w:szCs w:val="28"/>
        </w:rPr>
      </w:pPr>
    </w:p>
    <w:p w:rsidR="004F2AA5" w:rsidRPr="00D8580D" w:rsidRDefault="004F2AA5" w:rsidP="004F2AA5">
      <w:pPr>
        <w:spacing w:after="0" w:line="240" w:lineRule="auto"/>
        <w:rPr>
          <w:sz w:val="28"/>
          <w:szCs w:val="28"/>
        </w:rPr>
      </w:pPr>
    </w:p>
    <w:p w:rsidR="009F5FAE" w:rsidRPr="00D8580D" w:rsidRDefault="009F5FAE" w:rsidP="009F5FA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5FAE" w:rsidRPr="00D8580D" w:rsidRDefault="00720316" w:rsidP="009F5FA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120A7">
        <w:rPr>
          <w:rFonts w:ascii="Times New Roman" w:hAnsi="Times New Roman" w:cs="Times New Roman"/>
          <w:sz w:val="20"/>
          <w:szCs w:val="20"/>
        </w:rPr>
        <w:t>.09</w:t>
      </w:r>
      <w:r w:rsidR="004F2649" w:rsidRPr="00D8580D">
        <w:rPr>
          <w:rFonts w:ascii="Times New Roman" w:hAnsi="Times New Roman" w:cs="Times New Roman"/>
          <w:sz w:val="20"/>
          <w:szCs w:val="20"/>
        </w:rPr>
        <w:t>.2013</w:t>
      </w:r>
    </w:p>
    <w:p w:rsidR="009F5FAE" w:rsidRPr="00D8580D" w:rsidRDefault="009F5FAE" w:rsidP="009F5FA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580D">
        <w:rPr>
          <w:rFonts w:ascii="Times New Roman" w:hAnsi="Times New Roman" w:cs="Times New Roman"/>
          <w:sz w:val="20"/>
          <w:szCs w:val="20"/>
        </w:rPr>
        <w:fldChar w:fldCharType="begin"/>
      </w:r>
      <w:r w:rsidRPr="00D8580D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D8580D">
        <w:rPr>
          <w:rFonts w:ascii="Times New Roman" w:hAnsi="Times New Roman" w:cs="Times New Roman"/>
          <w:sz w:val="20"/>
          <w:szCs w:val="20"/>
        </w:rPr>
        <w:fldChar w:fldCharType="separate"/>
      </w:r>
      <w:r w:rsidR="00BC5248">
        <w:rPr>
          <w:rFonts w:ascii="Times New Roman" w:hAnsi="Times New Roman" w:cs="Times New Roman"/>
          <w:noProof/>
          <w:sz w:val="20"/>
          <w:szCs w:val="20"/>
        </w:rPr>
        <w:t>574</w:t>
      </w:r>
      <w:r w:rsidRPr="00D8580D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9F5FAE" w:rsidRPr="00D8580D" w:rsidRDefault="009F5FAE" w:rsidP="009F5FAE">
      <w:pPr>
        <w:spacing w:after="0"/>
        <w:rPr>
          <w:sz w:val="20"/>
          <w:szCs w:val="20"/>
        </w:rPr>
      </w:pPr>
      <w:r w:rsidRPr="00D8580D">
        <w:rPr>
          <w:sz w:val="20"/>
          <w:szCs w:val="20"/>
        </w:rPr>
        <w:t>I.Peipiņa, 67013146</w:t>
      </w:r>
    </w:p>
    <w:p w:rsidR="009F5FAE" w:rsidRPr="00D8580D" w:rsidRDefault="009F5FAE" w:rsidP="009F5FAE">
      <w:pPr>
        <w:spacing w:after="0"/>
        <w:rPr>
          <w:sz w:val="20"/>
          <w:szCs w:val="20"/>
        </w:rPr>
      </w:pPr>
      <w:r w:rsidRPr="00D8580D">
        <w:rPr>
          <w:sz w:val="20"/>
          <w:szCs w:val="20"/>
        </w:rPr>
        <w:t>Ilze.Peipina@em.gov.lv</w:t>
      </w:r>
    </w:p>
    <w:p w:rsidR="00D8580D" w:rsidRDefault="00D8580D"/>
    <w:p w:rsidR="00D8580D" w:rsidRPr="00D8580D" w:rsidRDefault="00D8580D" w:rsidP="00D8580D"/>
    <w:p w:rsidR="00D8580D" w:rsidRPr="00D8580D" w:rsidRDefault="00D8580D" w:rsidP="00D8580D">
      <w:bookmarkStart w:id="4" w:name="_GoBack"/>
      <w:bookmarkEnd w:id="4"/>
    </w:p>
    <w:p w:rsidR="00D8580D" w:rsidRDefault="00D8580D" w:rsidP="00D8580D"/>
    <w:p w:rsidR="00172556" w:rsidRPr="00D8580D" w:rsidRDefault="00D8580D" w:rsidP="00D8580D">
      <w:pPr>
        <w:tabs>
          <w:tab w:val="left" w:pos="3900"/>
        </w:tabs>
      </w:pPr>
      <w:r>
        <w:tab/>
      </w:r>
    </w:p>
    <w:sectPr w:rsidR="00172556" w:rsidRPr="00D8580D" w:rsidSect="00270797">
      <w:headerReference w:type="default" r:id="rId8"/>
      <w:footerReference w:type="default" r:id="rId9"/>
      <w:footerReference w:type="first" r:id="rId10"/>
      <w:pgSz w:w="11906" w:h="16838" w:code="9"/>
      <w:pgMar w:top="709" w:right="1134" w:bottom="851" w:left="1134" w:header="567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25" w:rsidRDefault="00B36C25" w:rsidP="009F5FAE">
      <w:pPr>
        <w:spacing w:after="0" w:line="240" w:lineRule="auto"/>
      </w:pPr>
      <w:r>
        <w:separator/>
      </w:r>
    </w:p>
  </w:endnote>
  <w:endnote w:type="continuationSeparator" w:id="0">
    <w:p w:rsidR="00B36C25" w:rsidRDefault="00B36C25" w:rsidP="009F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4" w:rsidRPr="008261D8" w:rsidRDefault="009F5FAE" w:rsidP="00AB24C4">
    <w:pPr>
      <w:jc w:val="both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FILENAME   \* MERGEFORMAT </w:instrText>
    </w:r>
    <w:r>
      <w:rPr>
        <w:bCs/>
        <w:sz w:val="20"/>
        <w:szCs w:val="20"/>
      </w:rPr>
      <w:fldChar w:fldCharType="separate"/>
    </w:r>
    <w:r w:rsidR="00BC5248">
      <w:rPr>
        <w:bCs/>
        <w:noProof/>
        <w:sz w:val="20"/>
        <w:szCs w:val="20"/>
      </w:rPr>
      <w:t>EMAnot_180913_grozMKnot_61</w:t>
    </w:r>
    <w:r>
      <w:rPr>
        <w:bCs/>
        <w:sz w:val="20"/>
        <w:szCs w:val="20"/>
      </w:rPr>
      <w:fldChar w:fldCharType="end"/>
    </w:r>
    <w:r w:rsidR="002006B3" w:rsidRPr="00AB24C4">
      <w:rPr>
        <w:bCs/>
        <w:sz w:val="20"/>
        <w:szCs w:val="20"/>
      </w:rPr>
      <w:t>;</w:t>
    </w:r>
    <w:r w:rsidR="002006B3" w:rsidRPr="00BE2B8E">
      <w:rPr>
        <w:b/>
        <w:bCs/>
        <w:sz w:val="20"/>
        <w:szCs w:val="20"/>
      </w:rPr>
      <w:t xml:space="preserve"> </w:t>
    </w:r>
    <w:r w:rsidR="008C335D" w:rsidRPr="008C335D">
      <w:rPr>
        <w:bCs/>
        <w:sz w:val="20"/>
        <w:szCs w:val="20"/>
      </w:rPr>
      <w:t>Noteikumu projekta „Grozījumi Ministru kabineta 2013.gada 29.janvāra noteikumos Nr.61 „Noteikumi par parāda atgūšanas izdevumu pieļaujamo apmēru un izdevumiem, kuri nav atlīdzināmi”” sākotnējās ietekmes novērtējuma ziņojums (anotācija)</w:t>
    </w:r>
  </w:p>
  <w:p w:rsidR="005F2B79" w:rsidRPr="00C91121" w:rsidRDefault="00B36C25" w:rsidP="00AB24C4">
    <w:pPr>
      <w:pStyle w:val="Heading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79" w:rsidRPr="00586A68" w:rsidRDefault="00586A68" w:rsidP="00586A68">
    <w:pPr>
      <w:jc w:val="both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FILENAME   \* MERGEFORMAT </w:instrText>
    </w:r>
    <w:r>
      <w:rPr>
        <w:bCs/>
        <w:sz w:val="20"/>
        <w:szCs w:val="20"/>
      </w:rPr>
      <w:fldChar w:fldCharType="separate"/>
    </w:r>
    <w:r w:rsidR="00BC5248">
      <w:rPr>
        <w:bCs/>
        <w:noProof/>
        <w:sz w:val="20"/>
        <w:szCs w:val="20"/>
      </w:rPr>
      <w:t>EMAnot_180913_grozMKnot_61</w:t>
    </w:r>
    <w:r>
      <w:rPr>
        <w:bCs/>
        <w:sz w:val="20"/>
        <w:szCs w:val="20"/>
      </w:rPr>
      <w:fldChar w:fldCharType="end"/>
    </w:r>
    <w:r w:rsidRPr="00AB24C4">
      <w:rPr>
        <w:bCs/>
        <w:sz w:val="20"/>
        <w:szCs w:val="20"/>
      </w:rPr>
      <w:t>;</w:t>
    </w:r>
    <w:r w:rsidRPr="00BE2B8E">
      <w:rPr>
        <w:b/>
        <w:bCs/>
        <w:sz w:val="20"/>
        <w:szCs w:val="20"/>
      </w:rPr>
      <w:t xml:space="preserve"> </w:t>
    </w:r>
    <w:r w:rsidR="008C335D" w:rsidRPr="008C335D">
      <w:rPr>
        <w:bCs/>
        <w:sz w:val="20"/>
        <w:szCs w:val="20"/>
      </w:rPr>
      <w:t>Noteikumu projekta „Grozījumi Ministru kabineta 2013.gada 29.janvāra noteikumos Nr.61 „Noteikumi par parāda atgūšanas izdevumu pieļaujamo apmēru un izdevumiem, kuri nav atlīdzināmi””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25" w:rsidRDefault="00B36C25" w:rsidP="009F5FAE">
      <w:pPr>
        <w:spacing w:after="0" w:line="240" w:lineRule="auto"/>
      </w:pPr>
      <w:r>
        <w:separator/>
      </w:r>
    </w:p>
  </w:footnote>
  <w:footnote w:type="continuationSeparator" w:id="0">
    <w:p w:rsidR="00B36C25" w:rsidRDefault="00B36C25" w:rsidP="009F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79" w:rsidRDefault="00200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248">
      <w:rPr>
        <w:noProof/>
      </w:rPr>
      <w:t>3</w:t>
    </w:r>
    <w:r>
      <w:rPr>
        <w:noProof/>
      </w:rPr>
      <w:fldChar w:fldCharType="end"/>
    </w:r>
  </w:p>
  <w:p w:rsidR="005F2B79" w:rsidRDefault="00B36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9F8"/>
    <w:multiLevelType w:val="hybridMultilevel"/>
    <w:tmpl w:val="B3508D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5"/>
    <w:rsid w:val="000120A7"/>
    <w:rsid w:val="0004740E"/>
    <w:rsid w:val="000641AE"/>
    <w:rsid w:val="001710AF"/>
    <w:rsid w:val="001C7737"/>
    <w:rsid w:val="001F3BF8"/>
    <w:rsid w:val="002006B3"/>
    <w:rsid w:val="002154D4"/>
    <w:rsid w:val="00220692"/>
    <w:rsid w:val="00230D1F"/>
    <w:rsid w:val="00270797"/>
    <w:rsid w:val="00295857"/>
    <w:rsid w:val="002F5DE4"/>
    <w:rsid w:val="0036070F"/>
    <w:rsid w:val="00360BC1"/>
    <w:rsid w:val="00417D7A"/>
    <w:rsid w:val="004F2649"/>
    <w:rsid w:val="004F2AA5"/>
    <w:rsid w:val="00586A68"/>
    <w:rsid w:val="005C26CC"/>
    <w:rsid w:val="005D5E94"/>
    <w:rsid w:val="005E140B"/>
    <w:rsid w:val="00630CE6"/>
    <w:rsid w:val="006B12F4"/>
    <w:rsid w:val="00720316"/>
    <w:rsid w:val="00722ED1"/>
    <w:rsid w:val="007C23D3"/>
    <w:rsid w:val="008C335D"/>
    <w:rsid w:val="008D74BE"/>
    <w:rsid w:val="0098300C"/>
    <w:rsid w:val="00984E6C"/>
    <w:rsid w:val="009C0E59"/>
    <w:rsid w:val="009F5FAE"/>
    <w:rsid w:val="009F74B7"/>
    <w:rsid w:val="00A80337"/>
    <w:rsid w:val="00AA291C"/>
    <w:rsid w:val="00AE40C3"/>
    <w:rsid w:val="00B36C25"/>
    <w:rsid w:val="00BA4ABD"/>
    <w:rsid w:val="00BC5248"/>
    <w:rsid w:val="00BF5FAD"/>
    <w:rsid w:val="00CB2174"/>
    <w:rsid w:val="00CC7914"/>
    <w:rsid w:val="00CE1AD1"/>
    <w:rsid w:val="00D8580D"/>
    <w:rsid w:val="00E22200"/>
    <w:rsid w:val="00E523AB"/>
    <w:rsid w:val="00ED439B"/>
    <w:rsid w:val="00E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A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2AA5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aisnod">
    <w:name w:val="naisnod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lab">
    <w:name w:val="naislab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2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NormalWeb">
    <w:name w:val="Normal (Web)"/>
    <w:basedOn w:val="Normal"/>
    <w:uiPriority w:val="99"/>
    <w:rsid w:val="004F2AA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2AA5"/>
    <w:pPr>
      <w:spacing w:after="0" w:line="240" w:lineRule="auto"/>
      <w:ind w:left="720"/>
    </w:pPr>
    <w:rPr>
      <w:rFonts w:ascii="Calibri" w:hAnsi="Calibri"/>
      <w:sz w:val="22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5FAE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FAE"/>
  </w:style>
  <w:style w:type="paragraph" w:styleId="BalloonText">
    <w:name w:val="Balloon Text"/>
    <w:basedOn w:val="Normal"/>
    <w:link w:val="BalloonTextChar"/>
    <w:uiPriority w:val="99"/>
    <w:semiHidden/>
    <w:unhideWhenUsed/>
    <w:rsid w:val="009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AE"/>
    <w:rPr>
      <w:rFonts w:ascii="Tahoma" w:eastAsia="Calibri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F5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AE"/>
    <w:rPr>
      <w:rFonts w:ascii="Times New Roman" w:eastAsia="Calibri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semiHidden/>
    <w:rsid w:val="002154D4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154D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tv2133">
    <w:name w:val="tv2133"/>
    <w:basedOn w:val="Normal"/>
    <w:rsid w:val="002154D4"/>
    <w:pPr>
      <w:spacing w:after="0" w:line="360" w:lineRule="auto"/>
      <w:ind w:firstLine="324"/>
    </w:pPr>
    <w:rPr>
      <w:rFonts w:eastAsia="Times New Roman"/>
      <w:color w:val="414142"/>
      <w:sz w:val="21"/>
      <w:szCs w:val="21"/>
      <w:lang w:eastAsia="lv-LV"/>
    </w:rPr>
  </w:style>
  <w:style w:type="paragraph" w:customStyle="1" w:styleId="naispant">
    <w:name w:val="naispant"/>
    <w:basedOn w:val="Normal"/>
    <w:rsid w:val="002154D4"/>
    <w:pPr>
      <w:spacing w:before="300" w:after="150" w:line="240" w:lineRule="auto"/>
      <w:ind w:left="375" w:firstLine="375"/>
      <w:jc w:val="both"/>
    </w:pPr>
    <w:rPr>
      <w:rFonts w:eastAsia="Times New Roman"/>
      <w:b/>
      <w:bCs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A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2AA5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aisnod">
    <w:name w:val="naisnod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lab">
    <w:name w:val="naislab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2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NormalWeb">
    <w:name w:val="Normal (Web)"/>
    <w:basedOn w:val="Normal"/>
    <w:uiPriority w:val="99"/>
    <w:rsid w:val="004F2AA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2AA5"/>
    <w:pPr>
      <w:spacing w:after="0" w:line="240" w:lineRule="auto"/>
      <w:ind w:left="720"/>
    </w:pPr>
    <w:rPr>
      <w:rFonts w:ascii="Calibri" w:hAnsi="Calibri"/>
      <w:sz w:val="22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5FAE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FAE"/>
  </w:style>
  <w:style w:type="paragraph" w:styleId="BalloonText">
    <w:name w:val="Balloon Text"/>
    <w:basedOn w:val="Normal"/>
    <w:link w:val="BalloonTextChar"/>
    <w:uiPriority w:val="99"/>
    <w:semiHidden/>
    <w:unhideWhenUsed/>
    <w:rsid w:val="009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AE"/>
    <w:rPr>
      <w:rFonts w:ascii="Tahoma" w:eastAsia="Calibri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F5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AE"/>
    <w:rPr>
      <w:rFonts w:ascii="Times New Roman" w:eastAsia="Calibri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semiHidden/>
    <w:rsid w:val="002154D4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154D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tv2133">
    <w:name w:val="tv2133"/>
    <w:basedOn w:val="Normal"/>
    <w:rsid w:val="002154D4"/>
    <w:pPr>
      <w:spacing w:after="0" w:line="360" w:lineRule="auto"/>
      <w:ind w:firstLine="324"/>
    </w:pPr>
    <w:rPr>
      <w:rFonts w:eastAsia="Times New Roman"/>
      <w:color w:val="414142"/>
      <w:sz w:val="21"/>
      <w:szCs w:val="21"/>
      <w:lang w:eastAsia="lv-LV"/>
    </w:rPr>
  </w:style>
  <w:style w:type="paragraph" w:customStyle="1" w:styleId="naispant">
    <w:name w:val="naispant"/>
    <w:basedOn w:val="Normal"/>
    <w:rsid w:val="002154D4"/>
    <w:pPr>
      <w:spacing w:before="300" w:after="150" w:line="240" w:lineRule="auto"/>
      <w:ind w:left="375" w:firstLine="375"/>
      <w:jc w:val="both"/>
    </w:pPr>
    <w:rPr>
      <w:rFonts w:eastAsia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3999</Characters>
  <Application>Microsoft Office Word</Application>
  <DocSecurity>0</DocSecurity>
  <Lines>153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„Grozījumi Ministru kabineta 2013.gada 29.janvāra noteikumos Nr.61 „Noteikumi par parāda atgūšanas izdevumu pieļaujamo apmēru un izdevumiem, kuri nav atlīdzināmi”” sākotnējās ietekmes novērtējuma ziņojums (anotācija)</vt:lpstr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„Grozījumi Ministru kabineta 2013.gada 29.janvāra noteikumos Nr.61 „Noteikumi par parāda atgūšanas izdevumu pieļaujamo apmēru un izdevumiem, kuri nav atlīdzināmi”” sākotnējās ietekmes novērtējuma ziņojums (anotācija)</dc:title>
  <dc:creator>Ilze Peipiņa</dc:creator>
  <dc:description>Ilze Peipiņa, Ilze.Peipina@gmail.com, 67013146</dc:description>
  <cp:lastModifiedBy>Ilze Peipiņa</cp:lastModifiedBy>
  <cp:revision>5</cp:revision>
  <cp:lastPrinted>2013-09-18T09:19:00Z</cp:lastPrinted>
  <dcterms:created xsi:type="dcterms:W3CDTF">2013-09-17T13:31:00Z</dcterms:created>
  <dcterms:modified xsi:type="dcterms:W3CDTF">2013-09-18T09:31:00Z</dcterms:modified>
</cp:coreProperties>
</file>