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9" w:rsidRPr="007F1971" w:rsidRDefault="00A43A49" w:rsidP="00B953FD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9"/>
      <w:bookmarkStart w:id="1" w:name="OLE_LINK10"/>
      <w:bookmarkStart w:id="2" w:name="OLE_LINK3"/>
      <w:bookmarkStart w:id="3" w:name="OLE_LINK4"/>
      <w:r w:rsidRPr="007F1971">
        <w:rPr>
          <w:bCs/>
          <w:sz w:val="28"/>
          <w:szCs w:val="28"/>
        </w:rPr>
        <w:t>Ministru kabineta noteikumu projekta</w:t>
      </w:r>
    </w:p>
    <w:p w:rsidR="00E14FD1" w:rsidRPr="007F1971" w:rsidRDefault="00E14FD1" w:rsidP="00B953FD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4" w:name="OLE_LINK1"/>
      <w:bookmarkStart w:id="5" w:name="OLE_LINK2"/>
      <w:bookmarkStart w:id="6" w:name="OLE_LINK11"/>
      <w:bookmarkStart w:id="7" w:name="OLE_LINK12"/>
      <w:r w:rsidRPr="007F1971">
        <w:rPr>
          <w:b/>
          <w:bCs/>
          <w:sz w:val="28"/>
          <w:szCs w:val="28"/>
        </w:rPr>
        <w:t xml:space="preserve"> „</w:t>
      </w:r>
      <w:r w:rsidR="00D15CF8" w:rsidRPr="00D15CF8">
        <w:rPr>
          <w:b/>
          <w:bCs/>
          <w:sz w:val="28"/>
          <w:szCs w:val="28"/>
        </w:rPr>
        <w:t>Grozījumi Ministru kabineta 2004.gada 2.marta noteikumos Nr.119 „Noteikumi par mājsaimniecības cepeškrāšņu marķēšanu un distanc</w:t>
      </w:r>
      <w:r w:rsidR="00D15CF8">
        <w:rPr>
          <w:b/>
          <w:bCs/>
          <w:sz w:val="28"/>
          <w:szCs w:val="28"/>
        </w:rPr>
        <w:t>es līgumā ietveramo informāciju</w:t>
      </w:r>
      <w:r w:rsidR="003B788B" w:rsidRPr="007F1971">
        <w:rPr>
          <w:b/>
          <w:bCs/>
          <w:sz w:val="28"/>
          <w:szCs w:val="28"/>
        </w:rPr>
        <w:t>””</w:t>
      </w:r>
    </w:p>
    <w:bookmarkEnd w:id="4"/>
    <w:bookmarkEnd w:id="5"/>
    <w:p w:rsidR="00A43A49" w:rsidRDefault="00B953FD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7F1971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="00234DEC" w:rsidRPr="007F19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A43A49" w:rsidRPr="007F197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ziņojums (anotācija)</w:t>
      </w:r>
      <w:bookmarkEnd w:id="0"/>
      <w:bookmarkEnd w:id="1"/>
      <w:bookmarkEnd w:id="6"/>
      <w:bookmarkEnd w:id="7"/>
      <w:r w:rsidRPr="00FE5C68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ab/>
      </w:r>
    </w:p>
    <w:bookmarkEnd w:id="2"/>
    <w:bookmarkEnd w:id="3"/>
    <w:p w:rsidR="007F1971" w:rsidRDefault="007F1971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9"/>
        <w:gridCol w:w="1931"/>
        <w:gridCol w:w="7245"/>
      </w:tblGrid>
      <w:tr w:rsidR="007F1971" w:rsidRPr="00474B12" w:rsidTr="00862556">
        <w:trPr>
          <w:trHeight w:val="29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F1971" w:rsidRPr="007F1971" w:rsidRDefault="007F1971" w:rsidP="00862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I. Tiesību akta projekta izstrādes nepieciešamība</w:t>
            </w:r>
          </w:p>
        </w:tc>
      </w:tr>
      <w:tr w:rsidR="007F1971" w:rsidRPr="009C6CAE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Pamatojums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Noteikumu projekts sagatavots saskaņā ar Patērētāju tiesību aizsardzības likuma 10.panta ceturto daļu un 21.panta pirmo daļu.</w:t>
            </w:r>
          </w:p>
        </w:tc>
      </w:tr>
      <w:tr w:rsidR="007F1971" w:rsidRPr="00474B12" w:rsidTr="00B942F6">
        <w:trPr>
          <w:trHeight w:val="702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Pašreizējā situācija un problēmas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2E3" w:rsidRDefault="000962E3" w:rsidP="000962E3">
            <w:pPr>
              <w:spacing w:after="0"/>
              <w:ind w:firstLine="69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2010.gada 18.jūnijā Eiropas Savienības Oficiālajā vēstnesī L153/1 publicēta </w:t>
            </w:r>
            <w:r w:rsidRPr="00B932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Eiropas Parlamenta un Padomes 2010.gada  19.maija Direktīva </w:t>
            </w:r>
            <w:r w:rsidRPr="009E6DF1">
              <w:rPr>
                <w:rFonts w:ascii="Times New Roman" w:hAnsi="Times New Roman"/>
                <w:sz w:val="24"/>
                <w:szCs w:val="24"/>
                <w:lang w:eastAsia="lv-LV"/>
              </w:rPr>
              <w:t>2010/30/ES</w:t>
            </w:r>
            <w:r w:rsidRPr="00B932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93265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par enerģijas un citu resursu patēriņu norādīšanu ražojumiem, kas saistīti ar energopatēriņu, izmantojot etiķetes un standarta informāciju par precēm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E80981">
              <w:rPr>
                <w:rFonts w:ascii="Times New Roman" w:hAnsi="Times New Roman"/>
                <w:sz w:val="24"/>
                <w:szCs w:val="24"/>
                <w:lang w:eastAsia="lv-LV"/>
              </w:rPr>
              <w:t>(turpmāk – Direktīva 2010/30/ES)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0962E3" w:rsidRPr="00703E60" w:rsidRDefault="00703E60" w:rsidP="0086255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Direktīva 2010/30ES no 2011.gada 21.jūlija atceļ </w:t>
            </w:r>
            <w:r w:rsidRPr="00703E60">
              <w:rPr>
                <w:rFonts w:ascii="Times New Roman" w:hAnsi="Times New Roman" w:cs="Times New Roman"/>
                <w:sz w:val="24"/>
              </w:rPr>
              <w:t xml:space="preserve">Padomes 1992.gada 22.septembra Direktīva 92/75/EEK </w:t>
            </w:r>
            <w:r w:rsidRPr="00703E60">
              <w:rPr>
                <w:rFonts w:ascii="Times New Roman" w:hAnsi="Times New Roman" w:cs="Times New Roman"/>
                <w:i/>
                <w:sz w:val="24"/>
              </w:rPr>
              <w:t>par sadzīves tehnikas enerģijas un citu resursu patēriņa norādīšanu, izmantojot etiķetes un s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tandarta informāciju par precēm </w:t>
            </w:r>
            <w:r w:rsidRPr="00703E60">
              <w:rPr>
                <w:rFonts w:ascii="Times New Roman" w:hAnsi="Times New Roman" w:cs="Times New Roman"/>
                <w:sz w:val="24"/>
              </w:rPr>
              <w:t>(turpmāk – Direktīva 92/75/EEK).</w:t>
            </w:r>
          </w:p>
          <w:p w:rsidR="00B942F6" w:rsidRDefault="00B942F6" w:rsidP="00862556">
            <w:pPr>
              <w:spacing w:after="0"/>
              <w:ind w:firstLine="69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Direktīvas prasības dalībvalstīm jāpiemēro no 2011.gada 20.jūlija.</w:t>
            </w:r>
          </w:p>
          <w:p w:rsidR="007F1971" w:rsidRPr="00703E60" w:rsidRDefault="00703E60" w:rsidP="0086255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Pamatojoties uz minēto, izstrādāts </w:t>
            </w:r>
            <w:r w:rsidR="007F1971" w:rsidRPr="007F1971">
              <w:rPr>
                <w:rFonts w:ascii="Times New Roman" w:hAnsi="Times New Roman" w:cs="Times New Roman"/>
                <w:sz w:val="24"/>
              </w:rPr>
              <w:t xml:space="preserve">Ministru kabineta noteikumu </w:t>
            </w:r>
            <w:r w:rsidR="00A53819">
              <w:rPr>
                <w:rFonts w:ascii="Times New Roman" w:hAnsi="Times New Roman" w:cs="Times New Roman"/>
                <w:sz w:val="24"/>
              </w:rPr>
              <w:t xml:space="preserve">projekts </w:t>
            </w:r>
            <w:r w:rsidR="000F521D" w:rsidRPr="000F521D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350A96">
              <w:t xml:space="preserve"> </w:t>
            </w:r>
            <w:r w:rsidR="00350A96" w:rsidRPr="00350A96">
              <w:rPr>
                <w:rFonts w:ascii="Times New Roman" w:hAnsi="Times New Roman" w:cs="Times New Roman"/>
                <w:i/>
                <w:sz w:val="24"/>
              </w:rPr>
              <w:t>Grozījumi Ministru kabineta 2004.gada 2.marta noteikumos Nr.119 „Noteikumi par mājsaimniecības cepeškrāšņu marķēšanu un distances līgumā ietveramo informāciju</w:t>
            </w:r>
            <w:r>
              <w:rPr>
                <w:rFonts w:ascii="Times New Roman" w:hAnsi="Times New Roman" w:cs="Times New Roman"/>
                <w:i/>
                <w:sz w:val="24"/>
              </w:rPr>
              <w:t>”</w:t>
            </w:r>
            <w:r w:rsidR="00A53819" w:rsidRPr="00703E60">
              <w:rPr>
                <w:rFonts w:ascii="Times New Roman" w:hAnsi="Times New Roman" w:cs="Times New Roman"/>
                <w:i/>
                <w:sz w:val="24"/>
                <w:lang w:val="lv-LV"/>
              </w:rPr>
              <w:t>”</w:t>
            </w:r>
            <w:r w:rsidR="007F1971" w:rsidRPr="00703E60">
              <w:rPr>
                <w:rFonts w:ascii="Times New Roman" w:hAnsi="Times New Roman" w:cs="Times New Roman"/>
                <w:i/>
                <w:sz w:val="24"/>
                <w:lang w:val="lv-LV"/>
              </w:rPr>
              <w:t xml:space="preserve"> </w:t>
            </w:r>
            <w:r w:rsidR="007F1971" w:rsidRPr="00703E60">
              <w:rPr>
                <w:rFonts w:ascii="Times New Roman" w:hAnsi="Times New Roman" w:cs="Times New Roman"/>
                <w:sz w:val="24"/>
                <w:lang w:val="lv-LV"/>
              </w:rPr>
              <w:t>(turpmāk – noteikumu projekts)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.</w:t>
            </w:r>
          </w:p>
          <w:p w:rsidR="000F521D" w:rsidRPr="00B942F6" w:rsidRDefault="009E6DF1" w:rsidP="00350A9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>Direktīvas 9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2/75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>/EEK</w:t>
            </w:r>
            <w:r w:rsidR="00311EB5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 xml:space="preserve">prasības pārņemtas ar Ministru kabineta </w:t>
            </w:r>
            <w:r w:rsidR="00350A96" w:rsidRPr="00350A96">
              <w:rPr>
                <w:rFonts w:ascii="Times New Roman" w:hAnsi="Times New Roman" w:cs="Times New Roman"/>
                <w:sz w:val="24"/>
                <w:lang w:val="lv-LV"/>
              </w:rPr>
              <w:t xml:space="preserve">2004.gada 2.marta noteikumos Nr.119 „Noteikumi par mājsaimniecības cepeškrāšņu marķēšanu un distances līgumā ietveramo informāciju” 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>(turpmāk – Noteikumi Nr.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  <w:r w:rsidR="00350A96">
              <w:rPr>
                <w:rFonts w:ascii="Times New Roman" w:hAnsi="Times New Roman" w:cs="Times New Roman"/>
                <w:sz w:val="24"/>
                <w:lang w:val="lv-LV"/>
              </w:rPr>
              <w:t>19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 xml:space="preserve">). 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>Pašreiz spēkā esošie Noteikumi Nr.</w:t>
            </w:r>
            <w:r w:rsidR="00703E60" w:rsidRPr="00703E60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  <w:r w:rsidR="00350A96">
              <w:rPr>
                <w:rFonts w:ascii="Times New Roman" w:hAnsi="Times New Roman" w:cs="Times New Roman"/>
                <w:sz w:val="24"/>
                <w:lang w:val="lv-LV"/>
              </w:rPr>
              <w:t>19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 nosaka Latvijas tirgū piedāvāt</w:t>
            </w:r>
            <w:r w:rsidR="00350A96">
              <w:rPr>
                <w:rFonts w:ascii="Times New Roman" w:hAnsi="Times New Roman" w:cs="Times New Roman"/>
                <w:sz w:val="24"/>
                <w:lang w:val="lv-LV"/>
              </w:rPr>
              <w:t>ā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s mājsaimniecības </w:t>
            </w:r>
            <w:r w:rsidR="00350A96">
              <w:rPr>
                <w:rFonts w:ascii="Times New Roman" w:hAnsi="Times New Roman" w:cs="Times New Roman"/>
                <w:sz w:val="24"/>
                <w:lang w:val="lv-LV"/>
              </w:rPr>
              <w:t>cepeškrāsnis, kurā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m nepieciešams 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īpašs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 marķējums, to marķēšanas kārtību un distances līgumā ietveramo informāciju.</w:t>
            </w:r>
          </w:p>
        </w:tc>
      </w:tr>
      <w:tr w:rsidR="007F1971" w:rsidRPr="00474B12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Saistītie politikas ietekmes novērtējumi un pētījumi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neskar.</w:t>
            </w:r>
          </w:p>
        </w:tc>
      </w:tr>
      <w:tr w:rsidR="007F1971" w:rsidRPr="00474B12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Tiesiskā regulējuma mērķis un būtība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2F6" w:rsidRDefault="00496A39" w:rsidP="00B942F6">
            <w:pPr>
              <w:pStyle w:val="naiskr"/>
              <w:jc w:val="both"/>
            </w:pPr>
            <w:r>
              <w:t>Noteikuma projekta mērķis ir nodrošināt Direktīvas 2010/30/ES prasību pārņemšanu</w:t>
            </w:r>
            <w:r w:rsidR="00B942F6">
              <w:t>.</w:t>
            </w:r>
          </w:p>
          <w:p w:rsidR="007F1971" w:rsidRPr="007F1971" w:rsidRDefault="00496A39" w:rsidP="00350A96">
            <w:pPr>
              <w:pStyle w:val="naiskr"/>
              <w:jc w:val="both"/>
              <w:rPr>
                <w:bCs/>
              </w:rPr>
            </w:pPr>
            <w:r>
              <w:t xml:space="preserve">Salīdzinājumā ar spēkā esošajiem </w:t>
            </w:r>
            <w:r w:rsidR="005F5344">
              <w:t>noteikumiem Nr.</w:t>
            </w:r>
            <w:r w:rsidR="00B942F6">
              <w:t>1</w:t>
            </w:r>
            <w:r w:rsidR="00350A96">
              <w:t>19</w:t>
            </w:r>
            <w:r w:rsidR="005F5344">
              <w:t xml:space="preserve">, noteikumu </w:t>
            </w:r>
            <w:r w:rsidR="005F5344">
              <w:lastRenderedPageBreak/>
              <w:t xml:space="preserve">projektā papildus prasības </w:t>
            </w:r>
            <w:r w:rsidR="00B942F6">
              <w:t xml:space="preserve">mājsaimniecības gaisa kondicionieru </w:t>
            </w:r>
            <w:r w:rsidR="005F5344">
              <w:t xml:space="preserve"> marķējumam nav noteiktas, precizēts pašreizējais regulējums.</w:t>
            </w:r>
            <w:r>
              <w:t xml:space="preserve"> </w:t>
            </w:r>
          </w:p>
        </w:tc>
      </w:tr>
      <w:tr w:rsidR="007F1971" w:rsidRPr="00474B12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Projekta izstrādē iesaistītās institūcijas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496A39" w:rsidRDefault="00496A39" w:rsidP="007F1971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Iemesli, kādēļ netika nodrošināta sabiedrības līdzdalība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9C6CAE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Cita informācija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Nav.</w:t>
            </w:r>
          </w:p>
        </w:tc>
      </w:tr>
    </w:tbl>
    <w:p w:rsidR="007F1971" w:rsidRDefault="007F1971" w:rsidP="007F1971">
      <w:pPr>
        <w:rPr>
          <w:sz w:val="24"/>
        </w:rPr>
      </w:pPr>
    </w:p>
    <w:p w:rsidR="00CF7C43" w:rsidRPr="009C6CAE" w:rsidRDefault="00CF7C43" w:rsidP="007F1971">
      <w:pPr>
        <w:rPr>
          <w:sz w:val="24"/>
        </w:rPr>
      </w:pPr>
    </w:p>
    <w:tbl>
      <w:tblPr>
        <w:tblW w:w="9520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7212"/>
      </w:tblGrid>
      <w:tr w:rsidR="007F1971" w:rsidRPr="00474B12" w:rsidTr="00862556">
        <w:trPr>
          <w:jc w:val="center"/>
        </w:trPr>
        <w:tc>
          <w:tcPr>
            <w:tcW w:w="9520" w:type="dxa"/>
            <w:gridSpan w:val="2"/>
          </w:tcPr>
          <w:p w:rsidR="007F1971" w:rsidRPr="007F1971" w:rsidRDefault="007F1971" w:rsidP="00862556">
            <w:pPr>
              <w:pStyle w:val="naisc"/>
              <w:spacing w:before="0" w:beforeAutospacing="0" w:after="0" w:afterAutospacing="0"/>
              <w:jc w:val="center"/>
            </w:pPr>
            <w:r w:rsidRPr="007F1971">
              <w:rPr>
                <w:b/>
                <w:bCs/>
              </w:rPr>
              <w:t>II. Tiesību akta projekta ietekme uz sabiedrību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aiskr"/>
            </w:pPr>
            <w:r w:rsidRPr="007F1971">
              <w:t>1. Sabiedrības mērķgrupa</w:t>
            </w:r>
          </w:p>
        </w:tc>
        <w:tc>
          <w:tcPr>
            <w:tcW w:w="7212" w:type="dxa"/>
          </w:tcPr>
          <w:p w:rsidR="007F1971" w:rsidRPr="007F1971" w:rsidRDefault="00CF7C43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aiskr"/>
              <w:spacing w:before="0" w:beforeAutospacing="0" w:after="0" w:afterAutospacing="0"/>
            </w:pPr>
            <w:r w:rsidRPr="007F1971">
              <w:t xml:space="preserve">2. Citas sabiedrības grupas (bez mērķgrupas) kuras tiesiskais regulējums arī ietekmē vai varētu ietekmēt 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ormalWeb"/>
              <w:spacing w:before="0" w:after="0"/>
            </w:pPr>
            <w:r w:rsidRPr="007F1971">
              <w:t>3. Tiesiskā regulējuma finansiālā ietekme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ormalWeb"/>
              <w:spacing w:before="0" w:after="0"/>
            </w:pPr>
            <w:r w:rsidRPr="007F1971">
              <w:t>4. Tiesiskā regulējuma nefinansiālā ietekme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862556" w:rsidP="00862556">
            <w:pPr>
              <w:pStyle w:val="NormalWeb"/>
              <w:spacing w:before="0" w:after="0"/>
            </w:pPr>
            <w:r>
              <w:t xml:space="preserve">5. </w:t>
            </w:r>
            <w:r w:rsidR="007F1971" w:rsidRPr="007F1971">
              <w:t>Administratīvās procedūras raksturojums</w:t>
            </w:r>
          </w:p>
        </w:tc>
        <w:tc>
          <w:tcPr>
            <w:tcW w:w="7212" w:type="dxa"/>
          </w:tcPr>
          <w:p w:rsidR="007F1971" w:rsidRPr="007F1971" w:rsidRDefault="00B942F6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474B12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7F1971">
            <w:pPr>
              <w:pStyle w:val="naiskr"/>
              <w:spacing w:before="0" w:beforeAutospacing="0" w:after="0" w:afterAutospacing="0"/>
            </w:pPr>
            <w:r w:rsidRPr="007F1971">
              <w:t>6. Administratīvo i</w:t>
            </w:r>
            <w:smartTag w:uri="urn:schemas-microsoft-com:office:smarttags" w:element="PersonName">
              <w:r w:rsidRPr="007F1971">
                <w:t>zm</w:t>
              </w:r>
            </w:smartTag>
            <w:r w:rsidRPr="007F1971">
              <w:t>aksu monetārs novērtējums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244799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7F1971">
            <w:pPr>
              <w:pStyle w:val="naiskr"/>
            </w:pPr>
            <w:r w:rsidRPr="007F1971">
              <w:t> 7. Cita ietekme</w:t>
            </w:r>
          </w:p>
        </w:tc>
        <w:tc>
          <w:tcPr>
            <w:tcW w:w="7212" w:type="dxa"/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7F1971" w:rsidRPr="00244799" w:rsidTr="00862556">
        <w:trPr>
          <w:jc w:val="center"/>
        </w:trPr>
        <w:tc>
          <w:tcPr>
            <w:tcW w:w="9520" w:type="dxa"/>
            <w:gridSpan w:val="2"/>
          </w:tcPr>
          <w:p w:rsidR="007F1971" w:rsidRPr="007F1971" w:rsidRDefault="007F1971" w:rsidP="007F1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7F1971" w:rsidRPr="00244799" w:rsidTr="00862556">
        <w:trPr>
          <w:jc w:val="center"/>
        </w:trPr>
        <w:tc>
          <w:tcPr>
            <w:tcW w:w="9520" w:type="dxa"/>
            <w:gridSpan w:val="2"/>
          </w:tcPr>
          <w:p w:rsidR="00137613" w:rsidRPr="007F1971" w:rsidRDefault="007F1971" w:rsidP="006A23FA">
            <w:pPr>
              <w:pStyle w:val="NormalWeb"/>
              <w:spacing w:before="0" w:after="0"/>
              <w:jc w:val="center"/>
              <w:rPr>
                <w:i/>
              </w:rPr>
            </w:pPr>
            <w:r w:rsidRPr="007F1971">
              <w:rPr>
                <w:i/>
              </w:rPr>
              <w:t>Nav attiecināms.</w:t>
            </w:r>
          </w:p>
        </w:tc>
      </w:tr>
    </w:tbl>
    <w:p w:rsidR="007F1971" w:rsidRDefault="007F1971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W w:w="5017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0"/>
        <w:gridCol w:w="1722"/>
        <w:gridCol w:w="7535"/>
      </w:tblGrid>
      <w:tr w:rsidR="00FE5C68" w:rsidRPr="00474B12" w:rsidTr="0086255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FE5C68" w:rsidRPr="00862556" w:rsidRDefault="00FE5C68" w:rsidP="00FE5C68">
            <w:pPr>
              <w:pStyle w:val="NormalWeb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E5C68" w:rsidRPr="00474B12" w:rsidTr="00010AF4">
        <w:trPr>
          <w:trHeight w:val="410"/>
        </w:trPr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>Nepieciešamie saistītie tiesību aktu projekti</w:t>
            </w:r>
          </w:p>
        </w:tc>
        <w:tc>
          <w:tcPr>
            <w:tcW w:w="3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C43" w:rsidRDefault="00CF7C43" w:rsidP="00010AF4">
            <w:pPr>
              <w:pStyle w:val="NormalWeb"/>
              <w:numPr>
                <w:ilvl w:val="0"/>
                <w:numId w:val="8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  <w:r>
              <w:t>1. Ministru kabineta noteikumu projekts „</w:t>
            </w:r>
            <w:r w:rsidRPr="00CF7C43">
              <w:t>Par Ministru kabineta 2002.gada 28.maija noteikumu Nr.212 „Noteikumi par mājsaimniecības trauku mazgāšanas mašīnu marķēšanu un distances līgumā ietveramo informāciju” atzīšanu par spēku zaudējušiem</w:t>
            </w:r>
            <w:r>
              <w:t>”</w:t>
            </w:r>
            <w:r w:rsidR="00010AF4">
              <w:t>;</w:t>
            </w:r>
          </w:p>
          <w:p w:rsidR="00010AF4" w:rsidRDefault="00010AF4" w:rsidP="00010AF4">
            <w:pPr>
              <w:pStyle w:val="NormalWeb"/>
              <w:numPr>
                <w:ilvl w:val="0"/>
                <w:numId w:val="8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</w:p>
          <w:p w:rsidR="00010AF4" w:rsidRDefault="00CF7C43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F4">
              <w:rPr>
                <w:rFonts w:ascii="Times New Roman" w:hAnsi="Times New Roman"/>
                <w:sz w:val="24"/>
                <w:szCs w:val="24"/>
              </w:rPr>
              <w:t>2. Ministru kabineta noteikumu projekt</w:t>
            </w:r>
            <w:r w:rsidR="00010AF4" w:rsidRPr="00010AF4">
              <w:rPr>
                <w:rFonts w:ascii="Times New Roman" w:hAnsi="Times New Roman"/>
                <w:sz w:val="24"/>
                <w:szCs w:val="24"/>
              </w:rPr>
              <w:t>s</w:t>
            </w:r>
            <w:r w:rsidRPr="00010AF4">
              <w:rPr>
                <w:rFonts w:ascii="Times New Roman" w:hAnsi="Times New Roman"/>
                <w:sz w:val="24"/>
                <w:szCs w:val="24"/>
              </w:rPr>
              <w:t xml:space="preserve"> „Par Ministru kabineta 2002.gada 28.maija noteikumu Nr.208 „Noteikumi par mājsaimniecības ledusskapju un saldētavu marķēšanu un distances līgumā ietveramo informāciju” atzīšanu par spēku zaudējušiem”</w:t>
            </w:r>
            <w:r w:rsidR="00010AF4" w:rsidRPr="00010A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F4">
              <w:rPr>
                <w:rFonts w:ascii="Times New Roman" w:hAnsi="Times New Roman"/>
                <w:sz w:val="24"/>
                <w:szCs w:val="24"/>
              </w:rPr>
              <w:t xml:space="preserve">3. Ministru kabineta noteikumu projekts „Par Ministru kabineta 2002.gada 8.oktobra noteikumu Nr.453 „Būtiskās prasības un marķēšanas kārtība luminiscējošo spuldžu balastiem” atzīšanu par spēku zaudējušiem”; </w:t>
            </w:r>
          </w:p>
          <w:p w:rsidR="00010AF4" w:rsidRP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50A96">
              <w:rPr>
                <w:rFonts w:ascii="Times New Roman" w:hAnsi="Times New Roman"/>
                <w:sz w:val="24"/>
                <w:szCs w:val="24"/>
              </w:rPr>
              <w:t>Ministru kabineta noteikumu projekts „</w:t>
            </w:r>
            <w:r w:rsidR="00350A96" w:rsidRPr="00350A96">
              <w:rPr>
                <w:rFonts w:ascii="Times New Roman" w:hAnsi="Times New Roman"/>
                <w:sz w:val="24"/>
                <w:szCs w:val="24"/>
              </w:rPr>
              <w:t>Grozījumi Ministru kabineta 2004.gada 2.marta noteikumos Nr.120 „Noteikumi par mājsaimniecības gaisa kondicionieru marķēšanu un distances līgumā ietveramo informāciju”</w:t>
            </w:r>
            <w:r w:rsidR="00350A96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10AF4" w:rsidRPr="00CF7C43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A1E" w:rsidRPr="00862556" w:rsidRDefault="0075287C" w:rsidP="00B942F6">
            <w:pPr>
              <w:pStyle w:val="NormalWeb"/>
              <w:numPr>
                <w:ilvl w:val="0"/>
                <w:numId w:val="5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  <w:hyperlink r:id="rId8" w:history="1">
              <w:r w:rsidR="00010AF4" w:rsidRPr="00010AF4">
                <w:t xml:space="preserve"> </w:t>
              </w:r>
              <w:r w:rsidR="00010AF4">
                <w:t xml:space="preserve">5. </w:t>
              </w:r>
              <w:r w:rsidR="00B942F6">
                <w:t>Ministru</w:t>
              </w:r>
            </w:hyperlink>
            <w:r w:rsidR="00B942F6">
              <w:t xml:space="preserve"> kabineta noteikumu projekts „</w:t>
            </w:r>
            <w:r w:rsidR="00B942F6" w:rsidRPr="00B942F6">
              <w:t>Noteikumi par mājsaimniecības elektrisko veļas žāvēšanas mašīnu un kombinēto veļas mazgāšanas un žāvēšanas mašīnu marķēšanu un distances līgumā ietveramo informāciju</w:t>
            </w:r>
            <w:r w:rsidR="00B942F6">
              <w:t>”</w:t>
            </w:r>
            <w:r w:rsidR="00010AF4">
              <w:t>.</w:t>
            </w:r>
          </w:p>
        </w:tc>
      </w:tr>
      <w:tr w:rsidR="00FE5C68" w:rsidRPr="00862556" w:rsidTr="00862556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>Cita informācija</w:t>
            </w:r>
          </w:p>
        </w:tc>
        <w:tc>
          <w:tcPr>
            <w:tcW w:w="3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862556" w:rsidP="00FE5C68">
            <w:pPr>
              <w:pStyle w:val="NormalWeb"/>
            </w:pPr>
            <w:r>
              <w:t>Nav.</w:t>
            </w:r>
          </w:p>
        </w:tc>
      </w:tr>
    </w:tbl>
    <w:p w:rsidR="00FE5C68" w:rsidRPr="00862556" w:rsidRDefault="00FE5C68" w:rsidP="00FE5C68">
      <w:pPr>
        <w:pStyle w:val="NormalWeb"/>
        <w:spacing w:before="0" w:after="0"/>
      </w:pPr>
      <w:r w:rsidRPr="00862556">
        <w:t xml:space="preserve">   </w:t>
      </w:r>
    </w:p>
    <w:tbl>
      <w:tblPr>
        <w:tblW w:w="9471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1"/>
        <w:gridCol w:w="1115"/>
        <w:gridCol w:w="586"/>
        <w:gridCol w:w="880"/>
        <w:gridCol w:w="1199"/>
        <w:gridCol w:w="3390"/>
      </w:tblGrid>
      <w:tr w:rsidR="00B651E3" w:rsidRPr="00474B12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862556">
            <w:pPr>
              <w:pStyle w:val="naisc"/>
              <w:spacing w:before="0" w:beforeAutospacing="0" w:after="0" w:afterAutospacing="0"/>
              <w:jc w:val="center"/>
            </w:pPr>
            <w:r w:rsidRPr="00862556">
              <w:rPr>
                <w:b/>
                <w:bCs/>
              </w:rPr>
              <w:t>V. Kādām Latvijas starptautiskajām saistībām atbilst normatīvais akts</w:t>
            </w:r>
          </w:p>
        </w:tc>
      </w:tr>
      <w:tr w:rsidR="00B651E3" w:rsidRPr="00474B12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</w:pPr>
            <w:r w:rsidRPr="00862556">
              <w:t>1. Saistības pret Eiropas Savienību</w:t>
            </w:r>
          </w:p>
        </w:tc>
        <w:tc>
          <w:tcPr>
            <w:tcW w:w="6055" w:type="dxa"/>
            <w:gridSpan w:val="4"/>
          </w:tcPr>
          <w:p w:rsidR="00E74A1E" w:rsidRPr="00E74A1E" w:rsidRDefault="00E74A1E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4A1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Noteikumos iekļautas tiesību normas, kas izriet no:</w:t>
            </w:r>
          </w:p>
          <w:p w:rsidR="00E74A1E" w:rsidRPr="00E74A1E" w:rsidRDefault="00E74A1E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4A1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1) </w:t>
            </w:r>
            <w:r w:rsidR="00350A96" w:rsidRPr="00350A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Komisijas 2002.gada 8.maija Direktīva</w:t>
            </w:r>
            <w:r w:rsidR="00350A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</w:t>
            </w:r>
            <w:r w:rsidR="00350A96" w:rsidRPr="00350A9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2002/40/EK, ar kuru Padomes direktīvu 92/75/EEK īsteno attiecībā uz enerģijas etiķetēm mājsaimniecības elektriskajām cepeškrāsnīm.</w:t>
            </w:r>
          </w:p>
          <w:p w:rsidR="00E74A1E" w:rsidRPr="00E74A1E" w:rsidRDefault="00B942F6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 w:rsidR="00E74A1E"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 Eiropas Parlamenta un Padomes 2010.gada  19.maija Direktīvas 2010/30/ES par enerģijas un citu resursu patēriņu norādīšanu ražojumiem, kas saistīti ar energopatēriņu, izmantojot etiķetes un standarta informāciju par precēm.</w:t>
            </w:r>
          </w:p>
        </w:tc>
      </w:tr>
      <w:tr w:rsidR="00B651E3" w:rsidRPr="00474B12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2. Citas starptautiskās saistības</w:t>
            </w:r>
          </w:p>
        </w:tc>
        <w:tc>
          <w:tcPr>
            <w:tcW w:w="6055" w:type="dxa"/>
            <w:gridSpan w:val="4"/>
          </w:tcPr>
          <w:p w:rsidR="00B651E3" w:rsidRPr="00862556" w:rsidRDefault="00B93686" w:rsidP="00B651E3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862556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3. Cita informācija</w:t>
            </w:r>
          </w:p>
        </w:tc>
        <w:tc>
          <w:tcPr>
            <w:tcW w:w="6055" w:type="dxa"/>
            <w:gridSpan w:val="4"/>
          </w:tcPr>
          <w:p w:rsidR="00B651E3" w:rsidRPr="00862556" w:rsidRDefault="00B651E3" w:rsidP="00B651E3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B651E3" w:rsidRPr="00474B12" w:rsidTr="000F521D">
        <w:trPr>
          <w:jc w:val="center"/>
        </w:trPr>
        <w:tc>
          <w:tcPr>
            <w:tcW w:w="9471" w:type="dxa"/>
            <w:gridSpan w:val="6"/>
          </w:tcPr>
          <w:p w:rsidR="000F521D" w:rsidRDefault="00B651E3" w:rsidP="000F52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1.tabula </w:t>
            </w:r>
          </w:p>
          <w:p w:rsidR="00B651E3" w:rsidRPr="00862556" w:rsidRDefault="00B651E3" w:rsidP="000F52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Tiesību akta projekta atbilstība ES tiesību aktiem</w:t>
            </w:r>
          </w:p>
        </w:tc>
      </w:tr>
      <w:tr w:rsidR="00B651E3" w:rsidRPr="00474B12" w:rsidTr="000F521D">
        <w:trPr>
          <w:trHeight w:val="892"/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lastRenderedPageBreak/>
              <w:t>Attiecīgo Eiropas Savienības tiesību aktu datums, numurs un nosaukums</w:t>
            </w:r>
          </w:p>
        </w:tc>
        <w:tc>
          <w:tcPr>
            <w:tcW w:w="6055" w:type="dxa"/>
            <w:gridSpan w:val="4"/>
          </w:tcPr>
          <w:p w:rsidR="00B651E3" w:rsidRPr="00B942F6" w:rsidRDefault="00B942F6" w:rsidP="00F352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942F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Komisijas 1996.gada 19.septembra Direktīvas 2002/31/EK, ar kuru Padomes Direktīvu 92/75/EEK īsteno attiecībā uz enerģijas etiķetēm mājsaimniecības gaisa kondicionieriem</w:t>
            </w:r>
          </w:p>
        </w:tc>
      </w:tr>
      <w:tr w:rsidR="00B651E3" w:rsidRPr="00474B12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right"/>
            </w:pPr>
          </w:p>
        </w:tc>
      </w:tr>
      <w:tr w:rsidR="00B651E3" w:rsidRPr="0086255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A</w:t>
            </w:r>
          </w:p>
        </w:tc>
        <w:tc>
          <w:tcPr>
            <w:tcW w:w="1701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B</w:t>
            </w:r>
          </w:p>
        </w:tc>
        <w:tc>
          <w:tcPr>
            <w:tcW w:w="2079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C</w:t>
            </w:r>
          </w:p>
        </w:tc>
        <w:tc>
          <w:tcPr>
            <w:tcW w:w="3390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D</w:t>
            </w:r>
          </w:p>
        </w:tc>
      </w:tr>
      <w:tr w:rsidR="00B651E3" w:rsidRPr="00A53819" w:rsidTr="00F352E9">
        <w:trPr>
          <w:jc w:val="center"/>
        </w:trPr>
        <w:tc>
          <w:tcPr>
            <w:tcW w:w="2301" w:type="dxa"/>
          </w:tcPr>
          <w:p w:rsidR="00B651E3" w:rsidRPr="00862556" w:rsidRDefault="006A23FA" w:rsidP="00102772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2.panta 1.punkts</w:t>
            </w:r>
            <w:r w:rsidR="00102772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651E3" w:rsidRPr="00862556" w:rsidRDefault="00010AF4" w:rsidP="00B651E3">
            <w:pPr>
              <w:pStyle w:val="naisc"/>
              <w:spacing w:before="0" w:beforeAutospacing="0" w:after="0" w:afterAutospacing="0"/>
              <w:jc w:val="both"/>
            </w:pPr>
            <w:r>
              <w:t>1.</w:t>
            </w:r>
            <w:r w:rsidR="006A23FA">
              <w:t>1., 1.2.</w:t>
            </w:r>
            <w:r>
              <w:t>punkts</w:t>
            </w:r>
          </w:p>
        </w:tc>
        <w:tc>
          <w:tcPr>
            <w:tcW w:w="2079" w:type="dxa"/>
            <w:gridSpan w:val="2"/>
          </w:tcPr>
          <w:p w:rsidR="00B651E3" w:rsidRPr="00862556" w:rsidRDefault="00010AF4" w:rsidP="00B6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</w:p>
        </w:tc>
      </w:tr>
      <w:tr w:rsidR="00F352E9" w:rsidRPr="006A23FA" w:rsidTr="00F07B07">
        <w:trPr>
          <w:jc w:val="center"/>
        </w:trPr>
        <w:tc>
          <w:tcPr>
            <w:tcW w:w="9471" w:type="dxa"/>
            <w:gridSpan w:val="6"/>
          </w:tcPr>
          <w:p w:rsidR="00F352E9" w:rsidRPr="00862556" w:rsidRDefault="00F352E9" w:rsidP="00B651E3">
            <w:pPr>
              <w:pStyle w:val="naisc"/>
              <w:spacing w:before="0" w:beforeAutospacing="0" w:after="0" w:afterAutospacing="0"/>
              <w:jc w:val="both"/>
            </w:pPr>
            <w:r w:rsidRPr="00F352E9">
              <w:rPr>
                <w:rFonts w:eastAsia="Calibri"/>
                <w:b/>
              </w:rPr>
              <w:t>Eiropas Parlamenta un Padome</w:t>
            </w:r>
            <w:r>
              <w:rPr>
                <w:rFonts w:eastAsia="Calibri"/>
                <w:b/>
              </w:rPr>
              <w:t>s 2010.gada  19.maija Direktīva</w:t>
            </w:r>
            <w:r w:rsidRPr="00F352E9">
              <w:rPr>
                <w:rFonts w:eastAsia="Calibri"/>
                <w:b/>
              </w:rPr>
              <w:t xml:space="preserve"> 2010/30/ES par enerģijas un citu resursu patēriņu norādīšanu ražojumiem, kas saistīti ar energopatēriņu, izmantojot etiķetes un standarta informāciju par precēm</w:t>
            </w:r>
          </w:p>
        </w:tc>
      </w:tr>
      <w:tr w:rsidR="006A23FA" w:rsidRPr="00FF580E" w:rsidTr="00A559A1">
        <w:trPr>
          <w:jc w:val="center"/>
        </w:trPr>
        <w:tc>
          <w:tcPr>
            <w:tcW w:w="2301" w:type="dxa"/>
          </w:tcPr>
          <w:p w:rsidR="006A23FA" w:rsidRPr="00862556" w:rsidRDefault="006A23FA" w:rsidP="00A559A1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16.pants </w:t>
            </w:r>
          </w:p>
        </w:tc>
        <w:tc>
          <w:tcPr>
            <w:tcW w:w="1701" w:type="dxa"/>
            <w:gridSpan w:val="2"/>
          </w:tcPr>
          <w:p w:rsidR="006A23FA" w:rsidRPr="00FF580E" w:rsidRDefault="006A23FA" w:rsidP="00A559A1">
            <w:pPr>
              <w:pStyle w:val="naisc"/>
              <w:spacing w:before="0" w:beforeAutospacing="0" w:after="0" w:afterAutospacing="0"/>
              <w:jc w:val="both"/>
            </w:pPr>
            <w:r>
              <w:t>1.3., 2.punkts</w:t>
            </w:r>
          </w:p>
        </w:tc>
        <w:tc>
          <w:tcPr>
            <w:tcW w:w="2079" w:type="dxa"/>
            <w:gridSpan w:val="2"/>
          </w:tcPr>
          <w:p w:rsidR="006A23FA" w:rsidRPr="00862556" w:rsidRDefault="006A23FA" w:rsidP="00A55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6A23FA" w:rsidRPr="00862556" w:rsidRDefault="006A23FA" w:rsidP="00A559A1">
            <w:pPr>
              <w:pStyle w:val="naisc"/>
              <w:spacing w:before="0" w:beforeAutospacing="0" w:after="0" w:afterAutospacing="0"/>
              <w:jc w:val="both"/>
            </w:pPr>
          </w:p>
        </w:tc>
      </w:tr>
      <w:tr w:rsidR="00FF580E" w:rsidRPr="00FF580E" w:rsidTr="00FF580E">
        <w:trPr>
          <w:jc w:val="center"/>
        </w:trPr>
        <w:tc>
          <w:tcPr>
            <w:tcW w:w="9471" w:type="dxa"/>
            <w:gridSpan w:val="6"/>
          </w:tcPr>
          <w:p w:rsidR="00FF580E" w:rsidRPr="00FF580E" w:rsidRDefault="00FF580E" w:rsidP="00B651E3">
            <w:pPr>
              <w:pStyle w:val="naisc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651E3" w:rsidRPr="00474B12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Kā ir i</w:t>
            </w:r>
            <w:smartTag w:uri="urn:schemas-microsoft-com:office:smarttags" w:element="PersonName">
              <w:r w:rsidRPr="00862556">
                <w:t>zm</w:t>
              </w:r>
            </w:smartTag>
            <w:r w:rsidRPr="00862556">
              <w:t>antota ES tiesību aktā paredzētā rīcības brīvība dalībvalstij pārņemt vai ieviest noteiktas ES tiesību akta normas.</w:t>
            </w:r>
          </w:p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Kādēļ?</w:t>
            </w:r>
          </w:p>
        </w:tc>
        <w:tc>
          <w:tcPr>
            <w:tcW w:w="7170" w:type="dxa"/>
            <w:gridSpan w:val="5"/>
          </w:tcPr>
          <w:p w:rsidR="00B651E3" w:rsidRPr="00862556" w:rsidRDefault="00B93686" w:rsidP="00B651E3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B651E3" w:rsidRPr="00474B12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170" w:type="dxa"/>
            <w:gridSpan w:val="5"/>
          </w:tcPr>
          <w:p w:rsidR="00B651E3" w:rsidRPr="00862556" w:rsidRDefault="00B93686" w:rsidP="00862556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B651E3" w:rsidRPr="0086255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Cita informācija</w:t>
            </w:r>
          </w:p>
        </w:tc>
        <w:tc>
          <w:tcPr>
            <w:tcW w:w="7170" w:type="dxa"/>
            <w:gridSpan w:val="5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Nav</w:t>
            </w:r>
          </w:p>
        </w:tc>
      </w:tr>
      <w:tr w:rsidR="000F521D" w:rsidRPr="00862556" w:rsidTr="000F521D">
        <w:trPr>
          <w:jc w:val="center"/>
        </w:trPr>
        <w:tc>
          <w:tcPr>
            <w:tcW w:w="9471" w:type="dxa"/>
            <w:gridSpan w:val="6"/>
          </w:tcPr>
          <w:p w:rsidR="000F521D" w:rsidRPr="00862556" w:rsidRDefault="000F521D" w:rsidP="00B93265">
            <w:pPr>
              <w:pStyle w:val="naisc"/>
              <w:spacing w:before="0" w:beforeAutospacing="0" w:after="0" w:afterAutospacing="0"/>
              <w:jc w:val="center"/>
            </w:pPr>
            <w:r>
              <w:rPr>
                <w:i/>
              </w:rPr>
              <w:t>Anotācijas 2.tabula – nav attiecināms.</w:t>
            </w:r>
          </w:p>
        </w:tc>
      </w:tr>
      <w:tr w:rsidR="00B651E3" w:rsidRPr="00A53819" w:rsidTr="000F521D">
        <w:trPr>
          <w:jc w:val="center"/>
        </w:trPr>
        <w:tc>
          <w:tcPr>
            <w:tcW w:w="9471" w:type="dxa"/>
            <w:gridSpan w:val="6"/>
          </w:tcPr>
          <w:p w:rsidR="00A53819" w:rsidRDefault="00A53819" w:rsidP="000F521D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651E3" w:rsidRPr="00862556" w:rsidRDefault="00B651E3" w:rsidP="000F521D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VI. Sabiedrības līdzdalība un šīs līdzdalības rezultāti</w:t>
            </w:r>
          </w:p>
        </w:tc>
      </w:tr>
      <w:tr w:rsidR="00B93265" w:rsidRPr="00862556" w:rsidTr="00B93265">
        <w:trPr>
          <w:jc w:val="center"/>
        </w:trPr>
        <w:tc>
          <w:tcPr>
            <w:tcW w:w="9471" w:type="dxa"/>
            <w:gridSpan w:val="6"/>
          </w:tcPr>
          <w:p w:rsidR="00137613" w:rsidRPr="006A23FA" w:rsidRDefault="00B93265" w:rsidP="006A23F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</w:pPr>
            <w:r w:rsidRPr="00B93265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Nav attiecināms.</w:t>
            </w:r>
          </w:p>
        </w:tc>
      </w:tr>
      <w:tr w:rsidR="00B651E3" w:rsidRPr="00862556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B93265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651E3" w:rsidRPr="00474B12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1. Projekta izpildē iesaistītās institūcijas</w:t>
            </w:r>
          </w:p>
        </w:tc>
        <w:tc>
          <w:tcPr>
            <w:tcW w:w="4589" w:type="dxa"/>
            <w:gridSpan w:val="2"/>
          </w:tcPr>
          <w:p w:rsidR="00B651E3" w:rsidRPr="00B93686" w:rsidRDefault="00B93686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9368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Noteikumu projekta prasību izpildi nodrošina</w:t>
            </w:r>
            <w:r w:rsidR="00CF7C4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Patērētāju tiesību aizsardzības centrs.</w:t>
            </w:r>
          </w:p>
        </w:tc>
      </w:tr>
      <w:tr w:rsidR="00B651E3" w:rsidRPr="00474B12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lastRenderedPageBreak/>
              <w:t>2. Projekta izpildes ietekme uz pārvaldes funkcijām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474B12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3. Projekta izpildes ietekme uz pārvaldes institucionālo struktūru</w:t>
            </w:r>
            <w:r w:rsidR="00CF7C43">
              <w:t xml:space="preserve"> 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Jaunu institūciju izveide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474B12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4. Projekta izpildes ietekme uz pārvaldes institucionālo struktūru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Esošu institūciju likvidācija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474B12" w:rsidTr="000F521D">
        <w:trPr>
          <w:trHeight w:val="554"/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5. Projekta izpildes ietekme uz pārvaldes institucionālo struktūru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Esošu institūciju reorganizācija</w:t>
            </w:r>
          </w:p>
        </w:tc>
        <w:tc>
          <w:tcPr>
            <w:tcW w:w="4589" w:type="dxa"/>
            <w:gridSpan w:val="2"/>
          </w:tcPr>
          <w:p w:rsidR="00B651E3" w:rsidRPr="00862556" w:rsidRDefault="00CF7C43" w:rsidP="00B651E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862556" w:rsidTr="000F521D">
        <w:trPr>
          <w:trHeight w:val="70"/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6. Cita informācija</w:t>
            </w:r>
          </w:p>
        </w:tc>
        <w:tc>
          <w:tcPr>
            <w:tcW w:w="4589" w:type="dxa"/>
            <w:gridSpan w:val="2"/>
          </w:tcPr>
          <w:p w:rsidR="00B651E3" w:rsidRPr="00862556" w:rsidRDefault="00B651E3" w:rsidP="00B651E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 xml:space="preserve">Ekonomikas ministrs                                   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>A.Kampars</w:t>
      </w: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>Vīza: Valsts sekretārs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>J.Pūce</w:t>
      </w: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F7C43" w:rsidRDefault="00CF7C43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F7C43" w:rsidRPr="00FE5C68" w:rsidRDefault="00CF7C43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137613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21</w:t>
      </w:r>
      <w:r w:rsidR="00B71B9C" w:rsidRPr="00FE5C68">
        <w:rPr>
          <w:rFonts w:ascii="Times New Roman" w:hAnsi="Times New Roman" w:cs="Times New Roman"/>
          <w:sz w:val="20"/>
          <w:szCs w:val="20"/>
          <w:lang w:val="lv-LV"/>
        </w:rPr>
        <w:t>.03.2011. 1</w:t>
      </w:r>
      <w:r w:rsidR="006A23FA">
        <w:rPr>
          <w:rFonts w:ascii="Times New Roman" w:hAnsi="Times New Roman" w:cs="Times New Roman"/>
          <w:sz w:val="20"/>
          <w:szCs w:val="20"/>
          <w:lang w:val="lv-LV"/>
        </w:rPr>
        <w:t>7</w:t>
      </w:r>
      <w:r w:rsidR="00B71B9C" w:rsidRPr="00FE5C68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350A96">
        <w:rPr>
          <w:rFonts w:ascii="Times New Roman" w:hAnsi="Times New Roman" w:cs="Times New Roman"/>
          <w:sz w:val="20"/>
          <w:szCs w:val="20"/>
          <w:lang w:val="lv-LV"/>
        </w:rPr>
        <w:t>0</w:t>
      </w:r>
      <w:r w:rsidR="00B71B9C" w:rsidRPr="00FE5C68">
        <w:rPr>
          <w:rFonts w:ascii="Times New Roman" w:hAnsi="Times New Roman" w:cs="Times New Roman"/>
          <w:sz w:val="20"/>
          <w:szCs w:val="20"/>
          <w:lang w:val="lv-LV"/>
        </w:rPr>
        <w:t>2</w:t>
      </w:r>
    </w:p>
    <w:p w:rsidR="00B71B9C" w:rsidRPr="00FE5C68" w:rsidRDefault="006A23FA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85</w:t>
      </w:r>
      <w:r w:rsidR="00350A96">
        <w:rPr>
          <w:rFonts w:ascii="Times New Roman" w:hAnsi="Times New Roman" w:cs="Times New Roman"/>
          <w:sz w:val="20"/>
          <w:szCs w:val="20"/>
          <w:lang w:val="lv-LV"/>
        </w:rPr>
        <w:t>8</w:t>
      </w: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E5C68">
        <w:rPr>
          <w:rFonts w:ascii="Times New Roman" w:hAnsi="Times New Roman" w:cs="Times New Roman"/>
          <w:sz w:val="20"/>
          <w:szCs w:val="20"/>
          <w:lang w:val="lv-LV"/>
        </w:rPr>
        <w:t>A.Laizāne</w:t>
      </w:r>
    </w:p>
    <w:p w:rsidR="00B11552" w:rsidRPr="00FE5C68" w:rsidRDefault="00B71B9C" w:rsidP="0003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5C68">
        <w:rPr>
          <w:rFonts w:ascii="Times New Roman" w:hAnsi="Times New Roman" w:cs="Times New Roman"/>
          <w:sz w:val="20"/>
          <w:szCs w:val="20"/>
          <w:lang w:val="lv-LV"/>
        </w:rPr>
        <w:t xml:space="preserve">67013145, </w:t>
      </w:r>
      <w:hyperlink r:id="rId9" w:history="1">
        <w:r w:rsidR="00F17B85" w:rsidRPr="0025399A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Agnese.Laizane@em.gov.lv</w:t>
        </w:r>
      </w:hyperlink>
      <w:r w:rsidR="00F17B85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FE5C68">
        <w:rPr>
          <w:rFonts w:ascii="Times New Roman" w:hAnsi="Times New Roman" w:cs="Times New Roman"/>
          <w:sz w:val="20"/>
          <w:szCs w:val="20"/>
          <w:lang w:val="lv-LV"/>
        </w:rPr>
        <w:t xml:space="preserve">   </w:t>
      </w:r>
    </w:p>
    <w:sectPr w:rsidR="00B11552" w:rsidRPr="00FE5C68" w:rsidSect="00B651E3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66" w:rsidRDefault="000A4F66" w:rsidP="00021083">
      <w:pPr>
        <w:spacing w:after="0" w:line="240" w:lineRule="auto"/>
      </w:pPr>
      <w:r>
        <w:separator/>
      </w:r>
    </w:p>
  </w:endnote>
  <w:endnote w:type="continuationSeparator" w:id="0">
    <w:p w:rsidR="000A4F66" w:rsidRDefault="000A4F66" w:rsidP="000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8B" w:rsidRPr="00AC598B" w:rsidRDefault="00AC598B" w:rsidP="00AC598B">
    <w:pPr>
      <w:pStyle w:val="naisc"/>
      <w:spacing w:after="0"/>
      <w:jc w:val="both"/>
      <w:rPr>
        <w:bCs/>
        <w:sz w:val="20"/>
        <w:szCs w:val="20"/>
      </w:rPr>
    </w:pPr>
    <w:r w:rsidRPr="00AC598B">
      <w:rPr>
        <w:sz w:val="20"/>
        <w:szCs w:val="20"/>
      </w:rPr>
      <w:t xml:space="preserve">EMAnot_210311_krasnis; </w:t>
    </w:r>
    <w:r w:rsidRPr="00AC598B">
      <w:rPr>
        <w:bCs/>
        <w:sz w:val="20"/>
        <w:szCs w:val="20"/>
      </w:rPr>
      <w:t>Ministru kabineta noteikumu projekta „Grozījumi Ministru kabineta 2004.gada 2.marta noteikumos Nr.119 „Noteikumi par mājsaimniecības cepeškrāšņu marķēšanu un distances līgumā ietveramo informāciju”” sākotnējās ietekmes novērtējuma ziņojums (anotācija)</w:t>
    </w:r>
    <w:r w:rsidRPr="00AC598B">
      <w:rPr>
        <w:bCs/>
        <w:sz w:val="20"/>
        <w:szCs w:val="20"/>
      </w:rPr>
      <w:tab/>
    </w:r>
    <w:r w:rsidRPr="00AC598B">
      <w:rPr>
        <w:bCs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8B" w:rsidRPr="00AC598B" w:rsidRDefault="00FF580E" w:rsidP="00AC598B">
    <w:pPr>
      <w:pStyle w:val="naisc"/>
      <w:spacing w:after="0"/>
      <w:jc w:val="both"/>
      <w:rPr>
        <w:bCs/>
        <w:sz w:val="20"/>
        <w:szCs w:val="20"/>
      </w:rPr>
    </w:pPr>
    <w:r w:rsidRPr="00AC598B">
      <w:rPr>
        <w:sz w:val="20"/>
        <w:szCs w:val="20"/>
      </w:rPr>
      <w:t>EMAnot_210311_</w:t>
    </w:r>
    <w:r w:rsidR="00AC598B" w:rsidRPr="00AC598B">
      <w:rPr>
        <w:sz w:val="20"/>
        <w:szCs w:val="20"/>
      </w:rPr>
      <w:t>krasnis</w:t>
    </w:r>
    <w:r w:rsidRPr="00AC598B">
      <w:rPr>
        <w:sz w:val="20"/>
        <w:szCs w:val="20"/>
      </w:rPr>
      <w:t xml:space="preserve">; </w:t>
    </w:r>
    <w:r w:rsidR="00AC598B" w:rsidRPr="00AC598B">
      <w:rPr>
        <w:bCs/>
        <w:sz w:val="20"/>
        <w:szCs w:val="20"/>
      </w:rPr>
      <w:t>Ministru kabineta noteikumu projekta „Grozījumi Ministru kabineta 2004.gada 2.marta noteikumos Nr.119 „Noteikumi par mājsaimniecības cepeškrāšņu marķēšanu un distances līgumā ietveramo informāciju”” sākotnējās ietekmes novērtējuma ziņojums (anotācija)</w:t>
    </w:r>
    <w:r w:rsidR="00AC598B" w:rsidRPr="00AC598B">
      <w:rPr>
        <w:bCs/>
        <w:sz w:val="20"/>
        <w:szCs w:val="20"/>
      </w:rPr>
      <w:tab/>
    </w:r>
    <w:r w:rsidR="00AC598B" w:rsidRPr="00AC598B">
      <w:rPr>
        <w:b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66" w:rsidRDefault="000A4F66" w:rsidP="00021083">
      <w:pPr>
        <w:spacing w:after="0" w:line="240" w:lineRule="auto"/>
      </w:pPr>
      <w:r>
        <w:separator/>
      </w:r>
    </w:p>
  </w:footnote>
  <w:footnote w:type="continuationSeparator" w:id="0">
    <w:p w:rsidR="000A4F66" w:rsidRDefault="000A4F66" w:rsidP="0002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128"/>
      <w:docPartObj>
        <w:docPartGallery w:val="Page Numbers (Top of Page)"/>
        <w:docPartUnique/>
      </w:docPartObj>
    </w:sdtPr>
    <w:sdtContent>
      <w:p w:rsidR="00FF580E" w:rsidRDefault="0075287C">
        <w:pPr>
          <w:pStyle w:val="Header"/>
          <w:jc w:val="center"/>
        </w:pPr>
        <w:r w:rsidRPr="00B71B9C">
          <w:rPr>
            <w:rFonts w:ascii="Times New Roman" w:hAnsi="Times New Roman" w:cs="Times New Roman"/>
          </w:rPr>
          <w:fldChar w:fldCharType="begin"/>
        </w:r>
        <w:r w:rsidR="00FF580E" w:rsidRPr="00B71B9C">
          <w:rPr>
            <w:rFonts w:ascii="Times New Roman" w:hAnsi="Times New Roman" w:cs="Times New Roman"/>
          </w:rPr>
          <w:instrText xml:space="preserve"> PAGE   \* MERGEFORMAT </w:instrText>
        </w:r>
        <w:r w:rsidRPr="00B71B9C">
          <w:rPr>
            <w:rFonts w:ascii="Times New Roman" w:hAnsi="Times New Roman" w:cs="Times New Roman"/>
          </w:rPr>
          <w:fldChar w:fldCharType="separate"/>
        </w:r>
        <w:r w:rsidR="00474B12">
          <w:rPr>
            <w:rFonts w:ascii="Times New Roman" w:hAnsi="Times New Roman" w:cs="Times New Roman"/>
            <w:noProof/>
          </w:rPr>
          <w:t>5</w:t>
        </w:r>
        <w:r w:rsidRPr="00B71B9C">
          <w:rPr>
            <w:rFonts w:ascii="Times New Roman" w:hAnsi="Times New Roman" w:cs="Times New Roman"/>
          </w:rPr>
          <w:fldChar w:fldCharType="end"/>
        </w:r>
      </w:p>
    </w:sdtContent>
  </w:sdt>
  <w:p w:rsidR="00FF580E" w:rsidRDefault="00FF5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58C"/>
    <w:multiLevelType w:val="hybridMultilevel"/>
    <w:tmpl w:val="588C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641"/>
    <w:multiLevelType w:val="hybridMultilevel"/>
    <w:tmpl w:val="9C62FAD2"/>
    <w:lvl w:ilvl="0" w:tplc="42540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DD0D28"/>
    <w:multiLevelType w:val="hybridMultilevel"/>
    <w:tmpl w:val="84706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6705"/>
    <w:multiLevelType w:val="hybridMultilevel"/>
    <w:tmpl w:val="A3C2B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478B"/>
    <w:multiLevelType w:val="hybridMultilevel"/>
    <w:tmpl w:val="E8E891BC"/>
    <w:lvl w:ilvl="0" w:tplc="CAC8D2E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9" w:hanging="360"/>
      </w:pPr>
    </w:lvl>
    <w:lvl w:ilvl="2" w:tplc="0426001B" w:tentative="1">
      <w:start w:val="1"/>
      <w:numFmt w:val="lowerRoman"/>
      <w:lvlText w:val="%3."/>
      <w:lvlJc w:val="right"/>
      <w:pPr>
        <w:ind w:left="2129" w:hanging="180"/>
      </w:pPr>
    </w:lvl>
    <w:lvl w:ilvl="3" w:tplc="0426000F" w:tentative="1">
      <w:start w:val="1"/>
      <w:numFmt w:val="decimal"/>
      <w:lvlText w:val="%4."/>
      <w:lvlJc w:val="left"/>
      <w:pPr>
        <w:ind w:left="2849" w:hanging="360"/>
      </w:pPr>
    </w:lvl>
    <w:lvl w:ilvl="4" w:tplc="04260019" w:tentative="1">
      <w:start w:val="1"/>
      <w:numFmt w:val="lowerLetter"/>
      <w:lvlText w:val="%5."/>
      <w:lvlJc w:val="left"/>
      <w:pPr>
        <w:ind w:left="3569" w:hanging="360"/>
      </w:pPr>
    </w:lvl>
    <w:lvl w:ilvl="5" w:tplc="0426001B" w:tentative="1">
      <w:start w:val="1"/>
      <w:numFmt w:val="lowerRoman"/>
      <w:lvlText w:val="%6."/>
      <w:lvlJc w:val="right"/>
      <w:pPr>
        <w:ind w:left="4289" w:hanging="180"/>
      </w:pPr>
    </w:lvl>
    <w:lvl w:ilvl="6" w:tplc="0426000F" w:tentative="1">
      <w:start w:val="1"/>
      <w:numFmt w:val="decimal"/>
      <w:lvlText w:val="%7."/>
      <w:lvlJc w:val="left"/>
      <w:pPr>
        <w:ind w:left="5009" w:hanging="360"/>
      </w:pPr>
    </w:lvl>
    <w:lvl w:ilvl="7" w:tplc="04260019" w:tentative="1">
      <w:start w:val="1"/>
      <w:numFmt w:val="lowerLetter"/>
      <w:lvlText w:val="%8."/>
      <w:lvlJc w:val="left"/>
      <w:pPr>
        <w:ind w:left="5729" w:hanging="360"/>
      </w:pPr>
    </w:lvl>
    <w:lvl w:ilvl="8" w:tplc="042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3B306AEE"/>
    <w:multiLevelType w:val="hybridMultilevel"/>
    <w:tmpl w:val="E702F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B20FA"/>
    <w:multiLevelType w:val="hybridMultilevel"/>
    <w:tmpl w:val="17987A8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43A49"/>
    <w:rsid w:val="00000798"/>
    <w:rsid w:val="0000263E"/>
    <w:rsid w:val="0000337D"/>
    <w:rsid w:val="000102AA"/>
    <w:rsid w:val="00010AF4"/>
    <w:rsid w:val="000202B4"/>
    <w:rsid w:val="00021083"/>
    <w:rsid w:val="00030567"/>
    <w:rsid w:val="000349E6"/>
    <w:rsid w:val="00037B68"/>
    <w:rsid w:val="000467EA"/>
    <w:rsid w:val="00051F8C"/>
    <w:rsid w:val="00052837"/>
    <w:rsid w:val="00061398"/>
    <w:rsid w:val="0007101D"/>
    <w:rsid w:val="00072AC0"/>
    <w:rsid w:val="00077B71"/>
    <w:rsid w:val="00090F9D"/>
    <w:rsid w:val="00091773"/>
    <w:rsid w:val="000962E3"/>
    <w:rsid w:val="000A174F"/>
    <w:rsid w:val="000A1F5B"/>
    <w:rsid w:val="000A4F66"/>
    <w:rsid w:val="000A5497"/>
    <w:rsid w:val="000B4410"/>
    <w:rsid w:val="000B47EE"/>
    <w:rsid w:val="000B5D8F"/>
    <w:rsid w:val="000C4B9F"/>
    <w:rsid w:val="000C54BB"/>
    <w:rsid w:val="000E716F"/>
    <w:rsid w:val="000F521D"/>
    <w:rsid w:val="00100A41"/>
    <w:rsid w:val="00102772"/>
    <w:rsid w:val="0010544B"/>
    <w:rsid w:val="001079A8"/>
    <w:rsid w:val="00112FD2"/>
    <w:rsid w:val="0011598D"/>
    <w:rsid w:val="00120229"/>
    <w:rsid w:val="001216A5"/>
    <w:rsid w:val="00132B59"/>
    <w:rsid w:val="00137613"/>
    <w:rsid w:val="0015259D"/>
    <w:rsid w:val="00162AC9"/>
    <w:rsid w:val="00163B06"/>
    <w:rsid w:val="0017102D"/>
    <w:rsid w:val="00180721"/>
    <w:rsid w:val="00191807"/>
    <w:rsid w:val="00193E4E"/>
    <w:rsid w:val="00194B04"/>
    <w:rsid w:val="001A1547"/>
    <w:rsid w:val="001A677B"/>
    <w:rsid w:val="001B6595"/>
    <w:rsid w:val="001B664A"/>
    <w:rsid w:val="001C1137"/>
    <w:rsid w:val="001E6E1F"/>
    <w:rsid w:val="001F03FC"/>
    <w:rsid w:val="001F2F3F"/>
    <w:rsid w:val="00200D93"/>
    <w:rsid w:val="002217E5"/>
    <w:rsid w:val="00226D6C"/>
    <w:rsid w:val="00234DEC"/>
    <w:rsid w:val="002410EF"/>
    <w:rsid w:val="00263632"/>
    <w:rsid w:val="00267F21"/>
    <w:rsid w:val="00271A42"/>
    <w:rsid w:val="0027227C"/>
    <w:rsid w:val="00283320"/>
    <w:rsid w:val="002A23CF"/>
    <w:rsid w:val="002A6B47"/>
    <w:rsid w:val="002B306C"/>
    <w:rsid w:val="002B6AA5"/>
    <w:rsid w:val="002C1B53"/>
    <w:rsid w:val="002C47F2"/>
    <w:rsid w:val="002C60C7"/>
    <w:rsid w:val="002D1C94"/>
    <w:rsid w:val="002E2120"/>
    <w:rsid w:val="002E255B"/>
    <w:rsid w:val="002F48D8"/>
    <w:rsid w:val="002F7416"/>
    <w:rsid w:val="0030204F"/>
    <w:rsid w:val="00311EB5"/>
    <w:rsid w:val="00323136"/>
    <w:rsid w:val="00324858"/>
    <w:rsid w:val="00326160"/>
    <w:rsid w:val="00333538"/>
    <w:rsid w:val="00335D8E"/>
    <w:rsid w:val="00350A96"/>
    <w:rsid w:val="0036039E"/>
    <w:rsid w:val="00360FE2"/>
    <w:rsid w:val="0036778E"/>
    <w:rsid w:val="00374846"/>
    <w:rsid w:val="0037537C"/>
    <w:rsid w:val="0037601C"/>
    <w:rsid w:val="003760B3"/>
    <w:rsid w:val="00380F73"/>
    <w:rsid w:val="00384E01"/>
    <w:rsid w:val="0039004D"/>
    <w:rsid w:val="003906D7"/>
    <w:rsid w:val="00394CD8"/>
    <w:rsid w:val="003A6A00"/>
    <w:rsid w:val="003B728A"/>
    <w:rsid w:val="003B788B"/>
    <w:rsid w:val="003C787E"/>
    <w:rsid w:val="003E5E5F"/>
    <w:rsid w:val="003E624B"/>
    <w:rsid w:val="003E7E1D"/>
    <w:rsid w:val="003F4C69"/>
    <w:rsid w:val="00430F8B"/>
    <w:rsid w:val="00431832"/>
    <w:rsid w:val="00431C8D"/>
    <w:rsid w:val="0043662B"/>
    <w:rsid w:val="00436B02"/>
    <w:rsid w:val="00437BD7"/>
    <w:rsid w:val="004414E2"/>
    <w:rsid w:val="00464003"/>
    <w:rsid w:val="004714AC"/>
    <w:rsid w:val="00474B12"/>
    <w:rsid w:val="00495174"/>
    <w:rsid w:val="00496A39"/>
    <w:rsid w:val="004A1854"/>
    <w:rsid w:val="004B3C9F"/>
    <w:rsid w:val="004B5BFE"/>
    <w:rsid w:val="004C4EE6"/>
    <w:rsid w:val="004D0D35"/>
    <w:rsid w:val="004E4263"/>
    <w:rsid w:val="004F32CB"/>
    <w:rsid w:val="00522B21"/>
    <w:rsid w:val="005362A7"/>
    <w:rsid w:val="005649CC"/>
    <w:rsid w:val="00566555"/>
    <w:rsid w:val="00577A53"/>
    <w:rsid w:val="005821D9"/>
    <w:rsid w:val="005A047F"/>
    <w:rsid w:val="005A285C"/>
    <w:rsid w:val="005A2EEA"/>
    <w:rsid w:val="005A477F"/>
    <w:rsid w:val="005F5344"/>
    <w:rsid w:val="00605633"/>
    <w:rsid w:val="00611A41"/>
    <w:rsid w:val="006168B6"/>
    <w:rsid w:val="00652236"/>
    <w:rsid w:val="006619D1"/>
    <w:rsid w:val="006633DF"/>
    <w:rsid w:val="00667653"/>
    <w:rsid w:val="00672617"/>
    <w:rsid w:val="0068591B"/>
    <w:rsid w:val="0069319E"/>
    <w:rsid w:val="006A23FA"/>
    <w:rsid w:val="006B2952"/>
    <w:rsid w:val="006C37B5"/>
    <w:rsid w:val="006C42B0"/>
    <w:rsid w:val="00703E60"/>
    <w:rsid w:val="0074657F"/>
    <w:rsid w:val="0075287C"/>
    <w:rsid w:val="0076095D"/>
    <w:rsid w:val="00762F5C"/>
    <w:rsid w:val="00767844"/>
    <w:rsid w:val="007719C3"/>
    <w:rsid w:val="00773CFA"/>
    <w:rsid w:val="007744EF"/>
    <w:rsid w:val="00775D1E"/>
    <w:rsid w:val="007803FC"/>
    <w:rsid w:val="00796456"/>
    <w:rsid w:val="007A1830"/>
    <w:rsid w:val="007A7BA8"/>
    <w:rsid w:val="007B1616"/>
    <w:rsid w:val="007B2923"/>
    <w:rsid w:val="007B3EDF"/>
    <w:rsid w:val="007B5C70"/>
    <w:rsid w:val="007C629E"/>
    <w:rsid w:val="007C7317"/>
    <w:rsid w:val="007D1939"/>
    <w:rsid w:val="007D2DC6"/>
    <w:rsid w:val="007D5361"/>
    <w:rsid w:val="007F1971"/>
    <w:rsid w:val="007F2465"/>
    <w:rsid w:val="0080276E"/>
    <w:rsid w:val="00803DB4"/>
    <w:rsid w:val="00812C2F"/>
    <w:rsid w:val="00821121"/>
    <w:rsid w:val="00840CCC"/>
    <w:rsid w:val="00862556"/>
    <w:rsid w:val="008638F1"/>
    <w:rsid w:val="00874925"/>
    <w:rsid w:val="008A04E7"/>
    <w:rsid w:val="008A48FE"/>
    <w:rsid w:val="008F2C7F"/>
    <w:rsid w:val="00904C94"/>
    <w:rsid w:val="009151AA"/>
    <w:rsid w:val="00932B77"/>
    <w:rsid w:val="009514AA"/>
    <w:rsid w:val="0095781A"/>
    <w:rsid w:val="00961B65"/>
    <w:rsid w:val="009656D9"/>
    <w:rsid w:val="009669A5"/>
    <w:rsid w:val="0098358E"/>
    <w:rsid w:val="009914FF"/>
    <w:rsid w:val="009A26FA"/>
    <w:rsid w:val="009A28D1"/>
    <w:rsid w:val="009A4976"/>
    <w:rsid w:val="009A51AF"/>
    <w:rsid w:val="009B277C"/>
    <w:rsid w:val="009D524E"/>
    <w:rsid w:val="009D6BA6"/>
    <w:rsid w:val="009E6636"/>
    <w:rsid w:val="009E6DF1"/>
    <w:rsid w:val="009F3518"/>
    <w:rsid w:val="00A03E1A"/>
    <w:rsid w:val="00A12601"/>
    <w:rsid w:val="00A13D19"/>
    <w:rsid w:val="00A24389"/>
    <w:rsid w:val="00A25DAE"/>
    <w:rsid w:val="00A43A49"/>
    <w:rsid w:val="00A500BD"/>
    <w:rsid w:val="00A510AD"/>
    <w:rsid w:val="00A52743"/>
    <w:rsid w:val="00A52CF6"/>
    <w:rsid w:val="00A53819"/>
    <w:rsid w:val="00A755A8"/>
    <w:rsid w:val="00A83C14"/>
    <w:rsid w:val="00A93FE0"/>
    <w:rsid w:val="00AB0F7A"/>
    <w:rsid w:val="00AB1936"/>
    <w:rsid w:val="00AB1B92"/>
    <w:rsid w:val="00AB2840"/>
    <w:rsid w:val="00AB5177"/>
    <w:rsid w:val="00AB7C20"/>
    <w:rsid w:val="00AC32C8"/>
    <w:rsid w:val="00AC598B"/>
    <w:rsid w:val="00AC7587"/>
    <w:rsid w:val="00AE3EC6"/>
    <w:rsid w:val="00B07810"/>
    <w:rsid w:val="00B07FCE"/>
    <w:rsid w:val="00B11552"/>
    <w:rsid w:val="00B121A7"/>
    <w:rsid w:val="00B14C33"/>
    <w:rsid w:val="00B2521D"/>
    <w:rsid w:val="00B323EA"/>
    <w:rsid w:val="00B335E3"/>
    <w:rsid w:val="00B62C1D"/>
    <w:rsid w:val="00B651E3"/>
    <w:rsid w:val="00B71B9C"/>
    <w:rsid w:val="00B72B8C"/>
    <w:rsid w:val="00B77740"/>
    <w:rsid w:val="00B8187C"/>
    <w:rsid w:val="00B91902"/>
    <w:rsid w:val="00B93265"/>
    <w:rsid w:val="00B93686"/>
    <w:rsid w:val="00B942F6"/>
    <w:rsid w:val="00B953FD"/>
    <w:rsid w:val="00BA0609"/>
    <w:rsid w:val="00BC2C24"/>
    <w:rsid w:val="00BD0954"/>
    <w:rsid w:val="00BE0E2C"/>
    <w:rsid w:val="00BF1CCF"/>
    <w:rsid w:val="00C004AA"/>
    <w:rsid w:val="00C125C8"/>
    <w:rsid w:val="00C1792E"/>
    <w:rsid w:val="00C273B0"/>
    <w:rsid w:val="00C430CE"/>
    <w:rsid w:val="00C50542"/>
    <w:rsid w:val="00C917B7"/>
    <w:rsid w:val="00C954E3"/>
    <w:rsid w:val="00C97760"/>
    <w:rsid w:val="00CA7133"/>
    <w:rsid w:val="00CC020D"/>
    <w:rsid w:val="00CE5622"/>
    <w:rsid w:val="00CF7C43"/>
    <w:rsid w:val="00D15CF8"/>
    <w:rsid w:val="00D60263"/>
    <w:rsid w:val="00D65452"/>
    <w:rsid w:val="00D654F8"/>
    <w:rsid w:val="00D7512A"/>
    <w:rsid w:val="00D77AB4"/>
    <w:rsid w:val="00D86A14"/>
    <w:rsid w:val="00D90BBB"/>
    <w:rsid w:val="00D92084"/>
    <w:rsid w:val="00DA29FF"/>
    <w:rsid w:val="00DA7D57"/>
    <w:rsid w:val="00DB7EC3"/>
    <w:rsid w:val="00DD3BE0"/>
    <w:rsid w:val="00DE2B02"/>
    <w:rsid w:val="00DF6A94"/>
    <w:rsid w:val="00E11523"/>
    <w:rsid w:val="00E14FD1"/>
    <w:rsid w:val="00E3491E"/>
    <w:rsid w:val="00E444E1"/>
    <w:rsid w:val="00E46324"/>
    <w:rsid w:val="00E52AF1"/>
    <w:rsid w:val="00E61592"/>
    <w:rsid w:val="00E66380"/>
    <w:rsid w:val="00E74A1E"/>
    <w:rsid w:val="00E80981"/>
    <w:rsid w:val="00EB0AE9"/>
    <w:rsid w:val="00EB6C62"/>
    <w:rsid w:val="00EC0B65"/>
    <w:rsid w:val="00EC3E0B"/>
    <w:rsid w:val="00ED4A57"/>
    <w:rsid w:val="00EE365E"/>
    <w:rsid w:val="00EE4C6C"/>
    <w:rsid w:val="00EF2659"/>
    <w:rsid w:val="00F17B85"/>
    <w:rsid w:val="00F326F6"/>
    <w:rsid w:val="00F352E9"/>
    <w:rsid w:val="00F503EF"/>
    <w:rsid w:val="00F61D0B"/>
    <w:rsid w:val="00F6297D"/>
    <w:rsid w:val="00F64F0D"/>
    <w:rsid w:val="00F73D32"/>
    <w:rsid w:val="00F82A8B"/>
    <w:rsid w:val="00FA1171"/>
    <w:rsid w:val="00FA2105"/>
    <w:rsid w:val="00FB2B63"/>
    <w:rsid w:val="00FC7818"/>
    <w:rsid w:val="00FD01E0"/>
    <w:rsid w:val="00FD34E0"/>
    <w:rsid w:val="00FD4950"/>
    <w:rsid w:val="00FD4BA3"/>
    <w:rsid w:val="00FE5C68"/>
    <w:rsid w:val="00FE5F08"/>
    <w:rsid w:val="00FF23E9"/>
    <w:rsid w:val="00FF2FD4"/>
    <w:rsid w:val="00FF362C"/>
    <w:rsid w:val="00FF580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A4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3"/>
  </w:style>
  <w:style w:type="paragraph" w:styleId="Footer">
    <w:name w:val="footer"/>
    <w:basedOn w:val="Normal"/>
    <w:link w:val="FooterChar"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3"/>
  </w:style>
  <w:style w:type="paragraph" w:customStyle="1" w:styleId="naiskr">
    <w:name w:val="naiskr"/>
    <w:basedOn w:val="Normal"/>
    <w:rsid w:val="003C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271A42"/>
    <w:pPr>
      <w:ind w:left="720"/>
      <w:contextualSpacing/>
    </w:pPr>
    <w:rPr>
      <w:rFonts w:ascii="Calibri" w:eastAsia="Times New Roman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E14F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rsid w:val="00F64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customStyle="1" w:styleId="BodyText3Char">
    <w:name w:val="Body Text 3 Char"/>
    <w:basedOn w:val="DefaultParagraphFont"/>
    <w:link w:val="BodyText3"/>
    <w:rsid w:val="00F64F0D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71B9C"/>
    <w:rPr>
      <w:color w:val="0000FF" w:themeColor="hyperlink"/>
      <w:u w:val="single"/>
    </w:rPr>
  </w:style>
  <w:style w:type="paragraph" w:customStyle="1" w:styleId="naisf">
    <w:name w:val="naisf"/>
    <w:basedOn w:val="Normal"/>
    <w:rsid w:val="00FE5C6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FE5C6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F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c.gov.lv/upload/normativi/mk_nr1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e.Laizan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33FD-AAB7-4C9D-8815-B32FF77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6208</Characters>
  <Application>Microsoft Office Word</Application>
  <DocSecurity>0</DocSecurity>
  <Lines>238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projekta„Grozījumi Ministru kabineta 2002.gada 28.maija noteikumos Nr.209 „Noteikumi par mājsaimniecības veļas mazgāšanas mašīnu, veļas žāvēšanas mašīnu un kombinēto veļas mazgāšanas un žāvēšanas mašīnu marķēšanu un distances l</vt:lpstr>
    </vt:vector>
  </TitlesOfParts>
  <Company>Veselības ministrija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„Grozījumi Ministru kabineta 2004.gada 2.marta noteikumos Nr.119 „Noteikumi par mājsaimniecības cepeškrāšņu marķēšanu un distances līgumā ietveramo informāciju””           sākotnējās ietekmes novērtējuma ziņojums (anotācija)</dc:title>
  <dc:subject>Anotācija</dc:subject>
  <dc:creator>Agnese Laizāne</dc:creator>
  <cp:keywords/>
  <dc:description>67013145, Agnese.Laizane@em.gov.lv</dc:description>
  <cp:lastModifiedBy>Agnese Laizāne</cp:lastModifiedBy>
  <cp:revision>2</cp:revision>
  <cp:lastPrinted>2011-03-15T07:32:00Z</cp:lastPrinted>
  <dcterms:created xsi:type="dcterms:W3CDTF">2011-03-22T07:59:00Z</dcterms:created>
  <dcterms:modified xsi:type="dcterms:W3CDTF">2011-03-22T07:59:00Z</dcterms:modified>
</cp:coreProperties>
</file>