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004457" w:rsidRPr="00DE7623">
        <w:rPr>
          <w:b/>
          <w:sz w:val="28"/>
        </w:rPr>
        <w:t>„</w:t>
      </w:r>
      <w:r w:rsidR="001D57D9">
        <w:rPr>
          <w:b/>
          <w:sz w:val="28"/>
        </w:rPr>
        <w:t>Grozījumi</w:t>
      </w:r>
      <w:r w:rsidR="00DA316D" w:rsidRPr="00DE7623">
        <w:rPr>
          <w:b/>
          <w:sz w:val="28"/>
        </w:rPr>
        <w:t xml:space="preserve"> Ministru kabineta </w:t>
      </w:r>
      <w:r w:rsidR="004E75CE">
        <w:rPr>
          <w:b/>
          <w:sz w:val="28"/>
        </w:rPr>
        <w:t>1999</w:t>
      </w:r>
      <w:r w:rsidR="00DA316D" w:rsidRPr="00DE7623">
        <w:rPr>
          <w:b/>
          <w:sz w:val="28"/>
        </w:rPr>
        <w:t xml:space="preserve">.gada </w:t>
      </w:r>
      <w:r w:rsidR="004E75CE">
        <w:rPr>
          <w:b/>
          <w:sz w:val="28"/>
        </w:rPr>
        <w:t xml:space="preserve">16.februāra </w:t>
      </w:r>
      <w:r w:rsidR="00DA316D" w:rsidRPr="00DE7623">
        <w:rPr>
          <w:b/>
          <w:sz w:val="28"/>
        </w:rPr>
        <w:t>noteikumos Nr.</w:t>
      </w:r>
      <w:r w:rsidR="004E75CE">
        <w:rPr>
          <w:b/>
          <w:sz w:val="28"/>
        </w:rPr>
        <w:t xml:space="preserve">51 </w:t>
      </w:r>
      <w:r w:rsidR="004E75CE" w:rsidRPr="004E75CE">
        <w:rPr>
          <w:b/>
          <w:sz w:val="28"/>
        </w:rPr>
        <w:t>„Kārtība, kādā izmaksājama kompensācija naudā, dzēšot nacionālās pretošanās kustības dalībniekiem par īpašumā bijušo zemi lauku apvidos piešķirtos sertifikātus”</w:t>
      </w:r>
      <w:r w:rsidR="00DA316D" w:rsidRPr="00DE7623">
        <w:rPr>
          <w:b/>
          <w:sz w:val="28"/>
        </w:rPr>
        <w:t xml:space="preserve">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807B8B">
            <w:pPr>
              <w:tabs>
                <w:tab w:val="num" w:pos="0"/>
              </w:tabs>
              <w:ind w:firstLine="426"/>
              <w:jc w:val="both"/>
              <w:rPr>
                <w:szCs w:val="28"/>
              </w:rPr>
            </w:pPr>
            <w:r w:rsidRPr="00DE7623">
              <w:rPr>
                <w:i/>
                <w:sz w:val="28"/>
                <w:szCs w:val="28"/>
                <w:lang w:eastAsia="en-US"/>
              </w:rPr>
              <w:t>Euro</w:t>
            </w:r>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gada 29.maija rīkojums</w:t>
            </w:r>
            <w:r w:rsidR="00807B8B" w:rsidRPr="00DE7623">
              <w:rPr>
                <w:sz w:val="28"/>
                <w:szCs w:val="28"/>
              </w:rPr>
              <w:t xml:space="preserve"> Nr.212 „Par tiesību aktu grozījumu virzību saistībā ar </w:t>
            </w:r>
            <w:r w:rsidR="00807B8B" w:rsidRPr="00FC06B4">
              <w:rPr>
                <w:i/>
                <w:sz w:val="28"/>
                <w:szCs w:val="28"/>
              </w:rPr>
              <w:t>euro</w:t>
            </w:r>
            <w:r w:rsidR="00807B8B" w:rsidRPr="00DE7623">
              <w:rPr>
                <w:sz w:val="28"/>
                <w:szCs w:val="28"/>
              </w:rPr>
              <w:t xml:space="preserve"> ieviešanu Latvijā”</w:t>
            </w:r>
            <w:r w:rsidR="001D57D9">
              <w:rPr>
                <w:sz w:val="28"/>
                <w:szCs w:val="28"/>
              </w:rPr>
              <w:t xml:space="preserve"> 1.5.apakšpunkts</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euro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692B4C">
              <w:rPr>
                <w:sz w:val="28"/>
                <w:szCs w:val="28"/>
              </w:rPr>
              <w:t>1999</w:t>
            </w:r>
            <w:r w:rsidR="00045CB0" w:rsidRPr="00DE7623">
              <w:rPr>
                <w:sz w:val="28"/>
                <w:szCs w:val="28"/>
              </w:rPr>
              <w:t xml:space="preserve">.gada </w:t>
            </w:r>
            <w:r w:rsidR="00692B4C">
              <w:rPr>
                <w:sz w:val="28"/>
                <w:szCs w:val="28"/>
              </w:rPr>
              <w:t>16.februāra</w:t>
            </w:r>
            <w:r w:rsidR="00045CB0" w:rsidRPr="00DE7623">
              <w:rPr>
                <w:sz w:val="28"/>
                <w:szCs w:val="28"/>
              </w:rPr>
              <w:t xml:space="preserve"> noteikumos Nr.</w:t>
            </w:r>
            <w:r w:rsidR="00692B4C">
              <w:rPr>
                <w:sz w:val="28"/>
                <w:szCs w:val="28"/>
              </w:rPr>
              <w:t>51</w:t>
            </w:r>
            <w:r w:rsidR="00045CB0" w:rsidRPr="00DE7623">
              <w:rPr>
                <w:sz w:val="28"/>
                <w:szCs w:val="28"/>
              </w:rPr>
              <w:t xml:space="preserve"> „</w:t>
            </w:r>
            <w:r w:rsidR="00692B4C" w:rsidRPr="00692B4C">
              <w:rPr>
                <w:sz w:val="28"/>
                <w:szCs w:val="28"/>
              </w:rPr>
              <w:t>Kārtība, kādā izmaksājama kompensācija naudā, dzēšot nacionālās pretošanās kustības dalībniekiem par īpašumā bijušo zemi lauku apvidos piešķirtos sertifikātus</w:t>
            </w:r>
            <w:r w:rsidR="00045CB0" w:rsidRPr="00DE7623">
              <w:rPr>
                <w:sz w:val="28"/>
                <w:szCs w:val="28"/>
              </w:rPr>
              <w:t>”</w:t>
            </w:r>
            <w:r w:rsidRPr="00DE7623">
              <w:rPr>
                <w:bCs/>
                <w:sz w:val="28"/>
                <w:szCs w:val="28"/>
              </w:rPr>
              <w:t xml:space="preserve">, </w:t>
            </w:r>
            <w:r w:rsidR="00E12D11" w:rsidRPr="00DE7623">
              <w:rPr>
                <w:sz w:val="28"/>
                <w:szCs w:val="28"/>
              </w:rPr>
              <w:t xml:space="preserve"> 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r w:rsidRPr="00DE7623">
              <w:rPr>
                <w:i/>
                <w:sz w:val="28"/>
                <w:szCs w:val="28"/>
              </w:rPr>
              <w:t>Euro</w:t>
            </w:r>
            <w:r w:rsidRPr="00DE7623">
              <w:rPr>
                <w:sz w:val="28"/>
                <w:szCs w:val="28"/>
              </w:rPr>
              <w:t xml:space="preserve"> ieviešanas kārtības likuma</w:t>
            </w:r>
            <w:r w:rsidR="00692B4C">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EC6FA1" w:rsidRPr="00DE7623" w:rsidRDefault="00614084" w:rsidP="00EC6FA1">
            <w:pPr>
              <w:ind w:firstLine="425"/>
              <w:jc w:val="both"/>
              <w:rPr>
                <w:szCs w:val="28"/>
              </w:rPr>
            </w:pPr>
            <w:r w:rsidRPr="00DE7623">
              <w:rPr>
                <w:sz w:val="28"/>
                <w:szCs w:val="28"/>
              </w:rPr>
              <w:t>Saskaņā ar Ministru kabineta 2013.gada gada 29.maija rīkojuma Nr.212 „Par</w:t>
            </w:r>
            <w:r w:rsidR="00692B4C">
              <w:rPr>
                <w:sz w:val="28"/>
                <w:szCs w:val="28"/>
              </w:rPr>
              <w:t xml:space="preserve"> tiesību aktu grozījumu virzību </w:t>
            </w:r>
            <w:r w:rsidRPr="00DE7623">
              <w:rPr>
                <w:sz w:val="28"/>
                <w:szCs w:val="28"/>
              </w:rPr>
              <w:t xml:space="preserve">saistībā ar </w:t>
            </w:r>
            <w:r w:rsidRPr="00FC06B4">
              <w:rPr>
                <w:i/>
                <w:sz w:val="28"/>
                <w:szCs w:val="28"/>
              </w:rPr>
              <w:t>euro</w:t>
            </w:r>
            <w:r w:rsidRPr="00DE7623">
              <w:rPr>
                <w:sz w:val="28"/>
                <w:szCs w:val="28"/>
              </w:rPr>
              <w:t xml:space="preserve"> ieviešanu Latvijā”</w:t>
            </w:r>
            <w:r w:rsidR="00D262FE" w:rsidRPr="00DE7623">
              <w:rPr>
                <w:sz w:val="28"/>
                <w:szCs w:val="28"/>
              </w:rPr>
              <w:t xml:space="preserve"> </w:t>
            </w:r>
            <w:r w:rsidR="008C458E">
              <w:rPr>
                <w:sz w:val="28"/>
                <w:szCs w:val="28"/>
              </w:rPr>
              <w:t>1.5.apakšpunktu</w:t>
            </w:r>
            <w:r w:rsidR="00D262FE" w:rsidRPr="00DE7623">
              <w:rPr>
                <w:sz w:val="28"/>
                <w:szCs w:val="28"/>
              </w:rPr>
              <w:t xml:space="preserve"> </w:t>
            </w:r>
            <w:r w:rsidR="00EC6FA1" w:rsidRPr="00DE7623">
              <w:rPr>
                <w:sz w:val="28"/>
                <w:szCs w:val="28"/>
              </w:rPr>
              <w:t xml:space="preserve">Valsts kanceleja un katra ministrija savas kompetences ietvaros ne vēlāk kā līdz 2013.gada 6.augustam grozījumus Ministru kabineta noteikumos, instrukcijās un ieteikumos, kuri ir saistīti ar </w:t>
            </w:r>
            <w:r w:rsidR="00EC6FA1" w:rsidRPr="00DE7623">
              <w:rPr>
                <w:i/>
                <w:sz w:val="28"/>
                <w:szCs w:val="28"/>
              </w:rPr>
              <w:t>euro</w:t>
            </w:r>
            <w:r w:rsidR="00EC6FA1" w:rsidRPr="00DE7623">
              <w:rPr>
                <w:sz w:val="28"/>
                <w:szCs w:val="28"/>
              </w:rPr>
              <w:t xml:space="preserve"> ieviešanu un kuriem jāstājas spēkā </w:t>
            </w:r>
            <w:r w:rsidR="00EC6FA1" w:rsidRPr="00DE7623">
              <w:rPr>
                <w:i/>
                <w:sz w:val="28"/>
                <w:szCs w:val="28"/>
              </w:rPr>
              <w:t>euro</w:t>
            </w:r>
            <w:r w:rsidR="00EC6FA1" w:rsidRPr="00DE7623">
              <w:rPr>
                <w:sz w:val="28"/>
                <w:szCs w:val="28"/>
              </w:rPr>
              <w:t xml:space="preserve"> ieviešanas dienā, ie</w:t>
            </w:r>
            <w:r w:rsidR="008C458E">
              <w:rPr>
                <w:sz w:val="28"/>
                <w:szCs w:val="28"/>
              </w:rPr>
              <w:t xml:space="preserve">sniedz izsludināšanai </w:t>
            </w:r>
            <w:r w:rsidR="00EC6FA1" w:rsidRPr="00DE7623">
              <w:rPr>
                <w:sz w:val="28"/>
                <w:szCs w:val="28"/>
              </w:rPr>
              <w:t xml:space="preserve">Valsts sekretāru </w:t>
            </w:r>
            <w:r w:rsidR="00EC6FA1" w:rsidRPr="00DE7623">
              <w:rPr>
                <w:sz w:val="28"/>
                <w:szCs w:val="28"/>
              </w:rPr>
              <w:lastRenderedPageBreak/>
              <w:t>sanāksmē ar divu nedēļu saskaņošanas termiņu (tos projektus, kuros nav izmantots Euro ieviešanas kārtības likuma 32.panta otrās daļas 2.punkts var izsludināt saīsinātā izsludināšanas un saskaņošanas kārtībā (noklusējuma saskaņojums).</w:t>
            </w:r>
          </w:p>
          <w:p w:rsidR="004F470B" w:rsidRDefault="00EC6FA1" w:rsidP="004F470B">
            <w:pPr>
              <w:pStyle w:val="ListParagraph"/>
              <w:ind w:left="45" w:firstLine="426"/>
              <w:jc w:val="both"/>
              <w:rPr>
                <w:sz w:val="28"/>
                <w:szCs w:val="28"/>
              </w:rPr>
            </w:pPr>
            <w:r w:rsidRPr="00DE7623">
              <w:rPr>
                <w:sz w:val="28"/>
                <w:szCs w:val="28"/>
              </w:rPr>
              <w:t xml:space="preserve">Saskaņā ar EIKL 6.panta pirmo daļu Latu konvertācijā uz </w:t>
            </w:r>
            <w:r w:rsidRPr="00DE7623">
              <w:rPr>
                <w:i/>
                <w:sz w:val="28"/>
                <w:szCs w:val="28"/>
              </w:rPr>
              <w:t>euro</w:t>
            </w:r>
            <w:r w:rsidRPr="00DE7623">
              <w:rPr>
                <w:sz w:val="28"/>
                <w:szCs w:val="28"/>
              </w:rPr>
              <w:t xml:space="preserve"> izmanto Padomes noteikto maiņas kursu no latiem uz</w:t>
            </w:r>
            <w:r w:rsidRPr="00DE7623">
              <w:rPr>
                <w:i/>
                <w:sz w:val="28"/>
                <w:szCs w:val="28"/>
              </w:rPr>
              <w:t xml:space="preserve"> euro</w:t>
            </w:r>
            <w:r w:rsidRPr="00DE7623">
              <w:rPr>
                <w:sz w:val="28"/>
                <w:szCs w:val="28"/>
              </w:rPr>
              <w:t xml:space="preserve">. Atbilstoši šī panta otrajai daļai  naudas summas un vērtības naudas izteiksmē pēc latu konvertācijas uz </w:t>
            </w:r>
            <w:r w:rsidRPr="00DE7623">
              <w:rPr>
                <w:i/>
                <w:sz w:val="28"/>
                <w:szCs w:val="28"/>
              </w:rPr>
              <w:t>euro</w:t>
            </w:r>
            <w:r w:rsidRPr="00DE7623">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004F470B" w:rsidRPr="00BE7142">
              <w:rPr>
                <w:sz w:val="28"/>
                <w:szCs w:val="28"/>
              </w:rPr>
              <w:t xml:space="preserve"> Eiropas Ekonomikas un fina</w:t>
            </w:r>
            <w:r w:rsidR="004F470B">
              <w:rPr>
                <w:sz w:val="28"/>
                <w:szCs w:val="28"/>
              </w:rPr>
              <w:t>nšu lietu padome (ECOFIN) 2013.</w:t>
            </w:r>
            <w:r w:rsidR="004F470B" w:rsidRPr="00BE7142">
              <w:rPr>
                <w:sz w:val="28"/>
                <w:szCs w:val="28"/>
              </w:rPr>
              <w:t xml:space="preserve">gada 9.jūlijā </w:t>
            </w:r>
            <w:r w:rsidR="004F470B">
              <w:rPr>
                <w:sz w:val="28"/>
                <w:szCs w:val="28"/>
              </w:rPr>
              <w:t>pieņēma</w:t>
            </w:r>
            <w:r w:rsidR="004F470B" w:rsidRPr="00BE7142">
              <w:rPr>
                <w:sz w:val="28"/>
                <w:szCs w:val="28"/>
              </w:rPr>
              <w:t xml:space="preserve"> galīgo lēmumu par Latvijas pilntiesīgu dalību Ekonomikas un monetārajā savienībā (EMS) no 2014. gada 1.janvāra, atceļot līdz šim spēkā bijušo "atliktās dalības" statusu. Vienlaikus Latvijas Bankas vēl 2005. gadā fiksētais lata kurss attiecībā pret eiro - 0.702804 - </w:t>
            </w:r>
            <w:r w:rsidR="004F470B" w:rsidRPr="00BE7142">
              <w:rPr>
                <w:sz w:val="28"/>
                <w:szCs w:val="28"/>
                <w:u w:val="single"/>
              </w:rPr>
              <w:t>apstiprināts kā neatsaucami fiksēts pārejas kurss uz eiro</w:t>
            </w:r>
            <w:r w:rsidR="004F470B" w:rsidRPr="00BE7142">
              <w:rPr>
                <w:sz w:val="28"/>
                <w:szCs w:val="28"/>
              </w:rPr>
              <w:t>.</w:t>
            </w:r>
            <w:r w:rsidR="004F470B">
              <w:rPr>
                <w:sz w:val="28"/>
                <w:szCs w:val="28"/>
              </w:rPr>
              <w:t xml:space="preserve"> Līdz ar to par pamatu šo Ministru kabineta noteikumu grozījumiem tiek ņemts </w:t>
            </w:r>
            <w:r w:rsidR="004F470B" w:rsidRPr="00BE7142">
              <w:rPr>
                <w:sz w:val="28"/>
                <w:szCs w:val="28"/>
              </w:rPr>
              <w:t>Latvijas Bankas vēl 2005. gadā fiksētais lata kurss a</w:t>
            </w:r>
            <w:r w:rsidR="004F470B">
              <w:rPr>
                <w:sz w:val="28"/>
                <w:szCs w:val="28"/>
              </w:rPr>
              <w:t xml:space="preserve">ttiecībā pret eiro - 0.702804, kas </w:t>
            </w:r>
            <w:r w:rsidR="004F470B" w:rsidRPr="00BE7142">
              <w:rPr>
                <w:sz w:val="28"/>
                <w:szCs w:val="28"/>
                <w:u w:val="single"/>
              </w:rPr>
              <w:t>šobrīd</w:t>
            </w:r>
            <w:r w:rsidR="004F470B">
              <w:rPr>
                <w:sz w:val="28"/>
                <w:szCs w:val="28"/>
              </w:rPr>
              <w:t xml:space="preserve"> </w:t>
            </w:r>
            <w:r w:rsidR="004F470B" w:rsidRPr="00BE7142">
              <w:rPr>
                <w:sz w:val="28"/>
                <w:szCs w:val="28"/>
                <w:u w:val="single"/>
              </w:rPr>
              <w:t>apstiprināts kā neatsaucami fiksēts pārejas kurss uz eiro</w:t>
            </w:r>
            <w:r w:rsidR="004F470B">
              <w:rPr>
                <w:sz w:val="28"/>
                <w:szCs w:val="28"/>
                <w:u w:val="single"/>
              </w:rPr>
              <w:t>.</w:t>
            </w:r>
            <w:r w:rsidR="004F470B">
              <w:rPr>
                <w:sz w:val="28"/>
                <w:szCs w:val="28"/>
              </w:rPr>
              <w:t xml:space="preserve">  </w:t>
            </w:r>
          </w:p>
          <w:p w:rsidR="005C21BE" w:rsidRDefault="00EC6FA1" w:rsidP="005C21BE">
            <w:pPr>
              <w:ind w:firstLine="425"/>
              <w:jc w:val="both"/>
              <w:rPr>
                <w:sz w:val="28"/>
                <w:szCs w:val="28"/>
              </w:rPr>
            </w:pPr>
            <w:r w:rsidRPr="00DE7623">
              <w:rPr>
                <w:sz w:val="28"/>
                <w:szCs w:val="28"/>
              </w:rPr>
              <w:t>Ministru kabineta</w:t>
            </w:r>
            <w:r w:rsidR="00D46498" w:rsidRPr="00DE7623">
              <w:rPr>
                <w:sz w:val="28"/>
                <w:szCs w:val="28"/>
              </w:rPr>
              <w:t xml:space="preserve"> </w:t>
            </w:r>
            <w:r w:rsidR="005C21BE">
              <w:rPr>
                <w:sz w:val="28"/>
                <w:szCs w:val="28"/>
              </w:rPr>
              <w:t>1999</w:t>
            </w:r>
            <w:r w:rsidR="00FC06B4">
              <w:rPr>
                <w:sz w:val="28"/>
                <w:szCs w:val="28"/>
              </w:rPr>
              <w:t xml:space="preserve">.gada </w:t>
            </w:r>
            <w:r w:rsidR="005C21BE">
              <w:rPr>
                <w:sz w:val="28"/>
                <w:szCs w:val="28"/>
              </w:rPr>
              <w:t>16.februāra</w:t>
            </w:r>
            <w:r w:rsidRPr="00DE7623">
              <w:rPr>
                <w:sz w:val="28"/>
                <w:szCs w:val="28"/>
              </w:rPr>
              <w:t xml:space="preserve"> noteikum</w:t>
            </w:r>
            <w:r w:rsidR="00FC06B4">
              <w:rPr>
                <w:sz w:val="28"/>
                <w:szCs w:val="28"/>
              </w:rPr>
              <w:t>u</w:t>
            </w:r>
            <w:r w:rsidR="00DE7623" w:rsidRPr="00DE7623">
              <w:rPr>
                <w:sz w:val="28"/>
                <w:szCs w:val="28"/>
              </w:rPr>
              <w:t xml:space="preserve"> Nr.</w:t>
            </w:r>
            <w:r w:rsidR="005C21BE">
              <w:rPr>
                <w:sz w:val="28"/>
                <w:szCs w:val="28"/>
              </w:rPr>
              <w:t>51</w:t>
            </w:r>
            <w:r w:rsidR="00DE7623" w:rsidRPr="00DE7623">
              <w:rPr>
                <w:sz w:val="28"/>
                <w:szCs w:val="28"/>
              </w:rPr>
              <w:t xml:space="preserve"> </w:t>
            </w:r>
            <w:r w:rsidRPr="00DE7623">
              <w:rPr>
                <w:sz w:val="28"/>
                <w:szCs w:val="28"/>
              </w:rPr>
              <w:t>„</w:t>
            </w:r>
            <w:r w:rsidR="005C21BE" w:rsidRPr="005C21BE">
              <w:rPr>
                <w:sz w:val="28"/>
                <w:szCs w:val="28"/>
              </w:rPr>
              <w:t>Kārtība, kādā izmaksājama kompensāci</w:t>
            </w:r>
            <w:r w:rsidR="005C21BE">
              <w:rPr>
                <w:sz w:val="28"/>
                <w:szCs w:val="28"/>
              </w:rPr>
              <w:t xml:space="preserve">ja naudā, </w:t>
            </w:r>
            <w:r w:rsidR="005C21BE" w:rsidRPr="005C21BE">
              <w:rPr>
                <w:sz w:val="28"/>
                <w:szCs w:val="28"/>
              </w:rPr>
              <w:t xml:space="preserve">dzēšot nacionālās pretošanās kustības dalībniekiem par īpašumā bijušo zemi lauku apvidos piešķirtos sertifikātus </w:t>
            </w:r>
            <w:r w:rsidRPr="00DE7623">
              <w:rPr>
                <w:sz w:val="28"/>
                <w:szCs w:val="28"/>
              </w:rPr>
              <w:t xml:space="preserve">” 2.punktā ir noteikts, ka </w:t>
            </w:r>
            <w:r w:rsidR="005C21BE">
              <w:t xml:space="preserve"> </w:t>
            </w:r>
            <w:r w:rsidR="005C21BE">
              <w:rPr>
                <w:sz w:val="28"/>
                <w:szCs w:val="28"/>
              </w:rPr>
              <w:t>t</w:t>
            </w:r>
            <w:r w:rsidR="005C21BE" w:rsidRPr="005C21BE">
              <w:rPr>
                <w:sz w:val="28"/>
                <w:szCs w:val="28"/>
              </w:rPr>
              <w:t>iesības dzēst sertifikātus, saņemot to nominālvērtību naudā (</w:t>
            </w:r>
            <w:r w:rsidR="005C21BE" w:rsidRPr="005C21BE">
              <w:rPr>
                <w:b/>
                <w:sz w:val="28"/>
                <w:szCs w:val="28"/>
              </w:rPr>
              <w:t>28 lati par vienu sertifikātu</w:t>
            </w:r>
            <w:r w:rsidR="005C21BE" w:rsidRPr="005C21BE">
              <w:rPr>
                <w:sz w:val="28"/>
                <w:szCs w:val="28"/>
              </w:rPr>
              <w:t xml:space="preserve">), ir nacionālās pretošanās kustības dalībniekiem, kuri kompensāciju par īpašumā bijušo zemi lauku apvidos pieprasījuši līdz 1992.gada 31.decembrim un ir bijušo zemes īpašnieku pirmās šķiras mantinieki vai bijušo zemes īpašnieku pārdzīvojušie laulātie. </w:t>
            </w:r>
          </w:p>
          <w:p w:rsidR="003B760A" w:rsidRPr="00B84FDF" w:rsidRDefault="005C21BE" w:rsidP="00B84FDF">
            <w:pPr>
              <w:ind w:firstLine="425"/>
              <w:jc w:val="both"/>
              <w:rPr>
                <w:sz w:val="28"/>
                <w:szCs w:val="28"/>
              </w:rPr>
            </w:pPr>
            <w:r>
              <w:rPr>
                <w:sz w:val="28"/>
                <w:szCs w:val="28"/>
              </w:rPr>
              <w:t>L</w:t>
            </w:r>
            <w:r w:rsidR="00EC6FA1" w:rsidRPr="00DE7623">
              <w:rPr>
                <w:sz w:val="28"/>
                <w:szCs w:val="28"/>
                <w:lang w:eastAsia="en-US"/>
              </w:rPr>
              <w:t xml:space="preserve">īdz ar to, lai </w:t>
            </w:r>
            <w:r w:rsidR="00EC6FA1" w:rsidRPr="00DE7623">
              <w:rPr>
                <w:sz w:val="28"/>
                <w:szCs w:val="28"/>
              </w:rPr>
              <w:t xml:space="preserve">nodrošinātu, ka ar 2014.gada 1.janvāri varētu ieviest </w:t>
            </w:r>
            <w:r w:rsidR="00EC6FA1" w:rsidRPr="00DE7623">
              <w:rPr>
                <w:i/>
                <w:sz w:val="28"/>
                <w:szCs w:val="28"/>
              </w:rPr>
              <w:t>euro</w:t>
            </w:r>
            <w:r w:rsidR="00EC6FA1" w:rsidRPr="00DE7623">
              <w:rPr>
                <w:sz w:val="28"/>
                <w:szCs w:val="28"/>
              </w:rPr>
              <w:t xml:space="preserve"> Latvijas Republikā, ir  nepieciešami grozījumi Ministru kabineta </w:t>
            </w:r>
            <w:r>
              <w:rPr>
                <w:sz w:val="28"/>
                <w:szCs w:val="28"/>
              </w:rPr>
              <w:t>1999</w:t>
            </w:r>
            <w:r w:rsidR="00EC6FA1" w:rsidRPr="00DE7623">
              <w:rPr>
                <w:sz w:val="28"/>
                <w:szCs w:val="28"/>
              </w:rPr>
              <w:t xml:space="preserve">.gada </w:t>
            </w:r>
            <w:r>
              <w:rPr>
                <w:sz w:val="28"/>
                <w:szCs w:val="28"/>
              </w:rPr>
              <w:t>16.februāra noteikumos Nr.51</w:t>
            </w:r>
            <w:r w:rsidR="00EC6FA1" w:rsidRPr="00DE7623">
              <w:rPr>
                <w:sz w:val="28"/>
                <w:szCs w:val="28"/>
              </w:rPr>
              <w:t xml:space="preserve"> „</w:t>
            </w:r>
            <w:r w:rsidRPr="005C21BE">
              <w:rPr>
                <w:sz w:val="28"/>
                <w:szCs w:val="28"/>
              </w:rPr>
              <w:t xml:space="preserve">Kārtība, kādā </w:t>
            </w:r>
            <w:r w:rsidRPr="005C21BE">
              <w:rPr>
                <w:sz w:val="28"/>
                <w:szCs w:val="28"/>
              </w:rPr>
              <w:lastRenderedPageBreak/>
              <w:t>izmaksājama kompensācija naudā, dzēšot nacionālās pretošanās kustības dalībniekiem par īpašumā bijušo zemi lauku apvidos piešķirtos sertifikātus</w:t>
            </w:r>
            <w:r w:rsidR="00EC6FA1" w:rsidRPr="00DE7623">
              <w:rPr>
                <w:sz w:val="28"/>
                <w:szCs w:val="28"/>
              </w:rPr>
              <w:t>”,</w:t>
            </w:r>
            <w:r w:rsidR="00D46498" w:rsidRPr="00DE7623">
              <w:rPr>
                <w:sz w:val="28"/>
                <w:szCs w:val="28"/>
              </w:rPr>
              <w:t xml:space="preserve"> nosakot, ka </w:t>
            </w:r>
            <w:r w:rsidR="00B84FDF">
              <w:rPr>
                <w:sz w:val="28"/>
                <w:szCs w:val="28"/>
              </w:rPr>
              <w:t xml:space="preserve"> </w:t>
            </w:r>
            <w:r w:rsidR="00B84FDF" w:rsidRPr="005C21BE">
              <w:rPr>
                <w:sz w:val="28"/>
                <w:szCs w:val="28"/>
              </w:rPr>
              <w:t>nacionālās pretošanās kustības dalībniekiem, kuri kompensāciju par īpašumā bijušo zemi lauku apvidos pieprasījuši līdz 1992.gada 31.decembrim un ir bijušo zemes īpašnieku pirmās šķiras mantinieki vai bijušo zemes īpašnieku pārdzīvojušie laulātie</w:t>
            </w:r>
            <w:r w:rsidR="00B84FDF">
              <w:rPr>
                <w:sz w:val="28"/>
                <w:szCs w:val="28"/>
              </w:rPr>
              <w:t xml:space="preserve"> ir iespējas </w:t>
            </w:r>
            <w:r w:rsidR="00B84FDF" w:rsidRPr="00DE7623">
              <w:rPr>
                <w:sz w:val="28"/>
                <w:szCs w:val="28"/>
              </w:rPr>
              <w:t xml:space="preserve"> saņemt kompensācijas sertifikātu latu vietā </w:t>
            </w:r>
            <w:r w:rsidR="00B84FDF" w:rsidRPr="00DE7623">
              <w:rPr>
                <w:i/>
                <w:sz w:val="28"/>
                <w:szCs w:val="28"/>
              </w:rPr>
              <w:t>euro</w:t>
            </w:r>
            <w:r w:rsidR="00B84FDF" w:rsidRPr="00DE7623">
              <w:rPr>
                <w:sz w:val="28"/>
                <w:szCs w:val="28"/>
              </w:rPr>
              <w:t>, kas noteikts ievērojot</w:t>
            </w:r>
            <w:r w:rsidR="00B84FDF" w:rsidRPr="00DE7623">
              <w:rPr>
                <w:sz w:val="28"/>
                <w:szCs w:val="28"/>
                <w:u w:val="single"/>
              </w:rPr>
              <w:t xml:space="preserve"> EIKL 6.pantā noteiktos principu.</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3B760A" w:rsidRPr="00DE7623" w:rsidRDefault="00A8226E" w:rsidP="001811AA">
            <w:pPr>
              <w:ind w:firstLine="426"/>
              <w:jc w:val="both"/>
              <w:rPr>
                <w:iCs/>
                <w:szCs w:val="28"/>
                <w:lang w:eastAsia="en-US"/>
              </w:rPr>
            </w:pPr>
            <w:r w:rsidRPr="00DE7623">
              <w:rPr>
                <w:sz w:val="28"/>
                <w:szCs w:val="28"/>
                <w:lang w:eastAsia="en-US"/>
              </w:rPr>
              <w:t>Š</w:t>
            </w:r>
            <w:r w:rsidR="001811AA">
              <w:rPr>
                <w:sz w:val="28"/>
                <w:szCs w:val="28"/>
                <w:lang w:eastAsia="en-US"/>
              </w:rPr>
              <w:t xml:space="preserve">o ministra kabineta noteikumu projekta </w:t>
            </w:r>
            <w:r w:rsidRPr="00DE7623">
              <w:rPr>
                <w:sz w:val="28"/>
                <w:szCs w:val="28"/>
                <w:lang w:eastAsia="en-US"/>
              </w:rPr>
              <w:t xml:space="preserve">mērķis </w:t>
            </w:r>
            <w:r w:rsidR="00A818A3" w:rsidRPr="00A818A3">
              <w:rPr>
                <w:i/>
                <w:sz w:val="28"/>
                <w:szCs w:val="28"/>
                <w:lang w:eastAsia="en-US"/>
              </w:rPr>
              <w:t>euro</w:t>
            </w:r>
            <w:r w:rsidR="00A818A3">
              <w:rPr>
                <w:sz w:val="28"/>
                <w:szCs w:val="28"/>
                <w:lang w:eastAsia="en-US"/>
              </w:rPr>
              <w:t xml:space="preserve"> ieviešanas dienā</w:t>
            </w:r>
            <w:r w:rsidRPr="00DE7623">
              <w:rPr>
                <w:sz w:val="28"/>
                <w:szCs w:val="28"/>
                <w:lang w:eastAsia="en-US"/>
              </w:rPr>
              <w:t xml:space="preserve"> pielāgot</w:t>
            </w:r>
            <w:r w:rsidRPr="00DE7623">
              <w:rPr>
                <w:iCs/>
                <w:sz w:val="28"/>
                <w:szCs w:val="28"/>
                <w:lang w:eastAsia="en-US"/>
              </w:rPr>
              <w:t xml:space="preserve"> </w:t>
            </w:r>
            <w:r w:rsidR="00D46498" w:rsidRPr="00DE7623">
              <w:rPr>
                <w:iCs/>
                <w:sz w:val="28"/>
                <w:szCs w:val="28"/>
                <w:lang w:eastAsia="en-US"/>
              </w:rPr>
              <w:t xml:space="preserve">Ministru kabineta </w:t>
            </w:r>
            <w:r w:rsidR="005105E8">
              <w:rPr>
                <w:sz w:val="28"/>
                <w:szCs w:val="28"/>
              </w:rPr>
              <w:t>1999</w:t>
            </w:r>
            <w:r w:rsidR="00765A01">
              <w:rPr>
                <w:sz w:val="28"/>
                <w:szCs w:val="28"/>
              </w:rPr>
              <w:t xml:space="preserve">.gada </w:t>
            </w:r>
            <w:r w:rsidR="005105E8">
              <w:rPr>
                <w:sz w:val="28"/>
                <w:szCs w:val="28"/>
              </w:rPr>
              <w:t>16.februāra</w:t>
            </w:r>
            <w:r w:rsidR="00765A01">
              <w:rPr>
                <w:sz w:val="28"/>
                <w:szCs w:val="28"/>
              </w:rPr>
              <w:t xml:space="preserve"> noteikumus Nr.</w:t>
            </w:r>
            <w:r w:rsidR="005105E8">
              <w:rPr>
                <w:sz w:val="28"/>
                <w:szCs w:val="28"/>
              </w:rPr>
              <w:t>51</w:t>
            </w:r>
            <w:r w:rsidR="00765A01">
              <w:rPr>
                <w:sz w:val="28"/>
                <w:szCs w:val="28"/>
              </w:rPr>
              <w:t xml:space="preserve"> </w:t>
            </w:r>
            <w:r w:rsidR="00D46498" w:rsidRPr="00DE7623">
              <w:rPr>
                <w:sz w:val="28"/>
                <w:szCs w:val="28"/>
              </w:rPr>
              <w:t>„</w:t>
            </w:r>
            <w:r w:rsidR="005105E8" w:rsidRPr="005105E8">
              <w:rPr>
                <w:sz w:val="28"/>
                <w:szCs w:val="28"/>
              </w:rPr>
              <w:t>Kārtība, kādā izmaksājama kompensācija naudā, dzēšot nacionālās pretošanās kustības dalībniekiem par īpašumā bijušo zemi lauku apvidos piešķirtos sertifikātus</w:t>
            </w:r>
            <w:r w:rsidR="00D46498" w:rsidRPr="00DE7623">
              <w:rPr>
                <w:sz w:val="28"/>
                <w:szCs w:val="28"/>
              </w:rPr>
              <w:t xml:space="preserve">” </w:t>
            </w:r>
            <w:r w:rsidR="00D46498" w:rsidRPr="00DE7623">
              <w:rPr>
                <w:i/>
                <w:sz w:val="28"/>
                <w:szCs w:val="28"/>
              </w:rPr>
              <w:t>euro</w:t>
            </w:r>
            <w:r w:rsidR="00D46498" w:rsidRPr="00DE7623">
              <w:rPr>
                <w:sz w:val="28"/>
                <w:szCs w:val="28"/>
              </w:rPr>
              <w:t xml:space="preserve"> ieviešanai, lai atbilstoši šo noteikumu 2</w:t>
            </w:r>
            <w:r w:rsidR="008C72D9">
              <w:rPr>
                <w:sz w:val="28"/>
                <w:szCs w:val="28"/>
              </w:rPr>
              <w:t xml:space="preserve">.punktā noteiktajam regulējumam </w:t>
            </w:r>
            <w:r w:rsidR="005105E8">
              <w:rPr>
                <w:sz w:val="28"/>
                <w:szCs w:val="28"/>
              </w:rPr>
              <w:t xml:space="preserve">nacionālās pretošanās </w:t>
            </w:r>
            <w:r w:rsidR="005105E8" w:rsidRPr="005C21BE">
              <w:rPr>
                <w:sz w:val="28"/>
                <w:szCs w:val="28"/>
              </w:rPr>
              <w:t>kustības dalībniekiem, kuri kompensāciju par īpašumā bijušo zemi lauku apvidos pieprasījuši līdz 1992.gada 31.decembrim un ir bijušo zemes īpašnieku pirmās šķiras mantinieki vai bijušo zemes īpašnieku pārdzīvojušie laulātie</w:t>
            </w:r>
            <w:r w:rsidR="005105E8">
              <w:rPr>
                <w:sz w:val="28"/>
                <w:szCs w:val="28"/>
              </w:rPr>
              <w:t xml:space="preserve"> </w:t>
            </w:r>
            <w:r w:rsidR="00D46498" w:rsidRPr="00DE7623">
              <w:rPr>
                <w:sz w:val="28"/>
                <w:szCs w:val="28"/>
              </w:rPr>
              <w:t xml:space="preserve">dzēšot privatizācijas sertifikātus būtu iespējams saņemt to vērtību naudā - 39,84 </w:t>
            </w:r>
            <w:r w:rsidR="00D46498" w:rsidRPr="00DE7623">
              <w:rPr>
                <w:i/>
                <w:sz w:val="28"/>
                <w:szCs w:val="28"/>
              </w:rPr>
              <w:t>euro</w:t>
            </w:r>
            <w:r w:rsidR="00D46498" w:rsidRPr="00DE7623">
              <w:t>.</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092D03">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 </w:t>
            </w:r>
            <w:r w:rsidR="00092D03" w:rsidRPr="00092D03">
              <w:rPr>
                <w:i/>
                <w:sz w:val="28"/>
                <w:szCs w:val="28"/>
              </w:rPr>
              <w:t>Euro</w:t>
            </w:r>
            <w:r w:rsidR="00092D03">
              <w:rPr>
                <w:sz w:val="28"/>
                <w:szCs w:val="28"/>
              </w:rPr>
              <w:t xml:space="preserve"> ieviešanas kārtības likuma</w:t>
            </w:r>
            <w:r w:rsidR="00FC06B4">
              <w:rPr>
                <w:sz w:val="28"/>
                <w:szCs w:val="28"/>
              </w:rPr>
              <w:t xml:space="preserve"> izpildi, kā arī </w:t>
            </w:r>
            <w:r w:rsidR="00FC06B4">
              <w:t xml:space="preserve"> </w:t>
            </w:r>
            <w:r w:rsidR="00FC06B4" w:rsidRPr="00FC06B4">
              <w:rPr>
                <w:sz w:val="28"/>
                <w:szCs w:val="28"/>
              </w:rPr>
              <w:t>nemaina pastāvošo tiesisko regulējumu pēc būtības</w:t>
            </w:r>
            <w:r w:rsidR="00FC06B4">
              <w:rPr>
                <w:sz w:val="28"/>
                <w:szCs w:val="28"/>
              </w:rPr>
              <w:t>.</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DE7623" w:rsidRDefault="003B760A" w:rsidP="00914A7B">
            <w:pPr>
              <w:pStyle w:val="naiskr"/>
              <w:spacing w:before="0" w:after="0"/>
              <w:ind w:firstLine="426"/>
              <w:jc w:val="both"/>
              <w:rPr>
                <w:color w:val="auto"/>
                <w:szCs w:val="28"/>
              </w:rPr>
            </w:pPr>
            <w:r w:rsidRPr="00DE7623">
              <w:rPr>
                <w:color w:val="auto"/>
                <w:sz w:val="28"/>
                <w:szCs w:val="28"/>
              </w:rPr>
              <w:t>Nav.</w:t>
            </w:r>
          </w:p>
        </w:tc>
      </w:tr>
    </w:tbl>
    <w:p w:rsidR="00DE7623" w:rsidRDefault="00DE7623" w:rsidP="00DE7623">
      <w:pPr>
        <w:rPr>
          <w:sz w:val="28"/>
          <w:szCs w:val="28"/>
        </w:rPr>
      </w:pPr>
    </w:p>
    <w:p w:rsidR="008C72D9" w:rsidRPr="00DE7623" w:rsidRDefault="008C72D9" w:rsidP="00DE7623">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DE7623" w:rsidRPr="00DE7623" w:rsidTr="00B9364F">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lastRenderedPageBreak/>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4. Finanšu līdzekļi papildu 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BB075F" w:rsidRDefault="00BB075F" w:rsidP="00C6038D">
                  <w:pPr>
                    <w:rPr>
                      <w:rFonts w:eastAsiaTheme="minorHAnsi" w:cstheme="minorBidi"/>
                      <w:lang w:eastAsia="en-US"/>
                    </w:rPr>
                  </w:pPr>
                </w:p>
                <w:p w:rsidR="008C72D9" w:rsidRDefault="008C72D9" w:rsidP="00C6038D">
                  <w:pPr>
                    <w:rPr>
                      <w:rFonts w:eastAsiaTheme="minorHAnsi" w:cstheme="minorBidi"/>
                      <w:lang w:eastAsia="en-US"/>
                    </w:rPr>
                  </w:pPr>
                </w:p>
                <w:p w:rsidR="008C72D9" w:rsidRDefault="008C72D9" w:rsidP="00C6038D">
                  <w:pPr>
                    <w:rPr>
                      <w:rFonts w:eastAsiaTheme="minorHAnsi" w:cstheme="minorBidi"/>
                      <w:lang w:eastAsia="en-US"/>
                    </w:rPr>
                  </w:pPr>
                </w:p>
                <w:p w:rsidR="008C72D9" w:rsidRDefault="008C72D9" w:rsidP="00C6038D">
                  <w:pPr>
                    <w:rPr>
                      <w:rFonts w:eastAsiaTheme="minorHAnsi" w:cstheme="minorBidi"/>
                      <w:lang w:eastAsia="en-US"/>
                    </w:rPr>
                  </w:pPr>
                </w:p>
                <w:p w:rsidR="008C72D9" w:rsidRPr="00DE7623" w:rsidRDefault="008C72D9" w:rsidP="00C6038D">
                  <w:pPr>
                    <w:rPr>
                      <w:rFonts w:eastAsiaTheme="minorHAnsi" w:cstheme="minorBidi"/>
                      <w:lang w:eastAsia="en-US"/>
                    </w:rPr>
                  </w:pP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7.Cita 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BB075F" w:rsidRDefault="00DE7623" w:rsidP="00B9364F">
                  <w:pPr>
                    <w:ind w:firstLine="556"/>
                    <w:jc w:val="both"/>
                    <w:rPr>
                      <w:lang w:eastAsia="en-US"/>
                    </w:rPr>
                  </w:pPr>
                  <w:r>
                    <w:rPr>
                      <w:sz w:val="28"/>
                      <w:lang w:eastAsia="en-US"/>
                    </w:rPr>
                    <w:t xml:space="preserve">Ministru kabineta noteikumos paredzētā lata </w:t>
                  </w:r>
                  <w:r w:rsidRPr="00DE7623">
                    <w:rPr>
                      <w:sz w:val="28"/>
                      <w:lang w:eastAsia="en-US"/>
                    </w:rPr>
                    <w:t xml:space="preserve">valūtas konvertācija uz </w:t>
                  </w:r>
                  <w:r w:rsidRPr="00DE7623">
                    <w:rPr>
                      <w:i/>
                      <w:sz w:val="28"/>
                      <w:lang w:eastAsia="en-US"/>
                    </w:rPr>
                    <w:t>euro</w:t>
                  </w:r>
                  <w:r w:rsidRPr="00DE7623">
                    <w:rPr>
                      <w:sz w:val="28"/>
                      <w:lang w:eastAsia="en-US"/>
                    </w:rPr>
                    <w:t xml:space="preserve"> neradīs ietekmi uz budžetu, jo tā tiek veikta ievērojot </w:t>
                  </w:r>
                  <w:r w:rsidRPr="00DE7623">
                    <w:rPr>
                      <w:i/>
                      <w:sz w:val="28"/>
                      <w:lang w:eastAsia="en-US"/>
                    </w:rPr>
                    <w:t>Euro</w:t>
                  </w:r>
                  <w:r w:rsidRPr="00DE7623">
                    <w:rPr>
                      <w:sz w:val="28"/>
                      <w:lang w:eastAsia="en-US"/>
                    </w:rPr>
                    <w:t xml:space="preserve"> ieviešanas likuma 6.pantā noteikto principu un attiecīgi tam ir neitrāla ietekme uz valsts budžetu. Vienlaicīgi ir jānorāda, ka atbilstoši Ministru kabineta 2011.gada 20.decembra noteikumiem Nr.976 „Kārtība, kādā veicami atskaitījumi Privatizācijas aģentūrai par valsts īpašuma privatizāciju, valsts kapitāla daļu atsavināšanu un citām normatīvajos aktos noteiktajām darbībām, izveidojams un izlietojams rezerves fonds un veicami maksājumi valsts budžetā” 27.10.punktam noteiktām kategoriju personām dzēšot īpašuma kompensācijas sertifikātus naudā izmaksā no valsts akciju sabiedrības „Privatizācijas aģentūra” rezerves fonda.</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Default="00BB075F" w:rsidP="00BB075F">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BB075F" w:rsidRPr="00DE7623" w:rsidRDefault="00BB075F" w:rsidP="00DE7623">
      <w:pPr>
        <w:rPr>
          <w:vanish/>
          <w:sz w:val="28"/>
          <w:szCs w:val="28"/>
        </w:rPr>
      </w:pP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2F2FF4" w:rsidRDefault="006A6B1B" w:rsidP="002F2FF4">
      <w:pPr>
        <w:rPr>
          <w:rFonts w:eastAsia="Calibri"/>
          <w:b/>
          <w:sz w:val="28"/>
          <w:szCs w:val="28"/>
        </w:rPr>
      </w:pPr>
      <w:r>
        <w:rPr>
          <w:rFonts w:eastAsia="Calibri"/>
          <w:b/>
          <w:sz w:val="28"/>
          <w:szCs w:val="28"/>
        </w:rPr>
        <w:t xml:space="preserve">ekonomikas </w:t>
      </w:r>
      <w:r w:rsidR="00E643D2">
        <w:rPr>
          <w:rFonts w:eastAsia="Calibri"/>
          <w:b/>
          <w:sz w:val="28"/>
          <w:szCs w:val="28"/>
        </w:rPr>
        <w:t>ministra pienākumu izpildītājs -</w:t>
      </w:r>
    </w:p>
    <w:p w:rsidR="002F2FF4" w:rsidRDefault="002F2FF4" w:rsidP="002F2FF4">
      <w:pPr>
        <w:rPr>
          <w:rFonts w:ascii="Calibri" w:eastAsia="Calibri" w:hAnsi="Calibri" w:cs="Calibri"/>
          <w:b/>
          <w:sz w:val="22"/>
          <w:szCs w:val="22"/>
          <w:lang w:val="en-AU"/>
        </w:rPr>
      </w:pPr>
      <w:r>
        <w:rPr>
          <w:rFonts w:eastAsia="Calibri"/>
          <w:b/>
          <w:sz w:val="28"/>
          <w:szCs w:val="28"/>
        </w:rPr>
        <w:t>iekšlietu ministrs                               </w:t>
      </w:r>
      <w:r>
        <w:rPr>
          <w:rFonts w:eastAsia="Calibri"/>
          <w:b/>
          <w:sz w:val="28"/>
          <w:szCs w:val="28"/>
        </w:rPr>
        <w:tab/>
      </w:r>
      <w:r>
        <w:rPr>
          <w:rFonts w:eastAsia="Calibri"/>
          <w:b/>
          <w:sz w:val="28"/>
          <w:szCs w:val="28"/>
        </w:rPr>
        <w:tab/>
      </w:r>
      <w:r>
        <w:rPr>
          <w:rFonts w:eastAsia="Calibri"/>
          <w:b/>
          <w:sz w:val="28"/>
          <w:szCs w:val="28"/>
        </w:rPr>
        <w:tab/>
        <w:t xml:space="preserve"> </w:t>
      </w:r>
      <w:r>
        <w:rPr>
          <w:rFonts w:eastAsia="Calibri"/>
          <w:b/>
          <w:sz w:val="28"/>
          <w:szCs w:val="28"/>
        </w:rPr>
        <w:tab/>
      </w:r>
      <w:r>
        <w:rPr>
          <w:rFonts w:eastAsia="Calibri"/>
          <w:b/>
          <w:sz w:val="28"/>
          <w:szCs w:val="28"/>
        </w:rPr>
        <w:tab/>
        <w:t>R.Kozlovskis</w:t>
      </w:r>
    </w:p>
    <w:p w:rsidR="00DE7623" w:rsidRPr="00DE7623" w:rsidRDefault="00DE7623" w:rsidP="00DE7623">
      <w:pPr>
        <w:tabs>
          <w:tab w:val="left" w:pos="7655"/>
        </w:tabs>
        <w:ind w:right="-521"/>
        <w:rPr>
          <w:b/>
          <w:sz w:val="28"/>
        </w:rPr>
      </w:pPr>
    </w:p>
    <w:p w:rsidR="002F2FF4" w:rsidRPr="002F2FF4" w:rsidRDefault="00DE7623" w:rsidP="002F2FF4">
      <w:pPr>
        <w:tabs>
          <w:tab w:val="left" w:pos="7655"/>
        </w:tabs>
        <w:ind w:right="-521"/>
        <w:rPr>
          <w:b/>
          <w:sz w:val="28"/>
        </w:rPr>
      </w:pPr>
      <w:r w:rsidRPr="00DE7623">
        <w:rPr>
          <w:b/>
          <w:sz w:val="28"/>
        </w:rPr>
        <w:t xml:space="preserve">Vīza: </w:t>
      </w:r>
      <w:r w:rsidR="006A6B1B">
        <w:rPr>
          <w:b/>
          <w:sz w:val="28"/>
        </w:rPr>
        <w:t>v</w:t>
      </w:r>
      <w:r w:rsidR="002F2FF4" w:rsidRPr="002F2FF4">
        <w:rPr>
          <w:b/>
          <w:sz w:val="28"/>
        </w:rPr>
        <w:t xml:space="preserve">alsts sekretāra </w:t>
      </w:r>
    </w:p>
    <w:p w:rsidR="002F2FF4" w:rsidRPr="002F2FF4" w:rsidRDefault="006A6B1B" w:rsidP="002F2FF4">
      <w:pPr>
        <w:tabs>
          <w:tab w:val="left" w:pos="7655"/>
        </w:tabs>
        <w:ind w:right="-521"/>
        <w:rPr>
          <w:b/>
          <w:sz w:val="28"/>
        </w:rPr>
      </w:pPr>
      <w:r>
        <w:rPr>
          <w:b/>
          <w:sz w:val="28"/>
        </w:rPr>
        <w:t xml:space="preserve">pienākumu izpildītājs - </w:t>
      </w:r>
      <w:r w:rsidR="002F2FF4" w:rsidRPr="002F2FF4">
        <w:rPr>
          <w:b/>
          <w:sz w:val="28"/>
        </w:rPr>
        <w:t xml:space="preserve"> </w:t>
      </w:r>
    </w:p>
    <w:p w:rsidR="00DE7623" w:rsidRPr="00DE7623" w:rsidRDefault="002F2FF4" w:rsidP="002F2FF4">
      <w:pPr>
        <w:tabs>
          <w:tab w:val="left" w:pos="7655"/>
        </w:tabs>
        <w:ind w:right="-521"/>
      </w:pPr>
      <w:r w:rsidRPr="002F2FF4">
        <w:rPr>
          <w:b/>
          <w:sz w:val="28"/>
        </w:rPr>
        <w:t xml:space="preserve">valsts sekretāra vietnieks                             </w:t>
      </w:r>
      <w:r w:rsidRPr="002F2FF4">
        <w:rPr>
          <w:b/>
          <w:sz w:val="28"/>
        </w:rPr>
        <w:tab/>
        <w:t>A.Liepiņš</w:t>
      </w:r>
      <w:r w:rsidRPr="002F2FF4">
        <w:rPr>
          <w:b/>
          <w:sz w:val="28"/>
        </w:rPr>
        <w:tab/>
      </w:r>
      <w:r w:rsidRPr="002F2FF4">
        <w:rPr>
          <w:b/>
          <w:sz w:val="28"/>
        </w:rPr>
        <w:tab/>
      </w:r>
      <w:r w:rsidRPr="002F2FF4">
        <w:rPr>
          <w:b/>
          <w:sz w:val="28"/>
        </w:rPr>
        <w:tab/>
      </w:r>
    </w:p>
    <w:p w:rsidR="00DE7623" w:rsidRPr="00DE7623" w:rsidRDefault="00DE7623" w:rsidP="00DE7623"/>
    <w:p w:rsidR="00DE7623" w:rsidRPr="00DE7623" w:rsidRDefault="00E643D2" w:rsidP="00DE7623">
      <w:pPr>
        <w:pStyle w:val="StyleRight"/>
        <w:tabs>
          <w:tab w:val="left" w:pos="2552"/>
        </w:tabs>
        <w:spacing w:after="0"/>
        <w:ind w:firstLine="0"/>
        <w:jc w:val="both"/>
        <w:rPr>
          <w:sz w:val="24"/>
          <w:szCs w:val="24"/>
          <w:lang w:eastAsia="lv-LV"/>
        </w:rPr>
      </w:pPr>
      <w:r>
        <w:rPr>
          <w:sz w:val="24"/>
          <w:szCs w:val="24"/>
        </w:rPr>
        <w:t>21</w:t>
      </w:r>
      <w:r w:rsidR="001D57D9">
        <w:rPr>
          <w:sz w:val="24"/>
          <w:szCs w:val="24"/>
        </w:rPr>
        <w:t>.08</w:t>
      </w:r>
      <w:r w:rsidR="00DE7623" w:rsidRPr="00DE7623">
        <w:rPr>
          <w:sz w:val="24"/>
          <w:szCs w:val="24"/>
        </w:rPr>
        <w:t>.2013</w:t>
      </w:r>
      <w:r>
        <w:rPr>
          <w:sz w:val="24"/>
          <w:szCs w:val="24"/>
          <w:lang w:eastAsia="lv-LV"/>
        </w:rPr>
        <w:t>. 13</w:t>
      </w:r>
      <w:r w:rsidR="00D50F13">
        <w:rPr>
          <w:sz w:val="24"/>
          <w:szCs w:val="24"/>
          <w:lang w:eastAsia="lv-LV"/>
        </w:rPr>
        <w:t>:3</w:t>
      </w:r>
      <w:bookmarkStart w:id="0" w:name="_GoBack"/>
      <w:bookmarkEnd w:id="0"/>
      <w:r w:rsidR="00DE7623" w:rsidRPr="00DE7623">
        <w:rPr>
          <w:sz w:val="24"/>
          <w:szCs w:val="24"/>
          <w:lang w:eastAsia="lv-LV"/>
        </w:rPr>
        <w:t>0</w:t>
      </w:r>
    </w:p>
    <w:p w:rsidR="00DE7623" w:rsidRPr="00DE7623" w:rsidRDefault="00041843" w:rsidP="00DE7623">
      <w:pPr>
        <w:pStyle w:val="StyleRight"/>
        <w:tabs>
          <w:tab w:val="left" w:pos="2552"/>
        </w:tabs>
        <w:spacing w:after="0"/>
        <w:ind w:firstLine="0"/>
        <w:jc w:val="both"/>
        <w:rPr>
          <w:sz w:val="24"/>
          <w:szCs w:val="24"/>
          <w:lang w:eastAsia="lv-LV"/>
        </w:rPr>
      </w:pPr>
      <w:r>
        <w:rPr>
          <w:sz w:val="24"/>
          <w:szCs w:val="24"/>
          <w:lang w:eastAsia="lv-LV"/>
        </w:rPr>
        <w:t>1154</w:t>
      </w:r>
    </w:p>
    <w:p w:rsidR="00DE7623" w:rsidRPr="00DE7623" w:rsidRDefault="00DE7623" w:rsidP="00DE7623">
      <w:pPr>
        <w:pStyle w:val="naisf"/>
        <w:spacing w:before="0" w:after="0"/>
        <w:ind w:firstLine="0"/>
      </w:pPr>
      <w:r w:rsidRPr="00DE7623">
        <w:t xml:space="preserve">Drāke </w:t>
      </w:r>
    </w:p>
    <w:p w:rsidR="00DE7623" w:rsidRPr="00DE7623" w:rsidRDefault="00DE7623" w:rsidP="00DE7623">
      <w:pPr>
        <w:pStyle w:val="naisf"/>
        <w:spacing w:before="0" w:after="0"/>
        <w:ind w:firstLine="0"/>
      </w:pPr>
      <w:r w:rsidRPr="00DE7623">
        <w:t xml:space="preserve">67013162, </w:t>
      </w:r>
      <w:hyperlink r:id="rId8" w:history="1">
        <w:r w:rsidRPr="00DE7623">
          <w:rPr>
            <w:rStyle w:val="Hyperlink"/>
          </w:rPr>
          <w:t>Martins.Drake@em.gov.lv</w:t>
        </w:r>
      </w:hyperlink>
      <w:r w:rsidRPr="00DE7623">
        <w:t xml:space="preserve"> </w:t>
      </w:r>
    </w:p>
    <w:p w:rsidR="00DE7623" w:rsidRPr="00DE7623" w:rsidRDefault="00DE7623" w:rsidP="00DE7623">
      <w:pPr>
        <w:rPr>
          <w:sz w:val="28"/>
          <w:szCs w:val="28"/>
        </w:rPr>
      </w:pPr>
    </w:p>
    <w:p w:rsidR="00DE7623" w:rsidRPr="00DE7623" w:rsidRDefault="00DE7623" w:rsidP="00DE7623"/>
    <w:p w:rsidR="00DE7623" w:rsidRPr="00DE7623" w:rsidRDefault="00DE7623" w:rsidP="00DE7623"/>
    <w:p w:rsidR="00DE7623" w:rsidRPr="00DE7623" w:rsidRDefault="00DE7623" w:rsidP="00DE7623"/>
    <w:p w:rsidR="006C408F" w:rsidRPr="00DE7623" w:rsidRDefault="006C408F" w:rsidP="00DE7623">
      <w:pPr>
        <w:jc w:val="both"/>
        <w:outlineLvl w:val="0"/>
      </w:pPr>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33" w:rsidRDefault="00E72633">
      <w:r>
        <w:separator/>
      </w:r>
    </w:p>
  </w:endnote>
  <w:endnote w:type="continuationSeparator" w:id="0">
    <w:p w:rsidR="00E72633" w:rsidRDefault="00E7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F44ACA" w:rsidRDefault="00E12D11" w:rsidP="00433DE5">
    <w:pPr>
      <w:pStyle w:val="Footer"/>
      <w:jc w:val="both"/>
      <w:rPr>
        <w:szCs w:val="24"/>
      </w:rPr>
    </w:pPr>
    <w:r>
      <w:rPr>
        <w:szCs w:val="24"/>
      </w:rPr>
      <w:t>EMAnot_</w:t>
    </w:r>
    <w:r w:rsidR="00E643D2">
      <w:rPr>
        <w:szCs w:val="24"/>
      </w:rPr>
      <w:t>21</w:t>
    </w:r>
    <w:r w:rsidR="001D57D9">
      <w:rPr>
        <w:szCs w:val="24"/>
      </w:rPr>
      <w:t>08</w:t>
    </w:r>
    <w:r w:rsidR="00F04D94" w:rsidRPr="00E12D11">
      <w:rPr>
        <w:szCs w:val="24"/>
      </w:rPr>
      <w:t>13</w:t>
    </w:r>
    <w:r w:rsidR="00F04D94" w:rsidRPr="00F44ACA">
      <w:rPr>
        <w:szCs w:val="24"/>
      </w:rPr>
      <w:t xml:space="preserve">; Ministru kabineta </w:t>
    </w:r>
    <w:r w:rsidR="003416C9">
      <w:rPr>
        <w:szCs w:val="24"/>
      </w:rPr>
      <w:t>noteikumu projekta</w:t>
    </w:r>
    <w:r w:rsidR="00F04D94" w:rsidRPr="00F44ACA">
      <w:rPr>
        <w:szCs w:val="24"/>
      </w:rPr>
      <w:t xml:space="preserve"> „</w:t>
    </w:r>
    <w:r w:rsidR="003416C9" w:rsidRPr="003416C9">
      <w:rPr>
        <w:szCs w:val="24"/>
      </w:rPr>
      <w:t>Grozījum</w:t>
    </w:r>
    <w:r w:rsidR="001D57D9">
      <w:rPr>
        <w:szCs w:val="24"/>
      </w:rPr>
      <w:t>i</w:t>
    </w:r>
    <w:r w:rsidR="003416C9">
      <w:rPr>
        <w:szCs w:val="24"/>
      </w:rPr>
      <w:t xml:space="preserve"> Ministru kabineta </w:t>
    </w:r>
    <w:r w:rsidR="004E75CE">
      <w:rPr>
        <w:szCs w:val="24"/>
      </w:rPr>
      <w:t>1999</w:t>
    </w:r>
    <w:r w:rsidR="00DD556C">
      <w:rPr>
        <w:szCs w:val="24"/>
      </w:rPr>
      <w:t xml:space="preserve">.gada </w:t>
    </w:r>
    <w:r w:rsidR="004E75CE">
      <w:rPr>
        <w:szCs w:val="24"/>
      </w:rPr>
      <w:t>16.februāra</w:t>
    </w:r>
    <w:r w:rsidR="00972E9D">
      <w:rPr>
        <w:szCs w:val="24"/>
      </w:rPr>
      <w:t xml:space="preserve"> noteikumos </w:t>
    </w:r>
    <w:r w:rsidR="00DD556C">
      <w:rPr>
        <w:szCs w:val="24"/>
      </w:rPr>
      <w:t>Nr.</w:t>
    </w:r>
    <w:r w:rsidR="004E75CE">
      <w:rPr>
        <w:szCs w:val="24"/>
      </w:rPr>
      <w:t xml:space="preserve">51 </w:t>
    </w:r>
    <w:r w:rsidR="004E75CE" w:rsidRPr="004E75CE">
      <w:rPr>
        <w:szCs w:val="24"/>
      </w:rPr>
      <w:t>„Kārtība, kādā izmaksājama kompensācija naudā, dzēšot nacionālās pretošanās kustības dalībniekiem par īpašumā bijušo zemi lauku apvidos piešķirtos sertifikātus”</w:t>
    </w:r>
    <w:r w:rsidR="003416C9" w:rsidRPr="003416C9">
      <w:rPr>
        <w:szCs w:val="24"/>
      </w:rPr>
      <w:t>”</w:t>
    </w:r>
    <w:r w:rsidR="00DD556C">
      <w:rPr>
        <w:szCs w:val="24"/>
      </w:rPr>
      <w:t xml:space="preserve"> </w:t>
    </w:r>
    <w:r w:rsidR="00F04D94" w:rsidRPr="00F44ACA">
      <w:rPr>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33" w:rsidRDefault="00E72633">
      <w:r>
        <w:separator/>
      </w:r>
    </w:p>
  </w:footnote>
  <w:footnote w:type="continuationSeparator" w:id="0">
    <w:p w:rsidR="00E72633" w:rsidRDefault="00E7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E72633"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2D"/>
    <w:rsid w:val="00004457"/>
    <w:rsid w:val="00034852"/>
    <w:rsid w:val="00041843"/>
    <w:rsid w:val="00045CB0"/>
    <w:rsid w:val="000461CE"/>
    <w:rsid w:val="00092D03"/>
    <w:rsid w:val="00097E5A"/>
    <w:rsid w:val="000D02C8"/>
    <w:rsid w:val="00113FD8"/>
    <w:rsid w:val="00126621"/>
    <w:rsid w:val="00126F76"/>
    <w:rsid w:val="001811AA"/>
    <w:rsid w:val="00184CBB"/>
    <w:rsid w:val="001B601A"/>
    <w:rsid w:val="001D57D9"/>
    <w:rsid w:val="001D7065"/>
    <w:rsid w:val="001E1EF1"/>
    <w:rsid w:val="001E5F1C"/>
    <w:rsid w:val="002405B8"/>
    <w:rsid w:val="00246531"/>
    <w:rsid w:val="00263FF8"/>
    <w:rsid w:val="00277655"/>
    <w:rsid w:val="002B2218"/>
    <w:rsid w:val="002B48D2"/>
    <w:rsid w:val="002C7A4F"/>
    <w:rsid w:val="002D1947"/>
    <w:rsid w:val="002E77B8"/>
    <w:rsid w:val="002F2FF4"/>
    <w:rsid w:val="00325B0B"/>
    <w:rsid w:val="00331F00"/>
    <w:rsid w:val="003416C9"/>
    <w:rsid w:val="00376079"/>
    <w:rsid w:val="003B760A"/>
    <w:rsid w:val="003D1A38"/>
    <w:rsid w:val="003F4CA3"/>
    <w:rsid w:val="00410721"/>
    <w:rsid w:val="004304AF"/>
    <w:rsid w:val="004622BD"/>
    <w:rsid w:val="004A4DDA"/>
    <w:rsid w:val="004E3988"/>
    <w:rsid w:val="004E75CE"/>
    <w:rsid w:val="004F470B"/>
    <w:rsid w:val="005105E8"/>
    <w:rsid w:val="005368EA"/>
    <w:rsid w:val="00563F7C"/>
    <w:rsid w:val="00571849"/>
    <w:rsid w:val="00581902"/>
    <w:rsid w:val="00581CF9"/>
    <w:rsid w:val="00586C5C"/>
    <w:rsid w:val="005B1E30"/>
    <w:rsid w:val="005C21BE"/>
    <w:rsid w:val="005E0EA6"/>
    <w:rsid w:val="005F3B9A"/>
    <w:rsid w:val="005F6BD1"/>
    <w:rsid w:val="00613D7C"/>
    <w:rsid w:val="00614084"/>
    <w:rsid w:val="00634ACF"/>
    <w:rsid w:val="0067745B"/>
    <w:rsid w:val="006807CC"/>
    <w:rsid w:val="0068218A"/>
    <w:rsid w:val="00692B4C"/>
    <w:rsid w:val="006A6B1B"/>
    <w:rsid w:val="006C408F"/>
    <w:rsid w:val="006D2E8D"/>
    <w:rsid w:val="006F4580"/>
    <w:rsid w:val="007159F2"/>
    <w:rsid w:val="00741C4B"/>
    <w:rsid w:val="0075404E"/>
    <w:rsid w:val="00761386"/>
    <w:rsid w:val="00765A01"/>
    <w:rsid w:val="00793995"/>
    <w:rsid w:val="007A29F4"/>
    <w:rsid w:val="007C11C5"/>
    <w:rsid w:val="007C5B5C"/>
    <w:rsid w:val="007D71C5"/>
    <w:rsid w:val="007E158F"/>
    <w:rsid w:val="00807727"/>
    <w:rsid w:val="00807B8B"/>
    <w:rsid w:val="008172FE"/>
    <w:rsid w:val="00822C71"/>
    <w:rsid w:val="008700A3"/>
    <w:rsid w:val="00876EF1"/>
    <w:rsid w:val="00887C75"/>
    <w:rsid w:val="008A4007"/>
    <w:rsid w:val="008C458E"/>
    <w:rsid w:val="008C72D9"/>
    <w:rsid w:val="008D7D2C"/>
    <w:rsid w:val="00914A7B"/>
    <w:rsid w:val="00972E9D"/>
    <w:rsid w:val="009A47E3"/>
    <w:rsid w:val="009A4BA9"/>
    <w:rsid w:val="00A227C3"/>
    <w:rsid w:val="00A353DD"/>
    <w:rsid w:val="00A46472"/>
    <w:rsid w:val="00A60F43"/>
    <w:rsid w:val="00A818A3"/>
    <w:rsid w:val="00A8226E"/>
    <w:rsid w:val="00A9414A"/>
    <w:rsid w:val="00AB4E9B"/>
    <w:rsid w:val="00AF5648"/>
    <w:rsid w:val="00B0213E"/>
    <w:rsid w:val="00B129E4"/>
    <w:rsid w:val="00B372A9"/>
    <w:rsid w:val="00B81926"/>
    <w:rsid w:val="00B84FDF"/>
    <w:rsid w:val="00B9364F"/>
    <w:rsid w:val="00BB075F"/>
    <w:rsid w:val="00BC398B"/>
    <w:rsid w:val="00BE6FEF"/>
    <w:rsid w:val="00C215F9"/>
    <w:rsid w:val="00C43343"/>
    <w:rsid w:val="00C627A7"/>
    <w:rsid w:val="00C711FF"/>
    <w:rsid w:val="00CA1739"/>
    <w:rsid w:val="00CC6CB7"/>
    <w:rsid w:val="00CF1FA6"/>
    <w:rsid w:val="00CF6A7C"/>
    <w:rsid w:val="00D01AF4"/>
    <w:rsid w:val="00D02ECC"/>
    <w:rsid w:val="00D262FE"/>
    <w:rsid w:val="00D405FC"/>
    <w:rsid w:val="00D46498"/>
    <w:rsid w:val="00D50F13"/>
    <w:rsid w:val="00D522A5"/>
    <w:rsid w:val="00D56EA1"/>
    <w:rsid w:val="00D84DCC"/>
    <w:rsid w:val="00D96AFE"/>
    <w:rsid w:val="00DA316D"/>
    <w:rsid w:val="00DB3CF8"/>
    <w:rsid w:val="00DC2DE4"/>
    <w:rsid w:val="00DD556C"/>
    <w:rsid w:val="00DE7623"/>
    <w:rsid w:val="00E111EA"/>
    <w:rsid w:val="00E12D11"/>
    <w:rsid w:val="00E450A5"/>
    <w:rsid w:val="00E55E0E"/>
    <w:rsid w:val="00E643D2"/>
    <w:rsid w:val="00E72633"/>
    <w:rsid w:val="00EC6FA1"/>
    <w:rsid w:val="00F04D94"/>
    <w:rsid w:val="00F32745"/>
    <w:rsid w:val="00F568AD"/>
    <w:rsid w:val="00F6692D"/>
    <w:rsid w:val="00FA5793"/>
    <w:rsid w:val="00FC06B4"/>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2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5580</Words>
  <Characters>3181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1999.gada 16.februāra noteikumos Nr.51 „Kārtība, kādā izmaksājama kompensācija naudā, dzēšot nacionālās pretošanās kustības dalībniekiem par īpašumā bijušo zemi lauku apvidos piešķirtos ser</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1999.gada 16.februāra noteikumos Nr.51 „Kārtība, kādā izmaksājama kompensācija naudā, dzēšot nacionālās pretošanās kustības dalībniekiem par īpašumā bijušo zemi lauku apvidos piešķirtos sertifikātus” sākotnējās ietekmes izvērtējums (anotācija)</dc:title>
  <dc:subject>MK Noteikumu grozījumi</dc:subject>
  <dc:creator>Mārtiņš Drāke</dc:creator>
  <dc:description>Martins.Drake@em.gov.lv;
67013162</dc:description>
  <cp:lastModifiedBy>Mārtiņš Drāke</cp:lastModifiedBy>
  <cp:revision>24</cp:revision>
  <cp:lastPrinted>2013-07-11T11:48:00Z</cp:lastPrinted>
  <dcterms:created xsi:type="dcterms:W3CDTF">2013-07-10T13:25:00Z</dcterms:created>
  <dcterms:modified xsi:type="dcterms:W3CDTF">2013-08-21T10:26:00Z</dcterms:modified>
</cp:coreProperties>
</file>