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90" w:rsidRPr="00AE7621" w:rsidRDefault="00E222C4" w:rsidP="00E222C4">
      <w:pPr>
        <w:spacing w:after="0" w:line="240" w:lineRule="auto"/>
        <w:jc w:val="center"/>
        <w:rPr>
          <w:rFonts w:ascii="Times New Roman" w:eastAsia="Times New Roman" w:hAnsi="Times New Roman" w:cs="Times New Roman"/>
          <w:b/>
          <w:sz w:val="26"/>
          <w:szCs w:val="26"/>
        </w:rPr>
      </w:pPr>
      <w:r w:rsidRPr="00AE7621">
        <w:rPr>
          <w:rFonts w:ascii="Times New Roman" w:eastAsia="Times New Roman" w:hAnsi="Times New Roman" w:cs="Times New Roman"/>
          <w:b/>
          <w:sz w:val="26"/>
          <w:szCs w:val="26"/>
        </w:rPr>
        <w:t>Ministru kabineta rīkojuma projekta „Grozījumi darbības programmas „Uzņēmējdarbība un inovācijas” papildinājumā” sākotnējās ietekmes novērtējuma ziņojums (anotācija)</w:t>
      </w:r>
    </w:p>
    <w:p w:rsidR="00E222C4" w:rsidRPr="00AE7621" w:rsidRDefault="00E222C4" w:rsidP="00E222C4">
      <w:pPr>
        <w:spacing w:after="0" w:line="240" w:lineRule="auto"/>
        <w:jc w:val="center"/>
        <w:rPr>
          <w:rFonts w:ascii="Times New Roman" w:eastAsia="Calibri" w:hAnsi="Times New Roman" w:cs="Times New Roman"/>
          <w:b/>
          <w:sz w:val="26"/>
          <w:szCs w:val="26"/>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3134"/>
        <w:gridCol w:w="5953"/>
      </w:tblGrid>
      <w:tr w:rsidR="00D40CFC" w:rsidRPr="00AE7621" w:rsidTr="00ED4179">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40CFC" w:rsidRPr="00AE7621" w:rsidRDefault="00D40CFC" w:rsidP="008C2351">
            <w:pPr>
              <w:spacing w:after="0" w:line="240" w:lineRule="auto"/>
              <w:jc w:val="center"/>
              <w:rPr>
                <w:rFonts w:ascii="Times New Roman" w:eastAsia="Times New Roman" w:hAnsi="Times New Roman" w:cs="Times New Roman"/>
                <w:b/>
                <w:sz w:val="28"/>
                <w:szCs w:val="28"/>
              </w:rPr>
            </w:pPr>
            <w:r w:rsidRPr="00AE7621">
              <w:rPr>
                <w:rFonts w:ascii="Times New Roman" w:eastAsia="Times New Roman" w:hAnsi="Times New Roman" w:cs="Times New Roman"/>
                <w:b/>
                <w:sz w:val="28"/>
                <w:szCs w:val="28"/>
              </w:rPr>
              <w:t>I.Tiesību akta projekta izstrādes nepieciešamība</w:t>
            </w:r>
          </w:p>
        </w:tc>
      </w:tr>
      <w:tr w:rsidR="00D40CFC" w:rsidRPr="00AE7621" w:rsidTr="00ED4179">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AE7621" w:rsidRDefault="00D40CFC" w:rsidP="008C2351">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1. Pamatojums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AE7621" w:rsidRDefault="00E222C4" w:rsidP="00305A28">
            <w:pPr>
              <w:spacing w:after="0" w:line="240" w:lineRule="auto"/>
              <w:ind w:firstLine="567"/>
              <w:jc w:val="both"/>
              <w:rPr>
                <w:rFonts w:ascii="Times New Roman" w:eastAsia="Calibri" w:hAnsi="Times New Roman" w:cs="Times New Roman"/>
                <w:sz w:val="28"/>
                <w:szCs w:val="28"/>
              </w:rPr>
            </w:pPr>
            <w:r w:rsidRPr="00AE7621">
              <w:rPr>
                <w:rFonts w:ascii="Times New Roman" w:eastAsia="Calibri" w:hAnsi="Times New Roman" w:cs="Times New Roman"/>
                <w:sz w:val="28"/>
                <w:szCs w:val="28"/>
              </w:rPr>
              <w:t>Grozījums darbības programmas „Uzņēmējdarbība un inovācijas” papildinājumā ir izstrādāti saskaņā ar Ministru kabineta</w:t>
            </w:r>
            <w:r w:rsidR="0032005C" w:rsidRPr="00AE7621">
              <w:rPr>
                <w:rFonts w:ascii="Times New Roman" w:eastAsia="Calibri" w:hAnsi="Times New Roman" w:cs="Times New Roman"/>
                <w:sz w:val="28"/>
                <w:szCs w:val="28"/>
              </w:rPr>
              <w:t xml:space="preserve"> (turpmāk - MK)</w:t>
            </w:r>
            <w:r w:rsidRPr="00AE7621">
              <w:rPr>
                <w:rFonts w:ascii="Times New Roman" w:eastAsia="Calibri" w:hAnsi="Times New Roman" w:cs="Times New Roman"/>
                <w:sz w:val="28"/>
                <w:szCs w:val="28"/>
              </w:rPr>
              <w:t xml:space="preserve"> 2007.gada 26.jūnija noteikumu Nr.419 „Kārtība, kādā Eiropas Savienības struktūrfondu un Kohēzijas fonda vadībā iesaistītās institūcijas nodrošina plānošanas dokumentu sagatavošanu un šo fondu ieviešanu” 9.punktu, kas paredz, ka attiecīgā Eiropas Savienības fondu atbildīgā iestāde izstrādā un iesniedz apstiprināšanai </w:t>
            </w:r>
            <w:r w:rsidR="0032005C" w:rsidRPr="00AE7621">
              <w:rPr>
                <w:rFonts w:ascii="Times New Roman" w:eastAsia="Calibri" w:hAnsi="Times New Roman" w:cs="Times New Roman"/>
                <w:sz w:val="28"/>
                <w:szCs w:val="28"/>
              </w:rPr>
              <w:t>MK</w:t>
            </w:r>
            <w:r w:rsidRPr="00AE7621">
              <w:rPr>
                <w:rFonts w:ascii="Times New Roman" w:eastAsia="Calibri" w:hAnsi="Times New Roman" w:cs="Times New Roman"/>
                <w:sz w:val="28"/>
                <w:szCs w:val="28"/>
              </w:rPr>
              <w:t xml:space="preserve"> darbības programmas papildinājuma grozījumus.</w:t>
            </w:r>
          </w:p>
        </w:tc>
      </w:tr>
      <w:tr w:rsidR="00D40CFC" w:rsidRPr="00AE7621" w:rsidTr="00ED4179">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AE7621" w:rsidRDefault="00D40CFC" w:rsidP="008C2351">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2. Pašreizējā situācija un problēmas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7F7671" w:rsidRPr="00AE7621" w:rsidRDefault="0020613E" w:rsidP="00661DB6">
            <w:pPr>
              <w:spacing w:after="0" w:line="240" w:lineRule="auto"/>
              <w:ind w:firstLine="567"/>
              <w:jc w:val="both"/>
              <w:rPr>
                <w:rFonts w:ascii="Times New Roman" w:eastAsia="Times New Roman" w:hAnsi="Times New Roman" w:cs="Times New Roman"/>
                <w:bCs/>
                <w:sz w:val="28"/>
                <w:szCs w:val="28"/>
              </w:rPr>
            </w:pPr>
            <w:r w:rsidRPr="00AE7621">
              <w:rPr>
                <w:rFonts w:ascii="Times New Roman" w:eastAsia="Times New Roman" w:hAnsi="Times New Roman" w:cs="Times New Roman"/>
                <w:bCs/>
                <w:sz w:val="28"/>
                <w:szCs w:val="28"/>
              </w:rPr>
              <w:t xml:space="preserve">Grozījumi </w:t>
            </w:r>
            <w:r w:rsidR="005C5CC2" w:rsidRPr="00AE7621">
              <w:rPr>
                <w:rFonts w:ascii="Times New Roman" w:eastAsia="Times New Roman" w:hAnsi="Times New Roman" w:cs="Times New Roman"/>
                <w:bCs/>
                <w:sz w:val="28"/>
                <w:szCs w:val="28"/>
              </w:rPr>
              <w:t>darbības programmas „Uzņēmējdarbība un inovācijas” papildinājumā</w:t>
            </w:r>
            <w:r w:rsidR="005C5CC2" w:rsidRPr="00AE7621" w:rsidDel="005C5CC2">
              <w:rPr>
                <w:rFonts w:ascii="Times New Roman" w:eastAsia="Times New Roman" w:hAnsi="Times New Roman" w:cs="Times New Roman"/>
                <w:bCs/>
                <w:sz w:val="28"/>
                <w:szCs w:val="28"/>
              </w:rPr>
              <w:t xml:space="preserve"> </w:t>
            </w:r>
            <w:r w:rsidRPr="00AE7621">
              <w:rPr>
                <w:rFonts w:ascii="Times New Roman" w:eastAsia="Times New Roman" w:hAnsi="Times New Roman" w:cs="Times New Roman"/>
                <w:bCs/>
                <w:sz w:val="28"/>
                <w:szCs w:val="28"/>
              </w:rPr>
              <w:t xml:space="preserve"> ir nepieciešami, lai nodrošinātu efektīvu un pilnīgu finansējuma apguvi </w:t>
            </w:r>
            <w:r w:rsidR="005C5CC2" w:rsidRPr="00AE7621">
              <w:rPr>
                <w:rFonts w:ascii="Times New Roman" w:eastAsia="Times New Roman" w:hAnsi="Times New Roman" w:cs="Times New Roman"/>
                <w:bCs/>
                <w:sz w:val="28"/>
                <w:szCs w:val="28"/>
              </w:rPr>
              <w:t>2.3.1.1.aktivitātes „Ārējo tirgu apgūšana” ietvaros</w:t>
            </w:r>
            <w:r w:rsidR="00C622ED" w:rsidRPr="00AE7621">
              <w:rPr>
                <w:rFonts w:ascii="Times New Roman" w:eastAsia="Times New Roman" w:hAnsi="Times New Roman" w:cs="Times New Roman"/>
                <w:bCs/>
                <w:sz w:val="28"/>
                <w:szCs w:val="28"/>
              </w:rPr>
              <w:t>, kā arī lai</w:t>
            </w:r>
            <w:r w:rsidR="002A6798" w:rsidRPr="00AE7621">
              <w:rPr>
                <w:rFonts w:ascii="Times New Roman" w:eastAsia="Times New Roman" w:hAnsi="Times New Roman" w:cs="Times New Roman"/>
                <w:bCs/>
                <w:sz w:val="28"/>
                <w:szCs w:val="28"/>
              </w:rPr>
              <w:t xml:space="preserve"> </w:t>
            </w:r>
            <w:r w:rsidR="007F7671" w:rsidRPr="00AE7621">
              <w:rPr>
                <w:rFonts w:ascii="Times New Roman" w:eastAsia="Times New Roman" w:hAnsi="Times New Roman" w:cs="Times New Roman"/>
                <w:bCs/>
                <w:sz w:val="28"/>
                <w:szCs w:val="28"/>
              </w:rPr>
              <w:t>veiktu grozījumus 2.1.2.1.1.apakšaktivitātes „Kompetences centri” mērķos un maksimālajā atbalsta apjomā</w:t>
            </w:r>
            <w:r w:rsidRPr="00AE7621">
              <w:rPr>
                <w:rFonts w:ascii="Times New Roman" w:eastAsia="Times New Roman" w:hAnsi="Times New Roman" w:cs="Times New Roman"/>
                <w:bCs/>
                <w:sz w:val="28"/>
                <w:szCs w:val="28"/>
              </w:rPr>
              <w:t>.</w:t>
            </w:r>
          </w:p>
          <w:p w:rsidR="0036609E" w:rsidRPr="00AE7621" w:rsidRDefault="0020613E" w:rsidP="00661DB6">
            <w:pPr>
              <w:spacing w:after="0" w:line="240" w:lineRule="auto"/>
              <w:ind w:firstLine="567"/>
              <w:jc w:val="both"/>
              <w:rPr>
                <w:rFonts w:ascii="Times New Roman" w:eastAsia="Times New Roman" w:hAnsi="Times New Roman" w:cs="Times New Roman"/>
                <w:bCs/>
                <w:sz w:val="28"/>
                <w:szCs w:val="28"/>
              </w:rPr>
            </w:pPr>
            <w:r w:rsidRPr="00AE7621">
              <w:rPr>
                <w:rFonts w:ascii="Times New Roman" w:eastAsia="Times New Roman" w:hAnsi="Times New Roman" w:cs="Times New Roman"/>
                <w:bCs/>
                <w:sz w:val="28"/>
                <w:szCs w:val="28"/>
              </w:rPr>
              <w:t>Pašreiz ir konstatēts, ka finansējuma saņēmēji 2.3.1.1.2.</w:t>
            </w:r>
            <w:r w:rsidR="009A2B2D" w:rsidRPr="00AE7621">
              <w:rPr>
                <w:rFonts w:ascii="Times New Roman" w:eastAsia="Times New Roman" w:hAnsi="Times New Roman" w:cs="Times New Roman"/>
                <w:bCs/>
                <w:sz w:val="28"/>
                <w:szCs w:val="28"/>
              </w:rPr>
              <w:t>apakš</w:t>
            </w:r>
            <w:r w:rsidRPr="00AE7621">
              <w:rPr>
                <w:rFonts w:ascii="Times New Roman" w:eastAsia="Times New Roman" w:hAnsi="Times New Roman" w:cs="Times New Roman"/>
                <w:bCs/>
                <w:sz w:val="28"/>
                <w:szCs w:val="28"/>
              </w:rPr>
              <w:t>aktivitātes</w:t>
            </w:r>
            <w:r w:rsidR="009A2B2D" w:rsidRPr="00AE7621">
              <w:rPr>
                <w:rFonts w:ascii="Times New Roman" w:eastAsia="Times New Roman" w:hAnsi="Times New Roman" w:cs="Times New Roman"/>
                <w:bCs/>
                <w:sz w:val="28"/>
                <w:szCs w:val="28"/>
              </w:rPr>
              <w:t xml:space="preserve"> „Ārējo tirgu apgūšana - nozaru starptautiskās konkurētspējas stiprināšana” (turpmāk – 2.3.1.1.2.aktivitāte)</w:t>
            </w:r>
            <w:r w:rsidRPr="00AE7621">
              <w:rPr>
                <w:rFonts w:ascii="Times New Roman" w:eastAsia="Times New Roman" w:hAnsi="Times New Roman" w:cs="Times New Roman"/>
                <w:bCs/>
                <w:sz w:val="28"/>
                <w:szCs w:val="28"/>
              </w:rPr>
              <w:t xml:space="preserve"> ietvaros </w:t>
            </w:r>
            <w:r w:rsidR="009A2B2D" w:rsidRPr="00AE7621">
              <w:rPr>
                <w:rFonts w:ascii="Times New Roman" w:eastAsia="Times New Roman" w:hAnsi="Times New Roman" w:cs="Times New Roman"/>
                <w:bCs/>
                <w:sz w:val="28"/>
                <w:szCs w:val="28"/>
              </w:rPr>
              <w:t xml:space="preserve">- </w:t>
            </w:r>
            <w:r w:rsidRPr="00AE7621">
              <w:rPr>
                <w:rFonts w:ascii="Times New Roman" w:eastAsia="Times New Roman" w:hAnsi="Times New Roman" w:cs="Times New Roman"/>
                <w:bCs/>
                <w:sz w:val="28"/>
                <w:szCs w:val="28"/>
              </w:rPr>
              <w:t xml:space="preserve">valsts aģentūra „Latvijas Investīciju un attīstības aģentūra” (turpmāk – LIAA) un valsts aģentūra „Tūrisma attīstības valsts aģentūra” (turpmāk – TAVA), </w:t>
            </w:r>
            <w:r w:rsidR="0032005C" w:rsidRPr="00AE7621">
              <w:rPr>
                <w:rFonts w:ascii="Times New Roman" w:eastAsia="Times New Roman" w:hAnsi="Times New Roman" w:cs="Times New Roman"/>
                <w:bCs/>
                <w:sz w:val="28"/>
                <w:szCs w:val="28"/>
              </w:rPr>
              <w:t>ņemot vērā ievērojamo</w:t>
            </w:r>
            <w:r w:rsidRPr="00AE7621">
              <w:rPr>
                <w:rFonts w:ascii="Times New Roman" w:eastAsia="Times New Roman" w:hAnsi="Times New Roman" w:cs="Times New Roman"/>
                <w:bCs/>
                <w:sz w:val="28"/>
                <w:szCs w:val="28"/>
              </w:rPr>
              <w:t xml:space="preserve"> komersantu pieprasījumu pēc atbalsta, ir spējīgi īstenot savu</w:t>
            </w:r>
            <w:r w:rsidR="0036609E" w:rsidRPr="00AE7621">
              <w:rPr>
                <w:rFonts w:ascii="Times New Roman" w:eastAsia="Times New Roman" w:hAnsi="Times New Roman" w:cs="Times New Roman"/>
                <w:bCs/>
                <w:sz w:val="28"/>
                <w:szCs w:val="28"/>
              </w:rPr>
              <w:t>s</w:t>
            </w:r>
            <w:r w:rsidRPr="00AE7621">
              <w:rPr>
                <w:rFonts w:ascii="Times New Roman" w:eastAsia="Times New Roman" w:hAnsi="Times New Roman" w:cs="Times New Roman"/>
                <w:bCs/>
                <w:sz w:val="28"/>
                <w:szCs w:val="28"/>
              </w:rPr>
              <w:t xml:space="preserve"> projektu</w:t>
            </w:r>
            <w:r w:rsidR="0036609E" w:rsidRPr="00AE7621">
              <w:rPr>
                <w:rFonts w:ascii="Times New Roman" w:eastAsia="Times New Roman" w:hAnsi="Times New Roman" w:cs="Times New Roman"/>
                <w:bCs/>
                <w:sz w:val="28"/>
                <w:szCs w:val="28"/>
              </w:rPr>
              <w:t>s</w:t>
            </w:r>
            <w:r w:rsidRPr="00AE7621">
              <w:rPr>
                <w:rFonts w:ascii="Times New Roman" w:eastAsia="Times New Roman" w:hAnsi="Times New Roman" w:cs="Times New Roman"/>
                <w:bCs/>
                <w:sz w:val="28"/>
                <w:szCs w:val="28"/>
              </w:rPr>
              <w:t xml:space="preserve"> ātrāk un apgūt lielāku finansējuma apjomu nekā </w:t>
            </w:r>
            <w:r w:rsidR="0032005C" w:rsidRPr="00AE7621">
              <w:rPr>
                <w:rFonts w:ascii="Times New Roman" w:eastAsia="Times New Roman" w:hAnsi="Times New Roman" w:cs="Times New Roman"/>
                <w:bCs/>
                <w:sz w:val="28"/>
                <w:szCs w:val="28"/>
              </w:rPr>
              <w:t>sākotnēji plānots</w:t>
            </w:r>
            <w:r w:rsidRPr="00AE7621">
              <w:rPr>
                <w:rFonts w:ascii="Times New Roman" w:eastAsia="Times New Roman" w:hAnsi="Times New Roman" w:cs="Times New Roman"/>
                <w:bCs/>
                <w:sz w:val="28"/>
                <w:szCs w:val="28"/>
              </w:rPr>
              <w:t xml:space="preserve">. </w:t>
            </w:r>
            <w:r w:rsidR="009A2B2D" w:rsidRPr="00AE7621">
              <w:rPr>
                <w:rFonts w:ascii="Times New Roman" w:eastAsia="Times New Roman" w:hAnsi="Times New Roman" w:cs="Times New Roman"/>
                <w:bCs/>
                <w:sz w:val="28"/>
                <w:szCs w:val="28"/>
              </w:rPr>
              <w:t xml:space="preserve">Savukārt </w:t>
            </w:r>
            <w:r w:rsidR="0032005C" w:rsidRPr="00AE7621">
              <w:rPr>
                <w:rFonts w:ascii="Times New Roman" w:eastAsia="Times New Roman" w:hAnsi="Times New Roman" w:cs="Times New Roman"/>
                <w:bCs/>
                <w:sz w:val="28"/>
                <w:szCs w:val="28"/>
              </w:rPr>
              <w:t xml:space="preserve"> </w:t>
            </w:r>
            <w:r w:rsidRPr="00AE7621">
              <w:rPr>
                <w:rFonts w:ascii="Times New Roman" w:eastAsia="Times New Roman" w:hAnsi="Times New Roman" w:cs="Times New Roman"/>
                <w:bCs/>
                <w:sz w:val="28"/>
                <w:szCs w:val="28"/>
              </w:rPr>
              <w:t>2.3.1.1.1.apakšaktivitātes „Ārējo tirgu apgūšana – ārējais mārketings” (turpmāk - 2.3.1.1.1.aktivitāte)</w:t>
            </w:r>
            <w:r w:rsidR="004D171A" w:rsidRPr="00AE7621">
              <w:rPr>
                <w:rFonts w:ascii="Times New Roman" w:eastAsia="Times New Roman" w:hAnsi="Times New Roman" w:cs="Times New Roman"/>
                <w:bCs/>
                <w:sz w:val="28"/>
                <w:szCs w:val="28"/>
              </w:rPr>
              <w:t xml:space="preserve"> ietvaros</w:t>
            </w:r>
            <w:r w:rsidRPr="00AE7621">
              <w:rPr>
                <w:rFonts w:ascii="Times New Roman" w:eastAsia="Times New Roman" w:hAnsi="Times New Roman" w:cs="Times New Roman"/>
                <w:bCs/>
                <w:sz w:val="28"/>
                <w:szCs w:val="28"/>
              </w:rPr>
              <w:t xml:space="preserve"> ir pieejami brīvi līdzekļi</w:t>
            </w:r>
            <w:r w:rsidR="0036609E" w:rsidRPr="00AE7621">
              <w:rPr>
                <w:rFonts w:ascii="Times New Roman" w:eastAsia="Times New Roman" w:hAnsi="Times New Roman" w:cs="Times New Roman"/>
                <w:bCs/>
                <w:sz w:val="28"/>
                <w:szCs w:val="28"/>
              </w:rPr>
              <w:t xml:space="preserve">, kas izveidojušies nepietiekama pieprasījuma dēļ. Pārdalot </w:t>
            </w:r>
            <w:r w:rsidR="003562CD" w:rsidRPr="00AE7621">
              <w:rPr>
                <w:rFonts w:ascii="Times New Roman" w:eastAsia="Times New Roman" w:hAnsi="Times New Roman" w:cs="Times New Roman"/>
                <w:bCs/>
                <w:sz w:val="28"/>
                <w:szCs w:val="28"/>
              </w:rPr>
              <w:t xml:space="preserve">Eiropas Reģionālās attīstības fonda (turpmāk - ERAF) </w:t>
            </w:r>
            <w:r w:rsidR="0036609E" w:rsidRPr="00AE7621">
              <w:rPr>
                <w:rFonts w:ascii="Times New Roman" w:eastAsia="Times New Roman" w:hAnsi="Times New Roman" w:cs="Times New Roman"/>
                <w:bCs/>
                <w:sz w:val="28"/>
                <w:szCs w:val="28"/>
              </w:rPr>
              <w:t>finansējumu no 2.3.1.1.1.aktivitātes uz 2.3.1.1.2.aktivitāti</w:t>
            </w:r>
            <w:r w:rsidR="0032005C" w:rsidRPr="00AE7621">
              <w:rPr>
                <w:rFonts w:ascii="Times New Roman" w:eastAsia="Times New Roman" w:hAnsi="Times New Roman" w:cs="Times New Roman"/>
                <w:bCs/>
                <w:sz w:val="28"/>
                <w:szCs w:val="28"/>
              </w:rPr>
              <w:t>,</w:t>
            </w:r>
            <w:r w:rsidR="0036609E" w:rsidRPr="00AE7621">
              <w:rPr>
                <w:rFonts w:ascii="Times New Roman" w:eastAsia="Times New Roman" w:hAnsi="Times New Roman" w:cs="Times New Roman"/>
                <w:bCs/>
                <w:sz w:val="28"/>
                <w:szCs w:val="28"/>
              </w:rPr>
              <w:t xml:space="preserve"> būtu iespējams nodrošināt efektīvāku finansējuma apguvi, </w:t>
            </w:r>
            <w:r w:rsidR="0032005C" w:rsidRPr="00AE7621">
              <w:rPr>
                <w:rFonts w:ascii="Times New Roman" w:eastAsia="Times New Roman" w:hAnsi="Times New Roman" w:cs="Times New Roman"/>
                <w:bCs/>
                <w:sz w:val="28"/>
                <w:szCs w:val="28"/>
              </w:rPr>
              <w:t>neapdraudot</w:t>
            </w:r>
            <w:r w:rsidR="0036609E" w:rsidRPr="00AE7621">
              <w:rPr>
                <w:rFonts w:ascii="Times New Roman" w:eastAsia="Times New Roman" w:hAnsi="Times New Roman" w:cs="Times New Roman"/>
                <w:bCs/>
                <w:sz w:val="28"/>
                <w:szCs w:val="28"/>
              </w:rPr>
              <w:t xml:space="preserve"> 2.3.1.1.1.aktivitātes mērķu sasniegšanu.</w:t>
            </w:r>
          </w:p>
          <w:p w:rsidR="00560737" w:rsidRPr="00AE7621" w:rsidRDefault="003562CD" w:rsidP="00661DB6">
            <w:pPr>
              <w:spacing w:after="0" w:line="240" w:lineRule="auto"/>
              <w:ind w:firstLine="567"/>
              <w:jc w:val="both"/>
              <w:rPr>
                <w:rFonts w:ascii="Times New Roman" w:eastAsia="Times New Roman" w:hAnsi="Times New Roman" w:cs="Times New Roman"/>
                <w:bCs/>
                <w:sz w:val="28"/>
                <w:szCs w:val="28"/>
              </w:rPr>
            </w:pPr>
            <w:r w:rsidRPr="00AE7621">
              <w:rPr>
                <w:rFonts w:ascii="Times New Roman" w:eastAsia="Times New Roman" w:hAnsi="Times New Roman" w:cs="Times New Roman"/>
                <w:bCs/>
                <w:sz w:val="28"/>
                <w:szCs w:val="28"/>
              </w:rPr>
              <w:lastRenderedPageBreak/>
              <w:t>ERAF</w:t>
            </w:r>
            <w:r w:rsidR="0032005C" w:rsidRPr="00AE7621">
              <w:rPr>
                <w:rFonts w:ascii="Times New Roman" w:eastAsia="Times New Roman" w:hAnsi="Times New Roman" w:cs="Times New Roman"/>
                <w:bCs/>
                <w:sz w:val="28"/>
                <w:szCs w:val="28"/>
              </w:rPr>
              <w:t xml:space="preserve"> f</w:t>
            </w:r>
            <w:r w:rsidR="0020613E" w:rsidRPr="00AE7621">
              <w:rPr>
                <w:rFonts w:ascii="Times New Roman" w:eastAsia="Times New Roman" w:hAnsi="Times New Roman" w:cs="Times New Roman"/>
                <w:bCs/>
                <w:sz w:val="28"/>
                <w:szCs w:val="28"/>
              </w:rPr>
              <w:t>inansējuma</w:t>
            </w:r>
            <w:r w:rsidRPr="00AE7621">
              <w:rPr>
                <w:rFonts w:ascii="Times New Roman" w:eastAsia="Times New Roman" w:hAnsi="Times New Roman" w:cs="Times New Roman"/>
                <w:bCs/>
                <w:sz w:val="28"/>
                <w:szCs w:val="28"/>
              </w:rPr>
              <w:t xml:space="preserve"> </w:t>
            </w:r>
            <w:r w:rsidR="0020613E" w:rsidRPr="00AE7621">
              <w:rPr>
                <w:rFonts w:ascii="Times New Roman" w:eastAsia="Times New Roman" w:hAnsi="Times New Roman" w:cs="Times New Roman"/>
                <w:bCs/>
                <w:sz w:val="28"/>
                <w:szCs w:val="28"/>
              </w:rPr>
              <w:t>pārdales apjoms, kas tiek pārdalīts no 2.3.1.1.1.aktivitātes uz 2.3.1.1.2.aktivitāti</w:t>
            </w:r>
            <w:r w:rsidR="00CE2E22" w:rsidRPr="00AE7621">
              <w:rPr>
                <w:rFonts w:ascii="Times New Roman" w:eastAsia="Times New Roman" w:hAnsi="Times New Roman" w:cs="Times New Roman"/>
                <w:bCs/>
                <w:sz w:val="28"/>
                <w:szCs w:val="28"/>
              </w:rPr>
              <w:t>,</w:t>
            </w:r>
            <w:r w:rsidR="0020613E" w:rsidRPr="00AE7621">
              <w:rPr>
                <w:rFonts w:ascii="Times New Roman" w:eastAsia="Times New Roman" w:hAnsi="Times New Roman" w:cs="Times New Roman"/>
                <w:bCs/>
                <w:sz w:val="28"/>
                <w:szCs w:val="28"/>
              </w:rPr>
              <w:t xml:space="preserve"> ir </w:t>
            </w:r>
            <w:r w:rsidR="00CE2E22" w:rsidRPr="00AE7621">
              <w:rPr>
                <w:rFonts w:ascii="Times New Roman" w:eastAsia="Times New Roman" w:hAnsi="Times New Roman" w:cs="Times New Roman"/>
                <w:bCs/>
                <w:sz w:val="28"/>
                <w:szCs w:val="28"/>
              </w:rPr>
              <w:t xml:space="preserve">2 500 000 lati (3 557 180 EUR). </w:t>
            </w:r>
            <w:r w:rsidR="0036609E" w:rsidRPr="00AE7621">
              <w:rPr>
                <w:rFonts w:ascii="Times New Roman" w:eastAsia="Times New Roman" w:hAnsi="Times New Roman" w:cs="Times New Roman"/>
                <w:bCs/>
                <w:sz w:val="28"/>
                <w:szCs w:val="28"/>
              </w:rPr>
              <w:t xml:space="preserve">Papildus </w:t>
            </w:r>
            <w:r w:rsidR="0032005C" w:rsidRPr="00AE7621">
              <w:rPr>
                <w:rFonts w:ascii="Times New Roman" w:eastAsia="Times New Roman" w:hAnsi="Times New Roman" w:cs="Times New Roman"/>
                <w:bCs/>
                <w:sz w:val="28"/>
                <w:szCs w:val="28"/>
              </w:rPr>
              <w:t xml:space="preserve">ERAF </w:t>
            </w:r>
            <w:r w:rsidRPr="00AE7621">
              <w:rPr>
                <w:rFonts w:ascii="Times New Roman" w:eastAsia="Times New Roman" w:hAnsi="Times New Roman" w:cs="Times New Roman"/>
                <w:bCs/>
                <w:sz w:val="28"/>
                <w:szCs w:val="28"/>
              </w:rPr>
              <w:t xml:space="preserve">finansējuma </w:t>
            </w:r>
            <w:r w:rsidR="0032005C" w:rsidRPr="00AE7621">
              <w:rPr>
                <w:rFonts w:ascii="Times New Roman" w:eastAsia="Times New Roman" w:hAnsi="Times New Roman" w:cs="Times New Roman"/>
                <w:bCs/>
                <w:sz w:val="28"/>
                <w:szCs w:val="28"/>
              </w:rPr>
              <w:t>apjomam</w:t>
            </w:r>
            <w:r w:rsidR="0036609E" w:rsidRPr="00AE7621">
              <w:rPr>
                <w:rFonts w:ascii="Times New Roman" w:eastAsia="Times New Roman" w:hAnsi="Times New Roman" w:cs="Times New Roman"/>
                <w:bCs/>
                <w:sz w:val="28"/>
                <w:szCs w:val="28"/>
              </w:rPr>
              <w:t xml:space="preserve"> 2.3.1.1.2.aktivitātei tiek palielināts </w:t>
            </w:r>
            <w:r w:rsidR="0032005C" w:rsidRPr="00AE7621">
              <w:rPr>
                <w:rFonts w:ascii="Times New Roman" w:eastAsia="Times New Roman" w:hAnsi="Times New Roman" w:cs="Times New Roman"/>
                <w:bCs/>
                <w:sz w:val="28"/>
                <w:szCs w:val="28"/>
              </w:rPr>
              <w:t xml:space="preserve">arī </w:t>
            </w:r>
            <w:r w:rsidR="0036609E" w:rsidRPr="00AE7621">
              <w:rPr>
                <w:rFonts w:ascii="Times New Roman" w:eastAsia="Times New Roman" w:hAnsi="Times New Roman" w:cs="Times New Roman"/>
                <w:bCs/>
                <w:sz w:val="28"/>
                <w:szCs w:val="28"/>
              </w:rPr>
              <w:t>nacionāl</w:t>
            </w:r>
            <w:r w:rsidR="0032005C" w:rsidRPr="00AE7621">
              <w:rPr>
                <w:rFonts w:ascii="Times New Roman" w:eastAsia="Times New Roman" w:hAnsi="Times New Roman" w:cs="Times New Roman"/>
                <w:bCs/>
                <w:sz w:val="28"/>
                <w:szCs w:val="28"/>
              </w:rPr>
              <w:t>ā</w:t>
            </w:r>
            <w:r w:rsidR="0036609E" w:rsidRPr="00AE7621">
              <w:rPr>
                <w:rFonts w:ascii="Times New Roman" w:eastAsia="Times New Roman" w:hAnsi="Times New Roman" w:cs="Times New Roman"/>
                <w:bCs/>
                <w:sz w:val="28"/>
                <w:szCs w:val="28"/>
              </w:rPr>
              <w:t xml:space="preserve"> publisk</w:t>
            </w:r>
            <w:r w:rsidR="0032005C" w:rsidRPr="00AE7621">
              <w:rPr>
                <w:rFonts w:ascii="Times New Roman" w:eastAsia="Times New Roman" w:hAnsi="Times New Roman" w:cs="Times New Roman"/>
                <w:bCs/>
                <w:sz w:val="28"/>
                <w:szCs w:val="28"/>
              </w:rPr>
              <w:t>ā</w:t>
            </w:r>
            <w:r w:rsidR="0036609E" w:rsidRPr="00AE7621">
              <w:rPr>
                <w:rFonts w:ascii="Times New Roman" w:eastAsia="Times New Roman" w:hAnsi="Times New Roman" w:cs="Times New Roman"/>
                <w:bCs/>
                <w:sz w:val="28"/>
                <w:szCs w:val="28"/>
              </w:rPr>
              <w:t xml:space="preserve"> finansējum</w:t>
            </w:r>
            <w:r w:rsidR="0032005C" w:rsidRPr="00AE7621">
              <w:rPr>
                <w:rFonts w:ascii="Times New Roman" w:eastAsia="Times New Roman" w:hAnsi="Times New Roman" w:cs="Times New Roman"/>
                <w:bCs/>
                <w:sz w:val="28"/>
                <w:szCs w:val="28"/>
              </w:rPr>
              <w:t>a apjoms</w:t>
            </w:r>
            <w:r w:rsidR="0036609E" w:rsidRPr="00AE7621">
              <w:rPr>
                <w:rFonts w:ascii="Times New Roman" w:eastAsia="Times New Roman" w:hAnsi="Times New Roman" w:cs="Times New Roman"/>
                <w:bCs/>
                <w:sz w:val="28"/>
                <w:szCs w:val="28"/>
              </w:rPr>
              <w:t xml:space="preserve"> par 1 666 667 latiem (2 371 453 EUR). Nacionālā publiskā finansējuma pārdale ir nepieciešama, lai aktivitāte atbilstu </w:t>
            </w:r>
            <w:r w:rsidR="0032005C" w:rsidRPr="00AE7621">
              <w:rPr>
                <w:rFonts w:ascii="Times New Roman" w:eastAsia="Times New Roman" w:hAnsi="Times New Roman" w:cs="Times New Roman"/>
                <w:bCs/>
                <w:sz w:val="28"/>
                <w:szCs w:val="28"/>
              </w:rPr>
              <w:t xml:space="preserve">MK </w:t>
            </w:r>
            <w:r w:rsidR="0036609E" w:rsidRPr="00AE7621">
              <w:rPr>
                <w:rFonts w:ascii="Times New Roman" w:eastAsia="Times New Roman" w:hAnsi="Times New Roman" w:cs="Times New Roman"/>
                <w:bCs/>
                <w:sz w:val="28"/>
                <w:szCs w:val="28"/>
              </w:rPr>
              <w:t>noteikumu Nr.887 „Noteikumi par darbības programmas „Uzņēmējdarbība un inovācijas” papildinājuma 2.3.1.1.aktivitātes „Ārējo tirgu apgūšana” 2.3.1.1.2.apakšaktivitāti „Ārējo tirgu apgūšana – nozaru starptautiskās konkurētspējas stiprināšana”</w:t>
            </w:r>
            <w:r w:rsidR="0032005C" w:rsidRPr="00AE7621">
              <w:rPr>
                <w:rFonts w:ascii="Times New Roman" w:eastAsia="Times New Roman" w:hAnsi="Times New Roman" w:cs="Times New Roman"/>
                <w:bCs/>
                <w:sz w:val="28"/>
                <w:szCs w:val="28"/>
              </w:rPr>
              <w:t>”</w:t>
            </w:r>
            <w:r w:rsidRPr="00AE7621">
              <w:rPr>
                <w:rFonts w:ascii="Times New Roman" w:eastAsia="Times New Roman" w:hAnsi="Times New Roman" w:cs="Times New Roman"/>
                <w:bCs/>
                <w:sz w:val="28"/>
                <w:szCs w:val="28"/>
              </w:rPr>
              <w:t xml:space="preserve"> (turpmāk – MK noteikumi pa</w:t>
            </w:r>
            <w:r w:rsidR="00D343E5" w:rsidRPr="00AE7621">
              <w:rPr>
                <w:rFonts w:ascii="Times New Roman" w:eastAsia="Times New Roman" w:hAnsi="Times New Roman" w:cs="Times New Roman"/>
                <w:bCs/>
                <w:sz w:val="28"/>
                <w:szCs w:val="28"/>
              </w:rPr>
              <w:t>r</w:t>
            </w:r>
            <w:r w:rsidRPr="00AE7621">
              <w:rPr>
                <w:rFonts w:ascii="Times New Roman" w:eastAsia="Times New Roman" w:hAnsi="Times New Roman" w:cs="Times New Roman"/>
                <w:bCs/>
                <w:sz w:val="28"/>
                <w:szCs w:val="28"/>
              </w:rPr>
              <w:t xml:space="preserve"> 2.3.1.1.2.aktivitātes īstenošanu)</w:t>
            </w:r>
            <w:r w:rsidR="0036609E" w:rsidRPr="00AE7621">
              <w:rPr>
                <w:rFonts w:ascii="Times New Roman" w:eastAsia="Times New Roman" w:hAnsi="Times New Roman" w:cs="Times New Roman"/>
                <w:bCs/>
                <w:sz w:val="28"/>
                <w:szCs w:val="28"/>
              </w:rPr>
              <w:t xml:space="preserve"> 11.punktam, kas nosaka</w:t>
            </w:r>
            <w:r w:rsidR="0032005C" w:rsidRPr="00AE7621">
              <w:rPr>
                <w:rFonts w:ascii="Times New Roman" w:eastAsia="Times New Roman" w:hAnsi="Times New Roman" w:cs="Times New Roman"/>
                <w:bCs/>
                <w:sz w:val="28"/>
                <w:szCs w:val="28"/>
              </w:rPr>
              <w:t>,</w:t>
            </w:r>
            <w:r w:rsidR="0036609E" w:rsidRPr="00AE7621">
              <w:rPr>
                <w:rFonts w:ascii="Times New Roman" w:eastAsia="Times New Roman" w:hAnsi="Times New Roman" w:cs="Times New Roman"/>
                <w:bCs/>
                <w:sz w:val="28"/>
                <w:szCs w:val="28"/>
              </w:rPr>
              <w:t xml:space="preserve"> ka finansējuma saņēmējs nodrošina līdzfinansējumu no valsts budžeta ietvaros piešķirtajiem līdzekļiem ne mazāk kā 40 % apmērā. Nacionālais publiskais finansējums 1 666 667 latu apmērā 2.3.1.1.2.aktivitātei tiek pieprasīts saskaņā ar noteikumu „Noteikumi par 74.resora </w:t>
            </w:r>
            <w:r w:rsidR="0032005C" w:rsidRPr="00AE7621">
              <w:rPr>
                <w:rFonts w:ascii="Times New Roman" w:eastAsia="Times New Roman" w:hAnsi="Times New Roman" w:cs="Times New Roman"/>
                <w:bCs/>
                <w:sz w:val="28"/>
                <w:szCs w:val="28"/>
              </w:rPr>
              <w:t>„</w:t>
            </w:r>
            <w:r w:rsidR="0036609E" w:rsidRPr="00AE7621">
              <w:rPr>
                <w:rFonts w:ascii="Times New Roman" w:eastAsia="Times New Roman" w:hAnsi="Times New Roman" w:cs="Times New Roman"/>
                <w:bCs/>
                <w:sz w:val="28"/>
                <w:szCs w:val="28"/>
              </w:rPr>
              <w:t>Gadskārtējā valsts budžeta izpildes procesā pārdalāmais finansējums</w:t>
            </w:r>
            <w:r w:rsidR="0032005C" w:rsidRPr="00AE7621">
              <w:rPr>
                <w:rFonts w:ascii="Times New Roman" w:eastAsia="Times New Roman" w:hAnsi="Times New Roman" w:cs="Times New Roman"/>
                <w:bCs/>
                <w:sz w:val="28"/>
                <w:szCs w:val="28"/>
              </w:rPr>
              <w:t>”</w:t>
            </w:r>
            <w:r w:rsidR="0036609E" w:rsidRPr="00AE7621">
              <w:rPr>
                <w:rFonts w:ascii="Times New Roman" w:eastAsia="Times New Roman" w:hAnsi="Times New Roman" w:cs="Times New Roman"/>
                <w:bCs/>
                <w:sz w:val="28"/>
                <w:szCs w:val="28"/>
              </w:rPr>
              <w:t xml:space="preserve"> 80.00.00 programmā plānoto līdzekļu pārdales kārtību Eiropas Savienības politiku instrumentu un pārējās ārvalstu finanšu palīdzības līdzfinansēto projektu un pasākumu īstenošanai” 2.punktu.</w:t>
            </w:r>
            <w:r w:rsidR="001C28CE" w:rsidRPr="00AE7621">
              <w:rPr>
                <w:rFonts w:ascii="Times New Roman" w:eastAsia="Times New Roman" w:hAnsi="Times New Roman" w:cs="Times New Roman"/>
                <w:bCs/>
                <w:sz w:val="28"/>
                <w:szCs w:val="28"/>
              </w:rPr>
              <w:t xml:space="preserve"> Vēršam uzmanību, ka Darbības programmā „Uzņēmējdarbība un Inovācijas” ir norādīts indikatīvais sasniedzamais finansējums, kas ir noteikt minimums, attiecīgi pārsniedzot nacionālo publisko finansējumu darbības programmas „Uzņēmējdarbība un inovācijas” papildinājumā nerada nepieciešamību grozīt darbības programmu „Uzņēmējdarbība un Inovācijas”.</w:t>
            </w:r>
            <w:r w:rsidR="00661DB6" w:rsidRPr="00AE7621">
              <w:rPr>
                <w:rFonts w:ascii="Times New Roman" w:eastAsia="Calibri" w:hAnsi="Times New Roman" w:cs="Times New Roman"/>
                <w:lang w:eastAsia="en-US"/>
              </w:rPr>
              <w:t xml:space="preserve"> </w:t>
            </w:r>
            <w:r w:rsidR="00661DB6" w:rsidRPr="00AE7621">
              <w:rPr>
                <w:rFonts w:ascii="Times New Roman" w:eastAsia="Times New Roman" w:hAnsi="Times New Roman" w:cs="Times New Roman"/>
                <w:bCs/>
                <w:sz w:val="28"/>
                <w:szCs w:val="28"/>
              </w:rPr>
              <w:t>Lai tiktu nodrošināta atbilstība darbības programmai „Uzņēmējdarbība un inovācijas”, privātā finansējuma apjoms tiek samazināts par 1 666 667 latiem (2 371 453 EUR). Kā iepriekš minēts, privātā finansējuma samazinājums neietekmēs 2.3.1.1.1.aktivitātes mērķu sasniegšanu.</w:t>
            </w:r>
          </w:p>
          <w:p w:rsidR="007F7671" w:rsidRPr="00AE7621" w:rsidRDefault="007F7671" w:rsidP="00661DB6">
            <w:pPr>
              <w:spacing w:after="0" w:line="240" w:lineRule="auto"/>
              <w:ind w:firstLine="567"/>
              <w:jc w:val="both"/>
              <w:rPr>
                <w:rFonts w:ascii="Times New Roman" w:eastAsia="Times New Roman" w:hAnsi="Times New Roman" w:cs="Times New Roman"/>
                <w:bCs/>
                <w:sz w:val="28"/>
                <w:szCs w:val="28"/>
              </w:rPr>
            </w:pPr>
            <w:r w:rsidRPr="00AE7621">
              <w:rPr>
                <w:rFonts w:ascii="Times New Roman" w:eastAsia="Times New Roman" w:hAnsi="Times New Roman" w:cs="Times New Roman"/>
                <w:bCs/>
                <w:sz w:val="28"/>
                <w:szCs w:val="28"/>
              </w:rPr>
              <w:t>Grozījumi darbības programmas „Uzņēmējdarbība un inovācijas” papildinājuma 35., 37., 38.un 41.punktos ir nepieciešami</w:t>
            </w:r>
            <w:r w:rsidR="004501D2" w:rsidRPr="00AE7621">
              <w:rPr>
                <w:rFonts w:ascii="Times New Roman" w:eastAsia="Times New Roman" w:hAnsi="Times New Roman" w:cs="Times New Roman"/>
                <w:bCs/>
                <w:sz w:val="28"/>
                <w:szCs w:val="28"/>
              </w:rPr>
              <w:t xml:space="preserve"> lai iekļautu </w:t>
            </w:r>
            <w:r w:rsidR="004501D2" w:rsidRPr="00AE7621">
              <w:rPr>
                <w:rFonts w:ascii="Times New Roman" w:eastAsia="Times New Roman" w:hAnsi="Times New Roman" w:cs="Times New Roman"/>
                <w:bCs/>
                <w:sz w:val="28"/>
                <w:szCs w:val="28"/>
              </w:rPr>
              <w:lastRenderedPageBreak/>
              <w:t>grozījumus, kas vei</w:t>
            </w:r>
            <w:r w:rsidR="00901583">
              <w:rPr>
                <w:rFonts w:ascii="Times New Roman" w:eastAsia="Times New Roman" w:hAnsi="Times New Roman" w:cs="Times New Roman"/>
                <w:bCs/>
                <w:sz w:val="28"/>
                <w:szCs w:val="28"/>
              </w:rPr>
              <w:t>kti</w:t>
            </w:r>
            <w:r w:rsidR="004501D2" w:rsidRPr="00AE7621">
              <w:rPr>
                <w:rFonts w:ascii="Times New Roman" w:eastAsia="Times New Roman" w:hAnsi="Times New Roman" w:cs="Times New Roman"/>
                <w:bCs/>
                <w:sz w:val="28"/>
                <w:szCs w:val="28"/>
              </w:rPr>
              <w:t xml:space="preserve"> Ministru kabineta 2010.gada 13.aprīļa noteikumos  Nr.361 „Noteikumi par darbības programmas „Uzņēmējdarbība un inovācijas” papildinājuma 2.1.2.1.1.apakšaktivitāti „Kompetences centri””. Vēršam uzmanību ka Ekonomikas ministrija ir pārskatījusi iepriekšminēto </w:t>
            </w:r>
            <w:proofErr w:type="spellStart"/>
            <w:r w:rsidR="004501D2" w:rsidRPr="00AE7621">
              <w:rPr>
                <w:rFonts w:ascii="Times New Roman" w:eastAsia="Times New Roman" w:hAnsi="Times New Roman" w:cs="Times New Roman"/>
                <w:bCs/>
                <w:sz w:val="28"/>
                <w:szCs w:val="28"/>
              </w:rPr>
              <w:t>apakšaktivitāti</w:t>
            </w:r>
            <w:proofErr w:type="spellEnd"/>
            <w:r w:rsidR="004501D2" w:rsidRPr="00AE7621">
              <w:rPr>
                <w:rFonts w:ascii="Times New Roman" w:eastAsia="Times New Roman" w:hAnsi="Times New Roman" w:cs="Times New Roman"/>
                <w:bCs/>
                <w:sz w:val="28"/>
                <w:szCs w:val="28"/>
              </w:rPr>
              <w:t xml:space="preserve"> un veic grozījumus, lai programmu atsāktu finansēt.</w:t>
            </w:r>
          </w:p>
          <w:p w:rsidR="008C2351" w:rsidRPr="00AE7621" w:rsidRDefault="008C2351" w:rsidP="00661DB6">
            <w:pPr>
              <w:spacing w:after="0" w:line="240" w:lineRule="auto"/>
              <w:ind w:firstLine="567"/>
              <w:jc w:val="both"/>
              <w:rPr>
                <w:rFonts w:ascii="Times New Roman" w:eastAsia="Times New Roman" w:hAnsi="Times New Roman" w:cs="Times New Roman"/>
                <w:bCs/>
                <w:sz w:val="28"/>
                <w:szCs w:val="28"/>
              </w:rPr>
            </w:pPr>
            <w:r w:rsidRPr="00AE7621">
              <w:rPr>
                <w:rFonts w:ascii="Times New Roman" w:eastAsia="Times New Roman" w:hAnsi="Times New Roman" w:cs="Times New Roman"/>
                <w:bCs/>
                <w:sz w:val="28"/>
                <w:szCs w:val="28"/>
              </w:rPr>
              <w:t>Rīkojuma projekta 1.1.-1.4.apakšpunkti paredz svītrot investīcijas ar pētniecību un attīstību saistītajā infrastruktūrā no attiecināmajām izmaksām. Šīs izmaiņas ir veiktas, jo projektu iesniegumu atlasē, kura noslēdzās 2011.gadā, nav  projekta, kurā iepriekšminētās izmaksas būtu iekļa</w:t>
            </w:r>
            <w:r w:rsidR="00901583">
              <w:rPr>
                <w:rFonts w:ascii="Times New Roman" w:eastAsia="Times New Roman" w:hAnsi="Times New Roman" w:cs="Times New Roman"/>
                <w:bCs/>
                <w:sz w:val="28"/>
                <w:szCs w:val="28"/>
              </w:rPr>
              <w:t>utas kā attiecināmas. Attiecīgi</w:t>
            </w:r>
            <w:r w:rsidRPr="00AE7621">
              <w:rPr>
                <w:rFonts w:ascii="Times New Roman" w:eastAsia="Times New Roman" w:hAnsi="Times New Roman" w:cs="Times New Roman"/>
                <w:bCs/>
                <w:sz w:val="28"/>
                <w:szCs w:val="28"/>
              </w:rPr>
              <w:t>,</w:t>
            </w:r>
            <w:r w:rsidR="00901583">
              <w:rPr>
                <w:rFonts w:ascii="Times New Roman" w:eastAsia="Times New Roman" w:hAnsi="Times New Roman" w:cs="Times New Roman"/>
                <w:bCs/>
                <w:sz w:val="28"/>
                <w:szCs w:val="28"/>
              </w:rPr>
              <w:t xml:space="preserve"> </w:t>
            </w:r>
            <w:r w:rsidRPr="00AE7621">
              <w:rPr>
                <w:rFonts w:ascii="Times New Roman" w:eastAsia="Times New Roman" w:hAnsi="Times New Roman" w:cs="Times New Roman"/>
                <w:bCs/>
                <w:sz w:val="28"/>
                <w:szCs w:val="28"/>
              </w:rPr>
              <w:t>svītrojot  investīcijas pētniecības un attīstības saistītajā infrastruktūrā no attiecināmajām izmaksām, tiesiskās paļāvības princips ir ievērots.</w:t>
            </w:r>
          </w:p>
          <w:p w:rsidR="008C2351" w:rsidRPr="00AE7621" w:rsidRDefault="008C2351" w:rsidP="00901583">
            <w:pPr>
              <w:spacing w:after="0" w:line="240" w:lineRule="auto"/>
              <w:ind w:firstLine="567"/>
              <w:jc w:val="both"/>
              <w:rPr>
                <w:rFonts w:ascii="Times New Roman" w:eastAsia="Times New Roman" w:hAnsi="Times New Roman" w:cs="Times New Roman"/>
                <w:bCs/>
                <w:sz w:val="28"/>
                <w:szCs w:val="28"/>
              </w:rPr>
            </w:pPr>
            <w:r w:rsidRPr="00AE7621">
              <w:rPr>
                <w:rFonts w:ascii="Times New Roman" w:eastAsia="Times New Roman" w:hAnsi="Times New Roman" w:cs="Times New Roman"/>
                <w:bCs/>
                <w:sz w:val="28"/>
                <w:szCs w:val="28"/>
              </w:rPr>
              <w:t>Rīkojuma projekta 1.5.apakšpunkt</w:t>
            </w:r>
            <w:r w:rsidR="00901583">
              <w:rPr>
                <w:rFonts w:ascii="Times New Roman" w:eastAsia="Times New Roman" w:hAnsi="Times New Roman" w:cs="Times New Roman"/>
                <w:bCs/>
                <w:sz w:val="28"/>
                <w:szCs w:val="28"/>
              </w:rPr>
              <w:t>s</w:t>
            </w:r>
            <w:r w:rsidRPr="00AE7621">
              <w:rPr>
                <w:rFonts w:ascii="Times New Roman" w:eastAsia="Times New Roman" w:hAnsi="Times New Roman" w:cs="Times New Roman"/>
                <w:bCs/>
                <w:sz w:val="28"/>
                <w:szCs w:val="28"/>
              </w:rPr>
              <w:t xml:space="preserve"> paredz mainīt redakciju</w:t>
            </w:r>
            <w:r w:rsidR="00406A17" w:rsidRPr="00AE7621">
              <w:rPr>
                <w:rFonts w:ascii="Times New Roman" w:eastAsia="Times New Roman" w:hAnsi="Times New Roman" w:cs="Times New Roman"/>
                <w:bCs/>
                <w:sz w:val="28"/>
                <w:szCs w:val="28"/>
              </w:rPr>
              <w:t>, tāpat kā tas darīts grozījumos</w:t>
            </w:r>
            <w:r w:rsidR="00406A17" w:rsidRPr="00AE7621">
              <w:t xml:space="preserve"> </w:t>
            </w:r>
            <w:r w:rsidR="00406A17" w:rsidRPr="00AE7621">
              <w:rPr>
                <w:rFonts w:ascii="Times New Roman" w:eastAsia="Times New Roman" w:hAnsi="Times New Roman" w:cs="Times New Roman"/>
                <w:bCs/>
                <w:sz w:val="28"/>
                <w:szCs w:val="28"/>
              </w:rPr>
              <w:t>MK noteikumos par 2.3.1.1.2.aktivitātes īstenošanu</w:t>
            </w:r>
            <w:r w:rsidRPr="00AE7621">
              <w:rPr>
                <w:rFonts w:ascii="Times New Roman" w:eastAsia="Times New Roman" w:hAnsi="Times New Roman" w:cs="Times New Roman"/>
                <w:bCs/>
                <w:sz w:val="28"/>
                <w:szCs w:val="28"/>
              </w:rPr>
              <w:t>, lai varētu iekļaut žurnālistu un komersantu vizītes kā attiecināmās izmaksas, kā arī lai varētu attiecināt marketinga aktivitātes Latvijas teritorijā, ja mērķauditorija ir ārzemju tūristi, piemēram reklāmas Rīgas lidostā.</w:t>
            </w:r>
          </w:p>
        </w:tc>
      </w:tr>
      <w:tr w:rsidR="00D40CFC" w:rsidRPr="00AE7621" w:rsidTr="00ED4179">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AE7621" w:rsidRDefault="00D40CFC" w:rsidP="008C2351">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lastRenderedPageBreak/>
              <w:t>3. Saistītie politikas ietekmes novērtējumi un pētījumi</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AE7621" w:rsidRDefault="00722173">
            <w:pPr>
              <w:spacing w:after="0" w:line="240" w:lineRule="auto"/>
              <w:ind w:firstLine="567"/>
              <w:jc w:val="both"/>
              <w:rPr>
                <w:rFonts w:ascii="Times New Roman" w:eastAsia="Calibri" w:hAnsi="Times New Roman" w:cs="Times New Roman"/>
                <w:color w:val="000000"/>
                <w:sz w:val="28"/>
                <w:szCs w:val="28"/>
              </w:rPr>
            </w:pPr>
            <w:r w:rsidRPr="00AE7621">
              <w:rPr>
                <w:rFonts w:ascii="Times New Roman" w:eastAsia="Calibri" w:hAnsi="Times New Roman" w:cs="Times New Roman"/>
                <w:color w:val="000000"/>
                <w:sz w:val="28"/>
                <w:szCs w:val="28"/>
              </w:rPr>
              <w:t>Projekts šo jomu neskar.</w:t>
            </w:r>
          </w:p>
        </w:tc>
      </w:tr>
      <w:tr w:rsidR="00D40CFC" w:rsidRPr="00AE7621" w:rsidTr="00560737">
        <w:trPr>
          <w:trHeight w:val="76"/>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AE7621" w:rsidRDefault="00D40CFC" w:rsidP="008C2351">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4. Tiesiskā regulējuma mērķis un būtība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352B" w:rsidRPr="00AE7621" w:rsidRDefault="0075352B">
            <w:pPr>
              <w:spacing w:after="0" w:line="240" w:lineRule="auto"/>
              <w:jc w:val="both"/>
              <w:rPr>
                <w:rFonts w:ascii="Times New Roman" w:eastAsia="Calibri" w:hAnsi="Times New Roman" w:cs="Times New Roman"/>
                <w:bCs/>
                <w:sz w:val="28"/>
                <w:szCs w:val="28"/>
              </w:rPr>
            </w:pPr>
            <w:r w:rsidRPr="00AE7621">
              <w:rPr>
                <w:rFonts w:ascii="Times New Roman" w:eastAsia="Calibri" w:hAnsi="Times New Roman" w:cs="Times New Roman"/>
                <w:bCs/>
                <w:sz w:val="28"/>
                <w:szCs w:val="28"/>
              </w:rPr>
              <w:t>Ministru kabineta rīkojuma projekts paredz</w:t>
            </w:r>
            <w:r w:rsidR="00560737" w:rsidRPr="00AE7621">
              <w:rPr>
                <w:rFonts w:ascii="Times New Roman" w:eastAsia="Calibri" w:hAnsi="Times New Roman" w:cs="Times New Roman"/>
                <w:bCs/>
                <w:sz w:val="28"/>
                <w:szCs w:val="28"/>
              </w:rPr>
              <w:t>:</w:t>
            </w:r>
          </w:p>
          <w:p w:rsidR="0075352B" w:rsidRPr="00AE7621" w:rsidRDefault="0036609E">
            <w:pPr>
              <w:pStyle w:val="ListParagraph"/>
              <w:numPr>
                <w:ilvl w:val="0"/>
                <w:numId w:val="7"/>
              </w:numPr>
              <w:spacing w:after="0" w:line="240" w:lineRule="auto"/>
              <w:jc w:val="both"/>
              <w:rPr>
                <w:rFonts w:ascii="Times New Roman" w:eastAsia="Calibri" w:hAnsi="Times New Roman" w:cs="Times New Roman"/>
                <w:color w:val="000000"/>
                <w:sz w:val="28"/>
                <w:szCs w:val="28"/>
              </w:rPr>
            </w:pPr>
            <w:r w:rsidRPr="00AE7621">
              <w:rPr>
                <w:rFonts w:ascii="Times New Roman" w:eastAsia="Calibri" w:hAnsi="Times New Roman" w:cs="Times New Roman"/>
                <w:bCs/>
                <w:sz w:val="28"/>
                <w:szCs w:val="28"/>
              </w:rPr>
              <w:t xml:space="preserve">veikt </w:t>
            </w:r>
            <w:r w:rsidR="0032005C" w:rsidRPr="00AE7621">
              <w:rPr>
                <w:rFonts w:ascii="Times New Roman" w:eastAsia="Calibri" w:hAnsi="Times New Roman" w:cs="Times New Roman"/>
                <w:bCs/>
                <w:sz w:val="28"/>
                <w:szCs w:val="28"/>
              </w:rPr>
              <w:t>ERAF</w:t>
            </w:r>
            <w:r w:rsidRPr="00AE7621">
              <w:rPr>
                <w:rFonts w:ascii="Times New Roman" w:eastAsia="Calibri" w:hAnsi="Times New Roman" w:cs="Times New Roman"/>
                <w:bCs/>
                <w:sz w:val="28"/>
                <w:szCs w:val="28"/>
              </w:rPr>
              <w:t xml:space="preserve"> finansējuma pārdali no</w:t>
            </w:r>
            <w:r w:rsidRPr="00AE7621">
              <w:rPr>
                <w:rFonts w:ascii="Times New Roman" w:eastAsia="Calibri" w:hAnsi="Times New Roman" w:cs="Times New Roman"/>
                <w:color w:val="000000"/>
                <w:sz w:val="28"/>
                <w:szCs w:val="28"/>
              </w:rPr>
              <w:t xml:space="preserve"> </w:t>
            </w:r>
            <w:r w:rsidR="00AC0127" w:rsidRPr="00AE7621">
              <w:rPr>
                <w:rFonts w:ascii="Times New Roman" w:eastAsia="Calibri" w:hAnsi="Times New Roman" w:cs="Times New Roman"/>
                <w:color w:val="000000"/>
                <w:sz w:val="28"/>
                <w:szCs w:val="28"/>
              </w:rPr>
              <w:t>2.</w:t>
            </w:r>
            <w:r w:rsidR="00FC2214" w:rsidRPr="00AE7621">
              <w:rPr>
                <w:rFonts w:ascii="Times New Roman" w:eastAsia="Calibri" w:hAnsi="Times New Roman" w:cs="Times New Roman"/>
                <w:color w:val="000000"/>
                <w:sz w:val="28"/>
                <w:szCs w:val="28"/>
              </w:rPr>
              <w:t>3</w:t>
            </w:r>
            <w:r w:rsidR="00AC0127" w:rsidRPr="00AE7621">
              <w:rPr>
                <w:rFonts w:ascii="Times New Roman" w:eastAsia="Calibri" w:hAnsi="Times New Roman" w:cs="Times New Roman"/>
                <w:color w:val="000000"/>
                <w:sz w:val="28"/>
                <w:szCs w:val="28"/>
              </w:rPr>
              <w:t>.</w:t>
            </w:r>
            <w:r w:rsidR="00FC2214" w:rsidRPr="00AE7621">
              <w:rPr>
                <w:rFonts w:ascii="Times New Roman" w:eastAsia="Calibri" w:hAnsi="Times New Roman" w:cs="Times New Roman"/>
                <w:color w:val="000000"/>
                <w:sz w:val="28"/>
                <w:szCs w:val="28"/>
              </w:rPr>
              <w:t>1</w:t>
            </w:r>
            <w:r w:rsidR="00AC0127" w:rsidRPr="00AE7621">
              <w:rPr>
                <w:rFonts w:ascii="Times New Roman" w:eastAsia="Calibri" w:hAnsi="Times New Roman" w:cs="Times New Roman"/>
                <w:color w:val="000000"/>
                <w:sz w:val="28"/>
                <w:szCs w:val="28"/>
              </w:rPr>
              <w:t>.</w:t>
            </w:r>
            <w:r w:rsidR="00FC2214" w:rsidRPr="00AE7621">
              <w:rPr>
                <w:rFonts w:ascii="Times New Roman" w:eastAsia="Calibri" w:hAnsi="Times New Roman" w:cs="Times New Roman"/>
                <w:color w:val="000000"/>
                <w:sz w:val="28"/>
                <w:szCs w:val="28"/>
              </w:rPr>
              <w:t>1</w:t>
            </w:r>
            <w:r w:rsidR="00AC0127" w:rsidRPr="00AE7621">
              <w:rPr>
                <w:rFonts w:ascii="Times New Roman" w:eastAsia="Calibri" w:hAnsi="Times New Roman" w:cs="Times New Roman"/>
                <w:color w:val="000000"/>
                <w:sz w:val="28"/>
                <w:szCs w:val="28"/>
              </w:rPr>
              <w:t>.</w:t>
            </w:r>
            <w:r w:rsidR="00FC2214" w:rsidRPr="00AE7621">
              <w:rPr>
                <w:rFonts w:ascii="Times New Roman" w:eastAsia="Calibri" w:hAnsi="Times New Roman" w:cs="Times New Roman"/>
                <w:color w:val="000000"/>
                <w:sz w:val="28"/>
                <w:szCs w:val="28"/>
              </w:rPr>
              <w:t>1</w:t>
            </w:r>
            <w:r w:rsidR="00AC0127" w:rsidRPr="00AE7621">
              <w:rPr>
                <w:rFonts w:ascii="Times New Roman" w:eastAsia="Calibri" w:hAnsi="Times New Roman" w:cs="Times New Roman"/>
                <w:color w:val="000000"/>
                <w:sz w:val="28"/>
                <w:szCs w:val="28"/>
              </w:rPr>
              <w:t>.</w:t>
            </w:r>
            <w:r w:rsidR="003562CD" w:rsidRPr="00AE7621" w:rsidDel="003562CD">
              <w:rPr>
                <w:rFonts w:ascii="Times New Roman" w:eastAsia="Calibri" w:hAnsi="Times New Roman" w:cs="Times New Roman"/>
                <w:color w:val="000000"/>
                <w:sz w:val="28"/>
                <w:szCs w:val="28"/>
              </w:rPr>
              <w:t xml:space="preserve"> </w:t>
            </w:r>
            <w:r w:rsidR="00AC0127" w:rsidRPr="00AE7621">
              <w:rPr>
                <w:rFonts w:ascii="Times New Roman" w:eastAsia="Calibri" w:hAnsi="Times New Roman" w:cs="Times New Roman"/>
                <w:color w:val="000000"/>
                <w:sz w:val="28"/>
                <w:szCs w:val="28"/>
              </w:rPr>
              <w:t xml:space="preserve">aktivitātes </w:t>
            </w:r>
            <w:r w:rsidR="00FC2214" w:rsidRPr="00AE7621">
              <w:rPr>
                <w:rFonts w:ascii="Times New Roman" w:eastAsia="Calibri" w:hAnsi="Times New Roman" w:cs="Times New Roman"/>
                <w:color w:val="000000"/>
                <w:sz w:val="28"/>
                <w:szCs w:val="28"/>
              </w:rPr>
              <w:t>2</w:t>
            </w:r>
            <w:r w:rsidR="00AC0127" w:rsidRPr="00AE7621">
              <w:rPr>
                <w:rFonts w:ascii="Times New Roman" w:eastAsia="Calibri" w:hAnsi="Times New Roman" w:cs="Times New Roman"/>
                <w:color w:val="000000"/>
                <w:sz w:val="28"/>
                <w:szCs w:val="28"/>
              </w:rPr>
              <w:t> </w:t>
            </w:r>
            <w:r w:rsidR="00FC2214" w:rsidRPr="00AE7621">
              <w:rPr>
                <w:rFonts w:ascii="Times New Roman" w:eastAsia="Calibri" w:hAnsi="Times New Roman" w:cs="Times New Roman"/>
                <w:color w:val="000000"/>
                <w:sz w:val="28"/>
                <w:szCs w:val="28"/>
              </w:rPr>
              <w:t>500</w:t>
            </w:r>
            <w:r w:rsidR="00AC0127" w:rsidRPr="00AE7621">
              <w:rPr>
                <w:rFonts w:ascii="Times New Roman" w:eastAsia="Calibri" w:hAnsi="Times New Roman" w:cs="Times New Roman"/>
                <w:color w:val="000000"/>
                <w:sz w:val="28"/>
                <w:szCs w:val="28"/>
              </w:rPr>
              <w:t xml:space="preserve"> </w:t>
            </w:r>
            <w:r w:rsidR="00FC2214" w:rsidRPr="00AE7621">
              <w:rPr>
                <w:rFonts w:ascii="Times New Roman" w:eastAsia="Calibri" w:hAnsi="Times New Roman" w:cs="Times New Roman"/>
                <w:color w:val="000000"/>
                <w:sz w:val="28"/>
                <w:szCs w:val="28"/>
              </w:rPr>
              <w:t>000</w:t>
            </w:r>
            <w:r w:rsidR="00AC0127" w:rsidRPr="00AE7621">
              <w:rPr>
                <w:rFonts w:ascii="Times New Roman" w:eastAsia="Calibri" w:hAnsi="Times New Roman" w:cs="Times New Roman"/>
                <w:color w:val="000000"/>
                <w:sz w:val="28"/>
                <w:szCs w:val="28"/>
              </w:rPr>
              <w:t xml:space="preserve"> latu</w:t>
            </w:r>
            <w:r w:rsidR="00F02AD7" w:rsidRPr="00AE7621">
              <w:rPr>
                <w:rFonts w:ascii="Times New Roman" w:eastAsia="Calibri" w:hAnsi="Times New Roman" w:cs="Times New Roman"/>
                <w:color w:val="000000"/>
                <w:sz w:val="28"/>
                <w:szCs w:val="28"/>
              </w:rPr>
              <w:t xml:space="preserve"> (3 557 180 EUR)</w:t>
            </w:r>
            <w:r w:rsidR="00AC0127" w:rsidRPr="00AE7621">
              <w:rPr>
                <w:rFonts w:ascii="Times New Roman" w:eastAsia="Calibri" w:hAnsi="Times New Roman" w:cs="Times New Roman"/>
                <w:color w:val="000000"/>
                <w:sz w:val="28"/>
                <w:szCs w:val="28"/>
              </w:rPr>
              <w:t xml:space="preserve"> apmērā uz 2.</w:t>
            </w:r>
            <w:r w:rsidR="00FC2214" w:rsidRPr="00AE7621">
              <w:rPr>
                <w:rFonts w:ascii="Times New Roman" w:eastAsia="Calibri" w:hAnsi="Times New Roman" w:cs="Times New Roman"/>
                <w:color w:val="000000"/>
                <w:sz w:val="28"/>
                <w:szCs w:val="28"/>
              </w:rPr>
              <w:t>3</w:t>
            </w:r>
            <w:r w:rsidR="00AC0127" w:rsidRPr="00AE7621">
              <w:rPr>
                <w:rFonts w:ascii="Times New Roman" w:eastAsia="Calibri" w:hAnsi="Times New Roman" w:cs="Times New Roman"/>
                <w:color w:val="000000"/>
                <w:sz w:val="28"/>
                <w:szCs w:val="28"/>
              </w:rPr>
              <w:t>.</w:t>
            </w:r>
            <w:r w:rsidR="00FC2214" w:rsidRPr="00AE7621">
              <w:rPr>
                <w:rFonts w:ascii="Times New Roman" w:eastAsia="Calibri" w:hAnsi="Times New Roman" w:cs="Times New Roman"/>
                <w:color w:val="000000"/>
                <w:sz w:val="28"/>
                <w:szCs w:val="28"/>
              </w:rPr>
              <w:t>1</w:t>
            </w:r>
            <w:r w:rsidR="00AC0127" w:rsidRPr="00AE7621">
              <w:rPr>
                <w:rFonts w:ascii="Times New Roman" w:eastAsia="Calibri" w:hAnsi="Times New Roman" w:cs="Times New Roman"/>
                <w:color w:val="000000"/>
                <w:sz w:val="28"/>
                <w:szCs w:val="28"/>
              </w:rPr>
              <w:t>.</w:t>
            </w:r>
            <w:r w:rsidR="00FC2214" w:rsidRPr="00AE7621">
              <w:rPr>
                <w:rFonts w:ascii="Times New Roman" w:eastAsia="Calibri" w:hAnsi="Times New Roman" w:cs="Times New Roman"/>
                <w:color w:val="000000"/>
                <w:sz w:val="28"/>
                <w:szCs w:val="28"/>
              </w:rPr>
              <w:t>1.2.</w:t>
            </w:r>
            <w:r w:rsidR="003562CD" w:rsidRPr="00AE7621" w:rsidDel="003562CD">
              <w:rPr>
                <w:rFonts w:ascii="Times New Roman" w:eastAsia="Calibri" w:hAnsi="Times New Roman" w:cs="Times New Roman"/>
                <w:color w:val="000000"/>
                <w:sz w:val="28"/>
                <w:szCs w:val="28"/>
              </w:rPr>
              <w:t xml:space="preserve"> </w:t>
            </w:r>
            <w:r w:rsidR="00AC0127" w:rsidRPr="00AE7621">
              <w:rPr>
                <w:rFonts w:ascii="Times New Roman" w:eastAsia="Calibri" w:hAnsi="Times New Roman" w:cs="Times New Roman"/>
                <w:color w:val="000000"/>
                <w:sz w:val="28"/>
                <w:szCs w:val="28"/>
              </w:rPr>
              <w:t>aktivitāti;</w:t>
            </w:r>
          </w:p>
          <w:p w:rsidR="0036609E" w:rsidRPr="00AE7621" w:rsidRDefault="0036609E">
            <w:pPr>
              <w:pStyle w:val="ListParagraph"/>
              <w:numPr>
                <w:ilvl w:val="0"/>
                <w:numId w:val="7"/>
              </w:numPr>
              <w:spacing w:after="0" w:line="240" w:lineRule="auto"/>
              <w:jc w:val="both"/>
              <w:rPr>
                <w:rFonts w:ascii="Times New Roman" w:eastAsia="Calibri" w:hAnsi="Times New Roman" w:cs="Times New Roman"/>
                <w:color w:val="000000"/>
                <w:sz w:val="28"/>
                <w:szCs w:val="28"/>
              </w:rPr>
            </w:pPr>
            <w:r w:rsidRPr="00AE7621">
              <w:rPr>
                <w:rFonts w:ascii="Times New Roman" w:eastAsia="Calibri" w:hAnsi="Times New Roman" w:cs="Times New Roman"/>
                <w:color w:val="000000"/>
                <w:sz w:val="28"/>
                <w:szCs w:val="28"/>
              </w:rPr>
              <w:t>palielināt nacionālo publisko finansējumu 2.3.1.1.2.</w:t>
            </w:r>
            <w:r w:rsidR="003562CD" w:rsidRPr="00AE7621" w:rsidDel="003562CD">
              <w:rPr>
                <w:rFonts w:ascii="Times New Roman" w:eastAsia="Calibri" w:hAnsi="Times New Roman" w:cs="Times New Roman"/>
                <w:color w:val="000000"/>
                <w:sz w:val="28"/>
                <w:szCs w:val="28"/>
              </w:rPr>
              <w:t xml:space="preserve"> </w:t>
            </w:r>
            <w:r w:rsidRPr="00AE7621">
              <w:rPr>
                <w:rFonts w:ascii="Times New Roman" w:eastAsia="Calibri" w:hAnsi="Times New Roman" w:cs="Times New Roman"/>
                <w:color w:val="000000"/>
                <w:sz w:val="28"/>
                <w:szCs w:val="28"/>
              </w:rPr>
              <w:t>aktivitātei</w:t>
            </w:r>
            <w:r w:rsidR="00661DB6" w:rsidRPr="00AE7621">
              <w:rPr>
                <w:rFonts w:ascii="Times New Roman" w:eastAsia="Calibri" w:hAnsi="Times New Roman" w:cs="Times New Roman"/>
                <w:color w:val="000000"/>
                <w:sz w:val="28"/>
                <w:szCs w:val="28"/>
              </w:rPr>
              <w:t xml:space="preserve"> un samazināt privāto finansējumu 2.3.1.1.1. aktivitātei</w:t>
            </w:r>
            <w:r w:rsidR="008407ED" w:rsidRPr="00AE7621">
              <w:rPr>
                <w:rFonts w:ascii="Times New Roman" w:eastAsia="Calibri" w:hAnsi="Times New Roman" w:cs="Times New Roman"/>
                <w:color w:val="000000"/>
                <w:sz w:val="28"/>
                <w:szCs w:val="28"/>
              </w:rPr>
              <w:t xml:space="preserve"> </w:t>
            </w:r>
            <w:r w:rsidRPr="00AE7621">
              <w:rPr>
                <w:rFonts w:ascii="Times New Roman" w:eastAsia="Calibri" w:hAnsi="Times New Roman" w:cs="Times New Roman"/>
                <w:color w:val="000000"/>
                <w:sz w:val="28"/>
                <w:szCs w:val="28"/>
              </w:rPr>
              <w:t>1 666 667 latu (2 371 453 EUR) apmērā</w:t>
            </w:r>
            <w:r w:rsidR="004501D2" w:rsidRPr="00AE7621">
              <w:rPr>
                <w:rFonts w:ascii="Times New Roman" w:eastAsia="Calibri" w:hAnsi="Times New Roman" w:cs="Times New Roman"/>
                <w:color w:val="000000"/>
                <w:sz w:val="28"/>
                <w:szCs w:val="28"/>
              </w:rPr>
              <w:t>;</w:t>
            </w:r>
          </w:p>
          <w:p w:rsidR="004501D2" w:rsidRPr="00AE7621" w:rsidRDefault="004501D2">
            <w:pPr>
              <w:pStyle w:val="ListParagraph"/>
              <w:numPr>
                <w:ilvl w:val="0"/>
                <w:numId w:val="7"/>
              </w:numPr>
              <w:spacing w:after="0" w:line="240" w:lineRule="auto"/>
              <w:jc w:val="both"/>
              <w:rPr>
                <w:rFonts w:ascii="Times New Roman" w:eastAsia="Calibri" w:hAnsi="Times New Roman" w:cs="Times New Roman"/>
                <w:color w:val="000000"/>
                <w:sz w:val="28"/>
                <w:szCs w:val="28"/>
              </w:rPr>
            </w:pPr>
            <w:r w:rsidRPr="00AE7621">
              <w:rPr>
                <w:rFonts w:ascii="Times New Roman" w:eastAsia="Calibri" w:hAnsi="Times New Roman" w:cs="Times New Roman"/>
                <w:color w:val="000000"/>
                <w:sz w:val="28"/>
                <w:szCs w:val="28"/>
              </w:rPr>
              <w:t>iz</w:t>
            </w:r>
            <w:r w:rsidR="00A6374A" w:rsidRPr="00AE7621">
              <w:rPr>
                <w:rFonts w:ascii="Times New Roman" w:eastAsia="Calibri" w:hAnsi="Times New Roman" w:cs="Times New Roman"/>
                <w:color w:val="000000"/>
                <w:sz w:val="28"/>
                <w:szCs w:val="28"/>
              </w:rPr>
              <w:t>svītrot</w:t>
            </w:r>
            <w:r w:rsidRPr="00AE7621">
              <w:rPr>
                <w:rFonts w:ascii="Times New Roman" w:eastAsia="Calibri" w:hAnsi="Times New Roman" w:cs="Times New Roman"/>
                <w:color w:val="000000"/>
                <w:sz w:val="28"/>
                <w:szCs w:val="28"/>
              </w:rPr>
              <w:t xml:space="preserve"> privātā sektora investīcijas</w:t>
            </w:r>
            <w:r w:rsidR="00A6374A" w:rsidRPr="00AE7621">
              <w:rPr>
                <w:rFonts w:ascii="Times New Roman" w:eastAsia="Calibri" w:hAnsi="Times New Roman" w:cs="Times New Roman"/>
                <w:color w:val="000000"/>
                <w:sz w:val="28"/>
                <w:szCs w:val="28"/>
              </w:rPr>
              <w:t>, kas saistītas</w:t>
            </w:r>
            <w:r w:rsidRPr="00AE7621">
              <w:rPr>
                <w:rFonts w:ascii="Times New Roman" w:eastAsia="Calibri" w:hAnsi="Times New Roman" w:cs="Times New Roman"/>
                <w:color w:val="000000"/>
                <w:sz w:val="28"/>
                <w:szCs w:val="28"/>
              </w:rPr>
              <w:t xml:space="preserve"> ar P&amp;A infrastruktūr</w:t>
            </w:r>
            <w:r w:rsidR="00A6374A" w:rsidRPr="00AE7621">
              <w:rPr>
                <w:rFonts w:ascii="Times New Roman" w:eastAsia="Calibri" w:hAnsi="Times New Roman" w:cs="Times New Roman"/>
                <w:color w:val="000000"/>
                <w:sz w:val="28"/>
                <w:szCs w:val="28"/>
              </w:rPr>
              <w:t>u, no apakšaktivitātes mērķiem;</w:t>
            </w:r>
          </w:p>
          <w:p w:rsidR="00A6374A" w:rsidRPr="00AE7621" w:rsidRDefault="00A6374A">
            <w:pPr>
              <w:pStyle w:val="ListParagraph"/>
              <w:numPr>
                <w:ilvl w:val="0"/>
                <w:numId w:val="7"/>
              </w:numPr>
              <w:spacing w:after="0" w:line="240" w:lineRule="auto"/>
              <w:jc w:val="both"/>
              <w:rPr>
                <w:rFonts w:ascii="Times New Roman" w:eastAsia="Calibri" w:hAnsi="Times New Roman" w:cs="Times New Roman"/>
                <w:color w:val="000000"/>
                <w:sz w:val="28"/>
                <w:szCs w:val="28"/>
              </w:rPr>
            </w:pPr>
            <w:r w:rsidRPr="00AE7621">
              <w:rPr>
                <w:rFonts w:ascii="Times New Roman" w:eastAsia="Calibri" w:hAnsi="Times New Roman" w:cs="Times New Roman"/>
                <w:color w:val="000000"/>
                <w:sz w:val="28"/>
                <w:szCs w:val="28"/>
              </w:rPr>
              <w:t xml:space="preserve">precizēt maksimālo atbalsta apjomu, svītrojot iedalījumu starp pētniecības darbu veikšanu un pētniecības infrastruktūras izveidi </w:t>
            </w:r>
            <w:r w:rsidRPr="00AE7621">
              <w:rPr>
                <w:rFonts w:ascii="Times New Roman" w:eastAsia="Calibri" w:hAnsi="Times New Roman" w:cs="Times New Roman"/>
                <w:color w:val="000000"/>
                <w:sz w:val="28"/>
                <w:szCs w:val="28"/>
              </w:rPr>
              <w:lastRenderedPageBreak/>
              <w:t>(maksimālā finansējuma apjoms nemainās)</w:t>
            </w:r>
            <w:r w:rsidR="00802D87" w:rsidRPr="00AE7621">
              <w:rPr>
                <w:rFonts w:ascii="Times New Roman" w:eastAsia="Calibri" w:hAnsi="Times New Roman" w:cs="Times New Roman"/>
                <w:color w:val="000000"/>
                <w:sz w:val="28"/>
                <w:szCs w:val="28"/>
              </w:rPr>
              <w:t>;</w:t>
            </w:r>
          </w:p>
          <w:p w:rsidR="001713DA" w:rsidRPr="00AE7621" w:rsidRDefault="006A345B" w:rsidP="006A345B">
            <w:pPr>
              <w:pStyle w:val="ListParagraph"/>
              <w:numPr>
                <w:ilvl w:val="0"/>
                <w:numId w:val="7"/>
              </w:numPr>
              <w:spacing w:after="0" w:line="240" w:lineRule="auto"/>
              <w:jc w:val="both"/>
              <w:rPr>
                <w:rFonts w:ascii="Times New Roman" w:eastAsia="Calibri" w:hAnsi="Times New Roman" w:cs="Times New Roman"/>
                <w:color w:val="000000"/>
                <w:sz w:val="28"/>
                <w:szCs w:val="28"/>
              </w:rPr>
            </w:pPr>
            <w:r w:rsidRPr="00AE7621">
              <w:rPr>
                <w:rFonts w:ascii="Times New Roman" w:eastAsia="Calibri" w:hAnsi="Times New Roman" w:cs="Times New Roman"/>
                <w:color w:val="000000"/>
                <w:sz w:val="28"/>
                <w:szCs w:val="28"/>
              </w:rPr>
              <w:t>papildināt 2.3.1.1.2.apakšaktivitāti "Ārējo tirgu apgūšana – nozaru starptautiskās konkurētspējas stiprināšana" ietvaros atbalstāmās darbības ar</w:t>
            </w:r>
            <w:r w:rsidR="00802D87" w:rsidRPr="00AE7621">
              <w:rPr>
                <w:rFonts w:ascii="Times New Roman" w:eastAsia="Calibri" w:hAnsi="Times New Roman" w:cs="Times New Roman"/>
                <w:color w:val="000000"/>
                <w:sz w:val="28"/>
                <w:szCs w:val="28"/>
              </w:rPr>
              <w:t xml:space="preserve"> mārketinga kampaņām un citiem pasākumiem, kuru mērķis ir ārvalstu tūristu piesaiste.</w:t>
            </w:r>
          </w:p>
        </w:tc>
      </w:tr>
      <w:tr w:rsidR="00D40CFC" w:rsidRPr="00AE7621" w:rsidTr="00ED4179">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AE7621" w:rsidRDefault="00D40CFC" w:rsidP="008C2351">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lastRenderedPageBreak/>
              <w:t>5. Projekta izstrādē iesaistītās institūcijas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AE7621" w:rsidRDefault="00F02AD7">
            <w:pPr>
              <w:spacing w:after="0" w:line="240" w:lineRule="auto"/>
              <w:ind w:right="142" w:firstLine="567"/>
              <w:jc w:val="both"/>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TAVA un LIAA</w:t>
            </w:r>
            <w:r w:rsidR="002D3591" w:rsidRPr="00AE7621">
              <w:rPr>
                <w:rFonts w:ascii="Times New Roman" w:eastAsia="Times New Roman" w:hAnsi="Times New Roman" w:cs="Times New Roman"/>
                <w:sz w:val="28"/>
                <w:szCs w:val="28"/>
              </w:rPr>
              <w:t>.</w:t>
            </w:r>
          </w:p>
        </w:tc>
      </w:tr>
      <w:tr w:rsidR="00D40CFC" w:rsidRPr="00AE7621" w:rsidTr="00ED4179">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AE7621" w:rsidRDefault="00D40CFC" w:rsidP="008C2351">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6. Iemesli, kādēļ netika nodrošināta sabiedrības līdzdalība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AE7621" w:rsidRDefault="008D678E">
            <w:pPr>
              <w:spacing w:after="0" w:line="240" w:lineRule="auto"/>
              <w:ind w:right="142" w:firstLine="567"/>
              <w:jc w:val="both"/>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Projekts šo jomu neskar.</w:t>
            </w:r>
          </w:p>
        </w:tc>
      </w:tr>
      <w:tr w:rsidR="00D40CFC" w:rsidRPr="00AE7621" w:rsidTr="00ED4179">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AE7621" w:rsidRDefault="00D40CFC" w:rsidP="008C2351">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 7. Cita informācija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AE7621" w:rsidRDefault="008D678E">
            <w:pPr>
              <w:spacing w:after="0" w:line="240" w:lineRule="auto"/>
              <w:ind w:firstLine="567"/>
              <w:jc w:val="both"/>
              <w:rPr>
                <w:rFonts w:ascii="Times New Roman" w:eastAsia="Calibri" w:hAnsi="Times New Roman" w:cs="Times New Roman"/>
                <w:sz w:val="28"/>
                <w:szCs w:val="28"/>
              </w:rPr>
            </w:pPr>
            <w:r w:rsidRPr="00AE7621">
              <w:rPr>
                <w:rFonts w:ascii="Times New Roman" w:eastAsia="Calibri" w:hAnsi="Times New Roman" w:cs="Times New Roman"/>
                <w:sz w:val="28"/>
                <w:szCs w:val="28"/>
              </w:rPr>
              <w:t>Projekts šo jomu neskar.</w:t>
            </w:r>
          </w:p>
        </w:tc>
      </w:tr>
    </w:tbl>
    <w:p w:rsidR="009E34F3" w:rsidRPr="00AE7621" w:rsidRDefault="009E34F3" w:rsidP="00130914">
      <w:pPr>
        <w:spacing w:after="0" w:line="240" w:lineRule="auto"/>
        <w:rPr>
          <w:rFonts w:ascii="Times New Roman" w:eastAsia="Arial Unicode MS" w:hAnsi="Times New Roman" w:cs="Times New Roman"/>
          <w:b/>
          <w:sz w:val="28"/>
          <w:szCs w:val="28"/>
        </w:rPr>
      </w:pPr>
    </w:p>
    <w:p w:rsidR="00130914" w:rsidRPr="00AE7621" w:rsidRDefault="00130914" w:rsidP="00130914">
      <w:pPr>
        <w:spacing w:after="0" w:line="240" w:lineRule="auto"/>
        <w:rPr>
          <w:rFonts w:ascii="Times New Roman" w:eastAsia="Arial Unicode MS" w:hAnsi="Times New Roman" w:cs="Times New Roman"/>
          <w:b/>
          <w:sz w:val="28"/>
          <w:szCs w:val="28"/>
        </w:rPr>
      </w:pPr>
    </w:p>
    <w:tbl>
      <w:tblPr>
        <w:tblpPr w:leftFromText="180" w:rightFromText="18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firstRow="0" w:lastRow="0" w:firstColumn="0" w:lastColumn="0" w:noHBand="0" w:noVBand="0"/>
      </w:tblPr>
      <w:tblGrid>
        <w:gridCol w:w="851"/>
        <w:gridCol w:w="3007"/>
        <w:gridCol w:w="5498"/>
      </w:tblGrid>
      <w:tr w:rsidR="00D40CFC" w:rsidRPr="00AE7621" w:rsidTr="00ED4179">
        <w:tc>
          <w:tcPr>
            <w:tcW w:w="9356" w:type="dxa"/>
            <w:gridSpan w:val="3"/>
            <w:vAlign w:val="center"/>
          </w:tcPr>
          <w:p w:rsidR="00D40CFC" w:rsidRPr="00AE7621" w:rsidRDefault="00D40CFC" w:rsidP="00D40CFC">
            <w:pPr>
              <w:spacing w:after="0" w:line="240" w:lineRule="auto"/>
              <w:jc w:val="center"/>
              <w:rPr>
                <w:rFonts w:ascii="Times New Roman" w:eastAsia="Times New Roman" w:hAnsi="Times New Roman" w:cs="Times New Roman"/>
                <w:b/>
                <w:bCs/>
                <w:sz w:val="28"/>
                <w:szCs w:val="28"/>
              </w:rPr>
            </w:pPr>
            <w:r w:rsidRPr="00AE7621">
              <w:rPr>
                <w:rFonts w:ascii="Times New Roman" w:eastAsia="Times New Roman" w:hAnsi="Times New Roman" w:cs="Times New Roman"/>
                <w:b/>
                <w:bCs/>
                <w:sz w:val="28"/>
                <w:szCs w:val="28"/>
              </w:rPr>
              <w:t>II. Tiesību akta projekta ietekme uz sabiedrību</w:t>
            </w:r>
          </w:p>
        </w:tc>
      </w:tr>
      <w:tr w:rsidR="00D40CFC" w:rsidRPr="00AE7621" w:rsidTr="00A654F1">
        <w:trPr>
          <w:trHeight w:val="467"/>
        </w:trPr>
        <w:tc>
          <w:tcPr>
            <w:tcW w:w="851" w:type="dxa"/>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1.</w:t>
            </w:r>
          </w:p>
        </w:tc>
        <w:tc>
          <w:tcPr>
            <w:tcW w:w="3007" w:type="dxa"/>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Sabiedrības mērķgrupa</w:t>
            </w:r>
          </w:p>
        </w:tc>
        <w:tc>
          <w:tcPr>
            <w:tcW w:w="5498" w:type="dxa"/>
          </w:tcPr>
          <w:p w:rsidR="00382775" w:rsidRPr="00AE7621" w:rsidRDefault="005A5F0D" w:rsidP="002D3591">
            <w:pPr>
              <w:spacing w:before="75" w:after="75" w:line="240" w:lineRule="auto"/>
              <w:ind w:firstLine="450"/>
              <w:jc w:val="both"/>
              <w:rPr>
                <w:rFonts w:ascii="Times New Roman" w:eastAsia="Times New Roman" w:hAnsi="Times New Roman" w:cs="Times New Roman"/>
                <w:iCs/>
                <w:sz w:val="28"/>
                <w:szCs w:val="28"/>
              </w:rPr>
            </w:pPr>
            <w:r w:rsidRPr="00AE7621">
              <w:rPr>
                <w:rFonts w:ascii="Times New Roman" w:eastAsia="Times New Roman" w:hAnsi="Times New Roman" w:cs="Times New Roman"/>
                <w:iCs/>
                <w:sz w:val="28"/>
                <w:szCs w:val="28"/>
              </w:rPr>
              <w:t>K</w:t>
            </w:r>
            <w:r w:rsidR="00382775" w:rsidRPr="00AE7621">
              <w:rPr>
                <w:rFonts w:ascii="Times New Roman" w:eastAsia="Times New Roman" w:hAnsi="Times New Roman" w:cs="Times New Roman"/>
                <w:iCs/>
                <w:sz w:val="28"/>
                <w:szCs w:val="28"/>
              </w:rPr>
              <w:t>omersanti</w:t>
            </w:r>
            <w:r w:rsidR="002D3591" w:rsidRPr="00AE7621">
              <w:rPr>
                <w:rFonts w:ascii="Times New Roman" w:eastAsia="Times New Roman" w:hAnsi="Times New Roman" w:cs="Times New Roman"/>
                <w:iCs/>
                <w:sz w:val="28"/>
                <w:szCs w:val="28"/>
              </w:rPr>
              <w:t>.</w:t>
            </w:r>
          </w:p>
        </w:tc>
      </w:tr>
      <w:tr w:rsidR="00D40CFC" w:rsidRPr="00AE7621" w:rsidTr="00A654F1">
        <w:trPr>
          <w:trHeight w:val="523"/>
        </w:trPr>
        <w:tc>
          <w:tcPr>
            <w:tcW w:w="851" w:type="dxa"/>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2.</w:t>
            </w:r>
          </w:p>
        </w:tc>
        <w:tc>
          <w:tcPr>
            <w:tcW w:w="3007" w:type="dxa"/>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Citas sabiedrības grupas (bez mērķgrupas), kuras tiesiskais regulējums arī ietekmē vai varētu ietekmēt</w:t>
            </w:r>
          </w:p>
        </w:tc>
        <w:tc>
          <w:tcPr>
            <w:tcW w:w="5498" w:type="dxa"/>
          </w:tcPr>
          <w:p w:rsidR="00D40CFC" w:rsidRPr="00AE7621" w:rsidRDefault="002D3591" w:rsidP="00382775">
            <w:pPr>
              <w:spacing w:after="0" w:line="240" w:lineRule="auto"/>
              <w:ind w:firstLine="450"/>
              <w:jc w:val="both"/>
              <w:rPr>
                <w:rFonts w:ascii="Times New Roman" w:eastAsia="Times New Roman" w:hAnsi="Times New Roman" w:cs="Times New Roman"/>
                <w:sz w:val="28"/>
                <w:szCs w:val="28"/>
              </w:rPr>
            </w:pPr>
            <w:r w:rsidRPr="00AE7621">
              <w:rPr>
                <w:rFonts w:ascii="Times New Roman" w:eastAsia="Times New Roman" w:hAnsi="Times New Roman" w:cs="Times New Roman"/>
                <w:color w:val="000000"/>
                <w:sz w:val="28"/>
                <w:szCs w:val="28"/>
              </w:rPr>
              <w:t>Projekts šo jomu neskar.</w:t>
            </w:r>
          </w:p>
        </w:tc>
      </w:tr>
      <w:tr w:rsidR="00D40CFC" w:rsidRPr="00AE7621" w:rsidTr="00A654F1">
        <w:trPr>
          <w:trHeight w:val="517"/>
        </w:trPr>
        <w:tc>
          <w:tcPr>
            <w:tcW w:w="851" w:type="dxa"/>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3.</w:t>
            </w:r>
          </w:p>
        </w:tc>
        <w:tc>
          <w:tcPr>
            <w:tcW w:w="3007" w:type="dxa"/>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Tiesiskā regulējuma finansiālā ietekme</w:t>
            </w:r>
          </w:p>
        </w:tc>
        <w:tc>
          <w:tcPr>
            <w:tcW w:w="5498" w:type="dxa"/>
          </w:tcPr>
          <w:p w:rsidR="00D40CFC" w:rsidRPr="00AE7621" w:rsidRDefault="002D3591" w:rsidP="003562CD">
            <w:pPr>
              <w:spacing w:after="0" w:line="240" w:lineRule="auto"/>
              <w:ind w:firstLine="450"/>
              <w:jc w:val="both"/>
              <w:rPr>
                <w:rFonts w:ascii="Times New Roman" w:eastAsia="Times New Roman" w:hAnsi="Times New Roman" w:cs="Times New Roman"/>
                <w:sz w:val="28"/>
                <w:szCs w:val="28"/>
              </w:rPr>
            </w:pPr>
            <w:r w:rsidRPr="00AE7621">
              <w:rPr>
                <w:rFonts w:ascii="Times New Roman" w:eastAsia="Times New Roman" w:hAnsi="Times New Roman" w:cs="Times New Roman"/>
                <w:color w:val="000000"/>
                <w:sz w:val="28"/>
                <w:szCs w:val="28"/>
              </w:rPr>
              <w:t>Noteikumu projekts paredz palielināt 2.</w:t>
            </w:r>
            <w:r w:rsidR="00F02AD7" w:rsidRPr="00AE7621">
              <w:rPr>
                <w:rFonts w:ascii="Times New Roman" w:eastAsia="Times New Roman" w:hAnsi="Times New Roman" w:cs="Times New Roman"/>
                <w:color w:val="000000"/>
                <w:sz w:val="28"/>
                <w:szCs w:val="28"/>
              </w:rPr>
              <w:t>3</w:t>
            </w:r>
            <w:r w:rsidRPr="00AE7621">
              <w:rPr>
                <w:rFonts w:ascii="Times New Roman" w:eastAsia="Times New Roman" w:hAnsi="Times New Roman" w:cs="Times New Roman"/>
                <w:color w:val="000000"/>
                <w:sz w:val="28"/>
                <w:szCs w:val="28"/>
              </w:rPr>
              <w:t>.</w:t>
            </w:r>
            <w:r w:rsidR="00F02AD7" w:rsidRPr="00AE7621">
              <w:rPr>
                <w:rFonts w:ascii="Times New Roman" w:eastAsia="Times New Roman" w:hAnsi="Times New Roman" w:cs="Times New Roman"/>
                <w:color w:val="000000"/>
                <w:sz w:val="28"/>
                <w:szCs w:val="28"/>
              </w:rPr>
              <w:t>1</w:t>
            </w:r>
            <w:r w:rsidRPr="00AE7621">
              <w:rPr>
                <w:rFonts w:ascii="Times New Roman" w:eastAsia="Times New Roman" w:hAnsi="Times New Roman" w:cs="Times New Roman"/>
                <w:color w:val="000000"/>
                <w:sz w:val="28"/>
                <w:szCs w:val="28"/>
              </w:rPr>
              <w:t>.</w:t>
            </w:r>
            <w:r w:rsidR="00F02AD7" w:rsidRPr="00AE7621">
              <w:rPr>
                <w:rFonts w:ascii="Times New Roman" w:eastAsia="Times New Roman" w:hAnsi="Times New Roman" w:cs="Times New Roman"/>
                <w:color w:val="000000"/>
                <w:sz w:val="28"/>
                <w:szCs w:val="28"/>
              </w:rPr>
              <w:t>1</w:t>
            </w:r>
            <w:r w:rsidRPr="00AE7621">
              <w:rPr>
                <w:rFonts w:ascii="Times New Roman" w:eastAsia="Times New Roman" w:hAnsi="Times New Roman" w:cs="Times New Roman"/>
                <w:color w:val="000000"/>
                <w:sz w:val="28"/>
                <w:szCs w:val="28"/>
              </w:rPr>
              <w:t>.</w:t>
            </w:r>
            <w:r w:rsidR="00F02AD7" w:rsidRPr="00AE7621">
              <w:rPr>
                <w:rFonts w:ascii="Times New Roman" w:eastAsia="Times New Roman" w:hAnsi="Times New Roman" w:cs="Times New Roman"/>
                <w:color w:val="000000"/>
                <w:sz w:val="28"/>
                <w:szCs w:val="28"/>
              </w:rPr>
              <w:t>2.</w:t>
            </w:r>
            <w:r w:rsidRPr="00AE7621">
              <w:rPr>
                <w:rFonts w:ascii="Times New Roman" w:eastAsia="Times New Roman" w:hAnsi="Times New Roman" w:cs="Times New Roman"/>
                <w:color w:val="000000"/>
                <w:sz w:val="28"/>
                <w:szCs w:val="28"/>
              </w:rPr>
              <w:t xml:space="preserve">aktivitātes ietvaros pieejamo finansējumu, </w:t>
            </w:r>
            <w:r w:rsidR="005A5F0D" w:rsidRPr="00AE7621">
              <w:rPr>
                <w:rFonts w:ascii="Times New Roman" w:eastAsia="Times New Roman" w:hAnsi="Times New Roman" w:cs="Times New Roman"/>
                <w:color w:val="000000"/>
                <w:sz w:val="28"/>
                <w:szCs w:val="28"/>
              </w:rPr>
              <w:t xml:space="preserve">līdz ar to nodrošinot </w:t>
            </w:r>
            <w:r w:rsidR="0091289E" w:rsidRPr="00AE7621">
              <w:rPr>
                <w:rFonts w:ascii="Times New Roman" w:eastAsia="Times New Roman" w:hAnsi="Times New Roman" w:cs="Times New Roman"/>
                <w:color w:val="000000"/>
                <w:sz w:val="28"/>
                <w:szCs w:val="28"/>
              </w:rPr>
              <w:t xml:space="preserve">efektīvāku </w:t>
            </w:r>
            <w:r w:rsidR="005A5F0D" w:rsidRPr="00AE7621">
              <w:rPr>
                <w:rFonts w:ascii="Times New Roman" w:eastAsia="Times New Roman" w:hAnsi="Times New Roman" w:cs="Times New Roman"/>
                <w:color w:val="000000"/>
                <w:sz w:val="28"/>
                <w:szCs w:val="28"/>
              </w:rPr>
              <w:t>finansējumu</w:t>
            </w:r>
            <w:r w:rsidR="005A5F0D" w:rsidRPr="00AE7621">
              <w:rPr>
                <w:rFonts w:ascii="Times New Roman" w:eastAsia="Times New Roman" w:hAnsi="Times New Roman" w:cs="Times New Roman"/>
                <w:iCs/>
                <w:sz w:val="28"/>
                <w:szCs w:val="28"/>
              </w:rPr>
              <w:t xml:space="preserve"> </w:t>
            </w:r>
            <w:r w:rsidR="0091289E" w:rsidRPr="00AE7621">
              <w:rPr>
                <w:rFonts w:ascii="Times New Roman" w:eastAsia="Times New Roman" w:hAnsi="Times New Roman" w:cs="Times New Roman"/>
                <w:iCs/>
                <w:sz w:val="28"/>
                <w:szCs w:val="28"/>
              </w:rPr>
              <w:t>apguvi</w:t>
            </w:r>
            <w:r w:rsidR="00F02AD7" w:rsidRPr="00AE7621">
              <w:rPr>
                <w:rFonts w:ascii="Times New Roman" w:eastAsia="Times New Roman" w:hAnsi="Times New Roman" w:cs="Times New Roman"/>
                <w:iCs/>
                <w:sz w:val="28"/>
                <w:szCs w:val="28"/>
              </w:rPr>
              <w:t>, kā arī samazināt brīvos līdzekļus 2.3.1.1.</w:t>
            </w:r>
            <w:r w:rsidR="003562CD" w:rsidRPr="00AE7621" w:rsidDel="003562CD">
              <w:rPr>
                <w:rFonts w:ascii="Times New Roman" w:eastAsia="Times New Roman" w:hAnsi="Times New Roman" w:cs="Times New Roman"/>
                <w:iCs/>
                <w:sz w:val="28"/>
                <w:szCs w:val="28"/>
              </w:rPr>
              <w:t xml:space="preserve"> </w:t>
            </w:r>
            <w:r w:rsidR="00F02AD7" w:rsidRPr="00AE7621">
              <w:rPr>
                <w:rFonts w:ascii="Times New Roman" w:eastAsia="Times New Roman" w:hAnsi="Times New Roman" w:cs="Times New Roman"/>
                <w:iCs/>
                <w:sz w:val="28"/>
                <w:szCs w:val="28"/>
              </w:rPr>
              <w:t>aktivitāte</w:t>
            </w:r>
            <w:r w:rsidR="003562CD" w:rsidRPr="00AE7621">
              <w:rPr>
                <w:rFonts w:ascii="Times New Roman" w:eastAsia="Times New Roman" w:hAnsi="Times New Roman" w:cs="Times New Roman"/>
                <w:iCs/>
                <w:sz w:val="28"/>
                <w:szCs w:val="28"/>
              </w:rPr>
              <w:t>s ietvaros</w:t>
            </w:r>
            <w:r w:rsidR="00F02AD7" w:rsidRPr="00AE7621">
              <w:rPr>
                <w:rFonts w:ascii="Times New Roman" w:eastAsia="Times New Roman" w:hAnsi="Times New Roman" w:cs="Times New Roman"/>
                <w:iCs/>
                <w:sz w:val="28"/>
                <w:szCs w:val="28"/>
              </w:rPr>
              <w:t xml:space="preserve">. </w:t>
            </w:r>
          </w:p>
        </w:tc>
      </w:tr>
      <w:tr w:rsidR="00D40CFC" w:rsidRPr="00AE7621" w:rsidTr="00A654F1">
        <w:trPr>
          <w:trHeight w:val="517"/>
        </w:trPr>
        <w:tc>
          <w:tcPr>
            <w:tcW w:w="851" w:type="dxa"/>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4.</w:t>
            </w:r>
          </w:p>
        </w:tc>
        <w:tc>
          <w:tcPr>
            <w:tcW w:w="3007" w:type="dxa"/>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Tiesiskā regulējuma nefinansiālā ietekme</w:t>
            </w:r>
          </w:p>
        </w:tc>
        <w:tc>
          <w:tcPr>
            <w:tcW w:w="5498" w:type="dxa"/>
          </w:tcPr>
          <w:p w:rsidR="00D40CFC" w:rsidRPr="00AE7621" w:rsidRDefault="00D40CFC" w:rsidP="00D40CFC">
            <w:pPr>
              <w:spacing w:after="0" w:line="240" w:lineRule="auto"/>
              <w:ind w:firstLine="450"/>
              <w:jc w:val="both"/>
              <w:rPr>
                <w:rFonts w:ascii="Times New Roman" w:eastAsia="Times New Roman" w:hAnsi="Times New Roman" w:cs="Times New Roman"/>
                <w:iCs/>
                <w:sz w:val="28"/>
                <w:szCs w:val="28"/>
              </w:rPr>
            </w:pPr>
            <w:r w:rsidRPr="00AE7621">
              <w:rPr>
                <w:rFonts w:ascii="Times New Roman" w:eastAsia="Times New Roman" w:hAnsi="Times New Roman" w:cs="Times New Roman"/>
                <w:color w:val="000000"/>
                <w:sz w:val="28"/>
                <w:szCs w:val="28"/>
              </w:rPr>
              <w:t>Projekts šo jomu neskar.</w:t>
            </w:r>
          </w:p>
        </w:tc>
      </w:tr>
      <w:tr w:rsidR="00D40CFC" w:rsidRPr="00AE7621" w:rsidTr="00A654F1">
        <w:trPr>
          <w:trHeight w:val="531"/>
        </w:trPr>
        <w:tc>
          <w:tcPr>
            <w:tcW w:w="851" w:type="dxa"/>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5.</w:t>
            </w:r>
          </w:p>
        </w:tc>
        <w:tc>
          <w:tcPr>
            <w:tcW w:w="3007" w:type="dxa"/>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Administratīvās procedūras raksturojums</w:t>
            </w:r>
          </w:p>
        </w:tc>
        <w:tc>
          <w:tcPr>
            <w:tcW w:w="5498" w:type="dxa"/>
          </w:tcPr>
          <w:p w:rsidR="00D40CFC" w:rsidRPr="00AE7621" w:rsidRDefault="00D40CFC" w:rsidP="00D40CFC">
            <w:pPr>
              <w:spacing w:after="0" w:line="240" w:lineRule="auto"/>
              <w:ind w:firstLine="450"/>
              <w:rPr>
                <w:rFonts w:ascii="Times New Roman" w:eastAsia="Times New Roman" w:hAnsi="Times New Roman" w:cs="Times New Roman"/>
                <w:sz w:val="28"/>
                <w:szCs w:val="28"/>
              </w:rPr>
            </w:pPr>
            <w:r w:rsidRPr="00AE7621">
              <w:rPr>
                <w:rFonts w:ascii="Times New Roman" w:eastAsia="Times New Roman" w:hAnsi="Times New Roman" w:cs="Times New Roman"/>
                <w:color w:val="000000"/>
                <w:sz w:val="28"/>
                <w:szCs w:val="28"/>
              </w:rPr>
              <w:t>Projekts šo jomu neskar.</w:t>
            </w:r>
          </w:p>
        </w:tc>
      </w:tr>
      <w:tr w:rsidR="00D40CFC" w:rsidRPr="00AE7621" w:rsidTr="00A654F1">
        <w:trPr>
          <w:trHeight w:val="357"/>
        </w:trPr>
        <w:tc>
          <w:tcPr>
            <w:tcW w:w="851" w:type="dxa"/>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6.</w:t>
            </w:r>
          </w:p>
        </w:tc>
        <w:tc>
          <w:tcPr>
            <w:tcW w:w="3007" w:type="dxa"/>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Administratīvo izmaksu monetārs novērtējums</w:t>
            </w:r>
          </w:p>
        </w:tc>
        <w:tc>
          <w:tcPr>
            <w:tcW w:w="5498" w:type="dxa"/>
          </w:tcPr>
          <w:p w:rsidR="00D40CFC" w:rsidRPr="00AE7621" w:rsidRDefault="00D40CFC" w:rsidP="00D40CFC">
            <w:pPr>
              <w:spacing w:after="0" w:line="240" w:lineRule="auto"/>
              <w:ind w:firstLine="450"/>
              <w:rPr>
                <w:rFonts w:ascii="Times New Roman" w:eastAsia="Times New Roman" w:hAnsi="Times New Roman" w:cs="Times New Roman"/>
                <w:sz w:val="28"/>
                <w:szCs w:val="28"/>
              </w:rPr>
            </w:pPr>
            <w:r w:rsidRPr="00AE7621">
              <w:rPr>
                <w:rFonts w:ascii="Times New Roman" w:eastAsia="Times New Roman" w:hAnsi="Times New Roman" w:cs="Times New Roman"/>
                <w:color w:val="000000"/>
                <w:sz w:val="28"/>
                <w:szCs w:val="28"/>
              </w:rPr>
              <w:t>Projekts šo jomu neskar.</w:t>
            </w:r>
          </w:p>
        </w:tc>
      </w:tr>
      <w:tr w:rsidR="00D40CFC" w:rsidRPr="00AE7621" w:rsidTr="00A654F1">
        <w:trPr>
          <w:trHeight w:val="489"/>
        </w:trPr>
        <w:tc>
          <w:tcPr>
            <w:tcW w:w="851" w:type="dxa"/>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7.</w:t>
            </w:r>
          </w:p>
        </w:tc>
        <w:tc>
          <w:tcPr>
            <w:tcW w:w="3007" w:type="dxa"/>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Cita informācija</w:t>
            </w:r>
          </w:p>
        </w:tc>
        <w:tc>
          <w:tcPr>
            <w:tcW w:w="5498" w:type="dxa"/>
          </w:tcPr>
          <w:p w:rsidR="00D40CFC" w:rsidRPr="00AE7621" w:rsidRDefault="00D40CFC" w:rsidP="00D40CFC">
            <w:pPr>
              <w:spacing w:after="0" w:line="240" w:lineRule="auto"/>
              <w:ind w:firstLine="450"/>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Nav.</w:t>
            </w:r>
          </w:p>
        </w:tc>
      </w:tr>
    </w:tbl>
    <w:p w:rsidR="00130914" w:rsidRPr="00AE7621" w:rsidRDefault="00130914" w:rsidP="00130914">
      <w:pPr>
        <w:spacing w:after="0" w:line="240" w:lineRule="auto"/>
        <w:rPr>
          <w:rFonts w:ascii="Times New Roman" w:eastAsia="Calibri" w:hAnsi="Times New Roman" w:cs="Times New Roman"/>
          <w:b/>
          <w:sz w:val="28"/>
          <w:szCs w:val="28"/>
        </w:rPr>
      </w:pPr>
    </w:p>
    <w:p w:rsidR="00130914" w:rsidRPr="00AE7621" w:rsidRDefault="00130914" w:rsidP="00130914">
      <w:pPr>
        <w:spacing w:after="0" w:line="240" w:lineRule="auto"/>
        <w:rPr>
          <w:rFonts w:ascii="Times New Roman" w:eastAsia="Calibri" w:hAnsi="Times New Roman" w:cs="Times New Roman"/>
          <w:b/>
          <w:sz w:val="28"/>
          <w:szCs w:val="28"/>
        </w:rPr>
      </w:pPr>
    </w:p>
    <w:tbl>
      <w:tblPr>
        <w:tblW w:w="0" w:type="auto"/>
        <w:tblBorders>
          <w:top w:val="thickThinLargeGap" w:sz="6" w:space="0" w:color="BFBFBF" w:themeColor="background1" w:themeShade="BF"/>
          <w:left w:val="thickThinLargeGap" w:sz="6" w:space="0" w:color="BFBFBF" w:themeColor="background1" w:themeShade="BF"/>
          <w:bottom w:val="thickThinLargeGap" w:sz="6" w:space="0" w:color="BFBFBF" w:themeColor="background1" w:themeShade="BF"/>
          <w:right w:val="thickThinLargeGap" w:sz="6" w:space="0" w:color="BFBFBF" w:themeColor="background1" w:themeShade="BF"/>
          <w:insideH w:val="thickThinLargeGap" w:sz="6" w:space="0" w:color="BFBFBF" w:themeColor="background1" w:themeShade="BF"/>
          <w:insideV w:val="thickThinLargeGap" w:sz="6" w:space="0" w:color="BFBFBF" w:themeColor="background1" w:themeShade="BF"/>
        </w:tblBorders>
        <w:tblLayout w:type="fixed"/>
        <w:tblLook w:val="01E0" w:firstRow="1" w:lastRow="1" w:firstColumn="1" w:lastColumn="1" w:noHBand="0" w:noVBand="0"/>
      </w:tblPr>
      <w:tblGrid>
        <w:gridCol w:w="1947"/>
        <w:gridCol w:w="1463"/>
        <w:gridCol w:w="1539"/>
        <w:gridCol w:w="1446"/>
        <w:gridCol w:w="1446"/>
        <w:gridCol w:w="1446"/>
      </w:tblGrid>
      <w:tr w:rsidR="00BA14DF" w:rsidRPr="00AE7621" w:rsidTr="0036609E">
        <w:tc>
          <w:tcPr>
            <w:tcW w:w="9287" w:type="dxa"/>
            <w:gridSpan w:val="6"/>
            <w:hideMark/>
          </w:tcPr>
          <w:p w:rsidR="00BA14DF" w:rsidRPr="00AE7621" w:rsidRDefault="00BA14DF" w:rsidP="0036609E">
            <w:pPr>
              <w:spacing w:after="0" w:line="240" w:lineRule="auto"/>
              <w:jc w:val="center"/>
              <w:rPr>
                <w:rFonts w:ascii="Times New Roman" w:eastAsia="Times New Roman" w:hAnsi="Times New Roman" w:cs="Times New Roman"/>
                <w:b/>
                <w:sz w:val="26"/>
                <w:szCs w:val="26"/>
              </w:rPr>
            </w:pPr>
            <w:r w:rsidRPr="00AE7621">
              <w:rPr>
                <w:rFonts w:ascii="Times New Roman" w:eastAsia="Times New Roman" w:hAnsi="Times New Roman" w:cs="Times New Roman"/>
                <w:b/>
                <w:sz w:val="26"/>
                <w:szCs w:val="26"/>
              </w:rPr>
              <w:t> III Tiesību akta projekta ietekme uz valsts budžetu un pašvaldību budžetiem</w:t>
            </w:r>
          </w:p>
        </w:tc>
      </w:tr>
      <w:tr w:rsidR="00BA14DF" w:rsidRPr="00AE7621" w:rsidTr="0036609E">
        <w:tc>
          <w:tcPr>
            <w:tcW w:w="4949" w:type="dxa"/>
            <w:gridSpan w:val="3"/>
          </w:tcPr>
          <w:p w:rsidR="00BA14DF" w:rsidRPr="00AE7621" w:rsidRDefault="00BA14DF" w:rsidP="0036609E">
            <w:pPr>
              <w:spacing w:after="0" w:line="240" w:lineRule="auto"/>
              <w:jc w:val="center"/>
              <w:rPr>
                <w:rFonts w:ascii="Times New Roman" w:eastAsia="Times New Roman" w:hAnsi="Times New Roman" w:cs="Times New Roman"/>
                <w:sz w:val="26"/>
                <w:szCs w:val="26"/>
              </w:rPr>
            </w:pPr>
          </w:p>
        </w:tc>
        <w:tc>
          <w:tcPr>
            <w:tcW w:w="4338" w:type="dxa"/>
            <w:gridSpan w:val="3"/>
            <w:vAlign w:val="center"/>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w:t>
            </w:r>
            <w:proofErr w:type="spellStart"/>
            <w:r w:rsidRPr="00AE7621">
              <w:rPr>
                <w:rFonts w:ascii="Times New Roman" w:eastAsia="Times New Roman" w:hAnsi="Times New Roman" w:cs="Times New Roman"/>
                <w:sz w:val="26"/>
                <w:szCs w:val="26"/>
              </w:rPr>
              <w:t>tūkst</w:t>
            </w:r>
            <w:proofErr w:type="spellEnd"/>
            <w:r w:rsidRPr="00AE7621">
              <w:rPr>
                <w:rFonts w:ascii="Times New Roman" w:eastAsia="Times New Roman" w:hAnsi="Times New Roman" w:cs="Times New Roman"/>
                <w:sz w:val="26"/>
                <w:szCs w:val="26"/>
              </w:rPr>
              <w:t>. latu)</w:t>
            </w:r>
          </w:p>
        </w:tc>
      </w:tr>
      <w:tr w:rsidR="00BA14DF" w:rsidRPr="00AE7621" w:rsidTr="0036609E">
        <w:tc>
          <w:tcPr>
            <w:tcW w:w="1947" w:type="dxa"/>
            <w:vMerge w:val="restart"/>
            <w:vAlign w:val="bottom"/>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b/>
                <w:sz w:val="26"/>
                <w:szCs w:val="26"/>
              </w:rPr>
              <w:t>Rādītāji</w:t>
            </w:r>
          </w:p>
        </w:tc>
        <w:tc>
          <w:tcPr>
            <w:tcW w:w="3002" w:type="dxa"/>
            <w:gridSpan w:val="2"/>
            <w:vMerge w:val="restart"/>
            <w:vAlign w:val="bottom"/>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b/>
                <w:sz w:val="26"/>
                <w:szCs w:val="26"/>
              </w:rPr>
              <w:t>2012</w:t>
            </w:r>
          </w:p>
        </w:tc>
        <w:tc>
          <w:tcPr>
            <w:tcW w:w="4338" w:type="dxa"/>
            <w:gridSpan w:val="3"/>
            <w:vAlign w:val="center"/>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Turpmākie trīs gadi</w:t>
            </w:r>
          </w:p>
        </w:tc>
      </w:tr>
      <w:tr w:rsidR="00BA14DF" w:rsidRPr="00AE7621" w:rsidTr="0036609E">
        <w:tc>
          <w:tcPr>
            <w:tcW w:w="1947" w:type="dxa"/>
            <w:vMerge/>
            <w:vAlign w:val="center"/>
            <w:hideMark/>
          </w:tcPr>
          <w:p w:rsidR="00BA14DF" w:rsidRPr="00AE7621" w:rsidRDefault="00BA14DF" w:rsidP="0036609E">
            <w:pPr>
              <w:spacing w:after="0" w:line="240" w:lineRule="auto"/>
              <w:rPr>
                <w:rFonts w:ascii="Times New Roman" w:eastAsia="Times New Roman" w:hAnsi="Times New Roman" w:cs="Times New Roman"/>
                <w:sz w:val="26"/>
                <w:szCs w:val="26"/>
              </w:rPr>
            </w:pPr>
          </w:p>
        </w:tc>
        <w:tc>
          <w:tcPr>
            <w:tcW w:w="3002" w:type="dxa"/>
            <w:gridSpan w:val="2"/>
            <w:vMerge/>
            <w:vAlign w:val="center"/>
            <w:hideMark/>
          </w:tcPr>
          <w:p w:rsidR="00BA14DF" w:rsidRPr="00AE7621" w:rsidRDefault="00BA14DF" w:rsidP="0036609E">
            <w:pPr>
              <w:spacing w:after="0" w:line="240" w:lineRule="auto"/>
              <w:rPr>
                <w:rFonts w:ascii="Times New Roman" w:eastAsia="Times New Roman" w:hAnsi="Times New Roman" w:cs="Times New Roman"/>
                <w:sz w:val="26"/>
                <w:szCs w:val="26"/>
              </w:rPr>
            </w:pPr>
          </w:p>
        </w:tc>
        <w:tc>
          <w:tcPr>
            <w:tcW w:w="1446" w:type="dxa"/>
            <w:vAlign w:val="bottom"/>
            <w:hideMark/>
          </w:tcPr>
          <w:p w:rsidR="00BA14DF" w:rsidRPr="00AE7621" w:rsidRDefault="00BA14DF" w:rsidP="0036609E">
            <w:pPr>
              <w:spacing w:after="0" w:line="240" w:lineRule="auto"/>
              <w:jc w:val="center"/>
              <w:rPr>
                <w:rFonts w:ascii="Times New Roman" w:eastAsia="Times New Roman" w:hAnsi="Times New Roman" w:cs="Times New Roman"/>
                <w:b/>
                <w:i/>
                <w:sz w:val="26"/>
                <w:szCs w:val="26"/>
              </w:rPr>
            </w:pPr>
            <w:r w:rsidRPr="00AE7621">
              <w:rPr>
                <w:rFonts w:ascii="Times New Roman" w:eastAsia="Times New Roman" w:hAnsi="Times New Roman" w:cs="Times New Roman"/>
                <w:b/>
                <w:bCs/>
                <w:sz w:val="26"/>
                <w:szCs w:val="26"/>
              </w:rPr>
              <w:t>2013</w:t>
            </w:r>
          </w:p>
        </w:tc>
        <w:tc>
          <w:tcPr>
            <w:tcW w:w="1446" w:type="dxa"/>
            <w:vAlign w:val="bottom"/>
            <w:hideMark/>
          </w:tcPr>
          <w:p w:rsidR="00BA14DF" w:rsidRPr="00AE7621" w:rsidRDefault="00BA14DF" w:rsidP="0036609E">
            <w:pPr>
              <w:spacing w:after="0" w:line="240" w:lineRule="auto"/>
              <w:jc w:val="center"/>
              <w:rPr>
                <w:rFonts w:ascii="Times New Roman" w:eastAsia="Times New Roman" w:hAnsi="Times New Roman" w:cs="Times New Roman"/>
                <w:b/>
                <w:i/>
                <w:sz w:val="26"/>
                <w:szCs w:val="26"/>
              </w:rPr>
            </w:pPr>
            <w:r w:rsidRPr="00AE7621">
              <w:rPr>
                <w:rFonts w:ascii="Times New Roman" w:eastAsia="Times New Roman" w:hAnsi="Times New Roman" w:cs="Times New Roman"/>
                <w:b/>
                <w:bCs/>
                <w:sz w:val="26"/>
                <w:szCs w:val="26"/>
              </w:rPr>
              <w:t>2014</w:t>
            </w:r>
          </w:p>
        </w:tc>
        <w:tc>
          <w:tcPr>
            <w:tcW w:w="1446" w:type="dxa"/>
            <w:vAlign w:val="bottom"/>
            <w:hideMark/>
          </w:tcPr>
          <w:p w:rsidR="00BA14DF" w:rsidRPr="00AE7621" w:rsidRDefault="00BA14DF" w:rsidP="0036609E">
            <w:pPr>
              <w:spacing w:after="0" w:line="240" w:lineRule="auto"/>
              <w:jc w:val="center"/>
              <w:rPr>
                <w:rFonts w:ascii="Times New Roman" w:eastAsia="Times New Roman" w:hAnsi="Times New Roman" w:cs="Times New Roman"/>
                <w:b/>
                <w:i/>
                <w:sz w:val="26"/>
                <w:szCs w:val="26"/>
              </w:rPr>
            </w:pPr>
            <w:r w:rsidRPr="00AE7621">
              <w:rPr>
                <w:rFonts w:ascii="Times New Roman" w:eastAsia="Times New Roman" w:hAnsi="Times New Roman" w:cs="Times New Roman"/>
                <w:b/>
                <w:bCs/>
                <w:sz w:val="26"/>
                <w:szCs w:val="26"/>
              </w:rPr>
              <w:t>2015</w:t>
            </w:r>
          </w:p>
        </w:tc>
      </w:tr>
      <w:tr w:rsidR="00BA14DF" w:rsidRPr="00AE7621" w:rsidTr="0036609E">
        <w:tc>
          <w:tcPr>
            <w:tcW w:w="1947" w:type="dxa"/>
            <w:vMerge/>
            <w:vAlign w:val="center"/>
            <w:hideMark/>
          </w:tcPr>
          <w:p w:rsidR="00BA14DF" w:rsidRPr="00AE7621" w:rsidRDefault="00BA14DF" w:rsidP="0036609E">
            <w:pPr>
              <w:spacing w:after="0" w:line="240" w:lineRule="auto"/>
              <w:rPr>
                <w:rFonts w:ascii="Times New Roman" w:eastAsia="Times New Roman" w:hAnsi="Times New Roman" w:cs="Times New Roman"/>
                <w:sz w:val="26"/>
                <w:szCs w:val="26"/>
              </w:rPr>
            </w:pPr>
          </w:p>
        </w:tc>
        <w:tc>
          <w:tcPr>
            <w:tcW w:w="1463" w:type="dxa"/>
            <w:vAlign w:val="bottom"/>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Saskaņā ar valsts budžetu kārtējam gadam</w:t>
            </w:r>
          </w:p>
        </w:tc>
        <w:tc>
          <w:tcPr>
            <w:tcW w:w="1539" w:type="dxa"/>
            <w:vAlign w:val="bottom"/>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Izmaiņas kārtējā gadā salīdzinot ar budžetu kārtējam gadam</w:t>
            </w:r>
          </w:p>
        </w:tc>
        <w:tc>
          <w:tcPr>
            <w:tcW w:w="1446" w:type="dxa"/>
            <w:vAlign w:val="bottom"/>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Izmaiņas salīdzinot ar kārtējo (n) gadu</w:t>
            </w:r>
          </w:p>
        </w:tc>
        <w:tc>
          <w:tcPr>
            <w:tcW w:w="1446" w:type="dxa"/>
            <w:vAlign w:val="bottom"/>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Izmaiņas salīdzinot ar kārtējo (n) gadu</w:t>
            </w:r>
          </w:p>
        </w:tc>
        <w:tc>
          <w:tcPr>
            <w:tcW w:w="1446" w:type="dxa"/>
            <w:vAlign w:val="bottom"/>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Izmaiņas salīdzinot ar kārtējo (n) gadu</w:t>
            </w:r>
          </w:p>
        </w:tc>
      </w:tr>
      <w:tr w:rsidR="00BA14DF" w:rsidRPr="00AE7621" w:rsidTr="0036609E">
        <w:trPr>
          <w:trHeight w:val="70"/>
        </w:trPr>
        <w:tc>
          <w:tcPr>
            <w:tcW w:w="1947" w:type="dxa"/>
            <w:hideMark/>
          </w:tcPr>
          <w:p w:rsidR="00BA14DF" w:rsidRPr="00AE7621" w:rsidRDefault="00BA14DF" w:rsidP="0036609E">
            <w:pPr>
              <w:spacing w:after="0" w:line="240" w:lineRule="auto"/>
              <w:jc w:val="center"/>
              <w:rPr>
                <w:rFonts w:ascii="Times New Roman" w:eastAsia="Times New Roman" w:hAnsi="Times New Roman" w:cs="Times New Roman"/>
                <w:b/>
                <w:sz w:val="26"/>
                <w:szCs w:val="26"/>
              </w:rPr>
            </w:pPr>
            <w:r w:rsidRPr="00AE7621">
              <w:rPr>
                <w:rFonts w:ascii="Times New Roman" w:eastAsia="Times New Roman" w:hAnsi="Times New Roman" w:cs="Times New Roman"/>
                <w:b/>
                <w:sz w:val="26"/>
                <w:szCs w:val="26"/>
              </w:rPr>
              <w:t>1</w:t>
            </w:r>
          </w:p>
        </w:tc>
        <w:tc>
          <w:tcPr>
            <w:tcW w:w="1463" w:type="dxa"/>
            <w:hideMark/>
          </w:tcPr>
          <w:p w:rsidR="00BA14DF" w:rsidRPr="00AE7621" w:rsidRDefault="00BA14DF" w:rsidP="0036609E">
            <w:pPr>
              <w:spacing w:after="0" w:line="240" w:lineRule="auto"/>
              <w:jc w:val="center"/>
              <w:rPr>
                <w:rFonts w:ascii="Times New Roman" w:eastAsia="Times New Roman" w:hAnsi="Times New Roman" w:cs="Times New Roman"/>
                <w:b/>
                <w:sz w:val="26"/>
                <w:szCs w:val="26"/>
              </w:rPr>
            </w:pPr>
            <w:r w:rsidRPr="00AE7621">
              <w:rPr>
                <w:rFonts w:ascii="Times New Roman" w:eastAsia="Times New Roman" w:hAnsi="Times New Roman" w:cs="Times New Roman"/>
                <w:b/>
                <w:sz w:val="26"/>
                <w:szCs w:val="26"/>
              </w:rPr>
              <w:t>2</w:t>
            </w:r>
          </w:p>
        </w:tc>
        <w:tc>
          <w:tcPr>
            <w:tcW w:w="1539" w:type="dxa"/>
            <w:hideMark/>
          </w:tcPr>
          <w:p w:rsidR="00BA14DF" w:rsidRPr="00AE7621" w:rsidRDefault="00BA14DF" w:rsidP="0036609E">
            <w:pPr>
              <w:spacing w:after="0" w:line="240" w:lineRule="auto"/>
              <w:jc w:val="center"/>
              <w:rPr>
                <w:rFonts w:ascii="Times New Roman" w:eastAsia="Times New Roman" w:hAnsi="Times New Roman" w:cs="Times New Roman"/>
                <w:b/>
                <w:sz w:val="26"/>
                <w:szCs w:val="26"/>
              </w:rPr>
            </w:pPr>
            <w:r w:rsidRPr="00AE7621">
              <w:rPr>
                <w:rFonts w:ascii="Times New Roman" w:eastAsia="Times New Roman" w:hAnsi="Times New Roman" w:cs="Times New Roman"/>
                <w:b/>
                <w:sz w:val="26"/>
                <w:szCs w:val="26"/>
              </w:rPr>
              <w:t>3</w:t>
            </w:r>
          </w:p>
        </w:tc>
        <w:tc>
          <w:tcPr>
            <w:tcW w:w="1446" w:type="dxa"/>
            <w:hideMark/>
          </w:tcPr>
          <w:p w:rsidR="00BA14DF" w:rsidRPr="00AE7621" w:rsidRDefault="00BA14DF" w:rsidP="0036609E">
            <w:pPr>
              <w:spacing w:after="0" w:line="240" w:lineRule="auto"/>
              <w:jc w:val="center"/>
              <w:rPr>
                <w:rFonts w:ascii="Times New Roman" w:eastAsia="Times New Roman" w:hAnsi="Times New Roman" w:cs="Times New Roman"/>
                <w:b/>
                <w:sz w:val="26"/>
                <w:szCs w:val="26"/>
              </w:rPr>
            </w:pPr>
            <w:r w:rsidRPr="00AE7621">
              <w:rPr>
                <w:rFonts w:ascii="Times New Roman" w:eastAsia="Times New Roman" w:hAnsi="Times New Roman" w:cs="Times New Roman"/>
                <w:b/>
                <w:sz w:val="26"/>
                <w:szCs w:val="26"/>
              </w:rPr>
              <w:t>4</w:t>
            </w:r>
          </w:p>
        </w:tc>
        <w:tc>
          <w:tcPr>
            <w:tcW w:w="1446" w:type="dxa"/>
            <w:hideMark/>
          </w:tcPr>
          <w:p w:rsidR="00BA14DF" w:rsidRPr="00AE7621" w:rsidRDefault="00BA14DF" w:rsidP="0036609E">
            <w:pPr>
              <w:spacing w:after="0" w:line="240" w:lineRule="auto"/>
              <w:jc w:val="center"/>
              <w:rPr>
                <w:rFonts w:ascii="Times New Roman" w:eastAsia="Times New Roman" w:hAnsi="Times New Roman" w:cs="Times New Roman"/>
                <w:b/>
                <w:sz w:val="26"/>
                <w:szCs w:val="26"/>
              </w:rPr>
            </w:pPr>
            <w:r w:rsidRPr="00AE7621">
              <w:rPr>
                <w:rFonts w:ascii="Times New Roman" w:eastAsia="Times New Roman" w:hAnsi="Times New Roman" w:cs="Times New Roman"/>
                <w:b/>
                <w:sz w:val="26"/>
                <w:szCs w:val="26"/>
              </w:rPr>
              <w:t>5</w:t>
            </w:r>
          </w:p>
        </w:tc>
        <w:tc>
          <w:tcPr>
            <w:tcW w:w="1446" w:type="dxa"/>
            <w:hideMark/>
          </w:tcPr>
          <w:p w:rsidR="00BA14DF" w:rsidRPr="00AE7621" w:rsidRDefault="00BA14DF" w:rsidP="0036609E">
            <w:pPr>
              <w:spacing w:after="0" w:line="240" w:lineRule="auto"/>
              <w:jc w:val="center"/>
              <w:rPr>
                <w:rFonts w:ascii="Times New Roman" w:eastAsia="Times New Roman" w:hAnsi="Times New Roman" w:cs="Times New Roman"/>
                <w:b/>
                <w:sz w:val="26"/>
                <w:szCs w:val="26"/>
              </w:rPr>
            </w:pPr>
            <w:r w:rsidRPr="00AE7621">
              <w:rPr>
                <w:rFonts w:ascii="Times New Roman" w:eastAsia="Times New Roman" w:hAnsi="Times New Roman" w:cs="Times New Roman"/>
                <w:b/>
                <w:sz w:val="26"/>
                <w:szCs w:val="26"/>
              </w:rPr>
              <w:t>6</w:t>
            </w:r>
          </w:p>
        </w:tc>
      </w:tr>
      <w:tr w:rsidR="00BA14DF" w:rsidRPr="00AE7621" w:rsidTr="0036609E">
        <w:tc>
          <w:tcPr>
            <w:tcW w:w="1947" w:type="dxa"/>
            <w:hideMark/>
          </w:tcPr>
          <w:p w:rsidR="00BA14DF" w:rsidRPr="00AE7621" w:rsidRDefault="00BA14DF" w:rsidP="0036609E">
            <w:pPr>
              <w:spacing w:after="0" w:line="240" w:lineRule="auto"/>
              <w:jc w:val="center"/>
              <w:rPr>
                <w:rFonts w:ascii="Times New Roman" w:eastAsia="Times New Roman" w:hAnsi="Times New Roman" w:cs="Times New Roman"/>
                <w:b/>
                <w:i/>
                <w:sz w:val="26"/>
                <w:szCs w:val="26"/>
              </w:rPr>
            </w:pPr>
            <w:r w:rsidRPr="00AE7621">
              <w:rPr>
                <w:rFonts w:ascii="Times New Roman" w:eastAsia="Times New Roman" w:hAnsi="Times New Roman" w:cs="Times New Roman"/>
                <w:b/>
                <w:sz w:val="26"/>
                <w:szCs w:val="26"/>
              </w:rPr>
              <w:t>1. Budžeta ieņēmumi:</w:t>
            </w:r>
          </w:p>
        </w:tc>
        <w:tc>
          <w:tcPr>
            <w:tcW w:w="1463" w:type="dxa"/>
            <w:hideMark/>
          </w:tcPr>
          <w:p w:rsidR="00BA14DF" w:rsidRPr="00AE7621" w:rsidRDefault="00BA14DF" w:rsidP="0036609E">
            <w:pPr>
              <w:spacing w:after="0" w:line="240" w:lineRule="auto"/>
              <w:jc w:val="center"/>
              <w:rPr>
                <w:rFonts w:ascii="Times New Roman" w:eastAsia="Times New Roman" w:hAnsi="Times New Roman" w:cs="Times New Roman"/>
                <w:b/>
                <w:sz w:val="26"/>
                <w:szCs w:val="26"/>
              </w:rPr>
            </w:pPr>
          </w:p>
        </w:tc>
        <w:tc>
          <w:tcPr>
            <w:tcW w:w="1539" w:type="dxa"/>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p>
        </w:tc>
        <w:tc>
          <w:tcPr>
            <w:tcW w:w="1446" w:type="dxa"/>
            <w:vAlign w:val="center"/>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p>
        </w:tc>
        <w:tc>
          <w:tcPr>
            <w:tcW w:w="1446" w:type="dxa"/>
            <w:vAlign w:val="center"/>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p>
        </w:tc>
        <w:tc>
          <w:tcPr>
            <w:tcW w:w="1446" w:type="dxa"/>
            <w:vAlign w:val="center"/>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p>
        </w:tc>
      </w:tr>
      <w:tr w:rsidR="00BA14DF" w:rsidRPr="00AE7621" w:rsidTr="0036609E">
        <w:trPr>
          <w:trHeight w:val="725"/>
        </w:trPr>
        <w:tc>
          <w:tcPr>
            <w:tcW w:w="1947" w:type="dxa"/>
            <w:vAlign w:val="center"/>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1.1. valsts pamatbudžets, tai skaitā ieņēmumi no maksas pakalpojumiem un citi pašu ieņēmumi;</w:t>
            </w:r>
          </w:p>
        </w:tc>
        <w:tc>
          <w:tcPr>
            <w:tcW w:w="1463" w:type="dxa"/>
            <w:vAlign w:val="center"/>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Nav attiecināms</w:t>
            </w:r>
          </w:p>
        </w:tc>
        <w:tc>
          <w:tcPr>
            <w:tcW w:w="1539" w:type="dxa"/>
            <w:vAlign w:val="center"/>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Nav attiecināms</w:t>
            </w:r>
          </w:p>
        </w:tc>
        <w:tc>
          <w:tcPr>
            <w:tcW w:w="1446" w:type="dxa"/>
            <w:vAlign w:val="center"/>
          </w:tcPr>
          <w:p w:rsidR="00BA14DF" w:rsidRPr="00AE7621" w:rsidRDefault="00BA14DF" w:rsidP="0036609E">
            <w:pPr>
              <w:spacing w:before="100" w:beforeAutospacing="1" w:after="100" w:afterAutospacing="1"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Nav attiecināms</w:t>
            </w:r>
          </w:p>
        </w:tc>
        <w:tc>
          <w:tcPr>
            <w:tcW w:w="1446" w:type="dxa"/>
            <w:vAlign w:val="center"/>
          </w:tcPr>
          <w:p w:rsidR="00BA14DF" w:rsidRPr="00AE7621" w:rsidRDefault="00BA14DF" w:rsidP="0036609E">
            <w:pPr>
              <w:spacing w:before="100" w:beforeAutospacing="1" w:after="100" w:afterAutospacing="1"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Nav attiecināms</w:t>
            </w:r>
          </w:p>
        </w:tc>
        <w:tc>
          <w:tcPr>
            <w:tcW w:w="1446" w:type="dxa"/>
            <w:vAlign w:val="center"/>
          </w:tcPr>
          <w:p w:rsidR="00BA14DF" w:rsidRPr="00AE7621" w:rsidRDefault="00BA14DF" w:rsidP="0036609E">
            <w:pPr>
              <w:spacing w:before="100" w:beforeAutospacing="1" w:after="100" w:afterAutospacing="1"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Nav attiecināms</w:t>
            </w:r>
          </w:p>
        </w:tc>
      </w:tr>
      <w:tr w:rsidR="00BA14DF" w:rsidRPr="00AE7621" w:rsidTr="0036609E">
        <w:tc>
          <w:tcPr>
            <w:tcW w:w="1947" w:type="dxa"/>
            <w:hideMark/>
          </w:tcPr>
          <w:p w:rsidR="00BA14DF" w:rsidRPr="00AE7621" w:rsidRDefault="00BA14DF" w:rsidP="0036609E">
            <w:pPr>
              <w:spacing w:after="0" w:line="240" w:lineRule="auto"/>
              <w:rPr>
                <w:rFonts w:ascii="Times New Roman" w:eastAsia="Times New Roman" w:hAnsi="Times New Roman" w:cs="Times New Roman"/>
                <w:i/>
                <w:sz w:val="26"/>
                <w:szCs w:val="26"/>
              </w:rPr>
            </w:pPr>
            <w:r w:rsidRPr="00AE7621">
              <w:rPr>
                <w:rFonts w:ascii="Times New Roman" w:eastAsia="Times New Roman" w:hAnsi="Times New Roman" w:cs="Times New Roman"/>
                <w:sz w:val="26"/>
                <w:szCs w:val="26"/>
              </w:rPr>
              <w:t>1.2. valsts speciālais budžets;</w:t>
            </w:r>
          </w:p>
        </w:tc>
        <w:tc>
          <w:tcPr>
            <w:tcW w:w="7340" w:type="dxa"/>
            <w:gridSpan w:val="5"/>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Projekts šo jomu neskar.</w:t>
            </w:r>
          </w:p>
        </w:tc>
      </w:tr>
      <w:tr w:rsidR="00BA14DF" w:rsidRPr="00AE7621" w:rsidTr="0036609E">
        <w:tc>
          <w:tcPr>
            <w:tcW w:w="1947" w:type="dxa"/>
            <w:hideMark/>
          </w:tcPr>
          <w:p w:rsidR="00BA14DF" w:rsidRPr="00AE7621" w:rsidRDefault="00BA14DF" w:rsidP="0036609E">
            <w:pPr>
              <w:spacing w:after="0" w:line="240" w:lineRule="auto"/>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1.3. pašvaldību budžets</w:t>
            </w:r>
          </w:p>
        </w:tc>
        <w:tc>
          <w:tcPr>
            <w:tcW w:w="7340" w:type="dxa"/>
            <w:gridSpan w:val="5"/>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Projekts šo jomu neskar.</w:t>
            </w:r>
          </w:p>
        </w:tc>
      </w:tr>
      <w:tr w:rsidR="00BA14DF" w:rsidRPr="00AE7621" w:rsidTr="0036609E">
        <w:tc>
          <w:tcPr>
            <w:tcW w:w="1947" w:type="dxa"/>
            <w:hideMark/>
          </w:tcPr>
          <w:p w:rsidR="00BA14DF" w:rsidRPr="00AE7621" w:rsidRDefault="00BA14DF" w:rsidP="0036609E">
            <w:pPr>
              <w:spacing w:after="0" w:line="240" w:lineRule="auto"/>
              <w:rPr>
                <w:rFonts w:ascii="Times New Roman" w:eastAsia="Times New Roman" w:hAnsi="Times New Roman" w:cs="Times New Roman"/>
                <w:b/>
                <w:sz w:val="26"/>
                <w:szCs w:val="26"/>
              </w:rPr>
            </w:pPr>
            <w:r w:rsidRPr="00AE7621">
              <w:rPr>
                <w:rFonts w:ascii="Times New Roman" w:eastAsia="Times New Roman" w:hAnsi="Times New Roman" w:cs="Times New Roman"/>
                <w:b/>
                <w:sz w:val="26"/>
                <w:szCs w:val="26"/>
              </w:rPr>
              <w:t>2. Budžeta izdevumi:</w:t>
            </w:r>
          </w:p>
        </w:tc>
        <w:tc>
          <w:tcPr>
            <w:tcW w:w="1463" w:type="dxa"/>
            <w:hideMark/>
          </w:tcPr>
          <w:p w:rsidR="00BA14DF" w:rsidRPr="00AE7621" w:rsidRDefault="00BA14DF" w:rsidP="0036609E">
            <w:pPr>
              <w:spacing w:after="0" w:line="240" w:lineRule="auto"/>
              <w:rPr>
                <w:rFonts w:ascii="Times New Roman" w:eastAsia="Times New Roman" w:hAnsi="Times New Roman" w:cs="Times New Roman"/>
                <w:b/>
                <w:sz w:val="26"/>
                <w:szCs w:val="26"/>
              </w:rPr>
            </w:pPr>
          </w:p>
        </w:tc>
        <w:tc>
          <w:tcPr>
            <w:tcW w:w="1539" w:type="dxa"/>
            <w:hideMark/>
          </w:tcPr>
          <w:p w:rsidR="00BA14DF" w:rsidRPr="00AE7621" w:rsidRDefault="00BA14DF" w:rsidP="0036609E">
            <w:pPr>
              <w:spacing w:after="0" w:line="240" w:lineRule="auto"/>
              <w:jc w:val="center"/>
              <w:rPr>
                <w:rFonts w:ascii="Times New Roman" w:eastAsia="Times New Roman" w:hAnsi="Times New Roman" w:cs="Times New Roman"/>
                <w:b/>
                <w:sz w:val="26"/>
                <w:szCs w:val="26"/>
              </w:rPr>
            </w:pPr>
          </w:p>
        </w:tc>
        <w:tc>
          <w:tcPr>
            <w:tcW w:w="1446" w:type="dxa"/>
            <w:hideMark/>
          </w:tcPr>
          <w:p w:rsidR="00BA14DF" w:rsidRPr="00AE7621" w:rsidRDefault="00BA14DF" w:rsidP="0036609E">
            <w:pPr>
              <w:spacing w:after="0" w:line="240" w:lineRule="auto"/>
              <w:jc w:val="center"/>
              <w:rPr>
                <w:rFonts w:ascii="Times New Roman" w:eastAsia="Times New Roman" w:hAnsi="Times New Roman" w:cs="Times New Roman"/>
                <w:b/>
                <w:sz w:val="26"/>
                <w:szCs w:val="26"/>
              </w:rPr>
            </w:pPr>
          </w:p>
        </w:tc>
        <w:tc>
          <w:tcPr>
            <w:tcW w:w="1446" w:type="dxa"/>
            <w:hideMark/>
          </w:tcPr>
          <w:p w:rsidR="00BA14DF" w:rsidRPr="00AE7621" w:rsidRDefault="00BA14DF" w:rsidP="0036609E">
            <w:pPr>
              <w:spacing w:after="0" w:line="240" w:lineRule="auto"/>
              <w:jc w:val="center"/>
              <w:rPr>
                <w:rFonts w:ascii="Times New Roman" w:eastAsia="Times New Roman" w:hAnsi="Times New Roman" w:cs="Times New Roman"/>
                <w:b/>
                <w:sz w:val="26"/>
                <w:szCs w:val="26"/>
              </w:rPr>
            </w:pPr>
          </w:p>
        </w:tc>
        <w:tc>
          <w:tcPr>
            <w:tcW w:w="1446" w:type="dxa"/>
            <w:hideMark/>
          </w:tcPr>
          <w:p w:rsidR="00BA14DF" w:rsidRPr="00AE7621" w:rsidRDefault="00BA14DF" w:rsidP="0036609E">
            <w:pPr>
              <w:spacing w:after="0" w:line="240" w:lineRule="auto"/>
              <w:jc w:val="center"/>
              <w:rPr>
                <w:rFonts w:ascii="Times New Roman" w:eastAsia="Times New Roman" w:hAnsi="Times New Roman" w:cs="Times New Roman"/>
                <w:b/>
                <w:sz w:val="26"/>
                <w:szCs w:val="26"/>
              </w:rPr>
            </w:pPr>
          </w:p>
        </w:tc>
      </w:tr>
      <w:tr w:rsidR="00BA14DF" w:rsidRPr="00AE7621" w:rsidTr="0036609E">
        <w:tc>
          <w:tcPr>
            <w:tcW w:w="1947" w:type="dxa"/>
            <w:hideMark/>
          </w:tcPr>
          <w:p w:rsidR="00BA14DF" w:rsidRPr="00AE7621" w:rsidRDefault="00BA14DF" w:rsidP="0036609E">
            <w:pPr>
              <w:spacing w:after="0" w:line="240" w:lineRule="auto"/>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2.1. valsts pamatbudžets</w:t>
            </w:r>
          </w:p>
        </w:tc>
        <w:tc>
          <w:tcPr>
            <w:tcW w:w="1463" w:type="dxa"/>
            <w:vAlign w:val="center"/>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0</w:t>
            </w:r>
          </w:p>
        </w:tc>
        <w:tc>
          <w:tcPr>
            <w:tcW w:w="1539" w:type="dxa"/>
            <w:vAlign w:val="center"/>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0</w:t>
            </w:r>
          </w:p>
        </w:tc>
        <w:tc>
          <w:tcPr>
            <w:tcW w:w="1446" w:type="dxa"/>
            <w:vAlign w:val="center"/>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0</w:t>
            </w:r>
          </w:p>
        </w:tc>
        <w:tc>
          <w:tcPr>
            <w:tcW w:w="1446" w:type="dxa"/>
            <w:vAlign w:val="center"/>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0</w:t>
            </w:r>
          </w:p>
        </w:tc>
        <w:tc>
          <w:tcPr>
            <w:tcW w:w="1446" w:type="dxa"/>
            <w:vAlign w:val="center"/>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0</w:t>
            </w:r>
          </w:p>
        </w:tc>
      </w:tr>
      <w:tr w:rsidR="00BA14DF" w:rsidRPr="00AE7621" w:rsidTr="0036609E">
        <w:tc>
          <w:tcPr>
            <w:tcW w:w="1947" w:type="dxa"/>
            <w:hideMark/>
          </w:tcPr>
          <w:p w:rsidR="00BA14DF" w:rsidRPr="00AE7621" w:rsidRDefault="00BA14DF" w:rsidP="0036609E">
            <w:pPr>
              <w:spacing w:after="0" w:line="240" w:lineRule="auto"/>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2.2. valsts speciālais budžets;</w:t>
            </w:r>
          </w:p>
        </w:tc>
        <w:tc>
          <w:tcPr>
            <w:tcW w:w="7340" w:type="dxa"/>
            <w:gridSpan w:val="5"/>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Projekts šo jomu neskar.</w:t>
            </w:r>
          </w:p>
        </w:tc>
      </w:tr>
      <w:tr w:rsidR="00BA14DF" w:rsidRPr="00AE7621" w:rsidTr="0036609E">
        <w:tc>
          <w:tcPr>
            <w:tcW w:w="1947" w:type="dxa"/>
            <w:hideMark/>
          </w:tcPr>
          <w:p w:rsidR="00BA14DF" w:rsidRPr="00AE7621" w:rsidRDefault="00BA14DF" w:rsidP="0036609E">
            <w:pPr>
              <w:spacing w:after="0" w:line="240" w:lineRule="auto"/>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 xml:space="preserve">2.3. pašvaldību budžets </w:t>
            </w:r>
          </w:p>
        </w:tc>
        <w:tc>
          <w:tcPr>
            <w:tcW w:w="7340" w:type="dxa"/>
            <w:gridSpan w:val="5"/>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Projekts šo jomu neskar.</w:t>
            </w:r>
          </w:p>
        </w:tc>
      </w:tr>
      <w:tr w:rsidR="00BA14DF" w:rsidRPr="00AE7621" w:rsidTr="0036609E">
        <w:tc>
          <w:tcPr>
            <w:tcW w:w="1947" w:type="dxa"/>
            <w:hideMark/>
          </w:tcPr>
          <w:p w:rsidR="00BA14DF" w:rsidRPr="00AE7621" w:rsidRDefault="00BA14DF" w:rsidP="0036609E">
            <w:pPr>
              <w:spacing w:after="0" w:line="240" w:lineRule="auto"/>
              <w:rPr>
                <w:rFonts w:ascii="Times New Roman" w:eastAsia="Times New Roman" w:hAnsi="Times New Roman" w:cs="Times New Roman"/>
                <w:b/>
                <w:sz w:val="26"/>
                <w:szCs w:val="26"/>
              </w:rPr>
            </w:pPr>
            <w:r w:rsidRPr="00AE7621">
              <w:rPr>
                <w:rFonts w:ascii="Times New Roman" w:eastAsia="Times New Roman" w:hAnsi="Times New Roman" w:cs="Times New Roman"/>
                <w:b/>
                <w:sz w:val="26"/>
                <w:szCs w:val="26"/>
              </w:rPr>
              <w:t>3. Finansiālā ietekme:</w:t>
            </w:r>
          </w:p>
        </w:tc>
        <w:tc>
          <w:tcPr>
            <w:tcW w:w="1463" w:type="dxa"/>
            <w:vAlign w:val="center"/>
          </w:tcPr>
          <w:p w:rsidR="00BA14DF" w:rsidRPr="00AE7621" w:rsidRDefault="00BA14DF" w:rsidP="0036609E">
            <w:pPr>
              <w:spacing w:after="0" w:line="240" w:lineRule="auto"/>
              <w:rPr>
                <w:rFonts w:ascii="Times New Roman" w:eastAsia="Times New Roman" w:hAnsi="Times New Roman" w:cs="Times New Roman"/>
                <w:sz w:val="26"/>
                <w:szCs w:val="26"/>
              </w:rPr>
            </w:pPr>
          </w:p>
        </w:tc>
        <w:tc>
          <w:tcPr>
            <w:tcW w:w="1539" w:type="dxa"/>
            <w:hideMark/>
          </w:tcPr>
          <w:p w:rsidR="00BA14DF" w:rsidRPr="00AE7621" w:rsidRDefault="00BA14DF" w:rsidP="0036609E">
            <w:pPr>
              <w:spacing w:after="0" w:line="240" w:lineRule="auto"/>
              <w:rPr>
                <w:rFonts w:ascii="Times New Roman" w:eastAsia="Times New Roman" w:hAnsi="Times New Roman" w:cs="Times New Roman"/>
                <w:b/>
                <w:sz w:val="26"/>
                <w:szCs w:val="26"/>
              </w:rPr>
            </w:pPr>
          </w:p>
        </w:tc>
        <w:tc>
          <w:tcPr>
            <w:tcW w:w="1446" w:type="dxa"/>
          </w:tcPr>
          <w:p w:rsidR="00BA14DF" w:rsidRPr="00AE7621" w:rsidRDefault="00BA14DF" w:rsidP="0036609E">
            <w:pPr>
              <w:spacing w:after="0" w:line="240" w:lineRule="auto"/>
              <w:jc w:val="center"/>
              <w:rPr>
                <w:rFonts w:ascii="Times New Roman" w:eastAsia="Times New Roman" w:hAnsi="Times New Roman" w:cs="Times New Roman"/>
                <w:sz w:val="26"/>
                <w:szCs w:val="26"/>
              </w:rPr>
            </w:pPr>
          </w:p>
        </w:tc>
        <w:tc>
          <w:tcPr>
            <w:tcW w:w="1446" w:type="dxa"/>
          </w:tcPr>
          <w:p w:rsidR="00BA14DF" w:rsidRPr="00AE7621" w:rsidRDefault="00BA14DF" w:rsidP="0036609E">
            <w:pPr>
              <w:spacing w:after="0" w:line="240" w:lineRule="auto"/>
              <w:jc w:val="center"/>
              <w:rPr>
                <w:rFonts w:ascii="Times New Roman" w:eastAsia="Times New Roman" w:hAnsi="Times New Roman" w:cs="Times New Roman"/>
                <w:sz w:val="26"/>
                <w:szCs w:val="26"/>
              </w:rPr>
            </w:pPr>
          </w:p>
        </w:tc>
        <w:tc>
          <w:tcPr>
            <w:tcW w:w="1446" w:type="dxa"/>
          </w:tcPr>
          <w:p w:rsidR="00BA14DF" w:rsidRPr="00AE7621" w:rsidRDefault="00BA14DF" w:rsidP="0036609E">
            <w:pPr>
              <w:spacing w:after="0" w:line="240" w:lineRule="auto"/>
              <w:jc w:val="center"/>
              <w:rPr>
                <w:rFonts w:ascii="Times New Roman" w:eastAsia="Times New Roman" w:hAnsi="Times New Roman" w:cs="Times New Roman"/>
                <w:sz w:val="26"/>
                <w:szCs w:val="26"/>
              </w:rPr>
            </w:pPr>
          </w:p>
        </w:tc>
      </w:tr>
      <w:tr w:rsidR="00BA14DF" w:rsidRPr="00AE7621" w:rsidTr="0036609E">
        <w:tc>
          <w:tcPr>
            <w:tcW w:w="1947" w:type="dxa"/>
            <w:hideMark/>
          </w:tcPr>
          <w:p w:rsidR="00BA14DF" w:rsidRPr="00AE7621" w:rsidRDefault="00BA14DF" w:rsidP="0036609E">
            <w:pPr>
              <w:spacing w:after="0" w:line="240" w:lineRule="auto"/>
              <w:ind w:left="-120" w:firstLine="120"/>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3.1. valsts pamatbudžets;</w:t>
            </w:r>
          </w:p>
        </w:tc>
        <w:tc>
          <w:tcPr>
            <w:tcW w:w="1463" w:type="dxa"/>
            <w:vAlign w:val="center"/>
            <w:hideMark/>
          </w:tcPr>
          <w:p w:rsidR="00BA14DF" w:rsidRPr="00AE7621" w:rsidRDefault="00BA14DF" w:rsidP="0036609E">
            <w:pPr>
              <w:spacing w:after="0" w:line="240" w:lineRule="auto"/>
              <w:jc w:val="center"/>
              <w:rPr>
                <w:rFonts w:ascii="Times New Roman" w:eastAsia="Times New Roman" w:hAnsi="Times New Roman" w:cs="Times New Roman"/>
                <w:bCs/>
                <w:sz w:val="26"/>
                <w:szCs w:val="26"/>
              </w:rPr>
            </w:pPr>
            <w:r w:rsidRPr="00AE7621">
              <w:rPr>
                <w:rFonts w:ascii="Times New Roman" w:eastAsia="Times New Roman" w:hAnsi="Times New Roman" w:cs="Times New Roman"/>
                <w:sz w:val="26"/>
                <w:szCs w:val="26"/>
              </w:rPr>
              <w:t>Nav attiecināms</w:t>
            </w:r>
          </w:p>
        </w:tc>
        <w:tc>
          <w:tcPr>
            <w:tcW w:w="1539" w:type="dxa"/>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Nav attiecināms</w:t>
            </w:r>
          </w:p>
        </w:tc>
        <w:tc>
          <w:tcPr>
            <w:tcW w:w="1446" w:type="dxa"/>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Nav attiecināms</w:t>
            </w:r>
          </w:p>
        </w:tc>
        <w:tc>
          <w:tcPr>
            <w:tcW w:w="1446" w:type="dxa"/>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Nav attiecināms</w:t>
            </w:r>
          </w:p>
        </w:tc>
        <w:tc>
          <w:tcPr>
            <w:tcW w:w="1446" w:type="dxa"/>
          </w:tcPr>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Nav attiecināms</w:t>
            </w:r>
          </w:p>
        </w:tc>
      </w:tr>
      <w:tr w:rsidR="00BA14DF" w:rsidRPr="00AE7621" w:rsidTr="0036609E">
        <w:trPr>
          <w:trHeight w:val="393"/>
        </w:trPr>
        <w:tc>
          <w:tcPr>
            <w:tcW w:w="1947" w:type="dxa"/>
            <w:hideMark/>
          </w:tcPr>
          <w:p w:rsidR="00BA14DF" w:rsidRPr="00AE7621" w:rsidRDefault="00BA14DF" w:rsidP="0036609E">
            <w:pPr>
              <w:spacing w:after="0" w:line="240" w:lineRule="auto"/>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3.2. speciālais budžets;</w:t>
            </w:r>
          </w:p>
        </w:tc>
        <w:tc>
          <w:tcPr>
            <w:tcW w:w="7340" w:type="dxa"/>
            <w:gridSpan w:val="5"/>
            <w:hideMark/>
          </w:tcPr>
          <w:p w:rsidR="00BA14DF" w:rsidRPr="00AE7621" w:rsidRDefault="00BA14DF" w:rsidP="0036609E">
            <w:pPr>
              <w:spacing w:after="0" w:line="240" w:lineRule="auto"/>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Projekts šo jomu neskar.</w:t>
            </w:r>
          </w:p>
        </w:tc>
      </w:tr>
      <w:tr w:rsidR="00BA14DF" w:rsidRPr="00AE7621" w:rsidTr="0036609E">
        <w:tc>
          <w:tcPr>
            <w:tcW w:w="1947" w:type="dxa"/>
            <w:hideMark/>
          </w:tcPr>
          <w:p w:rsidR="00BA14DF" w:rsidRPr="00AE7621" w:rsidRDefault="00BA14DF" w:rsidP="0036609E">
            <w:pPr>
              <w:spacing w:after="0" w:line="240" w:lineRule="auto"/>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 xml:space="preserve">3.3. pašvaldību budžets </w:t>
            </w:r>
          </w:p>
        </w:tc>
        <w:tc>
          <w:tcPr>
            <w:tcW w:w="7340" w:type="dxa"/>
            <w:gridSpan w:val="5"/>
            <w:hideMark/>
          </w:tcPr>
          <w:p w:rsidR="00BA14DF" w:rsidRPr="00AE7621" w:rsidRDefault="00BA14DF" w:rsidP="0036609E">
            <w:pPr>
              <w:spacing w:after="0" w:line="240" w:lineRule="auto"/>
              <w:rPr>
                <w:rFonts w:ascii="Times New Roman" w:eastAsia="Times New Roman" w:hAnsi="Times New Roman" w:cs="Times New Roman"/>
                <w:b/>
                <w:i/>
                <w:sz w:val="26"/>
                <w:szCs w:val="26"/>
              </w:rPr>
            </w:pPr>
            <w:r w:rsidRPr="00AE7621">
              <w:rPr>
                <w:rFonts w:ascii="Times New Roman" w:eastAsia="Times New Roman" w:hAnsi="Times New Roman" w:cs="Times New Roman"/>
                <w:sz w:val="26"/>
                <w:szCs w:val="26"/>
              </w:rPr>
              <w:t>Projekts šo jomu neskar.</w:t>
            </w:r>
          </w:p>
        </w:tc>
      </w:tr>
      <w:tr w:rsidR="00BA14DF" w:rsidRPr="00AE7621" w:rsidTr="0036609E">
        <w:tc>
          <w:tcPr>
            <w:tcW w:w="1947" w:type="dxa"/>
            <w:hideMark/>
          </w:tcPr>
          <w:p w:rsidR="00BA14DF" w:rsidRPr="00AE7621" w:rsidRDefault="00BA14DF" w:rsidP="0036609E">
            <w:pPr>
              <w:spacing w:after="0" w:line="240" w:lineRule="auto"/>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 xml:space="preserve">4. Finanšu līdzekļi papildu izdevumu finansēšanai </w:t>
            </w:r>
            <w:r w:rsidRPr="00AE7621">
              <w:rPr>
                <w:rFonts w:ascii="Times New Roman" w:eastAsia="Times New Roman" w:hAnsi="Times New Roman" w:cs="Times New Roman"/>
                <w:sz w:val="26"/>
                <w:szCs w:val="26"/>
              </w:rPr>
              <w:lastRenderedPageBreak/>
              <w:t xml:space="preserve">(kompensējošu izdevumu samazinājumu norāda ar "+" zīmi) </w:t>
            </w:r>
          </w:p>
        </w:tc>
        <w:tc>
          <w:tcPr>
            <w:tcW w:w="7340" w:type="dxa"/>
            <w:gridSpan w:val="5"/>
            <w:vAlign w:val="center"/>
            <w:hideMark/>
          </w:tcPr>
          <w:p w:rsidR="00BA14DF" w:rsidRPr="00AE7621" w:rsidRDefault="00BA14DF" w:rsidP="0036609E">
            <w:pPr>
              <w:spacing w:after="0" w:line="240" w:lineRule="auto"/>
              <w:jc w:val="both"/>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lastRenderedPageBreak/>
              <w:t xml:space="preserve">Pēc projekta apstiprināšanas Ekonomikas ministrija normatīvajos aktos noteiktajos gadījumos un noteiktajā kārtībā no gadskārtējā valsts budžeta izpildes procesā pārdalāmā finansējuma  programmas 80.00.00 „Nesadalītais finansējums Eiropas Savienības politiku </w:t>
            </w:r>
            <w:r w:rsidRPr="00AE7621">
              <w:rPr>
                <w:rFonts w:ascii="Times New Roman" w:eastAsia="Times New Roman" w:hAnsi="Times New Roman" w:cs="Times New Roman"/>
                <w:sz w:val="26"/>
                <w:szCs w:val="26"/>
              </w:rPr>
              <w:lastRenderedPageBreak/>
              <w:t>instrumentu un pārējās ārvalstu finanšu palīdzības līdzfinansēto projektu un pasākumu īstenošanai” var pieprasīt valsts budžeta līdzekļus apstiprināto projektu īstenošanai.</w:t>
            </w:r>
          </w:p>
        </w:tc>
      </w:tr>
      <w:tr w:rsidR="00BA14DF" w:rsidRPr="00AE7621" w:rsidTr="0036609E">
        <w:trPr>
          <w:trHeight w:val="563"/>
        </w:trPr>
        <w:tc>
          <w:tcPr>
            <w:tcW w:w="1947" w:type="dxa"/>
            <w:hideMark/>
          </w:tcPr>
          <w:p w:rsidR="00BA14DF" w:rsidRPr="00AE7621" w:rsidRDefault="00BA14DF" w:rsidP="0036609E">
            <w:pPr>
              <w:spacing w:after="0" w:line="240" w:lineRule="auto"/>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lastRenderedPageBreak/>
              <w:t>5. Precizēta finansiālā ietekme:</w:t>
            </w:r>
          </w:p>
        </w:tc>
        <w:tc>
          <w:tcPr>
            <w:tcW w:w="1463" w:type="dxa"/>
            <w:vAlign w:val="center"/>
          </w:tcPr>
          <w:p w:rsidR="00BA14DF" w:rsidRPr="00AE7621" w:rsidRDefault="00BA14DF" w:rsidP="0036609E">
            <w:pPr>
              <w:spacing w:after="0" w:line="240" w:lineRule="auto"/>
              <w:jc w:val="center"/>
              <w:rPr>
                <w:rFonts w:ascii="Times New Roman" w:eastAsia="Times New Roman" w:hAnsi="Times New Roman" w:cs="Times New Roman"/>
                <w:sz w:val="26"/>
                <w:szCs w:val="26"/>
              </w:rPr>
            </w:pPr>
          </w:p>
        </w:tc>
        <w:tc>
          <w:tcPr>
            <w:tcW w:w="1539" w:type="dxa"/>
            <w:vAlign w:val="center"/>
          </w:tcPr>
          <w:p w:rsidR="00BA14DF" w:rsidRPr="00AE7621" w:rsidRDefault="00BA14DF" w:rsidP="0036609E">
            <w:pPr>
              <w:spacing w:after="0" w:line="240" w:lineRule="auto"/>
              <w:jc w:val="center"/>
              <w:rPr>
                <w:rFonts w:ascii="Times New Roman" w:eastAsia="Times New Roman" w:hAnsi="Times New Roman" w:cs="Times New Roman"/>
                <w:sz w:val="26"/>
                <w:szCs w:val="26"/>
              </w:rPr>
            </w:pPr>
          </w:p>
        </w:tc>
        <w:tc>
          <w:tcPr>
            <w:tcW w:w="1446" w:type="dxa"/>
            <w:vAlign w:val="center"/>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p>
        </w:tc>
        <w:tc>
          <w:tcPr>
            <w:tcW w:w="1446" w:type="dxa"/>
            <w:vAlign w:val="center"/>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p>
        </w:tc>
        <w:tc>
          <w:tcPr>
            <w:tcW w:w="1446" w:type="dxa"/>
            <w:vAlign w:val="center"/>
            <w:hideMark/>
          </w:tcPr>
          <w:p w:rsidR="00BA14DF" w:rsidRPr="00AE7621" w:rsidRDefault="00BA14DF" w:rsidP="0036609E">
            <w:pPr>
              <w:spacing w:after="0" w:line="240" w:lineRule="auto"/>
              <w:jc w:val="center"/>
              <w:rPr>
                <w:rFonts w:ascii="Times New Roman" w:eastAsia="Times New Roman" w:hAnsi="Times New Roman" w:cs="Times New Roman"/>
                <w:sz w:val="26"/>
                <w:szCs w:val="26"/>
              </w:rPr>
            </w:pPr>
          </w:p>
        </w:tc>
      </w:tr>
      <w:tr w:rsidR="00BA14DF" w:rsidRPr="00AE7621" w:rsidTr="0036609E">
        <w:trPr>
          <w:trHeight w:val="563"/>
        </w:trPr>
        <w:tc>
          <w:tcPr>
            <w:tcW w:w="1947" w:type="dxa"/>
            <w:hideMark/>
          </w:tcPr>
          <w:p w:rsidR="00BA14DF" w:rsidRPr="00AE7621" w:rsidRDefault="00BA14DF" w:rsidP="0036609E">
            <w:pPr>
              <w:spacing w:after="0" w:line="240" w:lineRule="auto"/>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5.1. valsts pamatbudžets;</w:t>
            </w:r>
          </w:p>
        </w:tc>
        <w:tc>
          <w:tcPr>
            <w:tcW w:w="1463" w:type="dxa"/>
            <w:vAlign w:val="center"/>
          </w:tcPr>
          <w:p w:rsidR="00BA14DF" w:rsidRPr="00AE7621" w:rsidRDefault="00BA14DF" w:rsidP="0036609E">
            <w:pPr>
              <w:spacing w:after="0" w:line="240" w:lineRule="auto"/>
              <w:jc w:val="center"/>
              <w:rPr>
                <w:rFonts w:ascii="Times New Roman" w:eastAsia="Times New Roman" w:hAnsi="Times New Roman" w:cs="Times New Roman"/>
                <w:sz w:val="26"/>
                <w:szCs w:val="26"/>
              </w:rPr>
            </w:pPr>
          </w:p>
        </w:tc>
        <w:tc>
          <w:tcPr>
            <w:tcW w:w="1539" w:type="dxa"/>
            <w:vAlign w:val="center"/>
          </w:tcPr>
          <w:p w:rsidR="00BA14DF" w:rsidRPr="00AE7621" w:rsidRDefault="00BA14DF" w:rsidP="0036609E">
            <w:pPr>
              <w:spacing w:after="0" w:line="240" w:lineRule="auto"/>
              <w:rPr>
                <w:rFonts w:ascii="Times New Roman" w:eastAsia="Times New Roman" w:hAnsi="Times New Roman" w:cs="Times New Roman"/>
                <w:sz w:val="26"/>
                <w:szCs w:val="26"/>
              </w:rPr>
            </w:pPr>
          </w:p>
        </w:tc>
        <w:tc>
          <w:tcPr>
            <w:tcW w:w="1446" w:type="dxa"/>
            <w:vAlign w:val="center"/>
            <w:hideMark/>
          </w:tcPr>
          <w:p w:rsidR="00BA14DF" w:rsidRPr="00AE7621" w:rsidRDefault="00BA14DF" w:rsidP="0036609E">
            <w:pPr>
              <w:spacing w:after="0" w:line="240" w:lineRule="auto"/>
              <w:rPr>
                <w:rFonts w:ascii="Times New Roman" w:eastAsia="Times New Roman" w:hAnsi="Times New Roman" w:cs="Times New Roman"/>
                <w:sz w:val="26"/>
                <w:szCs w:val="26"/>
              </w:rPr>
            </w:pPr>
          </w:p>
        </w:tc>
        <w:tc>
          <w:tcPr>
            <w:tcW w:w="1446" w:type="dxa"/>
            <w:vAlign w:val="center"/>
            <w:hideMark/>
          </w:tcPr>
          <w:p w:rsidR="00BA14DF" w:rsidRPr="00AE7621" w:rsidRDefault="00BA14DF" w:rsidP="0036609E">
            <w:pPr>
              <w:spacing w:after="0" w:line="240" w:lineRule="auto"/>
              <w:rPr>
                <w:rFonts w:ascii="Times New Roman" w:eastAsia="Times New Roman" w:hAnsi="Times New Roman" w:cs="Times New Roman"/>
                <w:sz w:val="26"/>
                <w:szCs w:val="26"/>
              </w:rPr>
            </w:pPr>
          </w:p>
        </w:tc>
        <w:tc>
          <w:tcPr>
            <w:tcW w:w="1446" w:type="dxa"/>
            <w:vAlign w:val="center"/>
            <w:hideMark/>
          </w:tcPr>
          <w:p w:rsidR="00BA14DF" w:rsidRPr="00AE7621" w:rsidRDefault="00BA14DF" w:rsidP="0036609E">
            <w:pPr>
              <w:spacing w:after="0" w:line="240" w:lineRule="auto"/>
              <w:rPr>
                <w:rFonts w:ascii="Times New Roman" w:eastAsia="Times New Roman" w:hAnsi="Times New Roman" w:cs="Times New Roman"/>
                <w:sz w:val="26"/>
                <w:szCs w:val="26"/>
              </w:rPr>
            </w:pPr>
          </w:p>
        </w:tc>
      </w:tr>
      <w:tr w:rsidR="00BA14DF" w:rsidRPr="00AE7621" w:rsidTr="0036609E">
        <w:tc>
          <w:tcPr>
            <w:tcW w:w="1947" w:type="dxa"/>
            <w:hideMark/>
          </w:tcPr>
          <w:p w:rsidR="00BA14DF" w:rsidRPr="00AE7621" w:rsidRDefault="00BA14DF" w:rsidP="0036609E">
            <w:pPr>
              <w:spacing w:after="0" w:line="240" w:lineRule="auto"/>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5.2. speciālais budžets;</w:t>
            </w:r>
          </w:p>
        </w:tc>
        <w:tc>
          <w:tcPr>
            <w:tcW w:w="1463" w:type="dxa"/>
            <w:vMerge w:val="restart"/>
          </w:tcPr>
          <w:p w:rsidR="00BA14DF" w:rsidRPr="00AE7621" w:rsidRDefault="00BA14DF" w:rsidP="0036609E">
            <w:pPr>
              <w:spacing w:after="0" w:line="240" w:lineRule="auto"/>
              <w:rPr>
                <w:rFonts w:ascii="Times New Roman" w:eastAsia="Times New Roman" w:hAnsi="Times New Roman" w:cs="Times New Roman"/>
                <w:sz w:val="26"/>
                <w:szCs w:val="26"/>
              </w:rPr>
            </w:pPr>
          </w:p>
          <w:p w:rsidR="00BA14DF" w:rsidRPr="00AE7621" w:rsidRDefault="00BA14DF" w:rsidP="0036609E">
            <w:pPr>
              <w:spacing w:after="0" w:line="240" w:lineRule="auto"/>
              <w:rPr>
                <w:rFonts w:ascii="Times New Roman" w:eastAsia="Times New Roman" w:hAnsi="Times New Roman" w:cs="Times New Roman"/>
                <w:sz w:val="26"/>
                <w:szCs w:val="26"/>
              </w:rPr>
            </w:pPr>
          </w:p>
          <w:p w:rsidR="00BA14DF" w:rsidRPr="00AE7621" w:rsidRDefault="00BA14DF" w:rsidP="0036609E">
            <w:pPr>
              <w:spacing w:after="0" w:line="240" w:lineRule="auto"/>
              <w:rPr>
                <w:rFonts w:ascii="Times New Roman" w:eastAsia="Times New Roman" w:hAnsi="Times New Roman" w:cs="Times New Roman"/>
                <w:sz w:val="26"/>
                <w:szCs w:val="26"/>
              </w:rPr>
            </w:pPr>
          </w:p>
        </w:tc>
        <w:tc>
          <w:tcPr>
            <w:tcW w:w="5877" w:type="dxa"/>
            <w:gridSpan w:val="4"/>
            <w:vMerge w:val="restart"/>
          </w:tcPr>
          <w:p w:rsidR="00BA14DF" w:rsidRPr="00AE7621" w:rsidRDefault="00BA14DF" w:rsidP="0036609E">
            <w:pPr>
              <w:spacing w:after="0" w:line="240" w:lineRule="auto"/>
              <w:rPr>
                <w:rFonts w:ascii="Times New Roman" w:eastAsia="Times New Roman" w:hAnsi="Times New Roman" w:cs="Times New Roman"/>
                <w:sz w:val="26"/>
                <w:szCs w:val="26"/>
              </w:rPr>
            </w:pPr>
          </w:p>
          <w:p w:rsidR="00BA14DF" w:rsidRPr="00AE7621" w:rsidRDefault="00BA14DF" w:rsidP="0036609E">
            <w:pPr>
              <w:spacing w:after="0" w:line="240" w:lineRule="auto"/>
              <w:jc w:val="center"/>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Projekts šo jomu neskar.</w:t>
            </w:r>
          </w:p>
        </w:tc>
      </w:tr>
      <w:tr w:rsidR="00BA14DF" w:rsidRPr="00AE7621" w:rsidTr="0036609E">
        <w:tc>
          <w:tcPr>
            <w:tcW w:w="1947" w:type="dxa"/>
            <w:hideMark/>
          </w:tcPr>
          <w:p w:rsidR="00BA14DF" w:rsidRPr="00AE7621" w:rsidRDefault="00BA14DF" w:rsidP="0036609E">
            <w:pPr>
              <w:spacing w:after="0" w:line="240" w:lineRule="auto"/>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 xml:space="preserve">5.3. pašvaldību budžets </w:t>
            </w:r>
          </w:p>
        </w:tc>
        <w:tc>
          <w:tcPr>
            <w:tcW w:w="1463" w:type="dxa"/>
            <w:vMerge/>
            <w:vAlign w:val="center"/>
            <w:hideMark/>
          </w:tcPr>
          <w:p w:rsidR="00BA14DF" w:rsidRPr="00AE7621" w:rsidRDefault="00BA14DF" w:rsidP="0036609E">
            <w:pPr>
              <w:spacing w:after="0" w:line="240" w:lineRule="auto"/>
              <w:rPr>
                <w:rFonts w:ascii="Times New Roman" w:eastAsia="Times New Roman" w:hAnsi="Times New Roman" w:cs="Times New Roman"/>
                <w:sz w:val="26"/>
                <w:szCs w:val="26"/>
              </w:rPr>
            </w:pPr>
          </w:p>
        </w:tc>
        <w:tc>
          <w:tcPr>
            <w:tcW w:w="5877" w:type="dxa"/>
            <w:gridSpan w:val="4"/>
            <w:vMerge/>
            <w:vAlign w:val="center"/>
            <w:hideMark/>
          </w:tcPr>
          <w:p w:rsidR="00BA14DF" w:rsidRPr="00AE7621" w:rsidRDefault="00BA14DF" w:rsidP="0036609E">
            <w:pPr>
              <w:spacing w:after="0" w:line="240" w:lineRule="auto"/>
              <w:rPr>
                <w:rFonts w:ascii="Times New Roman" w:eastAsia="Times New Roman" w:hAnsi="Times New Roman" w:cs="Times New Roman"/>
                <w:sz w:val="26"/>
                <w:szCs w:val="26"/>
              </w:rPr>
            </w:pPr>
          </w:p>
        </w:tc>
      </w:tr>
      <w:tr w:rsidR="00BA14DF" w:rsidRPr="00AE7621" w:rsidTr="0036609E">
        <w:tc>
          <w:tcPr>
            <w:tcW w:w="1947" w:type="dxa"/>
            <w:hideMark/>
          </w:tcPr>
          <w:p w:rsidR="00BA14DF" w:rsidRPr="00AE7621" w:rsidRDefault="00BA14DF" w:rsidP="0036609E">
            <w:pPr>
              <w:spacing w:after="0" w:line="240" w:lineRule="auto"/>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6. Detalizēts ieņēmumu un izdevumu aprēķins (ja nepieciešams, detalizētu ieņēmumu un izdevumu aprēķinu var pievienot anotācijas pielikumā):</w:t>
            </w:r>
          </w:p>
        </w:tc>
        <w:tc>
          <w:tcPr>
            <w:tcW w:w="7340" w:type="dxa"/>
            <w:gridSpan w:val="5"/>
            <w:hideMark/>
          </w:tcPr>
          <w:p w:rsidR="00BA14DF" w:rsidRPr="00AE7621" w:rsidRDefault="00BA14DF" w:rsidP="0036609E">
            <w:pPr>
              <w:spacing w:after="0" w:line="240" w:lineRule="auto"/>
              <w:ind w:firstLine="540"/>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 xml:space="preserve"> </w:t>
            </w:r>
          </w:p>
        </w:tc>
      </w:tr>
      <w:tr w:rsidR="00BA14DF" w:rsidRPr="00AE7621" w:rsidTr="0036609E">
        <w:tc>
          <w:tcPr>
            <w:tcW w:w="1947" w:type="dxa"/>
            <w:hideMark/>
          </w:tcPr>
          <w:p w:rsidR="00BA14DF" w:rsidRPr="00AE7621" w:rsidRDefault="00BA14DF" w:rsidP="0036609E">
            <w:pPr>
              <w:spacing w:after="0" w:line="240" w:lineRule="auto"/>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6.1. Detalizēts ieņēmumu aprēķins;</w:t>
            </w:r>
          </w:p>
        </w:tc>
        <w:tc>
          <w:tcPr>
            <w:tcW w:w="7340" w:type="dxa"/>
            <w:gridSpan w:val="5"/>
            <w:vAlign w:val="center"/>
          </w:tcPr>
          <w:p w:rsidR="00BA14DF" w:rsidRPr="00AE7621" w:rsidRDefault="00BA14DF" w:rsidP="0036609E">
            <w:pPr>
              <w:spacing w:after="0" w:line="240" w:lineRule="auto"/>
              <w:jc w:val="center"/>
              <w:rPr>
                <w:rFonts w:ascii="Times New Roman" w:eastAsia="Times New Roman" w:hAnsi="Times New Roman" w:cs="Times New Roman"/>
                <w:sz w:val="26"/>
                <w:szCs w:val="26"/>
              </w:rPr>
            </w:pPr>
          </w:p>
        </w:tc>
      </w:tr>
      <w:tr w:rsidR="00BA14DF" w:rsidRPr="00AE7621" w:rsidTr="0036609E">
        <w:tc>
          <w:tcPr>
            <w:tcW w:w="1947" w:type="dxa"/>
            <w:hideMark/>
          </w:tcPr>
          <w:p w:rsidR="00BA14DF" w:rsidRPr="00AE7621" w:rsidRDefault="00BA14DF" w:rsidP="0036609E">
            <w:pPr>
              <w:spacing w:after="0" w:line="240" w:lineRule="auto"/>
              <w:jc w:val="both"/>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6.2. Detalizēts izdevumu aprēķins</w:t>
            </w:r>
          </w:p>
        </w:tc>
        <w:tc>
          <w:tcPr>
            <w:tcW w:w="7340" w:type="dxa"/>
            <w:gridSpan w:val="5"/>
            <w:hideMark/>
          </w:tcPr>
          <w:p w:rsidR="00BA14DF" w:rsidRPr="00AE7621" w:rsidRDefault="0032005C" w:rsidP="005B7451">
            <w:pPr>
              <w:spacing w:after="0" w:line="240" w:lineRule="auto"/>
              <w:jc w:val="both"/>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 xml:space="preserve">MK noteikumu par </w:t>
            </w:r>
            <w:r w:rsidR="00BA14DF" w:rsidRPr="00AE7621">
              <w:rPr>
                <w:rFonts w:ascii="Times New Roman" w:eastAsia="Times New Roman" w:hAnsi="Times New Roman" w:cs="Times New Roman"/>
                <w:sz w:val="26"/>
                <w:szCs w:val="26"/>
              </w:rPr>
              <w:t>2.3.1.1.2.</w:t>
            </w:r>
            <w:r w:rsidR="00416720" w:rsidRPr="00AE7621" w:rsidDel="00416720">
              <w:rPr>
                <w:rFonts w:ascii="Times New Roman" w:eastAsia="Times New Roman" w:hAnsi="Times New Roman" w:cs="Times New Roman"/>
                <w:sz w:val="26"/>
                <w:szCs w:val="26"/>
              </w:rPr>
              <w:t xml:space="preserve"> </w:t>
            </w:r>
            <w:r w:rsidR="00BA14DF" w:rsidRPr="00AE7621">
              <w:rPr>
                <w:rFonts w:ascii="Times New Roman" w:eastAsia="Times New Roman" w:hAnsi="Times New Roman" w:cs="Times New Roman"/>
                <w:sz w:val="26"/>
                <w:szCs w:val="26"/>
              </w:rPr>
              <w:t>aktivitāt</w:t>
            </w:r>
            <w:r w:rsidRPr="00AE7621">
              <w:rPr>
                <w:rFonts w:ascii="Times New Roman" w:eastAsia="Times New Roman" w:hAnsi="Times New Roman" w:cs="Times New Roman"/>
                <w:sz w:val="26"/>
                <w:szCs w:val="26"/>
              </w:rPr>
              <w:t>es</w:t>
            </w:r>
            <w:r w:rsidR="00BA14DF" w:rsidRPr="00AE7621">
              <w:rPr>
                <w:rFonts w:ascii="Times New Roman" w:eastAsia="Times New Roman" w:hAnsi="Times New Roman" w:cs="Times New Roman"/>
                <w:sz w:val="26"/>
                <w:szCs w:val="26"/>
              </w:rPr>
              <w:t xml:space="preserve"> </w:t>
            </w:r>
            <w:r w:rsidRPr="00AE7621">
              <w:rPr>
                <w:rFonts w:ascii="Times New Roman" w:eastAsia="Times New Roman" w:hAnsi="Times New Roman" w:cs="Times New Roman"/>
                <w:sz w:val="26"/>
                <w:szCs w:val="26"/>
              </w:rPr>
              <w:t xml:space="preserve">īstenošanu </w:t>
            </w:r>
            <w:r w:rsidR="00BA14DF" w:rsidRPr="00AE7621">
              <w:rPr>
                <w:rFonts w:ascii="Times New Roman" w:eastAsia="Times New Roman" w:hAnsi="Times New Roman" w:cs="Times New Roman"/>
                <w:sz w:val="26"/>
                <w:szCs w:val="26"/>
              </w:rPr>
              <w:t>11.punkts nosaka</w:t>
            </w:r>
            <w:r w:rsidRPr="00AE7621">
              <w:rPr>
                <w:rFonts w:ascii="Times New Roman" w:eastAsia="Times New Roman" w:hAnsi="Times New Roman" w:cs="Times New Roman"/>
                <w:sz w:val="26"/>
                <w:szCs w:val="26"/>
              </w:rPr>
              <w:t>,</w:t>
            </w:r>
            <w:r w:rsidR="00BA14DF" w:rsidRPr="00AE7621">
              <w:rPr>
                <w:rFonts w:ascii="Times New Roman" w:eastAsia="Times New Roman" w:hAnsi="Times New Roman" w:cs="Times New Roman"/>
                <w:sz w:val="26"/>
                <w:szCs w:val="26"/>
              </w:rPr>
              <w:t xml:space="preserve"> ka finansējuma saņēmējs (LIAA un TAVA) nodrošina līdzfinansējumu no valsts budžeta ietvaros piešķirtajiem līdzekļiem ne mazāk kā 40 % apmērā. Palielinot </w:t>
            </w:r>
            <w:r w:rsidR="00416720" w:rsidRPr="00AE7621">
              <w:rPr>
                <w:rFonts w:ascii="Times New Roman" w:eastAsia="Times New Roman" w:hAnsi="Times New Roman" w:cs="Times New Roman"/>
                <w:sz w:val="26"/>
                <w:szCs w:val="26"/>
              </w:rPr>
              <w:t>ERAF</w:t>
            </w:r>
            <w:r w:rsidRPr="00AE7621">
              <w:rPr>
                <w:rFonts w:ascii="Times New Roman" w:eastAsia="Times New Roman" w:hAnsi="Times New Roman" w:cs="Times New Roman"/>
                <w:sz w:val="26"/>
                <w:szCs w:val="26"/>
              </w:rPr>
              <w:t xml:space="preserve"> </w:t>
            </w:r>
            <w:r w:rsidR="00BA14DF" w:rsidRPr="00AE7621">
              <w:rPr>
                <w:rFonts w:ascii="Times New Roman" w:eastAsia="Times New Roman" w:hAnsi="Times New Roman" w:cs="Times New Roman"/>
                <w:sz w:val="26"/>
                <w:szCs w:val="26"/>
              </w:rPr>
              <w:t>finansējum</w:t>
            </w:r>
            <w:r w:rsidR="00416720" w:rsidRPr="00AE7621">
              <w:rPr>
                <w:rFonts w:ascii="Times New Roman" w:eastAsia="Times New Roman" w:hAnsi="Times New Roman" w:cs="Times New Roman"/>
                <w:sz w:val="26"/>
                <w:szCs w:val="26"/>
              </w:rPr>
              <w:t>a apjomu</w:t>
            </w:r>
            <w:r w:rsidR="00BA14DF" w:rsidRPr="00AE7621">
              <w:rPr>
                <w:rFonts w:ascii="Times New Roman" w:eastAsia="Times New Roman" w:hAnsi="Times New Roman" w:cs="Times New Roman"/>
                <w:sz w:val="26"/>
                <w:szCs w:val="26"/>
              </w:rPr>
              <w:t xml:space="preserve"> 2.3.1.1.2.</w:t>
            </w:r>
            <w:r w:rsidR="00416720" w:rsidRPr="00AE7621" w:rsidDel="00416720">
              <w:rPr>
                <w:rFonts w:ascii="Times New Roman" w:eastAsia="Times New Roman" w:hAnsi="Times New Roman" w:cs="Times New Roman"/>
                <w:sz w:val="26"/>
                <w:szCs w:val="26"/>
              </w:rPr>
              <w:t xml:space="preserve"> </w:t>
            </w:r>
            <w:r w:rsidR="00BA14DF" w:rsidRPr="00AE7621">
              <w:rPr>
                <w:rFonts w:ascii="Times New Roman" w:eastAsia="Times New Roman" w:hAnsi="Times New Roman" w:cs="Times New Roman"/>
                <w:sz w:val="26"/>
                <w:szCs w:val="26"/>
              </w:rPr>
              <w:t>aktivitātei</w:t>
            </w:r>
            <w:r w:rsidRPr="00AE7621">
              <w:rPr>
                <w:rFonts w:ascii="Times New Roman" w:eastAsia="Times New Roman" w:hAnsi="Times New Roman" w:cs="Times New Roman"/>
                <w:sz w:val="26"/>
                <w:szCs w:val="26"/>
              </w:rPr>
              <w:t>,</w:t>
            </w:r>
            <w:r w:rsidR="00BA14DF" w:rsidRPr="00AE7621">
              <w:rPr>
                <w:rFonts w:ascii="Times New Roman" w:eastAsia="Times New Roman" w:hAnsi="Times New Roman" w:cs="Times New Roman"/>
                <w:sz w:val="26"/>
                <w:szCs w:val="26"/>
              </w:rPr>
              <w:t xml:space="preserve"> ir nepieciešams </w:t>
            </w:r>
            <w:r w:rsidRPr="00AE7621">
              <w:rPr>
                <w:rFonts w:ascii="Times New Roman" w:eastAsia="Times New Roman" w:hAnsi="Times New Roman" w:cs="Times New Roman"/>
                <w:sz w:val="26"/>
                <w:szCs w:val="26"/>
              </w:rPr>
              <w:t xml:space="preserve">palielināt </w:t>
            </w:r>
            <w:r w:rsidR="00BA14DF" w:rsidRPr="00AE7621">
              <w:rPr>
                <w:rFonts w:ascii="Times New Roman" w:eastAsia="Times New Roman" w:hAnsi="Times New Roman" w:cs="Times New Roman"/>
                <w:sz w:val="26"/>
                <w:szCs w:val="26"/>
              </w:rPr>
              <w:t xml:space="preserve">arī valsts budžeta ietvaros piešķirtos līdzekļus. </w:t>
            </w:r>
            <w:r w:rsidR="00416720" w:rsidRPr="00AE7621">
              <w:rPr>
                <w:rFonts w:ascii="Times New Roman" w:eastAsia="Times New Roman" w:hAnsi="Times New Roman" w:cs="Times New Roman"/>
                <w:sz w:val="26"/>
                <w:szCs w:val="26"/>
              </w:rPr>
              <w:t>Tā kā</w:t>
            </w:r>
            <w:r w:rsidR="00BA14DF" w:rsidRPr="00AE7621">
              <w:rPr>
                <w:rFonts w:ascii="Times New Roman" w:eastAsia="Times New Roman" w:hAnsi="Times New Roman" w:cs="Times New Roman"/>
                <w:sz w:val="26"/>
                <w:szCs w:val="26"/>
              </w:rPr>
              <w:t xml:space="preserve"> </w:t>
            </w:r>
            <w:r w:rsidR="00416720" w:rsidRPr="00AE7621">
              <w:rPr>
                <w:rFonts w:ascii="Times New Roman" w:eastAsia="Times New Roman" w:hAnsi="Times New Roman" w:cs="Times New Roman"/>
                <w:sz w:val="26"/>
                <w:szCs w:val="26"/>
              </w:rPr>
              <w:t>2.3.1.1.2.aktiivtātes ietvaros pie</w:t>
            </w:r>
            <w:r w:rsidR="005B7451" w:rsidRPr="00AE7621">
              <w:rPr>
                <w:rFonts w:ascii="Times New Roman" w:eastAsia="Times New Roman" w:hAnsi="Times New Roman" w:cs="Times New Roman"/>
                <w:sz w:val="26"/>
                <w:szCs w:val="26"/>
              </w:rPr>
              <w:t>e</w:t>
            </w:r>
            <w:r w:rsidR="00416720" w:rsidRPr="00AE7621">
              <w:rPr>
                <w:rFonts w:ascii="Times New Roman" w:eastAsia="Times New Roman" w:hAnsi="Times New Roman" w:cs="Times New Roman"/>
                <w:sz w:val="26"/>
                <w:szCs w:val="26"/>
              </w:rPr>
              <w:t>j</w:t>
            </w:r>
            <w:r w:rsidR="005B7451" w:rsidRPr="00AE7621">
              <w:rPr>
                <w:rFonts w:ascii="Times New Roman" w:eastAsia="Times New Roman" w:hAnsi="Times New Roman" w:cs="Times New Roman"/>
                <w:sz w:val="26"/>
                <w:szCs w:val="26"/>
              </w:rPr>
              <w:t>a</w:t>
            </w:r>
            <w:r w:rsidR="00416720" w:rsidRPr="00AE7621">
              <w:rPr>
                <w:rFonts w:ascii="Times New Roman" w:eastAsia="Times New Roman" w:hAnsi="Times New Roman" w:cs="Times New Roman"/>
                <w:sz w:val="26"/>
                <w:szCs w:val="26"/>
              </w:rPr>
              <w:t>mā ERAF</w:t>
            </w:r>
            <w:r w:rsidR="00BA14DF" w:rsidRPr="00AE7621">
              <w:rPr>
                <w:rFonts w:ascii="Times New Roman" w:eastAsia="Times New Roman" w:hAnsi="Times New Roman" w:cs="Times New Roman"/>
                <w:sz w:val="26"/>
                <w:szCs w:val="26"/>
              </w:rPr>
              <w:t xml:space="preserve"> finansējum</w:t>
            </w:r>
            <w:r w:rsidR="00416720" w:rsidRPr="00AE7621">
              <w:rPr>
                <w:rFonts w:ascii="Times New Roman" w:eastAsia="Times New Roman" w:hAnsi="Times New Roman" w:cs="Times New Roman"/>
                <w:sz w:val="26"/>
                <w:szCs w:val="26"/>
              </w:rPr>
              <w:t>a</w:t>
            </w:r>
            <w:r w:rsidR="00BA14DF" w:rsidRPr="00AE7621">
              <w:rPr>
                <w:rFonts w:ascii="Times New Roman" w:eastAsia="Times New Roman" w:hAnsi="Times New Roman" w:cs="Times New Roman"/>
                <w:sz w:val="26"/>
                <w:szCs w:val="26"/>
              </w:rPr>
              <w:t xml:space="preserve"> </w:t>
            </w:r>
            <w:r w:rsidR="00416720" w:rsidRPr="00AE7621">
              <w:rPr>
                <w:rFonts w:ascii="Times New Roman" w:eastAsia="Times New Roman" w:hAnsi="Times New Roman" w:cs="Times New Roman"/>
                <w:sz w:val="26"/>
                <w:szCs w:val="26"/>
              </w:rPr>
              <w:t xml:space="preserve">apjoms tiek </w:t>
            </w:r>
            <w:r w:rsidR="00BA14DF" w:rsidRPr="00AE7621">
              <w:rPr>
                <w:rFonts w:ascii="Times New Roman" w:eastAsia="Times New Roman" w:hAnsi="Times New Roman" w:cs="Times New Roman"/>
                <w:sz w:val="26"/>
                <w:szCs w:val="26"/>
              </w:rPr>
              <w:t>palielinā</w:t>
            </w:r>
            <w:r w:rsidR="00416720" w:rsidRPr="00AE7621">
              <w:rPr>
                <w:rFonts w:ascii="Times New Roman" w:eastAsia="Times New Roman" w:hAnsi="Times New Roman" w:cs="Times New Roman"/>
                <w:sz w:val="26"/>
                <w:szCs w:val="26"/>
              </w:rPr>
              <w:t>t</w:t>
            </w:r>
            <w:r w:rsidR="00BA14DF" w:rsidRPr="00AE7621">
              <w:rPr>
                <w:rFonts w:ascii="Times New Roman" w:eastAsia="Times New Roman" w:hAnsi="Times New Roman" w:cs="Times New Roman"/>
                <w:sz w:val="26"/>
                <w:szCs w:val="26"/>
              </w:rPr>
              <w:t xml:space="preserve">s par 2 500 000 latiem, valsts budžeta līdzekļi </w:t>
            </w:r>
            <w:r w:rsidR="00416720" w:rsidRPr="00AE7621">
              <w:rPr>
                <w:rFonts w:ascii="Times New Roman" w:eastAsia="Times New Roman" w:hAnsi="Times New Roman" w:cs="Times New Roman"/>
                <w:sz w:val="26"/>
                <w:szCs w:val="26"/>
              </w:rPr>
              <w:t xml:space="preserve">ir </w:t>
            </w:r>
            <w:r w:rsidR="00BA14DF" w:rsidRPr="00AE7621">
              <w:rPr>
                <w:rFonts w:ascii="Times New Roman" w:eastAsia="Times New Roman" w:hAnsi="Times New Roman" w:cs="Times New Roman"/>
                <w:sz w:val="26"/>
                <w:szCs w:val="26"/>
              </w:rPr>
              <w:t>jāpalielin</w:t>
            </w:r>
            <w:r w:rsidR="00416720" w:rsidRPr="00AE7621">
              <w:rPr>
                <w:rFonts w:ascii="Times New Roman" w:eastAsia="Times New Roman" w:hAnsi="Times New Roman" w:cs="Times New Roman"/>
                <w:sz w:val="26"/>
                <w:szCs w:val="26"/>
              </w:rPr>
              <w:t>a</w:t>
            </w:r>
            <w:r w:rsidR="00BA14DF" w:rsidRPr="00AE7621">
              <w:rPr>
                <w:rFonts w:ascii="Times New Roman" w:eastAsia="Times New Roman" w:hAnsi="Times New Roman" w:cs="Times New Roman"/>
                <w:sz w:val="26"/>
                <w:szCs w:val="26"/>
              </w:rPr>
              <w:t xml:space="preserve"> par</w:t>
            </w:r>
            <w:r w:rsidR="00416720" w:rsidRPr="00AE7621">
              <w:rPr>
                <w:rFonts w:ascii="Times New Roman" w:eastAsia="Times New Roman" w:hAnsi="Times New Roman" w:cs="Times New Roman"/>
                <w:sz w:val="26"/>
                <w:szCs w:val="26"/>
              </w:rPr>
              <w:t xml:space="preserve"> </w:t>
            </w:r>
            <w:r w:rsidR="00BA14DF" w:rsidRPr="00AE7621">
              <w:rPr>
                <w:rFonts w:ascii="Times New Roman" w:eastAsia="Times New Roman" w:hAnsi="Times New Roman" w:cs="Times New Roman"/>
                <w:sz w:val="26"/>
                <w:szCs w:val="26"/>
              </w:rPr>
              <w:t>1 666 667 latiem.</w:t>
            </w:r>
          </w:p>
        </w:tc>
      </w:tr>
      <w:tr w:rsidR="00BA14DF" w:rsidRPr="00AE7621" w:rsidTr="0036609E">
        <w:tc>
          <w:tcPr>
            <w:tcW w:w="1947" w:type="dxa"/>
            <w:hideMark/>
          </w:tcPr>
          <w:p w:rsidR="00BA14DF" w:rsidRPr="00AE7621" w:rsidRDefault="00BA14DF" w:rsidP="0036609E">
            <w:pPr>
              <w:spacing w:after="0" w:line="240" w:lineRule="auto"/>
              <w:jc w:val="both"/>
              <w:rPr>
                <w:rFonts w:ascii="Times New Roman" w:eastAsia="Times New Roman" w:hAnsi="Times New Roman" w:cs="Times New Roman"/>
                <w:sz w:val="26"/>
                <w:szCs w:val="26"/>
              </w:rPr>
            </w:pPr>
            <w:r w:rsidRPr="00AE7621">
              <w:rPr>
                <w:rFonts w:ascii="Times New Roman" w:eastAsia="Times New Roman" w:hAnsi="Times New Roman" w:cs="Times New Roman"/>
                <w:sz w:val="26"/>
                <w:szCs w:val="26"/>
              </w:rPr>
              <w:t>7. Cita informācija</w:t>
            </w:r>
          </w:p>
        </w:tc>
        <w:tc>
          <w:tcPr>
            <w:tcW w:w="7340" w:type="dxa"/>
            <w:gridSpan w:val="5"/>
            <w:hideMark/>
          </w:tcPr>
          <w:p w:rsidR="00BA14DF" w:rsidRPr="00AE7621" w:rsidRDefault="00BA14DF" w:rsidP="0036609E">
            <w:pPr>
              <w:spacing w:after="0" w:line="240" w:lineRule="auto"/>
              <w:jc w:val="both"/>
              <w:rPr>
                <w:rFonts w:ascii="Times New Roman" w:eastAsia="Times New Roman" w:hAnsi="Times New Roman" w:cs="Times New Roman"/>
                <w:b/>
                <w:sz w:val="26"/>
                <w:szCs w:val="26"/>
              </w:rPr>
            </w:pPr>
          </w:p>
        </w:tc>
      </w:tr>
    </w:tbl>
    <w:p w:rsidR="009E34F3" w:rsidRPr="00AE7621" w:rsidRDefault="009E34F3" w:rsidP="00130914">
      <w:pPr>
        <w:spacing w:after="0" w:line="240" w:lineRule="auto"/>
        <w:rPr>
          <w:rFonts w:ascii="Times New Roman" w:eastAsia="Arial Unicode MS" w:hAnsi="Times New Roman" w:cs="Times New Roman"/>
          <w:b/>
          <w:sz w:val="28"/>
          <w:szCs w:val="28"/>
        </w:rPr>
      </w:pPr>
    </w:p>
    <w:p w:rsidR="005B7451" w:rsidRPr="00AE7621" w:rsidRDefault="005B7451" w:rsidP="00130914">
      <w:pPr>
        <w:spacing w:after="0" w:line="240" w:lineRule="auto"/>
        <w:rPr>
          <w:rFonts w:ascii="Times New Roman" w:eastAsia="Arial Unicode MS" w:hAnsi="Times New Roman" w:cs="Times New Roman"/>
          <w:b/>
          <w:sz w:val="28"/>
          <w:szCs w:val="28"/>
        </w:rPr>
      </w:pPr>
    </w:p>
    <w:p w:rsidR="00130914" w:rsidRPr="00AE7621" w:rsidRDefault="00130914" w:rsidP="00130914">
      <w:pPr>
        <w:spacing w:after="0" w:line="240" w:lineRule="auto"/>
        <w:rPr>
          <w:rFonts w:ascii="Times New Roman" w:eastAsia="Arial Unicode MS" w:hAnsi="Times New Roman" w:cs="Times New Roman"/>
          <w:b/>
          <w:sz w:val="28"/>
          <w:szCs w:val="28"/>
        </w:rPr>
      </w:pPr>
    </w:p>
    <w:tbl>
      <w:tblPr>
        <w:tblW w:w="9229"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851"/>
        <w:gridCol w:w="2977"/>
        <w:gridCol w:w="5401"/>
      </w:tblGrid>
      <w:tr w:rsidR="00D40CFC" w:rsidRPr="00AE7621" w:rsidTr="00ED4179">
        <w:tc>
          <w:tcPr>
            <w:tcW w:w="851" w:type="dxa"/>
            <w:tcBorders>
              <w:top w:val="thickThinLargeGap" w:sz="6" w:space="0" w:color="C0C0C0"/>
              <w:bottom w:val="thickThinLargeGap" w:sz="6" w:space="0" w:color="C0C0C0"/>
            </w:tcBorders>
          </w:tcPr>
          <w:p w:rsidR="00D40CFC" w:rsidRPr="00AE7621" w:rsidRDefault="00D40CFC" w:rsidP="00D40CFC">
            <w:pPr>
              <w:spacing w:after="0" w:line="240" w:lineRule="auto"/>
              <w:ind w:firstLine="720"/>
              <w:jc w:val="center"/>
              <w:rPr>
                <w:rFonts w:ascii="Times New Roman" w:eastAsia="Calibri" w:hAnsi="Times New Roman" w:cs="Times New Roman"/>
                <w:b/>
                <w:sz w:val="28"/>
                <w:szCs w:val="28"/>
              </w:rPr>
            </w:pPr>
          </w:p>
        </w:tc>
        <w:tc>
          <w:tcPr>
            <w:tcW w:w="8378" w:type="dxa"/>
            <w:gridSpan w:val="2"/>
            <w:tcBorders>
              <w:top w:val="thickThinLargeGap" w:sz="6" w:space="0" w:color="C0C0C0"/>
              <w:bottom w:val="thickThinLargeGap" w:sz="6" w:space="0" w:color="C0C0C0"/>
            </w:tcBorders>
          </w:tcPr>
          <w:p w:rsidR="00D40CFC" w:rsidRPr="00AE7621" w:rsidRDefault="00D40CFC" w:rsidP="00D40CFC">
            <w:pPr>
              <w:spacing w:after="0" w:line="240" w:lineRule="auto"/>
              <w:rPr>
                <w:rFonts w:ascii="Times New Roman" w:eastAsia="Calibri" w:hAnsi="Times New Roman" w:cs="Times New Roman"/>
                <w:b/>
                <w:sz w:val="28"/>
                <w:szCs w:val="28"/>
              </w:rPr>
            </w:pPr>
            <w:r w:rsidRPr="00AE7621">
              <w:rPr>
                <w:rFonts w:ascii="Times New Roman" w:eastAsia="Calibri" w:hAnsi="Times New Roman" w:cs="Times New Roman"/>
                <w:b/>
                <w:sz w:val="28"/>
                <w:szCs w:val="28"/>
              </w:rPr>
              <w:t>IV. Tiesību akta projekta ietekme uz spēkā esošo tiesību normu sistēmu</w:t>
            </w:r>
          </w:p>
        </w:tc>
      </w:tr>
      <w:tr w:rsidR="00D40CFC" w:rsidRPr="00AE7621" w:rsidTr="00A654F1">
        <w:tc>
          <w:tcPr>
            <w:tcW w:w="851" w:type="dxa"/>
            <w:tcBorders>
              <w:top w:val="thickThinLargeGap" w:sz="6" w:space="0" w:color="C0C0C0"/>
              <w:bottom w:val="thickThinLargeGap" w:sz="6" w:space="0" w:color="C0C0C0"/>
              <w:right w:val="thickThinLargeGap" w:sz="6" w:space="0" w:color="C0C0C0"/>
            </w:tcBorders>
          </w:tcPr>
          <w:p w:rsidR="00D40CFC" w:rsidRPr="00AE7621" w:rsidRDefault="00D40CFC" w:rsidP="00D40CFC">
            <w:pPr>
              <w:spacing w:after="0" w:line="240" w:lineRule="auto"/>
              <w:jc w:val="both"/>
              <w:rPr>
                <w:rFonts w:ascii="Times New Roman" w:eastAsia="Calibri" w:hAnsi="Times New Roman" w:cs="Times New Roman"/>
                <w:sz w:val="28"/>
                <w:szCs w:val="28"/>
              </w:rPr>
            </w:pPr>
            <w:r w:rsidRPr="00AE7621">
              <w:rPr>
                <w:rFonts w:ascii="Times New Roman" w:eastAsia="Calibri" w:hAnsi="Times New Roman" w:cs="Times New Roman"/>
                <w:sz w:val="28"/>
                <w:szCs w:val="28"/>
              </w:rPr>
              <w:lastRenderedPageBreak/>
              <w:t>1.</w:t>
            </w:r>
          </w:p>
        </w:tc>
        <w:tc>
          <w:tcPr>
            <w:tcW w:w="2977" w:type="dxa"/>
            <w:tcBorders>
              <w:top w:val="thickThinLargeGap" w:sz="6" w:space="0" w:color="C0C0C0"/>
              <w:bottom w:val="thickThinLargeGap" w:sz="6" w:space="0" w:color="C0C0C0"/>
              <w:right w:val="thickThinLargeGap" w:sz="6" w:space="0" w:color="C0C0C0"/>
            </w:tcBorders>
          </w:tcPr>
          <w:p w:rsidR="00D40CFC" w:rsidRPr="00AE7621" w:rsidRDefault="00D40CFC" w:rsidP="00D40CFC">
            <w:pPr>
              <w:spacing w:after="0" w:line="240" w:lineRule="auto"/>
              <w:jc w:val="both"/>
              <w:rPr>
                <w:rFonts w:ascii="Times New Roman" w:eastAsia="Calibri" w:hAnsi="Times New Roman" w:cs="Times New Roman"/>
                <w:sz w:val="28"/>
                <w:szCs w:val="28"/>
              </w:rPr>
            </w:pPr>
            <w:r w:rsidRPr="00AE7621">
              <w:rPr>
                <w:rFonts w:ascii="Times New Roman" w:eastAsia="Calibri" w:hAnsi="Times New Roman" w:cs="Times New Roman"/>
                <w:sz w:val="28"/>
                <w:szCs w:val="28"/>
              </w:rPr>
              <w:t>Nepieciešamie saistītie tiesību aktu projekti</w:t>
            </w:r>
          </w:p>
        </w:tc>
        <w:tc>
          <w:tcPr>
            <w:tcW w:w="5401" w:type="dxa"/>
            <w:tcBorders>
              <w:top w:val="thickThinLargeGap" w:sz="6" w:space="0" w:color="C0C0C0"/>
              <w:left w:val="thickThinLargeGap" w:sz="6" w:space="0" w:color="C0C0C0"/>
              <w:bottom w:val="thickThinLargeGap" w:sz="6" w:space="0" w:color="C0C0C0"/>
            </w:tcBorders>
          </w:tcPr>
          <w:p w:rsidR="00D40CFC" w:rsidRPr="00AE7621" w:rsidRDefault="00E703B9" w:rsidP="00FA3A16">
            <w:pPr>
              <w:spacing w:after="0" w:line="240" w:lineRule="auto"/>
              <w:ind w:firstLine="426"/>
              <w:jc w:val="both"/>
              <w:rPr>
                <w:rFonts w:ascii="Times New Roman" w:eastAsia="Calibri" w:hAnsi="Times New Roman" w:cs="Times New Roman"/>
                <w:bCs/>
                <w:sz w:val="28"/>
                <w:szCs w:val="28"/>
              </w:rPr>
            </w:pPr>
            <w:r w:rsidRPr="00AE7621">
              <w:rPr>
                <w:rFonts w:ascii="Times New Roman" w:eastAsia="Calibri" w:hAnsi="Times New Roman" w:cs="Times New Roman"/>
                <w:bCs/>
                <w:sz w:val="28"/>
                <w:szCs w:val="28"/>
              </w:rPr>
              <w:t>Min</w:t>
            </w:r>
            <w:r w:rsidR="00DA407B" w:rsidRPr="00AE7621">
              <w:rPr>
                <w:rFonts w:ascii="Times New Roman" w:eastAsia="Calibri" w:hAnsi="Times New Roman" w:cs="Times New Roman"/>
                <w:bCs/>
                <w:sz w:val="28"/>
                <w:szCs w:val="28"/>
              </w:rPr>
              <w:t>istru kabineta rīkojuma projekts ir saistīts</w:t>
            </w:r>
            <w:r w:rsidRPr="00AE7621">
              <w:rPr>
                <w:rFonts w:ascii="Times New Roman" w:eastAsia="Calibri" w:hAnsi="Times New Roman" w:cs="Times New Roman"/>
                <w:bCs/>
                <w:sz w:val="28"/>
                <w:szCs w:val="28"/>
              </w:rPr>
              <w:t xml:space="preserve"> </w:t>
            </w:r>
            <w:r w:rsidR="00DA407B" w:rsidRPr="00AE7621">
              <w:rPr>
                <w:rFonts w:ascii="Times New Roman" w:eastAsia="Calibri" w:hAnsi="Times New Roman" w:cs="Times New Roman"/>
                <w:bCs/>
                <w:sz w:val="28"/>
                <w:szCs w:val="28"/>
              </w:rPr>
              <w:t xml:space="preserve">ar grozījumiem </w:t>
            </w:r>
            <w:r w:rsidRPr="00AE7621">
              <w:rPr>
                <w:rFonts w:ascii="Times New Roman" w:eastAsia="Calibri" w:hAnsi="Times New Roman" w:cs="Times New Roman"/>
                <w:bCs/>
                <w:sz w:val="28"/>
                <w:szCs w:val="28"/>
              </w:rPr>
              <w:t xml:space="preserve">Ministru </w:t>
            </w:r>
            <w:r w:rsidR="00DA407B" w:rsidRPr="00AE7621">
              <w:rPr>
                <w:rFonts w:ascii="Times New Roman" w:eastAsia="Calibri" w:hAnsi="Times New Roman" w:cs="Times New Roman"/>
                <w:bCs/>
                <w:sz w:val="28"/>
                <w:szCs w:val="28"/>
              </w:rPr>
              <w:t>k</w:t>
            </w:r>
            <w:r w:rsidRPr="00AE7621">
              <w:rPr>
                <w:rFonts w:ascii="Times New Roman" w:eastAsia="Calibri" w:hAnsi="Times New Roman" w:cs="Times New Roman"/>
                <w:bCs/>
                <w:sz w:val="28"/>
                <w:szCs w:val="28"/>
              </w:rPr>
              <w:t>abineta 2010.gada 21.septembra  noteikumos Nr.887 „Noteikumi par darbības programmas „Uzņēmējdarbība un inovācijas” papildinājuma 2.3.1.1.aktivitātes „Ārējo tirgu apgūšana” 2.3.1.1.2.apakšaktivitāti „Ārējo tirgu apgūšana – nozaru starptautiskās konkurētspējas stiprināšana””</w:t>
            </w:r>
            <w:r w:rsidR="00FA3A16" w:rsidRPr="00AE7621">
              <w:rPr>
                <w:rFonts w:ascii="Times New Roman" w:eastAsia="Calibri" w:hAnsi="Times New Roman" w:cs="Times New Roman"/>
                <w:bCs/>
                <w:sz w:val="28"/>
                <w:szCs w:val="28"/>
              </w:rPr>
              <w:t xml:space="preserve">, kas </w:t>
            </w:r>
            <w:r w:rsidR="00901583">
              <w:rPr>
                <w:rFonts w:ascii="Times New Roman" w:eastAsia="Calibri" w:hAnsi="Times New Roman" w:cs="Times New Roman"/>
                <w:bCs/>
                <w:sz w:val="28"/>
                <w:szCs w:val="28"/>
              </w:rPr>
              <w:t>ir</w:t>
            </w:r>
            <w:r w:rsidR="00FA3A16" w:rsidRPr="00AE7621">
              <w:rPr>
                <w:rFonts w:ascii="Times New Roman" w:eastAsia="Calibri" w:hAnsi="Times New Roman" w:cs="Times New Roman"/>
                <w:bCs/>
                <w:sz w:val="28"/>
                <w:szCs w:val="28"/>
              </w:rPr>
              <w:t xml:space="preserve"> </w:t>
            </w:r>
            <w:r w:rsidR="00901583">
              <w:rPr>
                <w:rFonts w:ascii="Times New Roman" w:eastAsia="Calibri" w:hAnsi="Times New Roman" w:cs="Times New Roman"/>
                <w:bCs/>
                <w:sz w:val="28"/>
                <w:szCs w:val="28"/>
              </w:rPr>
              <w:t>iesniegti izskatīšanai</w:t>
            </w:r>
            <w:r w:rsidR="00FA3A16" w:rsidRPr="00AE7621">
              <w:rPr>
                <w:rFonts w:ascii="Times New Roman" w:eastAsia="Calibri" w:hAnsi="Times New Roman" w:cs="Times New Roman"/>
                <w:bCs/>
                <w:sz w:val="28"/>
                <w:szCs w:val="28"/>
              </w:rPr>
              <w:t xml:space="preserve"> paralēli</w:t>
            </w:r>
            <w:r w:rsidR="00DA407B" w:rsidRPr="00AE7621">
              <w:rPr>
                <w:rFonts w:ascii="Times New Roman" w:eastAsia="Calibri" w:hAnsi="Times New Roman" w:cs="Times New Roman"/>
                <w:bCs/>
                <w:sz w:val="28"/>
                <w:szCs w:val="28"/>
              </w:rPr>
              <w:t>.</w:t>
            </w:r>
            <w:r w:rsidR="00FA3A16" w:rsidRPr="00AE7621">
              <w:rPr>
                <w:rFonts w:ascii="Times New Roman" w:eastAsia="Calibri" w:hAnsi="Times New Roman" w:cs="Times New Roman"/>
                <w:bCs/>
                <w:sz w:val="28"/>
                <w:szCs w:val="28"/>
              </w:rPr>
              <w:t xml:space="preserve"> </w:t>
            </w:r>
          </w:p>
          <w:p w:rsidR="002C64B5" w:rsidRPr="00AE7621" w:rsidRDefault="002C64B5" w:rsidP="002C64B5">
            <w:pPr>
              <w:spacing w:after="0" w:line="240" w:lineRule="auto"/>
              <w:ind w:firstLine="426"/>
              <w:jc w:val="both"/>
              <w:rPr>
                <w:rFonts w:ascii="Times New Roman" w:eastAsia="Calibri" w:hAnsi="Times New Roman" w:cs="Times New Roman"/>
                <w:bCs/>
                <w:sz w:val="28"/>
                <w:szCs w:val="28"/>
              </w:rPr>
            </w:pPr>
            <w:r w:rsidRPr="00AE7621">
              <w:rPr>
                <w:rFonts w:ascii="Times New Roman" w:eastAsia="Calibri" w:hAnsi="Times New Roman" w:cs="Times New Roman"/>
                <w:bCs/>
                <w:sz w:val="28"/>
                <w:szCs w:val="28"/>
              </w:rPr>
              <w:t>Ministru kabineta rīkojuma projekts ir saistīts ar grozījumiem</w:t>
            </w:r>
            <w:r w:rsidRPr="00AE7621">
              <w:t xml:space="preserve"> </w:t>
            </w:r>
            <w:r w:rsidRPr="00AE7621">
              <w:rPr>
                <w:rFonts w:ascii="Times New Roman" w:eastAsia="Calibri" w:hAnsi="Times New Roman" w:cs="Times New Roman"/>
                <w:bCs/>
                <w:sz w:val="28"/>
                <w:szCs w:val="28"/>
              </w:rPr>
              <w:t>Ministru kabineta 2009.gada 17.jūnija noteikumos Nr.582 „Noteikumi par darbības programmas „Uzņēmējdarbība un inovācijas” papildinājuma 2.3.1.1.1.apakšaktivitāti „Ārējo tirgu apgūšana – ārējais mārketing</w:t>
            </w:r>
            <w:r w:rsidR="00901583">
              <w:rPr>
                <w:rFonts w:ascii="Times New Roman" w:eastAsia="Calibri" w:hAnsi="Times New Roman" w:cs="Times New Roman"/>
                <w:bCs/>
                <w:sz w:val="28"/>
                <w:szCs w:val="28"/>
              </w:rPr>
              <w:t>s” sesto un turpmākajām kārtām”, kas paralēli ir iesniegti izskatīšanai Ministru kabinetā</w:t>
            </w:r>
            <w:r w:rsidRPr="00AE7621">
              <w:rPr>
                <w:rFonts w:ascii="Times New Roman" w:eastAsia="Calibri" w:hAnsi="Times New Roman" w:cs="Times New Roman"/>
                <w:bCs/>
                <w:sz w:val="28"/>
                <w:szCs w:val="28"/>
              </w:rPr>
              <w:t xml:space="preserve">. </w:t>
            </w:r>
            <w:r w:rsidR="00901583" w:rsidRPr="00AE7621">
              <w:rPr>
                <w:rFonts w:ascii="Times New Roman" w:eastAsia="Calibri" w:hAnsi="Times New Roman" w:cs="Times New Roman"/>
                <w:bCs/>
                <w:sz w:val="28"/>
                <w:szCs w:val="28"/>
              </w:rPr>
              <w:t>Lūdzam šo rīkojuma projektu izskatīt Ministru kabineta sēdē vienlaikus vai pirms augstākminētajiem noteikumiem.</w:t>
            </w:r>
          </w:p>
          <w:p w:rsidR="006758DF" w:rsidRPr="00AE7621" w:rsidRDefault="006758DF" w:rsidP="00A70DB0">
            <w:pPr>
              <w:spacing w:after="0" w:line="240" w:lineRule="auto"/>
              <w:ind w:firstLine="426"/>
              <w:jc w:val="both"/>
              <w:rPr>
                <w:rFonts w:ascii="Times New Roman" w:eastAsia="Calibri" w:hAnsi="Times New Roman" w:cs="Times New Roman"/>
                <w:bCs/>
                <w:sz w:val="28"/>
                <w:szCs w:val="28"/>
              </w:rPr>
            </w:pPr>
            <w:r w:rsidRPr="00AE7621">
              <w:rPr>
                <w:rFonts w:ascii="Times New Roman" w:eastAsia="Calibri" w:hAnsi="Times New Roman" w:cs="Times New Roman"/>
                <w:bCs/>
                <w:sz w:val="28"/>
                <w:szCs w:val="28"/>
              </w:rPr>
              <w:t>Ministru kabineta rīkojuma projekts ir saistīts ar grozījumiem</w:t>
            </w:r>
            <w:r w:rsidRPr="00AE7621">
              <w:t xml:space="preserve"> </w:t>
            </w:r>
            <w:r w:rsidRPr="00AE7621">
              <w:rPr>
                <w:rFonts w:ascii="Times New Roman" w:eastAsia="Calibri" w:hAnsi="Times New Roman" w:cs="Times New Roman"/>
                <w:bCs/>
                <w:sz w:val="28"/>
                <w:szCs w:val="28"/>
              </w:rPr>
              <w:t xml:space="preserve">Ministru kabineta </w:t>
            </w:r>
            <w:r w:rsidR="00A70DB0" w:rsidRPr="00AE7621">
              <w:rPr>
                <w:rFonts w:ascii="Times New Roman" w:eastAsia="Calibri" w:hAnsi="Times New Roman" w:cs="Times New Roman"/>
                <w:bCs/>
                <w:sz w:val="28"/>
                <w:szCs w:val="28"/>
              </w:rPr>
              <w:t xml:space="preserve">2010.gada 13.aprīļa noteikumos </w:t>
            </w:r>
            <w:proofErr w:type="spellStart"/>
            <w:r w:rsidR="00A70DB0" w:rsidRPr="00AE7621">
              <w:rPr>
                <w:rFonts w:ascii="Times New Roman" w:eastAsia="Calibri" w:hAnsi="Times New Roman" w:cs="Times New Roman"/>
                <w:bCs/>
                <w:sz w:val="28"/>
                <w:szCs w:val="28"/>
              </w:rPr>
              <w:t>Nr</w:t>
            </w:r>
            <w:proofErr w:type="spellEnd"/>
            <w:r w:rsidR="00A70DB0" w:rsidRPr="00AE7621">
              <w:rPr>
                <w:rFonts w:ascii="Times New Roman" w:eastAsia="Calibri" w:hAnsi="Times New Roman" w:cs="Times New Roman"/>
                <w:bCs/>
                <w:sz w:val="28"/>
                <w:szCs w:val="28"/>
              </w:rPr>
              <w:t>.</w:t>
            </w:r>
            <w:r w:rsidR="00A70DB0" w:rsidRPr="00AE7621">
              <w:t xml:space="preserve"> </w:t>
            </w:r>
            <w:r w:rsidR="00A70DB0" w:rsidRPr="00AE7621">
              <w:rPr>
                <w:rFonts w:ascii="Times New Roman" w:eastAsia="Calibri" w:hAnsi="Times New Roman" w:cs="Times New Roman"/>
                <w:bCs/>
                <w:sz w:val="28"/>
                <w:szCs w:val="28"/>
              </w:rPr>
              <w:t>361 „Noteikumi par darbības programmas „Uzņēmējdarbība un inovācijas” papildinājuma 2.1.2.1.1.apakšaktivitāti „Kompetences centri””.</w:t>
            </w:r>
          </w:p>
        </w:tc>
      </w:tr>
      <w:tr w:rsidR="00D40CFC" w:rsidRPr="00AE7621" w:rsidTr="00A654F1">
        <w:tc>
          <w:tcPr>
            <w:tcW w:w="851" w:type="dxa"/>
            <w:tcBorders>
              <w:top w:val="thickThinLargeGap" w:sz="6" w:space="0" w:color="C0C0C0"/>
              <w:bottom w:val="thickThinLargeGap" w:sz="6" w:space="0" w:color="C0C0C0"/>
              <w:right w:val="thickThinLargeGap" w:sz="6" w:space="0" w:color="C0C0C0"/>
            </w:tcBorders>
          </w:tcPr>
          <w:p w:rsidR="00D40CFC" w:rsidRPr="00AE7621" w:rsidRDefault="00D40CFC" w:rsidP="00D40CFC">
            <w:pPr>
              <w:spacing w:after="0" w:line="240" w:lineRule="auto"/>
              <w:jc w:val="both"/>
              <w:rPr>
                <w:rFonts w:ascii="Times New Roman" w:eastAsia="Calibri" w:hAnsi="Times New Roman" w:cs="Times New Roman"/>
                <w:sz w:val="28"/>
                <w:szCs w:val="28"/>
              </w:rPr>
            </w:pPr>
            <w:r w:rsidRPr="00AE7621">
              <w:rPr>
                <w:rFonts w:ascii="Times New Roman" w:eastAsia="Calibri" w:hAnsi="Times New Roman" w:cs="Times New Roman"/>
                <w:sz w:val="28"/>
                <w:szCs w:val="28"/>
              </w:rPr>
              <w:t>2.</w:t>
            </w:r>
          </w:p>
        </w:tc>
        <w:tc>
          <w:tcPr>
            <w:tcW w:w="2977" w:type="dxa"/>
            <w:tcBorders>
              <w:top w:val="thickThinLargeGap" w:sz="6" w:space="0" w:color="C0C0C0"/>
              <w:bottom w:val="thickThinLargeGap" w:sz="6" w:space="0" w:color="C0C0C0"/>
              <w:right w:val="thickThinLargeGap" w:sz="6" w:space="0" w:color="C0C0C0"/>
            </w:tcBorders>
          </w:tcPr>
          <w:p w:rsidR="00D40CFC" w:rsidRPr="00AE7621" w:rsidRDefault="00D40CFC" w:rsidP="00D40CFC">
            <w:pPr>
              <w:spacing w:after="0" w:line="240" w:lineRule="auto"/>
              <w:jc w:val="both"/>
              <w:rPr>
                <w:rFonts w:ascii="Times New Roman" w:eastAsia="Calibri" w:hAnsi="Times New Roman" w:cs="Times New Roman"/>
                <w:sz w:val="28"/>
                <w:szCs w:val="28"/>
              </w:rPr>
            </w:pPr>
            <w:r w:rsidRPr="00AE7621">
              <w:rPr>
                <w:rFonts w:ascii="Times New Roman" w:eastAsia="Calibri" w:hAnsi="Times New Roman" w:cs="Times New Roman"/>
                <w:sz w:val="28"/>
                <w:szCs w:val="28"/>
              </w:rPr>
              <w:t>Cita informācija</w:t>
            </w:r>
          </w:p>
        </w:tc>
        <w:tc>
          <w:tcPr>
            <w:tcW w:w="5401" w:type="dxa"/>
            <w:tcBorders>
              <w:top w:val="thickThinLargeGap" w:sz="6" w:space="0" w:color="C0C0C0"/>
              <w:left w:val="thickThinLargeGap" w:sz="6" w:space="0" w:color="C0C0C0"/>
              <w:bottom w:val="thickThinLargeGap" w:sz="6" w:space="0" w:color="C0C0C0"/>
            </w:tcBorders>
          </w:tcPr>
          <w:p w:rsidR="00D40CFC" w:rsidRPr="00AE7621" w:rsidRDefault="00D40CFC" w:rsidP="00D40CFC">
            <w:pPr>
              <w:spacing w:after="0" w:line="240" w:lineRule="auto"/>
              <w:ind w:firstLine="426"/>
              <w:jc w:val="both"/>
              <w:rPr>
                <w:rFonts w:ascii="Times New Roman" w:eastAsia="Calibri" w:hAnsi="Times New Roman" w:cs="Times New Roman"/>
                <w:sz w:val="28"/>
                <w:szCs w:val="28"/>
              </w:rPr>
            </w:pPr>
            <w:r w:rsidRPr="00AE7621">
              <w:rPr>
                <w:rFonts w:ascii="Times New Roman" w:eastAsia="Calibri" w:hAnsi="Times New Roman" w:cs="Times New Roman"/>
                <w:sz w:val="28"/>
                <w:szCs w:val="28"/>
              </w:rPr>
              <w:t>Nav.</w:t>
            </w:r>
          </w:p>
        </w:tc>
      </w:tr>
    </w:tbl>
    <w:p w:rsidR="009E34F3" w:rsidRPr="00AE7621" w:rsidRDefault="009E34F3" w:rsidP="00D40CFC">
      <w:pPr>
        <w:tabs>
          <w:tab w:val="left" w:pos="7655"/>
        </w:tabs>
        <w:spacing w:after="0" w:line="240" w:lineRule="auto"/>
        <w:jc w:val="both"/>
        <w:rPr>
          <w:rFonts w:ascii="Times New Roman" w:eastAsia="Calibri" w:hAnsi="Times New Roman" w:cs="Times New Roman"/>
          <w:bCs/>
          <w:sz w:val="28"/>
          <w:szCs w:val="28"/>
        </w:rPr>
      </w:pPr>
    </w:p>
    <w:p w:rsidR="00130914" w:rsidRPr="00AE7621" w:rsidRDefault="00130914" w:rsidP="00D40CFC">
      <w:pPr>
        <w:tabs>
          <w:tab w:val="left" w:pos="7655"/>
        </w:tabs>
        <w:spacing w:after="0" w:line="240" w:lineRule="auto"/>
        <w:jc w:val="both"/>
        <w:rPr>
          <w:rFonts w:ascii="Times New Roman" w:eastAsia="Calibri" w:hAnsi="Times New Roman" w:cs="Times New Roman"/>
          <w:bCs/>
          <w:sz w:val="28"/>
          <w:szCs w:val="28"/>
        </w:rPr>
      </w:pPr>
    </w:p>
    <w:p w:rsidR="00830152" w:rsidRPr="00AE7621" w:rsidRDefault="00830152" w:rsidP="00130914">
      <w:pPr>
        <w:tabs>
          <w:tab w:val="left" w:pos="7655"/>
        </w:tabs>
        <w:spacing w:after="0" w:line="240" w:lineRule="auto"/>
        <w:jc w:val="center"/>
        <w:rPr>
          <w:rFonts w:ascii="Times New Roman" w:eastAsia="Calibri" w:hAnsi="Times New Roman" w:cs="Times New Roman"/>
          <w:bCs/>
          <w:sz w:val="28"/>
          <w:szCs w:val="28"/>
        </w:rPr>
      </w:pPr>
      <w:r w:rsidRPr="00AE7621">
        <w:rPr>
          <w:rFonts w:ascii="Times New Roman" w:eastAsia="Calibri" w:hAnsi="Times New Roman" w:cs="Times New Roman"/>
          <w:b/>
          <w:sz w:val="28"/>
          <w:szCs w:val="28"/>
        </w:rPr>
        <w:t>Anotācijas V. un VI. sadaļas – projekts šīs jomas neskar.</w:t>
      </w:r>
    </w:p>
    <w:p w:rsidR="00130914" w:rsidRPr="00AE7621" w:rsidRDefault="00130914" w:rsidP="00D40CFC">
      <w:pPr>
        <w:tabs>
          <w:tab w:val="left" w:pos="7655"/>
        </w:tabs>
        <w:spacing w:after="0" w:line="240" w:lineRule="auto"/>
        <w:jc w:val="both"/>
        <w:rPr>
          <w:rFonts w:ascii="Times New Roman" w:eastAsia="Calibri" w:hAnsi="Times New Roman" w:cs="Times New Roman"/>
          <w:bCs/>
          <w:sz w:val="28"/>
          <w:szCs w:val="28"/>
        </w:rPr>
      </w:pPr>
    </w:p>
    <w:tbl>
      <w:tblPr>
        <w:tblW w:w="9214"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2977"/>
        <w:gridCol w:w="5386"/>
      </w:tblGrid>
      <w:tr w:rsidR="00D40CFC" w:rsidRPr="00AE7621" w:rsidTr="00ED4179">
        <w:tc>
          <w:tcPr>
            <w:tcW w:w="9214" w:type="dxa"/>
            <w:gridSpan w:val="3"/>
          </w:tcPr>
          <w:p w:rsidR="00D40CFC" w:rsidRPr="00AE7621" w:rsidRDefault="00D40CFC" w:rsidP="00D40CFC">
            <w:pPr>
              <w:spacing w:after="0" w:line="240" w:lineRule="auto"/>
              <w:jc w:val="center"/>
              <w:rPr>
                <w:rFonts w:ascii="Times New Roman" w:eastAsia="Times New Roman" w:hAnsi="Times New Roman" w:cs="Times New Roman"/>
                <w:b/>
                <w:sz w:val="28"/>
                <w:szCs w:val="28"/>
              </w:rPr>
            </w:pPr>
            <w:r w:rsidRPr="00AE7621">
              <w:rPr>
                <w:rFonts w:ascii="Times New Roman" w:eastAsia="Times New Roman" w:hAnsi="Times New Roman" w:cs="Times New Roman"/>
                <w:b/>
                <w:sz w:val="28"/>
                <w:szCs w:val="28"/>
              </w:rPr>
              <w:t>VII. Tiesību akta projekta izpildes nodrošināšana un tās ietekme uz institūcijām</w:t>
            </w:r>
          </w:p>
        </w:tc>
      </w:tr>
      <w:tr w:rsidR="00D40CFC" w:rsidRPr="00AE7621" w:rsidTr="00A654F1">
        <w:tc>
          <w:tcPr>
            <w:tcW w:w="851" w:type="dxa"/>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1.</w:t>
            </w:r>
          </w:p>
        </w:tc>
        <w:tc>
          <w:tcPr>
            <w:tcW w:w="2977" w:type="dxa"/>
            <w:hideMark/>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Projekta izpildē iesaistītās institūcijas</w:t>
            </w:r>
          </w:p>
        </w:tc>
        <w:tc>
          <w:tcPr>
            <w:tcW w:w="5386" w:type="dxa"/>
            <w:hideMark/>
          </w:tcPr>
          <w:p w:rsidR="00D40CFC" w:rsidRPr="00AE7621" w:rsidRDefault="002D3591" w:rsidP="00830152">
            <w:pPr>
              <w:spacing w:after="0" w:line="240" w:lineRule="auto"/>
              <w:ind w:firstLine="485"/>
              <w:jc w:val="both"/>
              <w:rPr>
                <w:rFonts w:ascii="Times New Roman" w:eastAsia="Times New Roman" w:hAnsi="Times New Roman" w:cs="Times New Roman"/>
                <w:sz w:val="28"/>
                <w:szCs w:val="28"/>
              </w:rPr>
            </w:pPr>
            <w:r w:rsidRPr="00AE7621">
              <w:rPr>
                <w:rFonts w:ascii="Times New Roman" w:eastAsia="Times New Roman" w:hAnsi="Times New Roman" w:cs="Times New Roman"/>
                <w:iCs/>
                <w:sz w:val="28"/>
                <w:szCs w:val="28"/>
              </w:rPr>
              <w:t>Projekts šo jomu neskar. </w:t>
            </w:r>
          </w:p>
        </w:tc>
      </w:tr>
      <w:tr w:rsidR="00D40CFC" w:rsidRPr="00AE7621" w:rsidTr="00A654F1">
        <w:tc>
          <w:tcPr>
            <w:tcW w:w="851" w:type="dxa"/>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2.</w:t>
            </w:r>
          </w:p>
        </w:tc>
        <w:tc>
          <w:tcPr>
            <w:tcW w:w="2977" w:type="dxa"/>
            <w:hideMark/>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Projekta izpildes ietekme uz pārvaldes funkcijā</w:t>
            </w:r>
          </w:p>
        </w:tc>
        <w:tc>
          <w:tcPr>
            <w:tcW w:w="5386" w:type="dxa"/>
            <w:hideMark/>
          </w:tcPr>
          <w:p w:rsidR="00D40CFC" w:rsidRPr="00AE7621" w:rsidRDefault="002D3591" w:rsidP="00830152">
            <w:pPr>
              <w:spacing w:after="0" w:line="240" w:lineRule="auto"/>
              <w:ind w:firstLine="485"/>
              <w:jc w:val="both"/>
              <w:rPr>
                <w:rFonts w:ascii="Times New Roman" w:eastAsia="Times New Roman" w:hAnsi="Times New Roman" w:cs="Times New Roman"/>
                <w:sz w:val="28"/>
                <w:szCs w:val="28"/>
              </w:rPr>
            </w:pPr>
            <w:r w:rsidRPr="00AE7621">
              <w:rPr>
                <w:rFonts w:ascii="Times New Roman" w:eastAsia="Times New Roman" w:hAnsi="Times New Roman" w:cs="Times New Roman"/>
                <w:iCs/>
                <w:sz w:val="28"/>
                <w:szCs w:val="28"/>
              </w:rPr>
              <w:t>Projekts šo jomu neskar. </w:t>
            </w:r>
          </w:p>
        </w:tc>
      </w:tr>
      <w:tr w:rsidR="00D40CFC" w:rsidRPr="00AE7621" w:rsidTr="00A654F1">
        <w:trPr>
          <w:trHeight w:val="930"/>
        </w:trPr>
        <w:tc>
          <w:tcPr>
            <w:tcW w:w="851" w:type="dxa"/>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lastRenderedPageBreak/>
              <w:t>3.</w:t>
            </w:r>
          </w:p>
        </w:tc>
        <w:tc>
          <w:tcPr>
            <w:tcW w:w="2977" w:type="dxa"/>
            <w:hideMark/>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Projekta izpildes ietekme uz pārvaldes institucionālo struktūru. Jaunu institūciju izveide</w:t>
            </w:r>
          </w:p>
        </w:tc>
        <w:tc>
          <w:tcPr>
            <w:tcW w:w="5386" w:type="dxa"/>
            <w:hideMark/>
          </w:tcPr>
          <w:p w:rsidR="00D40CFC" w:rsidRPr="00AE7621" w:rsidRDefault="00830152" w:rsidP="00D40CFC">
            <w:pPr>
              <w:spacing w:after="0" w:line="240" w:lineRule="auto"/>
              <w:ind w:firstLine="485"/>
              <w:jc w:val="both"/>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Noteikumu projekta izpildei nav nepieciešams radīt jaunas institūcijas.</w:t>
            </w:r>
          </w:p>
        </w:tc>
      </w:tr>
      <w:tr w:rsidR="00D40CFC" w:rsidRPr="00AE7621" w:rsidTr="00A654F1">
        <w:trPr>
          <w:trHeight w:val="927"/>
        </w:trPr>
        <w:tc>
          <w:tcPr>
            <w:tcW w:w="851" w:type="dxa"/>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4.</w:t>
            </w:r>
          </w:p>
        </w:tc>
        <w:tc>
          <w:tcPr>
            <w:tcW w:w="2977" w:type="dxa"/>
            <w:hideMark/>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Projekta izpildes ietekmes uz pārvaldes institucionālo struktūru. Esošu institūciju likvidācija</w:t>
            </w:r>
          </w:p>
        </w:tc>
        <w:tc>
          <w:tcPr>
            <w:tcW w:w="5386" w:type="dxa"/>
            <w:hideMark/>
          </w:tcPr>
          <w:p w:rsidR="00D40CFC" w:rsidRPr="00AE7621" w:rsidRDefault="00D40CFC" w:rsidP="00D40CFC">
            <w:pPr>
              <w:spacing w:after="0" w:line="240" w:lineRule="auto"/>
              <w:ind w:firstLine="284"/>
              <w:jc w:val="both"/>
              <w:rPr>
                <w:rFonts w:ascii="Times New Roman" w:eastAsia="Times New Roman" w:hAnsi="Times New Roman" w:cs="Times New Roman"/>
                <w:sz w:val="28"/>
                <w:szCs w:val="28"/>
              </w:rPr>
            </w:pPr>
            <w:r w:rsidRPr="00AE7621">
              <w:rPr>
                <w:rFonts w:ascii="Times New Roman" w:eastAsia="Times New Roman" w:hAnsi="Times New Roman" w:cs="Times New Roman"/>
                <w:iCs/>
                <w:sz w:val="28"/>
                <w:szCs w:val="28"/>
              </w:rPr>
              <w:t>Projekts šo jomu neskar. </w:t>
            </w:r>
          </w:p>
        </w:tc>
      </w:tr>
      <w:tr w:rsidR="00D40CFC" w:rsidRPr="00AE7621" w:rsidTr="00A654F1">
        <w:trPr>
          <w:trHeight w:val="912"/>
        </w:trPr>
        <w:tc>
          <w:tcPr>
            <w:tcW w:w="851" w:type="dxa"/>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5.</w:t>
            </w:r>
          </w:p>
        </w:tc>
        <w:tc>
          <w:tcPr>
            <w:tcW w:w="2977" w:type="dxa"/>
            <w:hideMark/>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Projekta izpildes ietekmes uz pārvaldes institucionālo struktūru. Esošu institūciju reorganizācija</w:t>
            </w:r>
          </w:p>
        </w:tc>
        <w:tc>
          <w:tcPr>
            <w:tcW w:w="5386" w:type="dxa"/>
            <w:hideMark/>
          </w:tcPr>
          <w:p w:rsidR="00D40CFC" w:rsidRPr="00AE7621" w:rsidRDefault="00D40CFC" w:rsidP="00D40CFC">
            <w:pPr>
              <w:spacing w:after="0" w:line="240" w:lineRule="auto"/>
              <w:ind w:firstLine="284"/>
              <w:jc w:val="both"/>
              <w:rPr>
                <w:rFonts w:ascii="Times New Roman" w:eastAsia="Times New Roman" w:hAnsi="Times New Roman" w:cs="Times New Roman"/>
                <w:sz w:val="28"/>
                <w:szCs w:val="28"/>
              </w:rPr>
            </w:pPr>
            <w:r w:rsidRPr="00AE7621">
              <w:rPr>
                <w:rFonts w:ascii="Times New Roman" w:eastAsia="Times New Roman" w:hAnsi="Times New Roman" w:cs="Times New Roman"/>
                <w:iCs/>
                <w:sz w:val="28"/>
                <w:szCs w:val="28"/>
              </w:rPr>
              <w:t>Projekts šo jomu neskar. </w:t>
            </w:r>
          </w:p>
        </w:tc>
      </w:tr>
      <w:tr w:rsidR="00D40CFC" w:rsidRPr="00AE7621" w:rsidTr="00A654F1">
        <w:tc>
          <w:tcPr>
            <w:tcW w:w="851" w:type="dxa"/>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6.</w:t>
            </w:r>
          </w:p>
        </w:tc>
        <w:tc>
          <w:tcPr>
            <w:tcW w:w="2977" w:type="dxa"/>
            <w:hideMark/>
          </w:tcPr>
          <w:p w:rsidR="00D40CFC" w:rsidRPr="00AE7621" w:rsidRDefault="00D40CFC" w:rsidP="00D40CFC">
            <w:pPr>
              <w:spacing w:after="0" w:line="240" w:lineRule="auto"/>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Cita informācija</w:t>
            </w:r>
          </w:p>
        </w:tc>
        <w:tc>
          <w:tcPr>
            <w:tcW w:w="5386" w:type="dxa"/>
            <w:hideMark/>
          </w:tcPr>
          <w:p w:rsidR="00D40CFC" w:rsidRPr="00AE7621" w:rsidRDefault="00D40CFC" w:rsidP="00D40CFC">
            <w:pPr>
              <w:spacing w:after="0" w:line="240" w:lineRule="auto"/>
              <w:ind w:firstLine="284"/>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Nav.</w:t>
            </w:r>
          </w:p>
        </w:tc>
      </w:tr>
    </w:tbl>
    <w:p w:rsidR="001305B6" w:rsidRPr="00AE7621" w:rsidRDefault="001305B6" w:rsidP="00A50CB9">
      <w:pPr>
        <w:tabs>
          <w:tab w:val="right" w:pos="9071"/>
        </w:tabs>
        <w:spacing w:after="0"/>
        <w:jc w:val="both"/>
        <w:rPr>
          <w:rFonts w:ascii="Times New Roman" w:eastAsia="Times New Roman" w:hAnsi="Times New Roman" w:cs="Times New Roman"/>
          <w:sz w:val="28"/>
          <w:szCs w:val="28"/>
        </w:rPr>
      </w:pPr>
    </w:p>
    <w:p w:rsidR="000862E6" w:rsidRPr="00AE7621" w:rsidRDefault="000862E6" w:rsidP="00A50CB9">
      <w:pPr>
        <w:tabs>
          <w:tab w:val="left" w:pos="720"/>
        </w:tabs>
        <w:autoSpaceDE w:val="0"/>
        <w:autoSpaceDN w:val="0"/>
        <w:adjustRightInd w:val="0"/>
        <w:spacing w:after="0" w:line="240" w:lineRule="auto"/>
        <w:rPr>
          <w:rFonts w:ascii="Times New Roman" w:eastAsia="Times New Roman" w:hAnsi="Times New Roman" w:cs="Times New Roman"/>
          <w:sz w:val="28"/>
          <w:szCs w:val="28"/>
        </w:rPr>
      </w:pPr>
    </w:p>
    <w:p w:rsidR="001305B6" w:rsidRPr="00AE7621" w:rsidRDefault="001305B6" w:rsidP="00A50CB9">
      <w:pPr>
        <w:tabs>
          <w:tab w:val="left" w:pos="720"/>
        </w:tabs>
        <w:autoSpaceDE w:val="0"/>
        <w:autoSpaceDN w:val="0"/>
        <w:adjustRightInd w:val="0"/>
        <w:spacing w:after="0" w:line="240" w:lineRule="auto"/>
        <w:rPr>
          <w:rFonts w:ascii="Times New Roman" w:eastAsia="Times New Roman" w:hAnsi="Times New Roman" w:cs="Times New Roman"/>
          <w:sz w:val="28"/>
          <w:szCs w:val="28"/>
        </w:rPr>
      </w:pPr>
    </w:p>
    <w:p w:rsidR="005B7451" w:rsidRPr="00AE7621" w:rsidRDefault="005B7451" w:rsidP="00A50CB9">
      <w:pPr>
        <w:tabs>
          <w:tab w:val="left" w:pos="720"/>
        </w:tabs>
        <w:autoSpaceDE w:val="0"/>
        <w:autoSpaceDN w:val="0"/>
        <w:adjustRightInd w:val="0"/>
        <w:spacing w:after="0" w:line="240" w:lineRule="auto"/>
        <w:rPr>
          <w:rFonts w:ascii="Times New Roman" w:eastAsia="Times New Roman" w:hAnsi="Times New Roman" w:cs="Times New Roman"/>
          <w:sz w:val="28"/>
          <w:szCs w:val="28"/>
        </w:rPr>
      </w:pPr>
    </w:p>
    <w:p w:rsidR="005B7451" w:rsidRPr="00AE7621" w:rsidRDefault="005B7451" w:rsidP="00A50CB9">
      <w:pPr>
        <w:tabs>
          <w:tab w:val="left" w:pos="720"/>
        </w:tabs>
        <w:autoSpaceDE w:val="0"/>
        <w:autoSpaceDN w:val="0"/>
        <w:adjustRightInd w:val="0"/>
        <w:spacing w:after="0" w:line="240" w:lineRule="auto"/>
        <w:rPr>
          <w:rFonts w:ascii="Times New Roman" w:eastAsia="Times New Roman" w:hAnsi="Times New Roman" w:cs="Times New Roman"/>
          <w:sz w:val="28"/>
          <w:szCs w:val="28"/>
        </w:rPr>
      </w:pPr>
    </w:p>
    <w:p w:rsidR="005B7451" w:rsidRPr="00AE7621" w:rsidRDefault="005B7451" w:rsidP="00A50CB9">
      <w:pPr>
        <w:tabs>
          <w:tab w:val="left" w:pos="720"/>
        </w:tabs>
        <w:autoSpaceDE w:val="0"/>
        <w:autoSpaceDN w:val="0"/>
        <w:adjustRightInd w:val="0"/>
        <w:spacing w:after="0" w:line="240" w:lineRule="auto"/>
        <w:rPr>
          <w:rFonts w:ascii="Times New Roman" w:eastAsia="Times New Roman" w:hAnsi="Times New Roman" w:cs="Times New Roman"/>
          <w:sz w:val="28"/>
          <w:szCs w:val="28"/>
        </w:rPr>
      </w:pPr>
    </w:p>
    <w:p w:rsidR="005B7451" w:rsidRPr="00AE7621" w:rsidRDefault="005B7451" w:rsidP="00A50CB9">
      <w:pPr>
        <w:tabs>
          <w:tab w:val="left" w:pos="720"/>
        </w:tabs>
        <w:autoSpaceDE w:val="0"/>
        <w:autoSpaceDN w:val="0"/>
        <w:adjustRightInd w:val="0"/>
        <w:spacing w:after="0" w:line="240" w:lineRule="auto"/>
        <w:rPr>
          <w:rFonts w:ascii="Times New Roman" w:eastAsia="Times New Roman" w:hAnsi="Times New Roman" w:cs="Times New Roman"/>
          <w:sz w:val="28"/>
          <w:szCs w:val="28"/>
        </w:rPr>
      </w:pPr>
    </w:p>
    <w:p w:rsidR="005B7451" w:rsidRPr="00AE7621" w:rsidRDefault="005B7451" w:rsidP="00A50CB9">
      <w:pPr>
        <w:tabs>
          <w:tab w:val="left" w:pos="720"/>
        </w:tabs>
        <w:autoSpaceDE w:val="0"/>
        <w:autoSpaceDN w:val="0"/>
        <w:adjustRightInd w:val="0"/>
        <w:spacing w:after="0" w:line="240" w:lineRule="auto"/>
        <w:rPr>
          <w:rFonts w:ascii="Times New Roman" w:eastAsia="Times New Roman" w:hAnsi="Times New Roman" w:cs="Times New Roman"/>
          <w:sz w:val="28"/>
          <w:szCs w:val="28"/>
        </w:rPr>
      </w:pPr>
    </w:p>
    <w:p w:rsidR="005B7451" w:rsidRPr="00AE7621" w:rsidRDefault="005B7451" w:rsidP="00A50CB9">
      <w:pPr>
        <w:tabs>
          <w:tab w:val="left" w:pos="720"/>
        </w:tabs>
        <w:autoSpaceDE w:val="0"/>
        <w:autoSpaceDN w:val="0"/>
        <w:adjustRightInd w:val="0"/>
        <w:spacing w:after="0" w:line="240" w:lineRule="auto"/>
        <w:rPr>
          <w:rFonts w:ascii="Times New Roman" w:eastAsia="Times New Roman" w:hAnsi="Times New Roman" w:cs="Times New Roman"/>
          <w:sz w:val="28"/>
          <w:szCs w:val="28"/>
        </w:rPr>
      </w:pPr>
    </w:p>
    <w:p w:rsidR="005B7451" w:rsidRPr="00AE7621" w:rsidRDefault="005B7451" w:rsidP="00A50CB9">
      <w:pPr>
        <w:tabs>
          <w:tab w:val="left" w:pos="720"/>
        </w:tabs>
        <w:autoSpaceDE w:val="0"/>
        <w:autoSpaceDN w:val="0"/>
        <w:adjustRightInd w:val="0"/>
        <w:spacing w:after="0" w:line="240" w:lineRule="auto"/>
        <w:rPr>
          <w:rFonts w:ascii="Times New Roman" w:eastAsia="Times New Roman" w:hAnsi="Times New Roman" w:cs="Times New Roman"/>
          <w:sz w:val="28"/>
          <w:szCs w:val="28"/>
        </w:rPr>
      </w:pPr>
    </w:p>
    <w:p w:rsidR="001305B6" w:rsidRPr="00AE7621" w:rsidRDefault="001305B6" w:rsidP="00A50CB9">
      <w:pPr>
        <w:tabs>
          <w:tab w:val="left" w:pos="720"/>
        </w:tabs>
        <w:autoSpaceDE w:val="0"/>
        <w:autoSpaceDN w:val="0"/>
        <w:adjustRightInd w:val="0"/>
        <w:spacing w:after="0" w:line="240" w:lineRule="auto"/>
        <w:rPr>
          <w:rFonts w:ascii="Times New Roman" w:eastAsia="Times New Roman" w:hAnsi="Times New Roman" w:cs="Times New Roman"/>
          <w:sz w:val="28"/>
          <w:szCs w:val="28"/>
        </w:rPr>
      </w:pPr>
    </w:p>
    <w:p w:rsidR="009D0A29" w:rsidRPr="00AE7621" w:rsidRDefault="009D0A29" w:rsidP="00A50CB9">
      <w:pPr>
        <w:tabs>
          <w:tab w:val="right" w:pos="9071"/>
        </w:tabs>
        <w:spacing w:after="0" w:line="240" w:lineRule="auto"/>
        <w:jc w:val="both"/>
        <w:rPr>
          <w:rFonts w:ascii="Times New Roman" w:eastAsia="Times New Roman" w:hAnsi="Times New Roman" w:cs="Times New Roman"/>
          <w:sz w:val="28"/>
          <w:szCs w:val="28"/>
        </w:rPr>
      </w:pPr>
      <w:r w:rsidRPr="00AE7621">
        <w:rPr>
          <w:rFonts w:ascii="Times New Roman" w:eastAsia="Times New Roman" w:hAnsi="Times New Roman" w:cs="Times New Roman"/>
          <w:sz w:val="28"/>
          <w:szCs w:val="28"/>
        </w:rPr>
        <w:t>Ekonomikas ministrs</w:t>
      </w:r>
      <w:r w:rsidR="00830152" w:rsidRPr="00AE7621">
        <w:rPr>
          <w:rFonts w:ascii="Times New Roman" w:eastAsia="Times New Roman" w:hAnsi="Times New Roman" w:cs="Times New Roman"/>
          <w:sz w:val="28"/>
          <w:szCs w:val="28"/>
        </w:rPr>
        <w:tab/>
      </w:r>
      <w:r w:rsidRPr="00AE7621">
        <w:rPr>
          <w:rFonts w:ascii="Times New Roman" w:eastAsia="Times New Roman" w:hAnsi="Times New Roman" w:cs="Times New Roman"/>
          <w:sz w:val="28"/>
          <w:szCs w:val="28"/>
        </w:rPr>
        <w:t>D.Pavļuts</w:t>
      </w:r>
    </w:p>
    <w:p w:rsidR="00AC0127" w:rsidRPr="00AE7621" w:rsidRDefault="00AC0127" w:rsidP="00A50CB9">
      <w:pPr>
        <w:keepLines/>
        <w:widowControl w:val="0"/>
        <w:tabs>
          <w:tab w:val="right" w:pos="9071"/>
        </w:tabs>
        <w:spacing w:after="0" w:line="240" w:lineRule="auto"/>
        <w:rPr>
          <w:rFonts w:ascii="Times New Roman" w:eastAsia="Times New Roman" w:hAnsi="Times New Roman" w:cs="Times New Roman"/>
          <w:sz w:val="28"/>
          <w:szCs w:val="28"/>
        </w:rPr>
      </w:pPr>
    </w:p>
    <w:p w:rsidR="005B7451" w:rsidRPr="00AE7621" w:rsidRDefault="005B7451" w:rsidP="00AC0127">
      <w:pPr>
        <w:keepLines/>
        <w:widowControl w:val="0"/>
        <w:tabs>
          <w:tab w:val="right" w:pos="9071"/>
        </w:tabs>
        <w:spacing w:after="0" w:line="240" w:lineRule="auto"/>
        <w:rPr>
          <w:rFonts w:ascii="Times New Roman" w:eastAsia="Times New Roman" w:hAnsi="Times New Roman" w:cs="Times New Roman"/>
          <w:sz w:val="28"/>
          <w:szCs w:val="28"/>
        </w:rPr>
      </w:pPr>
    </w:p>
    <w:p w:rsidR="005B7451" w:rsidRPr="00AE7621" w:rsidRDefault="005B7451" w:rsidP="00AC0127">
      <w:pPr>
        <w:keepLines/>
        <w:widowControl w:val="0"/>
        <w:tabs>
          <w:tab w:val="right" w:pos="9071"/>
        </w:tabs>
        <w:spacing w:after="0" w:line="240" w:lineRule="auto"/>
        <w:rPr>
          <w:rFonts w:ascii="Times New Roman" w:eastAsia="Times New Roman" w:hAnsi="Times New Roman" w:cs="Times New Roman"/>
          <w:sz w:val="28"/>
          <w:szCs w:val="28"/>
        </w:rPr>
      </w:pPr>
    </w:p>
    <w:p w:rsidR="005B7451" w:rsidRPr="00AE7621" w:rsidRDefault="005B7451" w:rsidP="00AC0127">
      <w:pPr>
        <w:keepLines/>
        <w:widowControl w:val="0"/>
        <w:tabs>
          <w:tab w:val="right" w:pos="9071"/>
        </w:tabs>
        <w:spacing w:after="0" w:line="240" w:lineRule="auto"/>
        <w:rPr>
          <w:rFonts w:ascii="Times New Roman" w:eastAsia="Times New Roman" w:hAnsi="Times New Roman" w:cs="Times New Roman"/>
          <w:sz w:val="28"/>
          <w:szCs w:val="28"/>
        </w:rPr>
      </w:pPr>
    </w:p>
    <w:p w:rsidR="005B7451" w:rsidRPr="00AE7621" w:rsidRDefault="005B7451" w:rsidP="00AC0127">
      <w:pPr>
        <w:keepLines/>
        <w:widowControl w:val="0"/>
        <w:tabs>
          <w:tab w:val="right" w:pos="9071"/>
        </w:tabs>
        <w:spacing w:after="0" w:line="240" w:lineRule="auto"/>
        <w:rPr>
          <w:rFonts w:ascii="Times New Roman" w:eastAsia="Times New Roman" w:hAnsi="Times New Roman" w:cs="Times New Roman"/>
          <w:sz w:val="28"/>
          <w:szCs w:val="28"/>
        </w:rPr>
      </w:pPr>
    </w:p>
    <w:p w:rsidR="001305B6" w:rsidRPr="00AE7621" w:rsidRDefault="001305B6" w:rsidP="00AC0127">
      <w:pPr>
        <w:keepLines/>
        <w:widowControl w:val="0"/>
        <w:tabs>
          <w:tab w:val="right" w:pos="9071"/>
        </w:tabs>
        <w:spacing w:after="0" w:line="240" w:lineRule="auto"/>
        <w:rPr>
          <w:rFonts w:ascii="Times New Roman" w:eastAsia="Times New Roman" w:hAnsi="Times New Roman" w:cs="Times New Roman"/>
          <w:sz w:val="28"/>
          <w:szCs w:val="28"/>
        </w:rPr>
      </w:pPr>
    </w:p>
    <w:p w:rsidR="00F02AD7" w:rsidRPr="00AE7621" w:rsidRDefault="001B74EF" w:rsidP="001B74EF">
      <w:pPr>
        <w:widowControl w:val="0"/>
        <w:tabs>
          <w:tab w:val="left" w:pos="7938"/>
        </w:tabs>
        <w:spacing w:after="0" w:line="240" w:lineRule="auto"/>
        <w:rPr>
          <w:rFonts w:ascii="Times New Roman" w:eastAsia="Times New Roman" w:hAnsi="Times New Roman" w:cs="Times New Roman"/>
          <w:sz w:val="20"/>
          <w:szCs w:val="20"/>
        </w:rPr>
      </w:pPr>
      <w:r w:rsidRPr="00AE7621">
        <w:rPr>
          <w:rFonts w:ascii="Times New Roman" w:eastAsia="Times New Roman" w:hAnsi="Times New Roman" w:cs="Times New Roman"/>
          <w:sz w:val="28"/>
          <w:szCs w:val="28"/>
        </w:rPr>
        <w:t xml:space="preserve">Vīza: Valsts sekretārs </w:t>
      </w:r>
      <w:r w:rsidRPr="00AE7621">
        <w:rPr>
          <w:rFonts w:ascii="Times New Roman" w:eastAsia="Times New Roman" w:hAnsi="Times New Roman" w:cs="Times New Roman"/>
          <w:sz w:val="28"/>
          <w:szCs w:val="28"/>
        </w:rPr>
        <w:tab/>
        <w:t>J.Pūce</w:t>
      </w:r>
    </w:p>
    <w:p w:rsidR="001305B6" w:rsidRPr="00AE7621" w:rsidRDefault="001305B6" w:rsidP="00902B1D">
      <w:pPr>
        <w:widowControl w:val="0"/>
        <w:spacing w:after="0" w:line="240" w:lineRule="auto"/>
        <w:rPr>
          <w:rFonts w:ascii="Times New Roman" w:eastAsia="Times New Roman" w:hAnsi="Times New Roman" w:cs="Times New Roman"/>
          <w:sz w:val="20"/>
          <w:szCs w:val="20"/>
        </w:rPr>
      </w:pPr>
    </w:p>
    <w:p w:rsidR="001305B6" w:rsidRPr="00AE7621" w:rsidRDefault="001305B6" w:rsidP="00902B1D">
      <w:pPr>
        <w:widowControl w:val="0"/>
        <w:spacing w:after="0" w:line="240" w:lineRule="auto"/>
        <w:rPr>
          <w:rFonts w:ascii="Times New Roman" w:eastAsia="Times New Roman" w:hAnsi="Times New Roman" w:cs="Times New Roman"/>
          <w:sz w:val="20"/>
          <w:szCs w:val="20"/>
        </w:rPr>
      </w:pPr>
    </w:p>
    <w:p w:rsidR="009E34F3" w:rsidRPr="00AE7621" w:rsidRDefault="009E34F3" w:rsidP="00902B1D">
      <w:pPr>
        <w:widowControl w:val="0"/>
        <w:spacing w:after="0" w:line="240" w:lineRule="auto"/>
        <w:rPr>
          <w:rFonts w:ascii="Times New Roman" w:eastAsia="Times New Roman" w:hAnsi="Times New Roman" w:cs="Times New Roman"/>
          <w:sz w:val="20"/>
          <w:szCs w:val="20"/>
        </w:rPr>
      </w:pPr>
    </w:p>
    <w:p w:rsidR="009E34F3" w:rsidRPr="00AE7621" w:rsidRDefault="009E34F3" w:rsidP="00902B1D">
      <w:pPr>
        <w:widowControl w:val="0"/>
        <w:spacing w:after="0" w:line="240" w:lineRule="auto"/>
        <w:rPr>
          <w:rFonts w:ascii="Times New Roman" w:eastAsia="Times New Roman" w:hAnsi="Times New Roman" w:cs="Times New Roman"/>
          <w:sz w:val="20"/>
          <w:szCs w:val="20"/>
        </w:rPr>
      </w:pPr>
    </w:p>
    <w:p w:rsidR="005B7451" w:rsidRPr="00AE7621" w:rsidRDefault="005B7451" w:rsidP="00902B1D">
      <w:pPr>
        <w:widowControl w:val="0"/>
        <w:spacing w:after="0" w:line="240" w:lineRule="auto"/>
        <w:rPr>
          <w:rFonts w:ascii="Times New Roman" w:eastAsia="Times New Roman" w:hAnsi="Times New Roman" w:cs="Times New Roman"/>
          <w:sz w:val="20"/>
          <w:szCs w:val="20"/>
        </w:rPr>
      </w:pPr>
    </w:p>
    <w:p w:rsidR="009E34F3" w:rsidRPr="00AE7621" w:rsidRDefault="009E34F3" w:rsidP="00902B1D">
      <w:pPr>
        <w:widowControl w:val="0"/>
        <w:spacing w:after="0" w:line="240" w:lineRule="auto"/>
        <w:rPr>
          <w:rFonts w:ascii="Times New Roman" w:eastAsia="Times New Roman" w:hAnsi="Times New Roman" w:cs="Times New Roman"/>
          <w:sz w:val="20"/>
          <w:szCs w:val="20"/>
        </w:rPr>
      </w:pPr>
    </w:p>
    <w:p w:rsidR="001305B6" w:rsidRPr="00AE7621" w:rsidRDefault="001305B6" w:rsidP="00902B1D">
      <w:pPr>
        <w:widowControl w:val="0"/>
        <w:spacing w:after="0" w:line="240" w:lineRule="auto"/>
        <w:rPr>
          <w:rFonts w:ascii="Times New Roman" w:eastAsia="Times New Roman" w:hAnsi="Times New Roman" w:cs="Times New Roman"/>
          <w:sz w:val="20"/>
          <w:szCs w:val="20"/>
        </w:rPr>
      </w:pPr>
    </w:p>
    <w:p w:rsidR="002A617A" w:rsidRPr="00AE7621" w:rsidRDefault="0069544D" w:rsidP="00902B1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2012.11.21. 13:35</w:t>
      </w:r>
      <w:bookmarkStart w:id="0" w:name="_GoBack"/>
      <w:bookmarkEnd w:id="0"/>
      <w:r w:rsidR="002A617A" w:rsidRPr="00AE7621">
        <w:rPr>
          <w:rFonts w:ascii="Times New Roman" w:eastAsia="Calibri" w:hAnsi="Times New Roman" w:cs="Times New Roman"/>
          <w:color w:val="000000"/>
          <w:sz w:val="20"/>
          <w:szCs w:val="20"/>
        </w:rPr>
        <w:br/>
      </w:r>
      <w:fldSimple w:instr=" NUMWORDS   \* MERGEFORMAT ">
        <w:r w:rsidR="00901583" w:rsidRPr="00901583">
          <w:rPr>
            <w:rFonts w:ascii="Times New Roman" w:eastAsia="Calibri" w:hAnsi="Times New Roman" w:cs="Times New Roman"/>
            <w:noProof/>
            <w:color w:val="000000"/>
            <w:sz w:val="20"/>
            <w:szCs w:val="20"/>
          </w:rPr>
          <w:t>1387</w:t>
        </w:r>
      </w:fldSimple>
    </w:p>
    <w:p w:rsidR="006067DB" w:rsidRDefault="006067DB" w:rsidP="006067DB">
      <w:pPr>
        <w:widowControl w:val="0"/>
        <w:spacing w:after="0" w:line="240" w:lineRule="auto"/>
        <w:jc w:val="both"/>
        <w:rPr>
          <w:rFonts w:ascii="Times New Roman" w:eastAsia="Times New Roman" w:hAnsi="Times New Roman" w:cs="Times New Roman"/>
          <w:sz w:val="20"/>
          <w:szCs w:val="20"/>
        </w:rPr>
      </w:pPr>
      <w:r w:rsidRPr="006067DB">
        <w:rPr>
          <w:rFonts w:ascii="Times New Roman" w:eastAsia="Times New Roman" w:hAnsi="Times New Roman" w:cs="Times New Roman"/>
          <w:sz w:val="20"/>
          <w:szCs w:val="20"/>
        </w:rPr>
        <w:t>Gatis Silovs</w:t>
      </w:r>
    </w:p>
    <w:p w:rsidR="00D40CFC" w:rsidRPr="00AC0127" w:rsidRDefault="006067DB" w:rsidP="006067DB">
      <w:pPr>
        <w:widowControl w:val="0"/>
        <w:spacing w:after="0" w:line="240" w:lineRule="auto"/>
        <w:jc w:val="both"/>
        <w:rPr>
          <w:rFonts w:ascii="Times New Roman" w:eastAsia="Times New Roman" w:hAnsi="Times New Roman" w:cs="Times New Roman"/>
          <w:sz w:val="20"/>
          <w:szCs w:val="20"/>
        </w:rPr>
      </w:pPr>
      <w:r w:rsidRPr="006067DB">
        <w:rPr>
          <w:rFonts w:ascii="Times New Roman" w:eastAsia="Times New Roman" w:hAnsi="Times New Roman" w:cs="Times New Roman"/>
          <w:sz w:val="20"/>
          <w:szCs w:val="20"/>
        </w:rPr>
        <w:t>67013209, Gatis.Silovs@em.gov.lv</w:t>
      </w:r>
    </w:p>
    <w:sectPr w:rsidR="00D40CFC" w:rsidRPr="00AC0127" w:rsidSect="00D40CFC">
      <w:footerReference w:type="default" r:id="rId9"/>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583" w:rsidRDefault="00901583" w:rsidP="002A617A">
      <w:pPr>
        <w:spacing w:after="0" w:line="240" w:lineRule="auto"/>
      </w:pPr>
      <w:r>
        <w:separator/>
      </w:r>
    </w:p>
  </w:endnote>
  <w:endnote w:type="continuationSeparator" w:id="0">
    <w:p w:rsidR="00901583" w:rsidRDefault="00901583" w:rsidP="002A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3" w:rsidRDefault="00901583" w:rsidP="002A617A">
    <w:pPr>
      <w:spacing w:after="0" w:line="240" w:lineRule="auto"/>
      <w:jc w:val="both"/>
      <w:outlineLvl w:val="0"/>
    </w:pPr>
    <w:fldSimple w:instr=" FILENAME   \* MERGEFORMAT ">
      <w:r w:rsidRPr="00681AB8">
        <w:rPr>
          <w:rFonts w:ascii="Times New Roman" w:eastAsia="Calibri" w:hAnsi="Times New Roman" w:cs="Times New Roman"/>
          <w:noProof/>
          <w:sz w:val="20"/>
          <w:szCs w:val="20"/>
          <w:lang w:val="en-AU"/>
        </w:rPr>
        <w:t>EMAnot_211112_groz2DPP</w:t>
      </w:r>
    </w:fldSimple>
    <w:r w:rsidRPr="002A617A">
      <w:rPr>
        <w:rFonts w:ascii="Times New Roman" w:eastAsia="Calibri" w:hAnsi="Times New Roman" w:cs="Times New Roman"/>
        <w:sz w:val="20"/>
        <w:szCs w:val="20"/>
        <w:lang w:val="en-AU"/>
      </w:rPr>
      <w:t xml:space="preserve">; </w:t>
    </w:r>
    <w:r w:rsidRPr="00D01AC2">
      <w:rPr>
        <w:rFonts w:ascii="Times New Roman" w:eastAsia="Times New Roman" w:hAnsi="Times New Roman" w:cs="Times New Roman"/>
        <w:sz w:val="20"/>
        <w:szCs w:val="20"/>
      </w:rPr>
      <w:t>Ministru kabineta rīkojuma projekta „Grozījumi darbības programmas „Uzņēmējdarbība un inovācijas” papildinājumā”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583" w:rsidRDefault="00901583" w:rsidP="002A617A">
      <w:pPr>
        <w:spacing w:after="0" w:line="240" w:lineRule="auto"/>
      </w:pPr>
      <w:r>
        <w:separator/>
      </w:r>
    </w:p>
  </w:footnote>
  <w:footnote w:type="continuationSeparator" w:id="0">
    <w:p w:rsidR="00901583" w:rsidRDefault="00901583" w:rsidP="002A6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248C9"/>
    <w:multiLevelType w:val="hybridMultilevel"/>
    <w:tmpl w:val="EBC2FFB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3">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5">
    <w:nsid w:val="6E545428"/>
    <w:multiLevelType w:val="hybridMultilevel"/>
    <w:tmpl w:val="B4084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90"/>
    <w:rsid w:val="000068AE"/>
    <w:rsid w:val="000105BC"/>
    <w:rsid w:val="00016F2B"/>
    <w:rsid w:val="00047CFE"/>
    <w:rsid w:val="0006068B"/>
    <w:rsid w:val="000862E6"/>
    <w:rsid w:val="00091379"/>
    <w:rsid w:val="0009280C"/>
    <w:rsid w:val="00097867"/>
    <w:rsid w:val="000E1DB7"/>
    <w:rsid w:val="0012729E"/>
    <w:rsid w:val="00127888"/>
    <w:rsid w:val="001305B6"/>
    <w:rsid w:val="00130914"/>
    <w:rsid w:val="0013367B"/>
    <w:rsid w:val="00146E69"/>
    <w:rsid w:val="001713DA"/>
    <w:rsid w:val="00190351"/>
    <w:rsid w:val="00195713"/>
    <w:rsid w:val="001B74EF"/>
    <w:rsid w:val="001C28CE"/>
    <w:rsid w:val="001C3EEE"/>
    <w:rsid w:val="001C6BB1"/>
    <w:rsid w:val="001F5390"/>
    <w:rsid w:val="0020613E"/>
    <w:rsid w:val="00237D79"/>
    <w:rsid w:val="00245470"/>
    <w:rsid w:val="00252BAC"/>
    <w:rsid w:val="00264391"/>
    <w:rsid w:val="00281EE5"/>
    <w:rsid w:val="002A617A"/>
    <w:rsid w:val="002A6798"/>
    <w:rsid w:val="002A6D32"/>
    <w:rsid w:val="002B3465"/>
    <w:rsid w:val="002C64B5"/>
    <w:rsid w:val="002D3591"/>
    <w:rsid w:val="00305A28"/>
    <w:rsid w:val="00307E72"/>
    <w:rsid w:val="00311139"/>
    <w:rsid w:val="003132F2"/>
    <w:rsid w:val="00313581"/>
    <w:rsid w:val="0032005C"/>
    <w:rsid w:val="0034089F"/>
    <w:rsid w:val="003562CD"/>
    <w:rsid w:val="0036609E"/>
    <w:rsid w:val="00376726"/>
    <w:rsid w:val="00382775"/>
    <w:rsid w:val="003B0593"/>
    <w:rsid w:val="003D3562"/>
    <w:rsid w:val="003D6C41"/>
    <w:rsid w:val="003E2BFC"/>
    <w:rsid w:val="003E5861"/>
    <w:rsid w:val="00406A17"/>
    <w:rsid w:val="00416720"/>
    <w:rsid w:val="004501D2"/>
    <w:rsid w:val="004515CA"/>
    <w:rsid w:val="00464FD0"/>
    <w:rsid w:val="004705BC"/>
    <w:rsid w:val="004D171A"/>
    <w:rsid w:val="004F067D"/>
    <w:rsid w:val="004F3C75"/>
    <w:rsid w:val="005567C5"/>
    <w:rsid w:val="00560737"/>
    <w:rsid w:val="005A5F0D"/>
    <w:rsid w:val="005B7451"/>
    <w:rsid w:val="005C5CC2"/>
    <w:rsid w:val="005E6AF0"/>
    <w:rsid w:val="005F15F4"/>
    <w:rsid w:val="006067DB"/>
    <w:rsid w:val="00607320"/>
    <w:rsid w:val="00634038"/>
    <w:rsid w:val="00661DB6"/>
    <w:rsid w:val="00664470"/>
    <w:rsid w:val="00670D10"/>
    <w:rsid w:val="006758DF"/>
    <w:rsid w:val="00680ADC"/>
    <w:rsid w:val="00681AB8"/>
    <w:rsid w:val="00682F53"/>
    <w:rsid w:val="0069544D"/>
    <w:rsid w:val="006A345B"/>
    <w:rsid w:val="006C7599"/>
    <w:rsid w:val="006E24E5"/>
    <w:rsid w:val="007075A1"/>
    <w:rsid w:val="00722173"/>
    <w:rsid w:val="00751510"/>
    <w:rsid w:val="0075352B"/>
    <w:rsid w:val="00785350"/>
    <w:rsid w:val="007B08DD"/>
    <w:rsid w:val="007B215D"/>
    <w:rsid w:val="007B6D18"/>
    <w:rsid w:val="007D6AEE"/>
    <w:rsid w:val="007F1012"/>
    <w:rsid w:val="007F3E43"/>
    <w:rsid w:val="007F7671"/>
    <w:rsid w:val="00802D87"/>
    <w:rsid w:val="0080623C"/>
    <w:rsid w:val="00813DD9"/>
    <w:rsid w:val="00817F69"/>
    <w:rsid w:val="00824AED"/>
    <w:rsid w:val="00830152"/>
    <w:rsid w:val="008312D9"/>
    <w:rsid w:val="008356DD"/>
    <w:rsid w:val="00840469"/>
    <w:rsid w:val="008407ED"/>
    <w:rsid w:val="00861E55"/>
    <w:rsid w:val="00873607"/>
    <w:rsid w:val="00877148"/>
    <w:rsid w:val="008810C0"/>
    <w:rsid w:val="00881F0A"/>
    <w:rsid w:val="00886F90"/>
    <w:rsid w:val="008C2351"/>
    <w:rsid w:val="008C5375"/>
    <w:rsid w:val="008D678E"/>
    <w:rsid w:val="00901583"/>
    <w:rsid w:val="00902B1D"/>
    <w:rsid w:val="0091289E"/>
    <w:rsid w:val="009562B8"/>
    <w:rsid w:val="009A2B2D"/>
    <w:rsid w:val="009A4EA1"/>
    <w:rsid w:val="009D0A29"/>
    <w:rsid w:val="009E0850"/>
    <w:rsid w:val="009E34F3"/>
    <w:rsid w:val="009F19EC"/>
    <w:rsid w:val="00A00AC9"/>
    <w:rsid w:val="00A05A93"/>
    <w:rsid w:val="00A06FDB"/>
    <w:rsid w:val="00A11A29"/>
    <w:rsid w:val="00A15B7A"/>
    <w:rsid w:val="00A3157F"/>
    <w:rsid w:val="00A50CB9"/>
    <w:rsid w:val="00A6374A"/>
    <w:rsid w:val="00A64E0C"/>
    <w:rsid w:val="00A654F1"/>
    <w:rsid w:val="00A70DB0"/>
    <w:rsid w:val="00A71CCF"/>
    <w:rsid w:val="00AA1E56"/>
    <w:rsid w:val="00AA6492"/>
    <w:rsid w:val="00AC0127"/>
    <w:rsid w:val="00AD3797"/>
    <w:rsid w:val="00AD4C3F"/>
    <w:rsid w:val="00AE7621"/>
    <w:rsid w:val="00AF29AE"/>
    <w:rsid w:val="00B02B4C"/>
    <w:rsid w:val="00B506AB"/>
    <w:rsid w:val="00B52484"/>
    <w:rsid w:val="00B62120"/>
    <w:rsid w:val="00B940E1"/>
    <w:rsid w:val="00BA14DF"/>
    <w:rsid w:val="00BA6846"/>
    <w:rsid w:val="00BE1D16"/>
    <w:rsid w:val="00BE2D5A"/>
    <w:rsid w:val="00C5133C"/>
    <w:rsid w:val="00C622ED"/>
    <w:rsid w:val="00C663C8"/>
    <w:rsid w:val="00C72514"/>
    <w:rsid w:val="00C74523"/>
    <w:rsid w:val="00CA0CB4"/>
    <w:rsid w:val="00CC56AA"/>
    <w:rsid w:val="00CD3814"/>
    <w:rsid w:val="00CE2E22"/>
    <w:rsid w:val="00CE3831"/>
    <w:rsid w:val="00D01AC2"/>
    <w:rsid w:val="00D04F89"/>
    <w:rsid w:val="00D05DFD"/>
    <w:rsid w:val="00D343E5"/>
    <w:rsid w:val="00D37004"/>
    <w:rsid w:val="00D40CFC"/>
    <w:rsid w:val="00D5361F"/>
    <w:rsid w:val="00D5761B"/>
    <w:rsid w:val="00D928E0"/>
    <w:rsid w:val="00D94F56"/>
    <w:rsid w:val="00DA1528"/>
    <w:rsid w:val="00DA407B"/>
    <w:rsid w:val="00DC4754"/>
    <w:rsid w:val="00E07467"/>
    <w:rsid w:val="00E1100E"/>
    <w:rsid w:val="00E111F8"/>
    <w:rsid w:val="00E20E9B"/>
    <w:rsid w:val="00E222C4"/>
    <w:rsid w:val="00E45CBA"/>
    <w:rsid w:val="00E703B9"/>
    <w:rsid w:val="00E80E80"/>
    <w:rsid w:val="00E92A51"/>
    <w:rsid w:val="00EA1EAD"/>
    <w:rsid w:val="00EA6403"/>
    <w:rsid w:val="00ED4179"/>
    <w:rsid w:val="00ED66BD"/>
    <w:rsid w:val="00EE1722"/>
    <w:rsid w:val="00F02AD7"/>
    <w:rsid w:val="00F155C4"/>
    <w:rsid w:val="00F5241F"/>
    <w:rsid w:val="00F84F92"/>
    <w:rsid w:val="00F9482F"/>
    <w:rsid w:val="00FA3A16"/>
    <w:rsid w:val="00FB371E"/>
    <w:rsid w:val="00FC2214"/>
    <w:rsid w:val="00FD096B"/>
    <w:rsid w:val="00FF4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2D3591"/>
    <w:rPr>
      <w:sz w:val="16"/>
      <w:szCs w:val="16"/>
    </w:rPr>
  </w:style>
  <w:style w:type="paragraph" w:styleId="CommentText">
    <w:name w:val="annotation text"/>
    <w:basedOn w:val="Normal"/>
    <w:link w:val="CommentTextChar"/>
    <w:uiPriority w:val="99"/>
    <w:semiHidden/>
    <w:unhideWhenUsed/>
    <w:rsid w:val="002D3591"/>
    <w:pPr>
      <w:spacing w:line="240" w:lineRule="auto"/>
    </w:pPr>
    <w:rPr>
      <w:sz w:val="20"/>
      <w:szCs w:val="20"/>
    </w:rPr>
  </w:style>
  <w:style w:type="character" w:customStyle="1" w:styleId="CommentTextChar">
    <w:name w:val="Comment Text Char"/>
    <w:basedOn w:val="DefaultParagraphFont"/>
    <w:link w:val="CommentText"/>
    <w:uiPriority w:val="99"/>
    <w:semiHidden/>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basedOn w:val="CommentTextChar"/>
    <w:link w:val="CommentSubject"/>
    <w:uiPriority w:val="99"/>
    <w:semiHidden/>
    <w:rsid w:val="002D35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2D3591"/>
    <w:rPr>
      <w:sz w:val="16"/>
      <w:szCs w:val="16"/>
    </w:rPr>
  </w:style>
  <w:style w:type="paragraph" w:styleId="CommentText">
    <w:name w:val="annotation text"/>
    <w:basedOn w:val="Normal"/>
    <w:link w:val="CommentTextChar"/>
    <w:uiPriority w:val="99"/>
    <w:semiHidden/>
    <w:unhideWhenUsed/>
    <w:rsid w:val="002D3591"/>
    <w:pPr>
      <w:spacing w:line="240" w:lineRule="auto"/>
    </w:pPr>
    <w:rPr>
      <w:sz w:val="20"/>
      <w:szCs w:val="20"/>
    </w:rPr>
  </w:style>
  <w:style w:type="character" w:customStyle="1" w:styleId="CommentTextChar">
    <w:name w:val="Comment Text Char"/>
    <w:basedOn w:val="DefaultParagraphFont"/>
    <w:link w:val="CommentText"/>
    <w:uiPriority w:val="99"/>
    <w:semiHidden/>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basedOn w:val="CommentTextChar"/>
    <w:link w:val="CommentSubject"/>
    <w:uiPriority w:val="99"/>
    <w:semiHidden/>
    <w:rsid w:val="002D35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1142">
      <w:bodyDiv w:val="1"/>
      <w:marLeft w:val="0"/>
      <w:marRight w:val="0"/>
      <w:marTop w:val="0"/>
      <w:marBottom w:val="0"/>
      <w:divBdr>
        <w:top w:val="none" w:sz="0" w:space="0" w:color="auto"/>
        <w:left w:val="none" w:sz="0" w:space="0" w:color="auto"/>
        <w:bottom w:val="none" w:sz="0" w:space="0" w:color="auto"/>
        <w:right w:val="none" w:sz="0" w:space="0" w:color="auto"/>
      </w:divBdr>
    </w:div>
    <w:div w:id="137965862">
      <w:bodyDiv w:val="1"/>
      <w:marLeft w:val="0"/>
      <w:marRight w:val="0"/>
      <w:marTop w:val="0"/>
      <w:marBottom w:val="0"/>
      <w:divBdr>
        <w:top w:val="none" w:sz="0" w:space="0" w:color="auto"/>
        <w:left w:val="none" w:sz="0" w:space="0" w:color="auto"/>
        <w:bottom w:val="none" w:sz="0" w:space="0" w:color="auto"/>
        <w:right w:val="none" w:sz="0" w:space="0" w:color="auto"/>
      </w:divBdr>
    </w:div>
    <w:div w:id="324012678">
      <w:bodyDiv w:val="1"/>
      <w:marLeft w:val="0"/>
      <w:marRight w:val="0"/>
      <w:marTop w:val="0"/>
      <w:marBottom w:val="0"/>
      <w:divBdr>
        <w:top w:val="none" w:sz="0" w:space="0" w:color="auto"/>
        <w:left w:val="none" w:sz="0" w:space="0" w:color="auto"/>
        <w:bottom w:val="none" w:sz="0" w:space="0" w:color="auto"/>
        <w:right w:val="none" w:sz="0" w:space="0" w:color="auto"/>
      </w:divBdr>
    </w:div>
    <w:div w:id="383145164">
      <w:bodyDiv w:val="1"/>
      <w:marLeft w:val="0"/>
      <w:marRight w:val="0"/>
      <w:marTop w:val="0"/>
      <w:marBottom w:val="0"/>
      <w:divBdr>
        <w:top w:val="none" w:sz="0" w:space="0" w:color="auto"/>
        <w:left w:val="none" w:sz="0" w:space="0" w:color="auto"/>
        <w:bottom w:val="none" w:sz="0" w:space="0" w:color="auto"/>
        <w:right w:val="none" w:sz="0" w:space="0" w:color="auto"/>
      </w:divBdr>
    </w:div>
    <w:div w:id="704452135">
      <w:bodyDiv w:val="1"/>
      <w:marLeft w:val="0"/>
      <w:marRight w:val="0"/>
      <w:marTop w:val="0"/>
      <w:marBottom w:val="0"/>
      <w:divBdr>
        <w:top w:val="none" w:sz="0" w:space="0" w:color="auto"/>
        <w:left w:val="none" w:sz="0" w:space="0" w:color="auto"/>
        <w:bottom w:val="none" w:sz="0" w:space="0" w:color="auto"/>
        <w:right w:val="none" w:sz="0" w:space="0" w:color="auto"/>
      </w:divBdr>
    </w:div>
    <w:div w:id="949973675">
      <w:bodyDiv w:val="1"/>
      <w:marLeft w:val="0"/>
      <w:marRight w:val="0"/>
      <w:marTop w:val="0"/>
      <w:marBottom w:val="0"/>
      <w:divBdr>
        <w:top w:val="none" w:sz="0" w:space="0" w:color="auto"/>
        <w:left w:val="none" w:sz="0" w:space="0" w:color="auto"/>
        <w:bottom w:val="none" w:sz="0" w:space="0" w:color="auto"/>
        <w:right w:val="none" w:sz="0" w:space="0" w:color="auto"/>
      </w:divBdr>
    </w:div>
    <w:div w:id="1120488053">
      <w:bodyDiv w:val="1"/>
      <w:marLeft w:val="0"/>
      <w:marRight w:val="0"/>
      <w:marTop w:val="0"/>
      <w:marBottom w:val="0"/>
      <w:divBdr>
        <w:top w:val="none" w:sz="0" w:space="0" w:color="auto"/>
        <w:left w:val="none" w:sz="0" w:space="0" w:color="auto"/>
        <w:bottom w:val="none" w:sz="0" w:space="0" w:color="auto"/>
        <w:right w:val="none" w:sz="0" w:space="0" w:color="auto"/>
      </w:divBdr>
    </w:div>
    <w:div w:id="1589851398">
      <w:bodyDiv w:val="1"/>
      <w:marLeft w:val="0"/>
      <w:marRight w:val="0"/>
      <w:marTop w:val="0"/>
      <w:marBottom w:val="0"/>
      <w:divBdr>
        <w:top w:val="none" w:sz="0" w:space="0" w:color="auto"/>
        <w:left w:val="none" w:sz="0" w:space="0" w:color="auto"/>
        <w:bottom w:val="none" w:sz="0" w:space="0" w:color="auto"/>
        <w:right w:val="none" w:sz="0" w:space="0" w:color="auto"/>
      </w:divBdr>
    </w:div>
    <w:div w:id="1788161523">
      <w:bodyDiv w:val="1"/>
      <w:marLeft w:val="45"/>
      <w:marRight w:val="45"/>
      <w:marTop w:val="90"/>
      <w:marBottom w:val="90"/>
      <w:divBdr>
        <w:top w:val="none" w:sz="0" w:space="0" w:color="auto"/>
        <w:left w:val="none" w:sz="0" w:space="0" w:color="auto"/>
        <w:bottom w:val="none" w:sz="0" w:space="0" w:color="auto"/>
        <w:right w:val="none" w:sz="0" w:space="0" w:color="auto"/>
      </w:divBdr>
      <w:divsChild>
        <w:div w:id="1569268723">
          <w:marLeft w:val="0"/>
          <w:marRight w:val="0"/>
          <w:marTop w:val="240"/>
          <w:marBottom w:val="0"/>
          <w:divBdr>
            <w:top w:val="none" w:sz="0" w:space="0" w:color="auto"/>
            <w:left w:val="none" w:sz="0" w:space="0" w:color="auto"/>
            <w:bottom w:val="none" w:sz="0" w:space="0" w:color="auto"/>
            <w:right w:val="none" w:sz="0" w:space="0" w:color="auto"/>
          </w:divBdr>
        </w:div>
      </w:divsChild>
    </w:div>
    <w:div w:id="21124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3DD2C-9B29-4E2A-BE48-A34BC634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Pages>
  <Words>1408</Words>
  <Characters>10368</Characters>
  <Application>Microsoft Office Word</Application>
  <DocSecurity>0</DocSecurity>
  <Lines>518</Lines>
  <Paragraphs>168</Paragraphs>
  <ScaleCrop>false</ScaleCrop>
  <HeadingPairs>
    <vt:vector size="2" baseType="variant">
      <vt:variant>
        <vt:lpstr>Title</vt:lpstr>
      </vt:variant>
      <vt:variant>
        <vt:i4>1</vt:i4>
      </vt:variant>
    </vt:vector>
  </HeadingPairs>
  <TitlesOfParts>
    <vt:vector size="1" baseType="lpstr">
      <vt:lpstr>Ministru kabineta rīkojuma projekta „Grozījumi darbības programmas „Uzņēmējdarbība un inovācijas” papildinājumā” sākotnējās ietekmes novērtējuma ziņojums (anotācija)</vt:lpstr>
    </vt:vector>
  </TitlesOfParts>
  <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darbības programmas „Uzņēmējdarbība un inovācijas” papildinājumā” sākotnējās ietekmes novērtējuma ziņojums (anotācija)</dc:title>
  <dc:subject>Sākotnējās ietekmes novērtējuma ziņojums (anotācija)</dc:subject>
  <dc:creator>Gatis Silovs</dc:creator>
  <dc:description>67013209, Gatis.Silovs@em.gov.lv</dc:description>
  <cp:lastModifiedBy>Mārtiņš Zvejnieks</cp:lastModifiedBy>
  <cp:revision>26</cp:revision>
  <cp:lastPrinted>2012-07-12T08:04:00Z</cp:lastPrinted>
  <dcterms:created xsi:type="dcterms:W3CDTF">2012-08-08T08:06:00Z</dcterms:created>
  <dcterms:modified xsi:type="dcterms:W3CDTF">2012-11-21T11:35:00Z</dcterms:modified>
</cp:coreProperties>
</file>