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Pr="00301EED" w:rsidRDefault="001F5390" w:rsidP="001F5390">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301EED">
        <w:rPr>
          <w:rFonts w:ascii="Times New Roman" w:eastAsia="Times New Roman" w:hAnsi="Times New Roman" w:cs="Times New Roman"/>
          <w:b/>
          <w:sz w:val="24"/>
          <w:szCs w:val="24"/>
          <w:lang w:eastAsia="lv-LV"/>
        </w:rPr>
        <w:t>Ministru kabineta noteikumu projekta „Grozījum</w:t>
      </w:r>
      <w:r w:rsidR="00384723" w:rsidRPr="00301EED">
        <w:rPr>
          <w:rFonts w:ascii="Times New Roman" w:eastAsia="Times New Roman" w:hAnsi="Times New Roman" w:cs="Times New Roman"/>
          <w:b/>
          <w:sz w:val="24"/>
          <w:szCs w:val="24"/>
          <w:lang w:eastAsia="lv-LV"/>
        </w:rPr>
        <w:t>i</w:t>
      </w:r>
      <w:r w:rsidRPr="00301EED">
        <w:rPr>
          <w:rFonts w:ascii="Times New Roman" w:eastAsia="Times New Roman" w:hAnsi="Times New Roman" w:cs="Times New Roman"/>
          <w:b/>
          <w:sz w:val="24"/>
          <w:szCs w:val="24"/>
          <w:lang w:eastAsia="lv-LV"/>
        </w:rPr>
        <w:t xml:space="preserve"> Ministru </w:t>
      </w:r>
      <w:r w:rsidR="00D05AB0" w:rsidRPr="00301EED">
        <w:rPr>
          <w:rFonts w:ascii="Times New Roman" w:eastAsia="Times New Roman" w:hAnsi="Times New Roman" w:cs="Times New Roman"/>
          <w:b/>
          <w:sz w:val="24"/>
          <w:szCs w:val="24"/>
          <w:lang w:eastAsia="lv-LV"/>
        </w:rPr>
        <w:t>k</w:t>
      </w:r>
      <w:r w:rsidRPr="00301EED">
        <w:rPr>
          <w:rFonts w:ascii="Times New Roman" w:eastAsia="Times New Roman" w:hAnsi="Times New Roman" w:cs="Times New Roman"/>
          <w:b/>
          <w:sz w:val="24"/>
          <w:szCs w:val="24"/>
          <w:lang w:eastAsia="lv-LV"/>
        </w:rPr>
        <w:t>abineta 20</w:t>
      </w:r>
      <w:r w:rsidR="00D05AB0" w:rsidRPr="00301EED">
        <w:rPr>
          <w:rFonts w:ascii="Times New Roman" w:eastAsia="Times New Roman" w:hAnsi="Times New Roman" w:cs="Times New Roman"/>
          <w:b/>
          <w:sz w:val="24"/>
          <w:szCs w:val="24"/>
          <w:lang w:eastAsia="lv-LV"/>
        </w:rPr>
        <w:t>09</w:t>
      </w:r>
      <w:r w:rsidRPr="00301EED">
        <w:rPr>
          <w:rFonts w:ascii="Times New Roman" w:eastAsia="Times New Roman" w:hAnsi="Times New Roman" w:cs="Times New Roman"/>
          <w:b/>
          <w:sz w:val="24"/>
          <w:szCs w:val="24"/>
          <w:lang w:eastAsia="lv-LV"/>
        </w:rPr>
        <w:t xml:space="preserve">.gada </w:t>
      </w:r>
      <w:r w:rsidR="00D05AB0" w:rsidRPr="00301EED">
        <w:rPr>
          <w:rFonts w:ascii="Times New Roman" w:eastAsia="Times New Roman" w:hAnsi="Times New Roman" w:cs="Times New Roman"/>
          <w:b/>
          <w:sz w:val="24"/>
          <w:szCs w:val="24"/>
          <w:lang w:eastAsia="lv-LV"/>
        </w:rPr>
        <w:t>17</w:t>
      </w:r>
      <w:r w:rsidRPr="00301EED">
        <w:rPr>
          <w:rFonts w:ascii="Times New Roman" w:eastAsia="Times New Roman" w:hAnsi="Times New Roman" w:cs="Times New Roman"/>
          <w:b/>
          <w:sz w:val="24"/>
          <w:szCs w:val="24"/>
          <w:lang w:eastAsia="lv-LV"/>
        </w:rPr>
        <w:t>.</w:t>
      </w:r>
      <w:r w:rsidR="00D05AB0" w:rsidRPr="00301EED">
        <w:rPr>
          <w:rFonts w:ascii="Times New Roman" w:eastAsia="Times New Roman" w:hAnsi="Times New Roman" w:cs="Times New Roman"/>
          <w:b/>
          <w:sz w:val="24"/>
          <w:szCs w:val="24"/>
          <w:lang w:eastAsia="lv-LV"/>
        </w:rPr>
        <w:t>jūnij</w:t>
      </w:r>
      <w:r w:rsidR="00F60C2B">
        <w:rPr>
          <w:rFonts w:ascii="Times New Roman" w:eastAsia="Times New Roman" w:hAnsi="Times New Roman" w:cs="Times New Roman"/>
          <w:b/>
          <w:sz w:val="24"/>
          <w:szCs w:val="24"/>
          <w:lang w:eastAsia="lv-LV"/>
        </w:rPr>
        <w:t>a</w:t>
      </w:r>
      <w:r w:rsidR="00D05AB0" w:rsidRPr="00301EED">
        <w:rPr>
          <w:rFonts w:ascii="Times New Roman" w:eastAsia="Times New Roman" w:hAnsi="Times New Roman" w:cs="Times New Roman"/>
          <w:b/>
          <w:sz w:val="24"/>
          <w:szCs w:val="24"/>
          <w:lang w:eastAsia="lv-LV"/>
        </w:rPr>
        <w:t xml:space="preserve"> </w:t>
      </w:r>
      <w:r w:rsidRPr="00301EED">
        <w:rPr>
          <w:rFonts w:ascii="Times New Roman" w:eastAsia="Times New Roman" w:hAnsi="Times New Roman" w:cs="Times New Roman"/>
          <w:b/>
          <w:sz w:val="24"/>
          <w:szCs w:val="24"/>
          <w:lang w:eastAsia="lv-LV"/>
        </w:rPr>
        <w:t>noteikumos Nr.</w:t>
      </w:r>
      <w:r w:rsidR="00D05AB0" w:rsidRPr="00301EED">
        <w:rPr>
          <w:rFonts w:ascii="Times New Roman" w:eastAsia="Times New Roman" w:hAnsi="Times New Roman" w:cs="Times New Roman"/>
          <w:b/>
          <w:sz w:val="24"/>
          <w:szCs w:val="24"/>
          <w:lang w:eastAsia="lv-LV"/>
        </w:rPr>
        <w:t>582</w:t>
      </w:r>
      <w:r w:rsidRPr="00301EED">
        <w:rPr>
          <w:rFonts w:ascii="Times New Roman" w:eastAsia="Times New Roman" w:hAnsi="Times New Roman" w:cs="Times New Roman"/>
          <w:b/>
          <w:sz w:val="24"/>
          <w:szCs w:val="24"/>
          <w:lang w:eastAsia="lv-LV"/>
        </w:rPr>
        <w:t xml:space="preserve"> „Noteikumi par darbības programmas „Uzņēmējdarbība un inovācijas</w:t>
      </w:r>
      <w:r w:rsidR="00D5361F" w:rsidRPr="00301EED">
        <w:rPr>
          <w:rFonts w:ascii="Times New Roman" w:eastAsia="Times New Roman" w:hAnsi="Times New Roman" w:cs="Times New Roman"/>
          <w:b/>
          <w:sz w:val="24"/>
          <w:szCs w:val="24"/>
          <w:lang w:eastAsia="lv-LV"/>
        </w:rPr>
        <w:t>”</w:t>
      </w:r>
      <w:r w:rsidRPr="00301EED">
        <w:rPr>
          <w:rFonts w:ascii="Times New Roman" w:eastAsia="Times New Roman" w:hAnsi="Times New Roman" w:cs="Times New Roman"/>
          <w:b/>
          <w:sz w:val="24"/>
          <w:szCs w:val="24"/>
          <w:lang w:eastAsia="lv-LV"/>
        </w:rPr>
        <w:t xml:space="preserve"> papildinājuma 2.3.1.1.</w:t>
      </w:r>
      <w:r w:rsidR="00D05AB0" w:rsidRPr="00301EED">
        <w:rPr>
          <w:rFonts w:ascii="Times New Roman" w:eastAsia="Times New Roman" w:hAnsi="Times New Roman" w:cs="Times New Roman"/>
          <w:b/>
          <w:sz w:val="24"/>
          <w:szCs w:val="24"/>
          <w:lang w:eastAsia="lv-LV"/>
        </w:rPr>
        <w:t>1.apakš</w:t>
      </w:r>
      <w:r w:rsidRPr="00301EED">
        <w:rPr>
          <w:rFonts w:ascii="Times New Roman" w:eastAsia="Times New Roman" w:hAnsi="Times New Roman" w:cs="Times New Roman"/>
          <w:b/>
          <w:sz w:val="24"/>
          <w:szCs w:val="24"/>
          <w:lang w:eastAsia="lv-LV"/>
        </w:rPr>
        <w:t xml:space="preserve">aktivitātes </w:t>
      </w:r>
      <w:r w:rsidR="00D5361F" w:rsidRPr="00301EED">
        <w:rPr>
          <w:rFonts w:ascii="Times New Roman" w:eastAsia="Times New Roman" w:hAnsi="Times New Roman" w:cs="Times New Roman"/>
          <w:b/>
          <w:sz w:val="24"/>
          <w:szCs w:val="24"/>
          <w:lang w:eastAsia="lv-LV"/>
        </w:rPr>
        <w:t>„</w:t>
      </w:r>
      <w:r w:rsidRPr="00301EED">
        <w:rPr>
          <w:rFonts w:ascii="Times New Roman" w:eastAsia="Times New Roman" w:hAnsi="Times New Roman" w:cs="Times New Roman"/>
          <w:b/>
          <w:sz w:val="24"/>
          <w:szCs w:val="24"/>
          <w:lang w:eastAsia="lv-LV"/>
        </w:rPr>
        <w:t>Ārējo tirgu apgūšana</w:t>
      </w:r>
      <w:r w:rsidR="00D05AB0" w:rsidRPr="00301EED">
        <w:rPr>
          <w:rFonts w:ascii="Times New Roman" w:eastAsia="Times New Roman" w:hAnsi="Times New Roman" w:cs="Times New Roman"/>
          <w:b/>
          <w:sz w:val="24"/>
          <w:szCs w:val="24"/>
          <w:lang w:eastAsia="lv-LV"/>
        </w:rPr>
        <w:t xml:space="preserve"> – ārējais mārketings</w:t>
      </w:r>
      <w:r w:rsidR="00D5361F" w:rsidRPr="00301EED">
        <w:rPr>
          <w:rFonts w:ascii="Times New Roman" w:eastAsia="Times New Roman" w:hAnsi="Times New Roman" w:cs="Times New Roman"/>
          <w:b/>
          <w:sz w:val="24"/>
          <w:szCs w:val="24"/>
          <w:lang w:eastAsia="lv-LV"/>
        </w:rPr>
        <w:t>”</w:t>
      </w:r>
      <w:bookmarkEnd w:id="0"/>
      <w:bookmarkEnd w:id="1"/>
      <w:r w:rsidR="00D05AB0" w:rsidRPr="00301EED">
        <w:rPr>
          <w:rFonts w:ascii="Times New Roman" w:eastAsia="Times New Roman" w:hAnsi="Times New Roman" w:cs="Times New Roman"/>
          <w:b/>
          <w:sz w:val="24"/>
          <w:szCs w:val="24"/>
          <w:lang w:eastAsia="lv-LV"/>
        </w:rPr>
        <w:t xml:space="preserve"> sesto un turpmākajām kārtām</w:t>
      </w:r>
      <w:r w:rsidRPr="00301EED">
        <w:rPr>
          <w:rFonts w:ascii="Times New Roman" w:eastAsia="Times New Roman" w:hAnsi="Times New Roman" w:cs="Times New Roman"/>
          <w:b/>
          <w:sz w:val="24"/>
          <w:szCs w:val="24"/>
          <w:lang w:eastAsia="lv-LV"/>
        </w:rPr>
        <w:t>”</w:t>
      </w:r>
      <w:r w:rsidR="00FD2F61" w:rsidRPr="00301EED">
        <w:rPr>
          <w:rFonts w:ascii="Times New Roman" w:eastAsia="Times New Roman" w:hAnsi="Times New Roman" w:cs="Times New Roman"/>
          <w:b/>
          <w:sz w:val="24"/>
          <w:szCs w:val="24"/>
          <w:lang w:eastAsia="lv-LV"/>
        </w:rPr>
        <w:t>”</w:t>
      </w:r>
      <w:r w:rsidRPr="00301EED">
        <w:rPr>
          <w:rFonts w:ascii="Times New Roman" w:eastAsia="Times New Roman" w:hAnsi="Times New Roman" w:cs="Times New Roman"/>
          <w:b/>
          <w:sz w:val="24"/>
          <w:szCs w:val="24"/>
          <w:lang w:eastAsia="lv-LV"/>
        </w:rPr>
        <w:t xml:space="preserve"> sākotnējās ietekmes novērtējuma ziņojums (anotācija)</w:t>
      </w:r>
    </w:p>
    <w:bookmarkEnd w:id="2"/>
    <w:bookmarkEnd w:id="3"/>
    <w:bookmarkEnd w:id="4"/>
    <w:bookmarkEnd w:id="5"/>
    <w:bookmarkEnd w:id="6"/>
    <w:bookmarkEnd w:id="7"/>
    <w:p w:rsidR="001F5390" w:rsidRPr="00301EED" w:rsidRDefault="001F5390" w:rsidP="001F5390">
      <w:pPr>
        <w:spacing w:after="0" w:line="240" w:lineRule="auto"/>
        <w:rPr>
          <w:rFonts w:ascii="Times New Roman" w:eastAsia="Calibri" w:hAnsi="Times New Roman" w:cs="Times New Roman"/>
          <w:b/>
          <w:sz w:val="24"/>
          <w:szCs w:val="24"/>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283"/>
        <w:gridCol w:w="6804"/>
      </w:tblGrid>
      <w:tr w:rsidR="00D40CFC" w:rsidRPr="00301EED" w:rsidTr="00E4531E">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301EED" w:rsidRDefault="00D40CFC" w:rsidP="00D40CFC">
            <w:pPr>
              <w:spacing w:after="0" w:line="240" w:lineRule="auto"/>
              <w:jc w:val="center"/>
              <w:rPr>
                <w:rFonts w:ascii="Times New Roman" w:eastAsia="Times New Roman" w:hAnsi="Times New Roman" w:cs="Times New Roman"/>
                <w:b/>
                <w:sz w:val="24"/>
                <w:szCs w:val="24"/>
                <w:lang w:eastAsia="lv-LV"/>
              </w:rPr>
            </w:pPr>
            <w:r w:rsidRPr="00301EED">
              <w:rPr>
                <w:rFonts w:ascii="Times New Roman" w:eastAsia="Times New Roman" w:hAnsi="Times New Roman" w:cs="Times New Roman"/>
                <w:b/>
                <w:sz w:val="24"/>
                <w:szCs w:val="24"/>
                <w:lang w:eastAsia="lv-LV"/>
              </w:rPr>
              <w:t>I.Tiesību akta projekta izstrādes nepieciešamība</w:t>
            </w:r>
          </w:p>
        </w:tc>
      </w:tr>
      <w:tr w:rsidR="00D40CFC" w:rsidRPr="00301EED"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1. Pamatojums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ind w:firstLine="567"/>
              <w:jc w:val="both"/>
              <w:rPr>
                <w:rFonts w:ascii="Times New Roman" w:eastAsia="Calibri" w:hAnsi="Times New Roman" w:cs="Times New Roman"/>
                <w:sz w:val="24"/>
                <w:szCs w:val="24"/>
              </w:rPr>
            </w:pPr>
            <w:r w:rsidRPr="00301EED">
              <w:rPr>
                <w:rFonts w:ascii="Times New Roman" w:eastAsia="Calibri" w:hAnsi="Times New Roman" w:cs="Times New Roman"/>
                <w:sz w:val="24"/>
                <w:szCs w:val="24"/>
              </w:rPr>
              <w:t>Noteikumu projekts sagatavots, pamatojoties uz Eirop</w:t>
            </w:r>
            <w:r w:rsidR="00757AD7">
              <w:rPr>
                <w:rFonts w:ascii="Times New Roman" w:eastAsia="Calibri" w:hAnsi="Times New Roman" w:cs="Times New Roman"/>
                <w:sz w:val="24"/>
                <w:szCs w:val="24"/>
              </w:rPr>
              <w:t xml:space="preserve">as Savienības struktūrfondu un Kohēzijas fonda vadības likuma </w:t>
            </w:r>
            <w:r w:rsidRPr="00301EED">
              <w:rPr>
                <w:rFonts w:ascii="Times New Roman" w:eastAsia="Calibri" w:hAnsi="Times New Roman" w:cs="Times New Roman"/>
                <w:sz w:val="24"/>
                <w:szCs w:val="24"/>
              </w:rPr>
              <w:t>18.panta 10.punktu.</w:t>
            </w:r>
          </w:p>
        </w:tc>
      </w:tr>
      <w:tr w:rsidR="00D40CFC" w:rsidRPr="00301EED" w:rsidTr="002774E4">
        <w:trPr>
          <w:trHeight w:val="360"/>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2. Pašreizējā situācija un problēmas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B4117F" w:rsidRPr="00301EED" w:rsidRDefault="00384723" w:rsidP="007A7666">
            <w:pPr>
              <w:spacing w:after="0" w:line="240" w:lineRule="auto"/>
              <w:ind w:firstLine="567"/>
              <w:jc w:val="both"/>
              <w:rPr>
                <w:rFonts w:ascii="Times New Roman" w:hAnsi="Times New Roman" w:cs="Times New Roman"/>
                <w:bCs/>
                <w:color w:val="000000"/>
                <w:sz w:val="24"/>
                <w:szCs w:val="24"/>
              </w:rPr>
            </w:pPr>
            <w:r w:rsidRPr="00301EED">
              <w:rPr>
                <w:rFonts w:ascii="Times New Roman" w:eastAsia="Calibri" w:hAnsi="Times New Roman" w:cs="Times New Roman"/>
                <w:sz w:val="24"/>
                <w:szCs w:val="24"/>
              </w:rPr>
              <w:t xml:space="preserve">Grozījumi </w:t>
            </w:r>
            <w:r w:rsidR="00FD2F61" w:rsidRPr="00301EED">
              <w:rPr>
                <w:rFonts w:ascii="Times New Roman" w:eastAsia="Calibri" w:hAnsi="Times New Roman" w:cs="Times New Roman"/>
                <w:sz w:val="24"/>
                <w:szCs w:val="24"/>
              </w:rPr>
              <w:t>Ministru kabineta 2009.gada 17.jūnij</w:t>
            </w:r>
            <w:r w:rsidR="00F60C2B">
              <w:rPr>
                <w:rFonts w:ascii="Times New Roman" w:eastAsia="Calibri" w:hAnsi="Times New Roman" w:cs="Times New Roman"/>
                <w:sz w:val="24"/>
                <w:szCs w:val="24"/>
              </w:rPr>
              <w:t>a</w:t>
            </w:r>
            <w:r w:rsidR="00FD2F61" w:rsidRPr="00301EED">
              <w:rPr>
                <w:rFonts w:ascii="Times New Roman" w:eastAsia="Calibri" w:hAnsi="Times New Roman" w:cs="Times New Roman"/>
                <w:sz w:val="24"/>
                <w:szCs w:val="24"/>
              </w:rPr>
              <w:t xml:space="preserve"> noteikumos Nr.582 „Noteikumi par darbības programmas „Uzņēmējdarbība un inovācijas” papildinājuma 2.3.1.1.1.apakšaktivitātes „Ārējo tirgu apgūšana – ārējais mārketings” sesto un turpmākajām kārtām” ir </w:t>
            </w:r>
            <w:r w:rsidRPr="00301EED">
              <w:rPr>
                <w:rFonts w:ascii="Times New Roman" w:eastAsia="Calibri" w:hAnsi="Times New Roman" w:cs="Times New Roman"/>
                <w:sz w:val="24"/>
                <w:szCs w:val="24"/>
              </w:rPr>
              <w:t>nepieciešami</w:t>
            </w:r>
            <w:r w:rsidR="00FD2F61" w:rsidRPr="00301EED">
              <w:rPr>
                <w:rFonts w:ascii="Times New Roman" w:eastAsia="Calibri" w:hAnsi="Times New Roman" w:cs="Times New Roman"/>
                <w:sz w:val="24"/>
                <w:szCs w:val="24"/>
              </w:rPr>
              <w:t xml:space="preserve">, lai </w:t>
            </w:r>
            <w:r w:rsidR="00B4117F" w:rsidRPr="00301EED">
              <w:rPr>
                <w:rFonts w:ascii="Times New Roman" w:eastAsia="Calibri" w:hAnsi="Times New Roman" w:cs="Times New Roman"/>
                <w:sz w:val="24"/>
                <w:szCs w:val="24"/>
              </w:rPr>
              <w:t xml:space="preserve">īstenotu </w:t>
            </w:r>
            <w:r w:rsidR="0036646C" w:rsidRPr="00301EED">
              <w:rPr>
                <w:rFonts w:ascii="Times New Roman" w:eastAsia="Calibri" w:hAnsi="Times New Roman" w:cs="Times New Roman"/>
                <w:sz w:val="24"/>
                <w:szCs w:val="24"/>
              </w:rPr>
              <w:t xml:space="preserve">grozījumus, kas </w:t>
            </w:r>
            <w:r w:rsidR="00636D88">
              <w:rPr>
                <w:rFonts w:ascii="Times New Roman" w:eastAsia="Calibri" w:hAnsi="Times New Roman" w:cs="Times New Roman"/>
                <w:sz w:val="24"/>
                <w:szCs w:val="24"/>
              </w:rPr>
              <w:t>tiek veikti</w:t>
            </w:r>
            <w:r w:rsidR="0036646C" w:rsidRPr="00301EED">
              <w:rPr>
                <w:rFonts w:ascii="Times New Roman" w:eastAsia="Calibri" w:hAnsi="Times New Roman" w:cs="Times New Roman"/>
                <w:sz w:val="24"/>
                <w:szCs w:val="24"/>
              </w:rPr>
              <w:t xml:space="preserve"> Ministru kabineta rīkojuma projekt</w:t>
            </w:r>
            <w:r w:rsidR="00636D88">
              <w:rPr>
                <w:rFonts w:ascii="Times New Roman" w:eastAsia="Calibri" w:hAnsi="Times New Roman" w:cs="Times New Roman"/>
                <w:sz w:val="24"/>
                <w:szCs w:val="24"/>
              </w:rPr>
              <w:t>ā</w:t>
            </w:r>
            <w:r w:rsidR="0036646C" w:rsidRPr="00301EED">
              <w:rPr>
                <w:rFonts w:ascii="Times New Roman" w:eastAsia="Calibri" w:hAnsi="Times New Roman" w:cs="Times New Roman"/>
                <w:sz w:val="24"/>
                <w:szCs w:val="24"/>
              </w:rPr>
              <w:t xml:space="preserve"> „Grozījumi darbības programmas „Uzņēmējdarbīb</w:t>
            </w:r>
            <w:r w:rsidR="00757AD7">
              <w:rPr>
                <w:rFonts w:ascii="Times New Roman" w:eastAsia="Calibri" w:hAnsi="Times New Roman" w:cs="Times New Roman"/>
                <w:sz w:val="24"/>
                <w:szCs w:val="24"/>
              </w:rPr>
              <w:t>a un inovācijas” papildinājumā”</w:t>
            </w:r>
            <w:r w:rsidR="00D86E88" w:rsidRPr="00301EED">
              <w:rPr>
                <w:rFonts w:ascii="Times New Roman" w:hAnsi="Times New Roman" w:cs="Times New Roman"/>
                <w:bCs/>
                <w:color w:val="000000"/>
                <w:sz w:val="24"/>
                <w:szCs w:val="24"/>
              </w:rPr>
              <w:t>.</w:t>
            </w:r>
          </w:p>
          <w:p w:rsidR="007A7666" w:rsidRPr="00301EED" w:rsidRDefault="00384723" w:rsidP="007A7666">
            <w:pPr>
              <w:spacing w:after="0" w:line="240" w:lineRule="auto"/>
              <w:ind w:firstLine="567"/>
              <w:jc w:val="both"/>
              <w:rPr>
                <w:rFonts w:ascii="Times New Roman" w:hAnsi="Times New Roman" w:cs="Times New Roman"/>
                <w:bCs/>
                <w:color w:val="000000"/>
                <w:sz w:val="24"/>
                <w:szCs w:val="24"/>
              </w:rPr>
            </w:pPr>
            <w:r w:rsidRPr="00301EED">
              <w:rPr>
                <w:rFonts w:ascii="Times New Roman" w:hAnsi="Times New Roman" w:cs="Times New Roman"/>
                <w:bCs/>
                <w:color w:val="000000"/>
                <w:sz w:val="24"/>
                <w:szCs w:val="24"/>
              </w:rPr>
              <w:t>Grozījumi</w:t>
            </w:r>
            <w:r w:rsidR="00DA4AF0" w:rsidRPr="00301EED">
              <w:rPr>
                <w:rFonts w:ascii="Times New Roman" w:hAnsi="Times New Roman" w:cs="Times New Roman"/>
                <w:bCs/>
                <w:color w:val="000000"/>
                <w:sz w:val="24"/>
                <w:szCs w:val="24"/>
              </w:rPr>
              <w:t xml:space="preserve"> 9.punktā</w:t>
            </w:r>
            <w:r w:rsidRPr="00301EED">
              <w:rPr>
                <w:rFonts w:ascii="Times New Roman" w:hAnsi="Times New Roman" w:cs="Times New Roman"/>
                <w:bCs/>
                <w:color w:val="000000"/>
                <w:sz w:val="24"/>
                <w:szCs w:val="24"/>
              </w:rPr>
              <w:t xml:space="preserve"> </w:t>
            </w:r>
            <w:r w:rsidR="00D86E88" w:rsidRPr="00301EED">
              <w:rPr>
                <w:rFonts w:ascii="Times New Roman" w:hAnsi="Times New Roman" w:cs="Times New Roman"/>
                <w:bCs/>
                <w:color w:val="000000"/>
                <w:sz w:val="24"/>
                <w:szCs w:val="24"/>
              </w:rPr>
              <w:t xml:space="preserve">paredz pārdalīt </w:t>
            </w:r>
            <w:r w:rsidR="00792D78" w:rsidRPr="00301EED">
              <w:rPr>
                <w:rFonts w:ascii="Times New Roman" w:hAnsi="Times New Roman" w:cs="Times New Roman"/>
                <w:bCs/>
                <w:color w:val="000000"/>
                <w:sz w:val="24"/>
                <w:szCs w:val="24"/>
              </w:rPr>
              <w:t xml:space="preserve">Eiropas Savienības Reģionālās Attīstības (turpmāk – ERAF) </w:t>
            </w:r>
            <w:r w:rsidR="00D86E88" w:rsidRPr="00301EED">
              <w:rPr>
                <w:rFonts w:ascii="Times New Roman" w:hAnsi="Times New Roman" w:cs="Times New Roman"/>
                <w:bCs/>
                <w:color w:val="000000"/>
                <w:sz w:val="24"/>
                <w:szCs w:val="24"/>
              </w:rPr>
              <w:t>finansējumu no</w:t>
            </w:r>
            <w:r w:rsidR="00792D78" w:rsidRPr="00301EED">
              <w:rPr>
                <w:rFonts w:ascii="Times New Roman" w:hAnsi="Times New Roman" w:cs="Times New Roman"/>
                <w:bCs/>
                <w:color w:val="000000"/>
                <w:sz w:val="24"/>
                <w:szCs w:val="24"/>
              </w:rPr>
              <w:t xml:space="preserve"> 2.3.1.1.1.apakšaktivitātes „Ārējo tirgu apgūšana – ārējais mārketings” (turpmāk - 2.3.1.1.1.aktivitāte) uz 2.3.1.1.2.apakšaktivitāti „Ārējo tirgu apgūšana – nozaru starptautiskās konkurētspējas stiprināšana” (turpmāk – 2.3.1.1.2.aktivitāte) 2 500 000 latu apmērā.</w:t>
            </w:r>
          </w:p>
          <w:p w:rsidR="007A7666" w:rsidRPr="00301EED" w:rsidRDefault="007A7666" w:rsidP="007A7666">
            <w:pPr>
              <w:spacing w:after="0" w:line="240" w:lineRule="auto"/>
              <w:ind w:firstLine="567"/>
              <w:jc w:val="both"/>
              <w:rPr>
                <w:rFonts w:ascii="Times New Roman" w:hAnsi="Times New Roman" w:cs="Times New Roman"/>
                <w:bCs/>
                <w:color w:val="000000"/>
                <w:sz w:val="24"/>
                <w:szCs w:val="24"/>
              </w:rPr>
            </w:pPr>
            <w:r w:rsidRPr="00301EED">
              <w:rPr>
                <w:rFonts w:ascii="Times New Roman" w:hAnsi="Times New Roman" w:cs="Times New Roman"/>
                <w:bCs/>
                <w:color w:val="000000"/>
                <w:sz w:val="24"/>
                <w:szCs w:val="24"/>
              </w:rPr>
              <w:t>Pašreiz ir konstatēts, ka finansējuma saņēmēji 2.3.1.1.2.aktivitātes ietvaros - valsts aģentūra „Latvijas Investīciju un attīstības aģentūra” un valsts aģentūra „Tūrisma attīstības valsts aģentūra”, ņemot vērā ievērojamu komersantu pieprasījumu pēc atbalsta, ir spējīgi īstenot savus projektus ātrāk un apgūt lielāku finansējuma apjomu nekā sākotnēji plānots. Savukārt 2.3.1.1.1.aktivitātes ietvaros ir pieejami brīvi līdzekļi, kas izveidojušies nepietiekama pieprasījuma dēļ. Pārdalot ERAF finansējumu no 2.3.1.1.1.aktivitātes uz 2.3.1.1.2.aktivitāti būtu iespējams nodrošināt efektīvāku finansējuma apguvi, neapdraudot 2.3.1.1.1.aktivitātes mērķu sasniegšanu.</w:t>
            </w:r>
          </w:p>
          <w:p w:rsidR="006E24E5" w:rsidRPr="00301EED" w:rsidRDefault="007A7666" w:rsidP="00EB770B">
            <w:pPr>
              <w:spacing w:after="0" w:line="240" w:lineRule="auto"/>
              <w:ind w:firstLine="567"/>
              <w:jc w:val="both"/>
              <w:rPr>
                <w:rFonts w:ascii="Times New Roman" w:hAnsi="Times New Roman" w:cs="Times New Roman"/>
                <w:bCs/>
                <w:color w:val="000000"/>
                <w:sz w:val="24"/>
                <w:szCs w:val="24"/>
              </w:rPr>
            </w:pPr>
            <w:r w:rsidRPr="00301EED">
              <w:rPr>
                <w:rFonts w:ascii="Times New Roman" w:hAnsi="Times New Roman" w:cs="Times New Roman"/>
                <w:bCs/>
                <w:color w:val="000000"/>
                <w:sz w:val="24"/>
                <w:szCs w:val="24"/>
              </w:rPr>
              <w:t xml:space="preserve">Atbilstoši Ministru kabineta </w:t>
            </w:r>
            <w:proofErr w:type="spellStart"/>
            <w:r w:rsidRPr="00301EED">
              <w:rPr>
                <w:rFonts w:ascii="Times New Roman" w:hAnsi="Times New Roman" w:cs="Times New Roman"/>
                <w:bCs/>
                <w:color w:val="000000"/>
                <w:sz w:val="24"/>
                <w:szCs w:val="24"/>
              </w:rPr>
              <w:t>š.g</w:t>
            </w:r>
            <w:proofErr w:type="spellEnd"/>
            <w:r w:rsidRPr="00301EED">
              <w:rPr>
                <w:rFonts w:ascii="Times New Roman" w:hAnsi="Times New Roman" w:cs="Times New Roman"/>
                <w:bCs/>
                <w:color w:val="000000"/>
                <w:sz w:val="24"/>
                <w:szCs w:val="24"/>
              </w:rPr>
              <w:t xml:space="preserve">. 8.maija </w:t>
            </w:r>
            <w:proofErr w:type="spellStart"/>
            <w:r w:rsidRPr="00301EED">
              <w:rPr>
                <w:rFonts w:ascii="Times New Roman" w:hAnsi="Times New Roman" w:cs="Times New Roman"/>
                <w:bCs/>
                <w:color w:val="000000"/>
                <w:sz w:val="24"/>
                <w:szCs w:val="24"/>
              </w:rPr>
              <w:t>protokollēmuma</w:t>
            </w:r>
            <w:proofErr w:type="spellEnd"/>
            <w:r w:rsidRPr="00301EED">
              <w:rPr>
                <w:rFonts w:ascii="Times New Roman" w:hAnsi="Times New Roman" w:cs="Times New Roman"/>
                <w:bCs/>
                <w:color w:val="000000"/>
                <w:sz w:val="24"/>
                <w:szCs w:val="24"/>
              </w:rPr>
              <w:t xml:space="preserve"> (prot.Nr.25, 26.§) 7.punktam   2.3.1.1.1.aktivitātes ietvaros neapgūtā publiskā finansējuma summā 2 500 000 LVL apmērā, kuru ierosināts pārdalīt uz 2.3.1.1.2.aktivitāti, neietilpst neatbilstības un lauzto līgumu un/vai vienošanās summa 155 435,37 LVL apmērā. Gadījumā, ja 2.3.1.1.1.aktivitātes ietvaros tiks lauzti līgumi un/vai vienošanās par projektu īstenošanu vai esošo projektu ietvaros tiks konstatētas neatbilstības, finansējums par lauzto līgumu un/vai vienošanās par projektu īstenošanu, un konstatēto neatbilstību apjomu pēc 2012.gada 8.maija  netiks novirzīts papildu darbību finansēšanai esošās aktivitātes ietvaros, nodrošinot MK </w:t>
            </w:r>
            <w:proofErr w:type="spellStart"/>
            <w:r w:rsidRPr="00301EED">
              <w:rPr>
                <w:rFonts w:ascii="Times New Roman" w:hAnsi="Times New Roman" w:cs="Times New Roman"/>
                <w:bCs/>
                <w:color w:val="000000"/>
                <w:sz w:val="24"/>
                <w:szCs w:val="24"/>
              </w:rPr>
              <w:t>protokollēmuma</w:t>
            </w:r>
            <w:proofErr w:type="spellEnd"/>
            <w:r w:rsidRPr="00301EED">
              <w:rPr>
                <w:rFonts w:ascii="Times New Roman" w:hAnsi="Times New Roman" w:cs="Times New Roman"/>
                <w:bCs/>
                <w:color w:val="000000"/>
                <w:sz w:val="24"/>
                <w:szCs w:val="24"/>
              </w:rPr>
              <w:t xml:space="preserve"> Nr.25 26.§ 7.punktā noteikto.</w:t>
            </w:r>
          </w:p>
          <w:p w:rsidR="00B01526" w:rsidRPr="00301EED" w:rsidRDefault="00B01526" w:rsidP="00B01526">
            <w:pPr>
              <w:spacing w:after="0" w:line="240" w:lineRule="auto"/>
              <w:ind w:firstLine="567"/>
              <w:jc w:val="both"/>
              <w:rPr>
                <w:rFonts w:ascii="Times New Roman" w:hAnsi="Times New Roman" w:cs="Times New Roman"/>
                <w:bCs/>
                <w:color w:val="000000"/>
                <w:sz w:val="24"/>
                <w:szCs w:val="24"/>
              </w:rPr>
            </w:pPr>
            <w:r w:rsidRPr="00301EED">
              <w:rPr>
                <w:rFonts w:ascii="Times New Roman" w:hAnsi="Times New Roman" w:cs="Times New Roman"/>
                <w:bCs/>
                <w:color w:val="000000"/>
                <w:sz w:val="24"/>
                <w:szCs w:val="24"/>
              </w:rPr>
              <w:t xml:space="preserve">Precizējumi 25.6.apakšpunktā ir nepieciešami, lai uzskatītu par attiecināmajām izmaksām visas izmaksas, kas saistītas ar viesnīcas un transporta pakalpojumu izmantošanu, tai skaitā tās izmaksas, kas nav </w:t>
            </w:r>
            <w:r w:rsidRPr="00301EED">
              <w:rPr>
                <w:rFonts w:ascii="Times New Roman" w:hAnsi="Times New Roman" w:cs="Times New Roman"/>
                <w:bCs/>
                <w:color w:val="000000"/>
                <w:sz w:val="24"/>
                <w:szCs w:val="24"/>
              </w:rPr>
              <w:lastRenderedPageBreak/>
              <w:t>uzskatāmas par tiešajām izmaksām par pakalpojumiem, bet tomēr attiecīgie pakalpojumi nav iegādājami bez šīm blakus-izmaksām. Netiek ņemts vērā, ka katrā valstī ir nedaudz atšķirīgi noteikumi kā nepieciešams uzrādīt rēķinā pakalpojuma maksu. Līdz ar to, ja rēķinā tiek uzrādīta  viena summa, tad tā tiek uzskatīta par attiecināmu, ja rēķins  ir sīkāk atšifrēts (uzrādot piemēram "</w:t>
            </w:r>
            <w:proofErr w:type="spellStart"/>
            <w:r w:rsidRPr="00301EED">
              <w:rPr>
                <w:rFonts w:ascii="Times New Roman" w:hAnsi="Times New Roman" w:cs="Times New Roman"/>
                <w:bCs/>
                <w:color w:val="000000"/>
                <w:sz w:val="24"/>
                <w:szCs w:val="24"/>
              </w:rPr>
              <w:t>administration</w:t>
            </w:r>
            <w:proofErr w:type="spellEnd"/>
            <w:r w:rsidRPr="00301EED">
              <w:rPr>
                <w:rFonts w:ascii="Times New Roman" w:hAnsi="Times New Roman" w:cs="Times New Roman"/>
                <w:bCs/>
                <w:color w:val="000000"/>
                <w:sz w:val="24"/>
                <w:szCs w:val="24"/>
              </w:rPr>
              <w:t xml:space="preserve"> </w:t>
            </w:r>
            <w:proofErr w:type="spellStart"/>
            <w:r w:rsidRPr="00301EED">
              <w:rPr>
                <w:rFonts w:ascii="Times New Roman" w:hAnsi="Times New Roman" w:cs="Times New Roman"/>
                <w:bCs/>
                <w:color w:val="000000"/>
                <w:sz w:val="24"/>
                <w:szCs w:val="24"/>
              </w:rPr>
              <w:t>fee</w:t>
            </w:r>
            <w:proofErr w:type="spellEnd"/>
            <w:r w:rsidRPr="00301EED">
              <w:rPr>
                <w:rFonts w:ascii="Times New Roman" w:hAnsi="Times New Roman" w:cs="Times New Roman"/>
                <w:bCs/>
                <w:color w:val="000000"/>
                <w:sz w:val="24"/>
                <w:szCs w:val="24"/>
              </w:rPr>
              <w:t>" kā lidojuma maksas sastāvdaļu), tad LIAA vērtē katru sastāvdaļu atsevišķi.  Piemēram atsevišķās valstīs, kā daļa no viesnīcas pakalpojuma izmaksām, tiek uzrādīts "</w:t>
            </w:r>
            <w:proofErr w:type="spellStart"/>
            <w:r w:rsidRPr="00301EED">
              <w:rPr>
                <w:rFonts w:ascii="Times New Roman" w:hAnsi="Times New Roman" w:cs="Times New Roman"/>
                <w:bCs/>
                <w:color w:val="000000"/>
                <w:sz w:val="24"/>
                <w:szCs w:val="24"/>
              </w:rPr>
              <w:t>room</w:t>
            </w:r>
            <w:proofErr w:type="spellEnd"/>
            <w:r w:rsidRPr="00301EED">
              <w:rPr>
                <w:rFonts w:ascii="Times New Roman" w:hAnsi="Times New Roman" w:cs="Times New Roman"/>
                <w:bCs/>
                <w:color w:val="000000"/>
                <w:sz w:val="24"/>
                <w:szCs w:val="24"/>
              </w:rPr>
              <w:t xml:space="preserve"> </w:t>
            </w:r>
            <w:proofErr w:type="spellStart"/>
            <w:r w:rsidRPr="00301EED">
              <w:rPr>
                <w:rFonts w:ascii="Times New Roman" w:hAnsi="Times New Roman" w:cs="Times New Roman"/>
                <w:bCs/>
                <w:color w:val="000000"/>
                <w:sz w:val="24"/>
                <w:szCs w:val="24"/>
              </w:rPr>
              <w:t>tax</w:t>
            </w:r>
            <w:proofErr w:type="spellEnd"/>
            <w:r w:rsidRPr="00301EED">
              <w:rPr>
                <w:rFonts w:ascii="Times New Roman" w:hAnsi="Times New Roman" w:cs="Times New Roman"/>
                <w:bCs/>
                <w:color w:val="000000"/>
                <w:sz w:val="24"/>
                <w:szCs w:val="24"/>
              </w:rPr>
              <w:t>", "</w:t>
            </w:r>
            <w:proofErr w:type="spellStart"/>
            <w:r w:rsidRPr="00301EED">
              <w:rPr>
                <w:rFonts w:ascii="Times New Roman" w:hAnsi="Times New Roman" w:cs="Times New Roman"/>
                <w:bCs/>
                <w:color w:val="000000"/>
                <w:sz w:val="24"/>
                <w:szCs w:val="24"/>
              </w:rPr>
              <w:t>occupancy</w:t>
            </w:r>
            <w:proofErr w:type="spellEnd"/>
            <w:r w:rsidRPr="00301EED">
              <w:rPr>
                <w:rFonts w:ascii="Times New Roman" w:hAnsi="Times New Roman" w:cs="Times New Roman"/>
                <w:bCs/>
                <w:color w:val="000000"/>
                <w:sz w:val="24"/>
                <w:szCs w:val="24"/>
              </w:rPr>
              <w:t xml:space="preserve"> </w:t>
            </w:r>
            <w:proofErr w:type="spellStart"/>
            <w:r w:rsidRPr="00301EED">
              <w:rPr>
                <w:rFonts w:ascii="Times New Roman" w:hAnsi="Times New Roman" w:cs="Times New Roman"/>
                <w:bCs/>
                <w:color w:val="000000"/>
                <w:sz w:val="24"/>
                <w:szCs w:val="24"/>
              </w:rPr>
              <w:t>tax</w:t>
            </w:r>
            <w:proofErr w:type="spellEnd"/>
            <w:r w:rsidRPr="00301EED">
              <w:rPr>
                <w:rFonts w:ascii="Times New Roman" w:hAnsi="Times New Roman" w:cs="Times New Roman"/>
                <w:bCs/>
                <w:color w:val="000000"/>
                <w:sz w:val="24"/>
                <w:szCs w:val="24"/>
              </w:rPr>
              <w:t>". Tāpat arī dažādām transporta kompānijām ir atšķirīga pieeja rēķinu sastādīšanā - reizēm kā atsevišķas izmaksas tiek norādītas degvielas piemaksas, administratīvās izmaksas, transakcijas izmaksas.  Tomēr visas iepriekšminētās izmaksas nav atdalāmas no pamatpakalpojuma iegādes un tāpēc nebūtu uzskatāmas par neattiecināmām izmaksām. Turklāt atšķirībā no PVN, minētās "papildizmaksas" nav atgūstamas.</w:t>
            </w:r>
          </w:p>
          <w:p w:rsidR="00B01526" w:rsidRPr="00301EED" w:rsidRDefault="00B01526" w:rsidP="00B01526">
            <w:pPr>
              <w:spacing w:after="0" w:line="240" w:lineRule="auto"/>
              <w:ind w:firstLine="567"/>
              <w:jc w:val="both"/>
              <w:rPr>
                <w:rFonts w:ascii="Times New Roman" w:hAnsi="Times New Roman" w:cs="Times New Roman"/>
                <w:bCs/>
                <w:color w:val="000000"/>
                <w:sz w:val="24"/>
                <w:szCs w:val="24"/>
              </w:rPr>
            </w:pPr>
            <w:r w:rsidRPr="00301EED">
              <w:rPr>
                <w:rFonts w:ascii="Times New Roman" w:hAnsi="Times New Roman" w:cs="Times New Roman"/>
                <w:bCs/>
                <w:color w:val="000000"/>
                <w:sz w:val="24"/>
                <w:szCs w:val="24"/>
              </w:rPr>
              <w:t>Papildus iepriekšminētajam šādu salīdzinoši sīku summu pārrēķins rada nesamērīgu administratīvi slogu uzņēmumiem, kā arī uzskatāms par nelietderīgu veidu kā izmantot LIAA resursus, attiecīgi nepieciešami grozījumi 25.6.apakšpunktā.</w:t>
            </w:r>
          </w:p>
          <w:p w:rsidR="00E44A48" w:rsidRPr="00301EED" w:rsidRDefault="00384723" w:rsidP="00384723">
            <w:pPr>
              <w:spacing w:after="0" w:line="240" w:lineRule="auto"/>
              <w:ind w:firstLine="567"/>
              <w:jc w:val="both"/>
              <w:rPr>
                <w:rFonts w:ascii="Times New Roman" w:eastAsia="Calibri" w:hAnsi="Times New Roman" w:cs="Times New Roman"/>
                <w:sz w:val="24"/>
                <w:szCs w:val="24"/>
              </w:rPr>
            </w:pPr>
            <w:r w:rsidRPr="00301EED">
              <w:rPr>
                <w:rFonts w:ascii="Times New Roman" w:eastAsia="Calibri" w:hAnsi="Times New Roman" w:cs="Times New Roman"/>
                <w:sz w:val="24"/>
                <w:szCs w:val="24"/>
              </w:rPr>
              <w:t>Ir nepieciešams papildināt noteikumus ar 25.8.apakšpunktu lai varētu attiecināt neatgūstamus pievienotās vērtības nodokļa (turpmāk – PVN) maksājumus. Šobrīd komersanti, kas piedalās izstādēs, kuras notiek valstīs, ar kurām nav noslēgts nodokļu dubultās neaplikšanas līgums, paši maksā PVS izdevumus. Lai komersantiem būtu iespējas vienlīdzīgi piedalīties izstādēs visās valstīs nepieciešams attiecināt neatgūstamos PVN maksājumus. Termiņš – 201</w:t>
            </w:r>
            <w:r w:rsidR="00636D88">
              <w:rPr>
                <w:rFonts w:ascii="Times New Roman" w:eastAsia="Calibri" w:hAnsi="Times New Roman" w:cs="Times New Roman"/>
                <w:sz w:val="24"/>
                <w:szCs w:val="24"/>
              </w:rPr>
              <w:t>3</w:t>
            </w:r>
            <w:r w:rsidRPr="00301EED">
              <w:rPr>
                <w:rFonts w:ascii="Times New Roman" w:eastAsia="Calibri" w:hAnsi="Times New Roman" w:cs="Times New Roman"/>
                <w:sz w:val="24"/>
                <w:szCs w:val="24"/>
              </w:rPr>
              <w:t>.gada 1.</w:t>
            </w:r>
            <w:r w:rsidR="00F72D10">
              <w:rPr>
                <w:rFonts w:ascii="Times New Roman" w:eastAsia="Calibri" w:hAnsi="Times New Roman" w:cs="Times New Roman"/>
                <w:sz w:val="24"/>
                <w:szCs w:val="24"/>
              </w:rPr>
              <w:t>janvāris</w:t>
            </w:r>
            <w:r w:rsidRPr="00301EED">
              <w:rPr>
                <w:rFonts w:ascii="Times New Roman" w:eastAsia="Calibri" w:hAnsi="Times New Roman" w:cs="Times New Roman"/>
                <w:sz w:val="24"/>
                <w:szCs w:val="24"/>
              </w:rPr>
              <w:t xml:space="preserve"> ir noteikts, lai valsts aģentūrai „Latvijas Investīciju un attīstības aģentūra” </w:t>
            </w:r>
            <w:r w:rsidR="00C0721F" w:rsidRPr="00301EED">
              <w:rPr>
                <w:rFonts w:ascii="Times New Roman" w:eastAsia="Calibri" w:hAnsi="Times New Roman" w:cs="Times New Roman"/>
                <w:sz w:val="24"/>
                <w:szCs w:val="24"/>
              </w:rPr>
              <w:t xml:space="preserve">mazinātu administratīvo slogu - </w:t>
            </w:r>
            <w:r w:rsidRPr="00301EED">
              <w:rPr>
                <w:rFonts w:ascii="Times New Roman" w:eastAsia="Calibri" w:hAnsi="Times New Roman" w:cs="Times New Roman"/>
                <w:sz w:val="24"/>
                <w:szCs w:val="24"/>
              </w:rPr>
              <w:t>nebūtu jāpārskata iepriekš noslēgtie līgumi,</w:t>
            </w:r>
            <w:r w:rsidR="00C0721F" w:rsidRPr="00301EED">
              <w:rPr>
                <w:rFonts w:ascii="Times New Roman" w:hAnsi="Times New Roman" w:cs="Times New Roman"/>
              </w:rPr>
              <w:t xml:space="preserve"> </w:t>
            </w:r>
            <w:r w:rsidR="00C0721F" w:rsidRPr="00301EED">
              <w:rPr>
                <w:rFonts w:ascii="Times New Roman" w:eastAsia="Calibri" w:hAnsi="Times New Roman" w:cs="Times New Roman"/>
                <w:sz w:val="24"/>
                <w:szCs w:val="24"/>
              </w:rPr>
              <w:t>kā arī dotu laiku, 1 mēneša apmērā, saskaņot projekta iesnieguma vērtēšanas metodiku</w:t>
            </w:r>
            <w:r w:rsidRPr="00301EED">
              <w:rPr>
                <w:rFonts w:ascii="Times New Roman" w:eastAsia="Calibri" w:hAnsi="Times New Roman" w:cs="Times New Roman"/>
                <w:sz w:val="24"/>
                <w:szCs w:val="24"/>
              </w:rPr>
              <w:t>.</w:t>
            </w:r>
          </w:p>
          <w:p w:rsidR="00384723" w:rsidRPr="00301EED" w:rsidRDefault="00384723" w:rsidP="00384723">
            <w:pPr>
              <w:spacing w:after="0" w:line="240" w:lineRule="auto"/>
              <w:ind w:firstLine="567"/>
              <w:jc w:val="both"/>
              <w:rPr>
                <w:rFonts w:ascii="Times New Roman" w:eastAsia="Calibri" w:hAnsi="Times New Roman" w:cs="Times New Roman"/>
                <w:sz w:val="24"/>
                <w:szCs w:val="24"/>
              </w:rPr>
            </w:pPr>
            <w:r w:rsidRPr="00301EED">
              <w:rPr>
                <w:rFonts w:ascii="Times New Roman" w:eastAsia="Calibri" w:hAnsi="Times New Roman" w:cs="Times New Roman"/>
                <w:sz w:val="24"/>
                <w:szCs w:val="24"/>
              </w:rPr>
              <w:t xml:space="preserve">Grozījumi projektu iesniegumu veidlapā ir nepieciešami lai PVN varētu iekļaut pie attiecināmajiem maksājumiem. </w:t>
            </w:r>
          </w:p>
          <w:p w:rsidR="008E0C46" w:rsidRPr="00301EED" w:rsidRDefault="00384723" w:rsidP="00B01526">
            <w:pPr>
              <w:spacing w:after="0" w:line="240" w:lineRule="auto"/>
              <w:ind w:firstLine="567"/>
              <w:jc w:val="both"/>
              <w:rPr>
                <w:rFonts w:ascii="Times New Roman" w:eastAsia="Calibri" w:hAnsi="Times New Roman" w:cs="Times New Roman"/>
                <w:sz w:val="24"/>
                <w:szCs w:val="24"/>
              </w:rPr>
            </w:pPr>
            <w:r w:rsidRPr="00301EED">
              <w:rPr>
                <w:rFonts w:ascii="Times New Roman" w:eastAsia="Calibri" w:hAnsi="Times New Roman" w:cs="Times New Roman"/>
                <w:sz w:val="24"/>
                <w:szCs w:val="24"/>
              </w:rPr>
              <w:t>Groz</w:t>
            </w:r>
            <w:r w:rsidR="00B01526" w:rsidRPr="00301EED">
              <w:rPr>
                <w:rFonts w:ascii="Times New Roman" w:eastAsia="Calibri" w:hAnsi="Times New Roman" w:cs="Times New Roman"/>
                <w:sz w:val="24"/>
                <w:szCs w:val="24"/>
              </w:rPr>
              <w:t>ījumi 26.punktā tiek veikti lai</w:t>
            </w:r>
            <w:r w:rsidRPr="00301EED">
              <w:rPr>
                <w:rFonts w:ascii="Times New Roman" w:eastAsia="Calibri" w:hAnsi="Times New Roman" w:cs="Times New Roman"/>
                <w:sz w:val="24"/>
                <w:szCs w:val="24"/>
              </w:rPr>
              <w:t xml:space="preserve"> </w:t>
            </w:r>
            <w:r w:rsidR="00B01526" w:rsidRPr="00301EED">
              <w:rPr>
                <w:rFonts w:ascii="Times New Roman" w:eastAsia="Calibri" w:hAnsi="Times New Roman" w:cs="Times New Roman"/>
                <w:sz w:val="24"/>
                <w:szCs w:val="24"/>
              </w:rPr>
              <w:t xml:space="preserve">saskaņotu noteikumu punktā minēto </w:t>
            </w:r>
            <w:r w:rsidRPr="00301EED">
              <w:rPr>
                <w:rFonts w:ascii="Times New Roman" w:eastAsia="Calibri" w:hAnsi="Times New Roman" w:cs="Times New Roman"/>
                <w:sz w:val="24"/>
                <w:szCs w:val="24"/>
              </w:rPr>
              <w:t xml:space="preserve">ar </w:t>
            </w:r>
            <w:r w:rsidR="00711FE0" w:rsidRPr="00301EED">
              <w:rPr>
                <w:rFonts w:ascii="Times New Roman" w:eastAsia="Calibri" w:hAnsi="Times New Roman" w:cs="Times New Roman"/>
                <w:sz w:val="24"/>
                <w:szCs w:val="24"/>
              </w:rPr>
              <w:t>Eiropas Komisijas paziņojumu</w:t>
            </w:r>
            <w:r w:rsidRPr="00301EED">
              <w:rPr>
                <w:rFonts w:ascii="Times New Roman" w:eastAsia="Calibri" w:hAnsi="Times New Roman" w:cs="Times New Roman"/>
                <w:sz w:val="24"/>
                <w:szCs w:val="24"/>
              </w:rPr>
              <w:t xml:space="preserve"> (2004/C 244/02)</w:t>
            </w:r>
            <w:r w:rsidR="00711FE0" w:rsidRPr="00301EED">
              <w:rPr>
                <w:rFonts w:ascii="Times New Roman" w:eastAsia="Calibri" w:hAnsi="Times New Roman" w:cs="Times New Roman"/>
                <w:sz w:val="24"/>
                <w:szCs w:val="24"/>
              </w:rPr>
              <w:t xml:space="preserve"> </w:t>
            </w:r>
            <w:r w:rsidRPr="00301EED">
              <w:rPr>
                <w:rFonts w:ascii="Times New Roman" w:eastAsia="Calibri" w:hAnsi="Times New Roman" w:cs="Times New Roman"/>
                <w:sz w:val="24"/>
                <w:szCs w:val="24"/>
              </w:rPr>
              <w:t xml:space="preserve">„Kopienas Pamatnostādnes par valsts atbalstu grūtībās nonākušu uzņēmumu glābšanai un pārstrukturēšanai”, kur noteikts, ka komersants </w:t>
            </w:r>
            <w:r w:rsidR="00B01526" w:rsidRPr="00301EED">
              <w:rPr>
                <w:rFonts w:ascii="Times New Roman" w:eastAsia="Calibri" w:hAnsi="Times New Roman" w:cs="Times New Roman"/>
                <w:sz w:val="24"/>
                <w:szCs w:val="24"/>
              </w:rPr>
              <w:t>uzskatāms par jaundibinātu pirmos trīs gadus no reģistrācijas brīža.  Noteikumu 26.punktā noteiktais viena gada laika periods, kuram beidzoties kopējās projekta attiecināmās izmaksas nedrīkst pārsniegt  30% no projekta iesniedzēja pēdējā noslēgtā gada konsolidētā apgrozījuma</w:t>
            </w:r>
            <w:r w:rsidR="00FE164F" w:rsidRPr="00301EED">
              <w:rPr>
                <w:rFonts w:ascii="Times New Roman" w:eastAsia="Calibri" w:hAnsi="Times New Roman" w:cs="Times New Roman"/>
                <w:sz w:val="24"/>
                <w:szCs w:val="24"/>
              </w:rPr>
              <w:t>,</w:t>
            </w:r>
            <w:r w:rsidR="00B01526" w:rsidRPr="00301EED">
              <w:rPr>
                <w:rFonts w:ascii="Times New Roman" w:eastAsia="Calibri" w:hAnsi="Times New Roman" w:cs="Times New Roman"/>
                <w:sz w:val="24"/>
                <w:szCs w:val="24"/>
              </w:rPr>
              <w:t xml:space="preserve"> nav pietiekams, ņemot vērā, ka, piemēram, ražošanas uzņēmumam sākotnēji ir jāuzceļ ražotne, tā ražošanas uzsākšanas tehnoloģiskais process ir garš un pārdošanai var būt raksturīga sezonalitāte.</w:t>
            </w:r>
            <w:r w:rsidR="00C0721F" w:rsidRPr="00301EED">
              <w:rPr>
                <w:rFonts w:ascii="Times New Roman" w:eastAsia="Calibri" w:hAnsi="Times New Roman" w:cs="Times New Roman"/>
                <w:sz w:val="24"/>
                <w:szCs w:val="24"/>
              </w:rPr>
              <w:t xml:space="preserve"> Balstoties uz iepriekšminēto tiek pagarināts termiņš, kura laikā 4000 latu  var attiecināt kā maksimālās attiecināmās izmaksas, gadījumā ja 30 % no projekta iesniedzēja konsolidētā apgrozījuma ir mazāk par 4000 latiem.</w:t>
            </w:r>
          </w:p>
        </w:tc>
      </w:tr>
      <w:tr w:rsidR="00D40CFC" w:rsidRPr="00301EED" w:rsidTr="002774E4">
        <w:trPr>
          <w:trHeight w:val="360"/>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lastRenderedPageBreak/>
              <w:t xml:space="preserve">3. Saistītie politikas ietekmes novērtējumi </w:t>
            </w:r>
            <w:r w:rsidRPr="00301EED">
              <w:rPr>
                <w:rFonts w:ascii="Times New Roman" w:eastAsia="Times New Roman" w:hAnsi="Times New Roman" w:cs="Times New Roman"/>
                <w:sz w:val="24"/>
                <w:szCs w:val="24"/>
                <w:lang w:eastAsia="lv-LV"/>
              </w:rPr>
              <w:lastRenderedPageBreak/>
              <w:t>un pētījumi</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722173" w:rsidP="00D40CFC">
            <w:pPr>
              <w:spacing w:after="0" w:line="240" w:lineRule="auto"/>
              <w:ind w:firstLine="567"/>
              <w:jc w:val="both"/>
              <w:rPr>
                <w:rFonts w:ascii="Times New Roman" w:eastAsia="Calibri" w:hAnsi="Times New Roman" w:cs="Times New Roman"/>
                <w:color w:val="000000"/>
                <w:sz w:val="24"/>
                <w:szCs w:val="24"/>
              </w:rPr>
            </w:pPr>
            <w:r w:rsidRPr="00301EED">
              <w:rPr>
                <w:rFonts w:ascii="Times New Roman" w:eastAsia="Calibri" w:hAnsi="Times New Roman" w:cs="Times New Roman"/>
                <w:color w:val="000000"/>
                <w:sz w:val="24"/>
                <w:szCs w:val="24"/>
              </w:rPr>
              <w:lastRenderedPageBreak/>
              <w:t>Projekts šo jomu neskar.</w:t>
            </w:r>
          </w:p>
        </w:tc>
      </w:tr>
      <w:tr w:rsidR="00D40CFC" w:rsidRPr="00301EED" w:rsidTr="002774E4">
        <w:trPr>
          <w:trHeight w:val="24"/>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lastRenderedPageBreak/>
              <w:t>4. Tiesiskā regulējuma mērķis un būtība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4F067D" w:rsidRPr="00301EED" w:rsidRDefault="004F067D" w:rsidP="004F067D">
            <w:pPr>
              <w:spacing w:after="0" w:line="240" w:lineRule="auto"/>
              <w:ind w:firstLine="709"/>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 xml:space="preserve">Noteikumu </w:t>
            </w:r>
            <w:r w:rsidR="003F69FC" w:rsidRPr="00301EED">
              <w:rPr>
                <w:rFonts w:ascii="Times New Roman" w:eastAsia="Calibri" w:hAnsi="Times New Roman" w:cs="Times New Roman"/>
                <w:bCs/>
                <w:sz w:val="24"/>
                <w:szCs w:val="24"/>
              </w:rPr>
              <w:t>projekts paredz veikt grozījumu</w:t>
            </w:r>
            <w:r w:rsidR="00DA4AF0" w:rsidRPr="00301EED">
              <w:rPr>
                <w:rFonts w:ascii="Times New Roman" w:eastAsia="Calibri" w:hAnsi="Times New Roman" w:cs="Times New Roman"/>
                <w:bCs/>
                <w:sz w:val="24"/>
                <w:szCs w:val="24"/>
              </w:rPr>
              <w:t>s</w:t>
            </w:r>
            <w:r w:rsidR="00441A58">
              <w:rPr>
                <w:rFonts w:ascii="Times New Roman" w:eastAsia="Calibri" w:hAnsi="Times New Roman" w:cs="Times New Roman"/>
                <w:bCs/>
                <w:sz w:val="24"/>
                <w:szCs w:val="24"/>
              </w:rPr>
              <w:t xml:space="preserve"> </w:t>
            </w:r>
            <w:r w:rsidR="00441A58">
              <w:rPr>
                <w:rFonts w:ascii="Times New Roman" w:eastAsia="Calibri" w:hAnsi="Times New Roman" w:cs="Times New Roman"/>
                <w:bCs/>
                <w:sz w:val="24"/>
                <w:szCs w:val="24"/>
              </w:rPr>
              <w:t xml:space="preserve">(grozījumi </w:t>
            </w:r>
            <w:r w:rsidR="00441A58" w:rsidRPr="00441A58">
              <w:rPr>
                <w:rFonts w:ascii="Times New Roman" w:eastAsia="Calibri" w:hAnsi="Times New Roman" w:cs="Times New Roman"/>
                <w:bCs/>
                <w:sz w:val="24"/>
                <w:szCs w:val="24"/>
              </w:rPr>
              <w:t>stājās spēkā 2013.gada 1.janvārī</w:t>
            </w:r>
            <w:r w:rsidR="00441A58">
              <w:rPr>
                <w:rFonts w:ascii="Times New Roman" w:eastAsia="Calibri" w:hAnsi="Times New Roman" w:cs="Times New Roman"/>
                <w:bCs/>
                <w:sz w:val="24"/>
                <w:szCs w:val="24"/>
              </w:rPr>
              <w:t>)</w:t>
            </w:r>
            <w:r w:rsidRPr="00301EED">
              <w:rPr>
                <w:rFonts w:ascii="Times New Roman" w:eastAsia="Calibri" w:hAnsi="Times New Roman" w:cs="Times New Roman"/>
                <w:bCs/>
                <w:sz w:val="24"/>
                <w:szCs w:val="24"/>
              </w:rPr>
              <w:t xml:space="preserve"> M</w:t>
            </w:r>
            <w:r w:rsidR="003F69FC" w:rsidRPr="00301EED">
              <w:rPr>
                <w:rFonts w:ascii="Times New Roman" w:eastAsia="Calibri" w:hAnsi="Times New Roman" w:cs="Times New Roman"/>
                <w:bCs/>
                <w:sz w:val="24"/>
                <w:szCs w:val="24"/>
              </w:rPr>
              <w:t>inistru kabineta</w:t>
            </w:r>
            <w:r w:rsidRPr="00301EED">
              <w:rPr>
                <w:rFonts w:ascii="Times New Roman" w:eastAsia="Calibri" w:hAnsi="Times New Roman" w:cs="Times New Roman"/>
                <w:bCs/>
                <w:sz w:val="24"/>
                <w:szCs w:val="24"/>
              </w:rPr>
              <w:t xml:space="preserve"> noteikumos Nr.</w:t>
            </w:r>
            <w:r w:rsidR="00FD43F4" w:rsidRPr="00301EED">
              <w:rPr>
                <w:rFonts w:ascii="Times New Roman" w:eastAsia="Calibri" w:hAnsi="Times New Roman" w:cs="Times New Roman"/>
                <w:bCs/>
                <w:sz w:val="24"/>
                <w:szCs w:val="24"/>
              </w:rPr>
              <w:t>582</w:t>
            </w:r>
            <w:r w:rsidRPr="00301EED">
              <w:rPr>
                <w:rFonts w:ascii="Times New Roman" w:eastAsia="Calibri" w:hAnsi="Times New Roman" w:cs="Times New Roman"/>
                <w:bCs/>
                <w:sz w:val="24"/>
                <w:szCs w:val="24"/>
              </w:rPr>
              <w:t>, izdarot šād</w:t>
            </w:r>
            <w:r w:rsidR="003F69FC" w:rsidRPr="00301EED">
              <w:rPr>
                <w:rFonts w:ascii="Times New Roman" w:eastAsia="Calibri" w:hAnsi="Times New Roman" w:cs="Times New Roman"/>
                <w:bCs/>
                <w:sz w:val="24"/>
                <w:szCs w:val="24"/>
              </w:rPr>
              <w:t xml:space="preserve">u </w:t>
            </w:r>
            <w:r w:rsidRPr="00301EED">
              <w:rPr>
                <w:rFonts w:ascii="Times New Roman" w:eastAsia="Calibri" w:hAnsi="Times New Roman" w:cs="Times New Roman"/>
                <w:bCs/>
                <w:sz w:val="24"/>
                <w:szCs w:val="24"/>
              </w:rPr>
              <w:t>izmaiņ</w:t>
            </w:r>
            <w:r w:rsidR="003F69FC" w:rsidRPr="00301EED">
              <w:rPr>
                <w:rFonts w:ascii="Times New Roman" w:eastAsia="Calibri" w:hAnsi="Times New Roman" w:cs="Times New Roman"/>
                <w:bCs/>
                <w:sz w:val="24"/>
                <w:szCs w:val="24"/>
              </w:rPr>
              <w:t>u</w:t>
            </w:r>
            <w:r w:rsidRPr="00301EED">
              <w:rPr>
                <w:rFonts w:ascii="Times New Roman" w:eastAsia="Calibri" w:hAnsi="Times New Roman" w:cs="Times New Roman"/>
                <w:bCs/>
                <w:sz w:val="24"/>
                <w:szCs w:val="24"/>
              </w:rPr>
              <w:t>:</w:t>
            </w:r>
          </w:p>
          <w:p w:rsidR="0091261D" w:rsidRPr="00301EED" w:rsidRDefault="008D678E" w:rsidP="003F69FC">
            <w:pPr>
              <w:pStyle w:val="ListParagraph"/>
              <w:numPr>
                <w:ilvl w:val="0"/>
                <w:numId w:val="4"/>
              </w:numPr>
              <w:spacing w:after="0" w:line="240" w:lineRule="auto"/>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 xml:space="preserve">precizēt </w:t>
            </w:r>
            <w:r w:rsidR="003F69FC" w:rsidRPr="00301EED">
              <w:rPr>
                <w:rFonts w:ascii="Times New Roman" w:eastAsia="Calibri" w:hAnsi="Times New Roman" w:cs="Times New Roman"/>
                <w:bCs/>
                <w:sz w:val="24"/>
                <w:szCs w:val="24"/>
              </w:rPr>
              <w:t>noteikumu</w:t>
            </w:r>
            <w:r w:rsidRPr="00301EED">
              <w:rPr>
                <w:rFonts w:ascii="Times New Roman" w:eastAsia="Calibri" w:hAnsi="Times New Roman" w:cs="Times New Roman"/>
                <w:bCs/>
                <w:sz w:val="24"/>
                <w:szCs w:val="24"/>
              </w:rPr>
              <w:t xml:space="preserve"> </w:t>
            </w:r>
            <w:r w:rsidR="003F69FC" w:rsidRPr="00301EED">
              <w:rPr>
                <w:rFonts w:ascii="Times New Roman" w:eastAsia="Calibri" w:hAnsi="Times New Roman" w:cs="Times New Roman"/>
                <w:bCs/>
                <w:sz w:val="24"/>
                <w:szCs w:val="24"/>
              </w:rPr>
              <w:t>9</w:t>
            </w:r>
            <w:r w:rsidRPr="00301EED">
              <w:rPr>
                <w:rFonts w:ascii="Times New Roman" w:eastAsia="Calibri" w:hAnsi="Times New Roman" w:cs="Times New Roman"/>
                <w:bCs/>
                <w:sz w:val="24"/>
                <w:szCs w:val="24"/>
              </w:rPr>
              <w:t>.punktu</w:t>
            </w:r>
            <w:r w:rsidR="0091261D" w:rsidRPr="00301EED">
              <w:rPr>
                <w:rFonts w:ascii="Times New Roman" w:eastAsia="Calibri" w:hAnsi="Times New Roman" w:cs="Times New Roman"/>
                <w:bCs/>
                <w:sz w:val="24"/>
                <w:szCs w:val="24"/>
              </w:rPr>
              <w:t xml:space="preserve">, </w:t>
            </w:r>
            <w:r w:rsidRPr="00301EED">
              <w:rPr>
                <w:rFonts w:ascii="Times New Roman" w:eastAsia="Calibri" w:hAnsi="Times New Roman" w:cs="Times New Roman"/>
                <w:bCs/>
                <w:sz w:val="24"/>
                <w:szCs w:val="24"/>
              </w:rPr>
              <w:t xml:space="preserve"> </w:t>
            </w:r>
            <w:r w:rsidR="003F69FC" w:rsidRPr="00301EED">
              <w:rPr>
                <w:rFonts w:ascii="Times New Roman" w:eastAsia="Calibri" w:hAnsi="Times New Roman" w:cs="Times New Roman"/>
                <w:bCs/>
                <w:sz w:val="24"/>
                <w:szCs w:val="24"/>
              </w:rPr>
              <w:t xml:space="preserve">samazinot ERAF </w:t>
            </w:r>
            <w:r w:rsidRPr="00301EED">
              <w:rPr>
                <w:rFonts w:ascii="Times New Roman" w:eastAsia="Calibri" w:hAnsi="Times New Roman" w:cs="Times New Roman"/>
                <w:bCs/>
                <w:sz w:val="24"/>
                <w:szCs w:val="24"/>
              </w:rPr>
              <w:t xml:space="preserve">finansējumu līdz </w:t>
            </w:r>
            <w:r w:rsidR="003F69FC" w:rsidRPr="00301EED">
              <w:rPr>
                <w:rFonts w:ascii="Times New Roman" w:eastAsia="Calibri" w:hAnsi="Times New Roman" w:cs="Times New Roman"/>
                <w:bCs/>
                <w:sz w:val="24"/>
                <w:szCs w:val="24"/>
              </w:rPr>
              <w:t xml:space="preserve">9 933 911 </w:t>
            </w:r>
            <w:r w:rsidRPr="00301EED">
              <w:rPr>
                <w:rFonts w:ascii="Times New Roman" w:eastAsia="Calibri" w:hAnsi="Times New Roman" w:cs="Times New Roman"/>
                <w:bCs/>
                <w:sz w:val="24"/>
                <w:szCs w:val="24"/>
              </w:rPr>
              <w:t>latiem.</w:t>
            </w:r>
            <w:r w:rsidR="00E4531E" w:rsidRPr="00301EED">
              <w:rPr>
                <w:rFonts w:ascii="Times New Roman" w:eastAsia="Calibri" w:hAnsi="Times New Roman" w:cs="Times New Roman"/>
                <w:bCs/>
                <w:sz w:val="24"/>
                <w:szCs w:val="24"/>
              </w:rPr>
              <w:t xml:space="preserve"> </w:t>
            </w:r>
            <w:r w:rsidR="003F69FC" w:rsidRPr="00301EED">
              <w:rPr>
                <w:rFonts w:ascii="Times New Roman" w:eastAsia="Calibri" w:hAnsi="Times New Roman" w:cs="Times New Roman"/>
                <w:bCs/>
                <w:sz w:val="24"/>
                <w:szCs w:val="24"/>
              </w:rPr>
              <w:t>ERAF finansējums tiek samazināts par 2 500 000 latiem</w:t>
            </w:r>
            <w:r w:rsidR="00DA4AF0" w:rsidRPr="00301EED">
              <w:rPr>
                <w:rFonts w:ascii="Times New Roman" w:eastAsia="Calibri" w:hAnsi="Times New Roman" w:cs="Times New Roman"/>
                <w:bCs/>
                <w:sz w:val="24"/>
                <w:szCs w:val="24"/>
              </w:rPr>
              <w:t>;</w:t>
            </w:r>
          </w:p>
          <w:p w:rsidR="00A4530C" w:rsidRPr="00301EED" w:rsidRDefault="00A4530C" w:rsidP="003F69FC">
            <w:pPr>
              <w:pStyle w:val="ListParagraph"/>
              <w:numPr>
                <w:ilvl w:val="0"/>
                <w:numId w:val="4"/>
              </w:numPr>
              <w:spacing w:after="0" w:line="240" w:lineRule="auto"/>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precizēt 20.1.apakšpunkta grūtībās nonākuša komersanta definīciju, lai tā atbilstu aktuālai redakcijai;</w:t>
            </w:r>
          </w:p>
          <w:p w:rsidR="00DA4AF0" w:rsidRPr="00301EED" w:rsidRDefault="00DA4AF0" w:rsidP="003F69FC">
            <w:pPr>
              <w:pStyle w:val="ListParagraph"/>
              <w:numPr>
                <w:ilvl w:val="0"/>
                <w:numId w:val="4"/>
              </w:numPr>
              <w:spacing w:after="0" w:line="240" w:lineRule="auto"/>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papildināt 25.punktā minētās attiecināmās izmaksas ar neatgūstamiem PVN maksājumiem;</w:t>
            </w:r>
          </w:p>
          <w:p w:rsidR="00A4530C" w:rsidRPr="00301EED" w:rsidRDefault="00A4530C" w:rsidP="003F69FC">
            <w:pPr>
              <w:pStyle w:val="ListParagraph"/>
              <w:numPr>
                <w:ilvl w:val="0"/>
                <w:numId w:val="4"/>
              </w:numPr>
              <w:spacing w:after="0" w:line="240" w:lineRule="auto"/>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precizēt 25.6.apakšpunktu lai iekļautu ar viesnīcu un transportu pakalpojumiem sa</w:t>
            </w:r>
            <w:r w:rsidR="00301EED">
              <w:rPr>
                <w:rFonts w:ascii="Times New Roman" w:eastAsia="Calibri" w:hAnsi="Times New Roman" w:cs="Times New Roman"/>
                <w:bCs/>
                <w:sz w:val="24"/>
                <w:szCs w:val="24"/>
              </w:rPr>
              <w:t>i</w:t>
            </w:r>
            <w:r w:rsidRPr="00301EED">
              <w:rPr>
                <w:rFonts w:ascii="Times New Roman" w:eastAsia="Calibri" w:hAnsi="Times New Roman" w:cs="Times New Roman"/>
                <w:bCs/>
                <w:sz w:val="24"/>
                <w:szCs w:val="24"/>
              </w:rPr>
              <w:t xml:space="preserve">stītas izmaksas; </w:t>
            </w:r>
          </w:p>
          <w:p w:rsidR="00DA4AF0" w:rsidRPr="00301EED" w:rsidRDefault="00DA4AF0" w:rsidP="00711FE0">
            <w:pPr>
              <w:pStyle w:val="ListParagraph"/>
              <w:numPr>
                <w:ilvl w:val="0"/>
                <w:numId w:val="4"/>
              </w:numPr>
              <w:spacing w:after="0" w:line="240" w:lineRule="auto"/>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precizēt 26.punktu</w:t>
            </w:r>
            <w:r w:rsidR="00936ECF" w:rsidRPr="00301EED">
              <w:rPr>
                <w:rFonts w:ascii="Times New Roman" w:eastAsia="Calibri" w:hAnsi="Times New Roman" w:cs="Times New Roman"/>
                <w:bCs/>
                <w:sz w:val="24"/>
                <w:szCs w:val="24"/>
              </w:rPr>
              <w:t xml:space="preserve"> pagarinot</w:t>
            </w:r>
            <w:r w:rsidR="00711FE0" w:rsidRPr="00301EED">
              <w:rPr>
                <w:rFonts w:ascii="Times New Roman" w:eastAsia="Calibri" w:hAnsi="Times New Roman" w:cs="Times New Roman"/>
                <w:bCs/>
                <w:sz w:val="24"/>
                <w:szCs w:val="24"/>
              </w:rPr>
              <w:t xml:space="preserve"> termiņu</w:t>
            </w:r>
            <w:r w:rsidR="00936ECF" w:rsidRPr="00301EED">
              <w:rPr>
                <w:rFonts w:ascii="Times New Roman" w:eastAsia="Calibri" w:hAnsi="Times New Roman" w:cs="Times New Roman"/>
                <w:bCs/>
                <w:sz w:val="24"/>
                <w:szCs w:val="24"/>
              </w:rPr>
              <w:t xml:space="preserve"> no viena līdz trim gadiem</w:t>
            </w:r>
            <w:r w:rsidR="00711FE0" w:rsidRPr="00301EED">
              <w:rPr>
                <w:rFonts w:ascii="Times New Roman" w:eastAsia="Calibri" w:hAnsi="Times New Roman" w:cs="Times New Roman"/>
                <w:bCs/>
                <w:sz w:val="24"/>
                <w:szCs w:val="24"/>
              </w:rPr>
              <w:t xml:space="preserve">, kura laikā </w:t>
            </w:r>
            <w:r w:rsidR="00936ECF" w:rsidRPr="00301EED">
              <w:rPr>
                <w:rFonts w:ascii="Times New Roman" w:eastAsia="Calibri" w:hAnsi="Times New Roman" w:cs="Times New Roman"/>
                <w:bCs/>
                <w:sz w:val="24"/>
                <w:szCs w:val="24"/>
              </w:rPr>
              <w:t xml:space="preserve">maksimālās </w:t>
            </w:r>
            <w:r w:rsidR="00711FE0" w:rsidRPr="00301EED">
              <w:rPr>
                <w:rFonts w:ascii="Times New Roman" w:eastAsia="Calibri" w:hAnsi="Times New Roman" w:cs="Times New Roman"/>
                <w:bCs/>
                <w:sz w:val="24"/>
                <w:szCs w:val="24"/>
              </w:rPr>
              <w:t xml:space="preserve">attiecināmās izmaksas </w:t>
            </w:r>
            <w:r w:rsidR="00936ECF" w:rsidRPr="00301EED">
              <w:rPr>
                <w:rFonts w:ascii="Times New Roman" w:eastAsia="Calibri" w:hAnsi="Times New Roman" w:cs="Times New Roman"/>
                <w:bCs/>
                <w:sz w:val="24"/>
                <w:szCs w:val="24"/>
              </w:rPr>
              <w:t>var būt</w:t>
            </w:r>
            <w:r w:rsidR="00711FE0" w:rsidRPr="00301EED">
              <w:rPr>
                <w:rFonts w:ascii="Times New Roman" w:eastAsia="Calibri" w:hAnsi="Times New Roman" w:cs="Times New Roman"/>
                <w:bCs/>
                <w:sz w:val="24"/>
                <w:szCs w:val="24"/>
              </w:rPr>
              <w:t xml:space="preserve"> 4000 latu</w:t>
            </w:r>
            <w:r w:rsidR="00936ECF" w:rsidRPr="00301EED">
              <w:rPr>
                <w:rFonts w:ascii="Times New Roman" w:eastAsia="Calibri" w:hAnsi="Times New Roman" w:cs="Times New Roman"/>
                <w:bCs/>
                <w:sz w:val="24"/>
                <w:szCs w:val="24"/>
              </w:rPr>
              <w:t>, ja  uzņēmumam 30% no apgrozījuma ir mazāki par 4000 latiem</w:t>
            </w:r>
            <w:r w:rsidR="00300035" w:rsidRPr="00301EED">
              <w:rPr>
                <w:rFonts w:ascii="Times New Roman" w:eastAsia="Calibri" w:hAnsi="Times New Roman" w:cs="Times New Roman"/>
                <w:bCs/>
                <w:sz w:val="24"/>
                <w:szCs w:val="24"/>
              </w:rPr>
              <w:t>;</w:t>
            </w:r>
          </w:p>
          <w:p w:rsidR="00A4530C" w:rsidRPr="00301EED" w:rsidRDefault="00A4530C" w:rsidP="00A4530C">
            <w:pPr>
              <w:pStyle w:val="ListParagraph"/>
              <w:numPr>
                <w:ilvl w:val="0"/>
                <w:numId w:val="4"/>
              </w:numPr>
              <w:spacing w:after="0" w:line="240" w:lineRule="auto"/>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papildināt noteikumu projekta ie</w:t>
            </w:r>
            <w:r w:rsidR="0002619D" w:rsidRPr="00301EED">
              <w:rPr>
                <w:rFonts w:ascii="Times New Roman" w:eastAsia="Calibri" w:hAnsi="Times New Roman" w:cs="Times New Roman"/>
                <w:bCs/>
                <w:sz w:val="24"/>
                <w:szCs w:val="24"/>
              </w:rPr>
              <w:t>s</w:t>
            </w:r>
            <w:r w:rsidRPr="00301EED">
              <w:rPr>
                <w:rFonts w:ascii="Times New Roman" w:eastAsia="Calibri" w:hAnsi="Times New Roman" w:cs="Times New Roman"/>
                <w:bCs/>
                <w:sz w:val="24"/>
                <w:szCs w:val="24"/>
              </w:rPr>
              <w:t>nieguma veidlapas, lai iekļautu grozījumus par pievienotās vērtības nodokli.</w:t>
            </w:r>
          </w:p>
        </w:tc>
      </w:tr>
      <w:tr w:rsidR="00D40CFC" w:rsidRPr="00301EED"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5. Projekta izstrādē iesaistītās institūcijas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48552A" w:rsidP="00D40CFC">
            <w:pPr>
              <w:spacing w:after="0" w:line="240" w:lineRule="auto"/>
              <w:ind w:right="142" w:firstLine="567"/>
              <w:jc w:val="both"/>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Projekts šo jomu neskar.</w:t>
            </w:r>
          </w:p>
        </w:tc>
      </w:tr>
      <w:tr w:rsidR="00D40CFC" w:rsidRPr="00301EED"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6. Iemesli, kādēļ netika nodrošināta sabiedrības līdzdalība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8D678E" w:rsidP="00D40CFC">
            <w:pPr>
              <w:spacing w:after="0" w:line="240" w:lineRule="auto"/>
              <w:ind w:right="142" w:firstLine="567"/>
              <w:jc w:val="both"/>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Projekts šo jomu neskar.</w:t>
            </w:r>
            <w:r w:rsidR="0048552A" w:rsidRPr="00301EED">
              <w:rPr>
                <w:rFonts w:ascii="Times New Roman" w:eastAsia="Times New Roman" w:hAnsi="Times New Roman" w:cs="Times New Roman"/>
                <w:sz w:val="24"/>
                <w:szCs w:val="24"/>
                <w:lang w:eastAsia="lv-LV"/>
              </w:rPr>
              <w:t xml:space="preserve"> </w:t>
            </w:r>
          </w:p>
        </w:tc>
      </w:tr>
      <w:tr w:rsidR="00D40CFC" w:rsidRPr="00301EED"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 7. Cita informācija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01EED" w:rsidRDefault="008D678E" w:rsidP="00D40CFC">
            <w:pPr>
              <w:spacing w:after="0" w:line="240" w:lineRule="auto"/>
              <w:ind w:firstLine="567"/>
              <w:jc w:val="both"/>
              <w:rPr>
                <w:rFonts w:ascii="Times New Roman" w:eastAsia="Calibri" w:hAnsi="Times New Roman" w:cs="Times New Roman"/>
                <w:sz w:val="24"/>
                <w:szCs w:val="24"/>
              </w:rPr>
            </w:pPr>
            <w:r w:rsidRPr="00301EED">
              <w:rPr>
                <w:rFonts w:ascii="Times New Roman" w:eastAsia="Calibri" w:hAnsi="Times New Roman" w:cs="Times New Roman"/>
                <w:sz w:val="24"/>
                <w:szCs w:val="24"/>
              </w:rPr>
              <w:t>Projekts šo jomu neskar.</w:t>
            </w:r>
          </w:p>
        </w:tc>
      </w:tr>
    </w:tbl>
    <w:p w:rsidR="00D40CFC" w:rsidRPr="00301EED" w:rsidRDefault="00D40CFC" w:rsidP="00D40CFC">
      <w:pPr>
        <w:spacing w:after="0" w:line="240" w:lineRule="auto"/>
        <w:jc w:val="center"/>
        <w:rPr>
          <w:rFonts w:ascii="Times New Roman" w:eastAsia="Arial Unicode MS" w:hAnsi="Times New Roman" w:cs="Times New Roman"/>
          <w:b/>
          <w:sz w:val="24"/>
          <w:szCs w:val="24"/>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456"/>
        <w:gridCol w:w="3543"/>
        <w:gridCol w:w="5357"/>
      </w:tblGrid>
      <w:tr w:rsidR="00D40CFC" w:rsidRPr="00301EED" w:rsidTr="00FD2F61">
        <w:tc>
          <w:tcPr>
            <w:tcW w:w="9356" w:type="dxa"/>
            <w:gridSpan w:val="3"/>
            <w:vAlign w:val="center"/>
          </w:tcPr>
          <w:p w:rsidR="00D40CFC" w:rsidRPr="00301EED" w:rsidRDefault="00D40CFC" w:rsidP="00D40CFC">
            <w:pPr>
              <w:spacing w:after="0" w:line="240" w:lineRule="auto"/>
              <w:jc w:val="center"/>
              <w:rPr>
                <w:rFonts w:ascii="Times New Roman" w:eastAsia="Times New Roman" w:hAnsi="Times New Roman" w:cs="Times New Roman"/>
                <w:b/>
                <w:bCs/>
                <w:sz w:val="24"/>
                <w:szCs w:val="24"/>
                <w:lang w:eastAsia="lv-LV"/>
              </w:rPr>
            </w:pPr>
            <w:r w:rsidRPr="00301EED">
              <w:rPr>
                <w:rFonts w:ascii="Times New Roman" w:eastAsia="Times New Roman" w:hAnsi="Times New Roman" w:cs="Times New Roman"/>
                <w:b/>
                <w:bCs/>
                <w:sz w:val="24"/>
                <w:szCs w:val="24"/>
                <w:lang w:eastAsia="lv-LV"/>
              </w:rPr>
              <w:t>II. Tiesību akta projekta ietekme uz sabiedrību</w:t>
            </w:r>
          </w:p>
        </w:tc>
      </w:tr>
      <w:tr w:rsidR="00D40CFC" w:rsidRPr="00301EED" w:rsidTr="0078211F">
        <w:trPr>
          <w:trHeight w:val="467"/>
        </w:trPr>
        <w:tc>
          <w:tcPr>
            <w:tcW w:w="456"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1.</w:t>
            </w:r>
          </w:p>
        </w:tc>
        <w:tc>
          <w:tcPr>
            <w:tcW w:w="3543"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 xml:space="preserve">Sabiedrības </w:t>
            </w:r>
            <w:proofErr w:type="spellStart"/>
            <w:r w:rsidRPr="00301EED">
              <w:rPr>
                <w:rFonts w:ascii="Times New Roman" w:eastAsia="Times New Roman" w:hAnsi="Times New Roman" w:cs="Times New Roman"/>
                <w:sz w:val="24"/>
                <w:szCs w:val="24"/>
                <w:lang w:eastAsia="lv-LV"/>
              </w:rPr>
              <w:t>mērķgrupa</w:t>
            </w:r>
            <w:proofErr w:type="spellEnd"/>
          </w:p>
        </w:tc>
        <w:tc>
          <w:tcPr>
            <w:tcW w:w="5357" w:type="dxa"/>
          </w:tcPr>
          <w:p w:rsidR="00382775" w:rsidRPr="00301EED" w:rsidRDefault="005A5F0D" w:rsidP="005A5F0D">
            <w:pPr>
              <w:spacing w:before="75" w:after="75" w:line="240" w:lineRule="auto"/>
              <w:ind w:firstLine="450"/>
              <w:jc w:val="both"/>
              <w:rPr>
                <w:rFonts w:ascii="Times New Roman" w:eastAsia="Times New Roman" w:hAnsi="Times New Roman" w:cs="Times New Roman"/>
                <w:iCs/>
                <w:sz w:val="24"/>
                <w:szCs w:val="24"/>
                <w:lang w:eastAsia="lv-LV"/>
              </w:rPr>
            </w:pPr>
            <w:r w:rsidRPr="00301EED">
              <w:rPr>
                <w:rFonts w:ascii="Times New Roman" w:eastAsia="Times New Roman" w:hAnsi="Times New Roman" w:cs="Times New Roman"/>
                <w:iCs/>
                <w:sz w:val="24"/>
                <w:szCs w:val="24"/>
                <w:lang w:eastAsia="lv-LV"/>
              </w:rPr>
              <w:t>K</w:t>
            </w:r>
            <w:r w:rsidR="00382775" w:rsidRPr="00301EED">
              <w:rPr>
                <w:rFonts w:ascii="Times New Roman" w:eastAsia="Times New Roman" w:hAnsi="Times New Roman" w:cs="Times New Roman"/>
                <w:iCs/>
                <w:sz w:val="24"/>
                <w:szCs w:val="24"/>
                <w:lang w:eastAsia="lv-LV"/>
              </w:rPr>
              <w:t>omersanti, pašvaldības, biedrības, nodibinājumi, kooperatīvās sabiedrības un ostu pārvaldes.</w:t>
            </w:r>
          </w:p>
        </w:tc>
      </w:tr>
      <w:tr w:rsidR="00D40CFC" w:rsidRPr="00301EED" w:rsidTr="0078211F">
        <w:trPr>
          <w:trHeight w:val="523"/>
        </w:trPr>
        <w:tc>
          <w:tcPr>
            <w:tcW w:w="456"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2.</w:t>
            </w:r>
          </w:p>
        </w:tc>
        <w:tc>
          <w:tcPr>
            <w:tcW w:w="3543"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 xml:space="preserve">Citas sabiedrības grupas (bez </w:t>
            </w:r>
            <w:proofErr w:type="spellStart"/>
            <w:r w:rsidRPr="00301EED">
              <w:rPr>
                <w:rFonts w:ascii="Times New Roman" w:eastAsia="Times New Roman" w:hAnsi="Times New Roman" w:cs="Times New Roman"/>
                <w:sz w:val="24"/>
                <w:szCs w:val="24"/>
                <w:lang w:eastAsia="lv-LV"/>
              </w:rPr>
              <w:t>mērķgrupas</w:t>
            </w:r>
            <w:proofErr w:type="spellEnd"/>
            <w:r w:rsidRPr="00301EED">
              <w:rPr>
                <w:rFonts w:ascii="Times New Roman" w:eastAsia="Times New Roman" w:hAnsi="Times New Roman" w:cs="Times New Roman"/>
                <w:sz w:val="24"/>
                <w:szCs w:val="24"/>
                <w:lang w:eastAsia="lv-LV"/>
              </w:rPr>
              <w:t>), kuras tiesiskais regulējums arī ietekmē vai varētu ietekmēt</w:t>
            </w:r>
          </w:p>
        </w:tc>
        <w:tc>
          <w:tcPr>
            <w:tcW w:w="5357" w:type="dxa"/>
          </w:tcPr>
          <w:p w:rsidR="00D40CFC" w:rsidRPr="00301EED" w:rsidRDefault="003067EB" w:rsidP="00382775">
            <w:pPr>
              <w:spacing w:after="0" w:line="240" w:lineRule="auto"/>
              <w:ind w:firstLine="450"/>
              <w:jc w:val="both"/>
              <w:rPr>
                <w:rFonts w:ascii="Times New Roman" w:eastAsia="Times New Roman" w:hAnsi="Times New Roman" w:cs="Times New Roman"/>
                <w:sz w:val="24"/>
                <w:szCs w:val="24"/>
                <w:lang w:eastAsia="lv-LV"/>
              </w:rPr>
            </w:pPr>
            <w:r w:rsidRPr="00301EED">
              <w:rPr>
                <w:rFonts w:ascii="Times New Roman" w:eastAsia="Times New Roman" w:hAnsi="Times New Roman" w:cs="Times New Roman"/>
                <w:iCs/>
                <w:sz w:val="24"/>
                <w:szCs w:val="24"/>
                <w:lang w:eastAsia="lv-LV"/>
              </w:rPr>
              <w:t>Projekts šo jomu neskar.</w:t>
            </w:r>
          </w:p>
        </w:tc>
      </w:tr>
      <w:tr w:rsidR="00D40CFC" w:rsidRPr="00301EED" w:rsidTr="0078211F">
        <w:trPr>
          <w:trHeight w:val="517"/>
        </w:trPr>
        <w:tc>
          <w:tcPr>
            <w:tcW w:w="456"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3.</w:t>
            </w:r>
          </w:p>
        </w:tc>
        <w:tc>
          <w:tcPr>
            <w:tcW w:w="3543"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Tiesiskā regulējuma finansiālā ietekme</w:t>
            </w:r>
          </w:p>
        </w:tc>
        <w:tc>
          <w:tcPr>
            <w:tcW w:w="5357" w:type="dxa"/>
          </w:tcPr>
          <w:p w:rsidR="00D40CFC" w:rsidRPr="00301EED" w:rsidRDefault="005153F8" w:rsidP="005A5F0D">
            <w:pPr>
              <w:spacing w:after="0" w:line="240" w:lineRule="auto"/>
              <w:ind w:firstLine="450"/>
              <w:jc w:val="both"/>
              <w:rPr>
                <w:rFonts w:ascii="Times New Roman" w:eastAsia="Times New Roman" w:hAnsi="Times New Roman" w:cs="Times New Roman"/>
                <w:sz w:val="24"/>
                <w:szCs w:val="24"/>
                <w:lang w:eastAsia="lv-LV"/>
              </w:rPr>
            </w:pPr>
            <w:r w:rsidRPr="00301EED">
              <w:rPr>
                <w:rFonts w:ascii="Times New Roman" w:eastAsia="Times New Roman" w:hAnsi="Times New Roman" w:cs="Times New Roman"/>
                <w:color w:val="000000"/>
                <w:sz w:val="24"/>
                <w:szCs w:val="24"/>
                <w:lang w:eastAsia="lv-LV"/>
              </w:rPr>
              <w:t>Projekts šo jomu neskar.</w:t>
            </w:r>
          </w:p>
        </w:tc>
      </w:tr>
      <w:tr w:rsidR="00D40CFC" w:rsidRPr="00301EED" w:rsidTr="0078211F">
        <w:trPr>
          <w:trHeight w:val="517"/>
        </w:trPr>
        <w:tc>
          <w:tcPr>
            <w:tcW w:w="456"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4.</w:t>
            </w:r>
          </w:p>
        </w:tc>
        <w:tc>
          <w:tcPr>
            <w:tcW w:w="3543"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Tiesiskā regulējuma nefinansiālā ietekme</w:t>
            </w:r>
          </w:p>
        </w:tc>
        <w:tc>
          <w:tcPr>
            <w:tcW w:w="5357" w:type="dxa"/>
          </w:tcPr>
          <w:p w:rsidR="00D40CFC" w:rsidRPr="00301EED" w:rsidRDefault="00D40CFC" w:rsidP="00D40CFC">
            <w:pPr>
              <w:spacing w:after="0" w:line="240" w:lineRule="auto"/>
              <w:ind w:firstLine="450"/>
              <w:jc w:val="both"/>
              <w:rPr>
                <w:rFonts w:ascii="Times New Roman" w:eastAsia="Times New Roman" w:hAnsi="Times New Roman" w:cs="Times New Roman"/>
                <w:iCs/>
                <w:sz w:val="24"/>
                <w:szCs w:val="24"/>
                <w:lang w:eastAsia="lv-LV"/>
              </w:rPr>
            </w:pPr>
            <w:r w:rsidRPr="00301EED">
              <w:rPr>
                <w:rFonts w:ascii="Times New Roman" w:eastAsia="Times New Roman" w:hAnsi="Times New Roman" w:cs="Times New Roman"/>
                <w:color w:val="000000"/>
                <w:sz w:val="24"/>
                <w:szCs w:val="24"/>
                <w:lang w:eastAsia="lv-LV"/>
              </w:rPr>
              <w:t>Projekts šo jomu neskar.</w:t>
            </w:r>
          </w:p>
        </w:tc>
      </w:tr>
      <w:tr w:rsidR="00D40CFC" w:rsidRPr="00301EED" w:rsidTr="0078211F">
        <w:trPr>
          <w:trHeight w:val="531"/>
        </w:trPr>
        <w:tc>
          <w:tcPr>
            <w:tcW w:w="456"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5.</w:t>
            </w:r>
          </w:p>
        </w:tc>
        <w:tc>
          <w:tcPr>
            <w:tcW w:w="3543"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Administratīvās procedūras raksturojums</w:t>
            </w:r>
          </w:p>
        </w:tc>
        <w:tc>
          <w:tcPr>
            <w:tcW w:w="5357" w:type="dxa"/>
          </w:tcPr>
          <w:p w:rsidR="00D40CFC" w:rsidRPr="00301EED" w:rsidRDefault="00D40CFC" w:rsidP="00D40CFC">
            <w:pPr>
              <w:spacing w:after="0" w:line="240" w:lineRule="auto"/>
              <w:ind w:firstLine="450"/>
              <w:rPr>
                <w:rFonts w:ascii="Times New Roman" w:eastAsia="Times New Roman" w:hAnsi="Times New Roman" w:cs="Times New Roman"/>
                <w:sz w:val="24"/>
                <w:szCs w:val="24"/>
                <w:lang w:eastAsia="lv-LV"/>
              </w:rPr>
            </w:pPr>
            <w:r w:rsidRPr="00301EED">
              <w:rPr>
                <w:rFonts w:ascii="Times New Roman" w:eastAsia="Times New Roman" w:hAnsi="Times New Roman" w:cs="Times New Roman"/>
                <w:color w:val="000000"/>
                <w:sz w:val="24"/>
                <w:szCs w:val="24"/>
                <w:lang w:eastAsia="lv-LV"/>
              </w:rPr>
              <w:t>Projekts šo jomu neskar.</w:t>
            </w:r>
          </w:p>
        </w:tc>
      </w:tr>
      <w:tr w:rsidR="00D40CFC" w:rsidRPr="00301EED" w:rsidTr="0078211F">
        <w:trPr>
          <w:trHeight w:val="357"/>
        </w:trPr>
        <w:tc>
          <w:tcPr>
            <w:tcW w:w="456"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6.</w:t>
            </w:r>
          </w:p>
        </w:tc>
        <w:tc>
          <w:tcPr>
            <w:tcW w:w="3543"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Administratīvo izmaksu monetārs novērtējums</w:t>
            </w:r>
          </w:p>
        </w:tc>
        <w:tc>
          <w:tcPr>
            <w:tcW w:w="5357" w:type="dxa"/>
          </w:tcPr>
          <w:p w:rsidR="00D40CFC" w:rsidRPr="00301EED" w:rsidRDefault="00D40CFC" w:rsidP="00D40CFC">
            <w:pPr>
              <w:spacing w:after="0" w:line="240" w:lineRule="auto"/>
              <w:ind w:firstLine="450"/>
              <w:rPr>
                <w:rFonts w:ascii="Times New Roman" w:eastAsia="Times New Roman" w:hAnsi="Times New Roman" w:cs="Times New Roman"/>
                <w:sz w:val="24"/>
                <w:szCs w:val="24"/>
                <w:lang w:eastAsia="lv-LV"/>
              </w:rPr>
            </w:pPr>
            <w:r w:rsidRPr="00301EED">
              <w:rPr>
                <w:rFonts w:ascii="Times New Roman" w:eastAsia="Times New Roman" w:hAnsi="Times New Roman" w:cs="Times New Roman"/>
                <w:color w:val="000000"/>
                <w:sz w:val="24"/>
                <w:szCs w:val="24"/>
                <w:lang w:eastAsia="lv-LV"/>
              </w:rPr>
              <w:t>Projekts šo jomu neskar.</w:t>
            </w:r>
          </w:p>
        </w:tc>
      </w:tr>
      <w:tr w:rsidR="00D40CFC" w:rsidRPr="00301EED" w:rsidTr="0078211F">
        <w:trPr>
          <w:trHeight w:val="489"/>
        </w:trPr>
        <w:tc>
          <w:tcPr>
            <w:tcW w:w="456"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7.</w:t>
            </w:r>
          </w:p>
        </w:tc>
        <w:tc>
          <w:tcPr>
            <w:tcW w:w="3543" w:type="dxa"/>
          </w:tcPr>
          <w:p w:rsidR="00D40CFC" w:rsidRPr="00301EED" w:rsidRDefault="00D40CFC" w:rsidP="00D40CFC">
            <w:pPr>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Cita informācija</w:t>
            </w:r>
          </w:p>
        </w:tc>
        <w:tc>
          <w:tcPr>
            <w:tcW w:w="5357" w:type="dxa"/>
          </w:tcPr>
          <w:p w:rsidR="00D40CFC" w:rsidRPr="00301EED" w:rsidRDefault="00D40CFC" w:rsidP="00D40CFC">
            <w:pPr>
              <w:spacing w:after="0" w:line="240" w:lineRule="auto"/>
              <w:ind w:firstLine="450"/>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Nav.</w:t>
            </w:r>
          </w:p>
        </w:tc>
      </w:tr>
    </w:tbl>
    <w:p w:rsidR="00D40CFC" w:rsidRPr="00301EED" w:rsidRDefault="00D40CFC" w:rsidP="0036646C">
      <w:pPr>
        <w:spacing w:after="0" w:line="240" w:lineRule="auto"/>
        <w:rPr>
          <w:rFonts w:ascii="Times New Roman" w:eastAsia="Arial Unicode MS" w:hAnsi="Times New Roman" w:cs="Times New Roman"/>
          <w:b/>
          <w:sz w:val="24"/>
          <w:szCs w:val="24"/>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2"/>
        <w:gridCol w:w="6819"/>
      </w:tblGrid>
      <w:tr w:rsidR="00D40CFC" w:rsidRPr="00301EED" w:rsidTr="0036646C">
        <w:tc>
          <w:tcPr>
            <w:tcW w:w="568" w:type="dxa"/>
            <w:tcBorders>
              <w:top w:val="thickThinLargeGap" w:sz="6" w:space="0" w:color="C0C0C0"/>
              <w:bottom w:val="thickThinLargeGap" w:sz="6" w:space="0" w:color="C0C0C0"/>
            </w:tcBorders>
          </w:tcPr>
          <w:p w:rsidR="00D40CFC" w:rsidRPr="00301EED" w:rsidRDefault="00D40CFC" w:rsidP="00D40CFC">
            <w:pPr>
              <w:spacing w:after="0" w:line="240" w:lineRule="auto"/>
              <w:ind w:firstLine="720"/>
              <w:jc w:val="center"/>
              <w:rPr>
                <w:rFonts w:ascii="Times New Roman" w:eastAsia="Calibri" w:hAnsi="Times New Roman" w:cs="Times New Roman"/>
                <w:b/>
                <w:sz w:val="24"/>
                <w:szCs w:val="24"/>
                <w:lang w:eastAsia="lv-LV"/>
              </w:rPr>
            </w:pPr>
          </w:p>
        </w:tc>
        <w:tc>
          <w:tcPr>
            <w:tcW w:w="8661" w:type="dxa"/>
            <w:gridSpan w:val="2"/>
            <w:tcBorders>
              <w:top w:val="thickThinLargeGap" w:sz="6" w:space="0" w:color="C0C0C0"/>
              <w:bottom w:val="thickThinLargeGap" w:sz="6" w:space="0" w:color="C0C0C0"/>
            </w:tcBorders>
          </w:tcPr>
          <w:p w:rsidR="00D40CFC" w:rsidRPr="00301EED" w:rsidRDefault="00D40CFC" w:rsidP="00D40CFC">
            <w:pPr>
              <w:spacing w:after="0" w:line="240" w:lineRule="auto"/>
              <w:rPr>
                <w:rFonts w:ascii="Times New Roman" w:eastAsia="Calibri" w:hAnsi="Times New Roman" w:cs="Times New Roman"/>
                <w:b/>
                <w:sz w:val="24"/>
                <w:szCs w:val="24"/>
                <w:lang w:eastAsia="lv-LV"/>
              </w:rPr>
            </w:pPr>
            <w:r w:rsidRPr="00301EED">
              <w:rPr>
                <w:rFonts w:ascii="Times New Roman" w:eastAsia="Calibri" w:hAnsi="Times New Roman" w:cs="Times New Roman"/>
                <w:b/>
                <w:sz w:val="24"/>
                <w:szCs w:val="24"/>
                <w:lang w:eastAsia="lv-LV"/>
              </w:rPr>
              <w:t>IV. Tiesību akta projekta ietekme uz spēkā esošo tiesību normu sistēmu</w:t>
            </w:r>
          </w:p>
        </w:tc>
      </w:tr>
      <w:tr w:rsidR="00D40CFC" w:rsidRPr="00301EED" w:rsidTr="0036646C">
        <w:tc>
          <w:tcPr>
            <w:tcW w:w="568" w:type="dxa"/>
            <w:tcBorders>
              <w:top w:val="thickThinLargeGap" w:sz="6" w:space="0" w:color="C0C0C0"/>
              <w:bottom w:val="thickThinLargeGap" w:sz="6" w:space="0" w:color="C0C0C0"/>
              <w:right w:val="thickThinLargeGap" w:sz="6" w:space="0" w:color="C0C0C0"/>
            </w:tcBorders>
          </w:tcPr>
          <w:p w:rsidR="00D40CFC" w:rsidRPr="00301EED" w:rsidRDefault="00D40CFC" w:rsidP="00D40CFC">
            <w:pPr>
              <w:spacing w:after="0" w:line="240" w:lineRule="auto"/>
              <w:jc w:val="both"/>
              <w:rPr>
                <w:rFonts w:ascii="Times New Roman" w:eastAsia="Calibri" w:hAnsi="Times New Roman" w:cs="Times New Roman"/>
                <w:sz w:val="24"/>
                <w:szCs w:val="24"/>
                <w:lang w:eastAsia="lv-LV"/>
              </w:rPr>
            </w:pPr>
            <w:r w:rsidRPr="00301EED">
              <w:rPr>
                <w:rFonts w:ascii="Times New Roman" w:eastAsia="Calibri" w:hAnsi="Times New Roman" w:cs="Times New Roman"/>
                <w:sz w:val="24"/>
                <w:szCs w:val="24"/>
                <w:lang w:eastAsia="lv-LV"/>
              </w:rPr>
              <w:lastRenderedPageBreak/>
              <w:t>1.</w:t>
            </w:r>
          </w:p>
        </w:tc>
        <w:tc>
          <w:tcPr>
            <w:tcW w:w="1842" w:type="dxa"/>
            <w:tcBorders>
              <w:top w:val="thickThinLargeGap" w:sz="6" w:space="0" w:color="C0C0C0"/>
              <w:bottom w:val="thickThinLargeGap" w:sz="6" w:space="0" w:color="C0C0C0"/>
              <w:right w:val="thickThinLargeGap" w:sz="6" w:space="0" w:color="C0C0C0"/>
            </w:tcBorders>
          </w:tcPr>
          <w:p w:rsidR="00D40CFC" w:rsidRPr="00301EED" w:rsidRDefault="00D40CFC" w:rsidP="00D40CFC">
            <w:pPr>
              <w:spacing w:after="0" w:line="240" w:lineRule="auto"/>
              <w:jc w:val="both"/>
              <w:rPr>
                <w:rFonts w:ascii="Times New Roman" w:eastAsia="Calibri" w:hAnsi="Times New Roman" w:cs="Times New Roman"/>
                <w:sz w:val="24"/>
                <w:szCs w:val="24"/>
                <w:lang w:eastAsia="lv-LV"/>
              </w:rPr>
            </w:pPr>
            <w:r w:rsidRPr="00301EED">
              <w:rPr>
                <w:rFonts w:ascii="Times New Roman" w:eastAsia="Calibri" w:hAnsi="Times New Roman" w:cs="Times New Roman"/>
                <w:sz w:val="24"/>
                <w:szCs w:val="24"/>
                <w:lang w:eastAsia="lv-LV"/>
              </w:rPr>
              <w:t>Nepieciešamie saistītie tiesību aktu projekti</w:t>
            </w:r>
          </w:p>
        </w:tc>
        <w:tc>
          <w:tcPr>
            <w:tcW w:w="6819" w:type="dxa"/>
            <w:tcBorders>
              <w:top w:val="thickThinLargeGap" w:sz="6" w:space="0" w:color="C0C0C0"/>
              <w:left w:val="thickThinLargeGap" w:sz="6" w:space="0" w:color="C0C0C0"/>
              <w:bottom w:val="thickThinLargeGap" w:sz="6" w:space="0" w:color="C0C0C0"/>
            </w:tcBorders>
          </w:tcPr>
          <w:p w:rsidR="00E62E9F" w:rsidRPr="00301EED" w:rsidRDefault="006A7647" w:rsidP="0036646C">
            <w:pPr>
              <w:spacing w:after="0" w:line="240" w:lineRule="auto"/>
              <w:ind w:firstLine="426"/>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 xml:space="preserve">Šis noteikumu projekts ir saistīts </w:t>
            </w:r>
            <w:r w:rsidR="0036646C" w:rsidRPr="00301EED">
              <w:rPr>
                <w:rFonts w:ascii="Times New Roman" w:eastAsia="Calibri" w:hAnsi="Times New Roman" w:cs="Times New Roman"/>
                <w:bCs/>
                <w:sz w:val="24"/>
                <w:szCs w:val="24"/>
              </w:rPr>
              <w:t>ar Ministru kabineta rīkojuma projektu „Grozījumi darbības programmas „Uzņēmējdarbība un inovācijas” papildinājumā”</w:t>
            </w:r>
            <w:r w:rsidR="00E62E9F" w:rsidRPr="00301EED">
              <w:rPr>
                <w:rFonts w:ascii="Times New Roman" w:eastAsia="Calibri" w:hAnsi="Times New Roman" w:cs="Times New Roman"/>
                <w:bCs/>
                <w:sz w:val="24"/>
                <w:szCs w:val="24"/>
              </w:rPr>
              <w:t>, kā arī ar Ministru kabineta noteikumu projektu „Grozījumi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p>
          <w:p w:rsidR="00C127AA" w:rsidRPr="00301EED" w:rsidRDefault="0036646C" w:rsidP="0036646C">
            <w:pPr>
              <w:spacing w:after="0" w:line="240" w:lineRule="auto"/>
              <w:ind w:firstLine="426"/>
              <w:jc w:val="both"/>
              <w:rPr>
                <w:rFonts w:ascii="Times New Roman" w:eastAsia="Calibri" w:hAnsi="Times New Roman" w:cs="Times New Roman"/>
                <w:bCs/>
                <w:sz w:val="24"/>
                <w:szCs w:val="24"/>
              </w:rPr>
            </w:pPr>
            <w:r w:rsidRPr="00301EED">
              <w:rPr>
                <w:rFonts w:ascii="Times New Roman" w:eastAsia="Calibri" w:hAnsi="Times New Roman" w:cs="Times New Roman"/>
                <w:bCs/>
                <w:sz w:val="24"/>
                <w:szCs w:val="24"/>
              </w:rPr>
              <w:t>Šis noteikumu projekts ir izskatāms Ministru kabineta sēdē vienlaikus vai pēc augstāk minētā rīkojumu projekta izskatīšanas.</w:t>
            </w:r>
          </w:p>
        </w:tc>
      </w:tr>
      <w:tr w:rsidR="00D40CFC" w:rsidRPr="00301EED" w:rsidTr="0036646C">
        <w:tc>
          <w:tcPr>
            <w:tcW w:w="568" w:type="dxa"/>
            <w:tcBorders>
              <w:top w:val="thickThinLargeGap" w:sz="6" w:space="0" w:color="C0C0C0"/>
              <w:bottom w:val="thickThinLargeGap" w:sz="6" w:space="0" w:color="C0C0C0"/>
              <w:right w:val="thickThinLargeGap" w:sz="6" w:space="0" w:color="C0C0C0"/>
            </w:tcBorders>
          </w:tcPr>
          <w:p w:rsidR="00D40CFC" w:rsidRPr="00301EED" w:rsidRDefault="00D40CFC" w:rsidP="00D40CFC">
            <w:pPr>
              <w:spacing w:after="0" w:line="240" w:lineRule="auto"/>
              <w:jc w:val="both"/>
              <w:rPr>
                <w:rFonts w:ascii="Times New Roman" w:eastAsia="Calibri" w:hAnsi="Times New Roman" w:cs="Times New Roman"/>
                <w:sz w:val="24"/>
                <w:szCs w:val="24"/>
                <w:lang w:eastAsia="lv-LV"/>
              </w:rPr>
            </w:pPr>
            <w:r w:rsidRPr="00301EED">
              <w:rPr>
                <w:rFonts w:ascii="Times New Roman" w:eastAsia="Calibri" w:hAnsi="Times New Roman" w:cs="Times New Roman"/>
                <w:sz w:val="24"/>
                <w:szCs w:val="24"/>
                <w:lang w:eastAsia="lv-LV"/>
              </w:rPr>
              <w:t>2.</w:t>
            </w:r>
          </w:p>
        </w:tc>
        <w:tc>
          <w:tcPr>
            <w:tcW w:w="1842" w:type="dxa"/>
            <w:tcBorders>
              <w:top w:val="thickThinLargeGap" w:sz="6" w:space="0" w:color="C0C0C0"/>
              <w:bottom w:val="thickThinLargeGap" w:sz="6" w:space="0" w:color="C0C0C0"/>
              <w:right w:val="thickThinLargeGap" w:sz="6" w:space="0" w:color="C0C0C0"/>
            </w:tcBorders>
          </w:tcPr>
          <w:p w:rsidR="00D40CFC" w:rsidRPr="00301EED" w:rsidRDefault="00D40CFC" w:rsidP="00D40CFC">
            <w:pPr>
              <w:spacing w:after="0" w:line="240" w:lineRule="auto"/>
              <w:jc w:val="both"/>
              <w:rPr>
                <w:rFonts w:ascii="Times New Roman" w:eastAsia="Calibri" w:hAnsi="Times New Roman" w:cs="Times New Roman"/>
                <w:sz w:val="24"/>
                <w:szCs w:val="24"/>
                <w:lang w:eastAsia="lv-LV"/>
              </w:rPr>
            </w:pPr>
            <w:r w:rsidRPr="00301EED">
              <w:rPr>
                <w:rFonts w:ascii="Times New Roman" w:eastAsia="Calibri" w:hAnsi="Times New Roman" w:cs="Times New Roman"/>
                <w:sz w:val="24"/>
                <w:szCs w:val="24"/>
                <w:lang w:eastAsia="lv-LV"/>
              </w:rPr>
              <w:t>Cita informācija</w:t>
            </w:r>
          </w:p>
        </w:tc>
        <w:tc>
          <w:tcPr>
            <w:tcW w:w="6819" w:type="dxa"/>
            <w:tcBorders>
              <w:top w:val="thickThinLargeGap" w:sz="6" w:space="0" w:color="C0C0C0"/>
              <w:left w:val="thickThinLargeGap" w:sz="6" w:space="0" w:color="C0C0C0"/>
              <w:bottom w:val="thickThinLargeGap" w:sz="6" w:space="0" w:color="C0C0C0"/>
            </w:tcBorders>
          </w:tcPr>
          <w:p w:rsidR="00D40CFC" w:rsidRPr="00301EED" w:rsidRDefault="00D40CFC" w:rsidP="00D40CFC">
            <w:pPr>
              <w:spacing w:after="0" w:line="240" w:lineRule="auto"/>
              <w:ind w:firstLine="426"/>
              <w:jc w:val="both"/>
              <w:rPr>
                <w:rFonts w:ascii="Times New Roman" w:eastAsia="Calibri" w:hAnsi="Times New Roman" w:cs="Times New Roman"/>
                <w:sz w:val="24"/>
                <w:szCs w:val="24"/>
                <w:lang w:eastAsia="lv-LV"/>
              </w:rPr>
            </w:pPr>
            <w:r w:rsidRPr="00301EED">
              <w:rPr>
                <w:rFonts w:ascii="Times New Roman" w:eastAsia="Calibri" w:hAnsi="Times New Roman" w:cs="Times New Roman"/>
                <w:sz w:val="24"/>
                <w:szCs w:val="24"/>
                <w:lang w:eastAsia="lv-LV"/>
              </w:rPr>
              <w:t>Nav.</w:t>
            </w:r>
          </w:p>
        </w:tc>
      </w:tr>
    </w:tbl>
    <w:p w:rsidR="005153F8" w:rsidRPr="00301EED" w:rsidRDefault="005153F8" w:rsidP="005153F8">
      <w:pPr>
        <w:tabs>
          <w:tab w:val="left" w:pos="6710"/>
        </w:tabs>
        <w:spacing w:after="0" w:line="240" w:lineRule="auto"/>
        <w:rPr>
          <w:rFonts w:ascii="Times New Roman" w:eastAsia="Times New Roman" w:hAnsi="Times New Roman" w:cs="Times New Roman"/>
          <w:sz w:val="24"/>
          <w:szCs w:val="24"/>
          <w:lang w:eastAsia="lv-LV"/>
        </w:rPr>
      </w:pPr>
    </w:p>
    <w:p w:rsidR="002A617A" w:rsidRPr="00301EED" w:rsidRDefault="0034704C" w:rsidP="000262E5">
      <w:pPr>
        <w:tabs>
          <w:tab w:val="left" w:pos="6710"/>
        </w:tabs>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Anotācijas III., V.,</w:t>
      </w:r>
      <w:r w:rsidR="005153F8" w:rsidRPr="00301EED">
        <w:rPr>
          <w:rFonts w:ascii="Times New Roman" w:eastAsia="Times New Roman" w:hAnsi="Times New Roman" w:cs="Times New Roman"/>
          <w:sz w:val="24"/>
          <w:szCs w:val="24"/>
          <w:lang w:eastAsia="lv-LV"/>
        </w:rPr>
        <w:t xml:space="preserve"> VI. un VII. sada</w:t>
      </w:r>
      <w:r w:rsidR="000262E5" w:rsidRPr="00301EED">
        <w:rPr>
          <w:rFonts w:ascii="Times New Roman" w:eastAsia="Times New Roman" w:hAnsi="Times New Roman" w:cs="Times New Roman"/>
          <w:sz w:val="24"/>
          <w:szCs w:val="24"/>
          <w:lang w:eastAsia="lv-LV"/>
        </w:rPr>
        <w:t>ļa - projekts šīs jomas neskar.</w:t>
      </w:r>
    </w:p>
    <w:p w:rsidR="002774E4" w:rsidRPr="00301EED" w:rsidRDefault="002774E4" w:rsidP="00830152">
      <w:pPr>
        <w:tabs>
          <w:tab w:val="right" w:pos="9071"/>
        </w:tabs>
        <w:jc w:val="both"/>
        <w:rPr>
          <w:rFonts w:ascii="Times New Roman" w:eastAsia="Times New Roman" w:hAnsi="Times New Roman" w:cs="Times New Roman"/>
          <w:sz w:val="24"/>
          <w:szCs w:val="24"/>
          <w:lang w:eastAsia="lv-LV"/>
        </w:rPr>
      </w:pPr>
    </w:p>
    <w:p w:rsidR="002774E4" w:rsidRDefault="002774E4" w:rsidP="00830152">
      <w:pPr>
        <w:tabs>
          <w:tab w:val="right" w:pos="9071"/>
        </w:tabs>
        <w:jc w:val="both"/>
        <w:rPr>
          <w:rFonts w:ascii="Times New Roman" w:eastAsia="Times New Roman" w:hAnsi="Times New Roman" w:cs="Times New Roman"/>
          <w:sz w:val="24"/>
          <w:szCs w:val="24"/>
          <w:lang w:eastAsia="lv-LV"/>
        </w:rPr>
      </w:pPr>
    </w:p>
    <w:p w:rsidR="00E81144" w:rsidRDefault="00E81144" w:rsidP="00830152">
      <w:pPr>
        <w:tabs>
          <w:tab w:val="right" w:pos="9071"/>
        </w:tabs>
        <w:jc w:val="both"/>
        <w:rPr>
          <w:rFonts w:ascii="Times New Roman" w:eastAsia="Times New Roman" w:hAnsi="Times New Roman" w:cs="Times New Roman"/>
          <w:sz w:val="24"/>
          <w:szCs w:val="24"/>
          <w:lang w:eastAsia="lv-LV"/>
        </w:rPr>
      </w:pPr>
    </w:p>
    <w:p w:rsidR="00E81144" w:rsidRPr="00301EED" w:rsidRDefault="00E81144" w:rsidP="00830152">
      <w:pPr>
        <w:tabs>
          <w:tab w:val="right" w:pos="9071"/>
        </w:tabs>
        <w:jc w:val="both"/>
        <w:rPr>
          <w:rFonts w:ascii="Times New Roman" w:eastAsia="Times New Roman" w:hAnsi="Times New Roman" w:cs="Times New Roman"/>
          <w:sz w:val="24"/>
          <w:szCs w:val="24"/>
          <w:lang w:eastAsia="lv-LV"/>
        </w:rPr>
      </w:pPr>
      <w:bookmarkStart w:id="8" w:name="_GoBack"/>
      <w:bookmarkEnd w:id="8"/>
    </w:p>
    <w:p w:rsidR="000862E6" w:rsidRPr="00301EED" w:rsidRDefault="009D0A29" w:rsidP="0036646C">
      <w:pPr>
        <w:tabs>
          <w:tab w:val="right" w:pos="9071"/>
        </w:tabs>
        <w:jc w:val="both"/>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Ministru prezidents</w:t>
      </w:r>
      <w:r w:rsidR="00830152" w:rsidRPr="00301EED">
        <w:rPr>
          <w:rFonts w:ascii="Times New Roman" w:eastAsia="Times New Roman" w:hAnsi="Times New Roman" w:cs="Times New Roman"/>
          <w:sz w:val="24"/>
          <w:szCs w:val="24"/>
          <w:lang w:eastAsia="lv-LV"/>
        </w:rPr>
        <w:tab/>
      </w:r>
      <w:proofErr w:type="spellStart"/>
      <w:r w:rsidRPr="00301EED">
        <w:rPr>
          <w:rFonts w:ascii="Times New Roman" w:eastAsia="Times New Roman" w:hAnsi="Times New Roman" w:cs="Times New Roman"/>
          <w:sz w:val="24"/>
          <w:szCs w:val="24"/>
          <w:lang w:eastAsia="lv-LV"/>
        </w:rPr>
        <w:t>V.Dombrovskis</w:t>
      </w:r>
      <w:proofErr w:type="spellEnd"/>
    </w:p>
    <w:p w:rsidR="000262E5" w:rsidRDefault="000262E5" w:rsidP="00830152">
      <w:pPr>
        <w:tabs>
          <w:tab w:val="right" w:pos="9071"/>
        </w:tabs>
        <w:spacing w:after="0" w:line="240" w:lineRule="auto"/>
        <w:jc w:val="both"/>
        <w:rPr>
          <w:rFonts w:ascii="Times New Roman" w:eastAsia="Times New Roman" w:hAnsi="Times New Roman" w:cs="Times New Roman"/>
          <w:sz w:val="24"/>
          <w:szCs w:val="24"/>
          <w:lang w:eastAsia="lv-LV"/>
        </w:rPr>
      </w:pPr>
    </w:p>
    <w:p w:rsidR="00E81144" w:rsidRDefault="00E81144" w:rsidP="00830152">
      <w:pPr>
        <w:tabs>
          <w:tab w:val="right" w:pos="9071"/>
        </w:tabs>
        <w:spacing w:after="0" w:line="240" w:lineRule="auto"/>
        <w:jc w:val="both"/>
        <w:rPr>
          <w:rFonts w:ascii="Times New Roman" w:eastAsia="Times New Roman" w:hAnsi="Times New Roman" w:cs="Times New Roman"/>
          <w:sz w:val="24"/>
          <w:szCs w:val="24"/>
          <w:lang w:eastAsia="lv-LV"/>
        </w:rPr>
      </w:pPr>
    </w:p>
    <w:p w:rsidR="00E81144" w:rsidRPr="00301EED" w:rsidRDefault="00E81144" w:rsidP="00830152">
      <w:pPr>
        <w:tabs>
          <w:tab w:val="right" w:pos="9071"/>
        </w:tabs>
        <w:spacing w:after="0" w:line="240" w:lineRule="auto"/>
        <w:jc w:val="both"/>
        <w:rPr>
          <w:rFonts w:ascii="Times New Roman" w:eastAsia="Times New Roman" w:hAnsi="Times New Roman" w:cs="Times New Roman"/>
          <w:sz w:val="24"/>
          <w:szCs w:val="24"/>
          <w:lang w:eastAsia="lv-LV"/>
        </w:rPr>
      </w:pPr>
    </w:p>
    <w:p w:rsidR="009D0A29" w:rsidRPr="00301EED" w:rsidRDefault="009D0A29" w:rsidP="00830152">
      <w:pPr>
        <w:tabs>
          <w:tab w:val="right" w:pos="9071"/>
        </w:tabs>
        <w:spacing w:after="0" w:line="240" w:lineRule="auto"/>
        <w:jc w:val="both"/>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Ekonomikas ministrs</w:t>
      </w:r>
      <w:r w:rsidR="00830152" w:rsidRPr="00301EED">
        <w:rPr>
          <w:rFonts w:ascii="Times New Roman" w:eastAsia="Times New Roman" w:hAnsi="Times New Roman" w:cs="Times New Roman"/>
          <w:sz w:val="24"/>
          <w:szCs w:val="24"/>
          <w:lang w:eastAsia="lv-LV"/>
        </w:rPr>
        <w:tab/>
      </w:r>
      <w:proofErr w:type="spellStart"/>
      <w:r w:rsidRPr="00301EED">
        <w:rPr>
          <w:rFonts w:ascii="Times New Roman" w:eastAsia="Times New Roman" w:hAnsi="Times New Roman" w:cs="Times New Roman"/>
          <w:sz w:val="24"/>
          <w:szCs w:val="24"/>
          <w:lang w:eastAsia="lv-LV"/>
        </w:rPr>
        <w:t>D.Pavļuts</w:t>
      </w:r>
      <w:proofErr w:type="spellEnd"/>
    </w:p>
    <w:p w:rsidR="001B1ADF" w:rsidRPr="00301EED" w:rsidRDefault="001B1ADF" w:rsidP="009D0A29">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2774E4" w:rsidRDefault="002774E4" w:rsidP="009D0A29">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E81144" w:rsidRDefault="00E81144" w:rsidP="009D0A29">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E81144" w:rsidRPr="00301EED" w:rsidRDefault="00E81144" w:rsidP="009D0A29">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9D0A29" w:rsidRPr="00301EED" w:rsidRDefault="009D0A29" w:rsidP="009D0A29">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Iesniedzējs:</w:t>
      </w:r>
    </w:p>
    <w:p w:rsidR="001B1ADF" w:rsidRPr="00301EED" w:rsidRDefault="009D0A29" w:rsidP="000262E5">
      <w:pPr>
        <w:tabs>
          <w:tab w:val="right" w:pos="9071"/>
        </w:tabs>
        <w:spacing w:after="0" w:line="240" w:lineRule="auto"/>
        <w:jc w:val="both"/>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Ekonomikas ministrs</w:t>
      </w:r>
      <w:r w:rsidR="00830152" w:rsidRPr="00301EED">
        <w:rPr>
          <w:rFonts w:ascii="Times New Roman" w:eastAsia="Times New Roman" w:hAnsi="Times New Roman" w:cs="Times New Roman"/>
          <w:sz w:val="24"/>
          <w:szCs w:val="24"/>
          <w:lang w:eastAsia="lv-LV"/>
        </w:rPr>
        <w:tab/>
      </w:r>
      <w:proofErr w:type="spellStart"/>
      <w:r w:rsidR="000262E5" w:rsidRPr="00301EED">
        <w:rPr>
          <w:rFonts w:ascii="Times New Roman" w:eastAsia="Times New Roman" w:hAnsi="Times New Roman" w:cs="Times New Roman"/>
          <w:sz w:val="24"/>
          <w:szCs w:val="24"/>
          <w:lang w:eastAsia="lv-LV"/>
        </w:rPr>
        <w:t>D.Pavļuts</w:t>
      </w:r>
      <w:proofErr w:type="spellEnd"/>
    </w:p>
    <w:p w:rsidR="0036646C" w:rsidRDefault="0036646C" w:rsidP="00830152">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E81144" w:rsidRDefault="00E81144" w:rsidP="00830152">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E81144" w:rsidRPr="00301EED" w:rsidRDefault="00E81144" w:rsidP="00830152">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2774E4" w:rsidRPr="00301EED" w:rsidRDefault="002774E4" w:rsidP="00830152">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9D0A29" w:rsidRPr="00301EED" w:rsidRDefault="009D0A29" w:rsidP="00830152">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301EED">
        <w:rPr>
          <w:rFonts w:ascii="Times New Roman" w:eastAsia="Times New Roman" w:hAnsi="Times New Roman" w:cs="Times New Roman"/>
          <w:sz w:val="24"/>
          <w:szCs w:val="24"/>
          <w:lang w:eastAsia="lv-LV"/>
        </w:rPr>
        <w:t>Vīza: Valsts sekretārs</w:t>
      </w:r>
      <w:r w:rsidR="00830152" w:rsidRPr="00301EED">
        <w:rPr>
          <w:rFonts w:ascii="Times New Roman" w:eastAsia="Times New Roman" w:hAnsi="Times New Roman" w:cs="Times New Roman"/>
          <w:sz w:val="24"/>
          <w:szCs w:val="24"/>
          <w:lang w:eastAsia="lv-LV"/>
        </w:rPr>
        <w:tab/>
      </w:r>
      <w:r w:rsidRPr="00301EED">
        <w:rPr>
          <w:rFonts w:ascii="Times New Roman" w:eastAsia="Times New Roman" w:hAnsi="Times New Roman" w:cs="Times New Roman"/>
          <w:sz w:val="24"/>
          <w:szCs w:val="24"/>
          <w:lang w:eastAsia="lv-LV"/>
        </w:rPr>
        <w:t>J.Pūce</w:t>
      </w:r>
    </w:p>
    <w:p w:rsidR="001B1ADF" w:rsidRDefault="001B1ADF" w:rsidP="009D0A29">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E81144" w:rsidRDefault="00E81144" w:rsidP="009D0A29">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E81144" w:rsidRPr="00301EED" w:rsidRDefault="00E81144" w:rsidP="009D0A29">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1B1ADF" w:rsidRDefault="001B1ADF" w:rsidP="009D0A29">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636D88" w:rsidRPr="00301EED" w:rsidRDefault="00636D88" w:rsidP="009D0A29">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441A58" w:rsidRDefault="00441A58" w:rsidP="00AE550C">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2012.11.21. 14:41</w:t>
      </w:r>
    </w:p>
    <w:p w:rsidR="00AE550C" w:rsidRPr="00301EED" w:rsidRDefault="00C0721F" w:rsidP="00AE550C">
      <w:pPr>
        <w:widowControl w:val="0"/>
        <w:spacing w:after="0" w:line="240" w:lineRule="auto"/>
        <w:jc w:val="both"/>
        <w:rPr>
          <w:rFonts w:ascii="Times New Roman" w:eastAsia="Times New Roman" w:hAnsi="Times New Roman" w:cs="Times New Roman"/>
          <w:sz w:val="20"/>
          <w:szCs w:val="20"/>
        </w:rPr>
      </w:pPr>
      <w:r w:rsidRPr="00301EED">
        <w:rPr>
          <w:rFonts w:ascii="Times New Roman" w:hAnsi="Times New Roman" w:cs="Times New Roman"/>
        </w:rPr>
        <w:fldChar w:fldCharType="begin"/>
      </w:r>
      <w:r w:rsidRPr="00301EED">
        <w:rPr>
          <w:rFonts w:ascii="Times New Roman" w:hAnsi="Times New Roman" w:cs="Times New Roman"/>
        </w:rPr>
        <w:instrText xml:space="preserve"> NUMWORDS   \* MERGEFORMAT </w:instrText>
      </w:r>
      <w:r w:rsidRPr="00301EED">
        <w:rPr>
          <w:rFonts w:ascii="Times New Roman" w:hAnsi="Times New Roman" w:cs="Times New Roman"/>
        </w:rPr>
        <w:fldChar w:fldCharType="separate"/>
      </w:r>
      <w:r w:rsidR="00441A58" w:rsidRPr="00441A58">
        <w:rPr>
          <w:rFonts w:ascii="Times New Roman" w:eastAsia="Times New Roman" w:hAnsi="Times New Roman" w:cs="Times New Roman"/>
          <w:noProof/>
          <w:sz w:val="20"/>
          <w:szCs w:val="20"/>
        </w:rPr>
        <w:t>1050</w:t>
      </w:r>
      <w:r w:rsidRPr="00301EED">
        <w:rPr>
          <w:rFonts w:ascii="Times New Roman" w:eastAsia="Times New Roman" w:hAnsi="Times New Roman" w:cs="Times New Roman"/>
          <w:noProof/>
          <w:sz w:val="20"/>
          <w:szCs w:val="20"/>
        </w:rPr>
        <w:fldChar w:fldCharType="end"/>
      </w:r>
    </w:p>
    <w:p w:rsidR="00E46347" w:rsidRDefault="00E46347" w:rsidP="00A84FF1">
      <w:pPr>
        <w:widowControl w:val="0"/>
        <w:spacing w:after="0" w:line="240" w:lineRule="auto"/>
        <w:jc w:val="both"/>
        <w:rPr>
          <w:rFonts w:ascii="Times New Roman" w:eastAsia="Times New Roman" w:hAnsi="Times New Roman" w:cs="Times New Roman"/>
          <w:sz w:val="20"/>
          <w:szCs w:val="20"/>
        </w:rPr>
      </w:pPr>
      <w:r w:rsidRPr="00E46347">
        <w:rPr>
          <w:rFonts w:ascii="Times New Roman" w:eastAsia="Times New Roman" w:hAnsi="Times New Roman" w:cs="Times New Roman"/>
          <w:sz w:val="20"/>
          <w:szCs w:val="20"/>
        </w:rPr>
        <w:t>Gatis Silovs</w:t>
      </w:r>
    </w:p>
    <w:p w:rsidR="00D40CFC" w:rsidRPr="00300035" w:rsidRDefault="00E46347" w:rsidP="00E46347">
      <w:pPr>
        <w:widowControl w:val="0"/>
        <w:spacing w:after="0" w:line="240" w:lineRule="auto"/>
        <w:jc w:val="both"/>
        <w:rPr>
          <w:rFonts w:ascii="Times New Roman" w:eastAsia="Times New Roman" w:hAnsi="Times New Roman" w:cs="Times New Roman"/>
          <w:sz w:val="20"/>
          <w:szCs w:val="20"/>
        </w:rPr>
      </w:pPr>
      <w:r w:rsidRPr="00E46347">
        <w:rPr>
          <w:rFonts w:ascii="Times New Roman" w:eastAsia="Times New Roman" w:hAnsi="Times New Roman" w:cs="Times New Roman"/>
          <w:sz w:val="20"/>
          <w:szCs w:val="20"/>
        </w:rPr>
        <w:t>67013209, Gatis.Silovs@em.gov.lv</w:t>
      </w:r>
    </w:p>
    <w:sectPr w:rsidR="00D40CFC" w:rsidRPr="00300035" w:rsidSect="00D40CFC">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D7" w:rsidRDefault="00757AD7" w:rsidP="002A617A">
      <w:pPr>
        <w:spacing w:after="0" w:line="240" w:lineRule="auto"/>
      </w:pPr>
      <w:r>
        <w:separator/>
      </w:r>
    </w:p>
  </w:endnote>
  <w:endnote w:type="continuationSeparator" w:id="0">
    <w:p w:rsidR="00757AD7" w:rsidRDefault="00757AD7"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D7" w:rsidRDefault="00757AD7" w:rsidP="002A617A">
    <w:pPr>
      <w:spacing w:after="0" w:line="240" w:lineRule="auto"/>
      <w:jc w:val="both"/>
      <w:outlineLvl w:val="0"/>
    </w:pPr>
    <w:r w:rsidRPr="00300035">
      <w:rPr>
        <w:rFonts w:ascii="Times New Roman" w:hAnsi="Times New Roman" w:cs="Times New Roman"/>
      </w:rPr>
      <w:fldChar w:fldCharType="begin"/>
    </w:r>
    <w:r w:rsidRPr="00300035">
      <w:rPr>
        <w:rFonts w:ascii="Times New Roman" w:hAnsi="Times New Roman" w:cs="Times New Roman"/>
      </w:rPr>
      <w:instrText xml:space="preserve"> FILENAME   \* MERGEFORMAT </w:instrText>
    </w:r>
    <w:r w:rsidRPr="00300035">
      <w:rPr>
        <w:rFonts w:ascii="Times New Roman" w:hAnsi="Times New Roman" w:cs="Times New Roman"/>
      </w:rPr>
      <w:fldChar w:fldCharType="separate"/>
    </w:r>
    <w:r w:rsidRPr="00757AD7">
      <w:rPr>
        <w:rFonts w:ascii="Times New Roman" w:eastAsia="Calibri" w:hAnsi="Times New Roman" w:cs="Times New Roman"/>
        <w:noProof/>
        <w:sz w:val="20"/>
        <w:szCs w:val="20"/>
        <w:lang w:val="en-AU"/>
      </w:rPr>
      <w:t>EMAnot_211112</w:t>
    </w:r>
    <w:r>
      <w:rPr>
        <w:rFonts w:ascii="Times New Roman" w:hAnsi="Times New Roman" w:cs="Times New Roman"/>
        <w:noProof/>
      </w:rPr>
      <w:t>_groz582</w:t>
    </w:r>
    <w:r w:rsidRPr="00300035">
      <w:rPr>
        <w:rFonts w:ascii="Times New Roman" w:eastAsia="Calibri" w:hAnsi="Times New Roman" w:cs="Times New Roman"/>
        <w:noProof/>
        <w:sz w:val="20"/>
        <w:szCs w:val="20"/>
        <w:lang w:val="en-AU"/>
      </w:rPr>
      <w:fldChar w:fldCharType="end"/>
    </w:r>
    <w:r w:rsidRPr="00300035">
      <w:rPr>
        <w:rFonts w:ascii="Times New Roman" w:eastAsia="Calibri" w:hAnsi="Times New Roman" w:cs="Times New Roman"/>
        <w:sz w:val="20"/>
        <w:szCs w:val="20"/>
        <w:lang w:val="en-AU"/>
      </w:rPr>
      <w:t xml:space="preserve">; </w:t>
    </w:r>
    <w:r w:rsidRPr="00300035">
      <w:rPr>
        <w:rFonts w:ascii="Times New Roman" w:eastAsia="Times New Roman" w:hAnsi="Times New Roman" w:cs="Times New Roman"/>
        <w:sz w:val="20"/>
        <w:szCs w:val="20"/>
        <w:lang w:eastAsia="lv-LV"/>
      </w:rPr>
      <w:t>Ministru kabineta noteikumu projekta „Grozījumi Ministru kabineta 2009.gada 17.jūnij</w:t>
    </w:r>
    <w:r>
      <w:rPr>
        <w:rFonts w:ascii="Times New Roman" w:eastAsia="Times New Roman" w:hAnsi="Times New Roman" w:cs="Times New Roman"/>
        <w:sz w:val="20"/>
        <w:szCs w:val="20"/>
        <w:lang w:eastAsia="lv-LV"/>
      </w:rPr>
      <w:t>a</w:t>
    </w:r>
    <w:r w:rsidRPr="00300035">
      <w:rPr>
        <w:rFonts w:ascii="Times New Roman" w:eastAsia="Times New Roman" w:hAnsi="Times New Roman" w:cs="Times New Roman"/>
        <w:sz w:val="20"/>
        <w:szCs w:val="20"/>
        <w:lang w:eastAsia="lv-LV"/>
      </w:rPr>
      <w:t xml:space="preserve"> noteikumos Nr.582 „Noteikumi par darbības programmas „Uzņēmējdarbība un inovācijas” papildinājuma 2.3.1.1.1.apakšaktivitātes</w:t>
    </w:r>
    <w:r w:rsidRPr="00FD2F61">
      <w:rPr>
        <w:rFonts w:ascii="Times New Roman" w:eastAsia="Times New Roman" w:hAnsi="Times New Roman" w:cs="Times New Roman"/>
        <w:sz w:val="20"/>
        <w:szCs w:val="20"/>
        <w:lang w:eastAsia="lv-LV"/>
      </w:rPr>
      <w:t xml:space="preserve"> „Ārējo tirgu apgūšana – ārējais mārketings” sesto un turpmākajām kārtām””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D7" w:rsidRDefault="00757AD7" w:rsidP="002A617A">
      <w:pPr>
        <w:spacing w:after="0" w:line="240" w:lineRule="auto"/>
      </w:pPr>
      <w:r>
        <w:separator/>
      </w:r>
    </w:p>
  </w:footnote>
  <w:footnote w:type="continuationSeparator" w:id="0">
    <w:p w:rsidR="00757AD7" w:rsidRDefault="00757AD7"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2">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4">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90"/>
    <w:rsid w:val="000068AE"/>
    <w:rsid w:val="00007E31"/>
    <w:rsid w:val="00020398"/>
    <w:rsid w:val="0002619D"/>
    <w:rsid w:val="000262E5"/>
    <w:rsid w:val="00033990"/>
    <w:rsid w:val="000515D4"/>
    <w:rsid w:val="000562EB"/>
    <w:rsid w:val="00070EB1"/>
    <w:rsid w:val="000862E6"/>
    <w:rsid w:val="000B65D2"/>
    <w:rsid w:val="000C5EDA"/>
    <w:rsid w:val="000F742A"/>
    <w:rsid w:val="00132AD0"/>
    <w:rsid w:val="00166E66"/>
    <w:rsid w:val="001752F1"/>
    <w:rsid w:val="001B1ADF"/>
    <w:rsid w:val="001B4263"/>
    <w:rsid w:val="001F5390"/>
    <w:rsid w:val="002352C2"/>
    <w:rsid w:val="00252BAC"/>
    <w:rsid w:val="002659E9"/>
    <w:rsid w:val="002751A8"/>
    <w:rsid w:val="0027722F"/>
    <w:rsid w:val="002774E4"/>
    <w:rsid w:val="00281EE5"/>
    <w:rsid w:val="002A617A"/>
    <w:rsid w:val="002D664B"/>
    <w:rsid w:val="00300035"/>
    <w:rsid w:val="00301EED"/>
    <w:rsid w:val="003067EB"/>
    <w:rsid w:val="003136C3"/>
    <w:rsid w:val="0034089F"/>
    <w:rsid w:val="0034704C"/>
    <w:rsid w:val="0036646C"/>
    <w:rsid w:val="00382775"/>
    <w:rsid w:val="00384723"/>
    <w:rsid w:val="003B7EEB"/>
    <w:rsid w:val="003F69FC"/>
    <w:rsid w:val="00441A58"/>
    <w:rsid w:val="0048552A"/>
    <w:rsid w:val="00497B5E"/>
    <w:rsid w:val="004F067D"/>
    <w:rsid w:val="004F3C75"/>
    <w:rsid w:val="005153F8"/>
    <w:rsid w:val="0056109D"/>
    <w:rsid w:val="00593999"/>
    <w:rsid w:val="005A5F0D"/>
    <w:rsid w:val="005D51F4"/>
    <w:rsid w:val="005E59DB"/>
    <w:rsid w:val="005E6AF0"/>
    <w:rsid w:val="00607320"/>
    <w:rsid w:val="00636D88"/>
    <w:rsid w:val="00646AAE"/>
    <w:rsid w:val="00664470"/>
    <w:rsid w:val="006801CF"/>
    <w:rsid w:val="006A555B"/>
    <w:rsid w:val="006A7647"/>
    <w:rsid w:val="006C7599"/>
    <w:rsid w:val="006D2FFC"/>
    <w:rsid w:val="006E24E5"/>
    <w:rsid w:val="007075A1"/>
    <w:rsid w:val="00711FE0"/>
    <w:rsid w:val="00712CFB"/>
    <w:rsid w:val="00722173"/>
    <w:rsid w:val="00732ED7"/>
    <w:rsid w:val="00757AD7"/>
    <w:rsid w:val="0078211F"/>
    <w:rsid w:val="007835EF"/>
    <w:rsid w:val="00792D78"/>
    <w:rsid w:val="00795146"/>
    <w:rsid w:val="007A7666"/>
    <w:rsid w:val="007B08DD"/>
    <w:rsid w:val="00813DD9"/>
    <w:rsid w:val="00815C0F"/>
    <w:rsid w:val="00817F69"/>
    <w:rsid w:val="00830152"/>
    <w:rsid w:val="00840469"/>
    <w:rsid w:val="00850E4D"/>
    <w:rsid w:val="00853732"/>
    <w:rsid w:val="00881F0A"/>
    <w:rsid w:val="008A4C46"/>
    <w:rsid w:val="008C34E8"/>
    <w:rsid w:val="008D4B3C"/>
    <w:rsid w:val="008D678E"/>
    <w:rsid w:val="008E0C46"/>
    <w:rsid w:val="008F1D2E"/>
    <w:rsid w:val="0091261D"/>
    <w:rsid w:val="009167E6"/>
    <w:rsid w:val="00936ECF"/>
    <w:rsid w:val="00964A74"/>
    <w:rsid w:val="00974235"/>
    <w:rsid w:val="00994AC7"/>
    <w:rsid w:val="009C4581"/>
    <w:rsid w:val="009D0A29"/>
    <w:rsid w:val="009E1938"/>
    <w:rsid w:val="00A00AC9"/>
    <w:rsid w:val="00A11A29"/>
    <w:rsid w:val="00A3157F"/>
    <w:rsid w:val="00A4530C"/>
    <w:rsid w:val="00A56D36"/>
    <w:rsid w:val="00A654F1"/>
    <w:rsid w:val="00A71CCF"/>
    <w:rsid w:val="00A84FF1"/>
    <w:rsid w:val="00AB10A9"/>
    <w:rsid w:val="00AD4ACC"/>
    <w:rsid w:val="00AE550C"/>
    <w:rsid w:val="00AE594C"/>
    <w:rsid w:val="00B01526"/>
    <w:rsid w:val="00B14A9C"/>
    <w:rsid w:val="00B23043"/>
    <w:rsid w:val="00B262B8"/>
    <w:rsid w:val="00B4117F"/>
    <w:rsid w:val="00B4562C"/>
    <w:rsid w:val="00B56B6A"/>
    <w:rsid w:val="00B66168"/>
    <w:rsid w:val="00BB4BE5"/>
    <w:rsid w:val="00C0721F"/>
    <w:rsid w:val="00C127AA"/>
    <w:rsid w:val="00C675E8"/>
    <w:rsid w:val="00CA0CB4"/>
    <w:rsid w:val="00CA41D5"/>
    <w:rsid w:val="00CD6D5E"/>
    <w:rsid w:val="00D05AB0"/>
    <w:rsid w:val="00D0796F"/>
    <w:rsid w:val="00D40CFC"/>
    <w:rsid w:val="00D5361F"/>
    <w:rsid w:val="00D61469"/>
    <w:rsid w:val="00D86E88"/>
    <w:rsid w:val="00D928E0"/>
    <w:rsid w:val="00DA4AF0"/>
    <w:rsid w:val="00DD3B50"/>
    <w:rsid w:val="00DF635D"/>
    <w:rsid w:val="00E0184B"/>
    <w:rsid w:val="00E44A48"/>
    <w:rsid w:val="00E4531E"/>
    <w:rsid w:val="00E46347"/>
    <w:rsid w:val="00E50FD4"/>
    <w:rsid w:val="00E62E9F"/>
    <w:rsid w:val="00E81144"/>
    <w:rsid w:val="00E85846"/>
    <w:rsid w:val="00E92A51"/>
    <w:rsid w:val="00EA6403"/>
    <w:rsid w:val="00EB770B"/>
    <w:rsid w:val="00ED5D6D"/>
    <w:rsid w:val="00F07DF3"/>
    <w:rsid w:val="00F30C1B"/>
    <w:rsid w:val="00F60C2B"/>
    <w:rsid w:val="00F72D10"/>
    <w:rsid w:val="00F84F92"/>
    <w:rsid w:val="00F9482F"/>
    <w:rsid w:val="00FA5FFE"/>
    <w:rsid w:val="00FB371E"/>
    <w:rsid w:val="00FD2F61"/>
    <w:rsid w:val="00FD43F4"/>
    <w:rsid w:val="00FE164F"/>
    <w:rsid w:val="00FE1AFA"/>
    <w:rsid w:val="00FE5AFF"/>
    <w:rsid w:val="00FE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1821">
      <w:bodyDiv w:val="1"/>
      <w:marLeft w:val="0"/>
      <w:marRight w:val="0"/>
      <w:marTop w:val="0"/>
      <w:marBottom w:val="0"/>
      <w:divBdr>
        <w:top w:val="none" w:sz="0" w:space="0" w:color="auto"/>
        <w:left w:val="none" w:sz="0" w:space="0" w:color="auto"/>
        <w:bottom w:val="none" w:sz="0" w:space="0" w:color="auto"/>
        <w:right w:val="none" w:sz="0" w:space="0" w:color="auto"/>
      </w:divBdr>
    </w:div>
    <w:div w:id="263850939">
      <w:bodyDiv w:val="1"/>
      <w:marLeft w:val="0"/>
      <w:marRight w:val="0"/>
      <w:marTop w:val="0"/>
      <w:marBottom w:val="0"/>
      <w:divBdr>
        <w:top w:val="none" w:sz="0" w:space="0" w:color="auto"/>
        <w:left w:val="none" w:sz="0" w:space="0" w:color="auto"/>
        <w:bottom w:val="none" w:sz="0" w:space="0" w:color="auto"/>
        <w:right w:val="none" w:sz="0" w:space="0" w:color="auto"/>
      </w:divBdr>
    </w:div>
    <w:div w:id="413555348">
      <w:bodyDiv w:val="1"/>
      <w:marLeft w:val="0"/>
      <w:marRight w:val="0"/>
      <w:marTop w:val="0"/>
      <w:marBottom w:val="0"/>
      <w:divBdr>
        <w:top w:val="none" w:sz="0" w:space="0" w:color="auto"/>
        <w:left w:val="none" w:sz="0" w:space="0" w:color="auto"/>
        <w:bottom w:val="none" w:sz="0" w:space="0" w:color="auto"/>
        <w:right w:val="none" w:sz="0" w:space="0" w:color="auto"/>
      </w:divBdr>
    </w:div>
    <w:div w:id="427191840">
      <w:bodyDiv w:val="1"/>
      <w:marLeft w:val="0"/>
      <w:marRight w:val="0"/>
      <w:marTop w:val="0"/>
      <w:marBottom w:val="0"/>
      <w:divBdr>
        <w:top w:val="none" w:sz="0" w:space="0" w:color="auto"/>
        <w:left w:val="none" w:sz="0" w:space="0" w:color="auto"/>
        <w:bottom w:val="none" w:sz="0" w:space="0" w:color="auto"/>
        <w:right w:val="none" w:sz="0" w:space="0" w:color="auto"/>
      </w:divBdr>
    </w:div>
    <w:div w:id="1715735737">
      <w:bodyDiv w:val="1"/>
      <w:marLeft w:val="0"/>
      <w:marRight w:val="0"/>
      <w:marTop w:val="0"/>
      <w:marBottom w:val="0"/>
      <w:divBdr>
        <w:top w:val="none" w:sz="0" w:space="0" w:color="auto"/>
        <w:left w:val="none" w:sz="0" w:space="0" w:color="auto"/>
        <w:bottom w:val="none" w:sz="0" w:space="0" w:color="auto"/>
        <w:right w:val="none" w:sz="0" w:space="0" w:color="auto"/>
      </w:divBdr>
    </w:div>
    <w:div w:id="1805998836">
      <w:bodyDiv w:val="1"/>
      <w:marLeft w:val="0"/>
      <w:marRight w:val="0"/>
      <w:marTop w:val="0"/>
      <w:marBottom w:val="0"/>
      <w:divBdr>
        <w:top w:val="none" w:sz="0" w:space="0" w:color="auto"/>
        <w:left w:val="none" w:sz="0" w:space="0" w:color="auto"/>
        <w:bottom w:val="none" w:sz="0" w:space="0" w:color="auto"/>
        <w:right w:val="none" w:sz="0" w:space="0" w:color="auto"/>
      </w:divBdr>
    </w:div>
    <w:div w:id="18923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B645-4404-4D79-B994-5FCF0233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1060</Words>
  <Characters>7798</Characters>
  <Application>Microsoft Office Word</Application>
  <DocSecurity>0</DocSecurity>
  <Lines>210</Lines>
  <Paragraphs>79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17.jūnija noteikumos Nr.582 „Noteikumi par darbības programmas „Uzņēmējdarbība un inovācijas” papildinājuma 2.3.1.1.1.apakšaktivitātes „Ārējo tirgu apgūšana – ārējais mārketings”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17.jūnija noteikumos Nr.582 „Noteikumi par darbības programmas „Uzņēmējdarbība un inovācijas” papildinājuma 2.3.1.1.1.apakšaktivitātes „Ārējo tirgu apgūšana – ārējais mārketings” </dc:title>
  <dc:subject>Anotācijas</dc:subject>
  <dc:creator>Gatis Silovs</dc:creator>
  <cp:keywords/>
  <dc:description>67013209, Gatis.Silovs@em.gov.lv</dc:description>
  <cp:lastModifiedBy>Mārtiņš Zvejnieks</cp:lastModifiedBy>
  <cp:revision>23</cp:revision>
  <dcterms:created xsi:type="dcterms:W3CDTF">2012-07-26T13:07:00Z</dcterms:created>
  <dcterms:modified xsi:type="dcterms:W3CDTF">2012-11-21T12:42:00Z</dcterms:modified>
</cp:coreProperties>
</file>