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01" w:rsidRPr="00BA4F77" w:rsidRDefault="000E3B01" w:rsidP="00D3179B">
      <w:pPr>
        <w:jc w:val="center"/>
        <w:rPr>
          <w:b/>
          <w:sz w:val="28"/>
          <w:szCs w:val="28"/>
        </w:rPr>
      </w:pPr>
      <w:bookmarkStart w:id="0" w:name="OLE_LINK3"/>
      <w:bookmarkStart w:id="1" w:name="OLE_LINK4"/>
      <w:bookmarkStart w:id="2" w:name="OLE_LINK1"/>
      <w:bookmarkStart w:id="3" w:name="OLE_LINK2"/>
      <w:bookmarkStart w:id="4" w:name="OLE_LINK5"/>
      <w:bookmarkStart w:id="5" w:name="OLE_LINK6"/>
      <w:r w:rsidRPr="00BA4F77">
        <w:rPr>
          <w:b/>
          <w:sz w:val="28"/>
          <w:szCs w:val="28"/>
        </w:rPr>
        <w:t xml:space="preserve">Likumprojekta </w:t>
      </w:r>
      <w:bookmarkStart w:id="6" w:name="OLE_LINK7"/>
      <w:bookmarkStart w:id="7" w:name="OLE_LINK8"/>
      <w:r w:rsidRPr="00BA4F77">
        <w:rPr>
          <w:b/>
          <w:sz w:val="28"/>
          <w:szCs w:val="28"/>
        </w:rPr>
        <w:t>„</w:t>
      </w:r>
      <w:r w:rsidR="006904BB" w:rsidRPr="00BA4F77">
        <w:rPr>
          <w:b/>
          <w:sz w:val="28"/>
          <w:szCs w:val="28"/>
        </w:rPr>
        <w:t>Grozījum</w:t>
      </w:r>
      <w:r w:rsidR="005F00ED" w:rsidRPr="00BA4F77">
        <w:rPr>
          <w:b/>
          <w:sz w:val="28"/>
          <w:szCs w:val="28"/>
        </w:rPr>
        <w:t>i</w:t>
      </w:r>
      <w:r w:rsidR="006904BB" w:rsidRPr="00BA4F77">
        <w:rPr>
          <w:b/>
          <w:sz w:val="28"/>
          <w:szCs w:val="28"/>
        </w:rPr>
        <w:t xml:space="preserve"> Latvijas Administratīvo pārkāpumu kodeksā</w:t>
      </w:r>
      <w:r w:rsidRPr="00BA4F77">
        <w:rPr>
          <w:b/>
          <w:sz w:val="28"/>
          <w:szCs w:val="28"/>
        </w:rPr>
        <w:t>”</w:t>
      </w:r>
      <w:bookmarkEnd w:id="6"/>
      <w:bookmarkEnd w:id="7"/>
      <w:r w:rsidRPr="00BA4F77">
        <w:rPr>
          <w:b/>
          <w:sz w:val="28"/>
          <w:szCs w:val="28"/>
        </w:rPr>
        <w:t xml:space="preserve"> </w:t>
      </w:r>
      <w:bookmarkEnd w:id="0"/>
      <w:bookmarkEnd w:id="1"/>
      <w:r w:rsidRPr="00BA4F77">
        <w:rPr>
          <w:b/>
          <w:sz w:val="28"/>
          <w:szCs w:val="28"/>
        </w:rPr>
        <w:t>sākotnējās ietekmes novērtējuma ziņojums</w:t>
      </w:r>
      <w:bookmarkEnd w:id="2"/>
      <w:bookmarkEnd w:id="3"/>
      <w:r w:rsidRPr="00BA4F77">
        <w:rPr>
          <w:b/>
          <w:sz w:val="28"/>
          <w:szCs w:val="28"/>
        </w:rPr>
        <w:t xml:space="preserve"> (anotācija)</w:t>
      </w:r>
      <w:bookmarkEnd w:id="4"/>
      <w:bookmarkEnd w:id="5"/>
    </w:p>
    <w:tbl>
      <w:tblPr>
        <w:tblpPr w:leftFromText="180" w:rightFromText="180" w:vertAnchor="text" w:horzAnchor="margin" w:tblpXSpec="center" w:tblpY="149"/>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6"/>
        <w:gridCol w:w="1564"/>
        <w:gridCol w:w="7627"/>
      </w:tblGrid>
      <w:tr w:rsidR="000E3B01" w:rsidRPr="00BA4F77" w:rsidTr="00DF610F">
        <w:tc>
          <w:tcPr>
            <w:tcW w:w="9617" w:type="dxa"/>
            <w:gridSpan w:val="3"/>
            <w:vAlign w:val="center"/>
          </w:tcPr>
          <w:p w:rsidR="000E3B01" w:rsidRPr="00BA4F77" w:rsidRDefault="000E3B01" w:rsidP="00DF610F">
            <w:pPr>
              <w:pStyle w:val="naisnod"/>
              <w:spacing w:before="0" w:after="0"/>
              <w:rPr>
                <w:sz w:val="28"/>
                <w:szCs w:val="28"/>
              </w:rPr>
            </w:pPr>
            <w:r w:rsidRPr="00BA4F77">
              <w:rPr>
                <w:sz w:val="28"/>
                <w:szCs w:val="28"/>
              </w:rPr>
              <w:t>I. Tiesību akta projekta izstrādes nepieciešamība</w:t>
            </w:r>
          </w:p>
        </w:tc>
      </w:tr>
      <w:tr w:rsidR="000E3B01" w:rsidRPr="00BA4F77" w:rsidTr="00F43DAD">
        <w:trPr>
          <w:trHeight w:val="630"/>
        </w:trPr>
        <w:tc>
          <w:tcPr>
            <w:tcW w:w="426" w:type="dxa"/>
          </w:tcPr>
          <w:p w:rsidR="000E3B01" w:rsidRPr="00BA4F77" w:rsidRDefault="000E3B01" w:rsidP="00DF610F">
            <w:pPr>
              <w:pStyle w:val="naiskr"/>
              <w:spacing w:before="0" w:after="0"/>
              <w:rPr>
                <w:sz w:val="28"/>
                <w:szCs w:val="28"/>
              </w:rPr>
            </w:pPr>
            <w:r w:rsidRPr="00BA4F77">
              <w:rPr>
                <w:sz w:val="28"/>
                <w:szCs w:val="28"/>
              </w:rPr>
              <w:t>1.</w:t>
            </w:r>
          </w:p>
        </w:tc>
        <w:tc>
          <w:tcPr>
            <w:tcW w:w="1564" w:type="dxa"/>
          </w:tcPr>
          <w:p w:rsidR="000E3B01" w:rsidRPr="00BA4F77" w:rsidRDefault="000E3B01" w:rsidP="00DF610F">
            <w:pPr>
              <w:pStyle w:val="naiskr"/>
              <w:spacing w:before="0" w:after="0"/>
              <w:ind w:hanging="10"/>
              <w:rPr>
                <w:sz w:val="28"/>
                <w:szCs w:val="28"/>
              </w:rPr>
            </w:pPr>
            <w:r w:rsidRPr="00BA4F77">
              <w:rPr>
                <w:sz w:val="28"/>
                <w:szCs w:val="28"/>
              </w:rPr>
              <w:t>Pamatojums</w:t>
            </w:r>
          </w:p>
        </w:tc>
        <w:tc>
          <w:tcPr>
            <w:tcW w:w="7627" w:type="dxa"/>
          </w:tcPr>
          <w:p w:rsidR="000E3B01" w:rsidRPr="00094A8A" w:rsidRDefault="000E3B01" w:rsidP="0009565E">
            <w:pPr>
              <w:pStyle w:val="naiskr"/>
              <w:spacing w:before="0" w:after="0"/>
              <w:ind w:left="70" w:right="114" w:firstLine="425"/>
              <w:jc w:val="both"/>
              <w:rPr>
                <w:sz w:val="28"/>
                <w:szCs w:val="28"/>
              </w:rPr>
            </w:pPr>
            <w:r w:rsidRPr="00094A8A">
              <w:rPr>
                <w:sz w:val="28"/>
                <w:szCs w:val="28"/>
              </w:rPr>
              <w:t>Likumprojekts izstrādāts, pamatojoties uz 201</w:t>
            </w:r>
            <w:r w:rsidR="0009565E" w:rsidRPr="00094A8A">
              <w:rPr>
                <w:sz w:val="28"/>
                <w:szCs w:val="28"/>
              </w:rPr>
              <w:t>2</w:t>
            </w:r>
            <w:r w:rsidRPr="00094A8A">
              <w:rPr>
                <w:sz w:val="28"/>
                <w:szCs w:val="28"/>
              </w:rPr>
              <w:t xml:space="preserve">.gada </w:t>
            </w:r>
            <w:r w:rsidR="0009565E" w:rsidRPr="00094A8A">
              <w:rPr>
                <w:sz w:val="28"/>
                <w:szCs w:val="28"/>
              </w:rPr>
              <w:t>17</w:t>
            </w:r>
            <w:r w:rsidRPr="00094A8A">
              <w:rPr>
                <w:sz w:val="28"/>
                <w:szCs w:val="28"/>
              </w:rPr>
              <w:t>.</w:t>
            </w:r>
            <w:r w:rsidR="0009565E" w:rsidRPr="00094A8A">
              <w:rPr>
                <w:sz w:val="28"/>
                <w:szCs w:val="28"/>
              </w:rPr>
              <w:t>janvā</w:t>
            </w:r>
            <w:r w:rsidRPr="00094A8A">
              <w:rPr>
                <w:sz w:val="28"/>
                <w:szCs w:val="28"/>
              </w:rPr>
              <w:t xml:space="preserve">ra Ministru </w:t>
            </w:r>
            <w:r w:rsidR="0009565E" w:rsidRPr="00094A8A">
              <w:rPr>
                <w:sz w:val="28"/>
                <w:szCs w:val="28"/>
              </w:rPr>
              <w:t>prezidenta rezolūciju Nr.111-1/7</w:t>
            </w:r>
            <w:r w:rsidR="00094A8A" w:rsidRPr="00094A8A">
              <w:rPr>
                <w:sz w:val="28"/>
                <w:szCs w:val="28"/>
              </w:rPr>
              <w:t xml:space="preserve"> un 2012.gada 13.februāra Ministru prezidenta rezolūciju Nr.90/TA-317, TA-318, TA-319.</w:t>
            </w:r>
          </w:p>
        </w:tc>
      </w:tr>
      <w:tr w:rsidR="000E3B01" w:rsidRPr="00BA4F77" w:rsidTr="00F43DAD">
        <w:trPr>
          <w:trHeight w:val="472"/>
        </w:trPr>
        <w:tc>
          <w:tcPr>
            <w:tcW w:w="426" w:type="dxa"/>
          </w:tcPr>
          <w:p w:rsidR="000E3B01" w:rsidRPr="00BA4F77" w:rsidRDefault="000E3B01" w:rsidP="00DF610F">
            <w:pPr>
              <w:pStyle w:val="naiskr"/>
              <w:spacing w:before="0" w:after="0"/>
              <w:rPr>
                <w:sz w:val="28"/>
                <w:szCs w:val="28"/>
              </w:rPr>
            </w:pPr>
            <w:r w:rsidRPr="00BA4F77">
              <w:rPr>
                <w:sz w:val="28"/>
                <w:szCs w:val="28"/>
              </w:rPr>
              <w:t>2.</w:t>
            </w:r>
          </w:p>
        </w:tc>
        <w:tc>
          <w:tcPr>
            <w:tcW w:w="1564" w:type="dxa"/>
          </w:tcPr>
          <w:p w:rsidR="000E3B01" w:rsidRPr="00BA4F77" w:rsidRDefault="000E3B01" w:rsidP="00DF610F">
            <w:pPr>
              <w:pStyle w:val="naiskr"/>
              <w:tabs>
                <w:tab w:val="left" w:pos="170"/>
              </w:tabs>
              <w:spacing w:before="0" w:after="0"/>
              <w:rPr>
                <w:sz w:val="28"/>
                <w:szCs w:val="28"/>
              </w:rPr>
            </w:pPr>
            <w:r w:rsidRPr="00BA4F77">
              <w:rPr>
                <w:sz w:val="28"/>
                <w:szCs w:val="28"/>
              </w:rPr>
              <w:t>Pašreizējā situācija un problēmas</w:t>
            </w:r>
          </w:p>
        </w:tc>
        <w:tc>
          <w:tcPr>
            <w:tcW w:w="7627" w:type="dxa"/>
          </w:tcPr>
          <w:p w:rsidR="00DA0391" w:rsidRDefault="0009565E" w:rsidP="00025688">
            <w:pPr>
              <w:pStyle w:val="naisf"/>
              <w:spacing w:before="0" w:after="0"/>
              <w:ind w:left="70" w:right="114" w:firstLine="425"/>
              <w:rPr>
                <w:sz w:val="28"/>
                <w:szCs w:val="28"/>
              </w:rPr>
            </w:pPr>
            <w:r w:rsidRPr="00BA4F77">
              <w:rPr>
                <w:sz w:val="28"/>
                <w:szCs w:val="28"/>
              </w:rPr>
              <w:t>Šobrīd Patērētāju tiesību aizsardzības likuma (turpmāk – PTAL) 8.panta 1.</w:t>
            </w:r>
            <w:r w:rsidRPr="00BA4F77">
              <w:rPr>
                <w:sz w:val="28"/>
                <w:szCs w:val="28"/>
                <w:vertAlign w:val="superscript"/>
              </w:rPr>
              <w:t xml:space="preserve">1 </w:t>
            </w:r>
            <w:r w:rsidRPr="00BA4F77">
              <w:rPr>
                <w:sz w:val="28"/>
                <w:szCs w:val="28"/>
              </w:rPr>
              <w:t xml:space="preserve">daļa nosaka pienākumu </w:t>
            </w:r>
            <w:proofErr w:type="spellStart"/>
            <w:r w:rsidRPr="00BA4F77">
              <w:rPr>
                <w:sz w:val="28"/>
                <w:szCs w:val="28"/>
              </w:rPr>
              <w:t>nebanku</w:t>
            </w:r>
            <w:proofErr w:type="spellEnd"/>
            <w:r w:rsidRPr="00BA4F77">
              <w:rPr>
                <w:sz w:val="28"/>
                <w:szCs w:val="28"/>
              </w:rPr>
              <w:t xml:space="preserve"> kreditoriem saņemt speciālo atļauju (licenci) patērētāju kreditēšanas pakalpojuma sniegšanai. </w:t>
            </w:r>
            <w:r w:rsidR="00DA0391" w:rsidRPr="00BA4F77">
              <w:rPr>
                <w:sz w:val="28"/>
                <w:szCs w:val="28"/>
              </w:rPr>
              <w:t>4</w:t>
            </w:r>
            <w:r w:rsidR="008F7C20">
              <w:rPr>
                <w:sz w:val="28"/>
                <w:szCs w:val="28"/>
              </w:rPr>
              <w:t>8</w:t>
            </w:r>
            <w:r w:rsidR="00DA0391" w:rsidRPr="00BA4F77">
              <w:rPr>
                <w:sz w:val="28"/>
                <w:szCs w:val="28"/>
              </w:rPr>
              <w:t xml:space="preserve"> pakalpojumu sniedzēji šo atļauju ir saņēmuši</w:t>
            </w:r>
            <w:r w:rsidR="00DC6032" w:rsidRPr="00BA4F77">
              <w:rPr>
                <w:sz w:val="28"/>
                <w:szCs w:val="28"/>
              </w:rPr>
              <w:t>.</w:t>
            </w:r>
            <w:r w:rsidR="00DA0391" w:rsidRPr="00BA4F77">
              <w:rPr>
                <w:sz w:val="28"/>
                <w:szCs w:val="28"/>
              </w:rPr>
              <w:t xml:space="preserve"> </w:t>
            </w:r>
            <w:r w:rsidR="00DC6032" w:rsidRPr="00BA4F77">
              <w:rPr>
                <w:sz w:val="28"/>
                <w:szCs w:val="28"/>
              </w:rPr>
              <w:t>No licences saņēmušajām kapitālsabiedrībām 1</w:t>
            </w:r>
            <w:r w:rsidR="008F7C20">
              <w:rPr>
                <w:sz w:val="28"/>
                <w:szCs w:val="28"/>
              </w:rPr>
              <w:t>6</w:t>
            </w:r>
            <w:r w:rsidR="00DC6032" w:rsidRPr="00BA4F77">
              <w:rPr>
                <w:sz w:val="28"/>
                <w:szCs w:val="28"/>
              </w:rPr>
              <w:t xml:space="preserve"> kapitālsabiedrības kā patērētājam sniedzamo pakalpojumu ir norādījušas kreditēšanu pret kustamas lietas ķīlu. Tomēr </w:t>
            </w:r>
            <w:r w:rsidR="00DA0391" w:rsidRPr="00BA4F77">
              <w:rPr>
                <w:sz w:val="28"/>
                <w:szCs w:val="28"/>
              </w:rPr>
              <w:t xml:space="preserve">daļa pakalpojumu sniedzēju mēģina apiet </w:t>
            </w:r>
            <w:r w:rsidR="00DC6032" w:rsidRPr="00BA4F77">
              <w:rPr>
                <w:sz w:val="28"/>
                <w:szCs w:val="28"/>
              </w:rPr>
              <w:t xml:space="preserve">licences saņemšanas </w:t>
            </w:r>
            <w:r w:rsidR="00DA0391" w:rsidRPr="00BA4F77">
              <w:rPr>
                <w:sz w:val="28"/>
                <w:szCs w:val="28"/>
              </w:rPr>
              <w:t>prasību, slēdzot preču pirkšanas, atpakaļpirkuma, glabājuma, remonta un tamlīdzīgus līgumus, kuros ir saskatāmas slēptas kreditēšanas pazīmes (piemēram, drošības naudas izmaksa patērētājam, nododot lietu glabāšanā, remontā vai cita pakalpojuma veikšanai komersantam, tiesības vai pienākums izpirkt komersantam pārdoto preci pēc noteikta laika posma, samaksājot papildus maksu par pakalpojumu, u</w:t>
            </w:r>
            <w:r w:rsidR="00BA4F77">
              <w:rPr>
                <w:sz w:val="28"/>
                <w:szCs w:val="28"/>
              </w:rPr>
              <w:t>.</w:t>
            </w:r>
            <w:r w:rsidR="00DA0391" w:rsidRPr="00BA4F77">
              <w:rPr>
                <w:sz w:val="28"/>
                <w:szCs w:val="28"/>
              </w:rPr>
              <w:t>tml.)</w:t>
            </w:r>
            <w:r w:rsidR="00BA6869" w:rsidRPr="00BA4F77">
              <w:rPr>
                <w:sz w:val="28"/>
                <w:szCs w:val="28"/>
              </w:rPr>
              <w:t>.</w:t>
            </w:r>
            <w:r w:rsidR="00DC6032" w:rsidRPr="00BA4F77">
              <w:rPr>
                <w:sz w:val="28"/>
                <w:szCs w:val="28"/>
              </w:rPr>
              <w:t xml:space="preserve"> </w:t>
            </w:r>
          </w:p>
          <w:p w:rsidR="001417D1" w:rsidRPr="00BA4F77" w:rsidRDefault="001417D1" w:rsidP="00025688">
            <w:pPr>
              <w:pStyle w:val="naisf"/>
              <w:spacing w:before="0" w:after="0"/>
              <w:ind w:left="70" w:right="114" w:firstLine="425"/>
              <w:rPr>
                <w:sz w:val="28"/>
                <w:szCs w:val="28"/>
              </w:rPr>
            </w:pPr>
            <w:r w:rsidRPr="006E4B0A">
              <w:rPr>
                <w:sz w:val="28"/>
                <w:szCs w:val="28"/>
              </w:rPr>
              <w:t>Ekonomikas ministrija pieturas pie viedokļa, ka lielākā daļa komersantu, kuru darbībā saskatāmas lombardu darbības pazīmes</w:t>
            </w:r>
            <w:r>
              <w:rPr>
                <w:sz w:val="28"/>
                <w:szCs w:val="28"/>
              </w:rPr>
              <w:t>,</w:t>
            </w:r>
            <w:r w:rsidRPr="00627D2F">
              <w:rPr>
                <w:sz w:val="28"/>
                <w:szCs w:val="28"/>
              </w:rPr>
              <w:t xml:space="preserve"> ir uzskatām</w:t>
            </w:r>
            <w:r>
              <w:rPr>
                <w:sz w:val="28"/>
                <w:szCs w:val="28"/>
              </w:rPr>
              <w:t>i</w:t>
            </w:r>
            <w:r w:rsidRPr="00627D2F">
              <w:rPr>
                <w:sz w:val="28"/>
                <w:szCs w:val="28"/>
              </w:rPr>
              <w:t xml:space="preserve"> par </w:t>
            </w:r>
            <w:r w:rsidRPr="001417D1">
              <w:rPr>
                <w:sz w:val="28"/>
                <w:szCs w:val="28"/>
              </w:rPr>
              <w:t xml:space="preserve">slēptās kreditēšanas veicējiem, un šo pārkāpumu konstatēšanai un novēršanai ir </w:t>
            </w:r>
            <w:r>
              <w:rPr>
                <w:sz w:val="28"/>
                <w:szCs w:val="28"/>
              </w:rPr>
              <w:t>nepieciešama pastiprināta tirgus uzraudzība. Vienlaikus ir atzīstams, ka ir iespējams padarīt efektīvāku minēto pārkāpumu novēršanu un padarīt efektīvāku šī sektora uzraudzību, pilnveidojot šobrīd spēkā esošās normas attiecībā uz sodu apmēriem, kas piemērojami komercdarbībai bez speciālās atļaujas (licences), un uzraudzības iestāžu pilnvarām un funkcijām.</w:t>
            </w:r>
          </w:p>
          <w:p w:rsidR="000E3B01" w:rsidRPr="00BA4F77" w:rsidRDefault="0009565E" w:rsidP="00025688">
            <w:pPr>
              <w:pStyle w:val="naisf"/>
              <w:spacing w:before="0" w:after="0"/>
              <w:ind w:left="70" w:right="114" w:firstLine="425"/>
              <w:rPr>
                <w:sz w:val="28"/>
                <w:szCs w:val="28"/>
              </w:rPr>
            </w:pPr>
            <w:r w:rsidRPr="00BA4F77">
              <w:rPr>
                <w:sz w:val="28"/>
                <w:szCs w:val="28"/>
              </w:rPr>
              <w:t xml:space="preserve">Par </w:t>
            </w:r>
            <w:r w:rsidR="00BA4F77">
              <w:rPr>
                <w:sz w:val="28"/>
                <w:szCs w:val="28"/>
              </w:rPr>
              <w:t>komerc</w:t>
            </w:r>
            <w:r w:rsidRPr="00BA4F77">
              <w:rPr>
                <w:sz w:val="28"/>
                <w:szCs w:val="28"/>
              </w:rPr>
              <w:t xml:space="preserve">darbību bez speciālās atļaujas (licences)  atbildību šobrīd paredz </w:t>
            </w:r>
            <w:r w:rsidR="00F251E2" w:rsidRPr="00BA4F77">
              <w:rPr>
                <w:sz w:val="28"/>
                <w:szCs w:val="28"/>
              </w:rPr>
              <w:t xml:space="preserve">Latvijas </w:t>
            </w:r>
            <w:r w:rsidRPr="00BA4F77">
              <w:rPr>
                <w:sz w:val="28"/>
                <w:szCs w:val="28"/>
              </w:rPr>
              <w:t xml:space="preserve">Administratīvo pārkāpumu kodeksa (turpmāk – </w:t>
            </w:r>
            <w:r w:rsidR="00FF356A" w:rsidRPr="00BA4F77">
              <w:rPr>
                <w:sz w:val="28"/>
                <w:szCs w:val="28"/>
              </w:rPr>
              <w:t>L</w:t>
            </w:r>
            <w:r w:rsidRPr="00BA4F77">
              <w:rPr>
                <w:sz w:val="28"/>
                <w:szCs w:val="28"/>
              </w:rPr>
              <w:t>APK) 166.</w:t>
            </w:r>
            <w:r w:rsidRPr="00BA4F77">
              <w:rPr>
                <w:sz w:val="28"/>
                <w:szCs w:val="28"/>
                <w:vertAlign w:val="superscript"/>
              </w:rPr>
              <w:t>2</w:t>
            </w:r>
            <w:r w:rsidRPr="00BA4F77">
              <w:rPr>
                <w:sz w:val="28"/>
                <w:szCs w:val="28"/>
              </w:rPr>
              <w:t xml:space="preserve"> pants</w:t>
            </w:r>
            <w:r w:rsidR="00025688" w:rsidRPr="00BA4F77">
              <w:rPr>
                <w:sz w:val="28"/>
                <w:szCs w:val="28"/>
              </w:rPr>
              <w:t>, kas paredz naudas sodu fiziskām personām līdz 500 LVL, bet juridiskām – līdz 3000 LVL. Par atkārtotu pārkāpumu gada laikā Krimināllikuma 20</w:t>
            </w:r>
            <w:r w:rsidR="00FF356A" w:rsidRPr="00BA4F77">
              <w:rPr>
                <w:sz w:val="28"/>
                <w:szCs w:val="28"/>
              </w:rPr>
              <w:t>7</w:t>
            </w:r>
            <w:r w:rsidR="00025688" w:rsidRPr="00BA4F77">
              <w:rPr>
                <w:sz w:val="28"/>
                <w:szCs w:val="28"/>
              </w:rPr>
              <w:t>.pants paredz kriminālatbildību (brīvības atņemšana uz laiku līdz 2 gadiem, arests, piespiedu darbs vai naudas sods līdz 100 minimālajām mēnešalgā</w:t>
            </w:r>
            <w:r w:rsidR="006B20D9">
              <w:rPr>
                <w:sz w:val="28"/>
                <w:szCs w:val="28"/>
              </w:rPr>
              <w:t>m, paredzot iespēju atņem</w:t>
            </w:r>
            <w:r w:rsidR="00025688" w:rsidRPr="00BA4F77">
              <w:rPr>
                <w:sz w:val="28"/>
                <w:szCs w:val="28"/>
              </w:rPr>
              <w:t>t tiesības veikt komercdarbību uz laiku līdz 3 gadiem).</w:t>
            </w:r>
          </w:p>
          <w:p w:rsidR="00025688" w:rsidRPr="00BA4F77" w:rsidRDefault="001417D1" w:rsidP="003A733A">
            <w:pPr>
              <w:pStyle w:val="naisf"/>
              <w:spacing w:before="0" w:after="0"/>
              <w:ind w:left="70" w:right="114" w:firstLine="425"/>
              <w:rPr>
                <w:sz w:val="28"/>
                <w:szCs w:val="28"/>
              </w:rPr>
            </w:pPr>
            <w:r>
              <w:rPr>
                <w:sz w:val="28"/>
                <w:szCs w:val="28"/>
              </w:rPr>
              <w:t>Ņ</w:t>
            </w:r>
            <w:r w:rsidR="00025688" w:rsidRPr="00BA4F77">
              <w:rPr>
                <w:sz w:val="28"/>
                <w:szCs w:val="28"/>
              </w:rPr>
              <w:t>emot vērā 2011.gada 29.ma</w:t>
            </w:r>
            <w:r w:rsidR="00AB1F8B">
              <w:rPr>
                <w:sz w:val="28"/>
                <w:szCs w:val="28"/>
              </w:rPr>
              <w:t>rta Ministru kabineta noteikumu</w:t>
            </w:r>
            <w:r w:rsidR="00025688" w:rsidRPr="00BA4F77">
              <w:rPr>
                <w:sz w:val="28"/>
                <w:szCs w:val="28"/>
              </w:rPr>
              <w:t xml:space="preserve"> Nr.245 "Noteikumi par kārtību, kādā izsniedz, pārreģistrē, aptur un anulē speciālo atļauju (licenci) patērētāju kreditēšanas </w:t>
            </w:r>
            <w:r w:rsidR="00025688" w:rsidRPr="00BA4F77">
              <w:rPr>
                <w:sz w:val="28"/>
                <w:szCs w:val="28"/>
              </w:rPr>
              <w:lastRenderedPageBreak/>
              <w:t xml:space="preserve">pakalpojumu sniegšanai un maksā valsts nodevu par speciālās atļaujas (licences) izsniegšanu un pārreģistrāciju, kā arī prasībām kapitālsabiedrībai speciālās atļaujas (licences) saņemšanai" 49.punktā paredzēto valsts nodevas apmēru par speciālās atļaujas (licences) izsniegšanu, </w:t>
            </w:r>
            <w:r w:rsidR="00FF356A" w:rsidRPr="00BA4F77">
              <w:rPr>
                <w:sz w:val="28"/>
                <w:szCs w:val="28"/>
              </w:rPr>
              <w:t>L</w:t>
            </w:r>
            <w:r w:rsidR="00025688" w:rsidRPr="00BA4F77">
              <w:rPr>
                <w:sz w:val="28"/>
                <w:szCs w:val="28"/>
              </w:rPr>
              <w:t>APK 166.</w:t>
            </w:r>
            <w:r w:rsidR="00025688" w:rsidRPr="00BA4F77">
              <w:rPr>
                <w:sz w:val="28"/>
                <w:szCs w:val="28"/>
                <w:vertAlign w:val="superscript"/>
              </w:rPr>
              <w:t xml:space="preserve">2 </w:t>
            </w:r>
            <w:r w:rsidR="00025688" w:rsidRPr="00BA4F77">
              <w:rPr>
                <w:sz w:val="28"/>
                <w:szCs w:val="28"/>
              </w:rPr>
              <w:t>pantā šobrīd paredzētais soda apmērs – līdz 3000 LVL uzskatāms par pārāk zemu un tiesību normu ievērošanu neveicinošu</w:t>
            </w:r>
            <w:r w:rsidR="00FF356A" w:rsidRPr="00BA4F77">
              <w:rPr>
                <w:sz w:val="28"/>
                <w:szCs w:val="28"/>
              </w:rPr>
              <w:t>, par ko liecina lielais to komersantu skaits, kas neievēro licences saņemšanas pienākumu</w:t>
            </w:r>
            <w:r w:rsidR="00025688" w:rsidRPr="00BA4F77">
              <w:rPr>
                <w:sz w:val="28"/>
                <w:szCs w:val="28"/>
              </w:rPr>
              <w:t xml:space="preserve">. Patērētāju ekonomisko interešu un licencēto komersantu tiesību uz godīgu konkurenci aizsardzībai nepieciešams </w:t>
            </w:r>
            <w:r w:rsidR="003A733A" w:rsidRPr="00BA4F77">
              <w:rPr>
                <w:sz w:val="28"/>
                <w:szCs w:val="28"/>
              </w:rPr>
              <w:t>noteik</w:t>
            </w:r>
            <w:r w:rsidR="00025688" w:rsidRPr="00BA4F77">
              <w:rPr>
                <w:sz w:val="28"/>
                <w:szCs w:val="28"/>
              </w:rPr>
              <w:t xml:space="preserve">t </w:t>
            </w:r>
            <w:r w:rsidR="003A733A" w:rsidRPr="00BA4F77">
              <w:rPr>
                <w:sz w:val="28"/>
                <w:szCs w:val="28"/>
              </w:rPr>
              <w:t xml:space="preserve">lielāku </w:t>
            </w:r>
            <w:r w:rsidR="00025688" w:rsidRPr="00BA4F77">
              <w:rPr>
                <w:sz w:val="28"/>
                <w:szCs w:val="28"/>
              </w:rPr>
              <w:t>soda apmēru</w:t>
            </w:r>
            <w:r w:rsidR="003A733A" w:rsidRPr="00BA4F77">
              <w:rPr>
                <w:sz w:val="28"/>
                <w:szCs w:val="28"/>
              </w:rPr>
              <w:t xml:space="preserve"> par patērētāju kreditēšanu bez speciālās atļaujas (licences).</w:t>
            </w:r>
            <w:r w:rsidR="004C14D3" w:rsidRPr="00BA4F77">
              <w:rPr>
                <w:sz w:val="28"/>
                <w:szCs w:val="28"/>
              </w:rPr>
              <w:t xml:space="preserve"> </w:t>
            </w:r>
          </w:p>
          <w:p w:rsidR="00B071AE" w:rsidRPr="00BA4F77" w:rsidRDefault="00A5692B" w:rsidP="00BA4F77">
            <w:pPr>
              <w:pStyle w:val="naisf"/>
              <w:spacing w:before="0" w:after="0"/>
              <w:ind w:left="70" w:right="114" w:firstLine="425"/>
              <w:rPr>
                <w:bCs/>
                <w:sz w:val="28"/>
                <w:szCs w:val="28"/>
              </w:rPr>
            </w:pPr>
            <w:r w:rsidRPr="00BA4F77">
              <w:rPr>
                <w:sz w:val="28"/>
                <w:szCs w:val="28"/>
              </w:rPr>
              <w:t>2010.gada 28.decembra Ministru kabineta noteikumu Nr.1219 "Noteikumi par patērētāja kreditēšanu" VII nodaļa nosaka prasības</w:t>
            </w:r>
            <w:bookmarkStart w:id="8" w:name="375577"/>
            <w:r w:rsidRPr="00BA4F77">
              <w:rPr>
                <w:sz w:val="28"/>
                <w:szCs w:val="28"/>
              </w:rPr>
              <w:t xml:space="preserve">, </w:t>
            </w:r>
            <w:r w:rsidRPr="00BA4F77">
              <w:rPr>
                <w:bCs/>
                <w:sz w:val="28"/>
                <w:szCs w:val="28"/>
              </w:rPr>
              <w:t>kas piemērojamas patērētāja kreditēšanai pret kustamas lietas ķīlu</w:t>
            </w:r>
            <w:bookmarkEnd w:id="8"/>
            <w:r w:rsidR="00FF720A" w:rsidRPr="00BA4F77">
              <w:rPr>
                <w:bCs/>
                <w:sz w:val="28"/>
                <w:szCs w:val="28"/>
              </w:rPr>
              <w:t xml:space="preserve">, tai skaitā sniegt minēto pakalpojumu patērētājiem </w:t>
            </w:r>
            <w:r w:rsidR="00FF720A" w:rsidRPr="00BA4F77">
              <w:rPr>
                <w:sz w:val="28"/>
                <w:szCs w:val="28"/>
              </w:rPr>
              <w:t>laikposmā no pulksten 20.00 līdz 8.00</w:t>
            </w:r>
            <w:r w:rsidRPr="00BA4F77">
              <w:rPr>
                <w:bCs/>
                <w:sz w:val="28"/>
                <w:szCs w:val="28"/>
              </w:rPr>
              <w:t xml:space="preserve">. Lai efektīvi uzraudzītu šo prasību izpildi, nepieciešams papildināt </w:t>
            </w:r>
            <w:r w:rsidR="00FF356A" w:rsidRPr="00BA4F77">
              <w:rPr>
                <w:bCs/>
                <w:sz w:val="28"/>
                <w:szCs w:val="28"/>
              </w:rPr>
              <w:t>L</w:t>
            </w:r>
            <w:r w:rsidRPr="00BA4F77">
              <w:rPr>
                <w:bCs/>
                <w:sz w:val="28"/>
                <w:szCs w:val="28"/>
              </w:rPr>
              <w:t xml:space="preserve">APK </w:t>
            </w:r>
            <w:r w:rsidRPr="00BA4F77">
              <w:rPr>
                <w:sz w:val="28"/>
                <w:szCs w:val="28"/>
              </w:rPr>
              <w:t>155.</w:t>
            </w:r>
            <w:r w:rsidRPr="00BA4F77">
              <w:rPr>
                <w:sz w:val="28"/>
                <w:szCs w:val="28"/>
                <w:vertAlign w:val="superscript"/>
              </w:rPr>
              <w:t>10</w:t>
            </w:r>
            <w:r w:rsidRPr="00BA4F77">
              <w:rPr>
                <w:sz w:val="28"/>
                <w:szCs w:val="28"/>
              </w:rPr>
              <w:t xml:space="preserve"> pantu ar sankcijām par pārkāpumiem </w:t>
            </w:r>
            <w:r w:rsidRPr="00BA4F77">
              <w:rPr>
                <w:bCs/>
                <w:sz w:val="28"/>
                <w:szCs w:val="28"/>
              </w:rPr>
              <w:t>patērētāja kreditēšanā pret kustamas lietas ķīlu</w:t>
            </w:r>
            <w:r w:rsidR="001417D1">
              <w:rPr>
                <w:bCs/>
                <w:sz w:val="28"/>
                <w:szCs w:val="28"/>
              </w:rPr>
              <w:t>, kā arī piešķirt tiesības pašvaldības policijai veikt šo prasību ievērošanas uzraudzību un administratīvās atbildības piemērošanu gadījumos, kad tiek konstatēti pārkāpumi.</w:t>
            </w:r>
          </w:p>
        </w:tc>
      </w:tr>
      <w:tr w:rsidR="000E3B01" w:rsidRPr="00BA4F77" w:rsidTr="00F43DAD">
        <w:trPr>
          <w:trHeight w:val="530"/>
        </w:trPr>
        <w:tc>
          <w:tcPr>
            <w:tcW w:w="426" w:type="dxa"/>
          </w:tcPr>
          <w:p w:rsidR="000E3B01" w:rsidRPr="00BA4F77" w:rsidRDefault="000E3B01" w:rsidP="00DF610F">
            <w:pPr>
              <w:pStyle w:val="naiskr"/>
              <w:spacing w:before="0" w:after="0"/>
              <w:rPr>
                <w:sz w:val="28"/>
                <w:szCs w:val="28"/>
              </w:rPr>
            </w:pPr>
            <w:r w:rsidRPr="00BA4F77">
              <w:rPr>
                <w:sz w:val="28"/>
                <w:szCs w:val="28"/>
              </w:rPr>
              <w:lastRenderedPageBreak/>
              <w:t>3.</w:t>
            </w:r>
          </w:p>
        </w:tc>
        <w:tc>
          <w:tcPr>
            <w:tcW w:w="1564" w:type="dxa"/>
          </w:tcPr>
          <w:p w:rsidR="000E3B01" w:rsidRPr="00BA4F77" w:rsidRDefault="000E3B01" w:rsidP="00DF610F">
            <w:pPr>
              <w:pStyle w:val="naiskr"/>
              <w:spacing w:before="0" w:after="0"/>
              <w:rPr>
                <w:sz w:val="28"/>
                <w:szCs w:val="28"/>
              </w:rPr>
            </w:pPr>
            <w:r w:rsidRPr="00BA4F77">
              <w:rPr>
                <w:sz w:val="28"/>
                <w:szCs w:val="28"/>
              </w:rPr>
              <w:t>Saistītie politikas ietekmes novērtējumi un pētījumi</w:t>
            </w:r>
          </w:p>
        </w:tc>
        <w:tc>
          <w:tcPr>
            <w:tcW w:w="7627" w:type="dxa"/>
          </w:tcPr>
          <w:p w:rsidR="000E3B01" w:rsidRPr="00BA4F77" w:rsidRDefault="00387434" w:rsidP="00387434">
            <w:pPr>
              <w:pStyle w:val="FootnoteText"/>
              <w:ind w:left="75"/>
              <w:rPr>
                <w:i/>
                <w:sz w:val="28"/>
                <w:szCs w:val="28"/>
              </w:rPr>
            </w:pPr>
            <w:r w:rsidRPr="00BA4F77">
              <w:rPr>
                <w:i/>
                <w:color w:val="000000"/>
                <w:sz w:val="28"/>
                <w:szCs w:val="28"/>
              </w:rPr>
              <w:t>Projekts šo jomu neskar.</w:t>
            </w:r>
          </w:p>
        </w:tc>
      </w:tr>
      <w:tr w:rsidR="000E3B01" w:rsidRPr="00BA4F77" w:rsidTr="00F43DAD">
        <w:trPr>
          <w:trHeight w:val="384"/>
        </w:trPr>
        <w:tc>
          <w:tcPr>
            <w:tcW w:w="426" w:type="dxa"/>
          </w:tcPr>
          <w:p w:rsidR="000E3B01" w:rsidRPr="00BA4F77" w:rsidRDefault="000E3B01" w:rsidP="00DF610F">
            <w:pPr>
              <w:pStyle w:val="naiskr"/>
              <w:spacing w:before="0" w:after="0"/>
              <w:rPr>
                <w:sz w:val="28"/>
                <w:szCs w:val="28"/>
              </w:rPr>
            </w:pPr>
            <w:r w:rsidRPr="00BA4F77">
              <w:rPr>
                <w:sz w:val="28"/>
                <w:szCs w:val="28"/>
              </w:rPr>
              <w:t>4.</w:t>
            </w:r>
          </w:p>
        </w:tc>
        <w:tc>
          <w:tcPr>
            <w:tcW w:w="1564" w:type="dxa"/>
          </w:tcPr>
          <w:p w:rsidR="000E3B01" w:rsidRPr="00BA4F77" w:rsidRDefault="000E3B01" w:rsidP="00DF610F">
            <w:pPr>
              <w:pStyle w:val="naiskr"/>
              <w:spacing w:before="0" w:after="0"/>
              <w:rPr>
                <w:sz w:val="28"/>
                <w:szCs w:val="28"/>
              </w:rPr>
            </w:pPr>
            <w:r w:rsidRPr="00BA4F77">
              <w:rPr>
                <w:sz w:val="28"/>
                <w:szCs w:val="28"/>
              </w:rPr>
              <w:t>Tiesiskā regulējuma mērķis un būtība</w:t>
            </w:r>
          </w:p>
        </w:tc>
        <w:tc>
          <w:tcPr>
            <w:tcW w:w="7627" w:type="dxa"/>
          </w:tcPr>
          <w:p w:rsidR="0009565E" w:rsidRPr="00BA4F77" w:rsidRDefault="0009565E" w:rsidP="00A5692B">
            <w:pPr>
              <w:ind w:left="75" w:right="114" w:firstLine="495"/>
              <w:jc w:val="both"/>
              <w:rPr>
                <w:sz w:val="28"/>
                <w:szCs w:val="28"/>
              </w:rPr>
            </w:pPr>
            <w:r w:rsidRPr="00BA4F77">
              <w:rPr>
                <w:sz w:val="28"/>
                <w:szCs w:val="28"/>
              </w:rPr>
              <w:t xml:space="preserve">Likumprojekta mērķis ir </w:t>
            </w:r>
            <w:r w:rsidR="00A5692B" w:rsidRPr="00BA4F77">
              <w:rPr>
                <w:sz w:val="28"/>
                <w:szCs w:val="28"/>
              </w:rPr>
              <w:t xml:space="preserve">papildināt </w:t>
            </w:r>
            <w:r w:rsidR="00FF356A" w:rsidRPr="00BA4F77">
              <w:rPr>
                <w:sz w:val="28"/>
                <w:szCs w:val="28"/>
              </w:rPr>
              <w:t>L</w:t>
            </w:r>
            <w:r w:rsidR="00A5692B" w:rsidRPr="00BA4F77">
              <w:rPr>
                <w:sz w:val="28"/>
                <w:szCs w:val="28"/>
              </w:rPr>
              <w:t>APK regulējumu ar administratīvajām</w:t>
            </w:r>
            <w:r w:rsidRPr="00BA4F77">
              <w:rPr>
                <w:sz w:val="28"/>
                <w:szCs w:val="28"/>
              </w:rPr>
              <w:t xml:space="preserve"> s</w:t>
            </w:r>
            <w:r w:rsidR="00A5692B" w:rsidRPr="00BA4F77">
              <w:rPr>
                <w:sz w:val="28"/>
                <w:szCs w:val="28"/>
              </w:rPr>
              <w:t>ankcijām</w:t>
            </w:r>
            <w:r w:rsidRPr="00BA4F77">
              <w:rPr>
                <w:sz w:val="28"/>
                <w:szCs w:val="28"/>
              </w:rPr>
              <w:t xml:space="preserve"> par pārkāpumiem, kas saistīti ar patērētāju kreditēšanu, ko veic </w:t>
            </w:r>
            <w:proofErr w:type="spellStart"/>
            <w:r w:rsidRPr="00BA4F77">
              <w:rPr>
                <w:sz w:val="28"/>
                <w:szCs w:val="28"/>
              </w:rPr>
              <w:t>nebanku</w:t>
            </w:r>
            <w:proofErr w:type="spellEnd"/>
            <w:r w:rsidRPr="00BA4F77">
              <w:rPr>
                <w:sz w:val="28"/>
                <w:szCs w:val="28"/>
              </w:rPr>
              <w:t xml:space="preserve"> kredīta devēji</w:t>
            </w:r>
            <w:r w:rsidR="00F251E2" w:rsidRPr="00BA4F77">
              <w:rPr>
                <w:sz w:val="28"/>
                <w:szCs w:val="28"/>
              </w:rPr>
              <w:t xml:space="preserve">, kā arī stiprināt </w:t>
            </w:r>
            <w:proofErr w:type="spellStart"/>
            <w:r w:rsidR="00F251E2" w:rsidRPr="00BA4F77">
              <w:rPr>
                <w:sz w:val="28"/>
                <w:szCs w:val="28"/>
              </w:rPr>
              <w:t>nebanku</w:t>
            </w:r>
            <w:proofErr w:type="spellEnd"/>
            <w:r w:rsidR="00F251E2" w:rsidRPr="00BA4F77">
              <w:rPr>
                <w:sz w:val="28"/>
                <w:szCs w:val="28"/>
              </w:rPr>
              <w:t xml:space="preserve"> kreditēšanas pakalpojumu sniedzēju uzraudzību</w:t>
            </w:r>
            <w:r w:rsidRPr="00BA4F77">
              <w:rPr>
                <w:sz w:val="28"/>
                <w:szCs w:val="28"/>
              </w:rPr>
              <w:t>.</w:t>
            </w:r>
          </w:p>
          <w:p w:rsidR="00312447" w:rsidRPr="00BA4F77" w:rsidRDefault="00C85960" w:rsidP="00810923">
            <w:pPr>
              <w:ind w:left="75" w:right="114" w:firstLine="495"/>
              <w:jc w:val="both"/>
              <w:rPr>
                <w:sz w:val="28"/>
                <w:szCs w:val="28"/>
              </w:rPr>
            </w:pPr>
            <w:r w:rsidRPr="00BA4F77">
              <w:rPr>
                <w:sz w:val="28"/>
                <w:szCs w:val="28"/>
              </w:rPr>
              <w:t xml:space="preserve">Likumprojekta 1.pants </w:t>
            </w:r>
            <w:r w:rsidR="00B071AE" w:rsidRPr="00BA4F77">
              <w:rPr>
                <w:sz w:val="28"/>
                <w:szCs w:val="28"/>
              </w:rPr>
              <w:t>paredz</w:t>
            </w:r>
            <w:r w:rsidR="00177439" w:rsidRPr="00BA4F77">
              <w:rPr>
                <w:sz w:val="28"/>
                <w:szCs w:val="28"/>
              </w:rPr>
              <w:t xml:space="preserve"> </w:t>
            </w:r>
            <w:r w:rsidR="006945D4" w:rsidRPr="00BA4F77">
              <w:rPr>
                <w:sz w:val="28"/>
                <w:szCs w:val="28"/>
              </w:rPr>
              <w:t>papildināt 155.</w:t>
            </w:r>
            <w:r w:rsidR="006945D4" w:rsidRPr="00BA4F77">
              <w:rPr>
                <w:sz w:val="28"/>
                <w:szCs w:val="28"/>
                <w:vertAlign w:val="superscript"/>
              </w:rPr>
              <w:t>10</w:t>
            </w:r>
            <w:r w:rsidR="006945D4" w:rsidRPr="00BA4F77">
              <w:rPr>
                <w:sz w:val="28"/>
                <w:szCs w:val="28"/>
              </w:rPr>
              <w:t xml:space="preserve"> pantu ar atbildību par normatīvajos aktos noteikto p</w:t>
            </w:r>
            <w:r w:rsidR="006945D4" w:rsidRPr="00BA4F77">
              <w:rPr>
                <w:bCs/>
                <w:sz w:val="28"/>
                <w:szCs w:val="28"/>
              </w:rPr>
              <w:t>rasību</w:t>
            </w:r>
            <w:r w:rsidR="00F43DAD" w:rsidRPr="00BA4F77">
              <w:rPr>
                <w:sz w:val="28"/>
                <w:szCs w:val="28"/>
              </w:rPr>
              <w:t xml:space="preserve"> neievērošanu</w:t>
            </w:r>
            <w:r w:rsidR="006945D4" w:rsidRPr="00BA4F77">
              <w:rPr>
                <w:bCs/>
                <w:sz w:val="28"/>
                <w:szCs w:val="28"/>
              </w:rPr>
              <w:t>, kas piemērojamas patērētāja kreditēšanai pret kustamas lietas ķīlu</w:t>
            </w:r>
            <w:r w:rsidR="006945D4" w:rsidRPr="00BA4F77">
              <w:rPr>
                <w:sz w:val="28"/>
                <w:szCs w:val="28"/>
              </w:rPr>
              <w:t xml:space="preserve">, </w:t>
            </w:r>
            <w:r w:rsidR="004B2F97" w:rsidRPr="00BA4F77">
              <w:rPr>
                <w:sz w:val="28"/>
                <w:szCs w:val="28"/>
              </w:rPr>
              <w:t xml:space="preserve">ņemot vērā, ka </w:t>
            </w:r>
            <w:r w:rsidR="00FF356A" w:rsidRPr="00BA4F77">
              <w:rPr>
                <w:sz w:val="28"/>
                <w:szCs w:val="28"/>
              </w:rPr>
              <w:t>L</w:t>
            </w:r>
            <w:r w:rsidR="004B2F97" w:rsidRPr="00BA4F77">
              <w:rPr>
                <w:sz w:val="28"/>
                <w:szCs w:val="28"/>
              </w:rPr>
              <w:t xml:space="preserve">APK šobrīd nenosaka </w:t>
            </w:r>
            <w:r w:rsidR="00685119" w:rsidRPr="00BA4F77">
              <w:rPr>
                <w:sz w:val="28"/>
                <w:szCs w:val="28"/>
              </w:rPr>
              <w:t xml:space="preserve">tiešu </w:t>
            </w:r>
            <w:r w:rsidR="004B2F97" w:rsidRPr="00BA4F77">
              <w:rPr>
                <w:sz w:val="28"/>
                <w:szCs w:val="28"/>
              </w:rPr>
              <w:t xml:space="preserve">atbildību par 2010.gada 28.decembra Ministru kabineta noteikumos Nr.1219 "Noteikumi par patērētāja kreditēšanu" noteiktās lombardu darbības organizēšanas kārtības pārkāpumiem. </w:t>
            </w:r>
            <w:r w:rsidR="00312447" w:rsidRPr="00BA4F77">
              <w:rPr>
                <w:sz w:val="28"/>
                <w:szCs w:val="28"/>
              </w:rPr>
              <w:t xml:space="preserve">Likumprojekts par minētajiem pārkāpumiem paredz uzraudzības iestādei tiesības piemērot naudas sodu juridiskajām personām no </w:t>
            </w:r>
            <w:r w:rsidR="00F251E2" w:rsidRPr="00BA4F77">
              <w:rPr>
                <w:sz w:val="28"/>
                <w:szCs w:val="28"/>
              </w:rPr>
              <w:t>1</w:t>
            </w:r>
            <w:r w:rsidR="00312447" w:rsidRPr="00BA4F77">
              <w:rPr>
                <w:sz w:val="28"/>
                <w:szCs w:val="28"/>
              </w:rPr>
              <w:t xml:space="preserve">50 LVL līdz </w:t>
            </w:r>
            <w:r w:rsidR="00F251E2" w:rsidRPr="00BA4F77">
              <w:rPr>
                <w:sz w:val="28"/>
                <w:szCs w:val="28"/>
              </w:rPr>
              <w:t>1</w:t>
            </w:r>
            <w:r w:rsidR="00312447" w:rsidRPr="00BA4F77">
              <w:rPr>
                <w:sz w:val="28"/>
                <w:szCs w:val="28"/>
              </w:rPr>
              <w:t xml:space="preserve">000 LVL, bet par atkārtotiem pārkāpumiem gada laikā – līdz </w:t>
            </w:r>
            <w:r w:rsidR="00F251E2" w:rsidRPr="00BA4F77">
              <w:rPr>
                <w:sz w:val="28"/>
                <w:szCs w:val="28"/>
              </w:rPr>
              <w:t>5</w:t>
            </w:r>
            <w:r w:rsidR="00312447" w:rsidRPr="00BA4F77">
              <w:rPr>
                <w:sz w:val="28"/>
                <w:szCs w:val="28"/>
              </w:rPr>
              <w:t>000 LVL.</w:t>
            </w:r>
          </w:p>
          <w:p w:rsidR="00810923" w:rsidRPr="00BA4F77" w:rsidRDefault="00D170BA" w:rsidP="00810923">
            <w:pPr>
              <w:spacing w:before="75"/>
              <w:ind w:left="75" w:right="114" w:firstLine="495"/>
              <w:jc w:val="both"/>
              <w:rPr>
                <w:sz w:val="28"/>
                <w:szCs w:val="28"/>
              </w:rPr>
            </w:pPr>
            <w:r w:rsidRPr="00BA4F77">
              <w:rPr>
                <w:sz w:val="28"/>
                <w:szCs w:val="28"/>
              </w:rPr>
              <w:t xml:space="preserve">Kā zināms, </w:t>
            </w:r>
            <w:r w:rsidR="00312447" w:rsidRPr="00BA4F77">
              <w:rPr>
                <w:sz w:val="28"/>
                <w:szCs w:val="28"/>
              </w:rPr>
              <w:t xml:space="preserve">Ministru kabineta noteikumi Nr.1219 "Noteikumi </w:t>
            </w:r>
            <w:r w:rsidR="00312447" w:rsidRPr="00BA4F77">
              <w:rPr>
                <w:sz w:val="28"/>
                <w:szCs w:val="28"/>
              </w:rPr>
              <w:lastRenderedPageBreak/>
              <w:t xml:space="preserve">par patērētāja kreditēšanu" </w:t>
            </w:r>
            <w:r w:rsidRPr="00BA4F77">
              <w:rPr>
                <w:sz w:val="28"/>
                <w:szCs w:val="28"/>
              </w:rPr>
              <w:t>tika papildināti ar īpašām prasībām attiecībā uz patērētāju kreditēšanu pret kustamas lietas ķīlu, ņemot vērā, ka regulējuma trūkuma rezultātā šis pakalpojumu sniegšanas veids</w:t>
            </w:r>
            <w:r w:rsidR="000B3E33">
              <w:rPr>
                <w:sz w:val="28"/>
                <w:szCs w:val="28"/>
              </w:rPr>
              <w:t xml:space="preserve"> bija kļuvis par iespējamu noziedzīgi iegūtu līdzekļu atmazgāšanas un noziedzīgi iegūtu priekšmetu realizācijas līdzekli. Minēto problēmu novēršanai noteikumi ierobežo lombardu darba laiku, nosaka prasības lombardu pakalpojumu sniegšanas vietām, nosaka pienākumu ķīlas uzglabāt tam īpaši paredzētā telpā (glabātavā), pienākumu pakalpojumu sniegšanas vietu un glabātuvi aprīkot ar apsardzes un ugunsgrēka signalizācijas iekārtām un veikt šo telpu videonovērošanu ar mērķi novērst iespējamu krāpniecisku darbību veikšanu, kā arī lai garantētu drošu ķīlu uzglabāšanu. No 2012.gada lombardiem jāpāriet uz ķīlā pieņemto preču uzskaiti elektroniski. Šo prasību uzraudzība ir ļoti svarīga, lai nodrošinātu patērētāju ekonomisko interešu aizsardzību, garantējot ķīlas drošu uzglabāšanu, kā arī sabiedrības drošību, samazinot noziedzīgā ceļā iegūtu priekšmetu apriti. Licencēšanas procesa ietvaros šo prasību izpildi pārbaudīja Patērētāju tiesību aizsardzības centrs pirms licences izsniegšanas, tomēr godīgas konkurences nodrošināšanai un patērētāju aizsardzībai šo prasību izpildes uzraudzība ir jāveic nepārtraukti. Likumprojekta </w:t>
            </w:r>
            <w:r w:rsidR="008E2AF6">
              <w:rPr>
                <w:sz w:val="28"/>
                <w:szCs w:val="28"/>
              </w:rPr>
              <w:t>1</w:t>
            </w:r>
            <w:r w:rsidR="000B3E33">
              <w:rPr>
                <w:sz w:val="28"/>
                <w:szCs w:val="28"/>
              </w:rPr>
              <w:t>.pants, nosakot administratīvo atbildību par patērētāju kreditēšanas pret ķīlu kārtības pārkāpumiem, paredz padarīt efektīvāku šo noteikumu izpildes uzraudzību, iesaistot tajā arī policiju.</w:t>
            </w:r>
          </w:p>
          <w:p w:rsidR="00312447" w:rsidRPr="00BA4F77" w:rsidRDefault="00094A8A" w:rsidP="007758AE">
            <w:pPr>
              <w:ind w:left="75" w:right="114" w:firstLine="495"/>
              <w:jc w:val="both"/>
              <w:rPr>
                <w:sz w:val="28"/>
                <w:szCs w:val="28"/>
              </w:rPr>
            </w:pPr>
            <w:r>
              <w:rPr>
                <w:sz w:val="28"/>
                <w:szCs w:val="28"/>
              </w:rPr>
              <w:t>Š</w:t>
            </w:r>
            <w:r w:rsidR="00685119" w:rsidRPr="00BA4F77">
              <w:rPr>
                <w:sz w:val="28"/>
                <w:szCs w:val="28"/>
              </w:rPr>
              <w:t xml:space="preserve">obrīd </w:t>
            </w:r>
            <w:r w:rsidR="00312447" w:rsidRPr="00BA4F77">
              <w:rPr>
                <w:sz w:val="28"/>
                <w:szCs w:val="28"/>
              </w:rPr>
              <w:t xml:space="preserve">tiesību aktos </w:t>
            </w:r>
            <w:r w:rsidR="007758AE" w:rsidRPr="00BA4F77">
              <w:rPr>
                <w:sz w:val="28"/>
                <w:szCs w:val="28"/>
              </w:rPr>
              <w:t>ir paredzēta iespēja apturēt patērētāju kreditēšanas pakalpojumu sniedzējam izsniegto speciālo atļauju (licenci)</w:t>
            </w:r>
            <w:r w:rsidR="00406593" w:rsidRPr="00BA4F77">
              <w:rPr>
                <w:sz w:val="28"/>
                <w:szCs w:val="28"/>
              </w:rPr>
              <w:t>, ja kapitālsabiedrības darbība patērētāju kreditēšanas pakalpojumu sniegšanā neatbilst patērētāju tiesību aizsardzību regulējošo normatīvo aktu prasībām, tai skaitā prasībām</w:t>
            </w:r>
            <w:r w:rsidR="00685119" w:rsidRPr="00BA4F77">
              <w:rPr>
                <w:sz w:val="28"/>
                <w:szCs w:val="28"/>
              </w:rPr>
              <w:t xml:space="preserve"> par </w:t>
            </w:r>
            <w:r w:rsidR="00810923" w:rsidRPr="00BA4F77">
              <w:rPr>
                <w:sz w:val="28"/>
                <w:szCs w:val="28"/>
              </w:rPr>
              <w:t xml:space="preserve">patērētāju kreditēšanas pret ķīlu </w:t>
            </w:r>
            <w:r w:rsidR="00685119" w:rsidRPr="00BA4F77">
              <w:rPr>
                <w:sz w:val="28"/>
                <w:szCs w:val="28"/>
              </w:rPr>
              <w:t xml:space="preserve">noteikumu </w:t>
            </w:r>
            <w:r>
              <w:rPr>
                <w:sz w:val="28"/>
                <w:szCs w:val="28"/>
              </w:rPr>
              <w:t>ievērošanu.</w:t>
            </w:r>
            <w:r w:rsidR="00406593" w:rsidRPr="00BA4F77">
              <w:rPr>
                <w:sz w:val="28"/>
                <w:szCs w:val="28"/>
              </w:rPr>
              <w:t xml:space="preserve"> </w:t>
            </w:r>
            <w:r>
              <w:rPr>
                <w:sz w:val="28"/>
                <w:szCs w:val="28"/>
              </w:rPr>
              <w:t>Tomēr j</w:t>
            </w:r>
            <w:r w:rsidR="00406593" w:rsidRPr="00BA4F77">
              <w:rPr>
                <w:sz w:val="28"/>
                <w:szCs w:val="28"/>
              </w:rPr>
              <w:t>āņem vērā, ka</w:t>
            </w:r>
            <w:r w:rsidR="007758AE" w:rsidRPr="00BA4F77">
              <w:rPr>
                <w:sz w:val="28"/>
                <w:szCs w:val="28"/>
              </w:rPr>
              <w:t xml:space="preserve"> ne </w:t>
            </w:r>
            <w:r w:rsidR="00406593" w:rsidRPr="00BA4F77">
              <w:rPr>
                <w:sz w:val="28"/>
                <w:szCs w:val="28"/>
              </w:rPr>
              <w:t>par katru patērētāju kreditēšanas pret kustamas lietas ķīlu noteikumu pārkāpumu</w:t>
            </w:r>
            <w:r w:rsidR="007758AE" w:rsidRPr="00BA4F77">
              <w:rPr>
                <w:sz w:val="28"/>
                <w:szCs w:val="28"/>
              </w:rPr>
              <w:t xml:space="preserve"> ir pamatoti</w:t>
            </w:r>
            <w:r w:rsidR="00406593" w:rsidRPr="00BA4F77">
              <w:rPr>
                <w:sz w:val="28"/>
                <w:szCs w:val="28"/>
              </w:rPr>
              <w:t xml:space="preserve"> un samērīgi</w:t>
            </w:r>
            <w:r w:rsidR="007758AE" w:rsidRPr="00BA4F77">
              <w:rPr>
                <w:sz w:val="28"/>
                <w:szCs w:val="28"/>
              </w:rPr>
              <w:t xml:space="preserve"> liegt kapitālsabiedrībai nodarboties ar patērētāju kreditēšanu, kas var radīt komersantam smagākas sekas un lielākus zaudējumus, nekā administratīvā soda piemērošana</w:t>
            </w:r>
            <w:r w:rsidR="00312447" w:rsidRPr="00BA4F77">
              <w:rPr>
                <w:sz w:val="28"/>
                <w:szCs w:val="28"/>
              </w:rPr>
              <w:t>.</w:t>
            </w:r>
            <w:r w:rsidR="00FF356A" w:rsidRPr="00BA4F77">
              <w:rPr>
                <w:sz w:val="28"/>
                <w:szCs w:val="28"/>
              </w:rPr>
              <w:t xml:space="preserve"> </w:t>
            </w:r>
            <w:r w:rsidR="00406593" w:rsidRPr="00BA4F77">
              <w:rPr>
                <w:sz w:val="28"/>
                <w:szCs w:val="28"/>
              </w:rPr>
              <w:t>Šādos gadījumos administratīvais sods pildītu preventīva pasākuma funkciju pārkāpuma novēršanā</w:t>
            </w:r>
            <w:bookmarkStart w:id="9" w:name="p24"/>
            <w:bookmarkEnd w:id="9"/>
            <w:r>
              <w:rPr>
                <w:sz w:val="28"/>
                <w:szCs w:val="28"/>
              </w:rPr>
              <w:t xml:space="preserve">, </w:t>
            </w:r>
            <w:r w:rsidRPr="00BA4F77">
              <w:rPr>
                <w:sz w:val="28"/>
                <w:szCs w:val="28"/>
              </w:rPr>
              <w:t>bet speciālo tiesību  ierobežošana vai atņemšana tiktu izmantota kā sods smagāku pārkāpumu gadījumā, tai skaitā, ja kapitālsabiedrība nepilda uzraudzības iestādes lēmumus.</w:t>
            </w:r>
          </w:p>
          <w:p w:rsidR="005E648A" w:rsidRDefault="00177439" w:rsidP="0031021C">
            <w:pPr>
              <w:ind w:left="75" w:right="114" w:firstLine="495"/>
              <w:jc w:val="both"/>
              <w:rPr>
                <w:sz w:val="28"/>
                <w:szCs w:val="28"/>
              </w:rPr>
            </w:pPr>
            <w:r w:rsidRPr="00BA4F77">
              <w:rPr>
                <w:sz w:val="28"/>
                <w:szCs w:val="28"/>
              </w:rPr>
              <w:t xml:space="preserve">Likumprojekta </w:t>
            </w:r>
            <w:r w:rsidR="008E2AF6">
              <w:rPr>
                <w:sz w:val="28"/>
                <w:szCs w:val="28"/>
              </w:rPr>
              <w:t>2</w:t>
            </w:r>
            <w:r w:rsidR="00FF720A" w:rsidRPr="00BA4F77">
              <w:rPr>
                <w:sz w:val="28"/>
                <w:szCs w:val="28"/>
              </w:rPr>
              <w:t xml:space="preserve">.pants paredz </w:t>
            </w:r>
            <w:r w:rsidR="008E2AF6">
              <w:rPr>
                <w:sz w:val="28"/>
                <w:szCs w:val="28"/>
              </w:rPr>
              <w:t xml:space="preserve">veikt izmaiņas </w:t>
            </w:r>
            <w:r w:rsidR="00FF720A" w:rsidRPr="00BA4F77">
              <w:rPr>
                <w:sz w:val="28"/>
                <w:szCs w:val="28"/>
              </w:rPr>
              <w:t>166.</w:t>
            </w:r>
            <w:r w:rsidR="00FF720A" w:rsidRPr="00BA4F77">
              <w:rPr>
                <w:sz w:val="28"/>
                <w:szCs w:val="28"/>
                <w:vertAlign w:val="superscript"/>
              </w:rPr>
              <w:t xml:space="preserve">2 </w:t>
            </w:r>
            <w:r w:rsidR="008E2AF6">
              <w:rPr>
                <w:sz w:val="28"/>
                <w:szCs w:val="28"/>
              </w:rPr>
              <w:t xml:space="preserve">pantā, </w:t>
            </w:r>
            <w:r w:rsidR="00FF720A" w:rsidRPr="00BA4F77">
              <w:rPr>
                <w:sz w:val="28"/>
                <w:szCs w:val="28"/>
              </w:rPr>
              <w:t xml:space="preserve"> </w:t>
            </w:r>
            <w:r w:rsidR="008E2AF6">
              <w:rPr>
                <w:sz w:val="28"/>
                <w:szCs w:val="28"/>
              </w:rPr>
              <w:t xml:space="preserve">paaugstinot maksimālā soda apmēru juridiskām personām par </w:t>
            </w:r>
            <w:r w:rsidR="005E648A" w:rsidRPr="005E648A">
              <w:rPr>
                <w:bCs/>
                <w:sz w:val="28"/>
                <w:szCs w:val="28"/>
              </w:rPr>
              <w:t>komercdarbību</w:t>
            </w:r>
            <w:r w:rsidR="008E2AF6" w:rsidRPr="005E648A">
              <w:rPr>
                <w:bCs/>
                <w:sz w:val="28"/>
                <w:szCs w:val="28"/>
              </w:rPr>
              <w:t xml:space="preserve"> bez reģistrēšanas vai bez speciālās atļaujas (licences), izziņas vai atļ</w:t>
            </w:r>
            <w:r w:rsidR="005E648A">
              <w:rPr>
                <w:bCs/>
                <w:sz w:val="28"/>
                <w:szCs w:val="28"/>
              </w:rPr>
              <w:t>aujas un komercdarbības veikšanu</w:t>
            </w:r>
            <w:r w:rsidR="008E2AF6" w:rsidRPr="005E648A">
              <w:rPr>
                <w:bCs/>
                <w:sz w:val="28"/>
                <w:szCs w:val="28"/>
              </w:rPr>
              <w:t xml:space="preserve">, </w:t>
            </w:r>
            <w:r w:rsidR="008E2AF6" w:rsidRPr="005E648A">
              <w:rPr>
                <w:bCs/>
                <w:sz w:val="28"/>
                <w:szCs w:val="28"/>
              </w:rPr>
              <w:lastRenderedPageBreak/>
              <w:t>pārkāpjot speciālajā atļaujā (licencē), izziņā vai atļaujā minētos nosacījumus</w:t>
            </w:r>
            <w:r w:rsidR="005E648A">
              <w:rPr>
                <w:bCs/>
                <w:sz w:val="28"/>
                <w:szCs w:val="28"/>
              </w:rPr>
              <w:t xml:space="preserve"> līdz </w:t>
            </w:r>
            <w:proofErr w:type="spellStart"/>
            <w:r w:rsidR="005E648A">
              <w:rPr>
                <w:bCs/>
                <w:sz w:val="28"/>
                <w:szCs w:val="28"/>
              </w:rPr>
              <w:t>desmittūkstoš</w:t>
            </w:r>
            <w:proofErr w:type="spellEnd"/>
            <w:r w:rsidR="005E648A">
              <w:rPr>
                <w:bCs/>
                <w:sz w:val="28"/>
                <w:szCs w:val="28"/>
              </w:rPr>
              <w:t xml:space="preserve"> latiem. Minētās izmaiņas</w:t>
            </w:r>
            <w:r w:rsidR="005E648A">
              <w:rPr>
                <w:rFonts w:ascii="Verdana" w:hAnsi="Verdana"/>
                <w:b/>
                <w:bCs/>
                <w:sz w:val="18"/>
                <w:szCs w:val="18"/>
              </w:rPr>
              <w:t xml:space="preserve"> </w:t>
            </w:r>
            <w:r w:rsidR="00FF720A" w:rsidRPr="00BA4F77">
              <w:rPr>
                <w:sz w:val="28"/>
                <w:szCs w:val="28"/>
              </w:rPr>
              <w:t>paredz</w:t>
            </w:r>
            <w:r w:rsidR="005E648A">
              <w:rPr>
                <w:sz w:val="28"/>
                <w:szCs w:val="28"/>
              </w:rPr>
              <w:t>ētas, lai stiprinātu</w:t>
            </w:r>
            <w:r w:rsidR="00FF720A" w:rsidRPr="00BA4F77">
              <w:rPr>
                <w:sz w:val="28"/>
                <w:szCs w:val="28"/>
              </w:rPr>
              <w:t xml:space="preserve"> atbildību par kreditēšanas pakalpojumu sniegšanu patērētājam bez speciālās atļaujas (licences), kā arī patērētāju kreditēšanas turpināšanu pēc speciālās atļaujas (licences) apturēšanas, anulēša</w:t>
            </w:r>
            <w:r w:rsidR="005E648A">
              <w:rPr>
                <w:sz w:val="28"/>
                <w:szCs w:val="28"/>
              </w:rPr>
              <w:t>nas vai tās termiņa izbeigšanās, lai uzliktā soda apmēru par pārkāpumu būtu iespējams pielīdzināt šādas darbības nodarītajam kaitējumam</w:t>
            </w:r>
            <w:r w:rsidR="00FF720A" w:rsidRPr="00BA4F77">
              <w:rPr>
                <w:sz w:val="28"/>
                <w:szCs w:val="28"/>
              </w:rPr>
              <w:t>.</w:t>
            </w:r>
            <w:r w:rsidR="005E648A">
              <w:rPr>
                <w:sz w:val="28"/>
                <w:szCs w:val="28"/>
              </w:rPr>
              <w:t xml:space="preserve"> Attiecībā uz </w:t>
            </w:r>
            <w:r w:rsidR="00F43DAD">
              <w:rPr>
                <w:sz w:val="28"/>
                <w:szCs w:val="28"/>
              </w:rPr>
              <w:t xml:space="preserve">šo un </w:t>
            </w:r>
            <w:r w:rsidR="005E648A">
              <w:rPr>
                <w:sz w:val="28"/>
                <w:szCs w:val="28"/>
              </w:rPr>
              <w:t xml:space="preserve">citiem komercdarbības veidiem, kuru veikšanai nepieciešama reģistrācija, izziņa, speciālā atļauja (licence) soda apmērs tāpat kā līdz šim būs piemērojams atbilstoši izdarītā pārkāpuma raksturam, </w:t>
            </w:r>
            <w:r w:rsidR="00F43DAD">
              <w:rPr>
                <w:sz w:val="28"/>
                <w:szCs w:val="28"/>
              </w:rPr>
              <w:t xml:space="preserve">pārkāpēja </w:t>
            </w:r>
            <w:r w:rsidR="005E648A">
              <w:rPr>
                <w:sz w:val="28"/>
                <w:szCs w:val="28"/>
              </w:rPr>
              <w:t>vainas pakāpei un mantiskajam stāvoklim.</w:t>
            </w:r>
          </w:p>
          <w:p w:rsidR="009E6FB0" w:rsidRPr="00BA4F77" w:rsidRDefault="00160D9F" w:rsidP="008612E9">
            <w:pPr>
              <w:ind w:left="75" w:right="114" w:firstLine="495"/>
              <w:jc w:val="both"/>
              <w:rPr>
                <w:sz w:val="28"/>
                <w:szCs w:val="28"/>
              </w:rPr>
            </w:pPr>
            <w:r w:rsidRPr="00BA4F77">
              <w:rPr>
                <w:sz w:val="28"/>
                <w:szCs w:val="28"/>
              </w:rPr>
              <w:t>Ņemot vērā 2011.gada 29.marta Ministru kabineta noteikumos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49.punktā paredzēto valsts nodevas apmēru par speciālās atļaujas (licences) izsniegšanu</w:t>
            </w:r>
            <w:r w:rsidR="00695647" w:rsidRPr="00BA4F77">
              <w:rPr>
                <w:sz w:val="28"/>
                <w:szCs w:val="28"/>
              </w:rPr>
              <w:t xml:space="preserve"> (50 000 LVL)</w:t>
            </w:r>
            <w:r w:rsidRPr="00BA4F77">
              <w:rPr>
                <w:sz w:val="28"/>
                <w:szCs w:val="28"/>
              </w:rPr>
              <w:t xml:space="preserve">, </w:t>
            </w:r>
            <w:r w:rsidR="00214917" w:rsidRPr="00BA4F77">
              <w:rPr>
                <w:sz w:val="28"/>
                <w:szCs w:val="28"/>
              </w:rPr>
              <w:t>L</w:t>
            </w:r>
            <w:r w:rsidRPr="00BA4F77">
              <w:rPr>
                <w:sz w:val="28"/>
                <w:szCs w:val="28"/>
              </w:rPr>
              <w:t>APK 166.</w:t>
            </w:r>
            <w:r w:rsidRPr="00BA4F77">
              <w:rPr>
                <w:sz w:val="28"/>
                <w:szCs w:val="28"/>
                <w:vertAlign w:val="superscript"/>
              </w:rPr>
              <w:t xml:space="preserve">2 </w:t>
            </w:r>
            <w:r w:rsidRPr="00BA4F77">
              <w:rPr>
                <w:sz w:val="28"/>
                <w:szCs w:val="28"/>
              </w:rPr>
              <w:t>pantā šobrīd paredzētais soda apmērs – līdz 3000 LVL uzskatāms par pārāk zemu un tiesību normu ievērošanu neveicinošu.</w:t>
            </w:r>
            <w:r w:rsidR="00214917" w:rsidRPr="00BA4F77">
              <w:rPr>
                <w:sz w:val="28"/>
                <w:szCs w:val="28"/>
              </w:rPr>
              <w:t xml:space="preserve"> Par to liecina uzraudzības iestāžu pirmo veikto pārbaužu rezultāti, piemēram, Rīgas pašvaldības policijas izdarītie secinājumi, ka no 159 adresēs atrodamajām patērētāju kreditēšanas vietām tikai 67 pieder licences saņēmušajiem komersantiem.</w:t>
            </w:r>
            <w:r w:rsidRPr="00BA4F77">
              <w:rPr>
                <w:sz w:val="28"/>
                <w:szCs w:val="28"/>
              </w:rPr>
              <w:t xml:space="preserve"> Patērētāju ekonomisko interešu un licencēto komersantu tiesību uz godīgu konkurenci aizsardzībai nepieciešams </w:t>
            </w:r>
            <w:r w:rsidR="00695647" w:rsidRPr="00BA4F77">
              <w:rPr>
                <w:sz w:val="28"/>
                <w:szCs w:val="28"/>
              </w:rPr>
              <w:t>noteikt</w:t>
            </w:r>
            <w:r w:rsidRPr="00BA4F77">
              <w:rPr>
                <w:sz w:val="28"/>
                <w:szCs w:val="28"/>
              </w:rPr>
              <w:t xml:space="preserve"> lielāku soda apmēru par patērētāju kreditēšanu bez speciālās atļaujas (licences)</w:t>
            </w:r>
            <w:r w:rsidR="0031021C" w:rsidRPr="00BA4F77">
              <w:rPr>
                <w:sz w:val="28"/>
                <w:szCs w:val="28"/>
              </w:rPr>
              <w:t xml:space="preserve">, lai tas pildītu </w:t>
            </w:r>
            <w:r w:rsidR="00214917" w:rsidRPr="00BA4F77">
              <w:rPr>
                <w:sz w:val="28"/>
                <w:szCs w:val="28"/>
              </w:rPr>
              <w:t>L</w:t>
            </w:r>
            <w:r w:rsidR="0031021C" w:rsidRPr="00BA4F77">
              <w:rPr>
                <w:sz w:val="28"/>
                <w:szCs w:val="28"/>
              </w:rPr>
              <w:t>APK 1.pantā noteiktās funkcijas</w:t>
            </w:r>
            <w:r w:rsidR="002C65AD" w:rsidRPr="00BA4F77">
              <w:rPr>
                <w:sz w:val="28"/>
                <w:szCs w:val="28"/>
              </w:rPr>
              <w:t xml:space="preserve">, tāpēc likumprojekts paredz sodu </w:t>
            </w:r>
            <w:r w:rsidR="008612E9">
              <w:rPr>
                <w:sz w:val="28"/>
                <w:szCs w:val="28"/>
              </w:rPr>
              <w:t>paaugstināšanu</w:t>
            </w:r>
            <w:r w:rsidR="002C65AD" w:rsidRPr="00BA4F77">
              <w:rPr>
                <w:sz w:val="28"/>
                <w:szCs w:val="28"/>
              </w:rPr>
              <w:t xml:space="preserve"> juridiskām</w:t>
            </w:r>
            <w:r w:rsidR="008612E9">
              <w:rPr>
                <w:sz w:val="28"/>
                <w:szCs w:val="28"/>
              </w:rPr>
              <w:t xml:space="preserve"> personām</w:t>
            </w:r>
            <w:r w:rsidR="002C65AD" w:rsidRPr="00BA4F77">
              <w:rPr>
                <w:sz w:val="28"/>
                <w:szCs w:val="28"/>
              </w:rPr>
              <w:t xml:space="preserve"> – līdz 10 000 LVL</w:t>
            </w:r>
            <w:r w:rsidR="008F7C20">
              <w:rPr>
                <w:sz w:val="28"/>
                <w:szCs w:val="28"/>
              </w:rPr>
              <w:t>, kas ir maksimālais juridiskām personām piemērojamais naudas sods saskaņā ar LAPK 26.pantu</w:t>
            </w:r>
            <w:r w:rsidR="002C65AD" w:rsidRPr="00BA4F77">
              <w:rPr>
                <w:sz w:val="28"/>
                <w:szCs w:val="28"/>
              </w:rPr>
              <w:t xml:space="preserve">. </w:t>
            </w:r>
          </w:p>
          <w:p w:rsidR="00CD0301" w:rsidRPr="00BA4F77" w:rsidRDefault="00CD0301" w:rsidP="0031021C">
            <w:pPr>
              <w:ind w:left="75" w:right="114" w:firstLine="495"/>
              <w:jc w:val="both"/>
              <w:rPr>
                <w:sz w:val="28"/>
                <w:szCs w:val="28"/>
              </w:rPr>
            </w:pPr>
            <w:r w:rsidRPr="00BA4F77">
              <w:rPr>
                <w:sz w:val="28"/>
                <w:szCs w:val="28"/>
              </w:rPr>
              <w:t xml:space="preserve">Likumprojekta </w:t>
            </w:r>
            <w:r w:rsidR="008612E9">
              <w:rPr>
                <w:sz w:val="28"/>
                <w:szCs w:val="28"/>
              </w:rPr>
              <w:t>3</w:t>
            </w:r>
            <w:r w:rsidRPr="00BA4F77">
              <w:rPr>
                <w:sz w:val="28"/>
                <w:szCs w:val="28"/>
              </w:rPr>
              <w:t>.pants paredz papildināt pašvaldības policijas tiesības izskatīt administratīvo pārkāpumu lietas par 155.</w:t>
            </w:r>
            <w:r w:rsidRPr="00BA4F77">
              <w:rPr>
                <w:sz w:val="28"/>
                <w:szCs w:val="28"/>
                <w:vertAlign w:val="superscript"/>
              </w:rPr>
              <w:t xml:space="preserve">10 </w:t>
            </w:r>
            <w:r w:rsidRPr="00BA4F77">
              <w:rPr>
                <w:sz w:val="28"/>
                <w:szCs w:val="28"/>
              </w:rPr>
              <w:t>panta piektajā un sestajā daļā paredzētos pārkāpumus par patērētāju kreditēšanas pret kustamas lietas ķīlu kārtības neievērošanu. Pašvaldības policijas tiesības izskatīt minētos pārkāpumus nodrošinās kreditēšanas pakalpojumu sniegšanas vietu nepārtrauktu uzraudzību visā Latvijas teritorijā, nodrošinot godīgu konkurenci reģionos, kuros PTAC nepārtrauktas uzraudzības veikšana ir apgrūtināta.</w:t>
            </w:r>
          </w:p>
          <w:p w:rsidR="00B071AE" w:rsidRPr="00BA4F77" w:rsidRDefault="002C65AD" w:rsidP="00685119">
            <w:pPr>
              <w:ind w:left="75" w:right="114" w:firstLine="495"/>
              <w:jc w:val="both"/>
              <w:rPr>
                <w:sz w:val="28"/>
                <w:szCs w:val="28"/>
              </w:rPr>
            </w:pPr>
            <w:r w:rsidRPr="00BA4F77">
              <w:rPr>
                <w:sz w:val="28"/>
                <w:szCs w:val="28"/>
              </w:rPr>
              <w:t xml:space="preserve">Likumprojekta </w:t>
            </w:r>
            <w:r w:rsidR="008612E9">
              <w:rPr>
                <w:sz w:val="28"/>
                <w:szCs w:val="28"/>
              </w:rPr>
              <w:t>4</w:t>
            </w:r>
            <w:r w:rsidR="00B071AE" w:rsidRPr="00BA4F77">
              <w:rPr>
                <w:sz w:val="28"/>
                <w:szCs w:val="28"/>
              </w:rPr>
              <w:t xml:space="preserve">.pants paredz papildināt PTAC pilnvaras izskatīt administratīvo pārkāpumu lietas par kreditēšanas </w:t>
            </w:r>
            <w:r w:rsidR="00B071AE" w:rsidRPr="00BA4F77">
              <w:rPr>
                <w:sz w:val="28"/>
                <w:szCs w:val="28"/>
              </w:rPr>
              <w:lastRenderedPageBreak/>
              <w:t xml:space="preserve">pakalpojumu sniegšanu patērētājam bez speciālās atļaujas (licences), kā arī patērētāju kreditēšanas turpināšanu pēc speciālās atļaujas (licences) apturēšanas, anulēšanas vai tās termiņa izbeigšanās, ņemot vērā PTAC funkcijas un pieredzi finanšu pakalpojumu uzraudzībā un </w:t>
            </w:r>
            <w:proofErr w:type="spellStart"/>
            <w:r w:rsidR="00B071AE" w:rsidRPr="00BA4F77">
              <w:rPr>
                <w:sz w:val="28"/>
                <w:szCs w:val="28"/>
              </w:rPr>
              <w:t>nebanku</w:t>
            </w:r>
            <w:proofErr w:type="spellEnd"/>
            <w:r w:rsidR="00B071AE" w:rsidRPr="00BA4F77">
              <w:rPr>
                <w:sz w:val="28"/>
                <w:szCs w:val="28"/>
              </w:rPr>
              <w:t xml:space="preserve"> kreditēšanas pakalpojumu sniedzēju licencēšanā. </w:t>
            </w:r>
            <w:r w:rsidR="00685119" w:rsidRPr="00BA4F77">
              <w:rPr>
                <w:sz w:val="28"/>
                <w:szCs w:val="28"/>
              </w:rPr>
              <w:t xml:space="preserve">LAPK normu piemērošanā ir nepieciešama koordinēta sadarbība starp tiesībsargājošajām institūcijām un PTAC, lai būtu iespējams identificēt slēpto kreditēšanu. </w:t>
            </w:r>
            <w:r w:rsidR="000E4C9A" w:rsidRPr="00BA4F77">
              <w:rPr>
                <w:sz w:val="28"/>
                <w:szCs w:val="28"/>
              </w:rPr>
              <w:t xml:space="preserve">Tāpat saskaņā ar 2006.gada 1.augusta Ministru kabineta noteikumu Nr.632 "Patērētāju tiesību aizsardzības centra nolikums" 6.5.apakšpunktu, </w:t>
            </w:r>
            <w:r w:rsidR="000E4C9A" w:rsidRPr="00BA4F77">
              <w:rPr>
                <w:i/>
                <w:sz w:val="28"/>
                <w:szCs w:val="28"/>
              </w:rPr>
              <w:t xml:space="preserve">Centra amatpersonas atbilstoši kompetencei ir tiesīgas sastādīt aktus par normatīvo aktu ievērošanu centra kompetencē esošajās jomās, </w:t>
            </w:r>
            <w:r w:rsidR="000E4C9A" w:rsidRPr="00BA4F77">
              <w:rPr>
                <w:i/>
                <w:sz w:val="28"/>
                <w:szCs w:val="28"/>
                <w:u w:val="single"/>
              </w:rPr>
              <w:t xml:space="preserve">veikt </w:t>
            </w:r>
            <w:proofErr w:type="spellStart"/>
            <w:r w:rsidR="000E4C9A" w:rsidRPr="00BA4F77">
              <w:rPr>
                <w:i/>
                <w:sz w:val="28"/>
                <w:szCs w:val="28"/>
                <w:u w:val="single"/>
              </w:rPr>
              <w:t>kontrolpirkumus</w:t>
            </w:r>
            <w:proofErr w:type="spellEnd"/>
            <w:r w:rsidR="000E4C9A" w:rsidRPr="00BA4F77">
              <w:rPr>
                <w:i/>
                <w:sz w:val="28"/>
                <w:szCs w:val="28"/>
                <w:u w:val="single"/>
              </w:rPr>
              <w:t xml:space="preserve"> un </w:t>
            </w:r>
            <w:proofErr w:type="spellStart"/>
            <w:r w:rsidR="000E4C9A" w:rsidRPr="00BA4F77">
              <w:rPr>
                <w:i/>
                <w:sz w:val="28"/>
                <w:szCs w:val="28"/>
                <w:u w:val="single"/>
              </w:rPr>
              <w:t>kontrolpasūtījumus</w:t>
            </w:r>
            <w:proofErr w:type="spellEnd"/>
            <w:r w:rsidR="000E4C9A" w:rsidRPr="00BA4F77">
              <w:rPr>
                <w:i/>
                <w:sz w:val="28"/>
                <w:szCs w:val="28"/>
              </w:rPr>
              <w:t>, kā arī sastādīt administratīvo pārkāpumu protokolus, izskatīt administratīvo pārkāpumu lietas un uzlikt administratīvos sodus</w:t>
            </w:r>
            <w:r w:rsidR="000E4C9A" w:rsidRPr="00BA4F77">
              <w:rPr>
                <w:sz w:val="28"/>
                <w:szCs w:val="28"/>
              </w:rPr>
              <w:t xml:space="preserve">, līdz ar to secināms, ka PTAC </w:t>
            </w:r>
            <w:r w:rsidR="00685119" w:rsidRPr="00BA4F77">
              <w:rPr>
                <w:sz w:val="28"/>
                <w:szCs w:val="28"/>
              </w:rPr>
              <w:t xml:space="preserve">ir pilnvaras veikt </w:t>
            </w:r>
            <w:proofErr w:type="spellStart"/>
            <w:r w:rsidR="00685119" w:rsidRPr="00BA4F77">
              <w:rPr>
                <w:sz w:val="28"/>
                <w:szCs w:val="28"/>
              </w:rPr>
              <w:t>kontrolpirkumus</w:t>
            </w:r>
            <w:proofErr w:type="spellEnd"/>
            <w:r w:rsidR="00685119" w:rsidRPr="00BA4F77">
              <w:rPr>
                <w:sz w:val="28"/>
                <w:szCs w:val="28"/>
              </w:rPr>
              <w:t xml:space="preserve"> slēptās kreditēšanas identificēšanai</w:t>
            </w:r>
            <w:r w:rsidR="000E4C9A" w:rsidRPr="00BA4F77">
              <w:rPr>
                <w:sz w:val="28"/>
                <w:szCs w:val="28"/>
              </w:rPr>
              <w:t>.</w:t>
            </w:r>
          </w:p>
        </w:tc>
      </w:tr>
      <w:tr w:rsidR="000E3B01" w:rsidRPr="00BA4F77" w:rsidTr="00F43DAD">
        <w:trPr>
          <w:trHeight w:val="476"/>
        </w:trPr>
        <w:tc>
          <w:tcPr>
            <w:tcW w:w="426" w:type="dxa"/>
          </w:tcPr>
          <w:p w:rsidR="000E3B01" w:rsidRPr="00BA4F77" w:rsidRDefault="000E3B01" w:rsidP="00DF610F">
            <w:pPr>
              <w:pStyle w:val="naiskr"/>
              <w:spacing w:before="0" w:after="0"/>
              <w:rPr>
                <w:sz w:val="28"/>
                <w:szCs w:val="28"/>
              </w:rPr>
            </w:pPr>
            <w:r w:rsidRPr="00BA4F77">
              <w:rPr>
                <w:sz w:val="28"/>
                <w:szCs w:val="28"/>
              </w:rPr>
              <w:lastRenderedPageBreak/>
              <w:t>5.</w:t>
            </w:r>
          </w:p>
        </w:tc>
        <w:tc>
          <w:tcPr>
            <w:tcW w:w="1564" w:type="dxa"/>
          </w:tcPr>
          <w:p w:rsidR="000E3B01" w:rsidRPr="00BA4F77" w:rsidRDefault="000E3B01" w:rsidP="00DF610F">
            <w:pPr>
              <w:pStyle w:val="naiskr"/>
              <w:spacing w:before="0" w:after="0"/>
              <w:rPr>
                <w:sz w:val="28"/>
                <w:szCs w:val="28"/>
              </w:rPr>
            </w:pPr>
            <w:r w:rsidRPr="00BA4F77">
              <w:rPr>
                <w:sz w:val="28"/>
                <w:szCs w:val="28"/>
              </w:rPr>
              <w:t>Projekta izstrādē iesaistītās institūcijas</w:t>
            </w:r>
          </w:p>
        </w:tc>
        <w:tc>
          <w:tcPr>
            <w:tcW w:w="7627" w:type="dxa"/>
          </w:tcPr>
          <w:p w:rsidR="000E3B01" w:rsidRDefault="00DC6032" w:rsidP="00F43DAD">
            <w:pPr>
              <w:ind w:firstLine="567"/>
              <w:jc w:val="both"/>
              <w:rPr>
                <w:bCs/>
                <w:sz w:val="28"/>
                <w:szCs w:val="28"/>
              </w:rPr>
            </w:pPr>
            <w:r w:rsidRPr="00BA4F77">
              <w:rPr>
                <w:sz w:val="28"/>
                <w:szCs w:val="28"/>
              </w:rPr>
              <w:t xml:space="preserve">Likumprojekts apspriests 27.janvāra starpinstitūciju sanāksmē, kurā piedalījās  Tieslietu ministrija, Finanšu ministrija, </w:t>
            </w:r>
            <w:r w:rsidRPr="00BA4F77">
              <w:rPr>
                <w:bCs/>
                <w:sz w:val="28"/>
                <w:szCs w:val="28"/>
              </w:rPr>
              <w:t xml:space="preserve">Latvijas Proves birojs, Valsts policija, Rīgas pašvaldības policija, Latvijas Lombardu asociācija, Latvijas Darba devēju konfederācija, Latvijas Ātro kredītu devēju asociācija, Latvijas Hipotekāro </w:t>
            </w:r>
            <w:proofErr w:type="spellStart"/>
            <w:r w:rsidRPr="00BA4F77">
              <w:rPr>
                <w:bCs/>
                <w:sz w:val="28"/>
                <w:szCs w:val="28"/>
              </w:rPr>
              <w:t>nebanku</w:t>
            </w:r>
            <w:proofErr w:type="spellEnd"/>
            <w:r w:rsidRPr="00BA4F77">
              <w:rPr>
                <w:bCs/>
                <w:sz w:val="28"/>
                <w:szCs w:val="28"/>
              </w:rPr>
              <w:t xml:space="preserve"> aizdevēju asociācija, Latvijas Līzinga devēju asociācija un SIA „Lombards24.lv”.</w:t>
            </w:r>
            <w:r w:rsidRPr="00BA4F77">
              <w:rPr>
                <w:sz w:val="28"/>
                <w:szCs w:val="28"/>
              </w:rPr>
              <w:t xml:space="preserve"> Tāpat l</w:t>
            </w:r>
            <w:r w:rsidR="000E3B01" w:rsidRPr="00BA4F77">
              <w:rPr>
                <w:sz w:val="28"/>
                <w:szCs w:val="28"/>
              </w:rPr>
              <w:t xml:space="preserve">ikumprojekts nosūtīts saskaņošanai Tieslietu ministrijai, Finanšu ministrijai, </w:t>
            </w:r>
            <w:r w:rsidR="00296B51" w:rsidRPr="00BA4F77">
              <w:rPr>
                <w:bCs/>
                <w:sz w:val="28"/>
                <w:szCs w:val="28"/>
              </w:rPr>
              <w:t xml:space="preserve">Latvijas Proves birojam, Iekšlietu ministrijai, Valsts policijai, Rīgas pašvaldības policijai, Latvijas Lombardu asociācijai, Latvijas Darba devēju konfederācijai, Latvijas Ātro kredītu devēju asociācijai, Latvijas Hipotekāro </w:t>
            </w:r>
            <w:proofErr w:type="spellStart"/>
            <w:r w:rsidR="00296B51" w:rsidRPr="00BA4F77">
              <w:rPr>
                <w:bCs/>
                <w:sz w:val="28"/>
                <w:szCs w:val="28"/>
              </w:rPr>
              <w:t>nebanku</w:t>
            </w:r>
            <w:proofErr w:type="spellEnd"/>
            <w:r w:rsidR="00296B51" w:rsidRPr="00BA4F77">
              <w:rPr>
                <w:bCs/>
                <w:sz w:val="28"/>
                <w:szCs w:val="28"/>
              </w:rPr>
              <w:t xml:space="preserve"> aizdevēju asociācijai, Latvijas </w:t>
            </w:r>
            <w:proofErr w:type="spellStart"/>
            <w:r w:rsidR="00296B51" w:rsidRPr="00BA4F77">
              <w:rPr>
                <w:bCs/>
                <w:sz w:val="28"/>
                <w:szCs w:val="28"/>
              </w:rPr>
              <w:t>Nebanku</w:t>
            </w:r>
            <w:proofErr w:type="spellEnd"/>
            <w:r w:rsidR="00296B51" w:rsidRPr="00BA4F77">
              <w:rPr>
                <w:bCs/>
                <w:sz w:val="28"/>
                <w:szCs w:val="28"/>
              </w:rPr>
              <w:t xml:space="preserve"> kreditētāju asociācijai, Latvijas Līzinga devēju asociācijai, Latvijas Komercbanku asociācijai, Patērētāju interešu aizstāvības asociācijai.</w:t>
            </w:r>
          </w:p>
          <w:p w:rsidR="00611552" w:rsidRPr="00611552" w:rsidRDefault="008612E9" w:rsidP="00F43DAD">
            <w:pPr>
              <w:ind w:firstLine="567"/>
              <w:jc w:val="both"/>
              <w:rPr>
                <w:bCs/>
                <w:sz w:val="28"/>
                <w:szCs w:val="28"/>
              </w:rPr>
            </w:pPr>
            <w:r>
              <w:rPr>
                <w:bCs/>
                <w:sz w:val="28"/>
                <w:szCs w:val="28"/>
              </w:rPr>
              <w:t>Š.g. 24.februārī, izpildot Ministru prezidenta 2012.gada 13.februāra rezolūcijas Nr.90/TA-317, TA-318, TA-319, likumprojekts tika apspriests Pastāvīgajā Latvijas Administratīvo pārkāpumu kodeksa darba grupā, kuras locekļi izteica priekšlikumu veikt izmaiņas likumprojekta 2.pantā, nenosakot atsevišķu soda mēru par patērētāju kreditēšanas pakalpojumu sniegšanu bez speciālās atļaujas (licences), vai par patērētāju kreditēšanas turpināšanu pēc speciālās atļaujas (licences) apturēšanas, anulēšanas vai tās termiņa izbeigšanās, ņemot vērā, ka uz šādu situāciju (arī fizisko personu darbību patērētāju kreditēšanā)  attiektos šobrīd spēkā esošais 166.</w:t>
            </w:r>
            <w:r>
              <w:rPr>
                <w:bCs/>
                <w:sz w:val="28"/>
                <w:szCs w:val="28"/>
                <w:vertAlign w:val="superscript"/>
              </w:rPr>
              <w:t xml:space="preserve">2 </w:t>
            </w:r>
            <w:r>
              <w:rPr>
                <w:bCs/>
                <w:sz w:val="28"/>
                <w:szCs w:val="28"/>
              </w:rPr>
              <w:t>pants. Tā vietā darba grupa piekrita palielināt esošajā 166.</w:t>
            </w:r>
            <w:r>
              <w:rPr>
                <w:bCs/>
                <w:sz w:val="28"/>
                <w:szCs w:val="28"/>
                <w:vertAlign w:val="superscript"/>
              </w:rPr>
              <w:t xml:space="preserve">2 </w:t>
            </w:r>
            <w:r>
              <w:rPr>
                <w:bCs/>
                <w:sz w:val="28"/>
                <w:szCs w:val="28"/>
              </w:rPr>
              <w:t>pantā paredzēto maksimālo soda apmēru</w:t>
            </w:r>
            <w:r w:rsidR="00611552">
              <w:rPr>
                <w:bCs/>
                <w:sz w:val="28"/>
                <w:szCs w:val="28"/>
              </w:rPr>
              <w:t xml:space="preserve"> juridiskām personām līdz 10 000 LVL. Ekonomikas </w:t>
            </w:r>
            <w:r w:rsidR="00611552">
              <w:rPr>
                <w:bCs/>
                <w:sz w:val="28"/>
                <w:szCs w:val="28"/>
              </w:rPr>
              <w:lastRenderedPageBreak/>
              <w:t>ministrija ir precizējusi likumprojektu atbilstoši darba grupas izteiktajam viedoklim.</w:t>
            </w:r>
          </w:p>
        </w:tc>
      </w:tr>
      <w:tr w:rsidR="000E3B01" w:rsidRPr="00BA4F77" w:rsidTr="00F43DAD">
        <w:trPr>
          <w:trHeight w:val="1340"/>
        </w:trPr>
        <w:tc>
          <w:tcPr>
            <w:tcW w:w="426" w:type="dxa"/>
          </w:tcPr>
          <w:p w:rsidR="000E3B01" w:rsidRPr="00BA4F77" w:rsidRDefault="000B3E33" w:rsidP="00DF610F">
            <w:pPr>
              <w:pStyle w:val="naiskr"/>
              <w:spacing w:before="0" w:after="0"/>
              <w:rPr>
                <w:sz w:val="28"/>
                <w:szCs w:val="28"/>
              </w:rPr>
            </w:pPr>
            <w:r w:rsidRPr="000B3E33">
              <w:rPr>
                <w:sz w:val="28"/>
                <w:szCs w:val="28"/>
              </w:rPr>
              <w:lastRenderedPageBreak/>
              <w:t>6.</w:t>
            </w:r>
          </w:p>
        </w:tc>
        <w:tc>
          <w:tcPr>
            <w:tcW w:w="1564" w:type="dxa"/>
          </w:tcPr>
          <w:p w:rsidR="000E3B01" w:rsidRPr="00BA4F77" w:rsidRDefault="000B3E33" w:rsidP="00DF610F">
            <w:pPr>
              <w:pStyle w:val="naiskr"/>
              <w:spacing w:before="0" w:after="0"/>
              <w:rPr>
                <w:i/>
                <w:sz w:val="28"/>
                <w:szCs w:val="28"/>
                <w:highlight w:val="yellow"/>
              </w:rPr>
            </w:pPr>
            <w:r w:rsidRPr="000B3E33">
              <w:rPr>
                <w:sz w:val="28"/>
                <w:szCs w:val="28"/>
              </w:rPr>
              <w:t>Iemesli, kādēļ netika nodrošināta sabiedrības līdzdalība</w:t>
            </w:r>
          </w:p>
        </w:tc>
        <w:tc>
          <w:tcPr>
            <w:tcW w:w="7627" w:type="dxa"/>
          </w:tcPr>
          <w:p w:rsidR="000E3B01" w:rsidRPr="00BA4F77" w:rsidRDefault="000B3E33" w:rsidP="00DF610F">
            <w:pPr>
              <w:pStyle w:val="FootnoteText"/>
              <w:ind w:left="75" w:right="114"/>
              <w:jc w:val="both"/>
              <w:rPr>
                <w:i/>
                <w:sz w:val="28"/>
                <w:szCs w:val="28"/>
              </w:rPr>
            </w:pPr>
            <w:r w:rsidRPr="000B3E33">
              <w:rPr>
                <w:i/>
                <w:sz w:val="28"/>
                <w:szCs w:val="28"/>
              </w:rPr>
              <w:t>Projekts šo jomu neskar.</w:t>
            </w:r>
          </w:p>
        </w:tc>
      </w:tr>
      <w:tr w:rsidR="000E3B01" w:rsidRPr="00BA4F77" w:rsidTr="00F43DAD">
        <w:tc>
          <w:tcPr>
            <w:tcW w:w="426" w:type="dxa"/>
          </w:tcPr>
          <w:p w:rsidR="000E3B01" w:rsidRPr="00BA4F77" w:rsidRDefault="000B3E33" w:rsidP="00DF610F">
            <w:pPr>
              <w:pStyle w:val="naiskr"/>
              <w:spacing w:before="0" w:after="0"/>
              <w:rPr>
                <w:sz w:val="28"/>
                <w:szCs w:val="28"/>
              </w:rPr>
            </w:pPr>
            <w:r w:rsidRPr="000B3E33">
              <w:rPr>
                <w:sz w:val="28"/>
                <w:szCs w:val="28"/>
              </w:rPr>
              <w:t>7.</w:t>
            </w:r>
          </w:p>
        </w:tc>
        <w:tc>
          <w:tcPr>
            <w:tcW w:w="1564" w:type="dxa"/>
          </w:tcPr>
          <w:p w:rsidR="000E3B01" w:rsidRPr="00BA4F77" w:rsidRDefault="000B3E33" w:rsidP="00DF610F">
            <w:pPr>
              <w:pStyle w:val="naiskr"/>
              <w:spacing w:before="0" w:after="0"/>
              <w:rPr>
                <w:sz w:val="28"/>
                <w:szCs w:val="28"/>
              </w:rPr>
            </w:pPr>
            <w:r w:rsidRPr="000B3E33">
              <w:rPr>
                <w:sz w:val="28"/>
                <w:szCs w:val="28"/>
              </w:rPr>
              <w:t>Cita informācija</w:t>
            </w:r>
          </w:p>
        </w:tc>
        <w:tc>
          <w:tcPr>
            <w:tcW w:w="7627" w:type="dxa"/>
          </w:tcPr>
          <w:p w:rsidR="000E3B01" w:rsidRPr="00BA4F77" w:rsidRDefault="000B3E33" w:rsidP="00DF610F">
            <w:pPr>
              <w:pStyle w:val="naiskr"/>
              <w:spacing w:before="0" w:after="0"/>
              <w:ind w:left="75" w:right="114"/>
              <w:rPr>
                <w:sz w:val="28"/>
                <w:szCs w:val="28"/>
              </w:rPr>
            </w:pPr>
            <w:r w:rsidRPr="000B3E33">
              <w:rPr>
                <w:sz w:val="28"/>
                <w:szCs w:val="28"/>
              </w:rPr>
              <w:t xml:space="preserve">Nav </w:t>
            </w:r>
          </w:p>
        </w:tc>
      </w:tr>
    </w:tbl>
    <w:p w:rsidR="000E3B01" w:rsidRPr="00BA4F77" w:rsidRDefault="000E3B01" w:rsidP="000E3B01">
      <w:pPr>
        <w:spacing w:line="270" w:lineRule="atLeast"/>
        <w:rPr>
          <w:rStyle w:val="apple-style-span"/>
          <w:color w:val="000000"/>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26"/>
        <w:gridCol w:w="2977"/>
        <w:gridCol w:w="6238"/>
      </w:tblGrid>
      <w:tr w:rsidR="000E3B01" w:rsidRPr="00BA4F77" w:rsidTr="00DF610F">
        <w:tc>
          <w:tcPr>
            <w:tcW w:w="5000" w:type="pct"/>
            <w:gridSpan w:val="3"/>
            <w:tcBorders>
              <w:top w:val="single" w:sz="6" w:space="0" w:color="000000"/>
              <w:left w:val="single" w:sz="6" w:space="0" w:color="000000"/>
              <w:bottom w:val="outset" w:sz="6" w:space="0" w:color="000000"/>
              <w:right w:val="single" w:sz="6" w:space="0" w:color="000000"/>
            </w:tcBorders>
            <w:vAlign w:val="center"/>
          </w:tcPr>
          <w:p w:rsidR="000E3B01" w:rsidRPr="00BA4F77" w:rsidRDefault="000B3E33" w:rsidP="00DF610F">
            <w:pPr>
              <w:pStyle w:val="NormalWeb"/>
              <w:jc w:val="center"/>
              <w:rPr>
                <w:b/>
                <w:bCs/>
                <w:sz w:val="28"/>
                <w:szCs w:val="28"/>
              </w:rPr>
            </w:pPr>
            <w:r w:rsidRPr="000B3E33">
              <w:rPr>
                <w:b/>
                <w:bCs/>
                <w:sz w:val="28"/>
                <w:szCs w:val="28"/>
              </w:rPr>
              <w:t>II. Tiesību akta projekta ietekme uz sabiedrību</w:t>
            </w:r>
          </w:p>
        </w:tc>
      </w:tr>
      <w:tr w:rsidR="000E3B01" w:rsidRPr="00BA4F77" w:rsidTr="00F43DAD">
        <w:tc>
          <w:tcPr>
            <w:tcW w:w="221"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1.</w:t>
            </w:r>
          </w:p>
        </w:tc>
        <w:tc>
          <w:tcPr>
            <w:tcW w:w="1544"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Sabiedrības mērķgrupa</w:t>
            </w:r>
          </w:p>
        </w:tc>
        <w:tc>
          <w:tcPr>
            <w:tcW w:w="3235" w:type="pct"/>
            <w:tcBorders>
              <w:top w:val="outset" w:sz="6" w:space="0" w:color="000000"/>
              <w:left w:val="outset" w:sz="6" w:space="0" w:color="000000"/>
              <w:bottom w:val="outset" w:sz="6" w:space="0" w:color="000000"/>
              <w:right w:val="outset" w:sz="6" w:space="0" w:color="000000"/>
            </w:tcBorders>
          </w:tcPr>
          <w:p w:rsidR="002C65AD" w:rsidRPr="00BA4F77" w:rsidRDefault="000B3E33" w:rsidP="00296B51">
            <w:pPr>
              <w:pStyle w:val="NormalWeb"/>
              <w:spacing w:before="0" w:beforeAutospacing="0" w:after="0" w:afterAutospacing="0"/>
              <w:ind w:right="86" w:firstLine="394"/>
              <w:jc w:val="both"/>
              <w:rPr>
                <w:sz w:val="28"/>
                <w:szCs w:val="28"/>
              </w:rPr>
            </w:pPr>
            <w:r w:rsidRPr="000B3E33">
              <w:rPr>
                <w:sz w:val="28"/>
                <w:szCs w:val="28"/>
              </w:rPr>
              <w:t xml:space="preserve">1) Patērētāju kreditēšanas pakalpojumu sniedzēji, kas nav uzskatāmi par kredītiestādēm jeb </w:t>
            </w:r>
            <w:proofErr w:type="spellStart"/>
            <w:r w:rsidRPr="000B3E33">
              <w:rPr>
                <w:sz w:val="28"/>
                <w:szCs w:val="28"/>
              </w:rPr>
              <w:t>nebanku</w:t>
            </w:r>
            <w:proofErr w:type="spellEnd"/>
            <w:r w:rsidRPr="000B3E33">
              <w:rPr>
                <w:sz w:val="28"/>
                <w:szCs w:val="28"/>
              </w:rPr>
              <w:t xml:space="preserve"> kreditori, kas ir saņēmuši speciālo atļauju (lice</w:t>
            </w:r>
            <w:r w:rsidR="008F7C20">
              <w:rPr>
                <w:sz w:val="28"/>
                <w:szCs w:val="28"/>
              </w:rPr>
              <w:t>nci) patērētāju kreditēšanai (48</w:t>
            </w:r>
            <w:r w:rsidRPr="000B3E33">
              <w:rPr>
                <w:sz w:val="28"/>
                <w:szCs w:val="28"/>
              </w:rPr>
              <w:t xml:space="preserve"> kapitālsabiedrības). Jāņem vērā, ka licenci saņēmuši kapitālsabiedrību skaitā ir arī vairākas </w:t>
            </w:r>
            <w:proofErr w:type="spellStart"/>
            <w:r w:rsidRPr="000B3E33">
              <w:rPr>
                <w:sz w:val="28"/>
                <w:szCs w:val="28"/>
              </w:rPr>
              <w:t>nebanku</w:t>
            </w:r>
            <w:proofErr w:type="spellEnd"/>
            <w:r w:rsidRPr="000B3E33">
              <w:rPr>
                <w:sz w:val="28"/>
                <w:szCs w:val="28"/>
              </w:rPr>
              <w:t xml:space="preserve"> kreditēšanas tirgū iepriekš strādājošo uzņēmumu apvienības, kas apvienojušās vienā uzņēmumā speciālās atļaujas (licences)  saņemšanas prasību izpildei.</w:t>
            </w:r>
          </w:p>
          <w:p w:rsidR="00296B51" w:rsidRPr="00BA4F77" w:rsidRDefault="000B3E33" w:rsidP="00296B51">
            <w:pPr>
              <w:pStyle w:val="NormalWeb"/>
              <w:spacing w:before="0" w:beforeAutospacing="0" w:after="0" w:afterAutospacing="0"/>
              <w:ind w:right="86" w:firstLine="394"/>
              <w:jc w:val="both"/>
              <w:rPr>
                <w:sz w:val="28"/>
                <w:szCs w:val="28"/>
              </w:rPr>
            </w:pPr>
            <w:r w:rsidRPr="000B3E33">
              <w:rPr>
                <w:sz w:val="28"/>
                <w:szCs w:val="28"/>
              </w:rPr>
              <w:t xml:space="preserve">2) Patērētāju kreditēšanas pakalpojumu sniedzēji, kas nav uzskatāmi par kredītiestādēm jeb </w:t>
            </w:r>
            <w:proofErr w:type="spellStart"/>
            <w:r w:rsidRPr="000B3E33">
              <w:rPr>
                <w:sz w:val="28"/>
                <w:szCs w:val="28"/>
              </w:rPr>
              <w:t>nebanku</w:t>
            </w:r>
            <w:proofErr w:type="spellEnd"/>
            <w:r w:rsidRPr="000B3E33">
              <w:rPr>
                <w:sz w:val="28"/>
                <w:szCs w:val="28"/>
              </w:rPr>
              <w:t xml:space="preserve"> kreditori, kas nav saņēmuši speciālo atļauju (licenci) patērētāju kreditēšanai, tomēr turpina sniegt kreditēšanas pakalpojumus.</w:t>
            </w:r>
          </w:p>
          <w:p w:rsidR="000E3B01" w:rsidRPr="00BA4F77" w:rsidRDefault="000B3E33" w:rsidP="00DF610F">
            <w:pPr>
              <w:pStyle w:val="NormalWeb"/>
              <w:spacing w:before="0" w:beforeAutospacing="0" w:after="0" w:afterAutospacing="0"/>
              <w:ind w:right="86" w:firstLine="396"/>
              <w:jc w:val="both"/>
              <w:rPr>
                <w:rFonts w:eastAsia="Calibri"/>
                <w:sz w:val="28"/>
                <w:szCs w:val="28"/>
              </w:rPr>
            </w:pPr>
            <w:r w:rsidRPr="000B3E33">
              <w:rPr>
                <w:sz w:val="28"/>
                <w:szCs w:val="28"/>
              </w:rPr>
              <w:t>Atbilstoši Valsts ieņēmumu dienesta rīcībā esošajiem datiem brīdī, kad tika izstrādāts regulējums, kas paredzēja licences saņemšanas pienākumu, tirgū darbojās vairāk kā 300 uzņēmumi, kas sniedza kreditēšanas pakalpojumus. No tiem licenci patērētāju</w:t>
            </w:r>
            <w:r w:rsidR="008F7C20">
              <w:rPr>
                <w:sz w:val="28"/>
                <w:szCs w:val="28"/>
              </w:rPr>
              <w:t xml:space="preserve"> kreditēšanai saņēmušas tikai 48</w:t>
            </w:r>
            <w:r w:rsidRPr="000B3E33">
              <w:rPr>
                <w:sz w:val="28"/>
                <w:szCs w:val="28"/>
              </w:rPr>
              <w:t xml:space="preserve"> kapitālsabiedrības (to skaitā ir arī vairākas </w:t>
            </w:r>
            <w:proofErr w:type="spellStart"/>
            <w:r w:rsidRPr="000B3E33">
              <w:rPr>
                <w:sz w:val="28"/>
                <w:szCs w:val="28"/>
              </w:rPr>
              <w:t>nebanku</w:t>
            </w:r>
            <w:proofErr w:type="spellEnd"/>
            <w:r w:rsidRPr="000B3E33">
              <w:rPr>
                <w:sz w:val="28"/>
                <w:szCs w:val="28"/>
              </w:rPr>
              <w:t xml:space="preserve"> kreditēšanas tirgū iepriekš strādājošo uzņēmumu apvienības, kas apvienojušās vienā uzņēmumā speciālās atļaujas (licences)  saņemšana</w:t>
            </w:r>
            <w:r w:rsidR="008F7C20">
              <w:rPr>
                <w:sz w:val="28"/>
                <w:szCs w:val="28"/>
              </w:rPr>
              <w:t>s prasību izpildei), no kurām 16</w:t>
            </w:r>
            <w:r w:rsidRPr="000B3E33">
              <w:rPr>
                <w:sz w:val="28"/>
                <w:szCs w:val="28"/>
              </w:rPr>
              <w:t xml:space="preserve"> kapitālsabiedrības kā patērētājam sniedzamo pakalpojumu ir norādījušas kreditēšanu pret kustamas lietas ķīlu. Atbilstoši Rīgas pašvaldības policijas sniegtajai informācijai, tā pēc 2011.gada 1.novembra apsekojusi 159 adreses, kurās saskaņā ar Uzņēmumu reģistra datiem vai publiski pieejamo informāciju atrodas uzņēmumi, kas piedāvā kreditēšanas pakalpojumus patērētājiem. Pārbaužu laikā tika konstatēts, ka tikai 67 no apsekotajām adresēm </w:t>
            </w:r>
            <w:r w:rsidRPr="000B3E33">
              <w:rPr>
                <w:sz w:val="28"/>
                <w:szCs w:val="28"/>
              </w:rPr>
              <w:lastRenderedPageBreak/>
              <w:t xml:space="preserve">atrodas licencētie patērētāju kreditēšanas pakalpojumu sniedzēji, bet pārējās pakalpojumu sniegšanas vietās </w:t>
            </w:r>
            <w:r w:rsidRPr="000B3E33">
              <w:rPr>
                <w:color w:val="000000"/>
                <w:sz w:val="28"/>
                <w:szCs w:val="28"/>
              </w:rPr>
              <w:t>konstatētas lombardiem raksturīgas darbības</w:t>
            </w:r>
            <w:r w:rsidRPr="000B3E33">
              <w:rPr>
                <w:sz w:val="28"/>
                <w:szCs w:val="28"/>
              </w:rPr>
              <w:t>. No apsekotājām pakalpojumu sniegšanas vietām 64 adresēs atradušies komisijas veikali. Ekonomikas ministrijas rīcībā nav precīzs to komersantu skaits, kas turpina sniegt kreditēšanas pakalpojumus patērētājiem bez speciālās atļaujas (licences) reģionos. Papildus minētajam, Valsts policija konstatējusi Latvijas Administratīvo pārkāpumu kodeksa 166.</w:t>
            </w:r>
            <w:r w:rsidRPr="000B3E33">
              <w:rPr>
                <w:sz w:val="28"/>
                <w:szCs w:val="28"/>
                <w:vertAlign w:val="superscript"/>
              </w:rPr>
              <w:t>2</w:t>
            </w:r>
            <w:r w:rsidRPr="000B3E33">
              <w:rPr>
                <w:sz w:val="28"/>
                <w:szCs w:val="28"/>
              </w:rPr>
              <w:t xml:space="preserve"> pantā definēto pārkāpumu - </w:t>
            </w:r>
            <w:r w:rsidRPr="000B3E33">
              <w:rPr>
                <w:bCs/>
                <w:color w:val="000000"/>
                <w:sz w:val="28"/>
                <w:szCs w:val="28"/>
                <w:shd w:val="clear" w:color="auto" w:fill="FFFFFF"/>
              </w:rPr>
              <w:t>komercdarbību bez reģistrēšanas vai bez speciālās atļaujas (licences</w:t>
            </w:r>
            <w:r w:rsidRPr="000B3E33">
              <w:rPr>
                <w:sz w:val="28"/>
                <w:szCs w:val="28"/>
              </w:rPr>
              <w:t>), izziņas vai atļaujas un komercdarbības veikšanu, pārkāpjot speciālajā atļaujā (licencē), izziņā vai atļ</w:t>
            </w:r>
            <w:r w:rsidR="008F7C20">
              <w:rPr>
                <w:sz w:val="28"/>
                <w:szCs w:val="28"/>
              </w:rPr>
              <w:t>aujā minētos noteikumus – 14</w:t>
            </w:r>
            <w:r w:rsidRPr="000B3E33">
              <w:rPr>
                <w:sz w:val="28"/>
                <w:szCs w:val="28"/>
              </w:rPr>
              <w:t xml:space="preserve"> uzņēmumos, kas nelikumīgi sniedz kreditēšanas pakalpojumus patērētājiem komisijas veikalu un tam līdzību pakalpojumu sniegšanas vietu aizsegā. Kreditēšanas pazīmes trijās no apsekotajām pakalpojumu sniegšanas vietām ir konstatējis arī PTAC. </w:t>
            </w:r>
            <w:r w:rsidRPr="000B3E33">
              <w:rPr>
                <w:rFonts w:eastAsia="Calibri"/>
                <w:sz w:val="28"/>
                <w:szCs w:val="28"/>
              </w:rPr>
              <w:t>Šajās pakalpojumu sniegšanas vietās tika noslēgti glabājuma un pirkuma-pārdevuma ar atpakaļpirkuma tiesībām līgumi, kuros saskatāmas patērētāju kreditēšanas pazīmes.</w:t>
            </w:r>
          </w:p>
          <w:p w:rsidR="00DC6032" w:rsidRPr="00BA4F77" w:rsidRDefault="000B3E33" w:rsidP="00611552">
            <w:pPr>
              <w:pStyle w:val="NormalWeb"/>
              <w:spacing w:before="0" w:beforeAutospacing="0" w:after="0" w:afterAutospacing="0"/>
              <w:ind w:right="86" w:firstLine="396"/>
              <w:jc w:val="both"/>
              <w:rPr>
                <w:sz w:val="28"/>
                <w:szCs w:val="28"/>
              </w:rPr>
            </w:pPr>
            <w:r w:rsidRPr="000B3E33">
              <w:rPr>
                <w:rFonts w:eastAsia="Calibri"/>
                <w:sz w:val="28"/>
                <w:szCs w:val="28"/>
              </w:rPr>
              <w:t>3) Patērētāju tiesību aizsardzības centra darbinieki un pašvaldību policijas darbinieki, kuriem likumprojekts piešķir tiesības izskatīt administratīvo pārkāpumu lietas patērētāju kreditēšanas jomā.</w:t>
            </w:r>
          </w:p>
        </w:tc>
      </w:tr>
      <w:tr w:rsidR="000E3B01" w:rsidRPr="00BA4F77" w:rsidTr="00F43DAD">
        <w:tc>
          <w:tcPr>
            <w:tcW w:w="221"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lastRenderedPageBreak/>
              <w:t>2.</w:t>
            </w:r>
          </w:p>
        </w:tc>
        <w:tc>
          <w:tcPr>
            <w:tcW w:w="1544"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Citas sabiedrības grupas (bez mērķgrupas), kuras tiesiskais regulējums arī ietekmē vai varētu ietekmēt</w:t>
            </w:r>
          </w:p>
        </w:tc>
        <w:tc>
          <w:tcPr>
            <w:tcW w:w="3235"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ind w:firstLine="396"/>
              <w:jc w:val="both"/>
              <w:rPr>
                <w:i/>
                <w:sz w:val="28"/>
                <w:szCs w:val="28"/>
              </w:rPr>
            </w:pPr>
            <w:r w:rsidRPr="000B3E33">
              <w:rPr>
                <w:i/>
                <w:sz w:val="28"/>
                <w:szCs w:val="28"/>
              </w:rPr>
              <w:t>Projekts šo jomu neskar.</w:t>
            </w:r>
          </w:p>
        </w:tc>
      </w:tr>
      <w:tr w:rsidR="000E3B01" w:rsidRPr="00BA4F77" w:rsidTr="00F43DAD">
        <w:tc>
          <w:tcPr>
            <w:tcW w:w="221"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3.</w:t>
            </w:r>
          </w:p>
        </w:tc>
        <w:tc>
          <w:tcPr>
            <w:tcW w:w="1544"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Tiesiskā regulējuma finansiālā ietekme</w:t>
            </w:r>
          </w:p>
        </w:tc>
        <w:tc>
          <w:tcPr>
            <w:tcW w:w="3235" w:type="pct"/>
            <w:tcBorders>
              <w:top w:val="outset" w:sz="6" w:space="0" w:color="000000"/>
              <w:left w:val="outset" w:sz="6" w:space="0" w:color="000000"/>
              <w:bottom w:val="outset" w:sz="6" w:space="0" w:color="000000"/>
              <w:right w:val="outset" w:sz="6" w:space="0" w:color="000000"/>
            </w:tcBorders>
          </w:tcPr>
          <w:p w:rsidR="000E3B01" w:rsidRPr="00BA4F77" w:rsidRDefault="000B3E33" w:rsidP="0092162C">
            <w:pPr>
              <w:pStyle w:val="NormalWeb"/>
              <w:spacing w:before="0" w:beforeAutospacing="0" w:after="0" w:afterAutospacing="0"/>
              <w:ind w:firstLine="395"/>
              <w:jc w:val="both"/>
              <w:rPr>
                <w:sz w:val="28"/>
                <w:szCs w:val="28"/>
              </w:rPr>
            </w:pPr>
            <w:r w:rsidRPr="000B3E33">
              <w:rPr>
                <w:sz w:val="28"/>
                <w:szCs w:val="28"/>
              </w:rPr>
              <w:t xml:space="preserve">Likumprojekts paredz noteikt naudas sodus attiecībā uz pārkāpumiem, kas saistīti ar patērētāju kreditēšanu pret kustamas lietas ķīlu noteikumu pārkāpumiem un </w:t>
            </w:r>
            <w:r w:rsidR="00611552">
              <w:rPr>
                <w:sz w:val="28"/>
                <w:szCs w:val="28"/>
              </w:rPr>
              <w:t xml:space="preserve">palielināt soda apmēru juridiskām personām par </w:t>
            </w:r>
            <w:r w:rsidRPr="000B3E33">
              <w:rPr>
                <w:sz w:val="28"/>
                <w:szCs w:val="28"/>
              </w:rPr>
              <w:t>darbību bez speciālās atļaujas (licences) patērētāju kreditēšanai. Attiecīgi likumprojekta radītās izmaksas uzņēmumiem, kas veiks normās paredzētos pārkāpumus, radīsies tikai gadījumos, kad šis pārkāpums tiks veikts. Uzņēmumiem, kas darbojas saskaņā ar tiesību normām, likumprojekts nekādas izmaksas neradīs.</w:t>
            </w:r>
          </w:p>
        </w:tc>
      </w:tr>
      <w:tr w:rsidR="000E3B01" w:rsidRPr="00BA4F77" w:rsidTr="00F43DAD">
        <w:tc>
          <w:tcPr>
            <w:tcW w:w="221"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lastRenderedPageBreak/>
              <w:t>4.</w:t>
            </w:r>
          </w:p>
        </w:tc>
        <w:tc>
          <w:tcPr>
            <w:tcW w:w="1544"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Tiesiskā regulējuma nefinansiālā ietekme</w:t>
            </w:r>
          </w:p>
        </w:tc>
        <w:tc>
          <w:tcPr>
            <w:tcW w:w="3235" w:type="pct"/>
            <w:tcBorders>
              <w:top w:val="outset" w:sz="6" w:space="0" w:color="000000"/>
              <w:left w:val="outset" w:sz="6" w:space="0" w:color="000000"/>
              <w:bottom w:val="outset" w:sz="6" w:space="0" w:color="000000"/>
              <w:right w:val="outset" w:sz="6" w:space="0" w:color="000000"/>
            </w:tcBorders>
          </w:tcPr>
          <w:p w:rsidR="000E3B01" w:rsidRPr="00BA4F77" w:rsidRDefault="000B3E33" w:rsidP="0009565E">
            <w:pPr>
              <w:pStyle w:val="NormalWeb"/>
              <w:spacing w:before="0" w:beforeAutospacing="0" w:after="0" w:afterAutospacing="0"/>
              <w:ind w:firstLine="395"/>
              <w:jc w:val="both"/>
              <w:rPr>
                <w:sz w:val="28"/>
                <w:szCs w:val="28"/>
              </w:rPr>
            </w:pPr>
            <w:r w:rsidRPr="000B3E33">
              <w:rPr>
                <w:sz w:val="28"/>
                <w:szCs w:val="28"/>
              </w:rPr>
              <w:t xml:space="preserve">Likumprojekts veicinās godīgas konkurences pastāvēšanu </w:t>
            </w:r>
            <w:proofErr w:type="spellStart"/>
            <w:r w:rsidRPr="000B3E33">
              <w:rPr>
                <w:sz w:val="28"/>
                <w:szCs w:val="28"/>
              </w:rPr>
              <w:t>nebanku</w:t>
            </w:r>
            <w:proofErr w:type="spellEnd"/>
            <w:r w:rsidRPr="000B3E33">
              <w:rPr>
                <w:sz w:val="28"/>
                <w:szCs w:val="28"/>
              </w:rPr>
              <w:t xml:space="preserve"> kreditēšanas tirgū, samazinot to uzņēmumu skaitu, kas darbojas nelikumīgi.</w:t>
            </w:r>
          </w:p>
        </w:tc>
      </w:tr>
      <w:tr w:rsidR="000E3B01" w:rsidRPr="00BA4F77" w:rsidTr="00F43DAD">
        <w:tc>
          <w:tcPr>
            <w:tcW w:w="221"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5.</w:t>
            </w:r>
          </w:p>
        </w:tc>
        <w:tc>
          <w:tcPr>
            <w:tcW w:w="1544"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Administratīvās procedūras raksturojums</w:t>
            </w:r>
          </w:p>
        </w:tc>
        <w:tc>
          <w:tcPr>
            <w:tcW w:w="3235"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jc w:val="both"/>
              <w:rPr>
                <w:sz w:val="28"/>
                <w:szCs w:val="28"/>
                <w:highlight w:val="yellow"/>
              </w:rPr>
            </w:pPr>
            <w:r w:rsidRPr="000B3E33">
              <w:rPr>
                <w:sz w:val="28"/>
                <w:szCs w:val="28"/>
              </w:rPr>
              <w:t xml:space="preserve">Indivīds savas tiesības varēs aizstāvēt normatīvajos </w:t>
            </w:r>
            <w:smartTag w:uri="schemas-tilde-lv/tildestengine" w:element="veidnes">
              <w:smartTagPr>
                <w:attr w:name="text" w:val="aktos"/>
                <w:attr w:name="id" w:val="-1"/>
                <w:attr w:name="baseform" w:val="akt|s"/>
              </w:smartTagPr>
              <w:r w:rsidRPr="000B3E33">
                <w:rPr>
                  <w:sz w:val="28"/>
                  <w:szCs w:val="28"/>
                </w:rPr>
                <w:t>aktos</w:t>
              </w:r>
            </w:smartTag>
            <w:r w:rsidRPr="000B3E33">
              <w:rPr>
                <w:sz w:val="28"/>
                <w:szCs w:val="28"/>
              </w:rPr>
              <w:t xml:space="preserve"> noteiktajā kārtībā (Administratīvā procesa likums).</w:t>
            </w:r>
          </w:p>
        </w:tc>
      </w:tr>
      <w:tr w:rsidR="000E3B01" w:rsidRPr="00BA4F77" w:rsidTr="00F43DAD">
        <w:tc>
          <w:tcPr>
            <w:tcW w:w="221"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6.</w:t>
            </w:r>
          </w:p>
        </w:tc>
        <w:tc>
          <w:tcPr>
            <w:tcW w:w="1544"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Administratīvo izmaksu monetārs novērtējums</w:t>
            </w:r>
          </w:p>
        </w:tc>
        <w:tc>
          <w:tcPr>
            <w:tcW w:w="3235"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jc w:val="both"/>
              <w:rPr>
                <w:color w:val="000000"/>
                <w:sz w:val="28"/>
                <w:szCs w:val="28"/>
              </w:rPr>
            </w:pPr>
            <w:r w:rsidRPr="000B3E33">
              <w:rPr>
                <w:rStyle w:val="apple-style-span"/>
                <w:color w:val="000000"/>
                <w:sz w:val="28"/>
                <w:szCs w:val="28"/>
              </w:rPr>
              <w:t xml:space="preserve">Administratīvā procesa likumā noteiktā valsts nodeva </w:t>
            </w:r>
            <w:smartTag w:uri="schemas-tilde-lv/tildestengine" w:element="currency2">
              <w:smartTagPr>
                <w:attr w:name="currency_id" w:val="48"/>
                <w:attr w:name="currency_key" w:val="LVL"/>
                <w:attr w:name="currency_value" w:val="20"/>
                <w:attr w:name="currency_text" w:val="latu"/>
              </w:smartTagPr>
              <w:smartTag w:uri="schemas-tilde-lv/tildestengine" w:element="currency">
                <w:smartTagPr>
                  <w:attr w:name="currency_text" w:val="latu"/>
                  <w:attr w:name="currency_value" w:val="20"/>
                  <w:attr w:name="currency_key" w:val="LVL"/>
                  <w:attr w:name="currency_id" w:val="48"/>
                </w:smartTagPr>
                <w:r w:rsidRPr="000B3E33">
                  <w:rPr>
                    <w:rStyle w:val="apple-style-span"/>
                    <w:color w:val="000000"/>
                    <w:sz w:val="28"/>
                    <w:szCs w:val="28"/>
                  </w:rPr>
                  <w:t>20 latu</w:t>
                </w:r>
              </w:smartTag>
            </w:smartTag>
            <w:r w:rsidRPr="000B3E33">
              <w:rPr>
                <w:rStyle w:val="apple-style-span"/>
                <w:color w:val="000000"/>
                <w:sz w:val="28"/>
                <w:szCs w:val="28"/>
              </w:rPr>
              <w:t xml:space="preserve"> apmērā par pieteikumu par lietas ierosināšanu tiesā.</w:t>
            </w:r>
          </w:p>
        </w:tc>
      </w:tr>
      <w:tr w:rsidR="000E3B01" w:rsidRPr="00BA4F77" w:rsidTr="00F43DAD">
        <w:tc>
          <w:tcPr>
            <w:tcW w:w="221"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7.</w:t>
            </w:r>
          </w:p>
        </w:tc>
        <w:tc>
          <w:tcPr>
            <w:tcW w:w="1544"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Cita informācija</w:t>
            </w:r>
          </w:p>
        </w:tc>
        <w:tc>
          <w:tcPr>
            <w:tcW w:w="3235" w:type="pct"/>
            <w:tcBorders>
              <w:top w:val="outset" w:sz="6" w:space="0" w:color="000000"/>
              <w:left w:val="outset" w:sz="6" w:space="0" w:color="000000"/>
              <w:bottom w:val="outset" w:sz="6" w:space="0" w:color="000000"/>
              <w:right w:val="outset" w:sz="6" w:space="0" w:color="000000"/>
            </w:tcBorders>
          </w:tcPr>
          <w:p w:rsidR="000E3B01" w:rsidRPr="00BA4F77" w:rsidRDefault="000B3E33" w:rsidP="00DF610F">
            <w:pPr>
              <w:pStyle w:val="NormalWeb"/>
              <w:rPr>
                <w:sz w:val="28"/>
                <w:szCs w:val="28"/>
              </w:rPr>
            </w:pPr>
            <w:r w:rsidRPr="000B3E33">
              <w:rPr>
                <w:sz w:val="28"/>
                <w:szCs w:val="28"/>
              </w:rPr>
              <w:t>Nav</w:t>
            </w:r>
          </w:p>
        </w:tc>
      </w:tr>
    </w:tbl>
    <w:p w:rsidR="000E3B01" w:rsidRPr="00BA4F77" w:rsidRDefault="000E3B01" w:rsidP="000E3B01">
      <w:pPr>
        <w:pStyle w:val="NormalWeb"/>
        <w:spacing w:before="0" w:beforeAutospacing="0" w:after="0" w:afterAutospacing="0"/>
        <w:jc w:val="center"/>
        <w:rPr>
          <w:b/>
          <w:bCs/>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585"/>
        <w:gridCol w:w="1059"/>
        <w:gridCol w:w="1550"/>
        <w:gridCol w:w="1149"/>
        <w:gridCol w:w="1149"/>
        <w:gridCol w:w="1149"/>
      </w:tblGrid>
      <w:tr w:rsidR="000E3B01" w:rsidRPr="00BA4F77" w:rsidTr="002547B6">
        <w:tc>
          <w:tcPr>
            <w:tcW w:w="5000" w:type="pct"/>
            <w:gridSpan w:val="6"/>
            <w:tcBorders>
              <w:top w:val="outset" w:sz="6" w:space="0" w:color="000000"/>
              <w:left w:val="outset" w:sz="6" w:space="0" w:color="000000"/>
              <w:bottom w:val="outset" w:sz="6" w:space="0" w:color="000000"/>
              <w:right w:val="outset" w:sz="6" w:space="0" w:color="000000"/>
            </w:tcBorders>
          </w:tcPr>
          <w:p w:rsidR="000E3B01" w:rsidRPr="00BA4F77" w:rsidRDefault="000E3B01" w:rsidP="00DF610F">
            <w:pPr>
              <w:pStyle w:val="NormalWeb"/>
              <w:jc w:val="center"/>
              <w:rPr>
                <w:b/>
                <w:bCs/>
                <w:sz w:val="28"/>
                <w:szCs w:val="28"/>
              </w:rPr>
            </w:pPr>
            <w:r w:rsidRPr="00BA4F77">
              <w:rPr>
                <w:b/>
                <w:bCs/>
                <w:sz w:val="28"/>
                <w:szCs w:val="28"/>
              </w:rPr>
              <w:t>III. Tiesību akta projekta ietekme uz valsts budžetu un pašvaldību budžetiem</w:t>
            </w:r>
          </w:p>
        </w:tc>
      </w:tr>
      <w:tr w:rsidR="002547B6" w:rsidRPr="00BA4F77" w:rsidTr="00653081">
        <w:tc>
          <w:tcPr>
            <w:tcW w:w="1904" w:type="pct"/>
            <w:vMerge w:val="restart"/>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pStyle w:val="NormalWeb"/>
              <w:jc w:val="center"/>
              <w:rPr>
                <w:b/>
                <w:bCs/>
                <w:sz w:val="28"/>
                <w:szCs w:val="28"/>
              </w:rPr>
            </w:pPr>
            <w:r w:rsidRPr="00BA4F77">
              <w:rPr>
                <w:b/>
                <w:bCs/>
                <w:sz w:val="28"/>
                <w:szCs w:val="28"/>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b/>
                <w:bCs/>
                <w:sz w:val="28"/>
                <w:szCs w:val="28"/>
              </w:rPr>
            </w:pPr>
            <w:r>
              <w:rPr>
                <w:b/>
                <w:bCs/>
                <w:sz w:val="28"/>
                <w:szCs w:val="28"/>
              </w:rPr>
              <w:t>2012. gads</w:t>
            </w:r>
          </w:p>
        </w:tc>
        <w:tc>
          <w:tcPr>
            <w:tcW w:w="0" w:type="auto"/>
            <w:gridSpan w:val="3"/>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Turpmākie trīs gadi (tūkst</w:t>
            </w:r>
            <w:smartTag w:uri="schemas-tilde-lv/tildestengine" w:element="currency">
              <w:smartTagPr>
                <w:attr w:name="currency_text" w:val="latu"/>
                <w:attr w:name="currency_value" w:val="."/>
                <w:attr w:name="currency_key" w:val="LVL"/>
                <w:attr w:name="currency_id" w:val="48"/>
              </w:smartTagPr>
              <w:r>
                <w:rPr>
                  <w:sz w:val="28"/>
                  <w:szCs w:val="28"/>
                </w:rPr>
                <w:t>. latu</w:t>
              </w:r>
            </w:smartTag>
            <w:r>
              <w:rPr>
                <w:sz w:val="28"/>
                <w:szCs w:val="28"/>
              </w:rPr>
              <w:t>)</w:t>
            </w:r>
          </w:p>
        </w:tc>
      </w:tr>
      <w:tr w:rsidR="002547B6" w:rsidRPr="00BA4F77" w:rsidTr="00653081">
        <w:tc>
          <w:tcPr>
            <w:tcW w:w="1904" w:type="pct"/>
            <w:vMerge/>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rPr>
                <w:b/>
                <w:bCs/>
                <w:sz w:val="28"/>
                <w:szCs w:val="28"/>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rPr>
                <w:b/>
                <w:bCs/>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653081">
            <w:pPr>
              <w:pStyle w:val="NormalWeb"/>
              <w:jc w:val="center"/>
              <w:rPr>
                <w:b/>
                <w:bCs/>
                <w:sz w:val="28"/>
                <w:szCs w:val="28"/>
              </w:rPr>
            </w:pPr>
            <w:r>
              <w:rPr>
                <w:b/>
                <w:bCs/>
                <w:sz w:val="28"/>
                <w:szCs w:val="28"/>
              </w:rPr>
              <w:t>2013</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653081">
            <w:pPr>
              <w:pStyle w:val="NormalWeb"/>
              <w:jc w:val="center"/>
              <w:rPr>
                <w:b/>
                <w:bCs/>
                <w:sz w:val="28"/>
                <w:szCs w:val="28"/>
              </w:rPr>
            </w:pPr>
            <w:r>
              <w:rPr>
                <w:b/>
                <w:bCs/>
                <w:sz w:val="28"/>
                <w:szCs w:val="28"/>
              </w:rPr>
              <w:t>2014</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653081">
            <w:pPr>
              <w:pStyle w:val="NormalWeb"/>
              <w:jc w:val="center"/>
              <w:rPr>
                <w:b/>
                <w:bCs/>
                <w:sz w:val="28"/>
                <w:szCs w:val="28"/>
              </w:rPr>
            </w:pPr>
            <w:r>
              <w:rPr>
                <w:b/>
                <w:bCs/>
                <w:sz w:val="28"/>
                <w:szCs w:val="28"/>
              </w:rPr>
              <w:t>2015</w:t>
            </w:r>
          </w:p>
        </w:tc>
      </w:tr>
      <w:tr w:rsidR="002547B6" w:rsidRPr="00BA4F77" w:rsidTr="00653081">
        <w:tc>
          <w:tcPr>
            <w:tcW w:w="1904" w:type="pct"/>
            <w:vMerge/>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rPr>
                <w:b/>
                <w:bCs/>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Izmaiņas, salīdzinot ar kārtējo (n) gadu</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pStyle w:val="NormalWeb"/>
              <w:jc w:val="center"/>
              <w:rPr>
                <w:sz w:val="28"/>
                <w:szCs w:val="28"/>
              </w:rPr>
            </w:pPr>
            <w:r w:rsidRPr="00BA4F77">
              <w:rPr>
                <w:sz w:val="28"/>
                <w:szCs w:val="28"/>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5</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pStyle w:val="NormalWeb"/>
              <w:jc w:val="center"/>
              <w:rPr>
                <w:sz w:val="28"/>
                <w:szCs w:val="28"/>
              </w:rPr>
            </w:pPr>
            <w:r>
              <w:rPr>
                <w:sz w:val="28"/>
                <w:szCs w:val="28"/>
              </w:rPr>
              <w:t>6</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1. Budžeta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b/>
                <w:sz w:val="28"/>
                <w:szCs w:val="28"/>
              </w:rPr>
            </w:pPr>
            <w:r>
              <w:rPr>
                <w:b/>
                <w:sz w:val="28"/>
                <w:szCs w:val="28"/>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b/>
                <w:sz w:val="28"/>
                <w:szCs w:val="28"/>
              </w:rPr>
            </w:pPr>
            <w:r>
              <w:rPr>
                <w:b/>
                <w:sz w:val="28"/>
                <w:szCs w:val="28"/>
              </w:rPr>
              <w:t>+200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b/>
                <w:sz w:val="28"/>
                <w:szCs w:val="28"/>
              </w:rPr>
            </w:pPr>
            <w:r>
              <w:rPr>
                <w:b/>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b/>
                <w:sz w:val="28"/>
                <w:szCs w:val="28"/>
              </w:rPr>
            </w:pPr>
            <w:r>
              <w:rPr>
                <w:b/>
                <w:sz w:val="28"/>
                <w:szCs w:val="28"/>
              </w:rPr>
              <w:t>+50</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1.1. valsts pamatbudžets, tai skaitā ieņēmumi no maksas pakalpo</w:t>
            </w:r>
            <w:r w:rsidR="000B3E33">
              <w:rPr>
                <w:sz w:val="28"/>
                <w:szCs w:val="28"/>
              </w:rPr>
              <w:t>jumiem un citi pašu ieņēmumi</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+200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+50</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1.2. valsts speciālais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1.3.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2. Budžeta izdevumi:</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2.1.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2.2. valsts speciālais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2.3. pašvaldību 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spacing w:line="270" w:lineRule="atLeast"/>
              <w:jc w:val="center"/>
              <w:rPr>
                <w:sz w:val="28"/>
                <w:szCs w:val="28"/>
              </w:rPr>
            </w:pP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3. Finansiālā ietekme:</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b/>
                <w:sz w:val="28"/>
                <w:szCs w:val="28"/>
              </w:rPr>
            </w:pPr>
            <w:r>
              <w:rPr>
                <w:b/>
                <w:sz w:val="28"/>
                <w:szCs w:val="28"/>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b/>
                <w:sz w:val="28"/>
                <w:szCs w:val="28"/>
              </w:rPr>
            </w:pPr>
            <w:r>
              <w:rPr>
                <w:b/>
                <w:sz w:val="28"/>
                <w:szCs w:val="28"/>
              </w:rPr>
              <w:t>+200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b/>
                <w:sz w:val="28"/>
                <w:szCs w:val="28"/>
              </w:rPr>
            </w:pPr>
            <w:r>
              <w:rPr>
                <w:b/>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b/>
                <w:sz w:val="28"/>
                <w:szCs w:val="28"/>
              </w:rPr>
            </w:pPr>
            <w:r>
              <w:rPr>
                <w:b/>
                <w:sz w:val="28"/>
                <w:szCs w:val="28"/>
              </w:rPr>
              <w:t>+50</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3.1. valsts pamatbudžets</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DF610F">
            <w:pPr>
              <w:spacing w:line="270" w:lineRule="atLeast"/>
              <w:jc w:val="center"/>
              <w:rPr>
                <w:sz w:val="28"/>
                <w:szCs w:val="28"/>
              </w:rPr>
            </w:pPr>
            <w:r>
              <w:rPr>
                <w:sz w:val="28"/>
                <w:szCs w:val="28"/>
              </w:rPr>
              <w:t>+300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094A8A">
            <w:pPr>
              <w:spacing w:before="75" w:line="270" w:lineRule="atLeast"/>
              <w:jc w:val="center"/>
              <w:rPr>
                <w:sz w:val="28"/>
                <w:szCs w:val="28"/>
              </w:rPr>
            </w:pPr>
            <w:r>
              <w:rPr>
                <w:sz w:val="28"/>
                <w:szCs w:val="28"/>
              </w:rPr>
              <w:t>+200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094A8A">
            <w:pPr>
              <w:spacing w:before="75" w:line="270" w:lineRule="atLeast"/>
              <w:jc w:val="center"/>
              <w:rPr>
                <w:sz w:val="28"/>
                <w:szCs w:val="28"/>
              </w:rPr>
            </w:pPr>
            <w:r>
              <w:rPr>
                <w:sz w:val="28"/>
                <w:szCs w:val="28"/>
              </w:rPr>
              <w:t>+100</w:t>
            </w:r>
          </w:p>
        </w:tc>
        <w:tc>
          <w:tcPr>
            <w:tcW w:w="0" w:type="auto"/>
            <w:tcBorders>
              <w:top w:val="outset" w:sz="6" w:space="0" w:color="000000"/>
              <w:left w:val="outset" w:sz="6" w:space="0" w:color="000000"/>
              <w:bottom w:val="outset" w:sz="6" w:space="0" w:color="000000"/>
              <w:right w:val="outset" w:sz="6" w:space="0" w:color="000000"/>
            </w:tcBorders>
            <w:vAlign w:val="center"/>
          </w:tcPr>
          <w:p w:rsidR="002547B6" w:rsidRPr="00BA4F77" w:rsidRDefault="000B3E33" w:rsidP="00094A8A">
            <w:pPr>
              <w:spacing w:before="75" w:line="270" w:lineRule="atLeast"/>
              <w:jc w:val="center"/>
              <w:rPr>
                <w:sz w:val="28"/>
                <w:szCs w:val="28"/>
              </w:rPr>
            </w:pPr>
            <w:r>
              <w:rPr>
                <w:sz w:val="28"/>
                <w:szCs w:val="28"/>
              </w:rPr>
              <w:t>+50</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3.2. speciālais budžets</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3.3. pašvaldību budžets</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r>
      <w:tr w:rsidR="002547B6" w:rsidRPr="00BA4F77" w:rsidTr="00653081">
        <w:tc>
          <w:tcPr>
            <w:tcW w:w="1904" w:type="pct"/>
            <w:vMerge w:val="restar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 xml:space="preserve">4. Finanšu līdzekļi papildu izdevumu finansēšanai </w:t>
            </w:r>
            <w:r w:rsidRPr="00BA4F77">
              <w:rPr>
                <w:sz w:val="28"/>
                <w:szCs w:val="28"/>
              </w:rPr>
              <w:lastRenderedPageBreak/>
              <w:t>(kompensējošu izdevumu samazinājumu norāda ar "+" zīmi)</w:t>
            </w:r>
          </w:p>
        </w:tc>
        <w:tc>
          <w:tcPr>
            <w:tcW w:w="0" w:type="auto"/>
            <w:vMerge w:val="restart"/>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pStyle w:val="NormalWeb"/>
              <w:jc w:val="center"/>
              <w:rPr>
                <w:sz w:val="28"/>
                <w:szCs w:val="28"/>
              </w:rPr>
            </w:pPr>
            <w:r>
              <w:rPr>
                <w:sz w:val="28"/>
                <w:szCs w:val="28"/>
              </w:rPr>
              <w:lastRenderedPageBreak/>
              <w:t>X</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r>
      <w:tr w:rsidR="002547B6" w:rsidRPr="00BA4F77" w:rsidTr="00653081">
        <w:tc>
          <w:tcPr>
            <w:tcW w:w="1904" w:type="pct"/>
            <w:vMerge/>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r>
      <w:tr w:rsidR="002547B6" w:rsidRPr="00BA4F77" w:rsidTr="00653081">
        <w:tc>
          <w:tcPr>
            <w:tcW w:w="1904" w:type="pct"/>
            <w:vMerge/>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rPr>
                <w:sz w:val="28"/>
                <w:szCs w:val="28"/>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lastRenderedPageBreak/>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pStyle w:val="NormalWeb"/>
              <w:jc w:val="center"/>
              <w:rPr>
                <w:sz w:val="28"/>
                <w:szCs w:val="28"/>
              </w:rPr>
            </w:pPr>
            <w:r>
              <w:rPr>
                <w:sz w:val="28"/>
                <w:szCs w:val="28"/>
              </w:rPr>
              <w:t>X</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2547B6" w:rsidRPr="00BA4F77" w:rsidRDefault="002547B6" w:rsidP="00DF610F">
            <w:pPr>
              <w:rPr>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2547B6" w:rsidRPr="00BA4F77" w:rsidRDefault="000B3E33" w:rsidP="00DF610F">
            <w:pPr>
              <w:spacing w:line="270" w:lineRule="atLeast"/>
              <w:rPr>
                <w:sz w:val="28"/>
                <w:szCs w:val="28"/>
              </w:rPr>
            </w:pPr>
            <w:r>
              <w:rPr>
                <w:sz w:val="28"/>
                <w:szCs w:val="28"/>
              </w:rPr>
              <w:t> </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t>6. Detalizēts ieņēmumu un izdevumu aprēķins (ja nepieciešams, detalizētu ieņēmumu un izdevumu aprēķinu var pievienot anotācijas pielikumā)</w:t>
            </w:r>
            <w:r w:rsidR="000B3E33">
              <w:rPr>
                <w:sz w:val="28"/>
                <w:szCs w:val="28"/>
              </w:rPr>
              <w:t>:</w:t>
            </w:r>
          </w:p>
        </w:tc>
        <w:tc>
          <w:tcPr>
            <w:tcW w:w="0" w:type="auto"/>
            <w:gridSpan w:val="5"/>
            <w:tcBorders>
              <w:top w:val="outset" w:sz="6" w:space="0" w:color="000000"/>
              <w:left w:val="outset" w:sz="6" w:space="0" w:color="000000"/>
              <w:bottom w:val="single" w:sz="4" w:space="0" w:color="auto"/>
              <w:right w:val="outset" w:sz="6" w:space="0" w:color="000000"/>
            </w:tcBorders>
            <w:vAlign w:val="center"/>
          </w:tcPr>
          <w:p w:rsidR="002547B6" w:rsidRPr="00BA4F77" w:rsidRDefault="002547B6" w:rsidP="00DF610F">
            <w:pPr>
              <w:spacing w:line="270" w:lineRule="atLeast"/>
              <w:rPr>
                <w:sz w:val="28"/>
                <w:szCs w:val="28"/>
              </w:rPr>
            </w:pPr>
          </w:p>
        </w:tc>
      </w:tr>
      <w:tr w:rsidR="002547B6" w:rsidRPr="00BA4F77" w:rsidTr="00653081">
        <w:tc>
          <w:tcPr>
            <w:tcW w:w="1904" w:type="pct"/>
            <w:tcBorders>
              <w:top w:val="outset" w:sz="6" w:space="0" w:color="000000"/>
              <w:left w:val="outset" w:sz="6" w:space="0" w:color="000000"/>
              <w:bottom w:val="outset" w:sz="6" w:space="0" w:color="000000"/>
              <w:right w:val="single" w:sz="4" w:space="0" w:color="auto"/>
            </w:tcBorders>
          </w:tcPr>
          <w:p w:rsidR="002547B6" w:rsidRPr="00BA4F77" w:rsidRDefault="002547B6" w:rsidP="00DF610F">
            <w:pPr>
              <w:pStyle w:val="NormalWeb"/>
              <w:rPr>
                <w:sz w:val="28"/>
                <w:szCs w:val="28"/>
              </w:rPr>
            </w:pPr>
            <w:r w:rsidRPr="00BA4F77">
              <w:rPr>
                <w:sz w:val="28"/>
                <w:szCs w:val="28"/>
              </w:rPr>
              <w:t>6.1. detalizēts ieņēmumu aprēķins</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2547B6" w:rsidRPr="00BA4F77" w:rsidRDefault="000B3E33" w:rsidP="007E7580">
            <w:pPr>
              <w:spacing w:line="270" w:lineRule="atLeast"/>
              <w:jc w:val="both"/>
              <w:rPr>
                <w:bCs/>
                <w:sz w:val="28"/>
                <w:szCs w:val="28"/>
              </w:rPr>
            </w:pPr>
            <w:r>
              <w:rPr>
                <w:sz w:val="28"/>
                <w:szCs w:val="28"/>
              </w:rPr>
              <w:t>Kas attiecas uz budžeta ieņēmumiem, to prognozēšana šobrīd ir apgrūtināta, jo Ekonomikas ministrijas rīcībā ir ierobežota informācija par personām, kas veic patērētāju kreditēšanu bez speciālās licences vai arī veic to, neievērojot normatīvajos aktos noteiktās p</w:t>
            </w:r>
            <w:r>
              <w:rPr>
                <w:bCs/>
                <w:sz w:val="28"/>
                <w:szCs w:val="28"/>
              </w:rPr>
              <w:t>rasības, kas piemērojamas patērētāja kreditēšanai pret kustamas lietas ķīlu.</w:t>
            </w:r>
          </w:p>
          <w:p w:rsidR="004E2B63" w:rsidRPr="00BA4F77" w:rsidRDefault="000B3E33" w:rsidP="007E7580">
            <w:pPr>
              <w:spacing w:line="270" w:lineRule="atLeast"/>
              <w:jc w:val="both"/>
              <w:rPr>
                <w:sz w:val="28"/>
                <w:szCs w:val="28"/>
              </w:rPr>
            </w:pPr>
            <w:r>
              <w:rPr>
                <w:bCs/>
                <w:sz w:val="28"/>
                <w:szCs w:val="28"/>
              </w:rPr>
              <w:t xml:space="preserve">Kā norādīts iepriekš </w:t>
            </w:r>
            <w:r w:rsidR="007E7580" w:rsidRPr="00BA4F77">
              <w:rPr>
                <w:sz w:val="28"/>
                <w:szCs w:val="28"/>
              </w:rPr>
              <w:t>licenci patē</w:t>
            </w:r>
            <w:r w:rsidR="008F7C20">
              <w:rPr>
                <w:sz w:val="28"/>
                <w:szCs w:val="28"/>
              </w:rPr>
              <w:t>rētāju kreditēšanai saņēmušas 48</w:t>
            </w:r>
            <w:r w:rsidR="007E7580" w:rsidRPr="00BA4F77">
              <w:rPr>
                <w:sz w:val="28"/>
                <w:szCs w:val="28"/>
              </w:rPr>
              <w:t xml:space="preserve"> kapitālsabiedrības, savukārt atbilstoši Rīgas pašvaldības policijas sniegtajai informācijai, </w:t>
            </w:r>
            <w:r w:rsidR="008F7C20">
              <w:rPr>
                <w:sz w:val="28"/>
                <w:szCs w:val="28"/>
              </w:rPr>
              <w:t>uz 2012.gada 29.februāri</w:t>
            </w:r>
            <w:r w:rsidR="007E7580" w:rsidRPr="00BA4F77">
              <w:rPr>
                <w:sz w:val="28"/>
                <w:szCs w:val="28"/>
              </w:rPr>
              <w:t xml:space="preserve"> patērētāju k</w:t>
            </w:r>
            <w:r w:rsidR="008F7C20">
              <w:rPr>
                <w:sz w:val="28"/>
                <w:szCs w:val="28"/>
              </w:rPr>
              <w:t>reditēšanas pakalpojumi Rīgā ti</w:t>
            </w:r>
            <w:r w:rsidR="007E7580" w:rsidRPr="00BA4F77">
              <w:rPr>
                <w:sz w:val="28"/>
                <w:szCs w:val="28"/>
              </w:rPr>
              <w:t>k</w:t>
            </w:r>
            <w:r w:rsidR="008F7C20">
              <w:rPr>
                <w:sz w:val="28"/>
                <w:szCs w:val="28"/>
              </w:rPr>
              <w:t>a</w:t>
            </w:r>
            <w:r w:rsidR="007E7580" w:rsidRPr="00BA4F77">
              <w:rPr>
                <w:sz w:val="28"/>
                <w:szCs w:val="28"/>
              </w:rPr>
              <w:t xml:space="preserve"> piedāvāti 159 adresēs</w:t>
            </w:r>
            <w:r w:rsidR="008F7C20">
              <w:rPr>
                <w:sz w:val="28"/>
                <w:szCs w:val="28"/>
              </w:rPr>
              <w:t>, no kurām tikai 67 adresēs atradā</w:t>
            </w:r>
            <w:r w:rsidR="007E7580" w:rsidRPr="00BA4F77">
              <w:rPr>
                <w:sz w:val="28"/>
                <w:szCs w:val="28"/>
              </w:rPr>
              <w:t xml:space="preserve">s licencētie patērētāju kreditēšanas pakalpojumu sniedzēji, bet pārējās pakalpojumu sniegšanas vietās (tai skaitā 64 komisijas veikalos) </w:t>
            </w:r>
            <w:r w:rsidR="007E7580" w:rsidRPr="00BA4F77">
              <w:rPr>
                <w:color w:val="000000"/>
                <w:sz w:val="28"/>
                <w:szCs w:val="28"/>
              </w:rPr>
              <w:t>konstatētas lombardiem raksturīgas darbības</w:t>
            </w:r>
            <w:r w:rsidR="007E7580" w:rsidRPr="00BA4F77">
              <w:rPr>
                <w:sz w:val="28"/>
                <w:szCs w:val="28"/>
              </w:rPr>
              <w:t>. Pamatojoties uz informāciju, kas pieejama par pakalpojumu sniedzējiem Rīgā, kā ar</w:t>
            </w:r>
            <w:r w:rsidR="004E2B63" w:rsidRPr="00BA4F77">
              <w:rPr>
                <w:sz w:val="28"/>
                <w:szCs w:val="28"/>
              </w:rPr>
              <w:t xml:space="preserve">ī </w:t>
            </w:r>
            <w:r w:rsidR="007E7580" w:rsidRPr="00BA4F77">
              <w:rPr>
                <w:sz w:val="28"/>
                <w:szCs w:val="28"/>
              </w:rPr>
              <w:t>ņemot vēr</w:t>
            </w:r>
            <w:r w:rsidR="004E2B63" w:rsidRPr="00BA4F77">
              <w:rPr>
                <w:sz w:val="28"/>
                <w:szCs w:val="28"/>
              </w:rPr>
              <w:t>ā</w:t>
            </w:r>
            <w:r w:rsidR="007E7580" w:rsidRPr="00BA4F77">
              <w:rPr>
                <w:sz w:val="28"/>
                <w:szCs w:val="28"/>
              </w:rPr>
              <w:t>, ka</w:t>
            </w:r>
            <w:r w:rsidR="004E2B63" w:rsidRPr="00BA4F77">
              <w:rPr>
                <w:sz w:val="28"/>
                <w:szCs w:val="28"/>
              </w:rPr>
              <w:t>:</w:t>
            </w:r>
          </w:p>
          <w:p w:rsidR="004E2B63" w:rsidRPr="00BA4F77" w:rsidRDefault="004E2B63" w:rsidP="007E7580">
            <w:pPr>
              <w:spacing w:line="270" w:lineRule="atLeast"/>
              <w:jc w:val="both"/>
              <w:rPr>
                <w:sz w:val="28"/>
                <w:szCs w:val="28"/>
              </w:rPr>
            </w:pPr>
            <w:r w:rsidRPr="00BA4F77">
              <w:rPr>
                <w:sz w:val="28"/>
                <w:szCs w:val="28"/>
              </w:rPr>
              <w:t>1)</w:t>
            </w:r>
            <w:r w:rsidR="007E7580" w:rsidRPr="00BA4F77">
              <w:rPr>
                <w:sz w:val="28"/>
                <w:szCs w:val="28"/>
              </w:rPr>
              <w:t xml:space="preserve"> Ekonomikas ministrijas rīcībā nav </w:t>
            </w:r>
            <w:r w:rsidR="00611552">
              <w:rPr>
                <w:sz w:val="28"/>
                <w:szCs w:val="28"/>
              </w:rPr>
              <w:t xml:space="preserve">precīzas </w:t>
            </w:r>
            <w:r w:rsidR="007E7580" w:rsidRPr="00BA4F77">
              <w:rPr>
                <w:sz w:val="28"/>
                <w:szCs w:val="28"/>
              </w:rPr>
              <w:t xml:space="preserve">informācijas par komersantu skaitu, kas turpina sniegt kreditēšanas pakalpojumus patērētājiem bez speciālās atļaujas (licences) </w:t>
            </w:r>
            <w:r w:rsidR="005328CF">
              <w:rPr>
                <w:sz w:val="28"/>
                <w:szCs w:val="28"/>
              </w:rPr>
              <w:t>ārpus Rīga reģiona</w:t>
            </w:r>
            <w:r w:rsidRPr="00BA4F77">
              <w:rPr>
                <w:sz w:val="28"/>
                <w:szCs w:val="28"/>
              </w:rPr>
              <w:t>;</w:t>
            </w:r>
          </w:p>
          <w:p w:rsidR="004E2B63" w:rsidRPr="00BA4F77" w:rsidRDefault="004E2B63" w:rsidP="007E7580">
            <w:pPr>
              <w:spacing w:line="270" w:lineRule="atLeast"/>
              <w:jc w:val="both"/>
              <w:rPr>
                <w:sz w:val="28"/>
                <w:szCs w:val="28"/>
              </w:rPr>
            </w:pPr>
            <w:r w:rsidRPr="00BA4F77">
              <w:rPr>
                <w:sz w:val="28"/>
                <w:szCs w:val="28"/>
              </w:rPr>
              <w:t>2) pakalpojumu sniegšanas vietu skaits varētu būt lielāks, nekā komersantu skaits, kas šos pakalpojumus sniedz, ņemot vērā, ka viens komersants var sniegt pakalpojumu vairākās vietās;</w:t>
            </w:r>
          </w:p>
          <w:p w:rsidR="007E7580" w:rsidRPr="00BA4F77" w:rsidRDefault="007E7580" w:rsidP="007F3D1E">
            <w:pPr>
              <w:spacing w:line="270" w:lineRule="atLeast"/>
              <w:jc w:val="both"/>
              <w:rPr>
                <w:bCs/>
                <w:sz w:val="28"/>
                <w:szCs w:val="28"/>
              </w:rPr>
            </w:pPr>
            <w:r w:rsidRPr="00BA4F77">
              <w:rPr>
                <w:sz w:val="28"/>
                <w:szCs w:val="28"/>
              </w:rPr>
              <w:t xml:space="preserve"> varētu izdarīt pieņēmumu, ka šobrīd </w:t>
            </w:r>
            <w:r w:rsidR="004E2B63" w:rsidRPr="00BA4F77">
              <w:rPr>
                <w:sz w:val="28"/>
                <w:szCs w:val="28"/>
              </w:rPr>
              <w:t xml:space="preserve">patērētāju kreditēšanu bez speciālās licences piedāvā vismaz </w:t>
            </w:r>
            <w:r w:rsidR="004E2B63" w:rsidRPr="00BA4F77">
              <w:rPr>
                <w:sz w:val="28"/>
                <w:szCs w:val="28"/>
              </w:rPr>
              <w:lastRenderedPageBreak/>
              <w:t>100 pakalpojumu sniedzēju. Piemērojot šiem pakalpojumu sniedzējiem likumprojektā paredzēto maksimālo sodu par patērētāju pakalpojumu sniegšanu bez speciālās atļaujas (licences) 10 000 LVL apmērā, budžeta ieņēmumi no par minēto administratīvo pārkāpumu piemērotajiem naudas sodiem varētu sastādīt 1 000 000 LVL. Vienlaikus jāņem vērā administratīvo sodu piemērošanas prakse un LAPK paredzēto administratīvo atbildību mīkstinošo faktoru piemērošana, tāpēc reālie budžeta ienākumi praksē varētu atšķirties. Tāpat jāņem vērā, ka ne visiem bez licences strādājošiem patērētāju kreditētājiem būs iespējams piemērot administratīvo sodu</w:t>
            </w:r>
            <w:r w:rsidR="007F3D1E" w:rsidRPr="00BA4F77">
              <w:rPr>
                <w:sz w:val="28"/>
                <w:szCs w:val="28"/>
              </w:rPr>
              <w:t xml:space="preserve"> un, ņemot vērā uzraudzības iestāžu kapacitāti, nelikumīgās kreditēšanas konstatēšana un novēršana nebūs iespējama viena gada laikā, t</w:t>
            </w:r>
            <w:r w:rsidR="004E2B63" w:rsidRPr="00BA4F77">
              <w:rPr>
                <w:sz w:val="28"/>
                <w:szCs w:val="28"/>
              </w:rPr>
              <w:t>āpēc norādītā summa ir jāsadala proporcionāli</w:t>
            </w:r>
            <w:r w:rsidR="007F3D1E" w:rsidRPr="00BA4F77">
              <w:rPr>
                <w:sz w:val="28"/>
                <w:szCs w:val="28"/>
              </w:rPr>
              <w:t xml:space="preserve"> vairāku gadu griezumā.</w:t>
            </w: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2547B6" w:rsidP="00DF610F">
            <w:pPr>
              <w:pStyle w:val="NormalWeb"/>
              <w:rPr>
                <w:sz w:val="28"/>
                <w:szCs w:val="28"/>
              </w:rPr>
            </w:pPr>
            <w:r w:rsidRPr="00BA4F77">
              <w:rPr>
                <w:sz w:val="28"/>
                <w:szCs w:val="28"/>
              </w:rPr>
              <w:lastRenderedPageBreak/>
              <w:t>6.2. detalizēts izdevumu aprēķins</w:t>
            </w:r>
          </w:p>
        </w:tc>
        <w:tc>
          <w:tcPr>
            <w:tcW w:w="0" w:type="auto"/>
            <w:gridSpan w:val="5"/>
            <w:tcBorders>
              <w:top w:val="single" w:sz="4" w:space="0" w:color="auto"/>
              <w:left w:val="outset" w:sz="6" w:space="0" w:color="000000"/>
              <w:bottom w:val="outset" w:sz="6" w:space="0" w:color="000000"/>
              <w:right w:val="outset" w:sz="6" w:space="0" w:color="000000"/>
            </w:tcBorders>
            <w:vAlign w:val="center"/>
          </w:tcPr>
          <w:p w:rsidR="002547B6" w:rsidRPr="00BA4F77" w:rsidRDefault="002547B6" w:rsidP="002547B6">
            <w:pPr>
              <w:pStyle w:val="ListParagraph"/>
              <w:numPr>
                <w:ilvl w:val="0"/>
                <w:numId w:val="4"/>
              </w:numPr>
              <w:ind w:left="520"/>
              <w:jc w:val="both"/>
              <w:rPr>
                <w:rFonts w:ascii="Times New Roman" w:hAnsi="Times New Roman"/>
                <w:sz w:val="28"/>
                <w:szCs w:val="28"/>
              </w:rPr>
            </w:pPr>
          </w:p>
        </w:tc>
      </w:tr>
      <w:tr w:rsidR="002547B6" w:rsidRPr="00BA4F77" w:rsidTr="00653081">
        <w:tc>
          <w:tcPr>
            <w:tcW w:w="1904" w:type="pct"/>
            <w:tcBorders>
              <w:top w:val="outset" w:sz="6" w:space="0" w:color="000000"/>
              <w:left w:val="outset" w:sz="6" w:space="0" w:color="000000"/>
              <w:bottom w:val="outset" w:sz="6" w:space="0" w:color="000000"/>
              <w:right w:val="outset" w:sz="6" w:space="0" w:color="000000"/>
            </w:tcBorders>
          </w:tcPr>
          <w:p w:rsidR="002547B6" w:rsidRPr="00BA4F77" w:rsidRDefault="00F359AD" w:rsidP="00DF610F">
            <w:pPr>
              <w:pStyle w:val="NormalWeb"/>
              <w:rPr>
                <w:sz w:val="28"/>
                <w:szCs w:val="28"/>
              </w:rPr>
            </w:pPr>
            <w:r w:rsidRPr="00BA4F77">
              <w:rPr>
                <w:sz w:val="28"/>
                <w:szCs w:val="28"/>
              </w:rPr>
              <w:t>7. Cita informācija</w:t>
            </w:r>
          </w:p>
        </w:tc>
        <w:tc>
          <w:tcPr>
            <w:tcW w:w="0" w:type="auto"/>
            <w:gridSpan w:val="5"/>
            <w:tcBorders>
              <w:top w:val="outset" w:sz="6" w:space="0" w:color="000000"/>
              <w:left w:val="outset" w:sz="6" w:space="0" w:color="000000"/>
              <w:bottom w:val="outset" w:sz="6" w:space="0" w:color="000000"/>
              <w:right w:val="outset" w:sz="6" w:space="0" w:color="000000"/>
            </w:tcBorders>
          </w:tcPr>
          <w:p w:rsidR="002547B6" w:rsidRPr="00BA4F77" w:rsidRDefault="005A10BD" w:rsidP="00611552">
            <w:pPr>
              <w:pStyle w:val="NormalWeb"/>
              <w:spacing w:before="0" w:beforeAutospacing="0" w:after="0" w:afterAutospacing="0"/>
              <w:ind w:firstLine="638"/>
              <w:jc w:val="both"/>
              <w:rPr>
                <w:sz w:val="28"/>
                <w:szCs w:val="28"/>
              </w:rPr>
            </w:pPr>
            <w:r w:rsidRPr="00BA4F77">
              <w:rPr>
                <w:sz w:val="28"/>
                <w:szCs w:val="28"/>
              </w:rPr>
              <w:t>Šogad l</w:t>
            </w:r>
            <w:r w:rsidR="002547B6" w:rsidRPr="00BA4F77">
              <w:rPr>
                <w:sz w:val="28"/>
                <w:szCs w:val="28"/>
              </w:rPr>
              <w:t>ikumprojektā paredzēto uzdevumu izpilde tiks nodrošināta pi</w:t>
            </w:r>
            <w:r w:rsidRPr="00BA4F77">
              <w:rPr>
                <w:sz w:val="28"/>
                <w:szCs w:val="28"/>
              </w:rPr>
              <w:t xml:space="preserve">ešķirtā valsts budžeta ietvaros, līdz ar to likumprojektam nav tiešas ietekmes uz valsts un pašvaldību budžeta izdevumiem 2012.gadam. </w:t>
            </w:r>
          </w:p>
          <w:p w:rsidR="00767B64" w:rsidRPr="00BA4F77" w:rsidRDefault="00196D94" w:rsidP="00611552">
            <w:pPr>
              <w:tabs>
                <w:tab w:val="left" w:pos="851"/>
              </w:tabs>
              <w:ind w:right="113" w:firstLine="638"/>
              <w:jc w:val="both"/>
              <w:rPr>
                <w:sz w:val="28"/>
                <w:szCs w:val="28"/>
              </w:rPr>
            </w:pPr>
            <w:r w:rsidRPr="00BA4F77">
              <w:rPr>
                <w:sz w:val="28"/>
                <w:szCs w:val="28"/>
              </w:rPr>
              <w:t>Tomēr s</w:t>
            </w:r>
            <w:r w:rsidR="00767B64" w:rsidRPr="00BA4F77">
              <w:rPr>
                <w:sz w:val="28"/>
                <w:szCs w:val="28"/>
              </w:rPr>
              <w:t>aistībā ar Patērētāju tiesību aizsardzības centra pilnvaru un funkciju paplašināšanu attiecībā uz nelicencēto kreditēšanas pakalpojumu sniedzēju uzraudzību, nepieciešams izvērtēt iespēju turpmākajos periodos stiprināt Patērētāju tiesību aizsardzības centra kapacitāti, lai varētu efektīvi un pilnvērtīgi īstenot minēto funkciju.</w:t>
            </w:r>
            <w:r w:rsidR="005A10BD" w:rsidRPr="00BA4F77">
              <w:rPr>
                <w:sz w:val="28"/>
                <w:szCs w:val="28"/>
              </w:rPr>
              <w:t xml:space="preserve"> Ekonomikas ministrija norāda, ka 2011.gada 29.martā Ministru kabinets apstiprināja noteikumus Nr.245 „Noteikumi par kārtību, kādā izsniedz, pārreģistrē, aptur un anulē speciālo atļauju (licenci) patērētāju kreditēšanas pakalpojumu sniegšanai un maksā valsts nodevu par speciālās atļaujas (licences) izsniegšanu un pārreģistrāciju, kā arī prasībām kapitālsabiedrībai speciālās atļaujas (licences) saņemšanai", kuru anotācijā tika norādīti Patērētāju tiesību aizsardzības centram nepieciešamie izdevumi </w:t>
            </w:r>
            <w:proofErr w:type="spellStart"/>
            <w:r w:rsidR="005A10BD" w:rsidRPr="00BA4F77">
              <w:rPr>
                <w:sz w:val="28"/>
                <w:szCs w:val="28"/>
              </w:rPr>
              <w:t>nebanku</w:t>
            </w:r>
            <w:proofErr w:type="spellEnd"/>
            <w:r w:rsidR="005A10BD" w:rsidRPr="00BA4F77">
              <w:rPr>
                <w:sz w:val="28"/>
                <w:szCs w:val="28"/>
              </w:rPr>
              <w:t xml:space="preserve"> kreditēšanas tirgus uzraudzībai </w:t>
            </w:r>
            <w:smartTag w:uri="schemas-tilde-lv/tildestengine" w:element="currency2">
              <w:smartTagPr>
                <w:attr w:name="currency_text" w:val="Ls"/>
                <w:attr w:name="currency_value" w:val="91"/>
                <w:attr w:name="currency_key" w:val="LVL"/>
                <w:attr w:name="currency_id" w:val="48"/>
              </w:smartTagPr>
              <w:r w:rsidR="005A10BD" w:rsidRPr="00BA4F77">
                <w:rPr>
                  <w:rStyle w:val="normalchar1"/>
                  <w:rFonts w:ascii="Times New Roman" w:hAnsi="Times New Roman"/>
                  <w:b/>
                  <w:bCs/>
                  <w:sz w:val="28"/>
                  <w:szCs w:val="28"/>
                </w:rPr>
                <w:t>Ls 91</w:t>
              </w:r>
            </w:smartTag>
            <w:r w:rsidR="005A10BD" w:rsidRPr="00BA4F77">
              <w:rPr>
                <w:rStyle w:val="normalchar1"/>
                <w:rFonts w:ascii="Times New Roman" w:hAnsi="Times New Roman"/>
                <w:b/>
                <w:bCs/>
                <w:sz w:val="28"/>
                <w:szCs w:val="28"/>
              </w:rPr>
              <w:t xml:space="preserve"> 626,22 apmērā gadā. </w:t>
            </w:r>
            <w:r w:rsidR="00767B64" w:rsidRPr="00BA4F77">
              <w:rPr>
                <w:sz w:val="28"/>
                <w:szCs w:val="28"/>
              </w:rPr>
              <w:t xml:space="preserve">Ņemot </w:t>
            </w:r>
            <w:r w:rsidR="00767B64" w:rsidRPr="00BA4F77">
              <w:rPr>
                <w:sz w:val="28"/>
                <w:szCs w:val="28"/>
              </w:rPr>
              <w:lastRenderedPageBreak/>
              <w:t xml:space="preserve">vērā, ka </w:t>
            </w:r>
            <w:r w:rsidR="005A10BD" w:rsidRPr="00BA4F77">
              <w:rPr>
                <w:sz w:val="28"/>
                <w:szCs w:val="28"/>
              </w:rPr>
              <w:t xml:space="preserve">ieņēmumi no speciālās atļaujas (licences) pārreģistrācijas šogad un turpmākajos gados sastādīs vismaz Ls 460 000, kā arī to, ka likumprojekts paredz </w:t>
            </w:r>
            <w:r w:rsidR="00767B64" w:rsidRPr="00BA4F77">
              <w:rPr>
                <w:sz w:val="28"/>
                <w:szCs w:val="28"/>
              </w:rPr>
              <w:t>palielin</w:t>
            </w:r>
            <w:r w:rsidR="005A10BD" w:rsidRPr="00BA4F77">
              <w:rPr>
                <w:sz w:val="28"/>
                <w:szCs w:val="28"/>
              </w:rPr>
              <w:t>āt</w:t>
            </w:r>
            <w:r w:rsidR="00767B64" w:rsidRPr="00BA4F77">
              <w:rPr>
                <w:sz w:val="28"/>
                <w:szCs w:val="28"/>
              </w:rPr>
              <w:t xml:space="preserve"> </w:t>
            </w:r>
            <w:r w:rsidR="005A10BD" w:rsidRPr="00BA4F77">
              <w:rPr>
                <w:sz w:val="28"/>
                <w:szCs w:val="28"/>
              </w:rPr>
              <w:t>naudas sodus</w:t>
            </w:r>
            <w:r w:rsidR="00767B64" w:rsidRPr="00BA4F77">
              <w:rPr>
                <w:sz w:val="28"/>
                <w:szCs w:val="28"/>
              </w:rPr>
              <w:t xml:space="preserve"> </w:t>
            </w:r>
            <w:r w:rsidR="005A10BD" w:rsidRPr="00BA4F77">
              <w:rPr>
                <w:sz w:val="28"/>
                <w:szCs w:val="28"/>
              </w:rPr>
              <w:t xml:space="preserve">par administratīvajiem pārkāpumiem, </w:t>
            </w:r>
            <w:r w:rsidR="00767B64" w:rsidRPr="00BA4F77">
              <w:rPr>
                <w:sz w:val="28"/>
                <w:szCs w:val="28"/>
              </w:rPr>
              <w:t xml:space="preserve">izmaksas </w:t>
            </w:r>
            <w:r w:rsidR="005A10BD" w:rsidRPr="00BA4F77">
              <w:rPr>
                <w:sz w:val="28"/>
                <w:szCs w:val="28"/>
              </w:rPr>
              <w:t>var tikt</w:t>
            </w:r>
            <w:r w:rsidR="00767B64" w:rsidRPr="00BA4F77">
              <w:rPr>
                <w:sz w:val="28"/>
                <w:szCs w:val="28"/>
              </w:rPr>
              <w:t xml:space="preserve"> </w:t>
            </w:r>
            <w:r w:rsidRPr="00BA4F77">
              <w:rPr>
                <w:sz w:val="28"/>
                <w:szCs w:val="28"/>
              </w:rPr>
              <w:t xml:space="preserve">pilnībā </w:t>
            </w:r>
            <w:r w:rsidR="00767B64" w:rsidRPr="00BA4F77">
              <w:rPr>
                <w:sz w:val="28"/>
                <w:szCs w:val="28"/>
              </w:rPr>
              <w:t xml:space="preserve">segtas ar </w:t>
            </w:r>
            <w:r w:rsidR="005A10BD" w:rsidRPr="00BA4F77">
              <w:rPr>
                <w:sz w:val="28"/>
                <w:szCs w:val="28"/>
              </w:rPr>
              <w:t>ieņēmumi</w:t>
            </w:r>
            <w:r w:rsidRPr="00BA4F77">
              <w:rPr>
                <w:sz w:val="28"/>
                <w:szCs w:val="28"/>
              </w:rPr>
              <w:t>em</w:t>
            </w:r>
            <w:r w:rsidR="005A10BD" w:rsidRPr="00BA4F77">
              <w:rPr>
                <w:sz w:val="28"/>
                <w:szCs w:val="28"/>
              </w:rPr>
              <w:t xml:space="preserve"> no licencēšanas sistēmas valsts budžetā. </w:t>
            </w:r>
            <w:r w:rsidRPr="00BA4F77">
              <w:rPr>
                <w:sz w:val="28"/>
                <w:szCs w:val="28"/>
              </w:rPr>
              <w:t xml:space="preserve">Turklāt, jāņem vērā, ka pastiprinot </w:t>
            </w:r>
            <w:proofErr w:type="spellStart"/>
            <w:r w:rsidRPr="00BA4F77">
              <w:rPr>
                <w:sz w:val="28"/>
                <w:szCs w:val="28"/>
              </w:rPr>
              <w:t>nebanku</w:t>
            </w:r>
            <w:proofErr w:type="spellEnd"/>
            <w:r w:rsidRPr="00BA4F77">
              <w:rPr>
                <w:sz w:val="28"/>
                <w:szCs w:val="28"/>
              </w:rPr>
              <w:t xml:space="preserve"> kreditēšanas nozares uzraudzību, budžeta ieņēmumi palielināsies uz </w:t>
            </w:r>
            <w:r w:rsidR="00FF356A" w:rsidRPr="00BA4F77">
              <w:rPr>
                <w:sz w:val="28"/>
                <w:szCs w:val="28"/>
              </w:rPr>
              <w:t>konstatētajiem pārkāpumiem piemērotās administratīvās atbildības rēķina</w:t>
            </w:r>
            <w:r w:rsidRPr="00BA4F77">
              <w:rPr>
                <w:sz w:val="28"/>
                <w:szCs w:val="28"/>
              </w:rPr>
              <w:t xml:space="preserve">. </w:t>
            </w:r>
            <w:r w:rsidR="006B20D9">
              <w:rPr>
                <w:sz w:val="28"/>
                <w:szCs w:val="28"/>
              </w:rPr>
              <w:t xml:space="preserve">Izstrādājot valsts budžeta projektu 2013.gadam un turpmākajiem gadiem, Ekonomikas ministrijai sagatavos valsts budžeta pieprasījumu, lai nodrošinātu līdzekļu piešķiršanu Patērētāju tiesību aizsardzības centram </w:t>
            </w:r>
            <w:proofErr w:type="spellStart"/>
            <w:r w:rsidR="006B20D9">
              <w:rPr>
                <w:sz w:val="28"/>
                <w:szCs w:val="28"/>
              </w:rPr>
              <w:t>nebanku</w:t>
            </w:r>
            <w:proofErr w:type="spellEnd"/>
            <w:r w:rsidR="006B20D9">
              <w:rPr>
                <w:sz w:val="28"/>
                <w:szCs w:val="28"/>
              </w:rPr>
              <w:t xml:space="preserve"> kreditēšanas tirgus uzraudzībai.</w:t>
            </w:r>
          </w:p>
        </w:tc>
      </w:tr>
    </w:tbl>
    <w:p w:rsidR="000E3B01" w:rsidRPr="00BA4F77" w:rsidRDefault="000E3B01" w:rsidP="000E3B01">
      <w:pPr>
        <w:pStyle w:val="NormalWeb"/>
        <w:spacing w:before="0" w:beforeAutospacing="0" w:after="0" w:afterAutospacing="0"/>
        <w:rPr>
          <w:color w:val="000000"/>
          <w:sz w:val="28"/>
          <w:szCs w:val="28"/>
        </w:rPr>
      </w:pPr>
    </w:p>
    <w:tbl>
      <w:tblPr>
        <w:tblW w:w="5279"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412"/>
        <w:gridCol w:w="1709"/>
        <w:gridCol w:w="7520"/>
      </w:tblGrid>
      <w:tr w:rsidR="000E3B01" w:rsidRPr="00BA4F77" w:rsidTr="00DF610F">
        <w:tc>
          <w:tcPr>
            <w:tcW w:w="5000" w:type="pct"/>
            <w:gridSpan w:val="3"/>
            <w:tcBorders>
              <w:top w:val="single" w:sz="6" w:space="0" w:color="000000"/>
              <w:left w:val="single" w:sz="6" w:space="0" w:color="000000"/>
              <w:bottom w:val="outset" w:sz="6" w:space="0" w:color="000000"/>
              <w:right w:val="single" w:sz="6" w:space="0" w:color="000000"/>
            </w:tcBorders>
          </w:tcPr>
          <w:p w:rsidR="000E3B01" w:rsidRPr="00BA4F77" w:rsidRDefault="000E3B01" w:rsidP="00DF610F">
            <w:pPr>
              <w:pStyle w:val="NormalWeb"/>
              <w:jc w:val="center"/>
              <w:rPr>
                <w:b/>
                <w:bCs/>
                <w:sz w:val="28"/>
                <w:szCs w:val="28"/>
              </w:rPr>
            </w:pPr>
            <w:r w:rsidRPr="00BA4F77">
              <w:rPr>
                <w:b/>
                <w:bCs/>
                <w:sz w:val="28"/>
                <w:szCs w:val="28"/>
              </w:rPr>
              <w:t>IV. Tiesību akta projekta ietekme uz spēkā esošo tiesību normu sistēmu</w:t>
            </w:r>
          </w:p>
        </w:tc>
      </w:tr>
      <w:tr w:rsidR="000E3B01" w:rsidRPr="00BA4F77" w:rsidTr="00DF610F">
        <w:trPr>
          <w:trHeight w:val="658"/>
        </w:trPr>
        <w:tc>
          <w:tcPr>
            <w:tcW w:w="214" w:type="pct"/>
            <w:tcBorders>
              <w:top w:val="outset" w:sz="6" w:space="0" w:color="000000"/>
              <w:left w:val="outset" w:sz="6" w:space="0" w:color="000000"/>
              <w:bottom w:val="outset" w:sz="6" w:space="0" w:color="000000"/>
              <w:right w:val="outset" w:sz="6" w:space="0" w:color="000000"/>
            </w:tcBorders>
          </w:tcPr>
          <w:p w:rsidR="000E3B01" w:rsidRPr="00BA4F77" w:rsidRDefault="000E3B01" w:rsidP="00DF610F">
            <w:pPr>
              <w:pStyle w:val="NormalWeb"/>
              <w:rPr>
                <w:sz w:val="28"/>
                <w:szCs w:val="28"/>
              </w:rPr>
            </w:pPr>
            <w:r w:rsidRPr="00BA4F77">
              <w:rPr>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0E3B01" w:rsidRPr="00BA4F77" w:rsidRDefault="000E3B01" w:rsidP="00DF610F">
            <w:pPr>
              <w:pStyle w:val="NormalWeb"/>
              <w:rPr>
                <w:sz w:val="28"/>
                <w:szCs w:val="28"/>
              </w:rPr>
            </w:pPr>
            <w:r w:rsidRPr="00BA4F77">
              <w:rPr>
                <w:sz w:val="28"/>
                <w:szCs w:val="28"/>
              </w:rPr>
              <w:t>Nepieciešamie saistītie tiesību aktu projekti</w:t>
            </w:r>
          </w:p>
        </w:tc>
        <w:tc>
          <w:tcPr>
            <w:tcW w:w="3900" w:type="pct"/>
            <w:tcBorders>
              <w:top w:val="outset" w:sz="6" w:space="0" w:color="000000"/>
              <w:left w:val="outset" w:sz="6" w:space="0" w:color="000000"/>
              <w:bottom w:val="outset" w:sz="6" w:space="0" w:color="000000"/>
              <w:right w:val="outset" w:sz="6" w:space="0" w:color="000000"/>
            </w:tcBorders>
          </w:tcPr>
          <w:p w:rsidR="000E3B01" w:rsidRPr="00BA4F77" w:rsidRDefault="005328CF" w:rsidP="005328CF">
            <w:pPr>
              <w:pStyle w:val="NormalWeb"/>
              <w:tabs>
                <w:tab w:val="left" w:pos="190"/>
                <w:tab w:val="left" w:pos="332"/>
              </w:tabs>
              <w:spacing w:before="0" w:beforeAutospacing="0" w:after="0" w:afterAutospacing="0"/>
              <w:jc w:val="both"/>
              <w:rPr>
                <w:sz w:val="28"/>
                <w:szCs w:val="28"/>
              </w:rPr>
            </w:pPr>
            <w:r>
              <w:rPr>
                <w:sz w:val="28"/>
                <w:szCs w:val="28"/>
              </w:rPr>
              <w:t>Nav</w:t>
            </w:r>
            <w:r w:rsidR="000E3B01" w:rsidRPr="00BA4F77">
              <w:rPr>
                <w:sz w:val="28"/>
                <w:szCs w:val="28"/>
              </w:rPr>
              <w:t xml:space="preserve"> </w:t>
            </w:r>
          </w:p>
        </w:tc>
      </w:tr>
      <w:tr w:rsidR="000E3B01" w:rsidRPr="00BA4F77" w:rsidTr="00DF610F">
        <w:tc>
          <w:tcPr>
            <w:tcW w:w="214" w:type="pct"/>
            <w:tcBorders>
              <w:top w:val="outset" w:sz="6" w:space="0" w:color="000000"/>
              <w:left w:val="outset" w:sz="6" w:space="0" w:color="000000"/>
              <w:bottom w:val="outset" w:sz="6" w:space="0" w:color="000000"/>
              <w:right w:val="outset" w:sz="6" w:space="0" w:color="000000"/>
            </w:tcBorders>
          </w:tcPr>
          <w:p w:rsidR="000E3B01" w:rsidRPr="00BA4F77" w:rsidRDefault="000E3B01" w:rsidP="00DF610F">
            <w:pPr>
              <w:pStyle w:val="NormalWeb"/>
              <w:rPr>
                <w:sz w:val="28"/>
                <w:szCs w:val="28"/>
              </w:rPr>
            </w:pPr>
            <w:r w:rsidRPr="00BA4F77">
              <w:rPr>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0E3B01" w:rsidRPr="00BA4F77" w:rsidRDefault="000E3B01" w:rsidP="00DF610F">
            <w:pPr>
              <w:pStyle w:val="NormalWeb"/>
              <w:rPr>
                <w:sz w:val="28"/>
                <w:szCs w:val="28"/>
              </w:rPr>
            </w:pPr>
            <w:r w:rsidRPr="00BA4F77">
              <w:rPr>
                <w:sz w:val="28"/>
                <w:szCs w:val="28"/>
              </w:rPr>
              <w:t>Cita informācija</w:t>
            </w:r>
          </w:p>
        </w:tc>
        <w:tc>
          <w:tcPr>
            <w:tcW w:w="3900" w:type="pct"/>
            <w:tcBorders>
              <w:top w:val="outset" w:sz="6" w:space="0" w:color="000000"/>
              <w:left w:val="outset" w:sz="6" w:space="0" w:color="000000"/>
              <w:bottom w:val="outset" w:sz="6" w:space="0" w:color="000000"/>
              <w:right w:val="outset" w:sz="6" w:space="0" w:color="000000"/>
            </w:tcBorders>
          </w:tcPr>
          <w:p w:rsidR="000E3B01" w:rsidRPr="00BA4F77" w:rsidRDefault="000E3B01" w:rsidP="00DF610F">
            <w:pPr>
              <w:pStyle w:val="NormalWeb"/>
              <w:rPr>
                <w:sz w:val="28"/>
                <w:szCs w:val="28"/>
              </w:rPr>
            </w:pPr>
            <w:r w:rsidRPr="00BA4F77">
              <w:rPr>
                <w:sz w:val="28"/>
                <w:szCs w:val="28"/>
              </w:rPr>
              <w:t xml:space="preserve">Nav </w:t>
            </w:r>
          </w:p>
        </w:tc>
      </w:tr>
    </w:tbl>
    <w:p w:rsidR="000E3B01" w:rsidRPr="00BA4F77" w:rsidRDefault="000E3B01" w:rsidP="000E3B01">
      <w:pPr>
        <w:pStyle w:val="NormalWeb"/>
        <w:spacing w:before="0" w:beforeAutospacing="0" w:after="0" w:afterAutospacing="0"/>
        <w:rPr>
          <w:color w:val="000000"/>
          <w:sz w:val="28"/>
          <w:szCs w:val="28"/>
        </w:rPr>
      </w:pPr>
      <w:r w:rsidRPr="00BA4F77">
        <w:rPr>
          <w:sz w:val="28"/>
          <w:szCs w:val="28"/>
        </w:rPr>
        <w:t> </w:t>
      </w:r>
      <w:r w:rsidRPr="00BA4F77">
        <w:rPr>
          <w:color w:val="000000"/>
          <w:sz w:val="28"/>
          <w:szCs w:val="28"/>
        </w:rPr>
        <w:t xml:space="preserve">  </w:t>
      </w:r>
    </w:p>
    <w:tbl>
      <w:tblPr>
        <w:tblW w:w="9590" w:type="dxa"/>
        <w:jc w:val="center"/>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9590"/>
      </w:tblGrid>
      <w:tr w:rsidR="000E3B01" w:rsidRPr="00BA4F77" w:rsidTr="00DF610F">
        <w:trPr>
          <w:jc w:val="center"/>
        </w:trPr>
        <w:tc>
          <w:tcPr>
            <w:tcW w:w="9590" w:type="dxa"/>
            <w:tcBorders>
              <w:top w:val="single" w:sz="4" w:space="0" w:color="auto"/>
              <w:left w:val="single" w:sz="4" w:space="0" w:color="auto"/>
              <w:bottom w:val="single" w:sz="4" w:space="0" w:color="auto"/>
              <w:right w:val="single" w:sz="4" w:space="0" w:color="auto"/>
            </w:tcBorders>
          </w:tcPr>
          <w:p w:rsidR="000E3B01" w:rsidRPr="00BA4F77" w:rsidRDefault="000E3B01" w:rsidP="00DF610F">
            <w:pPr>
              <w:pStyle w:val="naisnod"/>
              <w:spacing w:before="0" w:after="0"/>
              <w:ind w:left="57" w:right="57"/>
              <w:rPr>
                <w:bCs w:val="0"/>
                <w:sz w:val="28"/>
                <w:szCs w:val="28"/>
              </w:rPr>
            </w:pPr>
            <w:r w:rsidRPr="00BA4F77">
              <w:rPr>
                <w:bCs w:val="0"/>
                <w:sz w:val="28"/>
                <w:szCs w:val="28"/>
              </w:rPr>
              <w:t>V. Tiesību akta projekta atbilstība Latvijas Republikas starptautiskajām saistībām</w:t>
            </w:r>
          </w:p>
        </w:tc>
      </w:tr>
      <w:tr w:rsidR="000E3B01" w:rsidRPr="00BA4F77" w:rsidTr="00DF610F">
        <w:trPr>
          <w:jc w:val="center"/>
        </w:trPr>
        <w:tc>
          <w:tcPr>
            <w:tcW w:w="9590" w:type="dxa"/>
            <w:tcBorders>
              <w:top w:val="single" w:sz="4" w:space="0" w:color="auto"/>
            </w:tcBorders>
          </w:tcPr>
          <w:p w:rsidR="000E3B01" w:rsidRPr="00BA4F77" w:rsidRDefault="000E3B01" w:rsidP="00DF610F">
            <w:pPr>
              <w:pStyle w:val="naisnod"/>
              <w:spacing w:before="0" w:after="0"/>
              <w:ind w:left="57" w:right="57"/>
              <w:rPr>
                <w:bCs w:val="0"/>
                <w:sz w:val="28"/>
                <w:szCs w:val="28"/>
              </w:rPr>
            </w:pPr>
            <w:r w:rsidRPr="00BA4F77">
              <w:rPr>
                <w:b w:val="0"/>
                <w:i/>
                <w:color w:val="000000"/>
                <w:sz w:val="28"/>
                <w:szCs w:val="28"/>
              </w:rPr>
              <w:t>Projekts šo jomu neskar</w:t>
            </w:r>
          </w:p>
        </w:tc>
      </w:tr>
    </w:tbl>
    <w:p w:rsidR="000E3B01" w:rsidRPr="00BA4F77" w:rsidRDefault="000E3B01" w:rsidP="000E3B01">
      <w:pPr>
        <w:pStyle w:val="naisnod"/>
        <w:spacing w:before="0" w:after="0"/>
        <w:ind w:left="57" w:right="57"/>
        <w:rPr>
          <w:bCs w:val="0"/>
          <w:sz w:val="28"/>
          <w:szCs w:val="28"/>
        </w:rPr>
      </w:pPr>
    </w:p>
    <w:tbl>
      <w:tblPr>
        <w:tblStyle w:val="TableGrid"/>
        <w:tblW w:w="9640" w:type="dxa"/>
        <w:tblInd w:w="-176" w:type="dxa"/>
        <w:tblLook w:val="04A0"/>
      </w:tblPr>
      <w:tblGrid>
        <w:gridCol w:w="426"/>
        <w:gridCol w:w="2693"/>
        <w:gridCol w:w="6521"/>
      </w:tblGrid>
      <w:tr w:rsidR="002547B6" w:rsidRPr="00BA4F77" w:rsidTr="00DF610F">
        <w:tc>
          <w:tcPr>
            <w:tcW w:w="9640" w:type="dxa"/>
            <w:gridSpan w:val="3"/>
          </w:tcPr>
          <w:p w:rsidR="002547B6" w:rsidRPr="00BA4F77" w:rsidRDefault="002547B6" w:rsidP="00DF610F">
            <w:pPr>
              <w:pStyle w:val="naisnod"/>
              <w:spacing w:before="0" w:after="0"/>
              <w:ind w:left="57" w:right="57"/>
              <w:rPr>
                <w:sz w:val="28"/>
                <w:szCs w:val="28"/>
              </w:rPr>
            </w:pPr>
            <w:r w:rsidRPr="00BA4F77">
              <w:rPr>
                <w:bCs w:val="0"/>
                <w:sz w:val="28"/>
                <w:szCs w:val="28"/>
              </w:rPr>
              <w:t>VI. Sabiedrības līdzdalība un šīs līdzdalības rezultāti</w:t>
            </w:r>
          </w:p>
        </w:tc>
      </w:tr>
      <w:tr w:rsidR="002547B6" w:rsidRPr="00BA4F77" w:rsidTr="00DF610F">
        <w:tc>
          <w:tcPr>
            <w:tcW w:w="426" w:type="dxa"/>
          </w:tcPr>
          <w:p w:rsidR="002547B6" w:rsidRPr="00BA4F77" w:rsidRDefault="002547B6" w:rsidP="00DF610F">
            <w:pPr>
              <w:pStyle w:val="naisf"/>
              <w:spacing w:before="0" w:after="0"/>
              <w:ind w:firstLine="0"/>
              <w:rPr>
                <w:sz w:val="28"/>
                <w:szCs w:val="28"/>
              </w:rPr>
            </w:pPr>
            <w:r w:rsidRPr="00BA4F77">
              <w:rPr>
                <w:sz w:val="28"/>
                <w:szCs w:val="28"/>
              </w:rPr>
              <w:t>1.</w:t>
            </w:r>
          </w:p>
        </w:tc>
        <w:tc>
          <w:tcPr>
            <w:tcW w:w="2693" w:type="dxa"/>
          </w:tcPr>
          <w:p w:rsidR="002547B6" w:rsidRPr="00BA4F77" w:rsidRDefault="002547B6" w:rsidP="00DF610F">
            <w:pPr>
              <w:pStyle w:val="tvhtml"/>
              <w:rPr>
                <w:rFonts w:ascii="Times New Roman" w:hAnsi="Times New Roman"/>
                <w:sz w:val="28"/>
                <w:szCs w:val="28"/>
              </w:rPr>
            </w:pPr>
            <w:r w:rsidRPr="00BA4F77">
              <w:rPr>
                <w:rFonts w:ascii="Times New Roman" w:hAnsi="Times New Roman"/>
                <w:sz w:val="28"/>
                <w:szCs w:val="28"/>
              </w:rPr>
              <w:t>Sabiedrības informēšana par projekta izstrādes uzsākšanu</w:t>
            </w:r>
          </w:p>
        </w:tc>
        <w:tc>
          <w:tcPr>
            <w:tcW w:w="6521" w:type="dxa"/>
          </w:tcPr>
          <w:p w:rsidR="002547B6" w:rsidRPr="00BA4F77" w:rsidRDefault="002547B6" w:rsidP="00DF610F">
            <w:pPr>
              <w:pStyle w:val="naisf"/>
              <w:spacing w:before="0" w:after="0"/>
              <w:ind w:firstLine="0"/>
              <w:rPr>
                <w:bCs/>
                <w:sz w:val="28"/>
                <w:szCs w:val="28"/>
              </w:rPr>
            </w:pPr>
            <w:r w:rsidRPr="00BA4F77">
              <w:rPr>
                <w:sz w:val="28"/>
                <w:szCs w:val="28"/>
              </w:rPr>
              <w:t xml:space="preserve">Likumprojekta izstrādē tika iesaistītas nevalstiskās organizācijas, kuru viedoklis tika apspriests Ekonomikas ministrijas rīkotajā sanāksmē 27.janvārī, kurā piedalījās </w:t>
            </w:r>
            <w:r w:rsidRPr="00BA4F77">
              <w:rPr>
                <w:bCs/>
                <w:sz w:val="28"/>
                <w:szCs w:val="28"/>
              </w:rPr>
              <w:t xml:space="preserve"> Latvijas Lombardu asociācija, Latvijas Darba devēju konfederācija, Latvijas Ātro kredītu devēju asociācija, Latvijas Hipotekāro </w:t>
            </w:r>
            <w:proofErr w:type="spellStart"/>
            <w:r w:rsidRPr="00BA4F77">
              <w:rPr>
                <w:bCs/>
                <w:sz w:val="28"/>
                <w:szCs w:val="28"/>
              </w:rPr>
              <w:t>nebanku</w:t>
            </w:r>
            <w:proofErr w:type="spellEnd"/>
            <w:r w:rsidRPr="00BA4F77">
              <w:rPr>
                <w:bCs/>
                <w:sz w:val="28"/>
                <w:szCs w:val="28"/>
              </w:rPr>
              <w:t xml:space="preserve"> aizdevēju asociācija, Latvijas Līzinga devēju asociācija un SIA „Lombards24.lv” pārstāvji. Minētajām nevalstiskajām organizācijām, kā arī Latvijas </w:t>
            </w:r>
            <w:proofErr w:type="spellStart"/>
            <w:r w:rsidRPr="00BA4F77">
              <w:rPr>
                <w:bCs/>
                <w:sz w:val="28"/>
                <w:szCs w:val="28"/>
              </w:rPr>
              <w:t>Nebanku</w:t>
            </w:r>
            <w:proofErr w:type="spellEnd"/>
            <w:r w:rsidRPr="00BA4F77">
              <w:rPr>
                <w:bCs/>
                <w:sz w:val="28"/>
                <w:szCs w:val="28"/>
              </w:rPr>
              <w:t xml:space="preserve"> kreditētāju asociācijai, Latvijas Komercbanku asociācijai un Patērētāju interešu aizstāvības asociācijai, likumprojekts nosūtīts arī elektroniskai saskaņošanai š.g. 30.janvārī.</w:t>
            </w:r>
          </w:p>
        </w:tc>
      </w:tr>
      <w:tr w:rsidR="002547B6" w:rsidRPr="00BA4F77" w:rsidTr="00DF610F">
        <w:tc>
          <w:tcPr>
            <w:tcW w:w="426" w:type="dxa"/>
          </w:tcPr>
          <w:p w:rsidR="002547B6" w:rsidRPr="00BA4F77" w:rsidRDefault="002547B6" w:rsidP="00DF610F">
            <w:pPr>
              <w:pStyle w:val="naisf"/>
              <w:spacing w:before="0" w:after="0"/>
              <w:ind w:firstLine="0"/>
              <w:rPr>
                <w:sz w:val="28"/>
                <w:szCs w:val="28"/>
              </w:rPr>
            </w:pPr>
            <w:r w:rsidRPr="00BA4F77">
              <w:rPr>
                <w:sz w:val="28"/>
                <w:szCs w:val="28"/>
              </w:rPr>
              <w:lastRenderedPageBreak/>
              <w:t>2.</w:t>
            </w:r>
          </w:p>
        </w:tc>
        <w:tc>
          <w:tcPr>
            <w:tcW w:w="2693" w:type="dxa"/>
          </w:tcPr>
          <w:p w:rsidR="002547B6" w:rsidRPr="00BA4F77" w:rsidRDefault="002547B6" w:rsidP="00DF610F">
            <w:pPr>
              <w:pStyle w:val="tvhtml"/>
              <w:rPr>
                <w:rFonts w:ascii="Times New Roman" w:hAnsi="Times New Roman"/>
                <w:sz w:val="28"/>
                <w:szCs w:val="28"/>
              </w:rPr>
            </w:pPr>
            <w:r w:rsidRPr="00BA4F77">
              <w:rPr>
                <w:rFonts w:ascii="Times New Roman" w:hAnsi="Times New Roman"/>
                <w:sz w:val="28"/>
                <w:szCs w:val="28"/>
              </w:rPr>
              <w:t>Sabiedrības līdzdalība projekta izstrādē</w:t>
            </w:r>
          </w:p>
        </w:tc>
        <w:tc>
          <w:tcPr>
            <w:tcW w:w="6521" w:type="dxa"/>
          </w:tcPr>
          <w:p w:rsidR="002547B6" w:rsidRPr="00BA4F77" w:rsidRDefault="002547B6" w:rsidP="00DF610F">
            <w:pPr>
              <w:pStyle w:val="naisf"/>
              <w:spacing w:before="0" w:after="0"/>
              <w:ind w:firstLine="0"/>
              <w:rPr>
                <w:sz w:val="28"/>
                <w:szCs w:val="28"/>
              </w:rPr>
            </w:pPr>
            <w:r w:rsidRPr="00BA4F77">
              <w:rPr>
                <w:sz w:val="28"/>
                <w:szCs w:val="28"/>
              </w:rPr>
              <w:t xml:space="preserve">Likumprojekta izstrādes gaitā konsultācijas ir notikušas ar  </w:t>
            </w:r>
            <w:r w:rsidRPr="00BA4F77">
              <w:rPr>
                <w:bCs/>
                <w:sz w:val="28"/>
                <w:szCs w:val="28"/>
              </w:rPr>
              <w:t xml:space="preserve">Latvijas Lombardu asociāciju, Latvijas Darba devēju konfederāciju, Latvijas Ātro kredītu devēju asociāciju, Latvijas Hipotekāro </w:t>
            </w:r>
            <w:proofErr w:type="spellStart"/>
            <w:r w:rsidRPr="00BA4F77">
              <w:rPr>
                <w:bCs/>
                <w:sz w:val="28"/>
                <w:szCs w:val="28"/>
              </w:rPr>
              <w:t>nebanku</w:t>
            </w:r>
            <w:proofErr w:type="spellEnd"/>
            <w:r w:rsidRPr="00BA4F77">
              <w:rPr>
                <w:bCs/>
                <w:sz w:val="28"/>
                <w:szCs w:val="28"/>
              </w:rPr>
              <w:t xml:space="preserve"> aizdevēju asociāciju, Latvijas Līzinga devēju asociāciju, Latvijas Komercbanku asociāciju un SIA „Lombards24.lv”. Minētās organizācijas izvēlētas konsultāciju veikšanai, jo ir tikušas iesaistītas </w:t>
            </w:r>
            <w:proofErr w:type="spellStart"/>
            <w:r w:rsidRPr="00BA4F77">
              <w:rPr>
                <w:bCs/>
                <w:sz w:val="28"/>
                <w:szCs w:val="28"/>
              </w:rPr>
              <w:t>nebanku</w:t>
            </w:r>
            <w:proofErr w:type="spellEnd"/>
            <w:r w:rsidRPr="00BA4F77">
              <w:rPr>
                <w:bCs/>
                <w:sz w:val="28"/>
                <w:szCs w:val="28"/>
              </w:rPr>
              <w:t xml:space="preserve"> kreditēšanas pakalpojumu sniedzēju licencēšanas sistēmas izstrādē un pārstāv likumīgi strādājošo </w:t>
            </w:r>
            <w:proofErr w:type="spellStart"/>
            <w:r w:rsidRPr="00BA4F77">
              <w:rPr>
                <w:bCs/>
                <w:sz w:val="28"/>
                <w:szCs w:val="28"/>
              </w:rPr>
              <w:t>nebanku</w:t>
            </w:r>
            <w:proofErr w:type="spellEnd"/>
            <w:r w:rsidRPr="00BA4F77">
              <w:rPr>
                <w:bCs/>
                <w:sz w:val="28"/>
                <w:szCs w:val="28"/>
              </w:rPr>
              <w:t xml:space="preserve"> tirgus patērētāju kreditēšanas pakalpojumu sniedzējus, kas darbojas dažādās jomās, aptverot populārāko patērētāju kreditēšanas pakalpojumu klāstu.</w:t>
            </w:r>
            <w:r w:rsidRPr="00BA4F77">
              <w:rPr>
                <w:sz w:val="28"/>
                <w:szCs w:val="28"/>
              </w:rPr>
              <w:t xml:space="preserve"> </w:t>
            </w:r>
          </w:p>
          <w:p w:rsidR="002547B6" w:rsidRPr="00BA4F77" w:rsidRDefault="002547B6" w:rsidP="00DF610F">
            <w:pPr>
              <w:pStyle w:val="naisf"/>
              <w:spacing w:before="0" w:after="0"/>
              <w:ind w:firstLine="0"/>
              <w:rPr>
                <w:sz w:val="28"/>
                <w:szCs w:val="28"/>
              </w:rPr>
            </w:pPr>
            <w:r w:rsidRPr="00BA4F77">
              <w:rPr>
                <w:sz w:val="28"/>
                <w:szCs w:val="28"/>
              </w:rPr>
              <w:t>Kā minēts iepriekš, konsultācijas ar nozares NVO pārstāvjiem notikušas gan klātienē, gan elektroniski, lūdzot sniegt atzinumus un viedokļus par piedāvātajām tiesību aktu projektu redakcijām.</w:t>
            </w:r>
          </w:p>
        </w:tc>
      </w:tr>
      <w:tr w:rsidR="002547B6" w:rsidRPr="00BA4F77" w:rsidTr="00DF610F">
        <w:tc>
          <w:tcPr>
            <w:tcW w:w="426" w:type="dxa"/>
          </w:tcPr>
          <w:p w:rsidR="002547B6" w:rsidRPr="00BA4F77" w:rsidRDefault="002547B6" w:rsidP="00DF610F">
            <w:pPr>
              <w:pStyle w:val="naisf"/>
              <w:spacing w:before="0" w:after="0"/>
              <w:ind w:firstLine="0"/>
              <w:rPr>
                <w:sz w:val="28"/>
                <w:szCs w:val="28"/>
              </w:rPr>
            </w:pPr>
            <w:r w:rsidRPr="00BA4F77">
              <w:rPr>
                <w:sz w:val="28"/>
                <w:szCs w:val="28"/>
              </w:rPr>
              <w:t>3.</w:t>
            </w:r>
          </w:p>
        </w:tc>
        <w:tc>
          <w:tcPr>
            <w:tcW w:w="2693" w:type="dxa"/>
          </w:tcPr>
          <w:p w:rsidR="002547B6" w:rsidRPr="00BA4F77" w:rsidRDefault="002547B6" w:rsidP="00DF610F">
            <w:pPr>
              <w:pStyle w:val="tvhtml"/>
              <w:rPr>
                <w:rFonts w:ascii="Times New Roman" w:hAnsi="Times New Roman"/>
                <w:sz w:val="28"/>
                <w:szCs w:val="28"/>
              </w:rPr>
            </w:pPr>
            <w:r w:rsidRPr="00BA4F77">
              <w:rPr>
                <w:rFonts w:ascii="Times New Roman" w:hAnsi="Times New Roman"/>
                <w:sz w:val="28"/>
                <w:szCs w:val="28"/>
              </w:rPr>
              <w:t>Sabiedrības līdzdalības rezultāti</w:t>
            </w:r>
          </w:p>
        </w:tc>
        <w:tc>
          <w:tcPr>
            <w:tcW w:w="6521" w:type="dxa"/>
          </w:tcPr>
          <w:p w:rsidR="002547B6" w:rsidRDefault="002547B6" w:rsidP="00DF610F">
            <w:pPr>
              <w:jc w:val="both"/>
              <w:rPr>
                <w:sz w:val="28"/>
                <w:szCs w:val="28"/>
              </w:rPr>
            </w:pPr>
            <w:r w:rsidRPr="00BA4F77">
              <w:rPr>
                <w:sz w:val="28"/>
                <w:szCs w:val="28"/>
              </w:rPr>
              <w:t xml:space="preserve">Kopumā sabiedrības pārstāvji izteikuši atbalstu Ekonomikas ministrijas sagatavotajam likumprojektam, vienlaikus norādot, ka </w:t>
            </w:r>
            <w:proofErr w:type="spellStart"/>
            <w:r w:rsidRPr="00BA4F77">
              <w:rPr>
                <w:sz w:val="28"/>
                <w:szCs w:val="28"/>
              </w:rPr>
              <w:t>nebanku</w:t>
            </w:r>
            <w:proofErr w:type="spellEnd"/>
            <w:r w:rsidRPr="00BA4F77">
              <w:rPr>
                <w:sz w:val="28"/>
                <w:szCs w:val="28"/>
              </w:rPr>
              <w:t xml:space="preserve"> kreditēšanas tirgus sakārtošanai likumprojekts praktisku labumu nedos, jo tas neierobežo nelicencēto kredīta devēju darbību.</w:t>
            </w:r>
            <w:r w:rsidR="00611552">
              <w:rPr>
                <w:sz w:val="28"/>
                <w:szCs w:val="28"/>
              </w:rPr>
              <w:t xml:space="preserve"> </w:t>
            </w:r>
          </w:p>
          <w:p w:rsidR="002547B6" w:rsidRPr="00BA4F77" w:rsidRDefault="005328CF" w:rsidP="00DF610F">
            <w:pPr>
              <w:jc w:val="both"/>
              <w:rPr>
                <w:sz w:val="28"/>
                <w:szCs w:val="28"/>
              </w:rPr>
            </w:pPr>
            <w:r>
              <w:rPr>
                <w:sz w:val="28"/>
                <w:szCs w:val="28"/>
              </w:rPr>
              <w:t xml:space="preserve">Latvijas Lombardu asociācija un </w:t>
            </w:r>
            <w:r w:rsidR="002547B6" w:rsidRPr="00BA4F77">
              <w:rPr>
                <w:sz w:val="28"/>
                <w:szCs w:val="28"/>
              </w:rPr>
              <w:t>Latvijas Komercbanku asociācija atbalsta likumprojektu.</w:t>
            </w:r>
          </w:p>
        </w:tc>
      </w:tr>
      <w:tr w:rsidR="002547B6" w:rsidRPr="00BA4F77" w:rsidTr="00DF610F">
        <w:tc>
          <w:tcPr>
            <w:tcW w:w="426" w:type="dxa"/>
          </w:tcPr>
          <w:p w:rsidR="002547B6" w:rsidRPr="00BA4F77" w:rsidRDefault="002547B6" w:rsidP="00DF610F">
            <w:pPr>
              <w:pStyle w:val="naisf"/>
              <w:spacing w:before="0" w:after="0"/>
              <w:ind w:firstLine="0"/>
              <w:rPr>
                <w:sz w:val="28"/>
                <w:szCs w:val="28"/>
              </w:rPr>
            </w:pPr>
            <w:r w:rsidRPr="00BA4F77">
              <w:rPr>
                <w:sz w:val="28"/>
                <w:szCs w:val="28"/>
              </w:rPr>
              <w:t>4.</w:t>
            </w:r>
          </w:p>
        </w:tc>
        <w:tc>
          <w:tcPr>
            <w:tcW w:w="2693" w:type="dxa"/>
          </w:tcPr>
          <w:p w:rsidR="002547B6" w:rsidRPr="00BA4F77" w:rsidRDefault="002547B6" w:rsidP="00DF610F">
            <w:pPr>
              <w:pStyle w:val="tvhtml"/>
              <w:rPr>
                <w:rFonts w:ascii="Times New Roman" w:hAnsi="Times New Roman"/>
                <w:sz w:val="28"/>
                <w:szCs w:val="28"/>
              </w:rPr>
            </w:pPr>
            <w:r w:rsidRPr="00BA4F77">
              <w:rPr>
                <w:rFonts w:ascii="Times New Roman" w:hAnsi="Times New Roman"/>
                <w:sz w:val="28"/>
                <w:szCs w:val="28"/>
              </w:rPr>
              <w:t>Saeimas un ekspertu līdzdalība</w:t>
            </w:r>
          </w:p>
        </w:tc>
        <w:tc>
          <w:tcPr>
            <w:tcW w:w="6521" w:type="dxa"/>
          </w:tcPr>
          <w:p w:rsidR="002547B6" w:rsidRPr="00BA4F77" w:rsidRDefault="002547B6" w:rsidP="00DF610F">
            <w:pPr>
              <w:pStyle w:val="naisf"/>
              <w:spacing w:before="0" w:after="0"/>
              <w:ind w:firstLine="0"/>
              <w:rPr>
                <w:sz w:val="28"/>
                <w:szCs w:val="28"/>
              </w:rPr>
            </w:pPr>
            <w:r w:rsidRPr="00BA4F77">
              <w:rPr>
                <w:sz w:val="28"/>
                <w:szCs w:val="28"/>
              </w:rPr>
              <w:t>Konsultācijas ar Saeimu vai tās ekspertiem nav notikušas.</w:t>
            </w:r>
          </w:p>
        </w:tc>
      </w:tr>
      <w:tr w:rsidR="002547B6" w:rsidRPr="00BA4F77" w:rsidTr="00DF610F">
        <w:tc>
          <w:tcPr>
            <w:tcW w:w="426" w:type="dxa"/>
          </w:tcPr>
          <w:p w:rsidR="002547B6" w:rsidRPr="00BA4F77" w:rsidRDefault="002547B6" w:rsidP="00DF610F">
            <w:pPr>
              <w:pStyle w:val="naisf"/>
              <w:spacing w:before="0" w:after="0"/>
              <w:ind w:firstLine="0"/>
              <w:rPr>
                <w:sz w:val="28"/>
                <w:szCs w:val="28"/>
              </w:rPr>
            </w:pPr>
            <w:r w:rsidRPr="00BA4F77">
              <w:rPr>
                <w:sz w:val="28"/>
                <w:szCs w:val="28"/>
              </w:rPr>
              <w:t>5.</w:t>
            </w:r>
          </w:p>
        </w:tc>
        <w:tc>
          <w:tcPr>
            <w:tcW w:w="2693" w:type="dxa"/>
          </w:tcPr>
          <w:p w:rsidR="002547B6" w:rsidRPr="00BA4F77" w:rsidRDefault="002547B6" w:rsidP="00DF610F">
            <w:pPr>
              <w:pStyle w:val="tvhtml"/>
              <w:rPr>
                <w:rFonts w:ascii="Times New Roman" w:hAnsi="Times New Roman"/>
                <w:sz w:val="28"/>
                <w:szCs w:val="28"/>
              </w:rPr>
            </w:pPr>
            <w:r w:rsidRPr="00BA4F77">
              <w:rPr>
                <w:rFonts w:ascii="Times New Roman" w:hAnsi="Times New Roman"/>
                <w:sz w:val="28"/>
                <w:szCs w:val="28"/>
              </w:rPr>
              <w:t>Cita informācija</w:t>
            </w:r>
          </w:p>
        </w:tc>
        <w:tc>
          <w:tcPr>
            <w:tcW w:w="6521" w:type="dxa"/>
          </w:tcPr>
          <w:p w:rsidR="002547B6" w:rsidRPr="00BA4F77" w:rsidRDefault="002547B6" w:rsidP="00DF610F">
            <w:pPr>
              <w:pStyle w:val="naisf"/>
              <w:spacing w:before="0" w:after="0"/>
              <w:ind w:firstLine="0"/>
              <w:rPr>
                <w:sz w:val="28"/>
                <w:szCs w:val="28"/>
              </w:rPr>
            </w:pPr>
            <w:r w:rsidRPr="00BA4F77">
              <w:rPr>
                <w:sz w:val="28"/>
                <w:szCs w:val="28"/>
              </w:rPr>
              <w:t>Nav.</w:t>
            </w:r>
          </w:p>
        </w:tc>
      </w:tr>
    </w:tbl>
    <w:p w:rsidR="000E3B01" w:rsidRPr="00BA4F77" w:rsidRDefault="000E3B01" w:rsidP="000E3B01">
      <w:pPr>
        <w:pStyle w:val="naisf"/>
        <w:spacing w:before="0" w:after="0"/>
        <w:rPr>
          <w:sz w:val="28"/>
          <w:szCs w:val="28"/>
        </w:rPr>
      </w:pPr>
    </w:p>
    <w:tbl>
      <w:tblPr>
        <w:tblW w:w="956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50"/>
        <w:gridCol w:w="3057"/>
        <w:gridCol w:w="5958"/>
      </w:tblGrid>
      <w:tr w:rsidR="000E3B01" w:rsidRPr="00BA4F77" w:rsidTr="00DF610F">
        <w:trPr>
          <w:jc w:val="center"/>
        </w:trPr>
        <w:tc>
          <w:tcPr>
            <w:tcW w:w="9565" w:type="dxa"/>
            <w:gridSpan w:val="3"/>
            <w:tcBorders>
              <w:top w:val="single" w:sz="4" w:space="0" w:color="auto"/>
            </w:tcBorders>
          </w:tcPr>
          <w:p w:rsidR="000E3B01" w:rsidRPr="00BA4F77" w:rsidRDefault="000E3B01" w:rsidP="00DF610F">
            <w:pPr>
              <w:pStyle w:val="naisnod"/>
              <w:spacing w:before="0" w:after="0"/>
              <w:ind w:left="57" w:right="57"/>
              <w:rPr>
                <w:sz w:val="28"/>
                <w:szCs w:val="28"/>
              </w:rPr>
            </w:pPr>
            <w:r w:rsidRPr="00BA4F77">
              <w:rPr>
                <w:sz w:val="28"/>
                <w:szCs w:val="28"/>
              </w:rPr>
              <w:t>VII. Tiesību akta projekta izpildes nodrošināšana un tās ietekme uz institūcijām</w:t>
            </w:r>
          </w:p>
        </w:tc>
      </w:tr>
      <w:tr w:rsidR="000E3B01" w:rsidRPr="00BA4F77" w:rsidTr="00DF610F">
        <w:trPr>
          <w:trHeight w:val="427"/>
          <w:jc w:val="center"/>
        </w:trPr>
        <w:tc>
          <w:tcPr>
            <w:tcW w:w="550" w:type="dxa"/>
          </w:tcPr>
          <w:p w:rsidR="000E3B01" w:rsidRPr="00BA4F77" w:rsidRDefault="000E3B01" w:rsidP="00DF610F">
            <w:pPr>
              <w:pStyle w:val="naisnod"/>
              <w:spacing w:before="0" w:after="0"/>
              <w:ind w:left="57" w:right="57"/>
              <w:jc w:val="left"/>
              <w:rPr>
                <w:b w:val="0"/>
                <w:sz w:val="28"/>
                <w:szCs w:val="28"/>
              </w:rPr>
            </w:pPr>
            <w:r w:rsidRPr="00BA4F77">
              <w:rPr>
                <w:b w:val="0"/>
                <w:sz w:val="28"/>
                <w:szCs w:val="28"/>
              </w:rPr>
              <w:t>1.</w:t>
            </w:r>
          </w:p>
        </w:tc>
        <w:tc>
          <w:tcPr>
            <w:tcW w:w="3057" w:type="dxa"/>
          </w:tcPr>
          <w:p w:rsidR="000E3B01" w:rsidRPr="00BA4F77" w:rsidRDefault="000E3B01" w:rsidP="00DF610F">
            <w:pPr>
              <w:pStyle w:val="naisf"/>
              <w:spacing w:before="0" w:after="0"/>
              <w:ind w:left="57" w:right="57" w:firstLine="0"/>
              <w:jc w:val="left"/>
              <w:rPr>
                <w:sz w:val="28"/>
                <w:szCs w:val="28"/>
              </w:rPr>
            </w:pPr>
            <w:r w:rsidRPr="00BA4F77">
              <w:rPr>
                <w:sz w:val="28"/>
                <w:szCs w:val="28"/>
              </w:rPr>
              <w:t xml:space="preserve">Projekta izpildē iesaistītās institūcijas </w:t>
            </w:r>
          </w:p>
        </w:tc>
        <w:tc>
          <w:tcPr>
            <w:tcW w:w="5958" w:type="dxa"/>
          </w:tcPr>
          <w:p w:rsidR="000E3B01" w:rsidRPr="00BA4F77" w:rsidRDefault="000E3B01" w:rsidP="00CD0301">
            <w:pPr>
              <w:pStyle w:val="naisnod"/>
              <w:spacing w:before="0" w:after="0"/>
              <w:ind w:left="57" w:right="57"/>
              <w:jc w:val="both"/>
              <w:rPr>
                <w:b w:val="0"/>
                <w:sz w:val="28"/>
                <w:szCs w:val="28"/>
              </w:rPr>
            </w:pPr>
            <w:r w:rsidRPr="00BA4F77">
              <w:rPr>
                <w:b w:val="0"/>
                <w:sz w:val="28"/>
                <w:szCs w:val="28"/>
              </w:rPr>
              <w:t xml:space="preserve">Projekta izpildi nodrošina </w:t>
            </w:r>
            <w:r w:rsidR="0009565E" w:rsidRPr="00BA4F77">
              <w:rPr>
                <w:b w:val="0"/>
                <w:sz w:val="28"/>
                <w:szCs w:val="28"/>
              </w:rPr>
              <w:t>Patērētāju tiesību aizsardzības cent</w:t>
            </w:r>
            <w:r w:rsidR="008664C8" w:rsidRPr="00BA4F77">
              <w:rPr>
                <w:b w:val="0"/>
                <w:sz w:val="28"/>
                <w:szCs w:val="28"/>
              </w:rPr>
              <w:t>r</w:t>
            </w:r>
            <w:r w:rsidR="0009565E" w:rsidRPr="00BA4F77">
              <w:rPr>
                <w:b w:val="0"/>
                <w:sz w:val="28"/>
                <w:szCs w:val="28"/>
              </w:rPr>
              <w:t>s</w:t>
            </w:r>
            <w:r w:rsidR="004C4BA1" w:rsidRPr="00BA4F77">
              <w:rPr>
                <w:b w:val="0"/>
                <w:sz w:val="28"/>
                <w:szCs w:val="28"/>
              </w:rPr>
              <w:t xml:space="preserve">, </w:t>
            </w:r>
            <w:r w:rsidR="00CD0301" w:rsidRPr="00BA4F77">
              <w:rPr>
                <w:b w:val="0"/>
                <w:sz w:val="28"/>
                <w:szCs w:val="28"/>
              </w:rPr>
              <w:t>pašvaldības</w:t>
            </w:r>
            <w:r w:rsidR="004C4BA1" w:rsidRPr="00BA4F77">
              <w:rPr>
                <w:b w:val="0"/>
                <w:sz w:val="28"/>
                <w:szCs w:val="28"/>
              </w:rPr>
              <w:t xml:space="preserve"> policija</w:t>
            </w:r>
            <w:r w:rsidR="00DF610F" w:rsidRPr="00BA4F77">
              <w:rPr>
                <w:b w:val="0"/>
                <w:sz w:val="28"/>
                <w:szCs w:val="28"/>
              </w:rPr>
              <w:t>,</w:t>
            </w:r>
            <w:r w:rsidR="005328CF">
              <w:rPr>
                <w:b w:val="0"/>
                <w:sz w:val="28"/>
                <w:szCs w:val="28"/>
              </w:rPr>
              <w:t xml:space="preserve"> V</w:t>
            </w:r>
            <w:r w:rsidR="00611552">
              <w:rPr>
                <w:b w:val="0"/>
                <w:sz w:val="28"/>
                <w:szCs w:val="28"/>
              </w:rPr>
              <w:t>alsts policija,</w:t>
            </w:r>
            <w:r w:rsidR="00DF610F" w:rsidRPr="00BA4F77">
              <w:rPr>
                <w:b w:val="0"/>
                <w:sz w:val="28"/>
                <w:szCs w:val="28"/>
              </w:rPr>
              <w:t xml:space="preserve"> Valsts ieņēmumu dienests</w:t>
            </w:r>
            <w:r w:rsidRPr="00BA4F77">
              <w:rPr>
                <w:b w:val="0"/>
                <w:sz w:val="28"/>
                <w:szCs w:val="28"/>
              </w:rPr>
              <w:t>.</w:t>
            </w:r>
          </w:p>
        </w:tc>
      </w:tr>
      <w:tr w:rsidR="000E3B01" w:rsidRPr="00BA4F77" w:rsidTr="00DF610F">
        <w:trPr>
          <w:trHeight w:val="463"/>
          <w:jc w:val="center"/>
        </w:trPr>
        <w:tc>
          <w:tcPr>
            <w:tcW w:w="550" w:type="dxa"/>
          </w:tcPr>
          <w:p w:rsidR="000E3B01" w:rsidRPr="00BA4F77" w:rsidRDefault="000E3B01" w:rsidP="00DF610F">
            <w:pPr>
              <w:pStyle w:val="naisnod"/>
              <w:spacing w:before="0" w:after="0"/>
              <w:ind w:left="57" w:right="57"/>
              <w:jc w:val="left"/>
              <w:rPr>
                <w:b w:val="0"/>
                <w:sz w:val="28"/>
                <w:szCs w:val="28"/>
              </w:rPr>
            </w:pPr>
            <w:r w:rsidRPr="00BA4F77">
              <w:rPr>
                <w:b w:val="0"/>
                <w:sz w:val="28"/>
                <w:szCs w:val="28"/>
              </w:rPr>
              <w:t>2.</w:t>
            </w:r>
          </w:p>
        </w:tc>
        <w:tc>
          <w:tcPr>
            <w:tcW w:w="3057" w:type="dxa"/>
          </w:tcPr>
          <w:p w:rsidR="000E3B01" w:rsidRPr="00BA4F77" w:rsidRDefault="000E3B01" w:rsidP="00DF610F">
            <w:pPr>
              <w:pStyle w:val="naisf"/>
              <w:spacing w:before="0" w:after="0"/>
              <w:ind w:left="57" w:right="57" w:firstLine="0"/>
              <w:jc w:val="left"/>
              <w:rPr>
                <w:sz w:val="28"/>
                <w:szCs w:val="28"/>
              </w:rPr>
            </w:pPr>
            <w:r w:rsidRPr="00BA4F77">
              <w:rPr>
                <w:sz w:val="28"/>
                <w:szCs w:val="28"/>
              </w:rPr>
              <w:t xml:space="preserve">Projekta izpildes ietekme uz pārvaldes funkcijām </w:t>
            </w:r>
          </w:p>
        </w:tc>
        <w:tc>
          <w:tcPr>
            <w:tcW w:w="5958" w:type="dxa"/>
          </w:tcPr>
          <w:p w:rsidR="000E3B01" w:rsidRPr="00BA4F77" w:rsidRDefault="000E3B01" w:rsidP="0009565E">
            <w:pPr>
              <w:pStyle w:val="naisnod"/>
              <w:spacing w:before="0" w:after="0"/>
              <w:ind w:left="57" w:right="57"/>
              <w:jc w:val="both"/>
              <w:rPr>
                <w:b w:val="0"/>
                <w:sz w:val="28"/>
                <w:szCs w:val="28"/>
              </w:rPr>
            </w:pPr>
            <w:r w:rsidRPr="00BA4F77">
              <w:rPr>
                <w:b w:val="0"/>
                <w:sz w:val="28"/>
                <w:szCs w:val="28"/>
              </w:rPr>
              <w:t xml:space="preserve">Projekts paredz </w:t>
            </w:r>
            <w:r w:rsidR="0009565E" w:rsidRPr="00BA4F77">
              <w:rPr>
                <w:b w:val="0"/>
                <w:sz w:val="28"/>
                <w:szCs w:val="28"/>
              </w:rPr>
              <w:t>Patērētāju tiesību aizsardzības centra</w:t>
            </w:r>
            <w:r w:rsidRPr="00BA4F77">
              <w:rPr>
                <w:b w:val="0"/>
                <w:sz w:val="28"/>
                <w:szCs w:val="28"/>
              </w:rPr>
              <w:t xml:space="preserve"> </w:t>
            </w:r>
            <w:r w:rsidR="00CD0301" w:rsidRPr="00BA4F77">
              <w:rPr>
                <w:b w:val="0"/>
                <w:sz w:val="28"/>
                <w:szCs w:val="28"/>
              </w:rPr>
              <w:t xml:space="preserve">un pašvaldības policijas </w:t>
            </w:r>
            <w:r w:rsidR="0009565E" w:rsidRPr="00BA4F77">
              <w:rPr>
                <w:b w:val="0"/>
                <w:sz w:val="28"/>
                <w:szCs w:val="28"/>
              </w:rPr>
              <w:t>pilnvar</w:t>
            </w:r>
            <w:r w:rsidRPr="00BA4F77">
              <w:rPr>
                <w:b w:val="0"/>
                <w:sz w:val="28"/>
                <w:szCs w:val="28"/>
              </w:rPr>
              <w:t xml:space="preserve">u paplašināšanu  attiecībā uz administratīvo lietu izskatīšanu par pārkāpumiem saistībā ar </w:t>
            </w:r>
            <w:r w:rsidR="0009565E" w:rsidRPr="00BA4F77">
              <w:rPr>
                <w:b w:val="0"/>
                <w:sz w:val="28"/>
                <w:szCs w:val="28"/>
              </w:rPr>
              <w:t xml:space="preserve">patērētāju kreditēšanu </w:t>
            </w:r>
            <w:proofErr w:type="spellStart"/>
            <w:r w:rsidR="0009565E" w:rsidRPr="00BA4F77">
              <w:rPr>
                <w:b w:val="0"/>
                <w:sz w:val="28"/>
                <w:szCs w:val="28"/>
              </w:rPr>
              <w:t>nebanku</w:t>
            </w:r>
            <w:proofErr w:type="spellEnd"/>
            <w:r w:rsidR="0009565E" w:rsidRPr="00BA4F77">
              <w:rPr>
                <w:b w:val="0"/>
                <w:sz w:val="28"/>
                <w:szCs w:val="28"/>
              </w:rPr>
              <w:t xml:space="preserve"> tirgus sektorā</w:t>
            </w:r>
            <w:r w:rsidRPr="00BA4F77">
              <w:rPr>
                <w:b w:val="0"/>
                <w:sz w:val="28"/>
                <w:szCs w:val="28"/>
              </w:rPr>
              <w:t>.</w:t>
            </w:r>
          </w:p>
        </w:tc>
      </w:tr>
      <w:tr w:rsidR="000E3B01" w:rsidRPr="00BA4F77" w:rsidTr="00DF610F">
        <w:trPr>
          <w:trHeight w:val="725"/>
          <w:jc w:val="center"/>
        </w:trPr>
        <w:tc>
          <w:tcPr>
            <w:tcW w:w="550" w:type="dxa"/>
          </w:tcPr>
          <w:p w:rsidR="000E3B01" w:rsidRPr="00BA4F77" w:rsidRDefault="000E3B01" w:rsidP="00DF610F">
            <w:pPr>
              <w:pStyle w:val="naisnod"/>
              <w:spacing w:before="0" w:after="0"/>
              <w:ind w:left="57" w:right="57"/>
              <w:jc w:val="left"/>
              <w:rPr>
                <w:b w:val="0"/>
                <w:sz w:val="28"/>
                <w:szCs w:val="28"/>
              </w:rPr>
            </w:pPr>
            <w:r w:rsidRPr="00BA4F77">
              <w:rPr>
                <w:b w:val="0"/>
                <w:sz w:val="28"/>
                <w:szCs w:val="28"/>
              </w:rPr>
              <w:t>3.</w:t>
            </w:r>
          </w:p>
        </w:tc>
        <w:tc>
          <w:tcPr>
            <w:tcW w:w="3057" w:type="dxa"/>
          </w:tcPr>
          <w:p w:rsidR="000E3B01" w:rsidRPr="00BA4F77" w:rsidRDefault="000E3B01" w:rsidP="00DF610F">
            <w:pPr>
              <w:pStyle w:val="naisf"/>
              <w:spacing w:before="0" w:after="0"/>
              <w:ind w:left="57" w:right="57" w:firstLine="0"/>
              <w:jc w:val="left"/>
              <w:rPr>
                <w:sz w:val="28"/>
                <w:szCs w:val="28"/>
              </w:rPr>
            </w:pPr>
            <w:r w:rsidRPr="00BA4F77">
              <w:rPr>
                <w:sz w:val="28"/>
                <w:szCs w:val="28"/>
              </w:rPr>
              <w:t>Projekta izpildes ietekme uz pārvaldes institucionālo struktūru.</w:t>
            </w:r>
          </w:p>
          <w:p w:rsidR="000E3B01" w:rsidRPr="00BA4F77" w:rsidRDefault="000E3B01" w:rsidP="00DF610F">
            <w:pPr>
              <w:pStyle w:val="naisf"/>
              <w:spacing w:before="0" w:after="0"/>
              <w:ind w:left="57" w:right="57" w:firstLine="0"/>
              <w:jc w:val="left"/>
              <w:rPr>
                <w:sz w:val="28"/>
                <w:szCs w:val="28"/>
              </w:rPr>
            </w:pPr>
            <w:r w:rsidRPr="00BA4F77">
              <w:rPr>
                <w:sz w:val="28"/>
                <w:szCs w:val="28"/>
              </w:rPr>
              <w:t>Jaunu institūciju izveide</w:t>
            </w:r>
          </w:p>
        </w:tc>
        <w:tc>
          <w:tcPr>
            <w:tcW w:w="5958" w:type="dxa"/>
          </w:tcPr>
          <w:p w:rsidR="000E3B01" w:rsidRPr="00BA4F77" w:rsidRDefault="000E3B01" w:rsidP="00DF610F">
            <w:pPr>
              <w:pStyle w:val="naisnod"/>
              <w:spacing w:before="0" w:after="0"/>
              <w:ind w:left="57" w:right="57"/>
              <w:jc w:val="left"/>
              <w:rPr>
                <w:b w:val="0"/>
                <w:sz w:val="28"/>
                <w:szCs w:val="28"/>
              </w:rPr>
            </w:pPr>
            <w:r w:rsidRPr="00BA4F77">
              <w:rPr>
                <w:b w:val="0"/>
                <w:sz w:val="28"/>
                <w:szCs w:val="28"/>
              </w:rPr>
              <w:t>Projekts neparedz veidot jaunas valsts institūcijas.</w:t>
            </w:r>
          </w:p>
        </w:tc>
      </w:tr>
      <w:tr w:rsidR="000E3B01" w:rsidRPr="00BA4F77" w:rsidTr="00DF610F">
        <w:trPr>
          <w:trHeight w:val="780"/>
          <w:jc w:val="center"/>
        </w:trPr>
        <w:tc>
          <w:tcPr>
            <w:tcW w:w="550" w:type="dxa"/>
          </w:tcPr>
          <w:p w:rsidR="000E3B01" w:rsidRPr="00BA4F77" w:rsidRDefault="000E3B01" w:rsidP="00DF610F">
            <w:pPr>
              <w:pStyle w:val="naisnod"/>
              <w:spacing w:before="0" w:after="0"/>
              <w:ind w:left="57" w:right="57"/>
              <w:jc w:val="left"/>
              <w:rPr>
                <w:b w:val="0"/>
                <w:sz w:val="28"/>
                <w:szCs w:val="28"/>
              </w:rPr>
            </w:pPr>
            <w:r w:rsidRPr="00BA4F77">
              <w:rPr>
                <w:b w:val="0"/>
                <w:sz w:val="28"/>
                <w:szCs w:val="28"/>
              </w:rPr>
              <w:lastRenderedPageBreak/>
              <w:t>4.</w:t>
            </w:r>
          </w:p>
        </w:tc>
        <w:tc>
          <w:tcPr>
            <w:tcW w:w="3057" w:type="dxa"/>
          </w:tcPr>
          <w:p w:rsidR="000E3B01" w:rsidRPr="00BA4F77" w:rsidRDefault="000E3B01" w:rsidP="00DF610F">
            <w:pPr>
              <w:pStyle w:val="naisf"/>
              <w:spacing w:before="0" w:after="0"/>
              <w:ind w:left="57" w:right="57" w:firstLine="0"/>
              <w:jc w:val="left"/>
              <w:rPr>
                <w:sz w:val="28"/>
                <w:szCs w:val="28"/>
              </w:rPr>
            </w:pPr>
            <w:r w:rsidRPr="00BA4F77">
              <w:rPr>
                <w:sz w:val="28"/>
                <w:szCs w:val="28"/>
              </w:rPr>
              <w:t>Projekta izpildes ietekme uz pārvaldes institucionālo struktūru.</w:t>
            </w:r>
          </w:p>
          <w:p w:rsidR="000E3B01" w:rsidRPr="00BA4F77" w:rsidRDefault="000E3B01" w:rsidP="00DF610F">
            <w:pPr>
              <w:pStyle w:val="naisf"/>
              <w:spacing w:before="0" w:after="0"/>
              <w:ind w:left="57" w:right="57" w:firstLine="0"/>
              <w:jc w:val="left"/>
              <w:rPr>
                <w:sz w:val="28"/>
                <w:szCs w:val="28"/>
              </w:rPr>
            </w:pPr>
            <w:r w:rsidRPr="00BA4F77">
              <w:rPr>
                <w:sz w:val="28"/>
                <w:szCs w:val="28"/>
              </w:rPr>
              <w:t>Esošu institūciju likvidācija</w:t>
            </w:r>
          </w:p>
        </w:tc>
        <w:tc>
          <w:tcPr>
            <w:tcW w:w="5958" w:type="dxa"/>
          </w:tcPr>
          <w:p w:rsidR="000E3B01" w:rsidRPr="00BA4F77" w:rsidRDefault="00387434" w:rsidP="00DF610F">
            <w:pPr>
              <w:pStyle w:val="naisnod"/>
              <w:spacing w:before="0" w:after="0"/>
              <w:ind w:left="57" w:right="57"/>
              <w:jc w:val="left"/>
              <w:rPr>
                <w:b w:val="0"/>
                <w:sz w:val="28"/>
                <w:szCs w:val="28"/>
              </w:rPr>
            </w:pPr>
            <w:r w:rsidRPr="00BA4F77">
              <w:rPr>
                <w:b w:val="0"/>
                <w:i/>
                <w:color w:val="000000"/>
                <w:sz w:val="28"/>
                <w:szCs w:val="28"/>
              </w:rPr>
              <w:t>Projekts šo jomu neskar</w:t>
            </w:r>
          </w:p>
        </w:tc>
      </w:tr>
      <w:tr w:rsidR="000E3B01" w:rsidRPr="00BA4F77" w:rsidTr="00DF610F">
        <w:trPr>
          <w:trHeight w:val="703"/>
          <w:jc w:val="center"/>
        </w:trPr>
        <w:tc>
          <w:tcPr>
            <w:tcW w:w="550" w:type="dxa"/>
          </w:tcPr>
          <w:p w:rsidR="000E3B01" w:rsidRPr="00BA4F77" w:rsidRDefault="000E3B01" w:rsidP="00DF610F">
            <w:pPr>
              <w:pStyle w:val="naisnod"/>
              <w:spacing w:before="0" w:after="0"/>
              <w:ind w:left="57" w:right="57"/>
              <w:jc w:val="left"/>
              <w:rPr>
                <w:b w:val="0"/>
                <w:sz w:val="28"/>
                <w:szCs w:val="28"/>
              </w:rPr>
            </w:pPr>
            <w:r w:rsidRPr="00BA4F77">
              <w:rPr>
                <w:b w:val="0"/>
                <w:sz w:val="28"/>
                <w:szCs w:val="28"/>
              </w:rPr>
              <w:t>5.</w:t>
            </w:r>
          </w:p>
        </w:tc>
        <w:tc>
          <w:tcPr>
            <w:tcW w:w="3057" w:type="dxa"/>
          </w:tcPr>
          <w:p w:rsidR="000E3B01" w:rsidRPr="00BA4F77" w:rsidRDefault="000E3B01" w:rsidP="00DF610F">
            <w:pPr>
              <w:pStyle w:val="naisf"/>
              <w:spacing w:before="0" w:after="0"/>
              <w:ind w:left="57" w:right="57" w:firstLine="0"/>
              <w:jc w:val="left"/>
              <w:rPr>
                <w:sz w:val="28"/>
                <w:szCs w:val="28"/>
              </w:rPr>
            </w:pPr>
            <w:r w:rsidRPr="00BA4F77">
              <w:rPr>
                <w:sz w:val="28"/>
                <w:szCs w:val="28"/>
              </w:rPr>
              <w:t>Projekta izpildes ietekme uz pārvaldes institucionālo struktūru.</w:t>
            </w:r>
          </w:p>
          <w:p w:rsidR="000E3B01" w:rsidRPr="00BA4F77" w:rsidRDefault="000E3B01" w:rsidP="00DF610F">
            <w:pPr>
              <w:pStyle w:val="naisf"/>
              <w:spacing w:before="0" w:after="0"/>
              <w:ind w:left="57" w:right="57" w:firstLine="0"/>
              <w:jc w:val="left"/>
              <w:rPr>
                <w:sz w:val="28"/>
                <w:szCs w:val="28"/>
              </w:rPr>
            </w:pPr>
            <w:r w:rsidRPr="00BA4F77">
              <w:rPr>
                <w:sz w:val="28"/>
                <w:szCs w:val="28"/>
              </w:rPr>
              <w:t>Esošu institūciju reorganizācija</w:t>
            </w:r>
          </w:p>
        </w:tc>
        <w:tc>
          <w:tcPr>
            <w:tcW w:w="5958" w:type="dxa"/>
          </w:tcPr>
          <w:p w:rsidR="000E3B01" w:rsidRPr="00BA4F77" w:rsidRDefault="00387434" w:rsidP="00DF610F">
            <w:pPr>
              <w:pStyle w:val="naisnod"/>
              <w:spacing w:before="0" w:after="0"/>
              <w:ind w:left="57" w:right="57"/>
              <w:jc w:val="both"/>
              <w:rPr>
                <w:b w:val="0"/>
                <w:sz w:val="28"/>
                <w:szCs w:val="28"/>
              </w:rPr>
            </w:pPr>
            <w:r w:rsidRPr="00BA4F77">
              <w:rPr>
                <w:b w:val="0"/>
                <w:i/>
                <w:color w:val="000000"/>
                <w:sz w:val="28"/>
                <w:szCs w:val="28"/>
              </w:rPr>
              <w:t>Projekts šo jomu neskar</w:t>
            </w:r>
          </w:p>
        </w:tc>
      </w:tr>
      <w:tr w:rsidR="000E3B01" w:rsidRPr="00BA4F77" w:rsidTr="00DF610F">
        <w:trPr>
          <w:trHeight w:val="476"/>
          <w:jc w:val="center"/>
        </w:trPr>
        <w:tc>
          <w:tcPr>
            <w:tcW w:w="550" w:type="dxa"/>
          </w:tcPr>
          <w:p w:rsidR="000E3B01" w:rsidRPr="00BA4F77" w:rsidRDefault="000E3B01" w:rsidP="00DF610F">
            <w:pPr>
              <w:pStyle w:val="naiskr"/>
              <w:spacing w:before="0" w:after="0"/>
              <w:ind w:left="57" w:right="57"/>
              <w:rPr>
                <w:sz w:val="28"/>
                <w:szCs w:val="28"/>
              </w:rPr>
            </w:pPr>
            <w:r w:rsidRPr="00BA4F77">
              <w:rPr>
                <w:sz w:val="28"/>
                <w:szCs w:val="28"/>
              </w:rPr>
              <w:t>6.</w:t>
            </w:r>
          </w:p>
        </w:tc>
        <w:tc>
          <w:tcPr>
            <w:tcW w:w="3057" w:type="dxa"/>
          </w:tcPr>
          <w:p w:rsidR="000E3B01" w:rsidRPr="00BA4F77" w:rsidRDefault="000E3B01" w:rsidP="00DF610F">
            <w:pPr>
              <w:pStyle w:val="naiskr"/>
              <w:spacing w:before="0" w:after="0"/>
              <w:ind w:left="57" w:right="57"/>
              <w:rPr>
                <w:sz w:val="28"/>
                <w:szCs w:val="28"/>
              </w:rPr>
            </w:pPr>
            <w:r w:rsidRPr="00BA4F77">
              <w:rPr>
                <w:sz w:val="28"/>
                <w:szCs w:val="28"/>
              </w:rPr>
              <w:t>Cita informācija</w:t>
            </w:r>
          </w:p>
        </w:tc>
        <w:tc>
          <w:tcPr>
            <w:tcW w:w="5958" w:type="dxa"/>
          </w:tcPr>
          <w:p w:rsidR="000E3B01" w:rsidRPr="00BA4F77" w:rsidRDefault="000E3B01" w:rsidP="00DF610F">
            <w:pPr>
              <w:pStyle w:val="naiskr"/>
              <w:spacing w:before="0" w:after="0"/>
              <w:ind w:left="57" w:right="57"/>
              <w:rPr>
                <w:sz w:val="28"/>
                <w:szCs w:val="28"/>
              </w:rPr>
            </w:pPr>
            <w:r w:rsidRPr="00BA4F77">
              <w:rPr>
                <w:sz w:val="28"/>
                <w:szCs w:val="28"/>
              </w:rPr>
              <w:t>Nav</w:t>
            </w:r>
          </w:p>
        </w:tc>
      </w:tr>
    </w:tbl>
    <w:p w:rsidR="000E3B01" w:rsidRPr="00BA4F77" w:rsidRDefault="000E3B01" w:rsidP="000E3B01">
      <w:pPr>
        <w:rPr>
          <w:sz w:val="28"/>
          <w:szCs w:val="28"/>
        </w:rPr>
      </w:pPr>
    </w:p>
    <w:p w:rsidR="000E3B01" w:rsidRPr="00BA4F77" w:rsidRDefault="000E3B01" w:rsidP="000E3B01">
      <w:pPr>
        <w:rPr>
          <w:sz w:val="28"/>
          <w:szCs w:val="28"/>
        </w:rPr>
      </w:pPr>
      <w:r w:rsidRPr="00BA4F77">
        <w:rPr>
          <w:sz w:val="28"/>
          <w:szCs w:val="28"/>
        </w:rPr>
        <w:t>Ekonomikas ministrs</w:t>
      </w:r>
      <w:r w:rsidRPr="00BA4F77">
        <w:rPr>
          <w:sz w:val="28"/>
          <w:szCs w:val="28"/>
        </w:rPr>
        <w:tab/>
      </w:r>
      <w:r w:rsidRPr="00BA4F77">
        <w:rPr>
          <w:sz w:val="28"/>
          <w:szCs w:val="28"/>
        </w:rPr>
        <w:tab/>
      </w:r>
      <w:r w:rsidRPr="00BA4F77">
        <w:rPr>
          <w:sz w:val="28"/>
          <w:szCs w:val="28"/>
        </w:rPr>
        <w:tab/>
      </w:r>
      <w:r w:rsidRPr="00BA4F77">
        <w:rPr>
          <w:sz w:val="28"/>
          <w:szCs w:val="28"/>
        </w:rPr>
        <w:tab/>
      </w:r>
      <w:r w:rsidRPr="00BA4F77">
        <w:rPr>
          <w:sz w:val="28"/>
          <w:szCs w:val="28"/>
        </w:rPr>
        <w:tab/>
      </w:r>
      <w:r w:rsidRPr="00BA4F77">
        <w:rPr>
          <w:sz w:val="28"/>
          <w:szCs w:val="28"/>
        </w:rPr>
        <w:tab/>
      </w:r>
      <w:r w:rsidRPr="00BA4F77">
        <w:rPr>
          <w:sz w:val="28"/>
          <w:szCs w:val="28"/>
        </w:rPr>
        <w:tab/>
      </w:r>
      <w:proofErr w:type="spellStart"/>
      <w:r w:rsidR="0049448D" w:rsidRPr="00BA4F77">
        <w:rPr>
          <w:sz w:val="28"/>
          <w:szCs w:val="28"/>
        </w:rPr>
        <w:t>D.Pavļuts</w:t>
      </w:r>
      <w:proofErr w:type="spellEnd"/>
    </w:p>
    <w:p w:rsidR="000E3B01" w:rsidRPr="00BA4F77" w:rsidRDefault="000E3B01" w:rsidP="000E3B01">
      <w:pPr>
        <w:rPr>
          <w:sz w:val="28"/>
          <w:szCs w:val="28"/>
        </w:rPr>
      </w:pPr>
    </w:p>
    <w:p w:rsidR="000E3B01" w:rsidRPr="00BA4F77" w:rsidRDefault="000E3B01" w:rsidP="000E3B01">
      <w:pPr>
        <w:rPr>
          <w:sz w:val="28"/>
          <w:szCs w:val="28"/>
        </w:rPr>
      </w:pPr>
      <w:r w:rsidRPr="00BA4F77">
        <w:rPr>
          <w:sz w:val="28"/>
          <w:szCs w:val="28"/>
        </w:rPr>
        <w:t>Vīza:</w:t>
      </w:r>
    </w:p>
    <w:p w:rsidR="000E3B01" w:rsidRPr="00BA4F77" w:rsidRDefault="000E3B01" w:rsidP="000E3B01">
      <w:pPr>
        <w:rPr>
          <w:sz w:val="28"/>
          <w:szCs w:val="28"/>
        </w:rPr>
      </w:pPr>
    </w:p>
    <w:p w:rsidR="00702A58" w:rsidRPr="003A791D" w:rsidRDefault="00702A58" w:rsidP="00702A58">
      <w:pPr>
        <w:rPr>
          <w:bCs/>
          <w:sz w:val="28"/>
          <w:szCs w:val="28"/>
        </w:rPr>
      </w:pPr>
      <w:r w:rsidRPr="003A791D">
        <w:rPr>
          <w:bCs/>
          <w:sz w:val="28"/>
          <w:szCs w:val="28"/>
        </w:rPr>
        <w:t>Valsts sekretārs                         </w:t>
      </w:r>
      <w:r w:rsidRPr="003A791D">
        <w:rPr>
          <w:bCs/>
          <w:sz w:val="28"/>
          <w:szCs w:val="28"/>
        </w:rPr>
        <w:tab/>
      </w:r>
      <w:r w:rsidRPr="003A791D">
        <w:rPr>
          <w:bCs/>
          <w:sz w:val="28"/>
          <w:szCs w:val="28"/>
        </w:rPr>
        <w:tab/>
        <w:t xml:space="preserve">   </w:t>
      </w:r>
      <w:r w:rsidRPr="003A791D">
        <w:rPr>
          <w:bCs/>
          <w:sz w:val="28"/>
          <w:szCs w:val="28"/>
        </w:rPr>
        <w:tab/>
      </w:r>
      <w:r w:rsidRPr="003A791D">
        <w:rPr>
          <w:bCs/>
          <w:sz w:val="28"/>
          <w:szCs w:val="28"/>
        </w:rPr>
        <w:tab/>
      </w:r>
      <w:r w:rsidR="00C057D5">
        <w:rPr>
          <w:bCs/>
          <w:sz w:val="28"/>
          <w:szCs w:val="28"/>
        </w:rPr>
        <w:tab/>
      </w:r>
      <w:r w:rsidR="00C057D5">
        <w:rPr>
          <w:bCs/>
          <w:sz w:val="28"/>
          <w:szCs w:val="28"/>
        </w:rPr>
        <w:tab/>
        <w:t>J.Pūce</w:t>
      </w:r>
    </w:p>
    <w:p w:rsidR="000E3B01" w:rsidRDefault="000E3B01" w:rsidP="000E3B01">
      <w:pPr>
        <w:suppressAutoHyphens/>
        <w:rPr>
          <w:sz w:val="20"/>
        </w:rPr>
      </w:pPr>
    </w:p>
    <w:p w:rsidR="003A791D" w:rsidRDefault="003A791D" w:rsidP="000E3B01">
      <w:pPr>
        <w:suppressAutoHyphens/>
        <w:rPr>
          <w:sz w:val="20"/>
        </w:rPr>
      </w:pPr>
    </w:p>
    <w:p w:rsidR="003A791D" w:rsidRDefault="003A791D" w:rsidP="000E3B01">
      <w:pPr>
        <w:suppressAutoHyphens/>
        <w:rPr>
          <w:sz w:val="20"/>
        </w:rPr>
      </w:pPr>
    </w:p>
    <w:p w:rsidR="003A791D" w:rsidRDefault="003A791D" w:rsidP="000E3B01">
      <w:pPr>
        <w:suppressAutoHyphens/>
        <w:rPr>
          <w:sz w:val="20"/>
        </w:rPr>
      </w:pPr>
    </w:p>
    <w:p w:rsidR="003A791D" w:rsidRDefault="003A791D" w:rsidP="000E3B01">
      <w:pPr>
        <w:suppressAutoHyphens/>
        <w:rPr>
          <w:sz w:val="20"/>
        </w:rPr>
      </w:pPr>
    </w:p>
    <w:p w:rsidR="003A791D" w:rsidRDefault="003A791D" w:rsidP="000E3B01">
      <w:pPr>
        <w:suppressAutoHyphens/>
        <w:rPr>
          <w:sz w:val="20"/>
        </w:rPr>
      </w:pPr>
    </w:p>
    <w:p w:rsidR="003A791D" w:rsidRDefault="003A791D" w:rsidP="000E3B01">
      <w:pPr>
        <w:suppressAutoHyphens/>
        <w:rPr>
          <w:sz w:val="20"/>
        </w:rPr>
      </w:pPr>
    </w:p>
    <w:p w:rsidR="000E3B01" w:rsidRDefault="00F43DAD" w:rsidP="000E3B01">
      <w:pPr>
        <w:suppressAutoHyphens/>
        <w:rPr>
          <w:sz w:val="20"/>
        </w:rPr>
      </w:pPr>
      <w:r>
        <w:rPr>
          <w:sz w:val="20"/>
        </w:rPr>
        <w:t>2</w:t>
      </w:r>
      <w:r w:rsidR="000F0B8F">
        <w:rPr>
          <w:sz w:val="20"/>
        </w:rPr>
        <w:t>3</w:t>
      </w:r>
      <w:r w:rsidR="000E3B01">
        <w:rPr>
          <w:sz w:val="20"/>
        </w:rPr>
        <w:t>.</w:t>
      </w:r>
      <w:r w:rsidR="0009565E">
        <w:rPr>
          <w:sz w:val="20"/>
        </w:rPr>
        <w:t>0</w:t>
      </w:r>
      <w:r w:rsidR="000F0B8F">
        <w:rPr>
          <w:sz w:val="20"/>
        </w:rPr>
        <w:t>3</w:t>
      </w:r>
      <w:r w:rsidR="000E3B01">
        <w:rPr>
          <w:sz w:val="20"/>
        </w:rPr>
        <w:t>.1</w:t>
      </w:r>
      <w:r w:rsidR="0009565E">
        <w:rPr>
          <w:sz w:val="20"/>
        </w:rPr>
        <w:t>2</w:t>
      </w:r>
      <w:r w:rsidR="000E4C9A">
        <w:rPr>
          <w:sz w:val="20"/>
        </w:rPr>
        <w:t xml:space="preserve">. </w:t>
      </w:r>
      <w:r w:rsidR="00C057D5">
        <w:rPr>
          <w:sz w:val="20"/>
        </w:rPr>
        <w:t>13</w:t>
      </w:r>
      <w:r w:rsidR="000E4C9A">
        <w:rPr>
          <w:sz w:val="20"/>
        </w:rPr>
        <w:t>:</w:t>
      </w:r>
      <w:r w:rsidR="00C057D5">
        <w:rPr>
          <w:sz w:val="20"/>
        </w:rPr>
        <w:t>09</w:t>
      </w:r>
    </w:p>
    <w:p w:rsidR="000E3B01" w:rsidRDefault="00186F4C" w:rsidP="000E3B01">
      <w:pPr>
        <w:suppressAutoHyphens/>
        <w:rPr>
          <w:sz w:val="20"/>
        </w:rPr>
      </w:pPr>
      <w:fldSimple w:instr=" NUMWORDS   \* MERGEFORMAT ">
        <w:r w:rsidR="00C057D5" w:rsidRPr="00C057D5">
          <w:rPr>
            <w:noProof/>
            <w:sz w:val="20"/>
          </w:rPr>
          <w:t>3130</w:t>
        </w:r>
      </w:fldSimple>
    </w:p>
    <w:p w:rsidR="000E3B01" w:rsidRDefault="000E3B01" w:rsidP="000E3B01">
      <w:pPr>
        <w:suppressAutoHyphens/>
        <w:rPr>
          <w:sz w:val="20"/>
        </w:rPr>
      </w:pPr>
      <w:r>
        <w:rPr>
          <w:sz w:val="20"/>
        </w:rPr>
        <w:t>L.Duntava</w:t>
      </w:r>
    </w:p>
    <w:p w:rsidR="000E3B01" w:rsidRDefault="000E3B01" w:rsidP="000E3B01">
      <w:pPr>
        <w:suppressAutoHyphens/>
        <w:rPr>
          <w:sz w:val="20"/>
        </w:rPr>
      </w:pPr>
      <w:r>
        <w:rPr>
          <w:sz w:val="20"/>
        </w:rPr>
        <w:t>67013213, Linda Duntava@em.gov.lv</w:t>
      </w:r>
    </w:p>
    <w:p w:rsidR="0014530C" w:rsidRDefault="0014530C"/>
    <w:sectPr w:rsidR="0014530C" w:rsidSect="00D3179B">
      <w:headerReference w:type="even" r:id="rId7"/>
      <w:headerReference w:type="default" r:id="rId8"/>
      <w:footerReference w:type="default" r:id="rId9"/>
      <w:footerReference w:type="first" r:id="rId10"/>
      <w:pgSz w:w="11906" w:h="16838" w:code="9"/>
      <w:pgMar w:top="1276" w:right="1134" w:bottom="993" w:left="1701" w:header="709" w:footer="4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4BB" w:rsidRDefault="001814BB" w:rsidP="000E3B01">
      <w:r>
        <w:separator/>
      </w:r>
    </w:p>
  </w:endnote>
  <w:endnote w:type="continuationSeparator" w:id="0">
    <w:p w:rsidR="001814BB" w:rsidRDefault="001814BB" w:rsidP="000E3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3" w:rsidRPr="0062716C" w:rsidRDefault="004E2B63" w:rsidP="00DF610F">
    <w:pPr>
      <w:jc w:val="both"/>
      <w:rPr>
        <w:sz w:val="20"/>
        <w:szCs w:val="20"/>
      </w:rPr>
    </w:pPr>
    <w:r w:rsidRPr="00DC0116">
      <w:rPr>
        <w:sz w:val="20"/>
        <w:szCs w:val="20"/>
      </w:rPr>
      <w:t>EMAnot_</w:t>
    </w:r>
    <w:r w:rsidR="00611552">
      <w:rPr>
        <w:sz w:val="20"/>
        <w:szCs w:val="20"/>
      </w:rPr>
      <w:t>2</w:t>
    </w:r>
    <w:r w:rsidR="000F0B8F">
      <w:rPr>
        <w:sz w:val="20"/>
        <w:szCs w:val="20"/>
      </w:rPr>
      <w:t>303</w:t>
    </w:r>
    <w:r w:rsidRPr="00DC0116">
      <w:rPr>
        <w:sz w:val="20"/>
        <w:szCs w:val="20"/>
      </w:rPr>
      <w:t>1</w:t>
    </w:r>
    <w:r>
      <w:rPr>
        <w:sz w:val="20"/>
        <w:szCs w:val="20"/>
      </w:rPr>
      <w:t>2_g</w:t>
    </w:r>
    <w:r w:rsidRPr="00DC0116">
      <w:rPr>
        <w:sz w:val="20"/>
        <w:szCs w:val="20"/>
      </w:rPr>
      <w:t>roz</w:t>
    </w:r>
    <w:r>
      <w:rPr>
        <w:sz w:val="20"/>
        <w:szCs w:val="20"/>
      </w:rPr>
      <w:t>LAPK</w:t>
    </w:r>
    <w:r w:rsidRPr="00DC0116">
      <w:rPr>
        <w:sz w:val="20"/>
        <w:szCs w:val="20"/>
      </w:rPr>
      <w:t xml:space="preserve">; </w:t>
    </w:r>
    <w:r>
      <w:rPr>
        <w:sz w:val="20"/>
        <w:szCs w:val="20"/>
      </w:rPr>
      <w:t>Likumprojekta „Grozījumi</w:t>
    </w:r>
    <w:r w:rsidRPr="00DC0116">
      <w:rPr>
        <w:sz w:val="20"/>
        <w:szCs w:val="20"/>
      </w:rPr>
      <w:t xml:space="preserve"> </w:t>
    </w:r>
    <w:r>
      <w:rPr>
        <w:sz w:val="20"/>
        <w:szCs w:val="20"/>
      </w:rPr>
      <w:t>Latvijas Administratīvo pārkāpumu kodeksā</w:t>
    </w:r>
    <w:r w:rsidRPr="00DC0116">
      <w:rPr>
        <w:sz w:val="20"/>
        <w:szCs w:val="20"/>
      </w:rPr>
      <w:t>” sākotnējās</w:t>
    </w:r>
    <w:r w:rsidRPr="0062716C">
      <w:rPr>
        <w:sz w:val="20"/>
        <w:szCs w:val="20"/>
      </w:rPr>
      <w:t xml:space="preserve"> ietekmes novērtējuma </w:t>
    </w:r>
    <w:smartTag w:uri="schemas-tilde-lv/tildestengine" w:element="veidnes">
      <w:smartTagPr>
        <w:attr w:name="text" w:val="ziņojums"/>
        <w:attr w:name="baseform" w:val="ziņojums"/>
        <w:attr w:name="id" w:val="-1"/>
      </w:smartTagPr>
      <w:r w:rsidRPr="0062716C">
        <w:rPr>
          <w:sz w:val="20"/>
          <w:szCs w:val="20"/>
        </w:rPr>
        <w:t>ziņojums</w:t>
      </w:r>
    </w:smartTag>
    <w:r w:rsidRPr="0062716C">
      <w:rPr>
        <w:sz w:val="20"/>
        <w:szCs w:val="20"/>
      </w:rPr>
      <w:t xml:space="preserve">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3" w:rsidRPr="0062716C" w:rsidRDefault="004E2B63" w:rsidP="00DF610F">
    <w:pPr>
      <w:jc w:val="both"/>
      <w:rPr>
        <w:sz w:val="20"/>
        <w:szCs w:val="20"/>
      </w:rPr>
    </w:pPr>
    <w:r w:rsidRPr="00DC0116">
      <w:rPr>
        <w:sz w:val="20"/>
        <w:szCs w:val="20"/>
      </w:rPr>
      <w:t>EMAnot_</w:t>
    </w:r>
    <w:r w:rsidR="000F0B8F">
      <w:rPr>
        <w:sz w:val="20"/>
        <w:szCs w:val="20"/>
      </w:rPr>
      <w:t>2303</w:t>
    </w:r>
    <w:r w:rsidRPr="00DC0116">
      <w:rPr>
        <w:sz w:val="20"/>
        <w:szCs w:val="20"/>
      </w:rPr>
      <w:t>1</w:t>
    </w:r>
    <w:r>
      <w:rPr>
        <w:sz w:val="20"/>
        <w:szCs w:val="20"/>
      </w:rPr>
      <w:t>2_g</w:t>
    </w:r>
    <w:r w:rsidRPr="00DC0116">
      <w:rPr>
        <w:sz w:val="20"/>
        <w:szCs w:val="20"/>
      </w:rPr>
      <w:t>roz</w:t>
    </w:r>
    <w:r>
      <w:rPr>
        <w:sz w:val="20"/>
        <w:szCs w:val="20"/>
      </w:rPr>
      <w:t>LAPK</w:t>
    </w:r>
    <w:r w:rsidRPr="00DC0116">
      <w:rPr>
        <w:sz w:val="20"/>
        <w:szCs w:val="20"/>
      </w:rPr>
      <w:t xml:space="preserve">; </w:t>
    </w:r>
    <w:bookmarkStart w:id="10" w:name="OLE_LINK9"/>
    <w:bookmarkStart w:id="11" w:name="OLE_LINK10"/>
    <w:r>
      <w:rPr>
        <w:sz w:val="20"/>
        <w:szCs w:val="20"/>
      </w:rPr>
      <w:t>Likumprojekta „Grozījumi</w:t>
    </w:r>
    <w:r w:rsidRPr="00DC0116">
      <w:rPr>
        <w:sz w:val="20"/>
        <w:szCs w:val="20"/>
      </w:rPr>
      <w:t xml:space="preserve"> </w:t>
    </w:r>
    <w:r>
      <w:rPr>
        <w:sz w:val="20"/>
        <w:szCs w:val="20"/>
      </w:rPr>
      <w:t>Latvijas Administratīvo pārkāpumu kodeksā</w:t>
    </w:r>
    <w:r w:rsidRPr="00DC0116">
      <w:rPr>
        <w:sz w:val="20"/>
        <w:szCs w:val="20"/>
      </w:rPr>
      <w:t>” sākotnējās</w:t>
    </w:r>
    <w:r w:rsidRPr="0062716C">
      <w:rPr>
        <w:sz w:val="20"/>
        <w:szCs w:val="20"/>
      </w:rPr>
      <w:t xml:space="preserve"> ietekmes novērtējuma </w:t>
    </w:r>
    <w:smartTag w:uri="schemas-tilde-lv/tildestengine" w:element="veidnes">
      <w:smartTagPr>
        <w:attr w:name="text" w:val="ziņojums"/>
        <w:attr w:name="baseform" w:val="ziņojums"/>
        <w:attr w:name="id" w:val="-1"/>
      </w:smartTagPr>
      <w:r w:rsidRPr="0062716C">
        <w:rPr>
          <w:sz w:val="20"/>
          <w:szCs w:val="20"/>
        </w:rPr>
        <w:t>ziņojums</w:t>
      </w:r>
    </w:smartTag>
    <w:r w:rsidRPr="0062716C">
      <w:rPr>
        <w:sz w:val="20"/>
        <w:szCs w:val="20"/>
      </w:rPr>
      <w:t xml:space="preserve"> (anotācija)</w:t>
    </w:r>
    <w:bookmarkEnd w:id="10"/>
    <w:bookmarkEnd w:id="11"/>
    <w:r>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4BB" w:rsidRDefault="001814BB" w:rsidP="000E3B01">
      <w:r>
        <w:separator/>
      </w:r>
    </w:p>
  </w:footnote>
  <w:footnote w:type="continuationSeparator" w:id="0">
    <w:p w:rsidR="001814BB" w:rsidRDefault="001814BB" w:rsidP="000E3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3" w:rsidRDefault="00186F4C" w:rsidP="00DF610F">
    <w:pPr>
      <w:pStyle w:val="Header"/>
      <w:framePr w:wrap="around" w:vAnchor="text" w:hAnchor="margin" w:xAlign="center" w:y="1"/>
      <w:rPr>
        <w:rStyle w:val="PageNumber"/>
      </w:rPr>
    </w:pPr>
    <w:r>
      <w:rPr>
        <w:rStyle w:val="PageNumber"/>
      </w:rPr>
      <w:fldChar w:fldCharType="begin"/>
    </w:r>
    <w:r w:rsidR="004E2B63">
      <w:rPr>
        <w:rStyle w:val="PageNumber"/>
      </w:rPr>
      <w:instrText xml:space="preserve">PAGE  </w:instrText>
    </w:r>
    <w:r>
      <w:rPr>
        <w:rStyle w:val="PageNumber"/>
      </w:rPr>
      <w:fldChar w:fldCharType="end"/>
    </w:r>
  </w:p>
  <w:p w:rsidR="004E2B63" w:rsidRDefault="004E2B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63" w:rsidRDefault="00186F4C" w:rsidP="00DF610F">
    <w:pPr>
      <w:pStyle w:val="Header"/>
      <w:framePr w:wrap="around" w:vAnchor="text" w:hAnchor="margin" w:xAlign="center" w:y="1"/>
      <w:rPr>
        <w:rStyle w:val="PageNumber"/>
      </w:rPr>
    </w:pPr>
    <w:r>
      <w:rPr>
        <w:rStyle w:val="PageNumber"/>
      </w:rPr>
      <w:fldChar w:fldCharType="begin"/>
    </w:r>
    <w:r w:rsidR="004E2B63">
      <w:rPr>
        <w:rStyle w:val="PageNumber"/>
      </w:rPr>
      <w:instrText xml:space="preserve">PAGE  </w:instrText>
    </w:r>
    <w:r>
      <w:rPr>
        <w:rStyle w:val="PageNumber"/>
      </w:rPr>
      <w:fldChar w:fldCharType="separate"/>
    </w:r>
    <w:r w:rsidR="00C057D5">
      <w:rPr>
        <w:rStyle w:val="PageNumber"/>
        <w:noProof/>
      </w:rPr>
      <w:t>13</w:t>
    </w:r>
    <w:r>
      <w:rPr>
        <w:rStyle w:val="PageNumber"/>
      </w:rPr>
      <w:fldChar w:fldCharType="end"/>
    </w:r>
  </w:p>
  <w:p w:rsidR="004E2B63" w:rsidRPr="006546BC" w:rsidRDefault="004E2B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699"/>
    <w:multiLevelType w:val="hybridMultilevel"/>
    <w:tmpl w:val="9B324D14"/>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1">
    <w:nsid w:val="12297262"/>
    <w:multiLevelType w:val="hybridMultilevel"/>
    <w:tmpl w:val="F492193A"/>
    <w:lvl w:ilvl="0" w:tplc="180CF550">
      <w:start w:val="6"/>
      <w:numFmt w:val="bullet"/>
      <w:lvlText w:val="-"/>
      <w:lvlJc w:val="left"/>
      <w:pPr>
        <w:ind w:left="1712" w:hanging="360"/>
      </w:pPr>
      <w:rPr>
        <w:rFonts w:ascii="Calibri" w:eastAsia="Calibri" w:hAnsi="Calibri" w:cs="Times New Roman" w:hint="default"/>
      </w:rPr>
    </w:lvl>
    <w:lvl w:ilvl="1" w:tplc="04260003" w:tentative="1">
      <w:start w:val="1"/>
      <w:numFmt w:val="bullet"/>
      <w:lvlText w:val="o"/>
      <w:lvlJc w:val="left"/>
      <w:pPr>
        <w:ind w:left="2432" w:hanging="360"/>
      </w:pPr>
      <w:rPr>
        <w:rFonts w:ascii="Courier New" w:hAnsi="Courier New" w:cs="Courier New" w:hint="default"/>
      </w:rPr>
    </w:lvl>
    <w:lvl w:ilvl="2" w:tplc="04260005" w:tentative="1">
      <w:start w:val="1"/>
      <w:numFmt w:val="bullet"/>
      <w:lvlText w:val=""/>
      <w:lvlJc w:val="left"/>
      <w:pPr>
        <w:ind w:left="3152" w:hanging="360"/>
      </w:pPr>
      <w:rPr>
        <w:rFonts w:ascii="Wingdings" w:hAnsi="Wingdings" w:hint="default"/>
      </w:rPr>
    </w:lvl>
    <w:lvl w:ilvl="3" w:tplc="04260001" w:tentative="1">
      <w:start w:val="1"/>
      <w:numFmt w:val="bullet"/>
      <w:lvlText w:val=""/>
      <w:lvlJc w:val="left"/>
      <w:pPr>
        <w:ind w:left="3872" w:hanging="360"/>
      </w:pPr>
      <w:rPr>
        <w:rFonts w:ascii="Symbol" w:hAnsi="Symbol" w:hint="default"/>
      </w:rPr>
    </w:lvl>
    <w:lvl w:ilvl="4" w:tplc="04260003" w:tentative="1">
      <w:start w:val="1"/>
      <w:numFmt w:val="bullet"/>
      <w:lvlText w:val="o"/>
      <w:lvlJc w:val="left"/>
      <w:pPr>
        <w:ind w:left="4592" w:hanging="360"/>
      </w:pPr>
      <w:rPr>
        <w:rFonts w:ascii="Courier New" w:hAnsi="Courier New" w:cs="Courier New" w:hint="default"/>
      </w:rPr>
    </w:lvl>
    <w:lvl w:ilvl="5" w:tplc="04260005" w:tentative="1">
      <w:start w:val="1"/>
      <w:numFmt w:val="bullet"/>
      <w:lvlText w:val=""/>
      <w:lvlJc w:val="left"/>
      <w:pPr>
        <w:ind w:left="5312" w:hanging="360"/>
      </w:pPr>
      <w:rPr>
        <w:rFonts w:ascii="Wingdings" w:hAnsi="Wingdings" w:hint="default"/>
      </w:rPr>
    </w:lvl>
    <w:lvl w:ilvl="6" w:tplc="04260001" w:tentative="1">
      <w:start w:val="1"/>
      <w:numFmt w:val="bullet"/>
      <w:lvlText w:val=""/>
      <w:lvlJc w:val="left"/>
      <w:pPr>
        <w:ind w:left="6032" w:hanging="360"/>
      </w:pPr>
      <w:rPr>
        <w:rFonts w:ascii="Symbol" w:hAnsi="Symbol" w:hint="default"/>
      </w:rPr>
    </w:lvl>
    <w:lvl w:ilvl="7" w:tplc="04260003" w:tentative="1">
      <w:start w:val="1"/>
      <w:numFmt w:val="bullet"/>
      <w:lvlText w:val="o"/>
      <w:lvlJc w:val="left"/>
      <w:pPr>
        <w:ind w:left="6752" w:hanging="360"/>
      </w:pPr>
      <w:rPr>
        <w:rFonts w:ascii="Courier New" w:hAnsi="Courier New" w:cs="Courier New" w:hint="default"/>
      </w:rPr>
    </w:lvl>
    <w:lvl w:ilvl="8" w:tplc="04260005" w:tentative="1">
      <w:start w:val="1"/>
      <w:numFmt w:val="bullet"/>
      <w:lvlText w:val=""/>
      <w:lvlJc w:val="left"/>
      <w:pPr>
        <w:ind w:left="7472" w:hanging="360"/>
      </w:pPr>
      <w:rPr>
        <w:rFonts w:ascii="Wingdings" w:hAnsi="Wingdings" w:hint="default"/>
      </w:rPr>
    </w:lvl>
  </w:abstractNum>
  <w:abstractNum w:abstractNumId="2">
    <w:nsid w:val="15370ABA"/>
    <w:multiLevelType w:val="multilevel"/>
    <w:tmpl w:val="F2BE1E40"/>
    <w:lvl w:ilvl="0">
      <w:start w:val="1"/>
      <w:numFmt w:val="upperRoman"/>
      <w:lvlText w:val="%1."/>
      <w:lvlJc w:val="right"/>
      <w:pPr>
        <w:ind w:left="1080" w:hanging="360"/>
      </w:p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
    <w:nsid w:val="4323531D"/>
    <w:multiLevelType w:val="hybridMultilevel"/>
    <w:tmpl w:val="7A3CEFF2"/>
    <w:lvl w:ilvl="0" w:tplc="180CF550">
      <w:start w:val="6"/>
      <w:numFmt w:val="bullet"/>
      <w:lvlText w:val="-"/>
      <w:lvlJc w:val="left"/>
      <w:pPr>
        <w:ind w:left="1353"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E6D6EC6"/>
    <w:multiLevelType w:val="hybridMultilevel"/>
    <w:tmpl w:val="D63EC990"/>
    <w:lvl w:ilvl="0" w:tplc="0426000D">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3B01"/>
    <w:rsid w:val="00025688"/>
    <w:rsid w:val="00062EFC"/>
    <w:rsid w:val="00094A8A"/>
    <w:rsid w:val="0009565E"/>
    <w:rsid w:val="000B3E33"/>
    <w:rsid w:val="000E3B01"/>
    <w:rsid w:val="000E4C9A"/>
    <w:rsid w:val="000F0B8F"/>
    <w:rsid w:val="00135E98"/>
    <w:rsid w:val="001417D1"/>
    <w:rsid w:val="0014530C"/>
    <w:rsid w:val="00160D9F"/>
    <w:rsid w:val="00164CE0"/>
    <w:rsid w:val="00177439"/>
    <w:rsid w:val="001814BB"/>
    <w:rsid w:val="00186F4C"/>
    <w:rsid w:val="00196D94"/>
    <w:rsid w:val="00213765"/>
    <w:rsid w:val="00214917"/>
    <w:rsid w:val="00242F77"/>
    <w:rsid w:val="002547B6"/>
    <w:rsid w:val="0027496A"/>
    <w:rsid w:val="00281BBD"/>
    <w:rsid w:val="00296B51"/>
    <w:rsid w:val="002C65AD"/>
    <w:rsid w:val="0031021C"/>
    <w:rsid w:val="00312447"/>
    <w:rsid w:val="00317390"/>
    <w:rsid w:val="00345CAB"/>
    <w:rsid w:val="00387434"/>
    <w:rsid w:val="003A733A"/>
    <w:rsid w:val="003A791D"/>
    <w:rsid w:val="003C6DF9"/>
    <w:rsid w:val="00406593"/>
    <w:rsid w:val="004104E7"/>
    <w:rsid w:val="00420FD2"/>
    <w:rsid w:val="00440023"/>
    <w:rsid w:val="00490971"/>
    <w:rsid w:val="0049448D"/>
    <w:rsid w:val="004B2F97"/>
    <w:rsid w:val="004C14D3"/>
    <w:rsid w:val="004C4BA1"/>
    <w:rsid w:val="004D4796"/>
    <w:rsid w:val="004E2B63"/>
    <w:rsid w:val="004E62A6"/>
    <w:rsid w:val="005328CF"/>
    <w:rsid w:val="00597D0D"/>
    <w:rsid w:val="005A10BD"/>
    <w:rsid w:val="005A7B98"/>
    <w:rsid w:val="005B69DA"/>
    <w:rsid w:val="005D2394"/>
    <w:rsid w:val="005E648A"/>
    <w:rsid w:val="005F00ED"/>
    <w:rsid w:val="005F0177"/>
    <w:rsid w:val="00611552"/>
    <w:rsid w:val="006425EA"/>
    <w:rsid w:val="00653081"/>
    <w:rsid w:val="006546BC"/>
    <w:rsid w:val="00685119"/>
    <w:rsid w:val="006904BB"/>
    <w:rsid w:val="006945D4"/>
    <w:rsid w:val="00695647"/>
    <w:rsid w:val="006B20D9"/>
    <w:rsid w:val="006F5927"/>
    <w:rsid w:val="00702A58"/>
    <w:rsid w:val="0073581C"/>
    <w:rsid w:val="00767B64"/>
    <w:rsid w:val="007758AE"/>
    <w:rsid w:val="00776AB6"/>
    <w:rsid w:val="007771F4"/>
    <w:rsid w:val="007936AC"/>
    <w:rsid w:val="007E7580"/>
    <w:rsid w:val="007F328F"/>
    <w:rsid w:val="007F3D1E"/>
    <w:rsid w:val="008042B7"/>
    <w:rsid w:val="00810923"/>
    <w:rsid w:val="00816517"/>
    <w:rsid w:val="008612E9"/>
    <w:rsid w:val="008664C8"/>
    <w:rsid w:val="008D59D5"/>
    <w:rsid w:val="008E2AF6"/>
    <w:rsid w:val="008F7C20"/>
    <w:rsid w:val="0092162C"/>
    <w:rsid w:val="00943AE8"/>
    <w:rsid w:val="009533F9"/>
    <w:rsid w:val="00976634"/>
    <w:rsid w:val="009B3F85"/>
    <w:rsid w:val="009E6FB0"/>
    <w:rsid w:val="00A5692B"/>
    <w:rsid w:val="00A67F4E"/>
    <w:rsid w:val="00AB1F8B"/>
    <w:rsid w:val="00AC1F2D"/>
    <w:rsid w:val="00AF08AC"/>
    <w:rsid w:val="00B071AE"/>
    <w:rsid w:val="00B7268C"/>
    <w:rsid w:val="00B8517D"/>
    <w:rsid w:val="00BA4F77"/>
    <w:rsid w:val="00BA6869"/>
    <w:rsid w:val="00BA7A25"/>
    <w:rsid w:val="00BA7E2A"/>
    <w:rsid w:val="00BB773E"/>
    <w:rsid w:val="00C057D5"/>
    <w:rsid w:val="00C06A98"/>
    <w:rsid w:val="00C761F2"/>
    <w:rsid w:val="00C812AF"/>
    <w:rsid w:val="00C85960"/>
    <w:rsid w:val="00CA65B1"/>
    <w:rsid w:val="00CD0301"/>
    <w:rsid w:val="00D170BA"/>
    <w:rsid w:val="00D25917"/>
    <w:rsid w:val="00D3179B"/>
    <w:rsid w:val="00D36B90"/>
    <w:rsid w:val="00D429FA"/>
    <w:rsid w:val="00D47588"/>
    <w:rsid w:val="00D81ABF"/>
    <w:rsid w:val="00D85AEF"/>
    <w:rsid w:val="00DA0391"/>
    <w:rsid w:val="00DC6032"/>
    <w:rsid w:val="00DF35A8"/>
    <w:rsid w:val="00DF610F"/>
    <w:rsid w:val="00E461FA"/>
    <w:rsid w:val="00E63950"/>
    <w:rsid w:val="00F067B2"/>
    <w:rsid w:val="00F16AC3"/>
    <w:rsid w:val="00F251E2"/>
    <w:rsid w:val="00F2713C"/>
    <w:rsid w:val="00F359AD"/>
    <w:rsid w:val="00F43DAD"/>
    <w:rsid w:val="00FC2919"/>
    <w:rsid w:val="00FE79D1"/>
    <w:rsid w:val="00FF10CC"/>
    <w:rsid w:val="00FF356A"/>
    <w:rsid w:val="00FF72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currency"/>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0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3B01"/>
    <w:pPr>
      <w:tabs>
        <w:tab w:val="center" w:pos="4153"/>
        <w:tab w:val="right" w:pos="8306"/>
      </w:tabs>
    </w:pPr>
  </w:style>
  <w:style w:type="character" w:customStyle="1" w:styleId="HeaderChar">
    <w:name w:val="Header Char"/>
    <w:basedOn w:val="DefaultParagraphFont"/>
    <w:link w:val="Header"/>
    <w:rsid w:val="000E3B01"/>
    <w:rPr>
      <w:rFonts w:ascii="Times New Roman" w:eastAsia="Times New Roman" w:hAnsi="Times New Roman" w:cs="Times New Roman"/>
      <w:sz w:val="24"/>
      <w:szCs w:val="24"/>
      <w:lang w:eastAsia="lv-LV"/>
    </w:rPr>
  </w:style>
  <w:style w:type="character" w:styleId="PageNumber">
    <w:name w:val="page number"/>
    <w:basedOn w:val="DefaultParagraphFont"/>
    <w:rsid w:val="000E3B01"/>
  </w:style>
  <w:style w:type="paragraph" w:customStyle="1" w:styleId="naisf">
    <w:name w:val="naisf"/>
    <w:basedOn w:val="Normal"/>
    <w:rsid w:val="000E3B01"/>
    <w:pPr>
      <w:spacing w:before="75" w:after="75"/>
      <w:ind w:firstLine="375"/>
      <w:jc w:val="both"/>
    </w:pPr>
  </w:style>
  <w:style w:type="paragraph" w:customStyle="1" w:styleId="naisnod">
    <w:name w:val="naisnod"/>
    <w:basedOn w:val="Normal"/>
    <w:rsid w:val="000E3B01"/>
    <w:pPr>
      <w:spacing w:before="150" w:after="150"/>
      <w:jc w:val="center"/>
    </w:pPr>
    <w:rPr>
      <w:b/>
      <w:bCs/>
    </w:rPr>
  </w:style>
  <w:style w:type="paragraph" w:customStyle="1" w:styleId="naislab">
    <w:name w:val="naislab"/>
    <w:basedOn w:val="Normal"/>
    <w:rsid w:val="000E3B01"/>
    <w:pPr>
      <w:spacing w:before="75" w:after="75"/>
      <w:jc w:val="right"/>
    </w:pPr>
  </w:style>
  <w:style w:type="paragraph" w:customStyle="1" w:styleId="naiskr">
    <w:name w:val="naiskr"/>
    <w:basedOn w:val="Normal"/>
    <w:rsid w:val="000E3B01"/>
    <w:pPr>
      <w:spacing w:before="75" w:after="75"/>
    </w:pPr>
  </w:style>
  <w:style w:type="paragraph" w:styleId="FootnoteText">
    <w:name w:val="footnote text"/>
    <w:basedOn w:val="Normal"/>
    <w:link w:val="FootnoteTextChar"/>
    <w:uiPriority w:val="99"/>
    <w:semiHidden/>
    <w:rsid w:val="000E3B01"/>
    <w:rPr>
      <w:sz w:val="20"/>
      <w:szCs w:val="20"/>
    </w:rPr>
  </w:style>
  <w:style w:type="character" w:customStyle="1" w:styleId="FootnoteTextChar">
    <w:name w:val="Footnote Text Char"/>
    <w:basedOn w:val="DefaultParagraphFont"/>
    <w:link w:val="FootnoteText"/>
    <w:uiPriority w:val="99"/>
    <w:semiHidden/>
    <w:rsid w:val="000E3B0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rsid w:val="000E3B01"/>
    <w:rPr>
      <w:vertAlign w:val="superscript"/>
    </w:rPr>
  </w:style>
  <w:style w:type="paragraph" w:styleId="Footer">
    <w:name w:val="footer"/>
    <w:basedOn w:val="Normal"/>
    <w:link w:val="FooterChar"/>
    <w:rsid w:val="000E3B01"/>
    <w:pPr>
      <w:tabs>
        <w:tab w:val="center" w:pos="4153"/>
        <w:tab w:val="right" w:pos="8306"/>
      </w:tabs>
    </w:pPr>
  </w:style>
  <w:style w:type="character" w:customStyle="1" w:styleId="FooterChar">
    <w:name w:val="Footer Char"/>
    <w:basedOn w:val="DefaultParagraphFont"/>
    <w:link w:val="Footer"/>
    <w:rsid w:val="000E3B01"/>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0E3B01"/>
    <w:rPr>
      <w:color w:val="0000FF"/>
      <w:u w:val="single"/>
    </w:rPr>
  </w:style>
  <w:style w:type="character" w:customStyle="1" w:styleId="apple-style-span">
    <w:name w:val="apple-style-span"/>
    <w:basedOn w:val="DefaultParagraphFont"/>
    <w:rsid w:val="000E3B01"/>
  </w:style>
  <w:style w:type="paragraph" w:styleId="NormalWeb">
    <w:name w:val="Normal (Web)"/>
    <w:basedOn w:val="Normal"/>
    <w:rsid w:val="000E3B01"/>
    <w:pPr>
      <w:spacing w:before="100" w:beforeAutospacing="1" w:after="100" w:afterAutospacing="1"/>
    </w:pPr>
  </w:style>
  <w:style w:type="paragraph" w:styleId="Subtitle">
    <w:name w:val="Subtitle"/>
    <w:basedOn w:val="Normal"/>
    <w:link w:val="SubtitleChar"/>
    <w:qFormat/>
    <w:rsid w:val="000E3B01"/>
    <w:pPr>
      <w:widowControl w:val="0"/>
      <w:spacing w:before="60" w:after="60" w:line="360" w:lineRule="auto"/>
      <w:ind w:firstLine="720"/>
      <w:jc w:val="both"/>
    </w:pPr>
    <w:rPr>
      <w:sz w:val="28"/>
      <w:szCs w:val="20"/>
    </w:rPr>
  </w:style>
  <w:style w:type="character" w:customStyle="1" w:styleId="SubtitleChar">
    <w:name w:val="Subtitle Char"/>
    <w:basedOn w:val="DefaultParagraphFont"/>
    <w:link w:val="Subtitle"/>
    <w:rsid w:val="000E3B01"/>
    <w:rPr>
      <w:rFonts w:ascii="Times New Roman" w:eastAsia="Times New Roman" w:hAnsi="Times New Roman" w:cs="Times New Roman"/>
      <w:sz w:val="28"/>
      <w:szCs w:val="20"/>
      <w:lang w:eastAsia="lv-LV"/>
    </w:rPr>
  </w:style>
  <w:style w:type="paragraph" w:customStyle="1" w:styleId="Default">
    <w:name w:val="Default"/>
    <w:rsid w:val="000E3B01"/>
    <w:pPr>
      <w:autoSpaceDE w:val="0"/>
      <w:autoSpaceDN w:val="0"/>
      <w:adjustRightInd w:val="0"/>
      <w:spacing w:after="0" w:line="240" w:lineRule="auto"/>
    </w:pPr>
    <w:rPr>
      <w:rFonts w:ascii="EUAlbertina" w:hAnsi="EUAlbertina" w:cs="EUAlbertina"/>
      <w:color w:val="000000"/>
      <w:sz w:val="24"/>
      <w:szCs w:val="24"/>
    </w:rPr>
  </w:style>
  <w:style w:type="paragraph" w:customStyle="1" w:styleId="story">
    <w:name w:val="story"/>
    <w:basedOn w:val="Normal"/>
    <w:rsid w:val="000E3B01"/>
    <w:pPr>
      <w:shd w:val="clear" w:color="auto" w:fill="FFFFFF"/>
      <w:spacing w:before="90" w:after="90" w:line="384" w:lineRule="auto"/>
      <w:ind w:left="150" w:right="225" w:firstLine="225"/>
      <w:jc w:val="both"/>
    </w:pPr>
    <w:rPr>
      <w:rFonts w:ascii="Verdana" w:hAnsi="Verdana"/>
      <w:color w:val="000080"/>
      <w:sz w:val="18"/>
      <w:szCs w:val="18"/>
    </w:rPr>
  </w:style>
  <w:style w:type="paragraph" w:styleId="BalloonText">
    <w:name w:val="Balloon Text"/>
    <w:basedOn w:val="Normal"/>
    <w:link w:val="BalloonTextChar"/>
    <w:uiPriority w:val="99"/>
    <w:semiHidden/>
    <w:unhideWhenUsed/>
    <w:rsid w:val="00D47588"/>
    <w:rPr>
      <w:rFonts w:ascii="Tahoma" w:hAnsi="Tahoma" w:cs="Tahoma"/>
      <w:sz w:val="16"/>
      <w:szCs w:val="16"/>
    </w:rPr>
  </w:style>
  <w:style w:type="character" w:customStyle="1" w:styleId="BalloonTextChar">
    <w:name w:val="Balloon Text Char"/>
    <w:basedOn w:val="DefaultParagraphFont"/>
    <w:link w:val="BalloonText"/>
    <w:uiPriority w:val="99"/>
    <w:semiHidden/>
    <w:rsid w:val="00D47588"/>
    <w:rPr>
      <w:rFonts w:ascii="Tahoma" w:eastAsia="Times New Roman" w:hAnsi="Tahoma" w:cs="Tahoma"/>
      <w:sz w:val="16"/>
      <w:szCs w:val="16"/>
      <w:lang w:eastAsia="lv-LV"/>
    </w:rPr>
  </w:style>
  <w:style w:type="character" w:styleId="CommentReference">
    <w:name w:val="annotation reference"/>
    <w:uiPriority w:val="99"/>
    <w:semiHidden/>
    <w:rsid w:val="00A5692B"/>
    <w:rPr>
      <w:rFonts w:cs="Times New Roman"/>
      <w:sz w:val="16"/>
      <w:szCs w:val="16"/>
    </w:rPr>
  </w:style>
  <w:style w:type="paragraph" w:styleId="CommentText">
    <w:name w:val="annotation text"/>
    <w:basedOn w:val="Normal"/>
    <w:link w:val="CommentTextChar"/>
    <w:uiPriority w:val="99"/>
    <w:semiHidden/>
    <w:rsid w:val="00A5692B"/>
    <w:rPr>
      <w:sz w:val="20"/>
      <w:szCs w:val="20"/>
    </w:rPr>
  </w:style>
  <w:style w:type="character" w:customStyle="1" w:styleId="CommentTextChar">
    <w:name w:val="Comment Text Char"/>
    <w:basedOn w:val="DefaultParagraphFont"/>
    <w:link w:val="CommentText"/>
    <w:uiPriority w:val="99"/>
    <w:semiHidden/>
    <w:rsid w:val="00A5692B"/>
    <w:rPr>
      <w:rFonts w:ascii="Times New Roman" w:eastAsia="Times New Roman" w:hAnsi="Times New Roman" w:cs="Times New Roman"/>
      <w:sz w:val="20"/>
      <w:szCs w:val="20"/>
      <w:lang w:eastAsia="lv-LV"/>
    </w:rPr>
  </w:style>
  <w:style w:type="table" w:styleId="TableGrid">
    <w:name w:val="Table Grid"/>
    <w:basedOn w:val="TableNormal"/>
    <w:uiPriority w:val="59"/>
    <w:rsid w:val="00254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
    <w:name w:val="tv_html"/>
    <w:basedOn w:val="Normal"/>
    <w:rsid w:val="002547B6"/>
    <w:pPr>
      <w:spacing w:before="100" w:beforeAutospacing="1" w:after="100" w:afterAutospacing="1"/>
    </w:pPr>
    <w:rPr>
      <w:rFonts w:ascii="Verdana" w:hAnsi="Verdana"/>
      <w:sz w:val="18"/>
      <w:szCs w:val="18"/>
    </w:rPr>
  </w:style>
  <w:style w:type="paragraph" w:customStyle="1" w:styleId="naisc">
    <w:name w:val="naisc"/>
    <w:basedOn w:val="Normal"/>
    <w:uiPriority w:val="99"/>
    <w:rsid w:val="002547B6"/>
    <w:pPr>
      <w:spacing w:before="75" w:after="75"/>
      <w:jc w:val="center"/>
    </w:pPr>
  </w:style>
  <w:style w:type="paragraph" w:styleId="BodyText">
    <w:name w:val="Body Text"/>
    <w:basedOn w:val="Normal"/>
    <w:link w:val="BodyTextChar"/>
    <w:rsid w:val="002547B6"/>
    <w:pPr>
      <w:widowControl w:val="0"/>
      <w:overflowPunct w:val="0"/>
      <w:autoSpaceDE w:val="0"/>
      <w:autoSpaceDN w:val="0"/>
      <w:adjustRightInd w:val="0"/>
      <w:textAlignment w:val="baseline"/>
    </w:pPr>
    <w:rPr>
      <w:i/>
      <w:sz w:val="28"/>
      <w:szCs w:val="20"/>
      <w:lang w:val="en-US" w:eastAsia="en-US"/>
    </w:rPr>
  </w:style>
  <w:style w:type="character" w:customStyle="1" w:styleId="BodyTextChar">
    <w:name w:val="Body Text Char"/>
    <w:basedOn w:val="DefaultParagraphFont"/>
    <w:link w:val="BodyText"/>
    <w:rsid w:val="002547B6"/>
    <w:rPr>
      <w:rFonts w:ascii="Times New Roman" w:eastAsia="Times New Roman" w:hAnsi="Times New Roman" w:cs="Times New Roman"/>
      <w:i/>
      <w:sz w:val="28"/>
      <w:szCs w:val="20"/>
      <w:lang w:val="en-US"/>
    </w:rPr>
  </w:style>
  <w:style w:type="paragraph" w:styleId="ListParagraph">
    <w:name w:val="List Paragraph"/>
    <w:basedOn w:val="Normal"/>
    <w:uiPriority w:val="34"/>
    <w:qFormat/>
    <w:rsid w:val="002547B6"/>
    <w:pPr>
      <w:ind w:left="720"/>
    </w:pPr>
    <w:rPr>
      <w:rFonts w:ascii="Calibri" w:eastAsia="Calibri" w:hAnsi="Calibri"/>
      <w:sz w:val="22"/>
      <w:szCs w:val="22"/>
    </w:rPr>
  </w:style>
  <w:style w:type="character" w:customStyle="1" w:styleId="normalchar1">
    <w:name w:val="normal__char1"/>
    <w:basedOn w:val="DefaultParagraphFont"/>
    <w:rsid w:val="005A10BD"/>
    <w:rPr>
      <w:rFonts w:ascii="Calibri" w:hAnsi="Calibri" w:hint="default"/>
      <w:sz w:val="22"/>
      <w:szCs w:val="22"/>
    </w:rPr>
  </w:style>
</w:styles>
</file>

<file path=word/webSettings.xml><?xml version="1.0" encoding="utf-8"?>
<w:webSettings xmlns:r="http://schemas.openxmlformats.org/officeDocument/2006/relationships" xmlns:w="http://schemas.openxmlformats.org/wordprocessingml/2006/main">
  <w:divs>
    <w:div w:id="210650060">
      <w:bodyDiv w:val="1"/>
      <w:marLeft w:val="0"/>
      <w:marRight w:val="0"/>
      <w:marTop w:val="0"/>
      <w:marBottom w:val="0"/>
      <w:divBdr>
        <w:top w:val="none" w:sz="0" w:space="0" w:color="auto"/>
        <w:left w:val="none" w:sz="0" w:space="0" w:color="auto"/>
        <w:bottom w:val="none" w:sz="0" w:space="0" w:color="auto"/>
        <w:right w:val="none" w:sz="0" w:space="0" w:color="auto"/>
      </w:divBdr>
    </w:div>
    <w:div w:id="60569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13</Pages>
  <Words>3167</Words>
  <Characters>23378</Characters>
  <Application>Microsoft Office Word</Application>
  <DocSecurity>0</DocSecurity>
  <Lines>779</Lines>
  <Paragraphs>223</Paragraphs>
  <ScaleCrop>false</ScaleCrop>
  <HeadingPairs>
    <vt:vector size="2" baseType="variant">
      <vt:variant>
        <vt:lpstr>Title</vt:lpstr>
      </vt:variant>
      <vt:variant>
        <vt:i4>1</vt:i4>
      </vt:variant>
    </vt:vector>
  </HeadingPairs>
  <TitlesOfParts>
    <vt:vector size="1" baseType="lpstr">
      <vt:lpstr>Likumprojekta „Grozījumi Latvijas Administratīvo pārkāpumu kodeksā” sākotnējās ietekmes novērtējuma ziņojums (anotācija)</vt:lpstr>
    </vt:vector>
  </TitlesOfParts>
  <Company>LR Ekonomikas ministrija</Company>
  <LinksUpToDate>false</LinksUpToDate>
  <CharactersWithSpaces>26322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Linda Duntava</dc:creator>
  <dc:description>Linda.Duntava@em.gov.lv; 67013213</dc:description>
  <cp:lastModifiedBy>Linda Duntava</cp:lastModifiedBy>
  <cp:revision>30</cp:revision>
  <cp:lastPrinted>2012-03-23T10:33:00Z</cp:lastPrinted>
  <dcterms:created xsi:type="dcterms:W3CDTF">2012-01-24T18:05:00Z</dcterms:created>
  <dcterms:modified xsi:type="dcterms:W3CDTF">2012-03-23T11:09:00Z</dcterms:modified>
</cp:coreProperties>
</file>