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D6" w:rsidRPr="0024569C" w:rsidRDefault="0018559F" w:rsidP="0018559F">
      <w:pPr>
        <w:spacing w:after="0" w:line="240" w:lineRule="auto"/>
        <w:jc w:val="center"/>
        <w:rPr>
          <w:b/>
          <w:color w:val="000000" w:themeColor="text1"/>
        </w:rPr>
      </w:pPr>
      <w:r w:rsidRPr="0024569C">
        <w:rPr>
          <w:rFonts w:ascii="Times New Roman" w:hAnsi="Times New Roman"/>
          <w:b/>
          <w:color w:val="000000" w:themeColor="text1"/>
          <w:sz w:val="24"/>
          <w:szCs w:val="24"/>
        </w:rPr>
        <w:t>Ministru kabineta noteikumu projekta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„</w:t>
      </w:r>
      <w:r w:rsidRPr="0018559F">
        <w:rPr>
          <w:rFonts w:ascii="Times New Roman" w:hAnsi="Times New Roman"/>
          <w:b/>
          <w:color w:val="000000" w:themeColor="text1"/>
          <w:sz w:val="24"/>
          <w:szCs w:val="24"/>
        </w:rPr>
        <w:t>Grozījumi Ministru kabineta 2010.gada 30.septembra noteikumos Nr.923</w:t>
      </w:r>
      <w:r w:rsidR="00553A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8559F">
        <w:rPr>
          <w:rFonts w:ascii="Times New Roman" w:hAnsi="Times New Roman"/>
          <w:b/>
          <w:color w:val="000000" w:themeColor="text1"/>
          <w:sz w:val="24"/>
          <w:szCs w:val="24"/>
        </w:rPr>
        <w:t>„Kārtība, kādā uzskaita valsts enerģijas galapatēriņa ietaupījumu un nodrošina energoefektivitātes monitoringa sistēmas darbību”</w:t>
      </w:r>
      <w:r w:rsidR="001418F5" w:rsidRPr="0024569C">
        <w:rPr>
          <w:rFonts w:ascii="Times New Roman" w:hAnsi="Times New Roman"/>
          <w:b/>
          <w:bCs/>
          <w:color w:val="000000" w:themeColor="text1"/>
          <w:sz w:val="24"/>
          <w:szCs w:val="24"/>
        </w:rPr>
        <w:t>”</w:t>
      </w:r>
      <w:r w:rsidR="00A67D40" w:rsidRPr="0024569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67D40" w:rsidRPr="0024569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sākotnējās ietekmes novērtējuma ziņojums (anotācija)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999"/>
        <w:gridCol w:w="6176"/>
      </w:tblGrid>
      <w:tr w:rsidR="0024569C" w:rsidRPr="0024569C" w:rsidTr="00AC5899">
        <w:tc>
          <w:tcPr>
            <w:tcW w:w="9725" w:type="dxa"/>
            <w:gridSpan w:val="3"/>
            <w:vAlign w:val="center"/>
          </w:tcPr>
          <w:p w:rsidR="00CE44D6" w:rsidRPr="0024569C" w:rsidRDefault="00CE44D6" w:rsidP="00494B41">
            <w:pPr>
              <w:pStyle w:val="naisnod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I. Tiesību akta projekta izstrādes nepieciešamība</w:t>
            </w:r>
          </w:p>
        </w:tc>
      </w:tr>
      <w:tr w:rsidR="0024569C" w:rsidRPr="0024569C" w:rsidTr="002F76E7">
        <w:trPr>
          <w:trHeight w:val="630"/>
        </w:trPr>
        <w:tc>
          <w:tcPr>
            <w:tcW w:w="550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1.</w:t>
            </w:r>
          </w:p>
        </w:tc>
        <w:tc>
          <w:tcPr>
            <w:tcW w:w="2999" w:type="dxa"/>
          </w:tcPr>
          <w:p w:rsidR="00CE44D6" w:rsidRPr="0024569C" w:rsidRDefault="00CE44D6" w:rsidP="00494B41">
            <w:pPr>
              <w:pStyle w:val="naiskr"/>
              <w:spacing w:before="0" w:after="0"/>
              <w:ind w:hanging="1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Pamatojums</w:t>
            </w:r>
          </w:p>
        </w:tc>
        <w:tc>
          <w:tcPr>
            <w:tcW w:w="6176" w:type="dxa"/>
          </w:tcPr>
          <w:p w:rsidR="00F95F9B" w:rsidRPr="0024569C" w:rsidRDefault="00F95F9B" w:rsidP="00662B38">
            <w:pPr>
              <w:pStyle w:val="naiskr"/>
              <w:snapToGrid w:val="0"/>
              <w:spacing w:before="0" w:after="0"/>
              <w:ind w:right="48"/>
              <w:jc w:val="both"/>
              <w:rPr>
                <w:bCs/>
                <w:color w:val="000000" w:themeColor="text1"/>
              </w:rPr>
            </w:pPr>
            <w:proofErr w:type="spellStart"/>
            <w:r w:rsidRPr="00DE2C55">
              <w:rPr>
                <w:i/>
                <w:iCs/>
              </w:rPr>
              <w:t>Euro</w:t>
            </w:r>
            <w:proofErr w:type="spellEnd"/>
            <w:r w:rsidRPr="00DE2C55">
              <w:rPr>
                <w:i/>
                <w:iCs/>
              </w:rPr>
              <w:t xml:space="preserve"> </w:t>
            </w:r>
            <w:r w:rsidRPr="00DE2C55">
              <w:t>ieviešanas kārtības likuma 30.</w:t>
            </w:r>
            <w:r w:rsidR="00F343A1">
              <w:t> </w:t>
            </w:r>
            <w:r w:rsidRPr="00DE2C55">
              <w:t>panta pirmā daļa, Ministru kabineta 2012.</w:t>
            </w:r>
            <w:r w:rsidR="00371C59">
              <w:t> </w:t>
            </w:r>
            <w:r w:rsidRPr="00DE2C55">
              <w:t>gada 27.</w:t>
            </w:r>
            <w:r w:rsidR="00371C59">
              <w:t> </w:t>
            </w:r>
            <w:r w:rsidRPr="00DE2C55">
              <w:t xml:space="preserve">jūnija rīkojuma </w:t>
            </w:r>
            <w:proofErr w:type="spellStart"/>
            <w:r w:rsidRPr="00DE2C55">
              <w:t>Nr</w:t>
            </w:r>
            <w:proofErr w:type="spellEnd"/>
            <w:r w:rsidRPr="00DE2C55">
              <w:t>.</w:t>
            </w:r>
            <w:r w:rsidR="00F343A1">
              <w:t> </w:t>
            </w:r>
            <w:r w:rsidRPr="00DE2C55">
              <w:t>282 „Par „Koncepciju par normatīvo aktu sakārtošanu saistī</w:t>
            </w:r>
            <w:r w:rsidR="00662B38">
              <w:t>bā ar eiro ieviešanu Latvijā”” 7.1</w:t>
            </w:r>
            <w:r w:rsidRPr="00DE2C55">
              <w:t>.</w:t>
            </w:r>
            <w:r w:rsidR="00F343A1">
              <w:t> </w:t>
            </w:r>
            <w:r w:rsidRPr="00DE2C55">
              <w:t xml:space="preserve">punkts un Latvijas Nacionālā </w:t>
            </w:r>
            <w:proofErr w:type="spellStart"/>
            <w:r w:rsidRPr="00DE2C55">
              <w:rPr>
                <w:i/>
                <w:iCs/>
              </w:rPr>
              <w:t>euro</w:t>
            </w:r>
            <w:proofErr w:type="spellEnd"/>
            <w:r w:rsidRPr="00DE2C55">
              <w:rPr>
                <w:i/>
                <w:iCs/>
              </w:rPr>
              <w:t xml:space="preserve"> </w:t>
            </w:r>
            <w:r w:rsidRPr="00DE2C55">
              <w:t>ieviešanas plān</w:t>
            </w:r>
            <w:r w:rsidR="00B5224A">
              <w:t>a</w:t>
            </w:r>
            <w:r w:rsidRPr="00DE2C55">
              <w:t xml:space="preserve"> (apstiprināts ar Ministru kabineta 2013.</w:t>
            </w:r>
            <w:r w:rsidR="00F343A1">
              <w:t> </w:t>
            </w:r>
            <w:r w:rsidRPr="00DE2C55">
              <w:t>gada 4.</w:t>
            </w:r>
            <w:r w:rsidR="00371C59">
              <w:t> </w:t>
            </w:r>
            <w:r w:rsidRPr="00DE2C55">
              <w:t xml:space="preserve">aprīļa rīkojumu </w:t>
            </w:r>
            <w:proofErr w:type="spellStart"/>
            <w:r w:rsidRPr="00DE2C55">
              <w:t>Nr</w:t>
            </w:r>
            <w:proofErr w:type="spellEnd"/>
            <w:r w:rsidRPr="00DE2C55">
              <w:t>.</w:t>
            </w:r>
            <w:r w:rsidR="00F343A1">
              <w:t> </w:t>
            </w:r>
            <w:r w:rsidRPr="00DE2C55">
              <w:t>136)</w:t>
            </w:r>
            <w:r w:rsidR="00B5224A">
              <w:t xml:space="preserve"> 1. pielikuma J2.</w:t>
            </w:r>
            <w:r w:rsidR="00662B38">
              <w:t>2</w:t>
            </w:r>
            <w:r w:rsidR="00B5224A">
              <w:t>.1. pasākums</w:t>
            </w:r>
            <w:r w:rsidRPr="00DE2C55">
              <w:t>.</w:t>
            </w:r>
          </w:p>
        </w:tc>
      </w:tr>
      <w:tr w:rsidR="0024569C" w:rsidRPr="0024569C" w:rsidTr="00F95F9B">
        <w:trPr>
          <w:trHeight w:val="416"/>
        </w:trPr>
        <w:tc>
          <w:tcPr>
            <w:tcW w:w="550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2.</w:t>
            </w:r>
          </w:p>
        </w:tc>
        <w:tc>
          <w:tcPr>
            <w:tcW w:w="2999" w:type="dxa"/>
          </w:tcPr>
          <w:p w:rsidR="00CE44D6" w:rsidRPr="0024569C" w:rsidRDefault="00CE44D6" w:rsidP="00494B41">
            <w:pPr>
              <w:pStyle w:val="naiskr"/>
              <w:tabs>
                <w:tab w:val="left" w:pos="170"/>
              </w:tabs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Pašreizējā situācija un problēmas</w:t>
            </w:r>
          </w:p>
        </w:tc>
        <w:tc>
          <w:tcPr>
            <w:tcW w:w="6176" w:type="dxa"/>
          </w:tcPr>
          <w:p w:rsidR="00404932" w:rsidRPr="009E2E00" w:rsidRDefault="00F95F9B" w:rsidP="00662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131C">
              <w:rPr>
                <w:rFonts w:ascii="Times New Roman" w:hAnsi="Times New Roman"/>
                <w:sz w:val="24"/>
                <w:szCs w:val="24"/>
              </w:rPr>
              <w:t>Ņemot vērā, ka ar 2014.</w:t>
            </w:r>
            <w:r w:rsidR="00F343A1">
              <w:rPr>
                <w:rFonts w:ascii="Times New Roman" w:hAnsi="Times New Roman"/>
                <w:sz w:val="24"/>
                <w:szCs w:val="24"/>
              </w:rPr>
              <w:t> </w:t>
            </w:r>
            <w:r w:rsidRPr="004D131C">
              <w:rPr>
                <w:rFonts w:ascii="Times New Roman" w:hAnsi="Times New Roman"/>
                <w:sz w:val="24"/>
                <w:szCs w:val="24"/>
              </w:rPr>
              <w:t>gada 1.</w:t>
            </w:r>
            <w:r w:rsidR="00F343A1">
              <w:rPr>
                <w:rFonts w:ascii="Times New Roman" w:hAnsi="Times New Roman"/>
                <w:sz w:val="24"/>
                <w:szCs w:val="24"/>
              </w:rPr>
              <w:t> </w:t>
            </w:r>
            <w:r w:rsidRPr="004D131C">
              <w:rPr>
                <w:rFonts w:ascii="Times New Roman" w:hAnsi="Times New Roman"/>
                <w:sz w:val="24"/>
                <w:szCs w:val="24"/>
              </w:rPr>
              <w:t xml:space="preserve">janvāri Latvijā plānots ieviest </w:t>
            </w:r>
            <w:proofErr w:type="spellStart"/>
            <w:r w:rsidRPr="004D131C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4D131C">
              <w:rPr>
                <w:rFonts w:ascii="Times New Roman" w:hAnsi="Times New Roman"/>
                <w:sz w:val="24"/>
                <w:szCs w:val="24"/>
              </w:rPr>
              <w:t>, ir nepieciešams veikt arī attiecīgus grozījumus</w:t>
            </w:r>
            <w:r w:rsidR="0064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B38">
              <w:rPr>
                <w:rFonts w:ascii="Times New Roman" w:hAnsi="Times New Roman"/>
                <w:sz w:val="24"/>
                <w:szCs w:val="24"/>
              </w:rPr>
              <w:t xml:space="preserve">Ministru kabineta noteikumos </w:t>
            </w:r>
            <w:proofErr w:type="spellStart"/>
            <w:r w:rsidR="00662B38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="00662B38">
              <w:rPr>
                <w:rFonts w:ascii="Times New Roman" w:hAnsi="Times New Roman"/>
                <w:sz w:val="24"/>
                <w:szCs w:val="24"/>
              </w:rPr>
              <w:t xml:space="preserve">. 923 „Kārtība, kādā </w:t>
            </w:r>
            <w:r w:rsidR="00662B38" w:rsidRPr="00662B38">
              <w:rPr>
                <w:rFonts w:ascii="Times New Roman" w:hAnsi="Times New Roman"/>
                <w:sz w:val="24"/>
                <w:szCs w:val="24"/>
              </w:rPr>
              <w:t xml:space="preserve"> uzskaita valsts enerģijas galapatēriņa ietaupījumu un nodrošina energoefektivitātes monitoringa sistēmas darbību”</w:t>
            </w:r>
            <w:r w:rsidR="00662B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131C">
              <w:rPr>
                <w:rFonts w:ascii="Times New Roman" w:hAnsi="Times New Roman"/>
                <w:sz w:val="24"/>
                <w:szCs w:val="24"/>
              </w:rPr>
              <w:t>aizstājot taj</w:t>
            </w:r>
            <w:r w:rsidR="00642C01">
              <w:rPr>
                <w:rFonts w:ascii="Times New Roman" w:hAnsi="Times New Roman"/>
                <w:sz w:val="24"/>
                <w:szCs w:val="24"/>
              </w:rPr>
              <w:t>ā</w:t>
            </w:r>
            <w:r w:rsidRPr="004D131C">
              <w:rPr>
                <w:rFonts w:ascii="Times New Roman" w:hAnsi="Times New Roman"/>
                <w:sz w:val="24"/>
                <w:szCs w:val="24"/>
              </w:rPr>
              <w:t xml:space="preserve"> latus ar </w:t>
            </w:r>
            <w:proofErr w:type="spellStart"/>
            <w:r w:rsidRPr="00662B38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4D131C">
              <w:rPr>
                <w:rFonts w:ascii="Times New Roman" w:hAnsi="Times New Roman"/>
                <w:sz w:val="24"/>
                <w:szCs w:val="24"/>
              </w:rPr>
              <w:t>.</w:t>
            </w:r>
            <w:r w:rsidR="00312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569C" w:rsidRPr="0024569C" w:rsidTr="003152C7">
        <w:trPr>
          <w:trHeight w:val="635"/>
        </w:trPr>
        <w:tc>
          <w:tcPr>
            <w:tcW w:w="550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3.</w:t>
            </w:r>
          </w:p>
        </w:tc>
        <w:tc>
          <w:tcPr>
            <w:tcW w:w="2999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Saistītie politikas ietekmes novērtējumi un pētījumi</w:t>
            </w:r>
          </w:p>
        </w:tc>
        <w:tc>
          <w:tcPr>
            <w:tcW w:w="6176" w:type="dxa"/>
          </w:tcPr>
          <w:p w:rsidR="003823C9" w:rsidRPr="003823C9" w:rsidRDefault="003152C7" w:rsidP="00665909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52C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24569C" w:rsidRPr="0024569C" w:rsidTr="00F95F9B">
        <w:trPr>
          <w:trHeight w:val="706"/>
        </w:trPr>
        <w:tc>
          <w:tcPr>
            <w:tcW w:w="550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4.</w:t>
            </w:r>
          </w:p>
        </w:tc>
        <w:tc>
          <w:tcPr>
            <w:tcW w:w="2999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Tiesiskā regulējuma mērķis un būtība</w:t>
            </w:r>
          </w:p>
        </w:tc>
        <w:tc>
          <w:tcPr>
            <w:tcW w:w="6176" w:type="dxa"/>
          </w:tcPr>
          <w:p w:rsidR="004A13F3" w:rsidRPr="00F16A00" w:rsidRDefault="004A13F3" w:rsidP="004A13F3">
            <w:pPr>
              <w:pStyle w:val="Default"/>
              <w:jc w:val="both"/>
              <w:rPr>
                <w:rFonts w:ascii="Times New Roman" w:hAnsi="Times New Roman"/>
              </w:rPr>
            </w:pPr>
            <w:r w:rsidRPr="004A13F3">
              <w:rPr>
                <w:rFonts w:ascii="Times New Roman" w:hAnsi="Times New Roman"/>
              </w:rPr>
              <w:t xml:space="preserve">Šā projekta mērķis ir pielāgot </w:t>
            </w:r>
            <w:r w:rsidR="00662B38">
              <w:rPr>
                <w:rFonts w:ascii="Times New Roman" w:hAnsi="Times New Roman"/>
              </w:rPr>
              <w:t xml:space="preserve">Ministru kabineta noteikumus </w:t>
            </w:r>
            <w:proofErr w:type="spellStart"/>
            <w:r w:rsidR="00662B38">
              <w:rPr>
                <w:rFonts w:ascii="Times New Roman" w:hAnsi="Times New Roman"/>
              </w:rPr>
              <w:t>Nr</w:t>
            </w:r>
            <w:proofErr w:type="spellEnd"/>
            <w:r w:rsidR="00662B38">
              <w:rPr>
                <w:rFonts w:ascii="Times New Roman" w:hAnsi="Times New Roman"/>
              </w:rPr>
              <w:t>. 923</w:t>
            </w:r>
            <w:r w:rsidRPr="004A13F3">
              <w:rPr>
                <w:rFonts w:ascii="Times New Roman" w:hAnsi="Times New Roman"/>
              </w:rPr>
              <w:t xml:space="preserve"> „</w:t>
            </w:r>
            <w:r w:rsidR="00662B38">
              <w:rPr>
                <w:rFonts w:ascii="Times New Roman" w:hAnsi="Times New Roman"/>
              </w:rPr>
              <w:t xml:space="preserve">Kārtība, kādā </w:t>
            </w:r>
            <w:r w:rsidR="00662B38" w:rsidRPr="00662B38">
              <w:rPr>
                <w:rFonts w:ascii="Times New Roman" w:eastAsia="Calibri" w:hAnsi="Times New Roman"/>
                <w:color w:val="auto"/>
                <w:lang w:eastAsia="en-US"/>
              </w:rPr>
              <w:t xml:space="preserve"> uzskaita valsts enerģijas galapatēriņa ietaupījumu un nodrošina energoefektivitātes monitoringa sistēmas darbību</w:t>
            </w:r>
            <w:r w:rsidRPr="004A13F3">
              <w:rPr>
                <w:rFonts w:ascii="Times New Roman" w:hAnsi="Times New Roman"/>
              </w:rPr>
              <w:t xml:space="preserve">” </w:t>
            </w:r>
            <w:proofErr w:type="spellStart"/>
            <w:r w:rsidRPr="004A13F3">
              <w:rPr>
                <w:rFonts w:ascii="Times New Roman" w:hAnsi="Times New Roman"/>
                <w:i/>
              </w:rPr>
              <w:t>euro</w:t>
            </w:r>
            <w:proofErr w:type="spellEnd"/>
            <w:r w:rsidRPr="004A13F3">
              <w:rPr>
                <w:rFonts w:ascii="Times New Roman" w:hAnsi="Times New Roman"/>
              </w:rPr>
              <w:t xml:space="preserve"> ieviešanai, aizstājot tajā latus ar </w:t>
            </w:r>
            <w:proofErr w:type="spellStart"/>
            <w:r w:rsidRPr="004A13F3">
              <w:rPr>
                <w:rFonts w:ascii="Times New Roman" w:hAnsi="Times New Roman"/>
                <w:i/>
              </w:rPr>
              <w:t>euro</w:t>
            </w:r>
            <w:proofErr w:type="spellEnd"/>
            <w:r w:rsidR="00F16A00">
              <w:rPr>
                <w:rFonts w:ascii="Times New Roman" w:hAnsi="Times New Roman"/>
              </w:rPr>
              <w:t xml:space="preserve"> </w:t>
            </w:r>
            <w:r w:rsidRPr="00F95F9B">
              <w:rPr>
                <w:rFonts w:ascii="Times New Roman" w:hAnsi="Times New Roman" w:cs="Times New Roman"/>
              </w:rPr>
              <w:t xml:space="preserve">atbilstoši </w:t>
            </w:r>
            <w:proofErr w:type="spellStart"/>
            <w:r w:rsidR="00F16A00">
              <w:rPr>
                <w:rFonts w:ascii="Times New Roman" w:hAnsi="Times New Roman" w:cs="Times New Roman"/>
                <w:i/>
                <w:iCs/>
              </w:rPr>
              <w:t>E</w:t>
            </w:r>
            <w:r w:rsidRPr="00F95F9B">
              <w:rPr>
                <w:rFonts w:ascii="Times New Roman" w:hAnsi="Times New Roman" w:cs="Times New Roman"/>
                <w:i/>
                <w:iCs/>
              </w:rPr>
              <w:t>uro</w:t>
            </w:r>
            <w:proofErr w:type="spellEnd"/>
            <w:r w:rsidRPr="00F95F9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95F9B">
              <w:rPr>
                <w:rFonts w:ascii="Times New Roman" w:hAnsi="Times New Roman" w:cs="Times New Roman"/>
              </w:rPr>
              <w:t>ieviešanas kārtības likum</w:t>
            </w:r>
            <w:r w:rsidR="0014509D">
              <w:rPr>
                <w:rFonts w:ascii="Times New Roman" w:hAnsi="Times New Roman" w:cs="Times New Roman"/>
              </w:rPr>
              <w:t>ā</w:t>
            </w:r>
            <w:r w:rsidRPr="00F95F9B">
              <w:rPr>
                <w:rFonts w:ascii="Times New Roman" w:hAnsi="Times New Roman" w:cs="Times New Roman"/>
              </w:rPr>
              <w:t xml:space="preserve"> paredzētajiem principiem. </w:t>
            </w:r>
          </w:p>
          <w:p w:rsidR="004A13F3" w:rsidRPr="00F16A00" w:rsidRDefault="004A13F3" w:rsidP="00F16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9B">
              <w:rPr>
                <w:rFonts w:ascii="Times New Roman" w:hAnsi="Times New Roman"/>
                <w:sz w:val="24"/>
                <w:szCs w:val="24"/>
              </w:rPr>
              <w:t xml:space="preserve">Grozītās tiesību normas </w:t>
            </w:r>
            <w:proofErr w:type="spellStart"/>
            <w:r w:rsidRPr="00F95F9B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F95F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95F9B">
              <w:rPr>
                <w:rFonts w:ascii="Times New Roman" w:hAnsi="Times New Roman"/>
                <w:sz w:val="24"/>
                <w:szCs w:val="24"/>
              </w:rPr>
              <w:t>valūtā nav personām nelabvēlīgākas par sākotnējo tiesību normu latos un nerada  negatīvu ietekmi uz valsts budžetu.</w:t>
            </w:r>
          </w:p>
        </w:tc>
      </w:tr>
      <w:tr w:rsidR="0024569C" w:rsidRPr="0024569C" w:rsidTr="002F76E7">
        <w:trPr>
          <w:trHeight w:val="476"/>
        </w:trPr>
        <w:tc>
          <w:tcPr>
            <w:tcW w:w="550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5.</w:t>
            </w:r>
          </w:p>
        </w:tc>
        <w:tc>
          <w:tcPr>
            <w:tcW w:w="2999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Projekta izstrādē iesaistītās institūcijas</w:t>
            </w:r>
          </w:p>
        </w:tc>
        <w:tc>
          <w:tcPr>
            <w:tcW w:w="6176" w:type="dxa"/>
          </w:tcPr>
          <w:p w:rsidR="00CE44D6" w:rsidRPr="0024569C" w:rsidRDefault="007A6A4F" w:rsidP="007A6A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Projekts šo jomu neskar</w:t>
            </w:r>
            <w:r w:rsidR="00DC2B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4569C" w:rsidRPr="0024569C" w:rsidTr="002F76E7">
        <w:trPr>
          <w:trHeight w:val="410"/>
        </w:trPr>
        <w:tc>
          <w:tcPr>
            <w:tcW w:w="550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6.</w:t>
            </w:r>
          </w:p>
        </w:tc>
        <w:tc>
          <w:tcPr>
            <w:tcW w:w="2999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i/>
                <w:color w:val="000000" w:themeColor="text1"/>
                <w:highlight w:val="yellow"/>
              </w:rPr>
            </w:pPr>
            <w:r w:rsidRPr="0024569C">
              <w:rPr>
                <w:color w:val="000000" w:themeColor="text1"/>
              </w:rPr>
              <w:t>Iemesli, kādēļ netika nodrošināta sabiedrības līdzdalība</w:t>
            </w:r>
          </w:p>
        </w:tc>
        <w:tc>
          <w:tcPr>
            <w:tcW w:w="6176" w:type="dxa"/>
          </w:tcPr>
          <w:p w:rsidR="00162A0E" w:rsidRPr="0024569C" w:rsidRDefault="00ED22E9" w:rsidP="00C576C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2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Sabiedrības līdzdalība projekta izstrādē netika nodrošināta, jo projekts nemaina pastāvošo tiesisko regulējumu pēc būtības.</w:t>
            </w:r>
          </w:p>
        </w:tc>
      </w:tr>
      <w:tr w:rsidR="0024569C" w:rsidRPr="0024569C" w:rsidTr="002F76E7">
        <w:tc>
          <w:tcPr>
            <w:tcW w:w="550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7.</w:t>
            </w:r>
          </w:p>
        </w:tc>
        <w:tc>
          <w:tcPr>
            <w:tcW w:w="2999" w:type="dxa"/>
          </w:tcPr>
          <w:p w:rsidR="00CE44D6" w:rsidRPr="0024569C" w:rsidRDefault="00CE44D6" w:rsidP="00494B41">
            <w:pPr>
              <w:pStyle w:val="naiskr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Cita informācija</w:t>
            </w:r>
          </w:p>
        </w:tc>
        <w:tc>
          <w:tcPr>
            <w:tcW w:w="6176" w:type="dxa"/>
          </w:tcPr>
          <w:p w:rsidR="00CE44D6" w:rsidRPr="0024569C" w:rsidRDefault="00ED22E9" w:rsidP="00494B41">
            <w:pPr>
              <w:pStyle w:val="naiskr"/>
              <w:spacing w:before="0" w:after="0"/>
              <w:jc w:val="both"/>
              <w:rPr>
                <w:color w:val="000000" w:themeColor="text1"/>
              </w:rPr>
            </w:pPr>
            <w:r w:rsidRPr="00ED22E9">
              <w:rPr>
                <w:rFonts w:eastAsia="Calibri"/>
                <w:color w:val="000000" w:themeColor="text1"/>
                <w:lang w:eastAsia="en-US"/>
              </w:rPr>
              <w:t xml:space="preserve">Šim projektam ir jābūt apstiprinātam un publicētam oficiālajā izdevumā „Latvijas Vēstnesis” līdz </w:t>
            </w:r>
            <w:proofErr w:type="spellStart"/>
            <w:r w:rsidRPr="003126E4">
              <w:rPr>
                <w:rFonts w:eastAsia="Calibri"/>
                <w:i/>
                <w:color w:val="000000" w:themeColor="text1"/>
                <w:lang w:eastAsia="en-US"/>
              </w:rPr>
              <w:t>euro</w:t>
            </w:r>
            <w:proofErr w:type="spellEnd"/>
            <w:r w:rsidRPr="00ED22E9">
              <w:rPr>
                <w:rFonts w:eastAsia="Calibri"/>
                <w:color w:val="000000" w:themeColor="text1"/>
                <w:lang w:eastAsia="en-US"/>
              </w:rPr>
              <w:t xml:space="preserve"> ieviešanas dienai.</w:t>
            </w:r>
          </w:p>
        </w:tc>
      </w:tr>
    </w:tbl>
    <w:p w:rsidR="009C1280" w:rsidRPr="0024569C" w:rsidRDefault="009C1280" w:rsidP="009C1280">
      <w:pPr>
        <w:pStyle w:val="naisf"/>
        <w:tabs>
          <w:tab w:val="left" w:pos="5760"/>
        </w:tabs>
        <w:spacing w:before="0" w:after="0"/>
        <w:ind w:firstLine="0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5"/>
      </w:tblGrid>
      <w:tr w:rsidR="0024569C" w:rsidRPr="0024569C" w:rsidTr="00AC5899">
        <w:tc>
          <w:tcPr>
            <w:tcW w:w="9725" w:type="dxa"/>
            <w:vAlign w:val="center"/>
          </w:tcPr>
          <w:p w:rsidR="00CE44D6" w:rsidRPr="0024569C" w:rsidRDefault="00CE44D6" w:rsidP="00494B41">
            <w:pPr>
              <w:pStyle w:val="naisnod"/>
              <w:spacing w:before="0" w:after="0"/>
              <w:rPr>
                <w:color w:val="000000" w:themeColor="text1"/>
              </w:rPr>
            </w:pPr>
            <w:r w:rsidRPr="0024569C">
              <w:rPr>
                <w:color w:val="000000" w:themeColor="text1"/>
              </w:rPr>
              <w:t>II. Tiesību akta projekta ietekme uz sabiedrību</w:t>
            </w:r>
          </w:p>
        </w:tc>
      </w:tr>
      <w:tr w:rsidR="00042E35" w:rsidRPr="0024569C" w:rsidTr="004D2F09">
        <w:trPr>
          <w:trHeight w:val="281"/>
        </w:trPr>
        <w:tc>
          <w:tcPr>
            <w:tcW w:w="9725" w:type="dxa"/>
          </w:tcPr>
          <w:p w:rsidR="00042E35" w:rsidRPr="0024569C" w:rsidRDefault="00042E35" w:rsidP="009E2E00">
            <w:pPr>
              <w:pStyle w:val="Default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t>Projekts nerada ietekmi uz sabiedrību, jo nemaina spēkā esošo tiesisko regulējumu pēc būtības.</w:t>
            </w:r>
          </w:p>
        </w:tc>
      </w:tr>
    </w:tbl>
    <w:p w:rsidR="00AD4F27" w:rsidRDefault="00AD4F27" w:rsidP="00494B4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C33DA0" w:rsidRPr="0024569C" w:rsidRDefault="00C33DA0" w:rsidP="00494B4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343" w:type="pct"/>
        <w:tblInd w:w="-306" w:type="dxa"/>
        <w:tblBorders>
          <w:top w:val="thinThickSmallGap" w:sz="12" w:space="0" w:color="BFBFBF" w:themeColor="background1" w:themeShade="BF"/>
          <w:left w:val="thinThickSmallGap" w:sz="12" w:space="0" w:color="BFBFBF" w:themeColor="background1" w:themeShade="BF"/>
          <w:bottom w:val="thinThickSmallGap" w:sz="12" w:space="0" w:color="BFBFBF" w:themeColor="background1" w:themeShade="BF"/>
          <w:right w:val="thinThickSmallGap" w:sz="12" w:space="0" w:color="BFBFBF" w:themeColor="background1" w:themeShade="BF"/>
          <w:insideH w:val="thinThickSmallGap" w:sz="12" w:space="0" w:color="BFBFBF" w:themeColor="background1" w:themeShade="BF"/>
          <w:insideV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7"/>
      </w:tblGrid>
      <w:tr w:rsidR="0024569C" w:rsidRPr="0024569C" w:rsidTr="00042E35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96C" w:rsidRPr="0024569C" w:rsidRDefault="004F796C" w:rsidP="00917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24569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III. Tiesību akta projekta ietekme uz valsts budžetu un pašvaldību budžetiem</w:t>
            </w:r>
          </w:p>
        </w:tc>
      </w:tr>
      <w:tr w:rsidR="00042E35" w:rsidRPr="0024569C" w:rsidTr="00042E35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E35" w:rsidRPr="0024569C" w:rsidRDefault="00042E35" w:rsidP="00917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245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Ar noteikumu projektu </w:t>
            </w:r>
            <w:r w:rsidRPr="002456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netiek</w:t>
            </w:r>
            <w:r w:rsidRPr="00245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prognozēta ietekme uz valsts vai pašvaldību budžetiem.  </w:t>
            </w:r>
          </w:p>
        </w:tc>
      </w:tr>
    </w:tbl>
    <w:p w:rsidR="005D1682" w:rsidRPr="00C33DA0" w:rsidRDefault="005D1682" w:rsidP="00C33D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C33DA0" w:rsidRPr="00C33DA0" w:rsidRDefault="00C33DA0" w:rsidP="00C33D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343" w:type="pct"/>
        <w:tblInd w:w="-306" w:type="dxa"/>
        <w:tblBorders>
          <w:top w:val="thinThickSmallGap" w:sz="12" w:space="0" w:color="BFBFBF" w:themeColor="background1" w:themeShade="BF"/>
          <w:left w:val="thinThickSmallGap" w:sz="12" w:space="0" w:color="BFBFBF" w:themeColor="background1" w:themeShade="BF"/>
          <w:bottom w:val="thinThickSmallGap" w:sz="12" w:space="0" w:color="BFBFBF" w:themeColor="background1" w:themeShade="BF"/>
          <w:right w:val="thinThickSmallGap" w:sz="12" w:space="0" w:color="BFBFBF" w:themeColor="background1" w:themeShade="BF"/>
          <w:insideH w:val="thinThickSmallGap" w:sz="12" w:space="0" w:color="BFBFBF" w:themeColor="background1" w:themeShade="BF"/>
          <w:insideV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7"/>
      </w:tblGrid>
      <w:tr w:rsidR="005D1682" w:rsidRPr="0024569C" w:rsidTr="004E0088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682" w:rsidRPr="0024569C" w:rsidRDefault="005D1682" w:rsidP="004E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5D168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IV. Tiesību akta projekta ietekme uz spēkā esošo tiesību normu sistēmu</w:t>
            </w:r>
          </w:p>
        </w:tc>
      </w:tr>
      <w:tr w:rsidR="005D1682" w:rsidRPr="0024569C" w:rsidTr="005D1682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682" w:rsidRPr="0024569C" w:rsidRDefault="005D1682" w:rsidP="005D1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5D16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Projekts šo jomu neskar</w:t>
            </w:r>
          </w:p>
        </w:tc>
      </w:tr>
    </w:tbl>
    <w:p w:rsidR="005D1682" w:rsidRPr="00C33DA0" w:rsidRDefault="005D1682" w:rsidP="00C33D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C33DA0" w:rsidRPr="00C33DA0" w:rsidRDefault="00C33DA0" w:rsidP="00C33D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343" w:type="pct"/>
        <w:tblInd w:w="-306" w:type="dxa"/>
        <w:tblBorders>
          <w:top w:val="thinThickSmallGap" w:sz="12" w:space="0" w:color="BFBFBF" w:themeColor="background1" w:themeShade="BF"/>
          <w:left w:val="thinThickSmallGap" w:sz="12" w:space="0" w:color="BFBFBF" w:themeColor="background1" w:themeShade="BF"/>
          <w:bottom w:val="thinThickSmallGap" w:sz="12" w:space="0" w:color="BFBFBF" w:themeColor="background1" w:themeShade="BF"/>
          <w:right w:val="thinThickSmallGap" w:sz="12" w:space="0" w:color="BFBFBF" w:themeColor="background1" w:themeShade="BF"/>
          <w:insideH w:val="thinThickSmallGap" w:sz="12" w:space="0" w:color="BFBFBF" w:themeColor="background1" w:themeShade="BF"/>
          <w:insideV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7"/>
      </w:tblGrid>
      <w:tr w:rsidR="005D1682" w:rsidRPr="0024569C" w:rsidTr="004E0088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682" w:rsidRPr="0024569C" w:rsidRDefault="005D1682" w:rsidP="004E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5D168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V. Tiesību akta projekta atbilstība Latvijas Republikas starptautiskajām saistībām</w:t>
            </w:r>
          </w:p>
        </w:tc>
      </w:tr>
      <w:tr w:rsidR="005D1682" w:rsidRPr="0024569C" w:rsidTr="005D1682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682" w:rsidRPr="0024569C" w:rsidRDefault="005D1682" w:rsidP="005D1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5D16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Projekts šo jomu neskar</w:t>
            </w:r>
          </w:p>
        </w:tc>
      </w:tr>
    </w:tbl>
    <w:p w:rsidR="005D1682" w:rsidRDefault="005D1682" w:rsidP="00C33D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C33DA0" w:rsidRPr="00C33DA0" w:rsidRDefault="00C33DA0" w:rsidP="00C33D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343" w:type="pct"/>
        <w:tblInd w:w="-306" w:type="dxa"/>
        <w:tblBorders>
          <w:top w:val="thinThickSmallGap" w:sz="12" w:space="0" w:color="BFBFBF" w:themeColor="background1" w:themeShade="BF"/>
          <w:left w:val="thinThickSmallGap" w:sz="12" w:space="0" w:color="BFBFBF" w:themeColor="background1" w:themeShade="BF"/>
          <w:bottom w:val="thinThickSmallGap" w:sz="12" w:space="0" w:color="BFBFBF" w:themeColor="background1" w:themeShade="BF"/>
          <w:right w:val="thinThickSmallGap" w:sz="12" w:space="0" w:color="BFBFBF" w:themeColor="background1" w:themeShade="BF"/>
          <w:insideH w:val="thinThickSmallGap" w:sz="12" w:space="0" w:color="BFBFBF" w:themeColor="background1" w:themeShade="BF"/>
          <w:insideV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7"/>
      </w:tblGrid>
      <w:tr w:rsidR="005D1682" w:rsidRPr="0024569C" w:rsidTr="004E0088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682" w:rsidRPr="0024569C" w:rsidRDefault="005D1682" w:rsidP="004E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5D168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VI. Sabiedrības līdzdalība un šīs līdzdalības rezultāti</w:t>
            </w:r>
          </w:p>
        </w:tc>
      </w:tr>
      <w:tr w:rsidR="005D1682" w:rsidRPr="0024569C" w:rsidTr="005D1682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682" w:rsidRPr="0024569C" w:rsidRDefault="005D1682" w:rsidP="005D1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5D16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Projekts šo jomu neskar</w:t>
            </w:r>
          </w:p>
        </w:tc>
      </w:tr>
    </w:tbl>
    <w:p w:rsidR="005D1682" w:rsidRPr="00C33DA0" w:rsidRDefault="005D1682" w:rsidP="00C33D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C33DA0" w:rsidRPr="00C33DA0" w:rsidRDefault="00C33DA0" w:rsidP="00C33D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343" w:type="pct"/>
        <w:tblInd w:w="-306" w:type="dxa"/>
        <w:tblBorders>
          <w:top w:val="thinThickSmallGap" w:sz="12" w:space="0" w:color="BFBFBF" w:themeColor="background1" w:themeShade="BF"/>
          <w:left w:val="thinThickSmallGap" w:sz="12" w:space="0" w:color="BFBFBF" w:themeColor="background1" w:themeShade="BF"/>
          <w:bottom w:val="thinThickSmallGap" w:sz="12" w:space="0" w:color="BFBFBF" w:themeColor="background1" w:themeShade="BF"/>
          <w:right w:val="thinThickSmallGap" w:sz="12" w:space="0" w:color="BFBFBF" w:themeColor="background1" w:themeShade="BF"/>
          <w:insideH w:val="thinThickSmallGap" w:sz="12" w:space="0" w:color="BFBFBF" w:themeColor="background1" w:themeShade="BF"/>
          <w:insideV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7"/>
      </w:tblGrid>
      <w:tr w:rsidR="005D1682" w:rsidRPr="0024569C" w:rsidTr="004E0088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682" w:rsidRPr="0024569C" w:rsidRDefault="005D1682" w:rsidP="004E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5D168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VII. Tiesību akta projekta izpildes nodrošināšana un tās ietekme uz institūcijām</w:t>
            </w:r>
          </w:p>
        </w:tc>
      </w:tr>
      <w:tr w:rsidR="005D1682" w:rsidRPr="0024569C" w:rsidTr="005D1682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682" w:rsidRPr="0024569C" w:rsidRDefault="005D1682" w:rsidP="005D1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5D16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Projekts šo jomu neskar</w:t>
            </w:r>
          </w:p>
        </w:tc>
      </w:tr>
    </w:tbl>
    <w:p w:rsidR="004C165F" w:rsidRDefault="004C165F" w:rsidP="005D1682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D1682" w:rsidRDefault="005D1682" w:rsidP="005D1682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D1682" w:rsidRPr="0024569C" w:rsidRDefault="005D1682" w:rsidP="004C165F">
      <w:pPr>
        <w:pStyle w:val="NormalWeb"/>
        <w:spacing w:before="0" w:beforeAutospacing="0" w:after="0" w:afterAutospacing="0"/>
        <w:ind w:left="539"/>
        <w:rPr>
          <w:color w:val="000000" w:themeColor="text1"/>
          <w:sz w:val="28"/>
          <w:szCs w:val="28"/>
        </w:rPr>
      </w:pPr>
    </w:p>
    <w:p w:rsidR="004204C3" w:rsidRPr="0024569C" w:rsidRDefault="00A8288B" w:rsidP="00166E1B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Ekonomikas ministr</w:t>
      </w:r>
      <w:r w:rsidR="00D37666">
        <w:rPr>
          <w:color w:val="000000" w:themeColor="text1"/>
          <w:sz w:val="28"/>
          <w:szCs w:val="28"/>
        </w:rPr>
        <w:t>s</w:t>
      </w:r>
      <w:r w:rsidR="00D37666">
        <w:rPr>
          <w:color w:val="000000" w:themeColor="text1"/>
          <w:sz w:val="28"/>
          <w:szCs w:val="28"/>
        </w:rPr>
        <w:tab/>
      </w:r>
      <w:r w:rsidR="00D37666">
        <w:rPr>
          <w:color w:val="000000" w:themeColor="text1"/>
          <w:sz w:val="28"/>
          <w:szCs w:val="28"/>
        </w:rPr>
        <w:tab/>
      </w:r>
      <w:r w:rsidR="00D3766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D</w:t>
      </w:r>
      <w:r w:rsidR="004204C3" w:rsidRPr="0024569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Pavļuts</w:t>
      </w:r>
      <w:proofErr w:type="spellEnd"/>
    </w:p>
    <w:p w:rsidR="004C165F" w:rsidRPr="0024569C" w:rsidRDefault="004C165F" w:rsidP="004C165F">
      <w:pPr>
        <w:pStyle w:val="EnvelopeReturn"/>
        <w:tabs>
          <w:tab w:val="left" w:pos="6480"/>
          <w:tab w:val="right" w:pos="7560"/>
        </w:tabs>
        <w:spacing w:before="0"/>
        <w:ind w:left="539"/>
        <w:rPr>
          <w:color w:val="000000" w:themeColor="text1"/>
          <w:sz w:val="28"/>
          <w:szCs w:val="28"/>
          <w:lang w:val="lv-LV"/>
        </w:rPr>
      </w:pPr>
    </w:p>
    <w:p w:rsidR="00F3027A" w:rsidRPr="0024569C" w:rsidRDefault="00120D8D" w:rsidP="00166E1B">
      <w:pPr>
        <w:pStyle w:val="EnvelopeReturn"/>
        <w:tabs>
          <w:tab w:val="left" w:pos="6480"/>
          <w:tab w:val="right" w:pos="7560"/>
        </w:tabs>
        <w:spacing w:before="0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Vīza</w:t>
      </w:r>
      <w:r w:rsidR="00F3027A" w:rsidRPr="0024569C">
        <w:rPr>
          <w:color w:val="000000" w:themeColor="text1"/>
          <w:sz w:val="28"/>
          <w:szCs w:val="28"/>
          <w:lang w:val="lv-LV"/>
        </w:rPr>
        <w:t xml:space="preserve">: </w:t>
      </w:r>
    </w:p>
    <w:p w:rsidR="00372AC5" w:rsidRPr="0024569C" w:rsidRDefault="009E19E9" w:rsidP="00166E1B">
      <w:pPr>
        <w:pStyle w:val="BodyTextIndent2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4569C">
        <w:rPr>
          <w:rFonts w:ascii="Times New Roman" w:hAnsi="Times New Roman"/>
          <w:color w:val="000000" w:themeColor="text1"/>
          <w:sz w:val="28"/>
          <w:szCs w:val="28"/>
        </w:rPr>
        <w:t>v</w:t>
      </w:r>
      <w:r w:rsidR="00372AC5" w:rsidRPr="0024569C">
        <w:rPr>
          <w:rFonts w:ascii="Times New Roman" w:hAnsi="Times New Roman"/>
          <w:color w:val="000000" w:themeColor="text1"/>
          <w:sz w:val="28"/>
          <w:szCs w:val="28"/>
        </w:rPr>
        <w:t>alsts sekretār</w:t>
      </w:r>
      <w:r w:rsidR="00D37666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58459A" w:rsidRPr="0024569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8459A" w:rsidRPr="0024569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8288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8459A" w:rsidRPr="0024569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66E1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66E1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8459A" w:rsidRPr="0024569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8459A" w:rsidRPr="0024569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73141" w:rsidRPr="0024569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8288B">
        <w:rPr>
          <w:rFonts w:ascii="Times New Roman" w:hAnsi="Times New Roman"/>
          <w:color w:val="000000" w:themeColor="text1"/>
          <w:sz w:val="28"/>
          <w:szCs w:val="28"/>
        </w:rPr>
        <w:t xml:space="preserve">      J</w:t>
      </w:r>
      <w:r w:rsidR="0058459A" w:rsidRPr="0024569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8288B">
        <w:rPr>
          <w:rFonts w:ascii="Times New Roman" w:hAnsi="Times New Roman"/>
          <w:color w:val="000000" w:themeColor="text1"/>
          <w:sz w:val="28"/>
          <w:szCs w:val="28"/>
        </w:rPr>
        <w:t>Pūce</w:t>
      </w:r>
    </w:p>
    <w:p w:rsidR="00E4043B" w:rsidRDefault="00E4043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A8288B" w:rsidRDefault="00A8288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A8288B" w:rsidRDefault="00A8288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A8288B" w:rsidRDefault="00A8288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66E1B" w:rsidRDefault="00166E1B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9E19E9" w:rsidRPr="0024569C" w:rsidRDefault="00D37666" w:rsidP="009E19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A8288B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9E19E9" w:rsidRPr="0024569C">
        <w:rPr>
          <w:rFonts w:ascii="Times New Roman" w:hAnsi="Times New Roman"/>
          <w:color w:val="000000" w:themeColor="text1"/>
          <w:sz w:val="20"/>
          <w:szCs w:val="20"/>
        </w:rPr>
        <w:t>.0</w:t>
      </w:r>
      <w:r>
        <w:rPr>
          <w:rFonts w:ascii="Times New Roman" w:hAnsi="Times New Roman"/>
          <w:color w:val="000000" w:themeColor="text1"/>
          <w:sz w:val="20"/>
          <w:szCs w:val="20"/>
        </w:rPr>
        <w:t>8</w:t>
      </w:r>
      <w:r w:rsidR="009E19E9" w:rsidRPr="0024569C">
        <w:rPr>
          <w:rFonts w:ascii="Times New Roman" w:hAnsi="Times New Roman"/>
          <w:color w:val="000000" w:themeColor="text1"/>
          <w:sz w:val="20"/>
          <w:szCs w:val="20"/>
        </w:rPr>
        <w:t>.201</w:t>
      </w:r>
      <w:r w:rsidR="00DA4260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9E19E9" w:rsidRPr="0024569C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6A037A" w:rsidRPr="0024569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95F9B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A8288B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9E19E9" w:rsidRPr="0024569C">
        <w:rPr>
          <w:rFonts w:ascii="Times New Roman" w:hAnsi="Times New Roman"/>
          <w:color w:val="000000" w:themeColor="text1"/>
          <w:sz w:val="20"/>
          <w:szCs w:val="20"/>
        </w:rPr>
        <w:t>:</w:t>
      </w:r>
      <w:r w:rsidR="00E10049">
        <w:rPr>
          <w:rFonts w:ascii="Times New Roman" w:hAnsi="Times New Roman"/>
          <w:color w:val="000000" w:themeColor="text1"/>
          <w:sz w:val="20"/>
          <w:szCs w:val="20"/>
        </w:rPr>
        <w:t>08</w:t>
      </w:r>
    </w:p>
    <w:p w:rsidR="00DC1C4B" w:rsidRDefault="00F62492" w:rsidP="0058459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color w:val="000000" w:themeColor="text1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color w:val="000000" w:themeColor="text1"/>
          <w:sz w:val="20"/>
          <w:szCs w:val="20"/>
        </w:rPr>
        <w:fldChar w:fldCharType="separate"/>
      </w:r>
      <w:r w:rsidR="00A8288B">
        <w:rPr>
          <w:rFonts w:ascii="Times New Roman" w:hAnsi="Times New Roman"/>
          <w:noProof/>
          <w:color w:val="000000" w:themeColor="text1"/>
          <w:sz w:val="20"/>
          <w:szCs w:val="20"/>
        </w:rPr>
        <w:t>365</w:t>
      </w:r>
      <w:r>
        <w:rPr>
          <w:rFonts w:ascii="Times New Roman" w:hAnsi="Times New Roman"/>
          <w:color w:val="000000" w:themeColor="text1"/>
          <w:sz w:val="20"/>
          <w:szCs w:val="20"/>
        </w:rPr>
        <w:fldChar w:fldCharType="end"/>
      </w:r>
      <w:bookmarkStart w:id="0" w:name="_GoBack"/>
      <w:bookmarkEnd w:id="0"/>
    </w:p>
    <w:p w:rsidR="0058459A" w:rsidRPr="0024569C" w:rsidRDefault="00166E1B" w:rsidP="0058459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K.Beihmanis</w:t>
      </w:r>
      <w:r w:rsidR="0058459A" w:rsidRPr="0024569C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52561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8459A" w:rsidRPr="0024569C">
        <w:rPr>
          <w:rFonts w:ascii="Times New Roman" w:hAnsi="Times New Roman"/>
          <w:color w:val="000000" w:themeColor="text1"/>
          <w:sz w:val="20"/>
          <w:szCs w:val="20"/>
        </w:rPr>
        <w:t>67013</w:t>
      </w:r>
      <w:r>
        <w:rPr>
          <w:rFonts w:ascii="Times New Roman" w:hAnsi="Times New Roman"/>
          <w:color w:val="000000" w:themeColor="text1"/>
          <w:sz w:val="20"/>
          <w:szCs w:val="20"/>
        </w:rPr>
        <w:t>260</w:t>
      </w:r>
    </w:p>
    <w:p w:rsidR="0058459A" w:rsidRPr="0024569C" w:rsidRDefault="00A8288B" w:rsidP="0058459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hyperlink r:id="rId9" w:history="1">
        <w:r w:rsidR="00166E1B" w:rsidRPr="00E44A44">
          <w:rPr>
            <w:rStyle w:val="Hyperlink"/>
            <w:rFonts w:ascii="Times New Roman" w:hAnsi="Times New Roman"/>
            <w:sz w:val="20"/>
            <w:szCs w:val="20"/>
          </w:rPr>
          <w:t>Karlis.Beihmanis@em.gov.lv</w:t>
        </w:r>
      </w:hyperlink>
    </w:p>
    <w:sectPr w:rsidR="0058459A" w:rsidRPr="0024569C" w:rsidSect="00AB5795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CD" w:rsidRDefault="007404CD" w:rsidP="009640EB">
      <w:pPr>
        <w:spacing w:after="0" w:line="240" w:lineRule="auto"/>
      </w:pPr>
      <w:r>
        <w:separator/>
      </w:r>
    </w:p>
  </w:endnote>
  <w:endnote w:type="continuationSeparator" w:id="0">
    <w:p w:rsidR="007404CD" w:rsidRDefault="007404CD" w:rsidP="0096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0D" w:rsidRPr="00120D8D" w:rsidRDefault="00223641" w:rsidP="00120D8D">
    <w:pPr>
      <w:spacing w:line="240" w:lineRule="auto"/>
      <w:contextualSpacing/>
      <w:jc w:val="both"/>
      <w:outlineLvl w:val="0"/>
      <w:rPr>
        <w:rFonts w:ascii="Times New Roman" w:eastAsia="Times New Roman" w:hAnsi="Times New Roman"/>
        <w:bCs/>
        <w:sz w:val="20"/>
        <w:szCs w:val="20"/>
        <w:lang w:eastAsia="lv-LV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A8288B">
      <w:rPr>
        <w:rFonts w:ascii="Times New Roman" w:hAnsi="Times New Roman"/>
        <w:noProof/>
        <w:sz w:val="20"/>
        <w:szCs w:val="20"/>
      </w:rPr>
      <w:t>EMAnot_230813_MKnotNr923</w:t>
    </w:r>
    <w:r>
      <w:rPr>
        <w:rFonts w:ascii="Times New Roman" w:hAnsi="Times New Roman"/>
        <w:sz w:val="20"/>
        <w:szCs w:val="20"/>
      </w:rPr>
      <w:fldChar w:fldCharType="end"/>
    </w:r>
    <w:r w:rsidR="00120D8D" w:rsidRPr="004C7262">
      <w:rPr>
        <w:rFonts w:ascii="Times New Roman" w:hAnsi="Times New Roman"/>
        <w:sz w:val="20"/>
        <w:szCs w:val="20"/>
      </w:rPr>
      <w:t xml:space="preserve">; </w:t>
    </w:r>
    <w:r w:rsidR="00120D8D" w:rsidRPr="00120D8D">
      <w:rPr>
        <w:rFonts w:ascii="Times New Roman" w:hAnsi="Times New Roman"/>
        <w:sz w:val="20"/>
        <w:szCs w:val="20"/>
      </w:rPr>
      <w:t xml:space="preserve">Ministru kabineta noteikumu </w:t>
    </w:r>
    <w:proofErr w:type="spellStart"/>
    <w:r w:rsidR="00120D8D" w:rsidRPr="00120D8D">
      <w:rPr>
        <w:rFonts w:ascii="Times New Roman" w:hAnsi="Times New Roman"/>
        <w:sz w:val="20"/>
        <w:szCs w:val="20"/>
      </w:rPr>
      <w:t>Nr</w:t>
    </w:r>
    <w:proofErr w:type="spellEnd"/>
    <w:r w:rsidR="00120D8D" w:rsidRPr="00120D8D">
      <w:rPr>
        <w:rFonts w:ascii="Times New Roman" w:hAnsi="Times New Roman"/>
        <w:sz w:val="20"/>
        <w:szCs w:val="20"/>
      </w:rPr>
      <w:t>. 923 „Kārtība, kādā  uzskaita valsts enerģijas galapatēriņa ietaupījumu un nodrošina energoefektivitātes monitoringa sistēmas darbību”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0D" w:rsidRPr="00FC18DE" w:rsidRDefault="00FC18DE" w:rsidP="00FC18DE">
    <w:pPr>
      <w:spacing w:line="240" w:lineRule="auto"/>
      <w:contextualSpacing/>
      <w:jc w:val="both"/>
      <w:outlineLvl w:val="0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A8288B">
      <w:rPr>
        <w:rFonts w:ascii="Times New Roman" w:hAnsi="Times New Roman"/>
        <w:noProof/>
        <w:sz w:val="20"/>
        <w:szCs w:val="20"/>
      </w:rPr>
      <w:t>EMAnot_230813_MKnotNr923</w:t>
    </w:r>
    <w:r>
      <w:rPr>
        <w:rFonts w:ascii="Times New Roman" w:hAnsi="Times New Roman"/>
        <w:sz w:val="20"/>
        <w:szCs w:val="20"/>
      </w:rPr>
      <w:fldChar w:fldCharType="end"/>
    </w:r>
    <w:r w:rsidRPr="004C7262">
      <w:rPr>
        <w:rFonts w:ascii="Times New Roman" w:hAnsi="Times New Roman"/>
        <w:sz w:val="20"/>
        <w:szCs w:val="20"/>
      </w:rPr>
      <w:t xml:space="preserve">; </w:t>
    </w:r>
    <w:r w:rsidRPr="00120D8D">
      <w:rPr>
        <w:rFonts w:ascii="Times New Roman" w:hAnsi="Times New Roman"/>
        <w:sz w:val="20"/>
        <w:szCs w:val="20"/>
      </w:rPr>
      <w:t xml:space="preserve">Ministru kabineta noteikumu </w:t>
    </w:r>
    <w:proofErr w:type="spellStart"/>
    <w:r w:rsidRPr="00120D8D">
      <w:rPr>
        <w:rFonts w:ascii="Times New Roman" w:hAnsi="Times New Roman"/>
        <w:sz w:val="20"/>
        <w:szCs w:val="20"/>
      </w:rPr>
      <w:t>Nr</w:t>
    </w:r>
    <w:proofErr w:type="spellEnd"/>
    <w:r w:rsidRPr="00120D8D">
      <w:rPr>
        <w:rFonts w:ascii="Times New Roman" w:hAnsi="Times New Roman"/>
        <w:sz w:val="20"/>
        <w:szCs w:val="20"/>
      </w:rPr>
      <w:t>. 923 „Kārtība, kādā  uzskaita valsts enerģijas galapatēriņa ietaupījumu un nodrošina energoefektivitātes monitoringa sistēmas darbību”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CD" w:rsidRDefault="007404CD" w:rsidP="009640EB">
      <w:pPr>
        <w:spacing w:after="0" w:line="240" w:lineRule="auto"/>
      </w:pPr>
      <w:r>
        <w:separator/>
      </w:r>
    </w:p>
  </w:footnote>
  <w:footnote w:type="continuationSeparator" w:id="0">
    <w:p w:rsidR="007404CD" w:rsidRDefault="007404CD" w:rsidP="0096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0376"/>
      <w:docPartObj>
        <w:docPartGallery w:val="Page Numbers (Top of Page)"/>
        <w:docPartUnique/>
      </w:docPartObj>
    </w:sdtPr>
    <w:sdtEndPr/>
    <w:sdtContent>
      <w:p w:rsidR="00FE130D" w:rsidRDefault="00FE1A12">
        <w:pPr>
          <w:pStyle w:val="Header"/>
          <w:jc w:val="center"/>
        </w:pPr>
        <w:r w:rsidRPr="00C25AD5">
          <w:rPr>
            <w:rFonts w:ascii="Times New Roman" w:hAnsi="Times New Roman"/>
            <w:sz w:val="24"/>
            <w:szCs w:val="24"/>
          </w:rPr>
          <w:fldChar w:fldCharType="begin"/>
        </w:r>
        <w:r w:rsidR="00FE130D" w:rsidRPr="00C25AD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25AD5">
          <w:rPr>
            <w:rFonts w:ascii="Times New Roman" w:hAnsi="Times New Roman"/>
            <w:sz w:val="24"/>
            <w:szCs w:val="24"/>
          </w:rPr>
          <w:fldChar w:fldCharType="separate"/>
        </w:r>
        <w:r w:rsidR="00A8288B">
          <w:rPr>
            <w:rFonts w:ascii="Times New Roman" w:hAnsi="Times New Roman"/>
            <w:noProof/>
            <w:sz w:val="24"/>
            <w:szCs w:val="24"/>
          </w:rPr>
          <w:t>2</w:t>
        </w:r>
        <w:r w:rsidRPr="00C25AD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E130D" w:rsidRDefault="00FE1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FF8"/>
    <w:multiLevelType w:val="hybridMultilevel"/>
    <w:tmpl w:val="5A6C7C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5022"/>
    <w:multiLevelType w:val="multilevel"/>
    <w:tmpl w:val="F7FC1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5555A42"/>
    <w:multiLevelType w:val="multilevel"/>
    <w:tmpl w:val="F7FC1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B267C05"/>
    <w:multiLevelType w:val="hybridMultilevel"/>
    <w:tmpl w:val="5DC6DE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C6804"/>
    <w:multiLevelType w:val="hybridMultilevel"/>
    <w:tmpl w:val="9776125E"/>
    <w:lvl w:ilvl="0" w:tplc="3DF8C96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A5614F"/>
    <w:multiLevelType w:val="multilevel"/>
    <w:tmpl w:val="F7FC1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EF42456"/>
    <w:multiLevelType w:val="hybridMultilevel"/>
    <w:tmpl w:val="5FFCA6C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B2E1E"/>
    <w:multiLevelType w:val="multilevel"/>
    <w:tmpl w:val="F562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71C62"/>
    <w:multiLevelType w:val="hybridMultilevel"/>
    <w:tmpl w:val="0A18BB86"/>
    <w:lvl w:ilvl="0" w:tplc="0409001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C926286"/>
    <w:multiLevelType w:val="hybridMultilevel"/>
    <w:tmpl w:val="20A6E072"/>
    <w:lvl w:ilvl="0" w:tplc="10226A44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4" w:hanging="360"/>
      </w:pPr>
    </w:lvl>
    <w:lvl w:ilvl="2" w:tplc="0426001B" w:tentative="1">
      <w:start w:val="1"/>
      <w:numFmt w:val="lowerRoman"/>
      <w:lvlText w:val="%3."/>
      <w:lvlJc w:val="right"/>
      <w:pPr>
        <w:ind w:left="1904" w:hanging="180"/>
      </w:pPr>
    </w:lvl>
    <w:lvl w:ilvl="3" w:tplc="0426000F" w:tentative="1">
      <w:start w:val="1"/>
      <w:numFmt w:val="decimal"/>
      <w:lvlText w:val="%4."/>
      <w:lvlJc w:val="left"/>
      <w:pPr>
        <w:ind w:left="2624" w:hanging="360"/>
      </w:pPr>
    </w:lvl>
    <w:lvl w:ilvl="4" w:tplc="04260019" w:tentative="1">
      <w:start w:val="1"/>
      <w:numFmt w:val="lowerLetter"/>
      <w:lvlText w:val="%5."/>
      <w:lvlJc w:val="left"/>
      <w:pPr>
        <w:ind w:left="3344" w:hanging="360"/>
      </w:pPr>
    </w:lvl>
    <w:lvl w:ilvl="5" w:tplc="0426001B" w:tentative="1">
      <w:start w:val="1"/>
      <w:numFmt w:val="lowerRoman"/>
      <w:lvlText w:val="%6."/>
      <w:lvlJc w:val="right"/>
      <w:pPr>
        <w:ind w:left="4064" w:hanging="180"/>
      </w:pPr>
    </w:lvl>
    <w:lvl w:ilvl="6" w:tplc="0426000F" w:tentative="1">
      <w:start w:val="1"/>
      <w:numFmt w:val="decimal"/>
      <w:lvlText w:val="%7."/>
      <w:lvlJc w:val="left"/>
      <w:pPr>
        <w:ind w:left="4784" w:hanging="360"/>
      </w:pPr>
    </w:lvl>
    <w:lvl w:ilvl="7" w:tplc="04260019" w:tentative="1">
      <w:start w:val="1"/>
      <w:numFmt w:val="lowerLetter"/>
      <w:lvlText w:val="%8."/>
      <w:lvlJc w:val="left"/>
      <w:pPr>
        <w:ind w:left="5504" w:hanging="360"/>
      </w:pPr>
    </w:lvl>
    <w:lvl w:ilvl="8" w:tplc="0426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0">
    <w:nsid w:val="6E6A1D4D"/>
    <w:multiLevelType w:val="multilevel"/>
    <w:tmpl w:val="F7FC1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42908A5"/>
    <w:multiLevelType w:val="hybridMultilevel"/>
    <w:tmpl w:val="1D3272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DB3E32"/>
    <w:multiLevelType w:val="hybridMultilevel"/>
    <w:tmpl w:val="87C29E36"/>
    <w:lvl w:ilvl="0" w:tplc="12FEDC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E93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F413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23C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6F2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69A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AB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252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64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E8"/>
    <w:rsid w:val="00002268"/>
    <w:rsid w:val="00002503"/>
    <w:rsid w:val="000051CC"/>
    <w:rsid w:val="000114C7"/>
    <w:rsid w:val="0001271E"/>
    <w:rsid w:val="00014144"/>
    <w:rsid w:val="0001422A"/>
    <w:rsid w:val="00014937"/>
    <w:rsid w:val="00015A72"/>
    <w:rsid w:val="00015EC6"/>
    <w:rsid w:val="00017C7B"/>
    <w:rsid w:val="0002028F"/>
    <w:rsid w:val="0002030A"/>
    <w:rsid w:val="000214C4"/>
    <w:rsid w:val="000258C0"/>
    <w:rsid w:val="00027D3D"/>
    <w:rsid w:val="00030477"/>
    <w:rsid w:val="00030D50"/>
    <w:rsid w:val="00035037"/>
    <w:rsid w:val="00036A9B"/>
    <w:rsid w:val="0004038C"/>
    <w:rsid w:val="0004231A"/>
    <w:rsid w:val="00042E35"/>
    <w:rsid w:val="00043735"/>
    <w:rsid w:val="00043C1A"/>
    <w:rsid w:val="00046C40"/>
    <w:rsid w:val="000504F6"/>
    <w:rsid w:val="0005099F"/>
    <w:rsid w:val="00053D19"/>
    <w:rsid w:val="00053E9B"/>
    <w:rsid w:val="00055F75"/>
    <w:rsid w:val="00062F83"/>
    <w:rsid w:val="00063A04"/>
    <w:rsid w:val="0007081E"/>
    <w:rsid w:val="00072931"/>
    <w:rsid w:val="00073651"/>
    <w:rsid w:val="00076769"/>
    <w:rsid w:val="00077611"/>
    <w:rsid w:val="00077AB9"/>
    <w:rsid w:val="00080D0B"/>
    <w:rsid w:val="00080F58"/>
    <w:rsid w:val="0008206C"/>
    <w:rsid w:val="000820A2"/>
    <w:rsid w:val="000833E2"/>
    <w:rsid w:val="00083E6F"/>
    <w:rsid w:val="00084090"/>
    <w:rsid w:val="00085AD1"/>
    <w:rsid w:val="00085DBA"/>
    <w:rsid w:val="00086787"/>
    <w:rsid w:val="0009034C"/>
    <w:rsid w:val="00092065"/>
    <w:rsid w:val="000931B5"/>
    <w:rsid w:val="00093ACE"/>
    <w:rsid w:val="00093DEB"/>
    <w:rsid w:val="00095E97"/>
    <w:rsid w:val="000A1292"/>
    <w:rsid w:val="000A5A46"/>
    <w:rsid w:val="000A67F8"/>
    <w:rsid w:val="000A6B7D"/>
    <w:rsid w:val="000A747F"/>
    <w:rsid w:val="000B0780"/>
    <w:rsid w:val="000B1064"/>
    <w:rsid w:val="000B29E9"/>
    <w:rsid w:val="000B2A4E"/>
    <w:rsid w:val="000B2D19"/>
    <w:rsid w:val="000B3CF2"/>
    <w:rsid w:val="000B7F35"/>
    <w:rsid w:val="000C16E6"/>
    <w:rsid w:val="000C24C7"/>
    <w:rsid w:val="000C37CF"/>
    <w:rsid w:val="000C4389"/>
    <w:rsid w:val="000D0C6F"/>
    <w:rsid w:val="000D10CB"/>
    <w:rsid w:val="000D16A5"/>
    <w:rsid w:val="000D29B1"/>
    <w:rsid w:val="000D51D2"/>
    <w:rsid w:val="000D6EEE"/>
    <w:rsid w:val="000E11A5"/>
    <w:rsid w:val="000E2B3C"/>
    <w:rsid w:val="000E47B5"/>
    <w:rsid w:val="000E47F4"/>
    <w:rsid w:val="000E7AB3"/>
    <w:rsid w:val="000F27FD"/>
    <w:rsid w:val="000F2E2F"/>
    <w:rsid w:val="000F4726"/>
    <w:rsid w:val="000F6BCB"/>
    <w:rsid w:val="000F7735"/>
    <w:rsid w:val="00103E89"/>
    <w:rsid w:val="00104362"/>
    <w:rsid w:val="00105275"/>
    <w:rsid w:val="0010532F"/>
    <w:rsid w:val="001072A1"/>
    <w:rsid w:val="00110673"/>
    <w:rsid w:val="00110AA1"/>
    <w:rsid w:val="001128BE"/>
    <w:rsid w:val="001134C5"/>
    <w:rsid w:val="00115CA5"/>
    <w:rsid w:val="0011631B"/>
    <w:rsid w:val="001172C8"/>
    <w:rsid w:val="0011734D"/>
    <w:rsid w:val="00120D8D"/>
    <w:rsid w:val="001243D1"/>
    <w:rsid w:val="00127523"/>
    <w:rsid w:val="00127BC7"/>
    <w:rsid w:val="00127BCB"/>
    <w:rsid w:val="0013131D"/>
    <w:rsid w:val="00131457"/>
    <w:rsid w:val="00133765"/>
    <w:rsid w:val="00136A18"/>
    <w:rsid w:val="00136BD5"/>
    <w:rsid w:val="001400B0"/>
    <w:rsid w:val="001418F5"/>
    <w:rsid w:val="001443E1"/>
    <w:rsid w:val="00144A85"/>
    <w:rsid w:val="0014509D"/>
    <w:rsid w:val="001463BF"/>
    <w:rsid w:val="001467DC"/>
    <w:rsid w:val="00152DD0"/>
    <w:rsid w:val="0015335F"/>
    <w:rsid w:val="001534B7"/>
    <w:rsid w:val="00153959"/>
    <w:rsid w:val="00154B5E"/>
    <w:rsid w:val="00154DD3"/>
    <w:rsid w:val="001565D2"/>
    <w:rsid w:val="0015775E"/>
    <w:rsid w:val="00157BED"/>
    <w:rsid w:val="0016003A"/>
    <w:rsid w:val="00162A0E"/>
    <w:rsid w:val="00163DD3"/>
    <w:rsid w:val="00164B6D"/>
    <w:rsid w:val="00166E1B"/>
    <w:rsid w:val="00167706"/>
    <w:rsid w:val="001759C5"/>
    <w:rsid w:val="00176424"/>
    <w:rsid w:val="001767E4"/>
    <w:rsid w:val="0017768B"/>
    <w:rsid w:val="0018043E"/>
    <w:rsid w:val="0018151D"/>
    <w:rsid w:val="001827CC"/>
    <w:rsid w:val="001828BC"/>
    <w:rsid w:val="00183532"/>
    <w:rsid w:val="00184DAF"/>
    <w:rsid w:val="00184E0D"/>
    <w:rsid w:val="0018559F"/>
    <w:rsid w:val="001915B6"/>
    <w:rsid w:val="00192763"/>
    <w:rsid w:val="001930EC"/>
    <w:rsid w:val="00193A5B"/>
    <w:rsid w:val="00196AE4"/>
    <w:rsid w:val="001972C5"/>
    <w:rsid w:val="00197BBC"/>
    <w:rsid w:val="001A2478"/>
    <w:rsid w:val="001A5CEB"/>
    <w:rsid w:val="001A65B8"/>
    <w:rsid w:val="001B0AE9"/>
    <w:rsid w:val="001B1627"/>
    <w:rsid w:val="001B1710"/>
    <w:rsid w:val="001B1BE5"/>
    <w:rsid w:val="001B2AEC"/>
    <w:rsid w:val="001B7A0F"/>
    <w:rsid w:val="001C318D"/>
    <w:rsid w:val="001C5EF0"/>
    <w:rsid w:val="001D380F"/>
    <w:rsid w:val="001D4937"/>
    <w:rsid w:val="001D4B14"/>
    <w:rsid w:val="001E0C1B"/>
    <w:rsid w:val="001E2C12"/>
    <w:rsid w:val="001F03B6"/>
    <w:rsid w:val="001F048F"/>
    <w:rsid w:val="001F4771"/>
    <w:rsid w:val="001F6164"/>
    <w:rsid w:val="001F61AC"/>
    <w:rsid w:val="00201FF2"/>
    <w:rsid w:val="0020265D"/>
    <w:rsid w:val="002045EF"/>
    <w:rsid w:val="002112B0"/>
    <w:rsid w:val="00211B99"/>
    <w:rsid w:val="00214893"/>
    <w:rsid w:val="00214A17"/>
    <w:rsid w:val="00215B3E"/>
    <w:rsid w:val="00215FD3"/>
    <w:rsid w:val="002229F9"/>
    <w:rsid w:val="00223641"/>
    <w:rsid w:val="00224736"/>
    <w:rsid w:val="0023040B"/>
    <w:rsid w:val="0023060F"/>
    <w:rsid w:val="002322D7"/>
    <w:rsid w:val="00232A7B"/>
    <w:rsid w:val="00233AA4"/>
    <w:rsid w:val="00233C59"/>
    <w:rsid w:val="002345C1"/>
    <w:rsid w:val="0023533F"/>
    <w:rsid w:val="0023700D"/>
    <w:rsid w:val="00237539"/>
    <w:rsid w:val="00237DDA"/>
    <w:rsid w:val="002403CE"/>
    <w:rsid w:val="00240A58"/>
    <w:rsid w:val="002425A8"/>
    <w:rsid w:val="00242B86"/>
    <w:rsid w:val="002441E9"/>
    <w:rsid w:val="0024569C"/>
    <w:rsid w:val="002462A2"/>
    <w:rsid w:val="00247636"/>
    <w:rsid w:val="00251B9E"/>
    <w:rsid w:val="00255065"/>
    <w:rsid w:val="002552AE"/>
    <w:rsid w:val="00255D5E"/>
    <w:rsid w:val="00255ED8"/>
    <w:rsid w:val="0025630E"/>
    <w:rsid w:val="002577DF"/>
    <w:rsid w:val="00260A3C"/>
    <w:rsid w:val="00260B4B"/>
    <w:rsid w:val="00261E6A"/>
    <w:rsid w:val="002628E5"/>
    <w:rsid w:val="0026471F"/>
    <w:rsid w:val="00266F38"/>
    <w:rsid w:val="00275C23"/>
    <w:rsid w:val="002807AE"/>
    <w:rsid w:val="00280F65"/>
    <w:rsid w:val="002811AB"/>
    <w:rsid w:val="00282451"/>
    <w:rsid w:val="00282660"/>
    <w:rsid w:val="00282D20"/>
    <w:rsid w:val="0028310B"/>
    <w:rsid w:val="00283138"/>
    <w:rsid w:val="002836F8"/>
    <w:rsid w:val="00283D0E"/>
    <w:rsid w:val="00285544"/>
    <w:rsid w:val="0028694F"/>
    <w:rsid w:val="00286F3D"/>
    <w:rsid w:val="00287AF7"/>
    <w:rsid w:val="00287E87"/>
    <w:rsid w:val="0029051C"/>
    <w:rsid w:val="00292822"/>
    <w:rsid w:val="0029471D"/>
    <w:rsid w:val="00294E26"/>
    <w:rsid w:val="002961CF"/>
    <w:rsid w:val="002A230C"/>
    <w:rsid w:val="002A277A"/>
    <w:rsid w:val="002A4FC3"/>
    <w:rsid w:val="002A7F47"/>
    <w:rsid w:val="002B2901"/>
    <w:rsid w:val="002B5ADD"/>
    <w:rsid w:val="002B6F89"/>
    <w:rsid w:val="002B7FD6"/>
    <w:rsid w:val="002C0BC7"/>
    <w:rsid w:val="002C2267"/>
    <w:rsid w:val="002C3295"/>
    <w:rsid w:val="002C3BCC"/>
    <w:rsid w:val="002C5275"/>
    <w:rsid w:val="002C56F7"/>
    <w:rsid w:val="002C57D3"/>
    <w:rsid w:val="002C7399"/>
    <w:rsid w:val="002C745E"/>
    <w:rsid w:val="002D1FC5"/>
    <w:rsid w:val="002D25FD"/>
    <w:rsid w:val="002D2AA7"/>
    <w:rsid w:val="002D5BC5"/>
    <w:rsid w:val="002D6523"/>
    <w:rsid w:val="002D6CAC"/>
    <w:rsid w:val="002D7E5A"/>
    <w:rsid w:val="002E0515"/>
    <w:rsid w:val="002E1A29"/>
    <w:rsid w:val="002E26E0"/>
    <w:rsid w:val="002E43E8"/>
    <w:rsid w:val="002F1108"/>
    <w:rsid w:val="002F21C2"/>
    <w:rsid w:val="002F3E27"/>
    <w:rsid w:val="002F5081"/>
    <w:rsid w:val="002F5E3F"/>
    <w:rsid w:val="002F64E8"/>
    <w:rsid w:val="002F67CF"/>
    <w:rsid w:val="002F6EAE"/>
    <w:rsid w:val="002F76E7"/>
    <w:rsid w:val="002F78DD"/>
    <w:rsid w:val="0030362F"/>
    <w:rsid w:val="003037FC"/>
    <w:rsid w:val="00304112"/>
    <w:rsid w:val="00305FB6"/>
    <w:rsid w:val="00306CF3"/>
    <w:rsid w:val="003101BF"/>
    <w:rsid w:val="003126E4"/>
    <w:rsid w:val="00313B1A"/>
    <w:rsid w:val="00314456"/>
    <w:rsid w:val="00314B96"/>
    <w:rsid w:val="003152C7"/>
    <w:rsid w:val="0031617D"/>
    <w:rsid w:val="003161BE"/>
    <w:rsid w:val="003165DE"/>
    <w:rsid w:val="00316752"/>
    <w:rsid w:val="00316E18"/>
    <w:rsid w:val="003222F7"/>
    <w:rsid w:val="0032254F"/>
    <w:rsid w:val="003227FE"/>
    <w:rsid w:val="003229F3"/>
    <w:rsid w:val="00323244"/>
    <w:rsid w:val="0032351A"/>
    <w:rsid w:val="003243D8"/>
    <w:rsid w:val="00324468"/>
    <w:rsid w:val="00324A66"/>
    <w:rsid w:val="003254CB"/>
    <w:rsid w:val="00325CD2"/>
    <w:rsid w:val="003339AC"/>
    <w:rsid w:val="00333DBC"/>
    <w:rsid w:val="00337A55"/>
    <w:rsid w:val="00341684"/>
    <w:rsid w:val="00342129"/>
    <w:rsid w:val="00342867"/>
    <w:rsid w:val="00342930"/>
    <w:rsid w:val="0034411F"/>
    <w:rsid w:val="00345A48"/>
    <w:rsid w:val="00351C47"/>
    <w:rsid w:val="00355629"/>
    <w:rsid w:val="00357966"/>
    <w:rsid w:val="00360D0D"/>
    <w:rsid w:val="00361CAB"/>
    <w:rsid w:val="00361FBA"/>
    <w:rsid w:val="003643AA"/>
    <w:rsid w:val="00364D84"/>
    <w:rsid w:val="0036509B"/>
    <w:rsid w:val="00367CEC"/>
    <w:rsid w:val="00371C59"/>
    <w:rsid w:val="00372AC5"/>
    <w:rsid w:val="00373141"/>
    <w:rsid w:val="00375362"/>
    <w:rsid w:val="0037632F"/>
    <w:rsid w:val="00377349"/>
    <w:rsid w:val="00377FD9"/>
    <w:rsid w:val="0038144C"/>
    <w:rsid w:val="003823C9"/>
    <w:rsid w:val="0038304B"/>
    <w:rsid w:val="00383C62"/>
    <w:rsid w:val="003876E0"/>
    <w:rsid w:val="00387874"/>
    <w:rsid w:val="00390BAD"/>
    <w:rsid w:val="00392124"/>
    <w:rsid w:val="0039221D"/>
    <w:rsid w:val="00393F83"/>
    <w:rsid w:val="00394BE5"/>
    <w:rsid w:val="00394C29"/>
    <w:rsid w:val="00396937"/>
    <w:rsid w:val="00396C30"/>
    <w:rsid w:val="003A0F08"/>
    <w:rsid w:val="003A1D96"/>
    <w:rsid w:val="003A2269"/>
    <w:rsid w:val="003A3DDD"/>
    <w:rsid w:val="003A5446"/>
    <w:rsid w:val="003A54DF"/>
    <w:rsid w:val="003A6A35"/>
    <w:rsid w:val="003A768C"/>
    <w:rsid w:val="003B03E0"/>
    <w:rsid w:val="003B0FD8"/>
    <w:rsid w:val="003B29F1"/>
    <w:rsid w:val="003B3870"/>
    <w:rsid w:val="003C19CD"/>
    <w:rsid w:val="003C2A18"/>
    <w:rsid w:val="003C3DDF"/>
    <w:rsid w:val="003C3FA4"/>
    <w:rsid w:val="003C439A"/>
    <w:rsid w:val="003C7172"/>
    <w:rsid w:val="003D0493"/>
    <w:rsid w:val="003D07ED"/>
    <w:rsid w:val="003D0B2F"/>
    <w:rsid w:val="003D241E"/>
    <w:rsid w:val="003D432A"/>
    <w:rsid w:val="003D4E4A"/>
    <w:rsid w:val="003D503C"/>
    <w:rsid w:val="003D534F"/>
    <w:rsid w:val="003D629E"/>
    <w:rsid w:val="003E009E"/>
    <w:rsid w:val="003E09C1"/>
    <w:rsid w:val="003E2065"/>
    <w:rsid w:val="003E3304"/>
    <w:rsid w:val="003E3BAC"/>
    <w:rsid w:val="003E4F1E"/>
    <w:rsid w:val="003E77C8"/>
    <w:rsid w:val="003F04CE"/>
    <w:rsid w:val="003F1772"/>
    <w:rsid w:val="003F19BA"/>
    <w:rsid w:val="003F3B24"/>
    <w:rsid w:val="003F50D9"/>
    <w:rsid w:val="00404742"/>
    <w:rsid w:val="00404932"/>
    <w:rsid w:val="00407EA2"/>
    <w:rsid w:val="0041089C"/>
    <w:rsid w:val="00410AC4"/>
    <w:rsid w:val="00417CCA"/>
    <w:rsid w:val="004204C3"/>
    <w:rsid w:val="0042572C"/>
    <w:rsid w:val="00426B13"/>
    <w:rsid w:val="00427E23"/>
    <w:rsid w:val="0043390E"/>
    <w:rsid w:val="0043514A"/>
    <w:rsid w:val="004361C9"/>
    <w:rsid w:val="00436C2A"/>
    <w:rsid w:val="004401A8"/>
    <w:rsid w:val="00440617"/>
    <w:rsid w:val="004425C2"/>
    <w:rsid w:val="00442AAD"/>
    <w:rsid w:val="0044361C"/>
    <w:rsid w:val="00444C2F"/>
    <w:rsid w:val="004460AF"/>
    <w:rsid w:val="00453BF3"/>
    <w:rsid w:val="00454F14"/>
    <w:rsid w:val="00455385"/>
    <w:rsid w:val="00455D64"/>
    <w:rsid w:val="00460AE0"/>
    <w:rsid w:val="00460CFE"/>
    <w:rsid w:val="00462754"/>
    <w:rsid w:val="004628FA"/>
    <w:rsid w:val="00463696"/>
    <w:rsid w:val="004637B9"/>
    <w:rsid w:val="00464AB1"/>
    <w:rsid w:val="00465BBD"/>
    <w:rsid w:val="0046609B"/>
    <w:rsid w:val="00466771"/>
    <w:rsid w:val="004675E5"/>
    <w:rsid w:val="00467A94"/>
    <w:rsid w:val="004704FF"/>
    <w:rsid w:val="00471F59"/>
    <w:rsid w:val="00480ADE"/>
    <w:rsid w:val="004814AD"/>
    <w:rsid w:val="004831F0"/>
    <w:rsid w:val="00485AFA"/>
    <w:rsid w:val="004866EB"/>
    <w:rsid w:val="00486B4F"/>
    <w:rsid w:val="004877A5"/>
    <w:rsid w:val="00487C33"/>
    <w:rsid w:val="00492245"/>
    <w:rsid w:val="00493021"/>
    <w:rsid w:val="00494467"/>
    <w:rsid w:val="00494494"/>
    <w:rsid w:val="00494B41"/>
    <w:rsid w:val="00496501"/>
    <w:rsid w:val="00497BAC"/>
    <w:rsid w:val="00497DAB"/>
    <w:rsid w:val="004A13F3"/>
    <w:rsid w:val="004A238E"/>
    <w:rsid w:val="004A347F"/>
    <w:rsid w:val="004A3A83"/>
    <w:rsid w:val="004A3F2B"/>
    <w:rsid w:val="004A4248"/>
    <w:rsid w:val="004A48D7"/>
    <w:rsid w:val="004A52B1"/>
    <w:rsid w:val="004A53BA"/>
    <w:rsid w:val="004A7151"/>
    <w:rsid w:val="004B55A7"/>
    <w:rsid w:val="004B71E3"/>
    <w:rsid w:val="004B7800"/>
    <w:rsid w:val="004C0015"/>
    <w:rsid w:val="004C165F"/>
    <w:rsid w:val="004C2B0E"/>
    <w:rsid w:val="004C2C9E"/>
    <w:rsid w:val="004C3208"/>
    <w:rsid w:val="004C5D6A"/>
    <w:rsid w:val="004C6C07"/>
    <w:rsid w:val="004C7262"/>
    <w:rsid w:val="004D0657"/>
    <w:rsid w:val="004D1A42"/>
    <w:rsid w:val="004D3161"/>
    <w:rsid w:val="004D377B"/>
    <w:rsid w:val="004D3E38"/>
    <w:rsid w:val="004D7981"/>
    <w:rsid w:val="004E2197"/>
    <w:rsid w:val="004E401F"/>
    <w:rsid w:val="004E4A8D"/>
    <w:rsid w:val="004E648F"/>
    <w:rsid w:val="004F0198"/>
    <w:rsid w:val="004F0221"/>
    <w:rsid w:val="004F0E93"/>
    <w:rsid w:val="004F0F48"/>
    <w:rsid w:val="004F1BCF"/>
    <w:rsid w:val="004F2537"/>
    <w:rsid w:val="004F454F"/>
    <w:rsid w:val="004F796C"/>
    <w:rsid w:val="005003D5"/>
    <w:rsid w:val="005011A8"/>
    <w:rsid w:val="00503F2E"/>
    <w:rsid w:val="00504636"/>
    <w:rsid w:val="00504CEC"/>
    <w:rsid w:val="005054BC"/>
    <w:rsid w:val="0050773E"/>
    <w:rsid w:val="00507AF3"/>
    <w:rsid w:val="00507BE0"/>
    <w:rsid w:val="00507F1A"/>
    <w:rsid w:val="005108A2"/>
    <w:rsid w:val="00510AFE"/>
    <w:rsid w:val="00511BD7"/>
    <w:rsid w:val="00513575"/>
    <w:rsid w:val="00515359"/>
    <w:rsid w:val="00517FB4"/>
    <w:rsid w:val="00520C10"/>
    <w:rsid w:val="0052561D"/>
    <w:rsid w:val="005257D4"/>
    <w:rsid w:val="005270B5"/>
    <w:rsid w:val="00527B87"/>
    <w:rsid w:val="00531C94"/>
    <w:rsid w:val="00532D11"/>
    <w:rsid w:val="005344D9"/>
    <w:rsid w:val="00534C66"/>
    <w:rsid w:val="00534CE2"/>
    <w:rsid w:val="005367EB"/>
    <w:rsid w:val="005402FA"/>
    <w:rsid w:val="00540792"/>
    <w:rsid w:val="00540973"/>
    <w:rsid w:val="00541AD8"/>
    <w:rsid w:val="00541F97"/>
    <w:rsid w:val="005420E1"/>
    <w:rsid w:val="00544474"/>
    <w:rsid w:val="00544779"/>
    <w:rsid w:val="00547F89"/>
    <w:rsid w:val="005503AC"/>
    <w:rsid w:val="00551FD6"/>
    <w:rsid w:val="00553425"/>
    <w:rsid w:val="00553A43"/>
    <w:rsid w:val="0055465E"/>
    <w:rsid w:val="00555588"/>
    <w:rsid w:val="00555884"/>
    <w:rsid w:val="005563C4"/>
    <w:rsid w:val="00556975"/>
    <w:rsid w:val="005605B6"/>
    <w:rsid w:val="00564950"/>
    <w:rsid w:val="00565900"/>
    <w:rsid w:val="0056708C"/>
    <w:rsid w:val="005676D6"/>
    <w:rsid w:val="00574EB5"/>
    <w:rsid w:val="00581567"/>
    <w:rsid w:val="00582C05"/>
    <w:rsid w:val="0058459A"/>
    <w:rsid w:val="005917FB"/>
    <w:rsid w:val="0059640E"/>
    <w:rsid w:val="00596C8F"/>
    <w:rsid w:val="005A00C9"/>
    <w:rsid w:val="005A058F"/>
    <w:rsid w:val="005A306C"/>
    <w:rsid w:val="005A6D74"/>
    <w:rsid w:val="005A7EF2"/>
    <w:rsid w:val="005B1566"/>
    <w:rsid w:val="005B330C"/>
    <w:rsid w:val="005B62C5"/>
    <w:rsid w:val="005B74D0"/>
    <w:rsid w:val="005C2599"/>
    <w:rsid w:val="005C581A"/>
    <w:rsid w:val="005C7530"/>
    <w:rsid w:val="005D08A0"/>
    <w:rsid w:val="005D1682"/>
    <w:rsid w:val="005D1AE6"/>
    <w:rsid w:val="005D2196"/>
    <w:rsid w:val="005D221B"/>
    <w:rsid w:val="005D5C44"/>
    <w:rsid w:val="005D5ECF"/>
    <w:rsid w:val="005E2839"/>
    <w:rsid w:val="005E2A92"/>
    <w:rsid w:val="005E76E0"/>
    <w:rsid w:val="005F0647"/>
    <w:rsid w:val="005F1566"/>
    <w:rsid w:val="005F224F"/>
    <w:rsid w:val="005F2596"/>
    <w:rsid w:val="005F287E"/>
    <w:rsid w:val="005F28AA"/>
    <w:rsid w:val="005F29C9"/>
    <w:rsid w:val="005F2A46"/>
    <w:rsid w:val="005F2E41"/>
    <w:rsid w:val="005F57D0"/>
    <w:rsid w:val="00600918"/>
    <w:rsid w:val="00600E25"/>
    <w:rsid w:val="006018E5"/>
    <w:rsid w:val="006019E1"/>
    <w:rsid w:val="006054BE"/>
    <w:rsid w:val="00605F74"/>
    <w:rsid w:val="006067E8"/>
    <w:rsid w:val="00607ACA"/>
    <w:rsid w:val="00610696"/>
    <w:rsid w:val="006108F5"/>
    <w:rsid w:val="00610B62"/>
    <w:rsid w:val="00610BAD"/>
    <w:rsid w:val="0061100D"/>
    <w:rsid w:val="00616E5D"/>
    <w:rsid w:val="006179DC"/>
    <w:rsid w:val="006208C4"/>
    <w:rsid w:val="0062386F"/>
    <w:rsid w:val="00625BF0"/>
    <w:rsid w:val="00627FEB"/>
    <w:rsid w:val="006332FD"/>
    <w:rsid w:val="00635698"/>
    <w:rsid w:val="006359CB"/>
    <w:rsid w:val="00637F84"/>
    <w:rsid w:val="00640E4A"/>
    <w:rsid w:val="00641012"/>
    <w:rsid w:val="00641B53"/>
    <w:rsid w:val="0064261E"/>
    <w:rsid w:val="00642C01"/>
    <w:rsid w:val="006430DC"/>
    <w:rsid w:val="00644029"/>
    <w:rsid w:val="00644071"/>
    <w:rsid w:val="00644608"/>
    <w:rsid w:val="00645B84"/>
    <w:rsid w:val="00645E9A"/>
    <w:rsid w:val="00646CF4"/>
    <w:rsid w:val="006527AB"/>
    <w:rsid w:val="00653B0F"/>
    <w:rsid w:val="00654D86"/>
    <w:rsid w:val="00655B20"/>
    <w:rsid w:val="00655DD7"/>
    <w:rsid w:val="006560B2"/>
    <w:rsid w:val="006564DA"/>
    <w:rsid w:val="00656517"/>
    <w:rsid w:val="00657C2B"/>
    <w:rsid w:val="00662B38"/>
    <w:rsid w:val="006641FF"/>
    <w:rsid w:val="00665909"/>
    <w:rsid w:val="00666184"/>
    <w:rsid w:val="00666CB8"/>
    <w:rsid w:val="00671021"/>
    <w:rsid w:val="006714CB"/>
    <w:rsid w:val="0067340F"/>
    <w:rsid w:val="00674F28"/>
    <w:rsid w:val="00674F81"/>
    <w:rsid w:val="006761DB"/>
    <w:rsid w:val="0067623F"/>
    <w:rsid w:val="00680FF6"/>
    <w:rsid w:val="006827DB"/>
    <w:rsid w:val="00683D14"/>
    <w:rsid w:val="00684B38"/>
    <w:rsid w:val="00690820"/>
    <w:rsid w:val="00693ECE"/>
    <w:rsid w:val="006960C4"/>
    <w:rsid w:val="006967DC"/>
    <w:rsid w:val="00696BA8"/>
    <w:rsid w:val="006973CD"/>
    <w:rsid w:val="006977AD"/>
    <w:rsid w:val="00697CE4"/>
    <w:rsid w:val="00697DDA"/>
    <w:rsid w:val="006A030F"/>
    <w:rsid w:val="006A037A"/>
    <w:rsid w:val="006A178B"/>
    <w:rsid w:val="006A3067"/>
    <w:rsid w:val="006A74FD"/>
    <w:rsid w:val="006B0B9B"/>
    <w:rsid w:val="006B1C7C"/>
    <w:rsid w:val="006B1FF6"/>
    <w:rsid w:val="006B356B"/>
    <w:rsid w:val="006B4AFF"/>
    <w:rsid w:val="006B5AF3"/>
    <w:rsid w:val="006C23BB"/>
    <w:rsid w:val="006C3856"/>
    <w:rsid w:val="006D1CF8"/>
    <w:rsid w:val="006D39AF"/>
    <w:rsid w:val="006D3BA0"/>
    <w:rsid w:val="006D44C5"/>
    <w:rsid w:val="006D4B58"/>
    <w:rsid w:val="006D55ED"/>
    <w:rsid w:val="006E063B"/>
    <w:rsid w:val="006E1C2B"/>
    <w:rsid w:val="006E1F96"/>
    <w:rsid w:val="006E22C1"/>
    <w:rsid w:val="006E4575"/>
    <w:rsid w:val="006E729D"/>
    <w:rsid w:val="006F2200"/>
    <w:rsid w:val="006F2A9A"/>
    <w:rsid w:val="006F41A2"/>
    <w:rsid w:val="006F54FE"/>
    <w:rsid w:val="006F5C36"/>
    <w:rsid w:val="006F5C75"/>
    <w:rsid w:val="006F5F96"/>
    <w:rsid w:val="006F6E8F"/>
    <w:rsid w:val="007005F7"/>
    <w:rsid w:val="007020A8"/>
    <w:rsid w:val="007023C4"/>
    <w:rsid w:val="00703E87"/>
    <w:rsid w:val="00705C12"/>
    <w:rsid w:val="0070604A"/>
    <w:rsid w:val="007063AD"/>
    <w:rsid w:val="00707B4E"/>
    <w:rsid w:val="00707C95"/>
    <w:rsid w:val="007117BC"/>
    <w:rsid w:val="00717805"/>
    <w:rsid w:val="007178BA"/>
    <w:rsid w:val="007209B5"/>
    <w:rsid w:val="00721B0B"/>
    <w:rsid w:val="00721E9E"/>
    <w:rsid w:val="00722607"/>
    <w:rsid w:val="007238B2"/>
    <w:rsid w:val="00726614"/>
    <w:rsid w:val="0072734B"/>
    <w:rsid w:val="007315EA"/>
    <w:rsid w:val="0073204C"/>
    <w:rsid w:val="00734B47"/>
    <w:rsid w:val="00736DCC"/>
    <w:rsid w:val="007404CD"/>
    <w:rsid w:val="00741445"/>
    <w:rsid w:val="00741A9C"/>
    <w:rsid w:val="00742AAF"/>
    <w:rsid w:val="00742F8A"/>
    <w:rsid w:val="007470A1"/>
    <w:rsid w:val="007500F3"/>
    <w:rsid w:val="00750AED"/>
    <w:rsid w:val="00750D45"/>
    <w:rsid w:val="0076047A"/>
    <w:rsid w:val="00762601"/>
    <w:rsid w:val="007636A5"/>
    <w:rsid w:val="00766058"/>
    <w:rsid w:val="00770785"/>
    <w:rsid w:val="007742EC"/>
    <w:rsid w:val="00775B4D"/>
    <w:rsid w:val="0077660F"/>
    <w:rsid w:val="00776E0F"/>
    <w:rsid w:val="007808EB"/>
    <w:rsid w:val="00781C1C"/>
    <w:rsid w:val="00782780"/>
    <w:rsid w:val="00783E8D"/>
    <w:rsid w:val="00784577"/>
    <w:rsid w:val="007845C2"/>
    <w:rsid w:val="00784696"/>
    <w:rsid w:val="00785B77"/>
    <w:rsid w:val="00791A8D"/>
    <w:rsid w:val="00792187"/>
    <w:rsid w:val="00793EC5"/>
    <w:rsid w:val="007A23D7"/>
    <w:rsid w:val="007A27F5"/>
    <w:rsid w:val="007A56E1"/>
    <w:rsid w:val="007A6A4F"/>
    <w:rsid w:val="007B068C"/>
    <w:rsid w:val="007B3627"/>
    <w:rsid w:val="007B37A4"/>
    <w:rsid w:val="007B4440"/>
    <w:rsid w:val="007B5A08"/>
    <w:rsid w:val="007B606A"/>
    <w:rsid w:val="007C330B"/>
    <w:rsid w:val="007C6779"/>
    <w:rsid w:val="007D0A73"/>
    <w:rsid w:val="007D0EEC"/>
    <w:rsid w:val="007D2352"/>
    <w:rsid w:val="007D58D9"/>
    <w:rsid w:val="007D671D"/>
    <w:rsid w:val="007D6B57"/>
    <w:rsid w:val="007D7A48"/>
    <w:rsid w:val="007E01A3"/>
    <w:rsid w:val="007E049E"/>
    <w:rsid w:val="007E18E3"/>
    <w:rsid w:val="007E2FF4"/>
    <w:rsid w:val="007E53F4"/>
    <w:rsid w:val="007E7DEE"/>
    <w:rsid w:val="007F1A21"/>
    <w:rsid w:val="007F1C80"/>
    <w:rsid w:val="007F1F36"/>
    <w:rsid w:val="007F387B"/>
    <w:rsid w:val="007F3E5C"/>
    <w:rsid w:val="007F5599"/>
    <w:rsid w:val="007F5F09"/>
    <w:rsid w:val="007F642A"/>
    <w:rsid w:val="007F7359"/>
    <w:rsid w:val="0080058E"/>
    <w:rsid w:val="0080253D"/>
    <w:rsid w:val="0080302C"/>
    <w:rsid w:val="00806D94"/>
    <w:rsid w:val="00806D96"/>
    <w:rsid w:val="008103B1"/>
    <w:rsid w:val="00810AC1"/>
    <w:rsid w:val="00812951"/>
    <w:rsid w:val="008137F2"/>
    <w:rsid w:val="00815235"/>
    <w:rsid w:val="00815B66"/>
    <w:rsid w:val="00816D68"/>
    <w:rsid w:val="0081799D"/>
    <w:rsid w:val="00817B48"/>
    <w:rsid w:val="00820E4C"/>
    <w:rsid w:val="0082289E"/>
    <w:rsid w:val="00823121"/>
    <w:rsid w:val="00823B79"/>
    <w:rsid w:val="0082529C"/>
    <w:rsid w:val="00826828"/>
    <w:rsid w:val="00827C03"/>
    <w:rsid w:val="00827DCE"/>
    <w:rsid w:val="008306A8"/>
    <w:rsid w:val="0083295D"/>
    <w:rsid w:val="00833942"/>
    <w:rsid w:val="00834400"/>
    <w:rsid w:val="00835A72"/>
    <w:rsid w:val="00835C2F"/>
    <w:rsid w:val="00836BF8"/>
    <w:rsid w:val="00840B0F"/>
    <w:rsid w:val="00840EA9"/>
    <w:rsid w:val="00841A74"/>
    <w:rsid w:val="008448B1"/>
    <w:rsid w:val="00844C36"/>
    <w:rsid w:val="0084545E"/>
    <w:rsid w:val="00845D04"/>
    <w:rsid w:val="0084744C"/>
    <w:rsid w:val="00856485"/>
    <w:rsid w:val="00857B8B"/>
    <w:rsid w:val="00857C21"/>
    <w:rsid w:val="00860F24"/>
    <w:rsid w:val="00861C82"/>
    <w:rsid w:val="0086334D"/>
    <w:rsid w:val="00865432"/>
    <w:rsid w:val="008659F9"/>
    <w:rsid w:val="0086634A"/>
    <w:rsid w:val="008718F3"/>
    <w:rsid w:val="0087281E"/>
    <w:rsid w:val="008732AA"/>
    <w:rsid w:val="0087412F"/>
    <w:rsid w:val="00874894"/>
    <w:rsid w:val="008771EF"/>
    <w:rsid w:val="008810B9"/>
    <w:rsid w:val="00881996"/>
    <w:rsid w:val="00882208"/>
    <w:rsid w:val="00884DE9"/>
    <w:rsid w:val="0088539B"/>
    <w:rsid w:val="00885AF3"/>
    <w:rsid w:val="00885F4B"/>
    <w:rsid w:val="00886059"/>
    <w:rsid w:val="00891261"/>
    <w:rsid w:val="00894C5F"/>
    <w:rsid w:val="00897DDF"/>
    <w:rsid w:val="008A039D"/>
    <w:rsid w:val="008A2149"/>
    <w:rsid w:val="008A2BC9"/>
    <w:rsid w:val="008A4C49"/>
    <w:rsid w:val="008A55AA"/>
    <w:rsid w:val="008A56C3"/>
    <w:rsid w:val="008A680E"/>
    <w:rsid w:val="008B0F57"/>
    <w:rsid w:val="008B7844"/>
    <w:rsid w:val="008C246A"/>
    <w:rsid w:val="008C36E3"/>
    <w:rsid w:val="008C6560"/>
    <w:rsid w:val="008C762C"/>
    <w:rsid w:val="008D3098"/>
    <w:rsid w:val="008D3538"/>
    <w:rsid w:val="008D59C2"/>
    <w:rsid w:val="008D6629"/>
    <w:rsid w:val="008E1E57"/>
    <w:rsid w:val="008E263D"/>
    <w:rsid w:val="008E4848"/>
    <w:rsid w:val="008E5CF2"/>
    <w:rsid w:val="008E78F4"/>
    <w:rsid w:val="008E7DCA"/>
    <w:rsid w:val="008F1823"/>
    <w:rsid w:val="008F24B8"/>
    <w:rsid w:val="008F6947"/>
    <w:rsid w:val="009008E8"/>
    <w:rsid w:val="00902133"/>
    <w:rsid w:val="00902C21"/>
    <w:rsid w:val="00903678"/>
    <w:rsid w:val="009043CE"/>
    <w:rsid w:val="009053E2"/>
    <w:rsid w:val="00905647"/>
    <w:rsid w:val="00906BD5"/>
    <w:rsid w:val="00907A47"/>
    <w:rsid w:val="0091006D"/>
    <w:rsid w:val="00910F58"/>
    <w:rsid w:val="00911258"/>
    <w:rsid w:val="009126D8"/>
    <w:rsid w:val="00912EFF"/>
    <w:rsid w:val="00913554"/>
    <w:rsid w:val="00915D9C"/>
    <w:rsid w:val="009166BF"/>
    <w:rsid w:val="00916E05"/>
    <w:rsid w:val="00917519"/>
    <w:rsid w:val="00917B24"/>
    <w:rsid w:val="00920595"/>
    <w:rsid w:val="00920B96"/>
    <w:rsid w:val="00920BC7"/>
    <w:rsid w:val="009216EE"/>
    <w:rsid w:val="00923343"/>
    <w:rsid w:val="00923413"/>
    <w:rsid w:val="00923A60"/>
    <w:rsid w:val="0092576A"/>
    <w:rsid w:val="009269C2"/>
    <w:rsid w:val="009311A7"/>
    <w:rsid w:val="00934B9B"/>
    <w:rsid w:val="00937506"/>
    <w:rsid w:val="009405FF"/>
    <w:rsid w:val="00941DED"/>
    <w:rsid w:val="0094315B"/>
    <w:rsid w:val="00946212"/>
    <w:rsid w:val="009462DC"/>
    <w:rsid w:val="00946BBB"/>
    <w:rsid w:val="00951411"/>
    <w:rsid w:val="00951574"/>
    <w:rsid w:val="009545D9"/>
    <w:rsid w:val="00955893"/>
    <w:rsid w:val="00956193"/>
    <w:rsid w:val="00957281"/>
    <w:rsid w:val="0096168E"/>
    <w:rsid w:val="00961793"/>
    <w:rsid w:val="0096281F"/>
    <w:rsid w:val="00962FE0"/>
    <w:rsid w:val="009640EB"/>
    <w:rsid w:val="009657A6"/>
    <w:rsid w:val="009708C8"/>
    <w:rsid w:val="00970C45"/>
    <w:rsid w:val="00972F36"/>
    <w:rsid w:val="0097311D"/>
    <w:rsid w:val="009731B4"/>
    <w:rsid w:val="009745B2"/>
    <w:rsid w:val="00974BA2"/>
    <w:rsid w:val="00975B61"/>
    <w:rsid w:val="009768DB"/>
    <w:rsid w:val="00976B71"/>
    <w:rsid w:val="009802E3"/>
    <w:rsid w:val="009815E4"/>
    <w:rsid w:val="00982002"/>
    <w:rsid w:val="009827A4"/>
    <w:rsid w:val="00982D75"/>
    <w:rsid w:val="0098467F"/>
    <w:rsid w:val="00985AF1"/>
    <w:rsid w:val="00986BD0"/>
    <w:rsid w:val="00991873"/>
    <w:rsid w:val="0099382C"/>
    <w:rsid w:val="009938D5"/>
    <w:rsid w:val="009947F0"/>
    <w:rsid w:val="00995434"/>
    <w:rsid w:val="009A4D19"/>
    <w:rsid w:val="009B0D78"/>
    <w:rsid w:val="009B230B"/>
    <w:rsid w:val="009B6FA1"/>
    <w:rsid w:val="009C1280"/>
    <w:rsid w:val="009C38C2"/>
    <w:rsid w:val="009C3B44"/>
    <w:rsid w:val="009C4059"/>
    <w:rsid w:val="009C4582"/>
    <w:rsid w:val="009C5773"/>
    <w:rsid w:val="009C77C5"/>
    <w:rsid w:val="009D2246"/>
    <w:rsid w:val="009D5E33"/>
    <w:rsid w:val="009D669E"/>
    <w:rsid w:val="009E19E9"/>
    <w:rsid w:val="009E2E00"/>
    <w:rsid w:val="009E4D9A"/>
    <w:rsid w:val="009F1581"/>
    <w:rsid w:val="009F26F2"/>
    <w:rsid w:val="009F28E2"/>
    <w:rsid w:val="009F2D07"/>
    <w:rsid w:val="009F6ECA"/>
    <w:rsid w:val="009F7955"/>
    <w:rsid w:val="00A01C1A"/>
    <w:rsid w:val="00A03F3B"/>
    <w:rsid w:val="00A053F5"/>
    <w:rsid w:val="00A0793E"/>
    <w:rsid w:val="00A10232"/>
    <w:rsid w:val="00A12478"/>
    <w:rsid w:val="00A13CAF"/>
    <w:rsid w:val="00A14F6C"/>
    <w:rsid w:val="00A161D6"/>
    <w:rsid w:val="00A1679C"/>
    <w:rsid w:val="00A21C07"/>
    <w:rsid w:val="00A226BC"/>
    <w:rsid w:val="00A22777"/>
    <w:rsid w:val="00A22FDC"/>
    <w:rsid w:val="00A33062"/>
    <w:rsid w:val="00A3481B"/>
    <w:rsid w:val="00A363C9"/>
    <w:rsid w:val="00A37CAB"/>
    <w:rsid w:val="00A43488"/>
    <w:rsid w:val="00A45D88"/>
    <w:rsid w:val="00A462A1"/>
    <w:rsid w:val="00A469CB"/>
    <w:rsid w:val="00A46AA5"/>
    <w:rsid w:val="00A52271"/>
    <w:rsid w:val="00A52B15"/>
    <w:rsid w:val="00A539C7"/>
    <w:rsid w:val="00A54B8A"/>
    <w:rsid w:val="00A552C6"/>
    <w:rsid w:val="00A57B55"/>
    <w:rsid w:val="00A610EC"/>
    <w:rsid w:val="00A63386"/>
    <w:rsid w:val="00A65B96"/>
    <w:rsid w:val="00A67D40"/>
    <w:rsid w:val="00A72D98"/>
    <w:rsid w:val="00A74DED"/>
    <w:rsid w:val="00A76E93"/>
    <w:rsid w:val="00A77026"/>
    <w:rsid w:val="00A806F3"/>
    <w:rsid w:val="00A820D2"/>
    <w:rsid w:val="00A8288B"/>
    <w:rsid w:val="00A85461"/>
    <w:rsid w:val="00A86FC3"/>
    <w:rsid w:val="00A873FA"/>
    <w:rsid w:val="00A9005D"/>
    <w:rsid w:val="00A905D8"/>
    <w:rsid w:val="00A91151"/>
    <w:rsid w:val="00A9126C"/>
    <w:rsid w:val="00A92325"/>
    <w:rsid w:val="00A931B8"/>
    <w:rsid w:val="00A94D08"/>
    <w:rsid w:val="00A95042"/>
    <w:rsid w:val="00A9514E"/>
    <w:rsid w:val="00A95732"/>
    <w:rsid w:val="00AA07A5"/>
    <w:rsid w:val="00AB065B"/>
    <w:rsid w:val="00AB08E5"/>
    <w:rsid w:val="00AB34E4"/>
    <w:rsid w:val="00AB37E0"/>
    <w:rsid w:val="00AB414C"/>
    <w:rsid w:val="00AB5795"/>
    <w:rsid w:val="00AB63D8"/>
    <w:rsid w:val="00AB6B6E"/>
    <w:rsid w:val="00AB7BC5"/>
    <w:rsid w:val="00AC05DC"/>
    <w:rsid w:val="00AC2C7F"/>
    <w:rsid w:val="00AC5899"/>
    <w:rsid w:val="00AC6E4C"/>
    <w:rsid w:val="00AC7840"/>
    <w:rsid w:val="00AC7E98"/>
    <w:rsid w:val="00AD3151"/>
    <w:rsid w:val="00AD4122"/>
    <w:rsid w:val="00AD455A"/>
    <w:rsid w:val="00AD4F27"/>
    <w:rsid w:val="00AD7D52"/>
    <w:rsid w:val="00AE1E1D"/>
    <w:rsid w:val="00AE3EF9"/>
    <w:rsid w:val="00AE47C1"/>
    <w:rsid w:val="00AE7262"/>
    <w:rsid w:val="00AF589A"/>
    <w:rsid w:val="00B0131D"/>
    <w:rsid w:val="00B0533E"/>
    <w:rsid w:val="00B05EED"/>
    <w:rsid w:val="00B06F37"/>
    <w:rsid w:val="00B0725E"/>
    <w:rsid w:val="00B07C44"/>
    <w:rsid w:val="00B1090F"/>
    <w:rsid w:val="00B10DA0"/>
    <w:rsid w:val="00B113D2"/>
    <w:rsid w:val="00B11B6D"/>
    <w:rsid w:val="00B151BF"/>
    <w:rsid w:val="00B15949"/>
    <w:rsid w:val="00B15BD2"/>
    <w:rsid w:val="00B160F2"/>
    <w:rsid w:val="00B20A5C"/>
    <w:rsid w:val="00B21031"/>
    <w:rsid w:val="00B2132D"/>
    <w:rsid w:val="00B24731"/>
    <w:rsid w:val="00B26AE2"/>
    <w:rsid w:val="00B270E2"/>
    <w:rsid w:val="00B27884"/>
    <w:rsid w:val="00B316F1"/>
    <w:rsid w:val="00B3226B"/>
    <w:rsid w:val="00B328EA"/>
    <w:rsid w:val="00B32B34"/>
    <w:rsid w:val="00B344D9"/>
    <w:rsid w:val="00B34FD4"/>
    <w:rsid w:val="00B368B5"/>
    <w:rsid w:val="00B377DF"/>
    <w:rsid w:val="00B37ED8"/>
    <w:rsid w:val="00B4128F"/>
    <w:rsid w:val="00B42139"/>
    <w:rsid w:val="00B467C4"/>
    <w:rsid w:val="00B47780"/>
    <w:rsid w:val="00B51226"/>
    <w:rsid w:val="00B51D53"/>
    <w:rsid w:val="00B5224A"/>
    <w:rsid w:val="00B53559"/>
    <w:rsid w:val="00B53767"/>
    <w:rsid w:val="00B542EC"/>
    <w:rsid w:val="00B54F7A"/>
    <w:rsid w:val="00B56412"/>
    <w:rsid w:val="00B5796F"/>
    <w:rsid w:val="00B57F16"/>
    <w:rsid w:val="00B624BB"/>
    <w:rsid w:val="00B62912"/>
    <w:rsid w:val="00B66A3D"/>
    <w:rsid w:val="00B66ACE"/>
    <w:rsid w:val="00B66CA8"/>
    <w:rsid w:val="00B700A9"/>
    <w:rsid w:val="00B762B5"/>
    <w:rsid w:val="00B76846"/>
    <w:rsid w:val="00B84FB9"/>
    <w:rsid w:val="00B87219"/>
    <w:rsid w:val="00B875D7"/>
    <w:rsid w:val="00B93446"/>
    <w:rsid w:val="00B93E94"/>
    <w:rsid w:val="00B95307"/>
    <w:rsid w:val="00B96E8C"/>
    <w:rsid w:val="00BA10A7"/>
    <w:rsid w:val="00BA1B6A"/>
    <w:rsid w:val="00BA28B4"/>
    <w:rsid w:val="00BA4092"/>
    <w:rsid w:val="00BA627E"/>
    <w:rsid w:val="00BA7835"/>
    <w:rsid w:val="00BA7F1A"/>
    <w:rsid w:val="00BB437C"/>
    <w:rsid w:val="00BB4E2C"/>
    <w:rsid w:val="00BB5D92"/>
    <w:rsid w:val="00BB66C5"/>
    <w:rsid w:val="00BB7589"/>
    <w:rsid w:val="00BC10F5"/>
    <w:rsid w:val="00BC2390"/>
    <w:rsid w:val="00BC2BA7"/>
    <w:rsid w:val="00BC3BBF"/>
    <w:rsid w:val="00BC5062"/>
    <w:rsid w:val="00BD033A"/>
    <w:rsid w:val="00BD0509"/>
    <w:rsid w:val="00BD1688"/>
    <w:rsid w:val="00BD199F"/>
    <w:rsid w:val="00BD43E5"/>
    <w:rsid w:val="00BD53C9"/>
    <w:rsid w:val="00BE064A"/>
    <w:rsid w:val="00BE2E3F"/>
    <w:rsid w:val="00BE3C34"/>
    <w:rsid w:val="00BE760C"/>
    <w:rsid w:val="00BF044D"/>
    <w:rsid w:val="00BF10B9"/>
    <w:rsid w:val="00BF50F2"/>
    <w:rsid w:val="00BF6567"/>
    <w:rsid w:val="00BF665E"/>
    <w:rsid w:val="00BF66A7"/>
    <w:rsid w:val="00C01EEB"/>
    <w:rsid w:val="00C02828"/>
    <w:rsid w:val="00C035CA"/>
    <w:rsid w:val="00C03A43"/>
    <w:rsid w:val="00C112A9"/>
    <w:rsid w:val="00C159B8"/>
    <w:rsid w:val="00C16C38"/>
    <w:rsid w:val="00C16F17"/>
    <w:rsid w:val="00C17255"/>
    <w:rsid w:val="00C208B9"/>
    <w:rsid w:val="00C212CC"/>
    <w:rsid w:val="00C21DAE"/>
    <w:rsid w:val="00C23F61"/>
    <w:rsid w:val="00C25AD5"/>
    <w:rsid w:val="00C25CA9"/>
    <w:rsid w:val="00C269D1"/>
    <w:rsid w:val="00C33DA0"/>
    <w:rsid w:val="00C34F62"/>
    <w:rsid w:val="00C356B3"/>
    <w:rsid w:val="00C37D83"/>
    <w:rsid w:val="00C40B20"/>
    <w:rsid w:val="00C44835"/>
    <w:rsid w:val="00C478E0"/>
    <w:rsid w:val="00C506F3"/>
    <w:rsid w:val="00C50E2D"/>
    <w:rsid w:val="00C50EBC"/>
    <w:rsid w:val="00C52B6E"/>
    <w:rsid w:val="00C534CD"/>
    <w:rsid w:val="00C53908"/>
    <w:rsid w:val="00C5512B"/>
    <w:rsid w:val="00C569AD"/>
    <w:rsid w:val="00C5731D"/>
    <w:rsid w:val="00C576CE"/>
    <w:rsid w:val="00C63E8A"/>
    <w:rsid w:val="00C643BC"/>
    <w:rsid w:val="00C656CC"/>
    <w:rsid w:val="00C658EB"/>
    <w:rsid w:val="00C65CBF"/>
    <w:rsid w:val="00C6679A"/>
    <w:rsid w:val="00C70B06"/>
    <w:rsid w:val="00C723D7"/>
    <w:rsid w:val="00C72D15"/>
    <w:rsid w:val="00C7449D"/>
    <w:rsid w:val="00C74FB7"/>
    <w:rsid w:val="00C771B1"/>
    <w:rsid w:val="00C80A2B"/>
    <w:rsid w:val="00C80DDF"/>
    <w:rsid w:val="00C8392C"/>
    <w:rsid w:val="00C847F7"/>
    <w:rsid w:val="00C87535"/>
    <w:rsid w:val="00C91CA7"/>
    <w:rsid w:val="00C93ABC"/>
    <w:rsid w:val="00C959C4"/>
    <w:rsid w:val="00CA1337"/>
    <w:rsid w:val="00CA3821"/>
    <w:rsid w:val="00CA62E9"/>
    <w:rsid w:val="00CB0122"/>
    <w:rsid w:val="00CB05FF"/>
    <w:rsid w:val="00CB1862"/>
    <w:rsid w:val="00CB233F"/>
    <w:rsid w:val="00CB2952"/>
    <w:rsid w:val="00CB2DA4"/>
    <w:rsid w:val="00CB3031"/>
    <w:rsid w:val="00CB6338"/>
    <w:rsid w:val="00CC0481"/>
    <w:rsid w:val="00CC230E"/>
    <w:rsid w:val="00CC7F49"/>
    <w:rsid w:val="00CD1163"/>
    <w:rsid w:val="00CD21AB"/>
    <w:rsid w:val="00CD599E"/>
    <w:rsid w:val="00CD59A2"/>
    <w:rsid w:val="00CE1AA5"/>
    <w:rsid w:val="00CE2B4C"/>
    <w:rsid w:val="00CE3EDE"/>
    <w:rsid w:val="00CE3F41"/>
    <w:rsid w:val="00CE44D6"/>
    <w:rsid w:val="00CE752C"/>
    <w:rsid w:val="00CF0520"/>
    <w:rsid w:val="00CF25BD"/>
    <w:rsid w:val="00CF421F"/>
    <w:rsid w:val="00CF5013"/>
    <w:rsid w:val="00D001E7"/>
    <w:rsid w:val="00D007AF"/>
    <w:rsid w:val="00D00DD2"/>
    <w:rsid w:val="00D01E42"/>
    <w:rsid w:val="00D03CCB"/>
    <w:rsid w:val="00D066A6"/>
    <w:rsid w:val="00D107AB"/>
    <w:rsid w:val="00D1085E"/>
    <w:rsid w:val="00D10894"/>
    <w:rsid w:val="00D10E20"/>
    <w:rsid w:val="00D12396"/>
    <w:rsid w:val="00D12B86"/>
    <w:rsid w:val="00D14B59"/>
    <w:rsid w:val="00D15BBE"/>
    <w:rsid w:val="00D160C2"/>
    <w:rsid w:val="00D16FF2"/>
    <w:rsid w:val="00D170A5"/>
    <w:rsid w:val="00D2172C"/>
    <w:rsid w:val="00D231BF"/>
    <w:rsid w:val="00D2366F"/>
    <w:rsid w:val="00D30E31"/>
    <w:rsid w:val="00D31F68"/>
    <w:rsid w:val="00D33344"/>
    <w:rsid w:val="00D33EF5"/>
    <w:rsid w:val="00D358F5"/>
    <w:rsid w:val="00D372C2"/>
    <w:rsid w:val="00D37666"/>
    <w:rsid w:val="00D409F3"/>
    <w:rsid w:val="00D41E42"/>
    <w:rsid w:val="00D434F9"/>
    <w:rsid w:val="00D46914"/>
    <w:rsid w:val="00D471A0"/>
    <w:rsid w:val="00D473E8"/>
    <w:rsid w:val="00D53548"/>
    <w:rsid w:val="00D53797"/>
    <w:rsid w:val="00D53D99"/>
    <w:rsid w:val="00D54E07"/>
    <w:rsid w:val="00D55DCD"/>
    <w:rsid w:val="00D600A7"/>
    <w:rsid w:val="00D6024D"/>
    <w:rsid w:val="00D60CB0"/>
    <w:rsid w:val="00D64BF8"/>
    <w:rsid w:val="00D654D0"/>
    <w:rsid w:val="00D67FAB"/>
    <w:rsid w:val="00D7033A"/>
    <w:rsid w:val="00D713AE"/>
    <w:rsid w:val="00D745C8"/>
    <w:rsid w:val="00D75651"/>
    <w:rsid w:val="00D757E1"/>
    <w:rsid w:val="00D7724F"/>
    <w:rsid w:val="00D805C2"/>
    <w:rsid w:val="00D8160D"/>
    <w:rsid w:val="00D8179B"/>
    <w:rsid w:val="00D81BA0"/>
    <w:rsid w:val="00D81BE8"/>
    <w:rsid w:val="00D81BEE"/>
    <w:rsid w:val="00D84384"/>
    <w:rsid w:val="00D8469E"/>
    <w:rsid w:val="00D84CAA"/>
    <w:rsid w:val="00D84DAE"/>
    <w:rsid w:val="00D850E6"/>
    <w:rsid w:val="00D85B5F"/>
    <w:rsid w:val="00D85BB1"/>
    <w:rsid w:val="00D94471"/>
    <w:rsid w:val="00D9504C"/>
    <w:rsid w:val="00D955FC"/>
    <w:rsid w:val="00D961AB"/>
    <w:rsid w:val="00D97FEC"/>
    <w:rsid w:val="00DA0815"/>
    <w:rsid w:val="00DA4260"/>
    <w:rsid w:val="00DA7644"/>
    <w:rsid w:val="00DA7D81"/>
    <w:rsid w:val="00DB1626"/>
    <w:rsid w:val="00DB1888"/>
    <w:rsid w:val="00DB1D57"/>
    <w:rsid w:val="00DB22B4"/>
    <w:rsid w:val="00DB3A23"/>
    <w:rsid w:val="00DB3CDD"/>
    <w:rsid w:val="00DC1C4B"/>
    <w:rsid w:val="00DC2BF2"/>
    <w:rsid w:val="00DC3538"/>
    <w:rsid w:val="00DC356F"/>
    <w:rsid w:val="00DC35E8"/>
    <w:rsid w:val="00DC48EE"/>
    <w:rsid w:val="00DC4A00"/>
    <w:rsid w:val="00DC6B05"/>
    <w:rsid w:val="00DD0A8D"/>
    <w:rsid w:val="00DD2C61"/>
    <w:rsid w:val="00DD3479"/>
    <w:rsid w:val="00DD68CD"/>
    <w:rsid w:val="00DD6CDE"/>
    <w:rsid w:val="00DE0727"/>
    <w:rsid w:val="00DE0D0B"/>
    <w:rsid w:val="00DE24FC"/>
    <w:rsid w:val="00DE4329"/>
    <w:rsid w:val="00DE43AE"/>
    <w:rsid w:val="00DE6505"/>
    <w:rsid w:val="00DE6ECE"/>
    <w:rsid w:val="00DF4F32"/>
    <w:rsid w:val="00DF5491"/>
    <w:rsid w:val="00DF78BC"/>
    <w:rsid w:val="00E0035B"/>
    <w:rsid w:val="00E00768"/>
    <w:rsid w:val="00E00E94"/>
    <w:rsid w:val="00E05922"/>
    <w:rsid w:val="00E061E8"/>
    <w:rsid w:val="00E07609"/>
    <w:rsid w:val="00E079D7"/>
    <w:rsid w:val="00E07A72"/>
    <w:rsid w:val="00E1000A"/>
    <w:rsid w:val="00E10049"/>
    <w:rsid w:val="00E15177"/>
    <w:rsid w:val="00E1693C"/>
    <w:rsid w:val="00E17422"/>
    <w:rsid w:val="00E2092F"/>
    <w:rsid w:val="00E20B40"/>
    <w:rsid w:val="00E21CF1"/>
    <w:rsid w:val="00E23CCC"/>
    <w:rsid w:val="00E23CCD"/>
    <w:rsid w:val="00E23F2F"/>
    <w:rsid w:val="00E2614B"/>
    <w:rsid w:val="00E26E58"/>
    <w:rsid w:val="00E30AAF"/>
    <w:rsid w:val="00E3453C"/>
    <w:rsid w:val="00E364FB"/>
    <w:rsid w:val="00E36F00"/>
    <w:rsid w:val="00E3744E"/>
    <w:rsid w:val="00E4043B"/>
    <w:rsid w:val="00E4064D"/>
    <w:rsid w:val="00E42425"/>
    <w:rsid w:val="00E44CBA"/>
    <w:rsid w:val="00E5051A"/>
    <w:rsid w:val="00E506CE"/>
    <w:rsid w:val="00E533DD"/>
    <w:rsid w:val="00E53E2C"/>
    <w:rsid w:val="00E55CAB"/>
    <w:rsid w:val="00E56668"/>
    <w:rsid w:val="00E57020"/>
    <w:rsid w:val="00E57EF0"/>
    <w:rsid w:val="00E615EF"/>
    <w:rsid w:val="00E61EB5"/>
    <w:rsid w:val="00E6245E"/>
    <w:rsid w:val="00E6283A"/>
    <w:rsid w:val="00E62CF8"/>
    <w:rsid w:val="00E651DD"/>
    <w:rsid w:val="00E669D5"/>
    <w:rsid w:val="00E677DB"/>
    <w:rsid w:val="00E715BA"/>
    <w:rsid w:val="00E72FD6"/>
    <w:rsid w:val="00E730F0"/>
    <w:rsid w:val="00E733A9"/>
    <w:rsid w:val="00E73AC8"/>
    <w:rsid w:val="00E75174"/>
    <w:rsid w:val="00E757A1"/>
    <w:rsid w:val="00E75ED5"/>
    <w:rsid w:val="00E77A75"/>
    <w:rsid w:val="00E8080B"/>
    <w:rsid w:val="00E80EA1"/>
    <w:rsid w:val="00E82BD6"/>
    <w:rsid w:val="00E841AC"/>
    <w:rsid w:val="00E841D3"/>
    <w:rsid w:val="00E84465"/>
    <w:rsid w:val="00E84A3B"/>
    <w:rsid w:val="00E85073"/>
    <w:rsid w:val="00E85B00"/>
    <w:rsid w:val="00E8679B"/>
    <w:rsid w:val="00E878F4"/>
    <w:rsid w:val="00E909F8"/>
    <w:rsid w:val="00E93083"/>
    <w:rsid w:val="00E936ED"/>
    <w:rsid w:val="00E9519C"/>
    <w:rsid w:val="00E969C1"/>
    <w:rsid w:val="00E97749"/>
    <w:rsid w:val="00E979B0"/>
    <w:rsid w:val="00EA1058"/>
    <w:rsid w:val="00EA3224"/>
    <w:rsid w:val="00EA417A"/>
    <w:rsid w:val="00EA44AC"/>
    <w:rsid w:val="00EA50BA"/>
    <w:rsid w:val="00EA648D"/>
    <w:rsid w:val="00EB09C7"/>
    <w:rsid w:val="00EB0A01"/>
    <w:rsid w:val="00EB199D"/>
    <w:rsid w:val="00EB22AA"/>
    <w:rsid w:val="00EC0649"/>
    <w:rsid w:val="00EC069D"/>
    <w:rsid w:val="00EC46B3"/>
    <w:rsid w:val="00EC7336"/>
    <w:rsid w:val="00EC7380"/>
    <w:rsid w:val="00ED187E"/>
    <w:rsid w:val="00ED22E9"/>
    <w:rsid w:val="00ED57B8"/>
    <w:rsid w:val="00ED6CD0"/>
    <w:rsid w:val="00ED7CDC"/>
    <w:rsid w:val="00EE1C56"/>
    <w:rsid w:val="00EE22FC"/>
    <w:rsid w:val="00EE269B"/>
    <w:rsid w:val="00EE4C50"/>
    <w:rsid w:val="00EE6188"/>
    <w:rsid w:val="00EE695D"/>
    <w:rsid w:val="00EE6A10"/>
    <w:rsid w:val="00EF25A7"/>
    <w:rsid w:val="00EF2748"/>
    <w:rsid w:val="00EF36C9"/>
    <w:rsid w:val="00EF4397"/>
    <w:rsid w:val="00EF4FFB"/>
    <w:rsid w:val="00EF7363"/>
    <w:rsid w:val="00F00140"/>
    <w:rsid w:val="00F00BCA"/>
    <w:rsid w:val="00F0221A"/>
    <w:rsid w:val="00F04763"/>
    <w:rsid w:val="00F11B16"/>
    <w:rsid w:val="00F13C03"/>
    <w:rsid w:val="00F156CB"/>
    <w:rsid w:val="00F161EA"/>
    <w:rsid w:val="00F16594"/>
    <w:rsid w:val="00F16A00"/>
    <w:rsid w:val="00F223AE"/>
    <w:rsid w:val="00F23890"/>
    <w:rsid w:val="00F24EC1"/>
    <w:rsid w:val="00F266FE"/>
    <w:rsid w:val="00F27031"/>
    <w:rsid w:val="00F2727C"/>
    <w:rsid w:val="00F30153"/>
    <w:rsid w:val="00F30261"/>
    <w:rsid w:val="00F3027A"/>
    <w:rsid w:val="00F33023"/>
    <w:rsid w:val="00F330F2"/>
    <w:rsid w:val="00F343A1"/>
    <w:rsid w:val="00F34F7D"/>
    <w:rsid w:val="00F351C0"/>
    <w:rsid w:val="00F35753"/>
    <w:rsid w:val="00F35E67"/>
    <w:rsid w:val="00F36140"/>
    <w:rsid w:val="00F409D8"/>
    <w:rsid w:val="00F41266"/>
    <w:rsid w:val="00F43AD6"/>
    <w:rsid w:val="00F46C34"/>
    <w:rsid w:val="00F5198C"/>
    <w:rsid w:val="00F51C36"/>
    <w:rsid w:val="00F51CBC"/>
    <w:rsid w:val="00F51D0D"/>
    <w:rsid w:val="00F545EB"/>
    <w:rsid w:val="00F56BF9"/>
    <w:rsid w:val="00F600D2"/>
    <w:rsid w:val="00F61B4F"/>
    <w:rsid w:val="00F62492"/>
    <w:rsid w:val="00F63ECF"/>
    <w:rsid w:val="00F66429"/>
    <w:rsid w:val="00F67CB9"/>
    <w:rsid w:val="00F73413"/>
    <w:rsid w:val="00F74751"/>
    <w:rsid w:val="00F81046"/>
    <w:rsid w:val="00F826F3"/>
    <w:rsid w:val="00F82EE3"/>
    <w:rsid w:val="00F82FF2"/>
    <w:rsid w:val="00F83ECD"/>
    <w:rsid w:val="00F84192"/>
    <w:rsid w:val="00F858DB"/>
    <w:rsid w:val="00F85CA6"/>
    <w:rsid w:val="00F85D45"/>
    <w:rsid w:val="00F9061E"/>
    <w:rsid w:val="00F907C3"/>
    <w:rsid w:val="00F90F1A"/>
    <w:rsid w:val="00F91E36"/>
    <w:rsid w:val="00F940DF"/>
    <w:rsid w:val="00F944D7"/>
    <w:rsid w:val="00F95CC9"/>
    <w:rsid w:val="00F95F9B"/>
    <w:rsid w:val="00F97423"/>
    <w:rsid w:val="00F97601"/>
    <w:rsid w:val="00F97DDA"/>
    <w:rsid w:val="00FA06E2"/>
    <w:rsid w:val="00FA23E5"/>
    <w:rsid w:val="00FA35D7"/>
    <w:rsid w:val="00FA3CCA"/>
    <w:rsid w:val="00FA5696"/>
    <w:rsid w:val="00FA5AF6"/>
    <w:rsid w:val="00FA623D"/>
    <w:rsid w:val="00FA7BC9"/>
    <w:rsid w:val="00FB02AE"/>
    <w:rsid w:val="00FB0B01"/>
    <w:rsid w:val="00FB27B5"/>
    <w:rsid w:val="00FB394E"/>
    <w:rsid w:val="00FB51D9"/>
    <w:rsid w:val="00FB6CC6"/>
    <w:rsid w:val="00FC03FD"/>
    <w:rsid w:val="00FC13F3"/>
    <w:rsid w:val="00FC18DE"/>
    <w:rsid w:val="00FC2C88"/>
    <w:rsid w:val="00FC34BD"/>
    <w:rsid w:val="00FC3A6B"/>
    <w:rsid w:val="00FC4F36"/>
    <w:rsid w:val="00FC6B16"/>
    <w:rsid w:val="00FD08DE"/>
    <w:rsid w:val="00FD0A86"/>
    <w:rsid w:val="00FD362F"/>
    <w:rsid w:val="00FD4C5C"/>
    <w:rsid w:val="00FD4F2E"/>
    <w:rsid w:val="00FD5011"/>
    <w:rsid w:val="00FD5F15"/>
    <w:rsid w:val="00FD79BA"/>
    <w:rsid w:val="00FE0039"/>
    <w:rsid w:val="00FE0094"/>
    <w:rsid w:val="00FE08D6"/>
    <w:rsid w:val="00FE1040"/>
    <w:rsid w:val="00FE130D"/>
    <w:rsid w:val="00FE1A12"/>
    <w:rsid w:val="00FE2353"/>
    <w:rsid w:val="00FE5359"/>
    <w:rsid w:val="00FE61D8"/>
    <w:rsid w:val="00FE7541"/>
    <w:rsid w:val="00FF0411"/>
    <w:rsid w:val="00FF0762"/>
    <w:rsid w:val="00FF10B6"/>
    <w:rsid w:val="00FF1CAF"/>
    <w:rsid w:val="00FF610C"/>
    <w:rsid w:val="00FF698C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9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2E43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43E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link w:val="NormalWebChar"/>
    <w:uiPriority w:val="99"/>
    <w:unhideWhenUsed/>
    <w:rsid w:val="002E4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640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0E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40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0E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72F36"/>
    <w:rPr>
      <w:color w:val="0000FF"/>
      <w:u w:val="single"/>
    </w:rPr>
  </w:style>
  <w:style w:type="paragraph" w:customStyle="1" w:styleId="naislab">
    <w:name w:val="naislab"/>
    <w:basedOn w:val="Normal"/>
    <w:rsid w:val="00CE3EDE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E3EDE"/>
    <w:rPr>
      <w:b/>
      <w:bCs/>
    </w:rPr>
  </w:style>
  <w:style w:type="paragraph" w:customStyle="1" w:styleId="naisf">
    <w:name w:val="naisf"/>
    <w:basedOn w:val="Normal"/>
    <w:link w:val="naisfChar"/>
    <w:rsid w:val="00CE3ED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E3ED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607A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7ACA"/>
    <w:rPr>
      <w:rFonts w:ascii="Consolas" w:hAnsi="Consolas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607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7A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7ACA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ACA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FD501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FD5011"/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2289E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6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5629"/>
    <w:rPr>
      <w:color w:val="800080" w:themeColor="followedHyperlink"/>
      <w:u w:val="single"/>
    </w:rPr>
  </w:style>
  <w:style w:type="paragraph" w:customStyle="1" w:styleId="naisc">
    <w:name w:val="naisc"/>
    <w:basedOn w:val="Normal"/>
    <w:rsid w:val="00683D14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D2C61"/>
    <w:pPr>
      <w:spacing w:after="0" w:line="240" w:lineRule="auto"/>
      <w:ind w:left="720"/>
    </w:pPr>
    <w:rPr>
      <w:rFonts w:eastAsiaTheme="minorHAnsi"/>
      <w:lang w:eastAsia="lv-LV"/>
    </w:rPr>
  </w:style>
  <w:style w:type="paragraph" w:styleId="EnvelopeReturn">
    <w:name w:val="envelope return"/>
    <w:basedOn w:val="Normal"/>
    <w:unhideWhenUsed/>
    <w:rsid w:val="00F3027A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character" w:styleId="CommentReference">
    <w:name w:val="annotation reference"/>
    <w:basedOn w:val="DefaultParagraphFont"/>
    <w:semiHidden/>
    <w:unhideWhenUsed/>
    <w:rsid w:val="002C2267"/>
    <w:rPr>
      <w:sz w:val="16"/>
      <w:szCs w:val="16"/>
    </w:rPr>
  </w:style>
  <w:style w:type="paragraph" w:styleId="BodyText">
    <w:name w:val="Body Text"/>
    <w:aliases w:val=" Rakstz."/>
    <w:basedOn w:val="Normal"/>
    <w:link w:val="BodyTextChar"/>
    <w:rsid w:val="0034286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aliases w:val=" Rakstz. Char"/>
    <w:basedOn w:val="DefaultParagraphFont"/>
    <w:link w:val="BodyText"/>
    <w:rsid w:val="00342867"/>
    <w:rPr>
      <w:rFonts w:ascii="Times New Roman" w:eastAsia="Times New Roman" w:hAnsi="Times New Roman"/>
      <w:sz w:val="24"/>
      <w:szCs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504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504F6"/>
    <w:rPr>
      <w:rFonts w:ascii="Arial" w:eastAsia="Times New Roman" w:hAnsi="Arial" w:cs="Arial"/>
      <w:vanish/>
      <w:sz w:val="16"/>
      <w:szCs w:val="16"/>
    </w:rPr>
  </w:style>
  <w:style w:type="paragraph" w:customStyle="1" w:styleId="naisnod">
    <w:name w:val="naisnod"/>
    <w:basedOn w:val="Normal"/>
    <w:rsid w:val="000D16A5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Default">
    <w:name w:val="Default"/>
    <w:rsid w:val="000D16A5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FootnoteText">
    <w:name w:val="footnote text"/>
    <w:aliases w:val="Fußnotentext Char,Fußnotentext Char1 Char1,Fußnotentext Char Char Char Char,Fußnotentext Char1 Char Char Char,Fußnotentext Char Char,Fußnotentext Char1 Char Char Char Char,Fußnotentext Char Char Char Char Char Char,Fußnotentext Char1,Fußn"/>
    <w:basedOn w:val="Normal"/>
    <w:link w:val="FootnoteTextChar"/>
    <w:uiPriority w:val="99"/>
    <w:rsid w:val="00CE44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aliases w:val="Fußnotentext Char Char1,Fußnotentext Char1 Char1 Char,Fußnotentext Char Char Char Char Char,Fußnotentext Char1 Char Char Char Char1,Fußnotentext Char Char Char,Fußnotentext Char1 Char Char Char Char Char,Fußnotentext Char1 Char"/>
    <w:basedOn w:val="DefaultParagraphFont"/>
    <w:link w:val="FootnoteText"/>
    <w:uiPriority w:val="99"/>
    <w:rsid w:val="00CE44D6"/>
    <w:rPr>
      <w:rFonts w:ascii="Times New Roman" w:eastAsia="Times New Roman" w:hAnsi="Times New Roman"/>
    </w:rPr>
  </w:style>
  <w:style w:type="character" w:styleId="FootnoteReference">
    <w:name w:val="footnote reference"/>
    <w:aliases w:val="Footnote Reference Number,SUPERS"/>
    <w:basedOn w:val="DefaultParagraphFont"/>
    <w:rsid w:val="004675E5"/>
    <w:rPr>
      <w:vertAlign w:val="superscript"/>
    </w:rPr>
  </w:style>
  <w:style w:type="character" w:customStyle="1" w:styleId="naisfChar">
    <w:name w:val="naisf Char"/>
    <w:basedOn w:val="DefaultParagraphFont"/>
    <w:link w:val="naisf"/>
    <w:locked/>
    <w:rsid w:val="006067E8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"/>
    <w:uiPriority w:val="99"/>
    <w:rsid w:val="00465BBD"/>
    <w:pPr>
      <w:shd w:val="clear" w:color="auto" w:fill="C9E1D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721B0B"/>
  </w:style>
  <w:style w:type="paragraph" w:styleId="BodyTextIndent2">
    <w:name w:val="Body Text Indent 2"/>
    <w:basedOn w:val="Normal"/>
    <w:link w:val="BodyTextIndent2Char"/>
    <w:uiPriority w:val="99"/>
    <w:unhideWhenUsed/>
    <w:rsid w:val="00372AC5"/>
    <w:pPr>
      <w:spacing w:after="120" w:line="480" w:lineRule="auto"/>
      <w:ind w:left="283"/>
    </w:pPr>
    <w:rPr>
      <w:rFonts w:eastAsia="Times New Roman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2AC5"/>
    <w:rPr>
      <w:rFonts w:eastAsia="Times New Roman"/>
      <w:sz w:val="22"/>
      <w:szCs w:val="22"/>
    </w:rPr>
  </w:style>
  <w:style w:type="character" w:customStyle="1" w:styleId="st1">
    <w:name w:val="st1"/>
    <w:basedOn w:val="DefaultParagraphFont"/>
    <w:rsid w:val="00903678"/>
  </w:style>
  <w:style w:type="paragraph" w:styleId="NoSpacing">
    <w:name w:val="No Spacing"/>
    <w:uiPriority w:val="1"/>
    <w:qFormat/>
    <w:rsid w:val="005003D5"/>
    <w:pPr>
      <w:widowControl w:val="0"/>
      <w:ind w:firstLine="720"/>
      <w:jc w:val="both"/>
    </w:pPr>
    <w:rPr>
      <w:rFonts w:ascii="Times New Roman" w:eastAsia="Times New Roman" w:hAnsi="Times New Roman"/>
      <w:sz w:val="26"/>
      <w:szCs w:val="28"/>
      <w:lang w:val="en-AU" w:eastAsia="en-US"/>
    </w:rPr>
  </w:style>
  <w:style w:type="character" w:customStyle="1" w:styleId="head61">
    <w:name w:val="head61"/>
    <w:basedOn w:val="DefaultParagraphFont"/>
    <w:rsid w:val="00BA10A7"/>
    <w:rPr>
      <w:rFonts w:ascii="Arial" w:hAnsi="Arial" w:cs="Arial" w:hint="default"/>
      <w:b/>
      <w:bCs/>
      <w:color w:val="666666"/>
      <w:sz w:val="21"/>
      <w:szCs w:val="21"/>
    </w:rPr>
  </w:style>
  <w:style w:type="character" w:customStyle="1" w:styleId="apple-converted-space">
    <w:name w:val="apple-converted-space"/>
    <w:basedOn w:val="DefaultParagraphFont"/>
    <w:rsid w:val="00104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9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2E43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43E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link w:val="NormalWebChar"/>
    <w:uiPriority w:val="99"/>
    <w:unhideWhenUsed/>
    <w:rsid w:val="002E4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640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0E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40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0E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72F36"/>
    <w:rPr>
      <w:color w:val="0000FF"/>
      <w:u w:val="single"/>
    </w:rPr>
  </w:style>
  <w:style w:type="paragraph" w:customStyle="1" w:styleId="naislab">
    <w:name w:val="naislab"/>
    <w:basedOn w:val="Normal"/>
    <w:rsid w:val="00CE3EDE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E3EDE"/>
    <w:rPr>
      <w:b/>
      <w:bCs/>
    </w:rPr>
  </w:style>
  <w:style w:type="paragraph" w:customStyle="1" w:styleId="naisf">
    <w:name w:val="naisf"/>
    <w:basedOn w:val="Normal"/>
    <w:link w:val="naisfChar"/>
    <w:rsid w:val="00CE3ED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E3ED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607A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7ACA"/>
    <w:rPr>
      <w:rFonts w:ascii="Consolas" w:hAnsi="Consolas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607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7A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7ACA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ACA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FD501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FD5011"/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2289E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6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5629"/>
    <w:rPr>
      <w:color w:val="800080" w:themeColor="followedHyperlink"/>
      <w:u w:val="single"/>
    </w:rPr>
  </w:style>
  <w:style w:type="paragraph" w:customStyle="1" w:styleId="naisc">
    <w:name w:val="naisc"/>
    <w:basedOn w:val="Normal"/>
    <w:rsid w:val="00683D14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D2C61"/>
    <w:pPr>
      <w:spacing w:after="0" w:line="240" w:lineRule="auto"/>
      <w:ind w:left="720"/>
    </w:pPr>
    <w:rPr>
      <w:rFonts w:eastAsiaTheme="minorHAnsi"/>
      <w:lang w:eastAsia="lv-LV"/>
    </w:rPr>
  </w:style>
  <w:style w:type="paragraph" w:styleId="EnvelopeReturn">
    <w:name w:val="envelope return"/>
    <w:basedOn w:val="Normal"/>
    <w:unhideWhenUsed/>
    <w:rsid w:val="00F3027A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character" w:styleId="CommentReference">
    <w:name w:val="annotation reference"/>
    <w:basedOn w:val="DefaultParagraphFont"/>
    <w:semiHidden/>
    <w:unhideWhenUsed/>
    <w:rsid w:val="002C2267"/>
    <w:rPr>
      <w:sz w:val="16"/>
      <w:szCs w:val="16"/>
    </w:rPr>
  </w:style>
  <w:style w:type="paragraph" w:styleId="BodyText">
    <w:name w:val="Body Text"/>
    <w:aliases w:val=" Rakstz."/>
    <w:basedOn w:val="Normal"/>
    <w:link w:val="BodyTextChar"/>
    <w:rsid w:val="0034286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aliases w:val=" Rakstz. Char"/>
    <w:basedOn w:val="DefaultParagraphFont"/>
    <w:link w:val="BodyText"/>
    <w:rsid w:val="00342867"/>
    <w:rPr>
      <w:rFonts w:ascii="Times New Roman" w:eastAsia="Times New Roman" w:hAnsi="Times New Roman"/>
      <w:sz w:val="24"/>
      <w:szCs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504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504F6"/>
    <w:rPr>
      <w:rFonts w:ascii="Arial" w:eastAsia="Times New Roman" w:hAnsi="Arial" w:cs="Arial"/>
      <w:vanish/>
      <w:sz w:val="16"/>
      <w:szCs w:val="16"/>
    </w:rPr>
  </w:style>
  <w:style w:type="paragraph" w:customStyle="1" w:styleId="naisnod">
    <w:name w:val="naisnod"/>
    <w:basedOn w:val="Normal"/>
    <w:rsid w:val="000D16A5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Default">
    <w:name w:val="Default"/>
    <w:rsid w:val="000D16A5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FootnoteText">
    <w:name w:val="footnote text"/>
    <w:aliases w:val="Fußnotentext Char,Fußnotentext Char1 Char1,Fußnotentext Char Char Char Char,Fußnotentext Char1 Char Char Char,Fußnotentext Char Char,Fußnotentext Char1 Char Char Char Char,Fußnotentext Char Char Char Char Char Char,Fußnotentext Char1,Fußn"/>
    <w:basedOn w:val="Normal"/>
    <w:link w:val="FootnoteTextChar"/>
    <w:uiPriority w:val="99"/>
    <w:rsid w:val="00CE44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aliases w:val="Fußnotentext Char Char1,Fußnotentext Char1 Char1 Char,Fußnotentext Char Char Char Char Char,Fußnotentext Char1 Char Char Char Char1,Fußnotentext Char Char Char,Fußnotentext Char1 Char Char Char Char Char,Fußnotentext Char1 Char"/>
    <w:basedOn w:val="DefaultParagraphFont"/>
    <w:link w:val="FootnoteText"/>
    <w:uiPriority w:val="99"/>
    <w:rsid w:val="00CE44D6"/>
    <w:rPr>
      <w:rFonts w:ascii="Times New Roman" w:eastAsia="Times New Roman" w:hAnsi="Times New Roman"/>
    </w:rPr>
  </w:style>
  <w:style w:type="character" w:styleId="FootnoteReference">
    <w:name w:val="footnote reference"/>
    <w:aliases w:val="Footnote Reference Number,SUPERS"/>
    <w:basedOn w:val="DefaultParagraphFont"/>
    <w:rsid w:val="004675E5"/>
    <w:rPr>
      <w:vertAlign w:val="superscript"/>
    </w:rPr>
  </w:style>
  <w:style w:type="character" w:customStyle="1" w:styleId="naisfChar">
    <w:name w:val="naisf Char"/>
    <w:basedOn w:val="DefaultParagraphFont"/>
    <w:link w:val="naisf"/>
    <w:locked/>
    <w:rsid w:val="006067E8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"/>
    <w:uiPriority w:val="99"/>
    <w:rsid w:val="00465BBD"/>
    <w:pPr>
      <w:shd w:val="clear" w:color="auto" w:fill="C9E1D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721B0B"/>
  </w:style>
  <w:style w:type="paragraph" w:styleId="BodyTextIndent2">
    <w:name w:val="Body Text Indent 2"/>
    <w:basedOn w:val="Normal"/>
    <w:link w:val="BodyTextIndent2Char"/>
    <w:uiPriority w:val="99"/>
    <w:unhideWhenUsed/>
    <w:rsid w:val="00372AC5"/>
    <w:pPr>
      <w:spacing w:after="120" w:line="480" w:lineRule="auto"/>
      <w:ind w:left="283"/>
    </w:pPr>
    <w:rPr>
      <w:rFonts w:eastAsia="Times New Roman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2AC5"/>
    <w:rPr>
      <w:rFonts w:eastAsia="Times New Roman"/>
      <w:sz w:val="22"/>
      <w:szCs w:val="22"/>
    </w:rPr>
  </w:style>
  <w:style w:type="character" w:customStyle="1" w:styleId="st1">
    <w:name w:val="st1"/>
    <w:basedOn w:val="DefaultParagraphFont"/>
    <w:rsid w:val="00903678"/>
  </w:style>
  <w:style w:type="paragraph" w:styleId="NoSpacing">
    <w:name w:val="No Spacing"/>
    <w:uiPriority w:val="1"/>
    <w:qFormat/>
    <w:rsid w:val="005003D5"/>
    <w:pPr>
      <w:widowControl w:val="0"/>
      <w:ind w:firstLine="720"/>
      <w:jc w:val="both"/>
    </w:pPr>
    <w:rPr>
      <w:rFonts w:ascii="Times New Roman" w:eastAsia="Times New Roman" w:hAnsi="Times New Roman"/>
      <w:sz w:val="26"/>
      <w:szCs w:val="28"/>
      <w:lang w:val="en-AU" w:eastAsia="en-US"/>
    </w:rPr>
  </w:style>
  <w:style w:type="character" w:customStyle="1" w:styleId="head61">
    <w:name w:val="head61"/>
    <w:basedOn w:val="DefaultParagraphFont"/>
    <w:rsid w:val="00BA10A7"/>
    <w:rPr>
      <w:rFonts w:ascii="Arial" w:hAnsi="Arial" w:cs="Arial" w:hint="default"/>
      <w:b/>
      <w:bCs/>
      <w:color w:val="666666"/>
      <w:sz w:val="21"/>
      <w:szCs w:val="21"/>
    </w:rPr>
  </w:style>
  <w:style w:type="character" w:customStyle="1" w:styleId="apple-converted-space">
    <w:name w:val="apple-converted-space"/>
    <w:basedOn w:val="DefaultParagraphFont"/>
    <w:rsid w:val="0010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69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lis.Beihmanis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E6AA0-938E-439C-BB09-03C62322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387</Words>
  <Characters>2644</Characters>
  <Application>Microsoft Office Word</Application>
  <DocSecurity>0</DocSecurity>
  <Lines>125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2009.gada 10.marta Ministru kabineta noteikumos Nr.221 „Noteikumi par elektroenerģijas ražošanu un cenu noteikšanu, ražojot elektroenerģiju koģenerācijā”” sākotnējās ietekmes novērtējuma ziņojums (anotācija)</vt:lpstr>
    </vt:vector>
  </TitlesOfParts>
  <Company>LR Ekonomikas ministrija</Company>
  <LinksUpToDate>false</LinksUpToDate>
  <CharactersWithSpaces>2979</CharactersWithSpaces>
  <SharedDoc>false</SharedDoc>
  <HLinks>
    <vt:vector size="6" baseType="variant">
      <vt:variant>
        <vt:i4>1114151</vt:i4>
      </vt:variant>
      <vt:variant>
        <vt:i4>0</vt:i4>
      </vt:variant>
      <vt:variant>
        <vt:i4>0</vt:i4>
      </vt:variant>
      <vt:variant>
        <vt:i4>5</vt:i4>
      </vt:variant>
      <vt:variant>
        <vt:lpwstr>mailto:ilze.rusko@em.gov.lv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2009.gada 10.marta Ministru kabineta noteikumos Nr.221 „Noteikumi par elektroenerģijas ražošanu un cenu noteikšanu, ražojot elektroenerģiju koģenerācijā”” sākotnējās ietekmes novērtējuma ziņojums (anotācija)</dc:title>
  <dc:subject>anotācija</dc:subject>
  <dc:creator>Kārlis Piģēns</dc:creator>
  <dc:description>Karlis.Pigens@em.gov.lv 67013133</dc:description>
  <cp:lastModifiedBy>Kārlis Beihmanis</cp:lastModifiedBy>
  <cp:revision>14</cp:revision>
  <cp:lastPrinted>2013-08-20T07:03:00Z</cp:lastPrinted>
  <dcterms:created xsi:type="dcterms:W3CDTF">2013-07-04T13:18:00Z</dcterms:created>
  <dcterms:modified xsi:type="dcterms:W3CDTF">2013-08-23T10:11:00Z</dcterms:modified>
</cp:coreProperties>
</file>