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A2" w:rsidRPr="004B2431" w:rsidRDefault="002A1BA2" w:rsidP="004B2431">
      <w:pPr>
        <w:jc w:val="center"/>
        <w:rPr>
          <w:b/>
          <w:bCs/>
          <w:sz w:val="28"/>
          <w:szCs w:val="28"/>
        </w:rPr>
      </w:pPr>
      <w:bookmarkStart w:id="0" w:name="OLE_LINK3"/>
      <w:bookmarkStart w:id="1" w:name="OLE_LINK4"/>
      <w:bookmarkStart w:id="2" w:name="OLE_LINK1"/>
      <w:bookmarkStart w:id="3" w:name="OLE_LINK2"/>
      <w:bookmarkStart w:id="4" w:name="_GoBack"/>
      <w:bookmarkEnd w:id="4"/>
      <w:r w:rsidRPr="00D92592">
        <w:rPr>
          <w:b/>
          <w:sz w:val="28"/>
          <w:szCs w:val="28"/>
        </w:rPr>
        <w:t>Noteikumu projekta „</w:t>
      </w:r>
      <w:bookmarkEnd w:id="0"/>
      <w:bookmarkEnd w:id="1"/>
      <w:r w:rsidR="00A64692" w:rsidRPr="00A64692">
        <w:rPr>
          <w:b/>
          <w:bCs/>
          <w:sz w:val="28"/>
          <w:szCs w:val="28"/>
        </w:rPr>
        <w:t>Grozījum</w:t>
      </w:r>
      <w:r w:rsidR="00AF0DC2">
        <w:rPr>
          <w:b/>
          <w:bCs/>
          <w:sz w:val="28"/>
          <w:szCs w:val="28"/>
        </w:rPr>
        <w:t>i</w:t>
      </w:r>
      <w:r w:rsidR="00A64692" w:rsidRPr="00A64692">
        <w:rPr>
          <w:b/>
          <w:bCs/>
          <w:sz w:val="28"/>
          <w:szCs w:val="28"/>
        </w:rPr>
        <w:t xml:space="preserve"> Ministru kabineta </w:t>
      </w:r>
      <w:r w:rsidR="00AF0DC2">
        <w:rPr>
          <w:b/>
          <w:bCs/>
          <w:sz w:val="28"/>
          <w:szCs w:val="28"/>
        </w:rPr>
        <w:t>1999</w:t>
      </w:r>
      <w:r w:rsidR="00A64692" w:rsidRPr="00A64692">
        <w:rPr>
          <w:b/>
          <w:bCs/>
          <w:sz w:val="28"/>
          <w:szCs w:val="28"/>
        </w:rPr>
        <w:t>.g</w:t>
      </w:r>
      <w:r w:rsidR="00A64692">
        <w:rPr>
          <w:b/>
          <w:bCs/>
          <w:sz w:val="28"/>
          <w:szCs w:val="28"/>
        </w:rPr>
        <w:t xml:space="preserve">ada </w:t>
      </w:r>
      <w:r w:rsidR="00AF0DC2">
        <w:rPr>
          <w:b/>
          <w:bCs/>
          <w:sz w:val="28"/>
          <w:szCs w:val="28"/>
        </w:rPr>
        <w:t>18.maija</w:t>
      </w:r>
      <w:r w:rsidR="00A64692">
        <w:rPr>
          <w:b/>
          <w:bCs/>
          <w:sz w:val="28"/>
          <w:szCs w:val="28"/>
        </w:rPr>
        <w:t xml:space="preserve"> noteikumos Nr.</w:t>
      </w:r>
      <w:r w:rsidR="00AF0DC2">
        <w:rPr>
          <w:b/>
          <w:bCs/>
          <w:sz w:val="28"/>
          <w:szCs w:val="28"/>
        </w:rPr>
        <w:t>178</w:t>
      </w:r>
      <w:r w:rsidR="00A64692">
        <w:rPr>
          <w:b/>
          <w:bCs/>
          <w:sz w:val="28"/>
          <w:szCs w:val="28"/>
        </w:rPr>
        <w:t xml:space="preserve"> </w:t>
      </w:r>
      <w:r w:rsidR="00A64692" w:rsidRPr="00A64692">
        <w:rPr>
          <w:b/>
          <w:bCs/>
          <w:sz w:val="28"/>
          <w:szCs w:val="28"/>
        </w:rPr>
        <w:t>„</w:t>
      </w:r>
      <w:r w:rsidR="00AF0DC2">
        <w:rPr>
          <w:b/>
          <w:bCs/>
          <w:sz w:val="28"/>
          <w:szCs w:val="28"/>
        </w:rPr>
        <w:t>Kārtība, kādā norādāmas preču un pakalpojumu cenas</w:t>
      </w:r>
      <w:r w:rsidR="00A64692" w:rsidRPr="00A64692">
        <w:rPr>
          <w:b/>
          <w:bCs/>
          <w:sz w:val="28"/>
          <w:szCs w:val="28"/>
        </w:rPr>
        <w:t>”</w:t>
      </w:r>
      <w:r w:rsidR="004B2431">
        <w:rPr>
          <w:b/>
          <w:bCs/>
          <w:sz w:val="28"/>
          <w:szCs w:val="28"/>
        </w:rPr>
        <w:t xml:space="preserve"> </w:t>
      </w:r>
      <w:r w:rsidRPr="00D92592">
        <w:rPr>
          <w:b/>
          <w:sz w:val="28"/>
          <w:szCs w:val="28"/>
        </w:rPr>
        <w:t>sākotnējās ietekmes novērtējuma ziņojums</w:t>
      </w:r>
      <w:bookmarkEnd w:id="2"/>
      <w:bookmarkEnd w:id="3"/>
    </w:p>
    <w:p w:rsidR="002A1BA2" w:rsidRPr="00D92592" w:rsidRDefault="002A1BA2" w:rsidP="002A1BA2">
      <w:pPr>
        <w:pStyle w:val="naislab"/>
        <w:spacing w:before="0" w:after="0"/>
        <w:jc w:val="center"/>
        <w:outlineLvl w:val="0"/>
        <w:rPr>
          <w:b/>
          <w:sz w:val="28"/>
          <w:szCs w:val="28"/>
        </w:rPr>
      </w:pPr>
      <w:r w:rsidRPr="00D92592">
        <w:rPr>
          <w:b/>
          <w:sz w:val="28"/>
          <w:szCs w:val="28"/>
        </w:rPr>
        <w:t>(anotācija)</w:t>
      </w:r>
    </w:p>
    <w:p w:rsidR="001B5D4B" w:rsidRPr="00D92592" w:rsidRDefault="001B5D4B" w:rsidP="002A1BA2">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1505"/>
        <w:gridCol w:w="7490"/>
      </w:tblGrid>
      <w:tr w:rsidR="002A1BA2" w:rsidRPr="003D37A2" w:rsidTr="00010A92">
        <w:tc>
          <w:tcPr>
            <w:tcW w:w="9480" w:type="dxa"/>
            <w:gridSpan w:val="3"/>
            <w:vAlign w:val="center"/>
          </w:tcPr>
          <w:p w:rsidR="002A1BA2" w:rsidRPr="003D37A2" w:rsidRDefault="002A1BA2" w:rsidP="001A0A4A">
            <w:pPr>
              <w:pStyle w:val="naisnod"/>
              <w:spacing w:before="0" w:after="0"/>
              <w:rPr>
                <w:sz w:val="28"/>
                <w:szCs w:val="28"/>
              </w:rPr>
            </w:pPr>
            <w:r w:rsidRPr="003D37A2">
              <w:rPr>
                <w:sz w:val="28"/>
                <w:szCs w:val="28"/>
              </w:rPr>
              <w:t>I. Tiesību akta projekta izstrādes nepieciešamība</w:t>
            </w:r>
          </w:p>
        </w:tc>
      </w:tr>
      <w:tr w:rsidR="002A1BA2" w:rsidRPr="003D37A2" w:rsidTr="00010A92">
        <w:trPr>
          <w:trHeight w:val="630"/>
        </w:trPr>
        <w:tc>
          <w:tcPr>
            <w:tcW w:w="485" w:type="dxa"/>
          </w:tcPr>
          <w:p w:rsidR="002A1BA2" w:rsidRPr="003D37A2" w:rsidRDefault="002A1BA2" w:rsidP="001A0A4A">
            <w:pPr>
              <w:pStyle w:val="naiskr"/>
              <w:spacing w:before="0" w:after="0"/>
              <w:rPr>
                <w:sz w:val="28"/>
                <w:szCs w:val="28"/>
              </w:rPr>
            </w:pPr>
            <w:r w:rsidRPr="003D37A2">
              <w:rPr>
                <w:sz w:val="28"/>
                <w:szCs w:val="28"/>
              </w:rPr>
              <w:t>1.</w:t>
            </w:r>
          </w:p>
        </w:tc>
        <w:tc>
          <w:tcPr>
            <w:tcW w:w="1505" w:type="dxa"/>
          </w:tcPr>
          <w:p w:rsidR="002A1BA2" w:rsidRPr="003D37A2" w:rsidRDefault="002A1BA2" w:rsidP="001A0A4A">
            <w:pPr>
              <w:pStyle w:val="naiskr"/>
              <w:spacing w:before="0" w:after="0"/>
              <w:ind w:hanging="10"/>
              <w:rPr>
                <w:sz w:val="28"/>
                <w:szCs w:val="28"/>
              </w:rPr>
            </w:pPr>
            <w:r w:rsidRPr="003D37A2">
              <w:rPr>
                <w:sz w:val="28"/>
                <w:szCs w:val="28"/>
              </w:rPr>
              <w:t>Pamatojums</w:t>
            </w:r>
          </w:p>
        </w:tc>
        <w:tc>
          <w:tcPr>
            <w:tcW w:w="7490" w:type="dxa"/>
          </w:tcPr>
          <w:p w:rsidR="002A1BA2" w:rsidRPr="003D37A2" w:rsidRDefault="00972C83" w:rsidP="00DA20A0">
            <w:pPr>
              <w:pStyle w:val="HTMLPreformatted"/>
              <w:ind w:left="70"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 xml:space="preserve">Grozījumi Ministru kabineta </w:t>
            </w:r>
            <w:r w:rsidR="0091075F" w:rsidRPr="003D37A2">
              <w:rPr>
                <w:rFonts w:ascii="Times New Roman" w:hAnsi="Times New Roman" w:cs="Times New Roman"/>
                <w:color w:val="000000" w:themeColor="text1"/>
                <w:sz w:val="28"/>
                <w:szCs w:val="28"/>
              </w:rPr>
              <w:t xml:space="preserve">1999.gada 18.maija </w:t>
            </w:r>
            <w:r w:rsidRPr="003D37A2">
              <w:rPr>
                <w:rFonts w:ascii="Times New Roman" w:hAnsi="Times New Roman" w:cs="Times New Roman"/>
                <w:color w:val="000000" w:themeColor="text1"/>
                <w:sz w:val="28"/>
                <w:szCs w:val="28"/>
              </w:rPr>
              <w:t xml:space="preserve">noteikumos Nr.178 „Kārtība, kādā norādāmas preču un pakalpojumu cenas” (turpmāk – Noteikumu projekts)  </w:t>
            </w:r>
            <w:r w:rsidR="00301D3E" w:rsidRPr="003D37A2">
              <w:rPr>
                <w:rFonts w:ascii="Times New Roman" w:hAnsi="Times New Roman" w:cs="Times New Roman"/>
                <w:color w:val="000000" w:themeColor="text1"/>
                <w:sz w:val="28"/>
                <w:szCs w:val="28"/>
              </w:rPr>
              <w:t>sagatavot</w:t>
            </w:r>
            <w:r w:rsidRPr="003D37A2">
              <w:rPr>
                <w:rFonts w:ascii="Times New Roman" w:hAnsi="Times New Roman" w:cs="Times New Roman"/>
                <w:color w:val="000000" w:themeColor="text1"/>
                <w:sz w:val="28"/>
                <w:szCs w:val="28"/>
              </w:rPr>
              <w:t>i</w:t>
            </w:r>
            <w:r w:rsidR="00301D3E" w:rsidRPr="003D37A2">
              <w:rPr>
                <w:rFonts w:ascii="Times New Roman" w:hAnsi="Times New Roman" w:cs="Times New Roman"/>
                <w:color w:val="000000" w:themeColor="text1"/>
                <w:sz w:val="28"/>
                <w:szCs w:val="28"/>
              </w:rPr>
              <w:t xml:space="preserve"> </w:t>
            </w:r>
            <w:r w:rsidR="00665DE0" w:rsidRPr="003D37A2">
              <w:rPr>
                <w:rFonts w:ascii="Times New Roman" w:hAnsi="Times New Roman" w:cs="Times New Roman"/>
                <w:color w:val="000000" w:themeColor="text1"/>
                <w:sz w:val="28"/>
                <w:szCs w:val="28"/>
              </w:rPr>
              <w:t>pamatojoties uz</w:t>
            </w:r>
            <w:r w:rsidR="009A2E73" w:rsidRPr="003D37A2">
              <w:rPr>
                <w:rFonts w:ascii="Times New Roman" w:hAnsi="Times New Roman" w:cs="Times New Roman"/>
                <w:color w:val="000000" w:themeColor="text1"/>
                <w:sz w:val="28"/>
                <w:szCs w:val="28"/>
              </w:rPr>
              <w:t xml:space="preserve"> </w:t>
            </w:r>
            <w:proofErr w:type="spellStart"/>
            <w:r w:rsidR="00143956" w:rsidRPr="003D37A2">
              <w:rPr>
                <w:rFonts w:ascii="Times New Roman" w:hAnsi="Times New Roman" w:cs="Times New Roman"/>
                <w:i/>
                <w:color w:val="000000" w:themeColor="text1"/>
                <w:sz w:val="28"/>
                <w:szCs w:val="28"/>
              </w:rPr>
              <w:t>Euro</w:t>
            </w:r>
            <w:proofErr w:type="spellEnd"/>
            <w:r w:rsidR="00143956" w:rsidRPr="003D37A2">
              <w:rPr>
                <w:rFonts w:ascii="Times New Roman" w:hAnsi="Times New Roman" w:cs="Times New Roman"/>
                <w:color w:val="000000" w:themeColor="text1"/>
                <w:sz w:val="28"/>
                <w:szCs w:val="28"/>
              </w:rPr>
              <w:t xml:space="preserve"> ieviešanas kārtības likuma</w:t>
            </w:r>
            <w:r w:rsidR="00665DE0" w:rsidRPr="003D37A2">
              <w:rPr>
                <w:rFonts w:ascii="Times New Roman" w:hAnsi="Times New Roman" w:cs="Times New Roman"/>
                <w:color w:val="000000" w:themeColor="text1"/>
                <w:sz w:val="28"/>
                <w:szCs w:val="28"/>
              </w:rPr>
              <w:t xml:space="preserve"> </w:t>
            </w:r>
            <w:r w:rsidR="00C06861" w:rsidRPr="003D37A2">
              <w:rPr>
                <w:rFonts w:ascii="Times New Roman" w:hAnsi="Times New Roman" w:cs="Times New Roman"/>
                <w:color w:val="000000" w:themeColor="text1"/>
                <w:sz w:val="28"/>
                <w:szCs w:val="28"/>
              </w:rPr>
              <w:t xml:space="preserve">13.panta trešo daļu, kas </w:t>
            </w:r>
            <w:r w:rsidR="009A2E73" w:rsidRPr="003D37A2">
              <w:rPr>
                <w:rFonts w:ascii="Times New Roman" w:hAnsi="Times New Roman" w:cs="Times New Roman"/>
                <w:color w:val="000000" w:themeColor="text1"/>
                <w:sz w:val="28"/>
                <w:szCs w:val="28"/>
              </w:rPr>
              <w:t xml:space="preserve">paredz Ministru kabinetam deleģējumu </w:t>
            </w:r>
            <w:r w:rsidR="00C06861" w:rsidRPr="003D37A2">
              <w:rPr>
                <w:rFonts w:ascii="Times New Roman" w:hAnsi="Times New Roman" w:cs="Times New Roman"/>
                <w:color w:val="000000" w:themeColor="text1"/>
                <w:sz w:val="28"/>
                <w:szCs w:val="28"/>
              </w:rPr>
              <w:t>kārtīb</w:t>
            </w:r>
            <w:r w:rsidR="009A2E73" w:rsidRPr="003D37A2">
              <w:rPr>
                <w:rFonts w:ascii="Times New Roman" w:hAnsi="Times New Roman" w:cs="Times New Roman"/>
                <w:color w:val="000000" w:themeColor="text1"/>
                <w:sz w:val="28"/>
                <w:szCs w:val="28"/>
              </w:rPr>
              <w:t>ai</w:t>
            </w:r>
            <w:r w:rsidR="00C06861" w:rsidRPr="003D37A2">
              <w:rPr>
                <w:rFonts w:ascii="Times New Roman" w:hAnsi="Times New Roman" w:cs="Times New Roman"/>
                <w:color w:val="000000" w:themeColor="text1"/>
                <w:sz w:val="28"/>
                <w:szCs w:val="28"/>
              </w:rPr>
              <w:t>, kādā notiek preču un pakalpoj</w:t>
            </w:r>
            <w:r w:rsidR="00772422" w:rsidRPr="003D37A2">
              <w:rPr>
                <w:rFonts w:ascii="Times New Roman" w:hAnsi="Times New Roman" w:cs="Times New Roman"/>
                <w:color w:val="000000" w:themeColor="text1"/>
                <w:sz w:val="28"/>
                <w:szCs w:val="28"/>
              </w:rPr>
              <w:t>umu cenu paralēlā atspoguļošana</w:t>
            </w:r>
            <w:r w:rsidR="00C06861" w:rsidRPr="003D37A2">
              <w:rPr>
                <w:rFonts w:ascii="Times New Roman" w:hAnsi="Times New Roman" w:cs="Times New Roman"/>
                <w:color w:val="000000" w:themeColor="text1"/>
                <w:sz w:val="28"/>
                <w:szCs w:val="28"/>
              </w:rPr>
              <w:t>.</w:t>
            </w:r>
          </w:p>
          <w:p w:rsidR="00662895" w:rsidRPr="003D37A2" w:rsidRDefault="00662895" w:rsidP="00DA20A0">
            <w:pPr>
              <w:pStyle w:val="HTMLPreformatted"/>
              <w:ind w:left="70"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Noteikumu projekts sagatavots pamatojoties uz Patērētāju tiesību aizsardzības likuma 17.panta trešo daļu, kas paredz Ministru kabinetam deleģējumu kārtībai, kādā norādāma pārdošanas cena un mērvienības cena precēm, kas tiek piedāvātas patērētājam, kā arī kārtību, kādā norādāmas cenas pakalpojumiem.</w:t>
            </w:r>
          </w:p>
          <w:p w:rsidR="001B5D4B" w:rsidRPr="003D37A2" w:rsidRDefault="00464A97" w:rsidP="00662895">
            <w:pPr>
              <w:pStyle w:val="HTMLPreformatted"/>
              <w:ind w:left="70"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 xml:space="preserve">Noteikumu projekts </w:t>
            </w:r>
            <w:r w:rsidR="007847B4" w:rsidRPr="003D37A2">
              <w:rPr>
                <w:rFonts w:ascii="Times New Roman" w:hAnsi="Times New Roman" w:cs="Times New Roman"/>
                <w:color w:val="000000" w:themeColor="text1"/>
                <w:sz w:val="28"/>
                <w:szCs w:val="28"/>
              </w:rPr>
              <w:t xml:space="preserve">papildināts </w:t>
            </w:r>
            <w:r w:rsidR="00EC0889" w:rsidRPr="003D37A2">
              <w:rPr>
                <w:rFonts w:ascii="Times New Roman" w:hAnsi="Times New Roman" w:cs="Times New Roman"/>
                <w:color w:val="000000" w:themeColor="text1"/>
                <w:sz w:val="28"/>
                <w:szCs w:val="28"/>
              </w:rPr>
              <w:t xml:space="preserve">ar </w:t>
            </w:r>
            <w:r w:rsidR="007847B4" w:rsidRPr="003D37A2">
              <w:rPr>
                <w:rFonts w:ascii="Times New Roman" w:hAnsi="Times New Roman" w:cs="Times New Roman"/>
                <w:color w:val="000000" w:themeColor="text1"/>
                <w:sz w:val="28"/>
                <w:szCs w:val="28"/>
              </w:rPr>
              <w:t>izņēmumiem attiecībā uz</w:t>
            </w:r>
            <w:r w:rsidR="00832F8E" w:rsidRPr="003D37A2">
              <w:rPr>
                <w:rFonts w:ascii="Times New Roman" w:hAnsi="Times New Roman" w:cs="Times New Roman"/>
                <w:color w:val="000000" w:themeColor="text1"/>
                <w:sz w:val="28"/>
                <w:szCs w:val="28"/>
              </w:rPr>
              <w:t xml:space="preserve"> cenu norādīšanas kārtību cenām, kurām tehniski</w:t>
            </w:r>
            <w:r w:rsidR="00B9431F" w:rsidRPr="003D37A2">
              <w:rPr>
                <w:rFonts w:ascii="Times New Roman" w:hAnsi="Times New Roman" w:cs="Times New Roman"/>
                <w:color w:val="000000" w:themeColor="text1"/>
                <w:sz w:val="28"/>
                <w:szCs w:val="28"/>
              </w:rPr>
              <w:t xml:space="preserve"> un</w:t>
            </w:r>
            <w:r w:rsidR="00894797" w:rsidRPr="003D37A2">
              <w:rPr>
                <w:rFonts w:ascii="Times New Roman" w:hAnsi="Times New Roman" w:cs="Times New Roman"/>
                <w:color w:val="000000" w:themeColor="text1"/>
                <w:sz w:val="28"/>
                <w:szCs w:val="28"/>
              </w:rPr>
              <w:t xml:space="preserve"> praktiski </w:t>
            </w:r>
            <w:r w:rsidR="00832F8E" w:rsidRPr="003D37A2">
              <w:rPr>
                <w:rFonts w:ascii="Times New Roman" w:hAnsi="Times New Roman" w:cs="Times New Roman"/>
                <w:color w:val="000000" w:themeColor="text1"/>
                <w:sz w:val="28"/>
                <w:szCs w:val="28"/>
              </w:rPr>
              <w:t>nav iespējams norādīt cenas divās valūtās</w:t>
            </w:r>
            <w:r w:rsidR="00B9431F" w:rsidRPr="003D37A2">
              <w:rPr>
                <w:rFonts w:ascii="Times New Roman" w:hAnsi="Times New Roman" w:cs="Times New Roman"/>
                <w:color w:val="000000" w:themeColor="text1"/>
                <w:sz w:val="28"/>
                <w:szCs w:val="28"/>
              </w:rPr>
              <w:t xml:space="preserve">, cenu norādīšana divās valūtās nav lietderīga, tā varētu radīt pārpratumu </w:t>
            </w:r>
            <w:r w:rsidR="00832F8E" w:rsidRPr="003D37A2">
              <w:rPr>
                <w:rFonts w:ascii="Times New Roman" w:hAnsi="Times New Roman" w:cs="Times New Roman"/>
                <w:color w:val="000000" w:themeColor="text1"/>
                <w:sz w:val="28"/>
                <w:szCs w:val="28"/>
              </w:rPr>
              <w:t xml:space="preserve">vai prasa ievērojamas </w:t>
            </w:r>
            <w:proofErr w:type="spellStart"/>
            <w:r w:rsidR="00832F8E" w:rsidRPr="003D37A2">
              <w:rPr>
                <w:rFonts w:ascii="Times New Roman" w:hAnsi="Times New Roman" w:cs="Times New Roman"/>
                <w:i/>
                <w:color w:val="000000" w:themeColor="text1"/>
                <w:sz w:val="28"/>
                <w:szCs w:val="28"/>
              </w:rPr>
              <w:t>e</w:t>
            </w:r>
            <w:r w:rsidR="00F05836" w:rsidRPr="003D37A2">
              <w:rPr>
                <w:rFonts w:ascii="Times New Roman" w:hAnsi="Times New Roman" w:cs="Times New Roman"/>
                <w:i/>
                <w:color w:val="000000" w:themeColor="text1"/>
                <w:sz w:val="28"/>
                <w:szCs w:val="28"/>
              </w:rPr>
              <w:t>u</w:t>
            </w:r>
            <w:r w:rsidR="00832F8E" w:rsidRPr="003D37A2">
              <w:rPr>
                <w:rFonts w:ascii="Times New Roman" w:hAnsi="Times New Roman" w:cs="Times New Roman"/>
                <w:i/>
                <w:color w:val="000000" w:themeColor="text1"/>
                <w:sz w:val="28"/>
                <w:szCs w:val="28"/>
              </w:rPr>
              <w:t>ro</w:t>
            </w:r>
            <w:proofErr w:type="spellEnd"/>
            <w:r w:rsidR="00832F8E" w:rsidRPr="003D37A2">
              <w:rPr>
                <w:rFonts w:ascii="Times New Roman" w:hAnsi="Times New Roman" w:cs="Times New Roman"/>
                <w:color w:val="000000" w:themeColor="text1"/>
                <w:sz w:val="28"/>
                <w:szCs w:val="28"/>
              </w:rPr>
              <w:t xml:space="preserve"> ieviešanas izmaksas</w:t>
            </w:r>
            <w:r w:rsidR="00894797" w:rsidRPr="003D37A2">
              <w:rPr>
                <w:rFonts w:ascii="Times New Roman" w:hAnsi="Times New Roman" w:cs="Times New Roman"/>
                <w:color w:val="000000" w:themeColor="text1"/>
                <w:sz w:val="28"/>
                <w:szCs w:val="28"/>
              </w:rPr>
              <w:t xml:space="preserve">. </w:t>
            </w:r>
          </w:p>
        </w:tc>
      </w:tr>
      <w:tr w:rsidR="002A1BA2" w:rsidRPr="003D37A2" w:rsidTr="00010A92">
        <w:trPr>
          <w:trHeight w:val="472"/>
        </w:trPr>
        <w:tc>
          <w:tcPr>
            <w:tcW w:w="485" w:type="dxa"/>
          </w:tcPr>
          <w:p w:rsidR="002A1BA2" w:rsidRPr="003D37A2" w:rsidRDefault="002A1BA2" w:rsidP="001A0A4A">
            <w:pPr>
              <w:pStyle w:val="naiskr"/>
              <w:spacing w:before="0" w:after="0"/>
              <w:rPr>
                <w:sz w:val="28"/>
                <w:szCs w:val="28"/>
              </w:rPr>
            </w:pPr>
            <w:r w:rsidRPr="003D37A2">
              <w:rPr>
                <w:sz w:val="28"/>
                <w:szCs w:val="28"/>
              </w:rPr>
              <w:t>2.</w:t>
            </w:r>
          </w:p>
        </w:tc>
        <w:tc>
          <w:tcPr>
            <w:tcW w:w="1505" w:type="dxa"/>
          </w:tcPr>
          <w:p w:rsidR="002A1BA2" w:rsidRPr="003D37A2" w:rsidRDefault="002A1BA2" w:rsidP="001A0A4A">
            <w:pPr>
              <w:pStyle w:val="naiskr"/>
              <w:tabs>
                <w:tab w:val="left" w:pos="170"/>
              </w:tabs>
              <w:spacing w:before="0" w:after="0"/>
              <w:rPr>
                <w:sz w:val="28"/>
                <w:szCs w:val="28"/>
              </w:rPr>
            </w:pPr>
            <w:r w:rsidRPr="003D37A2">
              <w:rPr>
                <w:sz w:val="28"/>
                <w:szCs w:val="28"/>
              </w:rPr>
              <w:t>Pašreizējā situācija un problēmas</w:t>
            </w:r>
          </w:p>
        </w:tc>
        <w:tc>
          <w:tcPr>
            <w:tcW w:w="7490" w:type="dxa"/>
          </w:tcPr>
          <w:p w:rsidR="004D6394" w:rsidRPr="003D37A2" w:rsidRDefault="004D6394" w:rsidP="0092408D">
            <w:pPr>
              <w:pStyle w:val="HTMLPreformatted"/>
              <w:ind w:left="70"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 xml:space="preserve">2013.gada 31.janvārī Saeima pieņēma </w:t>
            </w:r>
            <w:proofErr w:type="spellStart"/>
            <w:r w:rsidRPr="003D37A2">
              <w:rPr>
                <w:rFonts w:ascii="Times New Roman" w:hAnsi="Times New Roman" w:cs="Times New Roman"/>
                <w:i/>
                <w:color w:val="000000" w:themeColor="text1"/>
                <w:sz w:val="28"/>
                <w:szCs w:val="28"/>
              </w:rPr>
              <w:t>Euro</w:t>
            </w:r>
            <w:proofErr w:type="spellEnd"/>
            <w:r w:rsidRPr="003D37A2">
              <w:rPr>
                <w:rFonts w:ascii="Times New Roman" w:hAnsi="Times New Roman" w:cs="Times New Roman"/>
                <w:color w:val="000000" w:themeColor="text1"/>
                <w:sz w:val="28"/>
                <w:szCs w:val="28"/>
              </w:rPr>
              <w:t xml:space="preserve"> ieviešanas kārtības likumu. Tajā ir iekļauts tiesiskais regulējums, kas reglamentē kārtību, kādā notiek preču un pakalpojumu cenu paralēlā atspoguļošana, kā arī paralēlās atspoguļošanas un konvertācijas prasību uzraudzība.</w:t>
            </w:r>
          </w:p>
          <w:p w:rsidR="0030318A" w:rsidRPr="003D37A2" w:rsidRDefault="00CB57D6" w:rsidP="0092408D">
            <w:pPr>
              <w:pStyle w:val="HTMLPreformatted"/>
              <w:ind w:left="70"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 xml:space="preserve">Tā kā šobrīd </w:t>
            </w:r>
            <w:r w:rsidR="00972C83" w:rsidRPr="003D37A2">
              <w:rPr>
                <w:rFonts w:ascii="Times New Roman" w:hAnsi="Times New Roman" w:cs="Times New Roman"/>
                <w:color w:val="000000" w:themeColor="text1"/>
                <w:sz w:val="28"/>
                <w:szCs w:val="28"/>
              </w:rPr>
              <w:t>N</w:t>
            </w:r>
            <w:r w:rsidR="006D5BCC" w:rsidRPr="003D37A2">
              <w:rPr>
                <w:rFonts w:ascii="Times New Roman" w:hAnsi="Times New Roman" w:cs="Times New Roman"/>
                <w:color w:val="000000" w:themeColor="text1"/>
                <w:sz w:val="28"/>
                <w:szCs w:val="28"/>
              </w:rPr>
              <w:t>oteikumu projekt</w:t>
            </w:r>
            <w:r w:rsidRPr="003D37A2">
              <w:rPr>
                <w:rFonts w:ascii="Times New Roman" w:hAnsi="Times New Roman" w:cs="Times New Roman"/>
                <w:color w:val="000000" w:themeColor="text1"/>
                <w:sz w:val="28"/>
                <w:szCs w:val="28"/>
              </w:rPr>
              <w:t>s neparedz  kārtību, kādā notiek preču un pakalpojumu cenu paralēlā atspoguļošana, to</w:t>
            </w:r>
            <w:r w:rsidR="009A2E73" w:rsidRPr="003D37A2">
              <w:rPr>
                <w:rFonts w:ascii="Times New Roman" w:hAnsi="Times New Roman" w:cs="Times New Roman"/>
                <w:color w:val="000000" w:themeColor="text1"/>
                <w:sz w:val="28"/>
                <w:szCs w:val="28"/>
              </w:rPr>
              <w:t xml:space="preserve">  nepieciešam</w:t>
            </w:r>
            <w:r w:rsidR="0091075F" w:rsidRPr="003D37A2">
              <w:rPr>
                <w:rFonts w:ascii="Times New Roman" w:hAnsi="Times New Roman" w:cs="Times New Roman"/>
                <w:color w:val="000000" w:themeColor="text1"/>
                <w:sz w:val="28"/>
                <w:szCs w:val="28"/>
              </w:rPr>
              <w:t>s</w:t>
            </w:r>
            <w:r w:rsidR="009A2E73" w:rsidRPr="003D37A2">
              <w:rPr>
                <w:rFonts w:ascii="Times New Roman" w:hAnsi="Times New Roman" w:cs="Times New Roman"/>
                <w:color w:val="000000" w:themeColor="text1"/>
                <w:sz w:val="28"/>
                <w:szCs w:val="28"/>
              </w:rPr>
              <w:t xml:space="preserve"> </w:t>
            </w:r>
            <w:r w:rsidR="00C35803" w:rsidRPr="003D37A2">
              <w:rPr>
                <w:rFonts w:ascii="Times New Roman" w:hAnsi="Times New Roman" w:cs="Times New Roman"/>
                <w:color w:val="000000" w:themeColor="text1"/>
                <w:sz w:val="28"/>
                <w:szCs w:val="28"/>
              </w:rPr>
              <w:t xml:space="preserve">papildināt </w:t>
            </w:r>
            <w:r w:rsidR="009A2E73" w:rsidRPr="003D37A2">
              <w:rPr>
                <w:rFonts w:ascii="Times New Roman" w:hAnsi="Times New Roman" w:cs="Times New Roman"/>
                <w:color w:val="000000" w:themeColor="text1"/>
                <w:sz w:val="28"/>
                <w:szCs w:val="28"/>
              </w:rPr>
              <w:t xml:space="preserve">ar </w:t>
            </w:r>
            <w:r w:rsidR="00880C69" w:rsidRPr="003D37A2">
              <w:rPr>
                <w:rFonts w:ascii="Times New Roman" w:hAnsi="Times New Roman" w:cs="Times New Roman"/>
                <w:color w:val="000000" w:themeColor="text1"/>
                <w:sz w:val="28"/>
                <w:szCs w:val="28"/>
              </w:rPr>
              <w:t xml:space="preserve">preču un pakalpojumu cenu norādīšanas kārtību divās valūtās (latos un </w:t>
            </w:r>
            <w:proofErr w:type="spellStart"/>
            <w:r w:rsidR="00880C69" w:rsidRPr="003D37A2">
              <w:rPr>
                <w:rFonts w:ascii="Times New Roman" w:hAnsi="Times New Roman" w:cs="Times New Roman"/>
                <w:i/>
                <w:color w:val="000000" w:themeColor="text1"/>
                <w:sz w:val="28"/>
                <w:szCs w:val="28"/>
              </w:rPr>
              <w:t>euro</w:t>
            </w:r>
            <w:proofErr w:type="spellEnd"/>
            <w:r w:rsidR="00880C69" w:rsidRPr="003D37A2">
              <w:rPr>
                <w:rFonts w:ascii="Times New Roman" w:hAnsi="Times New Roman" w:cs="Times New Roman"/>
                <w:color w:val="000000" w:themeColor="text1"/>
                <w:sz w:val="28"/>
                <w:szCs w:val="28"/>
              </w:rPr>
              <w:t xml:space="preserve">) </w:t>
            </w:r>
            <w:r w:rsidR="009A2E73" w:rsidRPr="003D37A2">
              <w:rPr>
                <w:rFonts w:ascii="Times New Roman" w:hAnsi="Times New Roman" w:cs="Times New Roman"/>
                <w:color w:val="000000" w:themeColor="text1"/>
                <w:sz w:val="28"/>
                <w:szCs w:val="28"/>
              </w:rPr>
              <w:t>paralēlās atspoguļošanas period</w:t>
            </w:r>
            <w:r w:rsidR="00880C69" w:rsidRPr="003D37A2">
              <w:rPr>
                <w:rFonts w:ascii="Times New Roman" w:hAnsi="Times New Roman" w:cs="Times New Roman"/>
                <w:color w:val="000000" w:themeColor="text1"/>
                <w:sz w:val="28"/>
                <w:szCs w:val="28"/>
              </w:rPr>
              <w:t xml:space="preserve">ā, kā arī cenu konvertācijas prasības ievērošanu atbilstoši </w:t>
            </w:r>
            <w:proofErr w:type="spellStart"/>
            <w:r w:rsidR="0092408D" w:rsidRPr="003D37A2">
              <w:rPr>
                <w:rFonts w:ascii="Times New Roman" w:hAnsi="Times New Roman" w:cs="Times New Roman"/>
                <w:i/>
                <w:color w:val="000000" w:themeColor="text1"/>
                <w:sz w:val="28"/>
                <w:szCs w:val="28"/>
              </w:rPr>
              <w:t>Euro</w:t>
            </w:r>
            <w:proofErr w:type="spellEnd"/>
            <w:r w:rsidR="0092408D" w:rsidRPr="003D37A2">
              <w:rPr>
                <w:rFonts w:ascii="Times New Roman" w:hAnsi="Times New Roman" w:cs="Times New Roman"/>
                <w:color w:val="000000" w:themeColor="text1"/>
                <w:sz w:val="28"/>
                <w:szCs w:val="28"/>
              </w:rPr>
              <w:t xml:space="preserve"> ieviešanas </w:t>
            </w:r>
            <w:r w:rsidR="00C469BB" w:rsidRPr="003D37A2">
              <w:rPr>
                <w:rFonts w:ascii="Times New Roman" w:hAnsi="Times New Roman" w:cs="Times New Roman"/>
                <w:color w:val="000000" w:themeColor="text1"/>
                <w:sz w:val="28"/>
                <w:szCs w:val="28"/>
              </w:rPr>
              <w:t xml:space="preserve">kārtības </w:t>
            </w:r>
            <w:r w:rsidR="0092408D" w:rsidRPr="003D37A2">
              <w:rPr>
                <w:rFonts w:ascii="Times New Roman" w:hAnsi="Times New Roman" w:cs="Times New Roman"/>
                <w:color w:val="000000" w:themeColor="text1"/>
                <w:sz w:val="28"/>
                <w:szCs w:val="28"/>
              </w:rPr>
              <w:t>likum</w:t>
            </w:r>
            <w:r w:rsidR="00C469BB" w:rsidRPr="003D37A2">
              <w:rPr>
                <w:rFonts w:ascii="Times New Roman" w:hAnsi="Times New Roman" w:cs="Times New Roman"/>
                <w:color w:val="000000" w:themeColor="text1"/>
                <w:sz w:val="28"/>
                <w:szCs w:val="28"/>
              </w:rPr>
              <w:t>ā</w:t>
            </w:r>
            <w:r w:rsidR="0092408D" w:rsidRPr="003D37A2">
              <w:rPr>
                <w:rFonts w:ascii="Times New Roman" w:hAnsi="Times New Roman" w:cs="Times New Roman"/>
                <w:color w:val="000000" w:themeColor="text1"/>
                <w:sz w:val="28"/>
                <w:szCs w:val="28"/>
              </w:rPr>
              <w:t xml:space="preserve"> noteikt</w:t>
            </w:r>
            <w:r w:rsidR="00880C69" w:rsidRPr="003D37A2">
              <w:rPr>
                <w:rFonts w:ascii="Times New Roman" w:hAnsi="Times New Roman" w:cs="Times New Roman"/>
                <w:color w:val="000000" w:themeColor="text1"/>
                <w:sz w:val="28"/>
                <w:szCs w:val="28"/>
              </w:rPr>
              <w:t>ajiem matemātiskajiem apaļošanas principiem</w:t>
            </w:r>
            <w:r w:rsidR="00375C1C" w:rsidRPr="003D37A2">
              <w:rPr>
                <w:rFonts w:ascii="Times New Roman" w:hAnsi="Times New Roman" w:cs="Times New Roman"/>
                <w:sz w:val="28"/>
                <w:szCs w:val="28"/>
              </w:rPr>
              <w:t>.</w:t>
            </w:r>
            <w:r w:rsidR="0030318A" w:rsidRPr="003D37A2">
              <w:rPr>
                <w:rFonts w:ascii="Times New Roman" w:hAnsi="Times New Roman" w:cs="Times New Roman"/>
                <w:color w:val="000000" w:themeColor="text1"/>
                <w:sz w:val="28"/>
                <w:szCs w:val="28"/>
              </w:rPr>
              <w:t xml:space="preserve"> </w:t>
            </w:r>
          </w:p>
          <w:p w:rsidR="00B426B6" w:rsidRPr="003D37A2" w:rsidRDefault="00EB5430" w:rsidP="0092408D">
            <w:pPr>
              <w:pStyle w:val="HTMLPreformatted"/>
              <w:ind w:left="70" w:right="119"/>
              <w:jc w:val="both"/>
              <w:rPr>
                <w:rFonts w:ascii="Times New Roman" w:hAnsi="Times New Roman"/>
                <w:color w:val="000000"/>
                <w:sz w:val="28"/>
                <w:szCs w:val="28"/>
              </w:rPr>
            </w:pPr>
            <w:proofErr w:type="spellStart"/>
            <w:r w:rsidRPr="003D37A2">
              <w:rPr>
                <w:rFonts w:ascii="Times New Roman" w:hAnsi="Times New Roman" w:cs="Times New Roman"/>
                <w:color w:val="000000" w:themeColor="text1"/>
                <w:sz w:val="28"/>
                <w:szCs w:val="28"/>
              </w:rPr>
              <w:t>Euro</w:t>
            </w:r>
            <w:proofErr w:type="spellEnd"/>
            <w:r w:rsidRPr="003D37A2">
              <w:rPr>
                <w:rFonts w:ascii="Times New Roman" w:hAnsi="Times New Roman" w:cs="Times New Roman"/>
                <w:color w:val="000000" w:themeColor="text1"/>
                <w:sz w:val="28"/>
                <w:szCs w:val="28"/>
              </w:rPr>
              <w:t xml:space="preserve"> ieviešanas kārtības likuma 13.panta trešā daļa paredz </w:t>
            </w:r>
            <w:r w:rsidR="00B426B6" w:rsidRPr="003D37A2">
              <w:rPr>
                <w:rFonts w:ascii="Times New Roman" w:hAnsi="Times New Roman" w:cs="Times New Roman"/>
                <w:color w:val="000000" w:themeColor="text1"/>
                <w:sz w:val="28"/>
                <w:szCs w:val="28"/>
              </w:rPr>
              <w:t xml:space="preserve"> arī </w:t>
            </w:r>
            <w:r w:rsidRPr="003D37A2">
              <w:rPr>
                <w:rFonts w:ascii="Times New Roman" w:hAnsi="Times New Roman" w:cs="Times New Roman"/>
                <w:color w:val="000000" w:themeColor="text1"/>
                <w:sz w:val="28"/>
                <w:szCs w:val="28"/>
              </w:rPr>
              <w:t>noteikt kārtību paralēlās atspoguļošanas un konvertācijas prasību kontrolei. Šobrīd Noteikumu 21.punkts nosaka, ka visu šo noteikumu ievērošanu kontrolē Patērētāju tiesību aizsardzības centrs.  Noteikumu projekts papildināts ar normu, kas paredz u</w:t>
            </w:r>
            <w:r w:rsidR="00772422" w:rsidRPr="003D37A2">
              <w:rPr>
                <w:rFonts w:ascii="Times New Roman" w:hAnsi="Times New Roman" w:cs="Times New Roman"/>
                <w:color w:val="000000" w:themeColor="text1"/>
                <w:sz w:val="28"/>
                <w:szCs w:val="28"/>
              </w:rPr>
              <w:t xml:space="preserve">zraudzību par </w:t>
            </w:r>
            <w:r w:rsidR="0030318A" w:rsidRPr="003D37A2">
              <w:rPr>
                <w:rFonts w:ascii="Times New Roman" w:hAnsi="Times New Roman" w:cs="Times New Roman"/>
                <w:sz w:val="28"/>
                <w:szCs w:val="28"/>
              </w:rPr>
              <w:t xml:space="preserve">paralēlās atspoguļošanas un konvertācijas prasību </w:t>
            </w:r>
            <w:r w:rsidR="00772422" w:rsidRPr="003D37A2">
              <w:rPr>
                <w:rFonts w:ascii="Times New Roman" w:hAnsi="Times New Roman" w:cs="Times New Roman"/>
                <w:sz w:val="28"/>
                <w:szCs w:val="28"/>
              </w:rPr>
              <w:t>ievērošanu</w:t>
            </w:r>
            <w:r w:rsidRPr="003D37A2">
              <w:rPr>
                <w:rFonts w:ascii="Times New Roman" w:hAnsi="Times New Roman" w:cs="Times New Roman"/>
                <w:sz w:val="28"/>
                <w:szCs w:val="28"/>
              </w:rPr>
              <w:t>, ko</w:t>
            </w:r>
            <w:r w:rsidR="00772422" w:rsidRPr="003D37A2">
              <w:rPr>
                <w:rFonts w:ascii="Times New Roman" w:hAnsi="Times New Roman" w:cs="Times New Roman"/>
                <w:sz w:val="28"/>
                <w:szCs w:val="28"/>
              </w:rPr>
              <w:t xml:space="preserve"> veic Patērētāju tiesību aizsardzības centrs</w:t>
            </w:r>
            <w:r w:rsidR="00B426B6" w:rsidRPr="003D37A2">
              <w:rPr>
                <w:rFonts w:ascii="Times New Roman" w:hAnsi="Times New Roman" w:cs="Times New Roman"/>
                <w:sz w:val="28"/>
                <w:szCs w:val="28"/>
              </w:rPr>
              <w:t xml:space="preserve"> </w:t>
            </w:r>
            <w:r w:rsidRPr="003D37A2">
              <w:rPr>
                <w:rFonts w:ascii="Times New Roman" w:hAnsi="Times New Roman" w:cs="Times New Roman"/>
                <w:sz w:val="28"/>
                <w:szCs w:val="28"/>
              </w:rPr>
              <w:lastRenderedPageBreak/>
              <w:t>sadarbībā ar Patērētāju tiesību aizsardzības biedrībām, kuru darbības mērķis ir aizsargāt patērētāju tiesības un kuras darbojas saskaņā ar normatīvajiem aktiem un attiecīgās patērētāju tiesību aizsardzības biedrības statūtiem.</w:t>
            </w:r>
            <w:r w:rsidR="0030318A" w:rsidRPr="003D37A2">
              <w:rPr>
                <w:rFonts w:ascii="Times New Roman" w:hAnsi="Times New Roman" w:cs="Times New Roman"/>
                <w:sz w:val="28"/>
                <w:szCs w:val="28"/>
              </w:rPr>
              <w:t xml:space="preserve"> </w:t>
            </w:r>
            <w:r w:rsidR="00B426B6" w:rsidRPr="003D37A2">
              <w:rPr>
                <w:rFonts w:ascii="Times New Roman" w:hAnsi="Times New Roman"/>
                <w:color w:val="000000"/>
                <w:sz w:val="28"/>
                <w:szCs w:val="28"/>
              </w:rPr>
              <w:t xml:space="preserve">Ja Patērētāju tiesību aizsardzības centrs konstatē pārkāpumu par preču un pakalpojumu cenu konvertēšanu un paralēlo atspoguļošanu, tas pieņem lēmumu, ar kuru piemēro administratīvo sodu likumā noteiktajā kārtībā, </w:t>
            </w:r>
            <w:proofErr w:type="spellStart"/>
            <w:r w:rsidR="00B426B6" w:rsidRPr="003D37A2">
              <w:rPr>
                <w:rFonts w:ascii="Times New Roman" w:hAnsi="Times New Roman"/>
                <w:color w:val="000000"/>
                <w:sz w:val="28"/>
                <w:szCs w:val="28"/>
              </w:rPr>
              <w:t>t.i</w:t>
            </w:r>
            <w:proofErr w:type="spellEnd"/>
            <w:r w:rsidR="00B426B6" w:rsidRPr="003D37A2">
              <w:rPr>
                <w:rFonts w:ascii="Times New Roman" w:hAnsi="Times New Roman"/>
                <w:color w:val="000000"/>
                <w:sz w:val="28"/>
                <w:szCs w:val="28"/>
              </w:rPr>
              <w:t xml:space="preserve">. Latvijas administratīvā pārkāpuma kodeksa 155.panta piektā daļa. </w:t>
            </w:r>
          </w:p>
          <w:p w:rsidR="00B426B6" w:rsidRPr="003D37A2" w:rsidRDefault="00B426B6" w:rsidP="0092408D">
            <w:pPr>
              <w:pStyle w:val="HTMLPreformatted"/>
              <w:ind w:left="70" w:right="119"/>
              <w:jc w:val="both"/>
              <w:rPr>
                <w:rFonts w:ascii="Times New Roman" w:hAnsi="Times New Roman"/>
                <w:color w:val="000000"/>
                <w:sz w:val="28"/>
                <w:szCs w:val="28"/>
              </w:rPr>
            </w:pPr>
          </w:p>
          <w:p w:rsidR="0092408D" w:rsidRPr="003D37A2" w:rsidRDefault="0092408D" w:rsidP="0092408D">
            <w:pPr>
              <w:pStyle w:val="HTMLPreformatted"/>
              <w:ind w:left="70" w:right="119"/>
              <w:jc w:val="both"/>
              <w:rPr>
                <w:rFonts w:ascii="Times New Roman" w:hAnsi="Times New Roman" w:cs="Times New Roman"/>
                <w:b/>
                <w:sz w:val="28"/>
                <w:szCs w:val="28"/>
              </w:rPr>
            </w:pPr>
            <w:r w:rsidRPr="003D37A2">
              <w:rPr>
                <w:rFonts w:ascii="Times New Roman" w:hAnsi="Times New Roman"/>
                <w:sz w:val="28"/>
                <w:szCs w:val="28"/>
              </w:rPr>
              <w:t>Paralēlās atspoguļošanas periodā</w:t>
            </w:r>
            <w:r w:rsidR="00880C69" w:rsidRPr="003D37A2">
              <w:rPr>
                <w:rFonts w:ascii="Times New Roman" w:hAnsi="Times New Roman"/>
                <w:sz w:val="28"/>
                <w:szCs w:val="28"/>
              </w:rPr>
              <w:t xml:space="preserve">, </w:t>
            </w:r>
            <w:r w:rsidR="00CB57D6" w:rsidRPr="003D37A2">
              <w:rPr>
                <w:rFonts w:ascii="Times New Roman" w:hAnsi="Times New Roman"/>
                <w:sz w:val="28"/>
                <w:szCs w:val="28"/>
              </w:rPr>
              <w:t xml:space="preserve">proti, </w:t>
            </w:r>
            <w:r w:rsidR="00880C69" w:rsidRPr="003D37A2">
              <w:rPr>
                <w:rFonts w:ascii="Times New Roman" w:hAnsi="Times New Roman"/>
                <w:sz w:val="28"/>
                <w:szCs w:val="28"/>
              </w:rPr>
              <w:t xml:space="preserve">no 2013.gada 1.oktobra līdz 2014.gada 30.jūnijam, </w:t>
            </w:r>
            <w:r w:rsidRPr="003D37A2">
              <w:rPr>
                <w:rStyle w:val="Strong"/>
                <w:rFonts w:ascii="Times New Roman" w:hAnsi="Times New Roman"/>
                <w:sz w:val="28"/>
                <w:szCs w:val="28"/>
              </w:rPr>
              <w:t xml:space="preserve"> </w:t>
            </w:r>
            <w:r w:rsidRPr="003D37A2">
              <w:rPr>
                <w:rStyle w:val="Strong"/>
                <w:rFonts w:ascii="Times New Roman" w:hAnsi="Times New Roman"/>
                <w:b w:val="0"/>
                <w:sz w:val="28"/>
                <w:szCs w:val="28"/>
              </w:rPr>
              <w:t xml:space="preserve">preču un pakalpojumu cenu norādīšana gan latos, gan </w:t>
            </w:r>
            <w:proofErr w:type="spellStart"/>
            <w:r w:rsidRPr="003D37A2">
              <w:rPr>
                <w:rStyle w:val="Strong"/>
                <w:rFonts w:ascii="Times New Roman" w:hAnsi="Times New Roman"/>
                <w:b w:val="0"/>
                <w:i/>
                <w:sz w:val="28"/>
                <w:szCs w:val="28"/>
              </w:rPr>
              <w:t>euro</w:t>
            </w:r>
            <w:proofErr w:type="spellEnd"/>
            <w:r w:rsidRPr="003D37A2">
              <w:rPr>
                <w:rStyle w:val="Strong"/>
                <w:rFonts w:ascii="Times New Roman" w:hAnsi="Times New Roman"/>
                <w:b w:val="0"/>
                <w:sz w:val="28"/>
                <w:szCs w:val="28"/>
              </w:rPr>
              <w:t xml:space="preserve"> palīdzēs patērētājiem sekot līdzi cenām un aprast ar jauno valūtu, kā arī</w:t>
            </w:r>
            <w:r w:rsidRPr="003D37A2">
              <w:rPr>
                <w:rFonts w:ascii="Times New Roman" w:hAnsi="Times New Roman"/>
                <w:b/>
                <w:sz w:val="28"/>
                <w:szCs w:val="28"/>
              </w:rPr>
              <w:t xml:space="preserve"> </w:t>
            </w:r>
            <w:r w:rsidRPr="003D37A2">
              <w:rPr>
                <w:rFonts w:ascii="Times New Roman" w:hAnsi="Times New Roman"/>
                <w:sz w:val="28"/>
                <w:szCs w:val="28"/>
              </w:rPr>
              <w:t xml:space="preserve">ļaus sabiedrībai jau laikus sagatavoties norēķinu valūtas maiņai un atvieglos preces vērtības salīdzināšanu </w:t>
            </w:r>
            <w:proofErr w:type="spellStart"/>
            <w:r w:rsidRPr="003D37A2">
              <w:rPr>
                <w:rFonts w:ascii="Times New Roman" w:hAnsi="Times New Roman"/>
                <w:i/>
                <w:sz w:val="28"/>
                <w:szCs w:val="28"/>
              </w:rPr>
              <w:t>euro</w:t>
            </w:r>
            <w:proofErr w:type="spellEnd"/>
            <w:r w:rsidRPr="003D37A2">
              <w:rPr>
                <w:rFonts w:ascii="Times New Roman" w:hAnsi="Times New Roman"/>
                <w:sz w:val="28"/>
                <w:szCs w:val="28"/>
              </w:rPr>
              <w:t xml:space="preserve"> un latos.</w:t>
            </w:r>
          </w:p>
          <w:p w:rsidR="0092408D" w:rsidRPr="003D37A2" w:rsidRDefault="0092408D" w:rsidP="0092408D">
            <w:pPr>
              <w:pStyle w:val="NormalWeb"/>
              <w:spacing w:before="0" w:beforeAutospacing="0" w:after="0" w:afterAutospacing="0"/>
              <w:jc w:val="both"/>
              <w:rPr>
                <w:sz w:val="28"/>
                <w:szCs w:val="28"/>
              </w:rPr>
            </w:pPr>
            <w:r w:rsidRPr="003D37A2">
              <w:rPr>
                <w:rStyle w:val="Strong"/>
                <w:b w:val="0"/>
                <w:sz w:val="28"/>
                <w:szCs w:val="28"/>
              </w:rPr>
              <w:t>Preču un pakalpojumu cenu norādīšana abās valūtās no</w:t>
            </w:r>
            <w:r w:rsidRPr="003D37A2">
              <w:rPr>
                <w:sz w:val="28"/>
                <w:szCs w:val="28"/>
              </w:rPr>
              <w:t xml:space="preserve">tiks saskaņā ar oficiālo lata un </w:t>
            </w:r>
            <w:proofErr w:type="spellStart"/>
            <w:r w:rsidRPr="003D37A2">
              <w:rPr>
                <w:i/>
                <w:sz w:val="28"/>
                <w:szCs w:val="28"/>
              </w:rPr>
              <w:t>euro</w:t>
            </w:r>
            <w:proofErr w:type="spellEnd"/>
            <w:r w:rsidRPr="003D37A2">
              <w:rPr>
                <w:sz w:val="28"/>
                <w:szCs w:val="28"/>
              </w:rPr>
              <w:t xml:space="preserve"> maiņas kursu, strikti ievērojot matemātiskos </w:t>
            </w:r>
            <w:r w:rsidR="00880C69" w:rsidRPr="003D37A2">
              <w:rPr>
                <w:sz w:val="28"/>
                <w:szCs w:val="28"/>
              </w:rPr>
              <w:t xml:space="preserve">apaļošanas </w:t>
            </w:r>
            <w:r w:rsidRPr="003D37A2">
              <w:rPr>
                <w:sz w:val="28"/>
                <w:szCs w:val="28"/>
              </w:rPr>
              <w:t>principus. Šāda prasība par cenu norādīšanu abās valūtās paredzēta, lai nodrošinātu patērētāju tiesību aizsardzību un ierobežotu preču un pakalpojumu cenu spekulatīvu kāpumu, kā arī lai palīdzētu patērētājiem pieņemt uz informāciju balstītu un ekonomiski pamatotu lēmumu.</w:t>
            </w:r>
          </w:p>
          <w:p w:rsidR="000E75FE" w:rsidRPr="003D37A2" w:rsidRDefault="003C5DF8" w:rsidP="000E75FE">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themeColor="text1"/>
                <w:sz w:val="28"/>
                <w:szCs w:val="28"/>
              </w:rPr>
            </w:pPr>
            <w:r w:rsidRPr="003D37A2">
              <w:rPr>
                <w:sz w:val="28"/>
                <w:szCs w:val="28"/>
              </w:rPr>
              <w:t xml:space="preserve">Ņemot vērā </w:t>
            </w:r>
            <w:r w:rsidR="007411F5" w:rsidRPr="003D37A2">
              <w:rPr>
                <w:sz w:val="28"/>
                <w:szCs w:val="28"/>
              </w:rPr>
              <w:t>nepieciešamību precizēt esošo cenu norādīšanas kārtību un cenu zīmē obligāti norādāmo informāciju divās valūtās</w:t>
            </w:r>
            <w:r w:rsidR="00C77A6C" w:rsidRPr="003D37A2">
              <w:rPr>
                <w:sz w:val="28"/>
                <w:szCs w:val="28"/>
              </w:rPr>
              <w:t xml:space="preserve">, </w:t>
            </w:r>
            <w:r w:rsidR="004B0D36" w:rsidRPr="003D37A2">
              <w:rPr>
                <w:sz w:val="28"/>
                <w:szCs w:val="28"/>
              </w:rPr>
              <w:t>nepieciešams papildināt Noteikum</w:t>
            </w:r>
            <w:r w:rsidR="003D233F" w:rsidRPr="003D37A2">
              <w:rPr>
                <w:sz w:val="28"/>
                <w:szCs w:val="28"/>
              </w:rPr>
              <w:t>u</w:t>
            </w:r>
            <w:r w:rsidR="004B0D36" w:rsidRPr="003D37A2">
              <w:rPr>
                <w:sz w:val="28"/>
                <w:szCs w:val="28"/>
              </w:rPr>
              <w:t>s ar</w:t>
            </w:r>
            <w:r w:rsidR="00880C69" w:rsidRPr="003D37A2">
              <w:rPr>
                <w:sz w:val="28"/>
                <w:szCs w:val="28"/>
              </w:rPr>
              <w:t xml:space="preserve">ī ar </w:t>
            </w:r>
            <w:r w:rsidR="003D233F" w:rsidRPr="003D37A2">
              <w:rPr>
                <w:sz w:val="28"/>
                <w:szCs w:val="28"/>
              </w:rPr>
              <w:t xml:space="preserve">jaunu nodaļu „Preču un pakalpojumu cenu norādīšana </w:t>
            </w:r>
            <w:proofErr w:type="spellStart"/>
            <w:r w:rsidR="003D233F" w:rsidRPr="003D37A2">
              <w:rPr>
                <w:i/>
                <w:sz w:val="28"/>
                <w:szCs w:val="28"/>
              </w:rPr>
              <w:t>euro</w:t>
            </w:r>
            <w:proofErr w:type="spellEnd"/>
            <w:r w:rsidR="003D233F" w:rsidRPr="003D37A2">
              <w:rPr>
                <w:sz w:val="28"/>
                <w:szCs w:val="28"/>
              </w:rPr>
              <w:t xml:space="preserve"> valūtā paralēlā atspoguļošanas periodā”</w:t>
            </w:r>
            <w:r w:rsidR="00F819C0" w:rsidRPr="003D37A2">
              <w:rPr>
                <w:sz w:val="28"/>
                <w:szCs w:val="28"/>
              </w:rPr>
              <w:t xml:space="preserve">, kas paredz </w:t>
            </w:r>
            <w:r w:rsidR="000E75FE" w:rsidRPr="003D37A2">
              <w:rPr>
                <w:color w:val="000000" w:themeColor="text1"/>
                <w:sz w:val="28"/>
                <w:szCs w:val="28"/>
              </w:rPr>
              <w:t>izņēmumus attiecībā uz mērvienības cenu norādīšanas kārtību, cenu norādīšanas kārtību tehniskajās ierīcēs, kas nepieļauj cenu norādīšanu divās valūtās, cenu norādīšanas kārtību skaitļu izložu kuponiem, momentloterijām un skaitļu izložu kvītīm, kas drukātas līdz 2013.gada 31.decembrim, kā arī cenu norādīšanas kārtību elektroniskajā vidē.</w:t>
            </w:r>
          </w:p>
          <w:p w:rsidR="00F819C0" w:rsidRPr="003D37A2" w:rsidRDefault="000E75FE" w:rsidP="00F819C0">
            <w:pPr>
              <w:pStyle w:val="HTMLPreformatted"/>
              <w:ind w:left="70"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Minētajos i</w:t>
            </w:r>
            <w:r w:rsidR="00F819C0" w:rsidRPr="003D37A2">
              <w:rPr>
                <w:rFonts w:ascii="Times New Roman" w:hAnsi="Times New Roman" w:cs="Times New Roman"/>
                <w:color w:val="000000" w:themeColor="text1"/>
                <w:sz w:val="28"/>
                <w:szCs w:val="28"/>
              </w:rPr>
              <w:t>zņēmumu gadījum</w:t>
            </w:r>
            <w:r w:rsidR="000B6E16" w:rsidRPr="003D37A2">
              <w:rPr>
                <w:rFonts w:ascii="Times New Roman" w:hAnsi="Times New Roman" w:cs="Times New Roman"/>
                <w:color w:val="000000" w:themeColor="text1"/>
                <w:sz w:val="28"/>
                <w:szCs w:val="28"/>
              </w:rPr>
              <w:t>os</w:t>
            </w:r>
            <w:r w:rsidR="00F819C0" w:rsidRPr="003D37A2">
              <w:rPr>
                <w:rFonts w:ascii="Times New Roman" w:hAnsi="Times New Roman" w:cs="Times New Roman"/>
                <w:color w:val="000000" w:themeColor="text1"/>
                <w:sz w:val="28"/>
                <w:szCs w:val="28"/>
              </w:rPr>
              <w:t xml:space="preserve">, </w:t>
            </w:r>
            <w:r w:rsidR="000B6E16" w:rsidRPr="003D37A2">
              <w:rPr>
                <w:rFonts w:ascii="Times New Roman" w:hAnsi="Times New Roman" w:cs="Times New Roman"/>
                <w:color w:val="000000" w:themeColor="text1"/>
                <w:sz w:val="28"/>
                <w:szCs w:val="28"/>
              </w:rPr>
              <w:t xml:space="preserve">no 2013.gada 1.oktobra līdz 2013.gada 31.decembrim </w:t>
            </w:r>
            <w:r w:rsidR="00F819C0" w:rsidRPr="003D37A2">
              <w:rPr>
                <w:rFonts w:ascii="Times New Roman" w:hAnsi="Times New Roman" w:cs="Times New Roman"/>
                <w:color w:val="000000" w:themeColor="text1"/>
                <w:sz w:val="28"/>
                <w:szCs w:val="28"/>
              </w:rPr>
              <w:t>cen</w:t>
            </w:r>
            <w:r w:rsidR="000B6E16" w:rsidRPr="003D37A2">
              <w:rPr>
                <w:rFonts w:ascii="Times New Roman" w:hAnsi="Times New Roman" w:cs="Times New Roman"/>
                <w:color w:val="000000" w:themeColor="text1"/>
                <w:sz w:val="28"/>
                <w:szCs w:val="28"/>
              </w:rPr>
              <w:t>as norāda</w:t>
            </w:r>
            <w:r w:rsidR="00F819C0" w:rsidRPr="003D37A2">
              <w:rPr>
                <w:rFonts w:ascii="Times New Roman" w:hAnsi="Times New Roman" w:cs="Times New Roman"/>
                <w:color w:val="000000" w:themeColor="text1"/>
                <w:sz w:val="28"/>
                <w:szCs w:val="28"/>
              </w:rPr>
              <w:t xml:space="preserve"> latos</w:t>
            </w:r>
            <w:r w:rsidR="000B6E16" w:rsidRPr="003D37A2">
              <w:rPr>
                <w:rFonts w:ascii="Times New Roman" w:hAnsi="Times New Roman" w:cs="Times New Roman"/>
                <w:color w:val="000000" w:themeColor="text1"/>
                <w:sz w:val="28"/>
                <w:szCs w:val="28"/>
              </w:rPr>
              <w:t xml:space="preserve"> u</w:t>
            </w:r>
            <w:r w:rsidR="00F819C0" w:rsidRPr="003D37A2">
              <w:rPr>
                <w:rFonts w:ascii="Times New Roman" w:hAnsi="Times New Roman" w:cs="Times New Roman"/>
                <w:color w:val="000000" w:themeColor="text1"/>
                <w:sz w:val="28"/>
                <w:szCs w:val="28"/>
              </w:rPr>
              <w:t>n</w:t>
            </w:r>
            <w:r w:rsidR="000B6E16" w:rsidRPr="003D37A2">
              <w:rPr>
                <w:rFonts w:ascii="Times New Roman" w:hAnsi="Times New Roman" w:cs="Times New Roman"/>
                <w:color w:val="000000" w:themeColor="text1"/>
                <w:sz w:val="28"/>
                <w:szCs w:val="28"/>
              </w:rPr>
              <w:t xml:space="preserve"> no 2014.gada 1.janvāra līdz </w:t>
            </w:r>
            <w:r w:rsidR="00880C69" w:rsidRPr="003D37A2">
              <w:rPr>
                <w:rFonts w:ascii="Times New Roman" w:hAnsi="Times New Roman" w:cs="Times New Roman"/>
                <w:color w:val="000000" w:themeColor="text1"/>
                <w:sz w:val="28"/>
                <w:szCs w:val="28"/>
              </w:rPr>
              <w:t xml:space="preserve">2014.gada </w:t>
            </w:r>
            <w:r w:rsidR="000B6E16" w:rsidRPr="003D37A2">
              <w:rPr>
                <w:rFonts w:ascii="Times New Roman" w:hAnsi="Times New Roman" w:cs="Times New Roman"/>
                <w:color w:val="000000" w:themeColor="text1"/>
                <w:sz w:val="28"/>
                <w:szCs w:val="28"/>
              </w:rPr>
              <w:t xml:space="preserve">30.jūnijam cenas norāda </w:t>
            </w:r>
            <w:proofErr w:type="spellStart"/>
            <w:r w:rsidR="00F819C0" w:rsidRPr="003D37A2">
              <w:rPr>
                <w:rFonts w:ascii="Times New Roman" w:hAnsi="Times New Roman" w:cs="Times New Roman"/>
                <w:color w:val="000000" w:themeColor="text1"/>
                <w:sz w:val="28"/>
                <w:szCs w:val="28"/>
              </w:rPr>
              <w:t>euro</w:t>
            </w:r>
            <w:proofErr w:type="spellEnd"/>
            <w:r w:rsidR="00F819C0" w:rsidRPr="003D37A2">
              <w:rPr>
                <w:rFonts w:ascii="Times New Roman" w:hAnsi="Times New Roman" w:cs="Times New Roman"/>
                <w:color w:val="000000" w:themeColor="text1"/>
                <w:sz w:val="28"/>
                <w:szCs w:val="28"/>
              </w:rPr>
              <w:t>, papildus informatīvā materiālā cenas norādot abās valūtās. Informatīvajam materiālam</w:t>
            </w:r>
            <w:r w:rsidR="000B6E16" w:rsidRPr="003D37A2">
              <w:rPr>
                <w:rFonts w:ascii="Times New Roman" w:hAnsi="Times New Roman" w:cs="Times New Roman"/>
                <w:color w:val="000000" w:themeColor="text1"/>
                <w:sz w:val="28"/>
                <w:szCs w:val="28"/>
              </w:rPr>
              <w:t xml:space="preserve"> un valūtas konvertācijas kalkulatoram</w:t>
            </w:r>
            <w:r w:rsidR="00F819C0" w:rsidRPr="003D37A2">
              <w:rPr>
                <w:rFonts w:ascii="Times New Roman" w:hAnsi="Times New Roman" w:cs="Times New Roman"/>
                <w:color w:val="000000" w:themeColor="text1"/>
                <w:sz w:val="28"/>
                <w:szCs w:val="28"/>
              </w:rPr>
              <w:t xml:space="preserve"> jābūt patērētājiem viegli pieejam</w:t>
            </w:r>
            <w:r w:rsidR="000B6E16" w:rsidRPr="003D37A2">
              <w:rPr>
                <w:rFonts w:ascii="Times New Roman" w:hAnsi="Times New Roman" w:cs="Times New Roman"/>
                <w:color w:val="000000" w:themeColor="text1"/>
                <w:sz w:val="28"/>
                <w:szCs w:val="28"/>
              </w:rPr>
              <w:t>iem</w:t>
            </w:r>
            <w:r w:rsidR="00F819C0" w:rsidRPr="003D37A2">
              <w:rPr>
                <w:rFonts w:ascii="Times New Roman" w:hAnsi="Times New Roman" w:cs="Times New Roman"/>
                <w:color w:val="000000" w:themeColor="text1"/>
                <w:sz w:val="28"/>
                <w:szCs w:val="28"/>
              </w:rPr>
              <w:t xml:space="preserve"> un izmantojam</w:t>
            </w:r>
            <w:r w:rsidR="000B6E16" w:rsidRPr="003D37A2">
              <w:rPr>
                <w:rFonts w:ascii="Times New Roman" w:hAnsi="Times New Roman" w:cs="Times New Roman"/>
                <w:color w:val="000000" w:themeColor="text1"/>
                <w:sz w:val="28"/>
                <w:szCs w:val="28"/>
              </w:rPr>
              <w:t>iem</w:t>
            </w:r>
            <w:r w:rsidR="00F819C0" w:rsidRPr="003D37A2">
              <w:rPr>
                <w:rFonts w:ascii="Times New Roman" w:hAnsi="Times New Roman" w:cs="Times New Roman"/>
                <w:color w:val="000000" w:themeColor="text1"/>
                <w:sz w:val="28"/>
                <w:szCs w:val="28"/>
              </w:rPr>
              <w:t xml:space="preserve">. </w:t>
            </w:r>
          </w:p>
          <w:p w:rsidR="00B9431F" w:rsidRPr="003D37A2" w:rsidRDefault="00B9431F" w:rsidP="005B3F37">
            <w:pPr>
              <w:ind w:right="115"/>
              <w:jc w:val="both"/>
              <w:rPr>
                <w:color w:val="000000" w:themeColor="text1"/>
                <w:sz w:val="28"/>
                <w:szCs w:val="28"/>
              </w:rPr>
            </w:pPr>
            <w:r w:rsidRPr="003D37A2">
              <w:rPr>
                <w:color w:val="000000" w:themeColor="text1"/>
                <w:sz w:val="28"/>
                <w:szCs w:val="28"/>
              </w:rPr>
              <w:t xml:space="preserve">Noteikumu projekts papildināts ar atsevišķiem izņēmumiem mērvienības cenu norādīšanas kārtībai precēm, kurai cenu </w:t>
            </w:r>
            <w:r w:rsidRPr="003D37A2">
              <w:rPr>
                <w:color w:val="000000" w:themeColor="text1"/>
                <w:sz w:val="28"/>
                <w:szCs w:val="28"/>
              </w:rPr>
              <w:lastRenderedPageBreak/>
              <w:t>norādīšana divās valūtās nav lietderīga vai tā varētu radīt p</w:t>
            </w:r>
            <w:r w:rsidR="00703FDA" w:rsidRPr="003D37A2">
              <w:rPr>
                <w:color w:val="000000" w:themeColor="text1"/>
                <w:sz w:val="28"/>
                <w:szCs w:val="28"/>
              </w:rPr>
              <w:t>ārpratumu</w:t>
            </w:r>
            <w:r w:rsidRPr="003D37A2">
              <w:rPr>
                <w:color w:val="000000" w:themeColor="text1"/>
                <w:sz w:val="28"/>
                <w:szCs w:val="28"/>
              </w:rPr>
              <w:t>.</w:t>
            </w:r>
          </w:p>
          <w:p w:rsidR="001B5D4B" w:rsidRPr="003D37A2" w:rsidRDefault="00C469BB" w:rsidP="000B6E1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3D37A2">
              <w:rPr>
                <w:color w:val="000000" w:themeColor="text1"/>
                <w:sz w:val="28"/>
                <w:szCs w:val="28"/>
              </w:rPr>
              <w:t>Tāpat Noteikumu projekts izslēdz Noteikumu 16.punktu, kas praksē nebija pielietojama un lietderīga tiesību norma</w:t>
            </w:r>
            <w:r w:rsidR="000B6E16" w:rsidRPr="003D37A2">
              <w:rPr>
                <w:color w:val="000000" w:themeColor="text1"/>
                <w:sz w:val="28"/>
                <w:szCs w:val="28"/>
              </w:rPr>
              <w:t>. S</w:t>
            </w:r>
            <w:r w:rsidRPr="003D37A2">
              <w:rPr>
                <w:color w:val="000000" w:themeColor="text1"/>
                <w:sz w:val="28"/>
                <w:szCs w:val="28"/>
              </w:rPr>
              <w:t>avukārt  Noteikumu 17.punk</w:t>
            </w:r>
            <w:r w:rsidR="000B6E16" w:rsidRPr="003D37A2">
              <w:rPr>
                <w:color w:val="000000" w:themeColor="text1"/>
                <w:sz w:val="28"/>
                <w:szCs w:val="28"/>
              </w:rPr>
              <w:t>s iestrādāts</w:t>
            </w:r>
            <w:r w:rsidR="009C55D4" w:rsidRPr="003D37A2">
              <w:rPr>
                <w:color w:val="000000" w:themeColor="text1"/>
                <w:sz w:val="28"/>
                <w:szCs w:val="28"/>
              </w:rPr>
              <w:t xml:space="preserve"> </w:t>
            </w:r>
            <w:r w:rsidRPr="003D37A2">
              <w:rPr>
                <w:color w:val="000000" w:themeColor="text1"/>
                <w:sz w:val="28"/>
                <w:szCs w:val="28"/>
              </w:rPr>
              <w:t>kā izņēmums</w:t>
            </w:r>
            <w:r w:rsidR="00BB72EE" w:rsidRPr="003D37A2">
              <w:rPr>
                <w:color w:val="000000" w:themeColor="text1"/>
                <w:sz w:val="28"/>
                <w:szCs w:val="28"/>
              </w:rPr>
              <w:t xml:space="preserve"> Noteikumu projekta</w:t>
            </w:r>
            <w:r w:rsidRPr="003D37A2">
              <w:rPr>
                <w:color w:val="000000" w:themeColor="text1"/>
                <w:sz w:val="28"/>
                <w:szCs w:val="28"/>
              </w:rPr>
              <w:t xml:space="preserve"> 12.3.apakšpunktā</w:t>
            </w:r>
            <w:r w:rsidR="000B6E16" w:rsidRPr="003D37A2">
              <w:rPr>
                <w:color w:val="000000" w:themeColor="text1"/>
                <w:sz w:val="28"/>
                <w:szCs w:val="28"/>
              </w:rPr>
              <w:t>, kas nosaka, ka mērvienības cenu var nenorādīt pārtikas precēm, kuru sagatavošanai nepieciešams pievienot sastāvdaļas, kuru cena nav uzskatām par nenozīmīgu (piemēram, pienam, krējumam, olām vai citām sastāvdaļām).</w:t>
            </w:r>
            <w:r w:rsidRPr="003D37A2">
              <w:rPr>
                <w:color w:val="000000" w:themeColor="text1"/>
                <w:sz w:val="28"/>
                <w:szCs w:val="28"/>
              </w:rPr>
              <w:t xml:space="preserve"> </w:t>
            </w:r>
          </w:p>
        </w:tc>
      </w:tr>
      <w:tr w:rsidR="002A1BA2" w:rsidRPr="003D37A2" w:rsidTr="00010A92">
        <w:trPr>
          <w:trHeight w:val="530"/>
        </w:trPr>
        <w:tc>
          <w:tcPr>
            <w:tcW w:w="485" w:type="dxa"/>
          </w:tcPr>
          <w:p w:rsidR="002A1BA2" w:rsidRPr="003D37A2" w:rsidRDefault="002A1BA2" w:rsidP="001A0A4A">
            <w:pPr>
              <w:pStyle w:val="naiskr"/>
              <w:spacing w:before="0" w:after="0"/>
              <w:rPr>
                <w:sz w:val="28"/>
                <w:szCs w:val="28"/>
              </w:rPr>
            </w:pPr>
            <w:r w:rsidRPr="003D37A2">
              <w:rPr>
                <w:sz w:val="28"/>
                <w:szCs w:val="28"/>
              </w:rPr>
              <w:lastRenderedPageBreak/>
              <w:t>3.</w:t>
            </w:r>
          </w:p>
        </w:tc>
        <w:tc>
          <w:tcPr>
            <w:tcW w:w="1505" w:type="dxa"/>
          </w:tcPr>
          <w:p w:rsidR="002A1BA2" w:rsidRPr="003D37A2" w:rsidRDefault="002A1BA2" w:rsidP="001A0A4A">
            <w:pPr>
              <w:pStyle w:val="naiskr"/>
              <w:spacing w:before="0" w:after="0"/>
              <w:rPr>
                <w:sz w:val="28"/>
                <w:szCs w:val="28"/>
              </w:rPr>
            </w:pPr>
            <w:r w:rsidRPr="003D37A2">
              <w:rPr>
                <w:sz w:val="28"/>
                <w:szCs w:val="28"/>
              </w:rPr>
              <w:t>Saistītie politikas ietekmes novērtējumi un pētījumi</w:t>
            </w:r>
          </w:p>
        </w:tc>
        <w:tc>
          <w:tcPr>
            <w:tcW w:w="7490" w:type="dxa"/>
          </w:tcPr>
          <w:p w:rsidR="002A1BA2" w:rsidRPr="003D37A2" w:rsidRDefault="002A1BA2" w:rsidP="001A0A4A">
            <w:pPr>
              <w:pStyle w:val="FootnoteText"/>
              <w:rPr>
                <w:sz w:val="28"/>
                <w:szCs w:val="28"/>
                <w:highlight w:val="yellow"/>
              </w:rPr>
            </w:pPr>
            <w:r w:rsidRPr="003D37A2">
              <w:rPr>
                <w:sz w:val="28"/>
                <w:szCs w:val="28"/>
              </w:rPr>
              <w:t>Projekts šo jomu neskar</w:t>
            </w:r>
          </w:p>
        </w:tc>
      </w:tr>
      <w:tr w:rsidR="002A1BA2" w:rsidRPr="003D37A2" w:rsidTr="00010A92">
        <w:trPr>
          <w:trHeight w:val="384"/>
        </w:trPr>
        <w:tc>
          <w:tcPr>
            <w:tcW w:w="485" w:type="dxa"/>
          </w:tcPr>
          <w:p w:rsidR="002A1BA2" w:rsidRPr="003D37A2" w:rsidRDefault="002A1BA2" w:rsidP="001A0A4A">
            <w:pPr>
              <w:pStyle w:val="naiskr"/>
              <w:spacing w:before="0" w:after="0"/>
              <w:rPr>
                <w:sz w:val="28"/>
                <w:szCs w:val="28"/>
              </w:rPr>
            </w:pPr>
            <w:r w:rsidRPr="003D37A2">
              <w:rPr>
                <w:sz w:val="28"/>
                <w:szCs w:val="28"/>
              </w:rPr>
              <w:t>4.</w:t>
            </w:r>
          </w:p>
        </w:tc>
        <w:tc>
          <w:tcPr>
            <w:tcW w:w="1505" w:type="dxa"/>
          </w:tcPr>
          <w:p w:rsidR="002A1BA2" w:rsidRPr="003D37A2" w:rsidRDefault="002A1BA2" w:rsidP="001A0A4A">
            <w:pPr>
              <w:pStyle w:val="naiskr"/>
              <w:spacing w:before="0" w:after="0"/>
              <w:rPr>
                <w:sz w:val="28"/>
                <w:szCs w:val="28"/>
              </w:rPr>
            </w:pPr>
            <w:r w:rsidRPr="003D37A2">
              <w:rPr>
                <w:sz w:val="28"/>
                <w:szCs w:val="28"/>
              </w:rPr>
              <w:t>Tiesiskā regulējuma mērķis un būtība</w:t>
            </w:r>
          </w:p>
        </w:tc>
        <w:tc>
          <w:tcPr>
            <w:tcW w:w="7490" w:type="dxa"/>
          </w:tcPr>
          <w:p w:rsidR="00465476" w:rsidRPr="003D37A2" w:rsidRDefault="00F00987" w:rsidP="00480D73">
            <w:pPr>
              <w:ind w:right="115"/>
              <w:jc w:val="both"/>
              <w:rPr>
                <w:sz w:val="28"/>
                <w:szCs w:val="28"/>
              </w:rPr>
            </w:pPr>
            <w:r w:rsidRPr="003D37A2">
              <w:rPr>
                <w:sz w:val="28"/>
                <w:szCs w:val="28"/>
              </w:rPr>
              <w:t>Noteikumu projekts izstrādāts</w:t>
            </w:r>
            <w:r w:rsidR="003A52DB" w:rsidRPr="003D37A2">
              <w:rPr>
                <w:sz w:val="28"/>
                <w:szCs w:val="28"/>
              </w:rPr>
              <w:t xml:space="preserve"> </w:t>
            </w:r>
            <w:r w:rsidR="00465476" w:rsidRPr="003D37A2">
              <w:rPr>
                <w:sz w:val="28"/>
                <w:szCs w:val="28"/>
              </w:rPr>
              <w:t>saskaņā ar:</w:t>
            </w:r>
          </w:p>
          <w:p w:rsidR="00465476" w:rsidRPr="003D37A2" w:rsidRDefault="00465476" w:rsidP="00465476">
            <w:pPr>
              <w:pStyle w:val="ListParagraph"/>
              <w:numPr>
                <w:ilvl w:val="0"/>
                <w:numId w:val="8"/>
              </w:numPr>
              <w:ind w:right="115"/>
              <w:jc w:val="both"/>
              <w:rPr>
                <w:sz w:val="28"/>
                <w:szCs w:val="28"/>
              </w:rPr>
            </w:pPr>
            <w:proofErr w:type="spellStart"/>
            <w:r w:rsidRPr="003D37A2">
              <w:rPr>
                <w:i/>
                <w:sz w:val="28"/>
                <w:szCs w:val="28"/>
              </w:rPr>
              <w:t>Euro</w:t>
            </w:r>
            <w:proofErr w:type="spellEnd"/>
            <w:r w:rsidRPr="003D37A2">
              <w:rPr>
                <w:sz w:val="28"/>
                <w:szCs w:val="28"/>
              </w:rPr>
              <w:t xml:space="preserve"> ieviešanas kārtības likuma 13.panta trešo daļu, kurā noteikts, ka </w:t>
            </w:r>
            <w:r w:rsidRPr="003D37A2">
              <w:rPr>
                <w:i/>
                <w:sz w:val="28"/>
                <w:szCs w:val="28"/>
              </w:rPr>
              <w:t>kārtību, kādā notiek preču un pakalpojumu cenu paralēlā atspoguļošana, kā arī paralēlās atspoguļošanas un konvertācijas prasību uzraudzība, nosaka Ministru kabinets</w:t>
            </w:r>
            <w:r w:rsidRPr="003D37A2">
              <w:rPr>
                <w:sz w:val="28"/>
                <w:szCs w:val="28"/>
              </w:rPr>
              <w:t xml:space="preserve">, </w:t>
            </w:r>
          </w:p>
          <w:p w:rsidR="00974BCC" w:rsidRPr="003D37A2" w:rsidRDefault="00974BCC" w:rsidP="00974BCC">
            <w:pPr>
              <w:pStyle w:val="HTMLPreformatted"/>
              <w:numPr>
                <w:ilvl w:val="0"/>
                <w:numId w:val="8"/>
              </w:numPr>
              <w:ind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Patērētāju tiesību aizsardzības likuma 17.panta trešo daļu, kas paredz Ministru kabinetam deleģējumu kārtībai, kādā norādāma pārdošanas cena un mērvienības cena precēm, kas tiek piedāvātas patērētājam, kā arī kārtību, kādā norādāmas cenas pakalpojumiem.</w:t>
            </w:r>
          </w:p>
          <w:p w:rsidR="003A52DB" w:rsidRPr="003D37A2" w:rsidRDefault="00465476" w:rsidP="00465476">
            <w:pPr>
              <w:pStyle w:val="ListParagraph"/>
              <w:numPr>
                <w:ilvl w:val="0"/>
                <w:numId w:val="8"/>
              </w:numPr>
              <w:ind w:right="115"/>
              <w:jc w:val="both"/>
              <w:rPr>
                <w:sz w:val="28"/>
                <w:szCs w:val="28"/>
              </w:rPr>
            </w:pPr>
            <w:r w:rsidRPr="003D37A2">
              <w:rPr>
                <w:color w:val="000000" w:themeColor="text1"/>
                <w:sz w:val="28"/>
                <w:szCs w:val="28"/>
              </w:rPr>
              <w:t xml:space="preserve">Eiropas Parlamenta un Padomes Direktīvas 98/6/EK (1998.gada 16.februāris) par patērētāju aizsardzību, norādot patērētājiem piedāvāto produktu cenas 5.panta pirmo daļu, kas </w:t>
            </w:r>
            <w:r w:rsidRPr="003D37A2">
              <w:rPr>
                <w:i/>
                <w:color w:val="000000" w:themeColor="text1"/>
                <w:sz w:val="28"/>
                <w:szCs w:val="28"/>
              </w:rPr>
              <w:t>ļauj dalībvalstīm atteikties no pienākuma norādīt vienības cenu produktiem, kuriem šāda norādīšana nebūtu lietderīga kon</w:t>
            </w:r>
            <w:r w:rsidR="009849F8" w:rsidRPr="003D37A2">
              <w:rPr>
                <w:i/>
                <w:color w:val="000000" w:themeColor="text1"/>
                <w:sz w:val="28"/>
                <w:szCs w:val="28"/>
              </w:rPr>
              <w:t>k</w:t>
            </w:r>
            <w:r w:rsidRPr="003D37A2">
              <w:rPr>
                <w:i/>
                <w:color w:val="000000" w:themeColor="text1"/>
                <w:sz w:val="28"/>
                <w:szCs w:val="28"/>
              </w:rPr>
              <w:t>rētā produkta veida vai izmantošanas nolūka dēļ, vai arī, ja tas varētu radīt neskaidrības</w:t>
            </w:r>
            <w:r w:rsidRPr="003D37A2">
              <w:rPr>
                <w:color w:val="000000" w:themeColor="text1"/>
                <w:sz w:val="28"/>
                <w:szCs w:val="28"/>
              </w:rPr>
              <w:t xml:space="preserve">, un 6.pantu, kas </w:t>
            </w:r>
            <w:r w:rsidRPr="003D37A2">
              <w:rPr>
                <w:i/>
                <w:color w:val="000000" w:themeColor="text1"/>
                <w:sz w:val="28"/>
                <w:szCs w:val="28"/>
              </w:rPr>
              <w:t xml:space="preserve">atļauj nenorādīt vienības </w:t>
            </w:r>
            <w:r w:rsidR="00C52985" w:rsidRPr="003D37A2">
              <w:rPr>
                <w:i/>
                <w:color w:val="000000" w:themeColor="text1"/>
                <w:sz w:val="28"/>
                <w:szCs w:val="28"/>
              </w:rPr>
              <w:t>cenu sīkiem mazumtirdzniecības uzņēmumiem, ja tas rada pārmērīgu apgrūtinājumu</w:t>
            </w:r>
            <w:r w:rsidRPr="003D37A2">
              <w:rPr>
                <w:color w:val="000000" w:themeColor="text1"/>
                <w:sz w:val="28"/>
                <w:szCs w:val="28"/>
              </w:rPr>
              <w:t>.</w:t>
            </w:r>
          </w:p>
          <w:p w:rsidR="00EE3923" w:rsidRPr="003D37A2" w:rsidRDefault="00C52985" w:rsidP="00480D73">
            <w:pPr>
              <w:ind w:right="115"/>
              <w:jc w:val="both"/>
              <w:rPr>
                <w:sz w:val="28"/>
                <w:szCs w:val="28"/>
              </w:rPr>
            </w:pPr>
            <w:r w:rsidRPr="003D37A2">
              <w:rPr>
                <w:sz w:val="28"/>
                <w:szCs w:val="28"/>
              </w:rPr>
              <w:t xml:space="preserve">Tiesiskā regulējuma mērķis ir noteikt </w:t>
            </w:r>
            <w:r w:rsidR="00CA38EA" w:rsidRPr="003D37A2">
              <w:rPr>
                <w:sz w:val="28"/>
                <w:szCs w:val="28"/>
              </w:rPr>
              <w:t>konkrēt</w:t>
            </w:r>
            <w:r w:rsidRPr="003D37A2">
              <w:rPr>
                <w:sz w:val="28"/>
                <w:szCs w:val="28"/>
              </w:rPr>
              <w:t>as</w:t>
            </w:r>
            <w:r w:rsidR="00CA38EA" w:rsidRPr="003D37A2">
              <w:rPr>
                <w:sz w:val="28"/>
                <w:szCs w:val="28"/>
              </w:rPr>
              <w:t xml:space="preserve"> prasīb</w:t>
            </w:r>
            <w:r w:rsidRPr="003D37A2">
              <w:rPr>
                <w:sz w:val="28"/>
                <w:szCs w:val="28"/>
              </w:rPr>
              <w:t>as preču un pakalpojumu</w:t>
            </w:r>
            <w:r w:rsidR="00CA38EA" w:rsidRPr="003D37A2">
              <w:rPr>
                <w:sz w:val="28"/>
                <w:szCs w:val="28"/>
              </w:rPr>
              <w:t xml:space="preserve"> cenu norādei paralēlās atspoguļošanas periodā un cenu zīmē obligāti norādāmo informāciju divās valūtās – </w:t>
            </w:r>
            <w:proofErr w:type="spellStart"/>
            <w:r w:rsidR="00CA38EA" w:rsidRPr="003D37A2">
              <w:rPr>
                <w:i/>
                <w:sz w:val="28"/>
                <w:szCs w:val="28"/>
              </w:rPr>
              <w:t>euro</w:t>
            </w:r>
            <w:proofErr w:type="spellEnd"/>
            <w:r w:rsidR="00CA38EA" w:rsidRPr="003D37A2">
              <w:rPr>
                <w:sz w:val="28"/>
                <w:szCs w:val="28"/>
              </w:rPr>
              <w:t xml:space="preserve"> un latos</w:t>
            </w:r>
            <w:r w:rsidR="007C1BD8" w:rsidRPr="003D37A2">
              <w:rPr>
                <w:sz w:val="28"/>
                <w:szCs w:val="28"/>
              </w:rPr>
              <w:t xml:space="preserve">. </w:t>
            </w:r>
          </w:p>
          <w:p w:rsidR="000E75FE" w:rsidRPr="003D37A2" w:rsidRDefault="009C55D4" w:rsidP="000E75FE">
            <w:pPr>
              <w:ind w:right="115"/>
              <w:jc w:val="both"/>
              <w:rPr>
                <w:sz w:val="28"/>
                <w:szCs w:val="28"/>
              </w:rPr>
            </w:pPr>
            <w:r w:rsidRPr="003D37A2">
              <w:rPr>
                <w:color w:val="000000" w:themeColor="text1"/>
                <w:sz w:val="28"/>
                <w:szCs w:val="28"/>
              </w:rPr>
              <w:t xml:space="preserve">Noteikumu projekts </w:t>
            </w:r>
            <w:r w:rsidR="00C52985" w:rsidRPr="003D37A2">
              <w:rPr>
                <w:color w:val="000000" w:themeColor="text1"/>
                <w:sz w:val="28"/>
                <w:szCs w:val="28"/>
              </w:rPr>
              <w:t xml:space="preserve">nosaka </w:t>
            </w:r>
            <w:r w:rsidR="000E75FE" w:rsidRPr="003D37A2">
              <w:rPr>
                <w:sz w:val="28"/>
                <w:szCs w:val="28"/>
              </w:rPr>
              <w:t>sekojošus izņēmumus cenu norādīšanas kārtībai divās valūtās:</w:t>
            </w:r>
          </w:p>
          <w:p w:rsidR="000E75FE" w:rsidRPr="003D37A2" w:rsidRDefault="000E75FE" w:rsidP="000E75FE">
            <w:pPr>
              <w:pStyle w:val="HTMLPreformatted"/>
              <w:numPr>
                <w:ilvl w:val="0"/>
                <w:numId w:val="8"/>
              </w:numPr>
              <w:ind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mērvienības cenu norādīšanas kārtībai mazās tirdzniecības vietās, kurās nav iespējams nodrošināt noteiktas mērvienības cenas norādīšanu patērētājam viegli identificējamā un skaidri salasāmā veidā,</w:t>
            </w:r>
          </w:p>
          <w:p w:rsidR="000E75FE" w:rsidRPr="003D37A2" w:rsidRDefault="000E75FE" w:rsidP="000E75FE">
            <w:pPr>
              <w:pStyle w:val="HTMLPreformatted"/>
              <w:numPr>
                <w:ilvl w:val="0"/>
                <w:numId w:val="8"/>
              </w:numPr>
              <w:ind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lastRenderedPageBreak/>
              <w:t xml:space="preserve">cenu norādīšanas kārtībai elektroniskajos displejos, kas tehnisku iemeslu dēļ nepieļauj norādīt cenu divās valūtās, </w:t>
            </w:r>
          </w:p>
          <w:p w:rsidR="000E75FE" w:rsidRPr="003D37A2" w:rsidRDefault="000E75FE" w:rsidP="000E75FE">
            <w:pPr>
              <w:pStyle w:val="HTMLPreformatted"/>
              <w:numPr>
                <w:ilvl w:val="0"/>
                <w:numId w:val="8"/>
              </w:numPr>
              <w:ind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cenu norādīšanas kārtībai skaitļu izložu kuponiem, momentloterijām un skaitļu izložu kvītīm, kas drukātas līdz 2013.gada decembrim, un</w:t>
            </w:r>
          </w:p>
          <w:p w:rsidR="000E75FE" w:rsidRPr="003D37A2" w:rsidRDefault="000E75FE" w:rsidP="000E75FE">
            <w:pPr>
              <w:pStyle w:val="HTMLPreformatted"/>
              <w:numPr>
                <w:ilvl w:val="0"/>
                <w:numId w:val="8"/>
              </w:numPr>
              <w:ind w:right="119"/>
              <w:jc w:val="both"/>
              <w:rPr>
                <w:rFonts w:ascii="Times New Roman" w:hAnsi="Times New Roman" w:cs="Times New Roman"/>
                <w:color w:val="000000" w:themeColor="text1"/>
                <w:sz w:val="28"/>
                <w:szCs w:val="28"/>
              </w:rPr>
            </w:pPr>
            <w:r w:rsidRPr="003D37A2">
              <w:rPr>
                <w:rFonts w:ascii="Times New Roman" w:hAnsi="Times New Roman" w:cs="Times New Roman"/>
                <w:color w:val="000000" w:themeColor="text1"/>
                <w:sz w:val="28"/>
                <w:szCs w:val="28"/>
              </w:rPr>
              <w:t xml:space="preserve">cenu norādīšanas kārtībai elektroniskajā vidē, cenas norāda divās valūtās, piedāvājot izmantot valūtas konvertācijas kalkulatoru. </w:t>
            </w:r>
          </w:p>
          <w:p w:rsidR="000E75FE" w:rsidRPr="003D37A2" w:rsidRDefault="000E75FE" w:rsidP="000E75FE">
            <w:pPr>
              <w:ind w:right="115"/>
              <w:jc w:val="both"/>
              <w:rPr>
                <w:color w:val="000000" w:themeColor="text1"/>
                <w:sz w:val="28"/>
                <w:szCs w:val="28"/>
              </w:rPr>
            </w:pPr>
            <w:r w:rsidRPr="003D37A2">
              <w:rPr>
                <w:color w:val="000000" w:themeColor="text1"/>
                <w:sz w:val="28"/>
                <w:szCs w:val="28"/>
              </w:rPr>
              <w:t>Tāpat Noteikumu projekts papildināts ar atsevišķiem izņēmumiem mērvienības cenu norādīšanas kārtībai precēm, kurai cenu norādīšana divās valūtās nav lietderīga vai tā varētu radīt pārpratumu.</w:t>
            </w:r>
          </w:p>
          <w:p w:rsidR="009C55D4" w:rsidRPr="003D37A2" w:rsidRDefault="009C55D4" w:rsidP="00480D73">
            <w:pPr>
              <w:ind w:right="115"/>
              <w:jc w:val="both"/>
              <w:rPr>
                <w:color w:val="000000" w:themeColor="text1"/>
                <w:sz w:val="28"/>
                <w:szCs w:val="28"/>
              </w:rPr>
            </w:pPr>
            <w:r w:rsidRPr="003D37A2">
              <w:rPr>
                <w:color w:val="000000" w:themeColor="text1"/>
                <w:sz w:val="28"/>
                <w:szCs w:val="28"/>
              </w:rPr>
              <w:t>Papildus Noteikumu projekts izslēdz Noteikumu 16.punktu, kas praksē nebija pielietojama un lietderīga tiesību norma, savukārt  Noteikumu 17.punktā minētais ir atrunāts kā izņēmums Noteikumu projekta 12.3.apakšpunktā.</w:t>
            </w:r>
          </w:p>
          <w:p w:rsidR="00D80BE5" w:rsidRPr="003D37A2" w:rsidRDefault="00D80BE5" w:rsidP="00D80BE5">
            <w:pPr>
              <w:pStyle w:val="NormalWeb"/>
              <w:spacing w:before="0" w:beforeAutospacing="0" w:after="0" w:afterAutospacing="0"/>
              <w:ind w:firstLine="176"/>
              <w:jc w:val="both"/>
              <w:rPr>
                <w:iCs/>
                <w:sz w:val="28"/>
                <w:szCs w:val="28"/>
              </w:rPr>
            </w:pPr>
            <w:r w:rsidRPr="003D37A2">
              <w:rPr>
                <w:iCs/>
                <w:sz w:val="28"/>
                <w:szCs w:val="28"/>
              </w:rPr>
              <w:t xml:space="preserve">Saskaņā ar </w:t>
            </w:r>
            <w:proofErr w:type="spellStart"/>
            <w:r w:rsidRPr="003D37A2">
              <w:rPr>
                <w:i/>
                <w:iCs/>
                <w:sz w:val="28"/>
                <w:szCs w:val="28"/>
              </w:rPr>
              <w:t>Euro</w:t>
            </w:r>
            <w:proofErr w:type="spellEnd"/>
            <w:r w:rsidRPr="003D37A2">
              <w:rPr>
                <w:iCs/>
                <w:sz w:val="28"/>
                <w:szCs w:val="28"/>
              </w:rPr>
              <w:t xml:space="preserve"> ieviešanas kārtības likuma 13.panta pirmo daļu preču un pakalpojumu cenu paralēlās atspoguļošanas periods sākas trīs mēnešus pirms </w:t>
            </w:r>
            <w:proofErr w:type="spellStart"/>
            <w:r w:rsidRPr="003D37A2">
              <w:rPr>
                <w:i/>
                <w:iCs/>
                <w:sz w:val="28"/>
                <w:szCs w:val="28"/>
              </w:rPr>
              <w:t>euro</w:t>
            </w:r>
            <w:proofErr w:type="spellEnd"/>
            <w:r w:rsidRPr="003D37A2">
              <w:rPr>
                <w:iCs/>
                <w:sz w:val="28"/>
                <w:szCs w:val="28"/>
              </w:rPr>
              <w:t xml:space="preserve"> ieviešanas dienas, bet ne agrāk par dienu, kad Eiropas Savienības Padome noteikumi maiņas kursu, un ilgst sešus mēnešus pēc </w:t>
            </w:r>
            <w:proofErr w:type="spellStart"/>
            <w:r w:rsidRPr="003D37A2">
              <w:rPr>
                <w:i/>
                <w:iCs/>
                <w:sz w:val="28"/>
                <w:szCs w:val="28"/>
              </w:rPr>
              <w:t>euro</w:t>
            </w:r>
            <w:proofErr w:type="spellEnd"/>
            <w:r w:rsidRPr="003D37A2">
              <w:rPr>
                <w:iCs/>
                <w:sz w:val="28"/>
                <w:szCs w:val="28"/>
              </w:rPr>
              <w:t xml:space="preserve"> ieviešanas dienas.</w:t>
            </w:r>
          </w:p>
          <w:p w:rsidR="00D80BE5" w:rsidRPr="003D37A2" w:rsidRDefault="00D80BE5" w:rsidP="00D80BE5">
            <w:pPr>
              <w:ind w:right="115"/>
              <w:jc w:val="both"/>
              <w:rPr>
                <w:color w:val="000000" w:themeColor="text1"/>
                <w:sz w:val="28"/>
                <w:szCs w:val="28"/>
              </w:rPr>
            </w:pPr>
            <w:r w:rsidRPr="003D37A2">
              <w:rPr>
                <w:iCs/>
                <w:sz w:val="28"/>
                <w:szCs w:val="28"/>
              </w:rPr>
              <w:t xml:space="preserve">Ievērojot to, ka </w:t>
            </w:r>
            <w:proofErr w:type="spellStart"/>
            <w:r w:rsidRPr="003D37A2">
              <w:rPr>
                <w:i/>
                <w:iCs/>
                <w:sz w:val="28"/>
                <w:szCs w:val="28"/>
              </w:rPr>
              <w:t>euro</w:t>
            </w:r>
            <w:proofErr w:type="spellEnd"/>
            <w:r w:rsidRPr="003D37A2">
              <w:rPr>
                <w:iCs/>
                <w:sz w:val="28"/>
                <w:szCs w:val="28"/>
              </w:rPr>
              <w:t xml:space="preserve"> ieviešanas diena ir paredzēta 2014.gada 1.janvārī, grozījumiem ir jāstājas spēkā trīs mēnešus iepriekš, </w:t>
            </w:r>
            <w:proofErr w:type="spellStart"/>
            <w:r w:rsidRPr="003D37A2">
              <w:rPr>
                <w:iCs/>
                <w:sz w:val="28"/>
                <w:szCs w:val="28"/>
              </w:rPr>
              <w:t>t.i</w:t>
            </w:r>
            <w:proofErr w:type="spellEnd"/>
            <w:r w:rsidRPr="003D37A2">
              <w:rPr>
                <w:iCs/>
                <w:sz w:val="28"/>
                <w:szCs w:val="28"/>
              </w:rPr>
              <w:t>., 2013.gada 1.oktobrī</w:t>
            </w:r>
          </w:p>
          <w:p w:rsidR="007970C0" w:rsidRPr="003D37A2" w:rsidRDefault="007970C0" w:rsidP="007970C0">
            <w:pPr>
              <w:ind w:right="115"/>
              <w:jc w:val="both"/>
              <w:rPr>
                <w:sz w:val="28"/>
                <w:szCs w:val="28"/>
              </w:rPr>
            </w:pPr>
            <w:r w:rsidRPr="003D37A2">
              <w:rPr>
                <w:color w:val="000000" w:themeColor="text1"/>
                <w:sz w:val="28"/>
                <w:szCs w:val="28"/>
              </w:rPr>
              <w:t xml:space="preserve">Ar sagatavoto Noteikumu projektu pilnībā tiks ieviests </w:t>
            </w:r>
            <w:proofErr w:type="spellStart"/>
            <w:r w:rsidRPr="003D37A2">
              <w:rPr>
                <w:color w:val="000000" w:themeColor="text1"/>
                <w:sz w:val="28"/>
                <w:szCs w:val="28"/>
              </w:rPr>
              <w:t>Euro</w:t>
            </w:r>
            <w:proofErr w:type="spellEnd"/>
            <w:r w:rsidRPr="003D37A2">
              <w:rPr>
                <w:color w:val="000000" w:themeColor="text1"/>
                <w:sz w:val="28"/>
                <w:szCs w:val="28"/>
              </w:rPr>
              <w:t xml:space="preserve"> ieviešanas kārtības likuma 13.panta trešā daļa.</w:t>
            </w:r>
          </w:p>
        </w:tc>
      </w:tr>
      <w:tr w:rsidR="002A1BA2" w:rsidRPr="003D37A2" w:rsidTr="00010A92">
        <w:trPr>
          <w:trHeight w:val="476"/>
        </w:trPr>
        <w:tc>
          <w:tcPr>
            <w:tcW w:w="485" w:type="dxa"/>
          </w:tcPr>
          <w:p w:rsidR="002A1BA2" w:rsidRPr="003D37A2" w:rsidRDefault="002A1BA2" w:rsidP="001A0A4A">
            <w:pPr>
              <w:pStyle w:val="naiskr"/>
              <w:spacing w:before="0" w:after="0"/>
              <w:rPr>
                <w:sz w:val="28"/>
                <w:szCs w:val="28"/>
              </w:rPr>
            </w:pPr>
            <w:r w:rsidRPr="003D37A2">
              <w:rPr>
                <w:sz w:val="28"/>
                <w:szCs w:val="28"/>
              </w:rPr>
              <w:lastRenderedPageBreak/>
              <w:t>5.</w:t>
            </w:r>
          </w:p>
        </w:tc>
        <w:tc>
          <w:tcPr>
            <w:tcW w:w="1505" w:type="dxa"/>
          </w:tcPr>
          <w:p w:rsidR="002A1BA2" w:rsidRPr="003D37A2" w:rsidRDefault="002A1BA2" w:rsidP="001A0A4A">
            <w:pPr>
              <w:pStyle w:val="naiskr"/>
              <w:spacing w:before="0" w:after="0"/>
              <w:rPr>
                <w:sz w:val="28"/>
                <w:szCs w:val="28"/>
              </w:rPr>
            </w:pPr>
            <w:r w:rsidRPr="003D37A2">
              <w:rPr>
                <w:sz w:val="28"/>
                <w:szCs w:val="28"/>
              </w:rPr>
              <w:t>Projekta izstrādē iesaistītās institūcijas</w:t>
            </w:r>
          </w:p>
        </w:tc>
        <w:tc>
          <w:tcPr>
            <w:tcW w:w="7490" w:type="dxa"/>
          </w:tcPr>
          <w:p w:rsidR="001B5D4B" w:rsidRPr="003D37A2" w:rsidRDefault="006D5BCC" w:rsidP="00AC6772">
            <w:pPr>
              <w:pStyle w:val="naiskr"/>
              <w:spacing w:before="0" w:after="0"/>
              <w:ind w:left="70" w:right="115"/>
              <w:jc w:val="both"/>
              <w:rPr>
                <w:sz w:val="28"/>
                <w:szCs w:val="28"/>
              </w:rPr>
            </w:pPr>
            <w:r w:rsidRPr="003D37A2">
              <w:rPr>
                <w:sz w:val="28"/>
                <w:szCs w:val="28"/>
              </w:rPr>
              <w:t>Saskaņā ar Ekonomikas ministrijas 2012.gada 19.decembra  rīkojumu Nr.223 „Par darba grupas „</w:t>
            </w:r>
            <w:proofErr w:type="spellStart"/>
            <w:r w:rsidRPr="003D37A2">
              <w:rPr>
                <w:sz w:val="28"/>
                <w:szCs w:val="28"/>
              </w:rPr>
              <w:t>Nefinanšu</w:t>
            </w:r>
            <w:proofErr w:type="spellEnd"/>
            <w:r w:rsidRPr="003D37A2">
              <w:rPr>
                <w:sz w:val="28"/>
                <w:szCs w:val="28"/>
              </w:rPr>
              <w:t xml:space="preserve"> uzņēmumu un patērētāji” izveidi”</w:t>
            </w:r>
            <w:r w:rsidR="007970C0" w:rsidRPr="003D37A2">
              <w:rPr>
                <w:sz w:val="28"/>
                <w:szCs w:val="28"/>
              </w:rPr>
              <w:t xml:space="preserve"> (formāla darba grupa)</w:t>
            </w:r>
            <w:r w:rsidRPr="003D37A2">
              <w:rPr>
                <w:sz w:val="28"/>
                <w:szCs w:val="28"/>
              </w:rPr>
              <w:t>, n</w:t>
            </w:r>
            <w:r w:rsidR="00614D98" w:rsidRPr="003D37A2">
              <w:rPr>
                <w:sz w:val="28"/>
                <w:szCs w:val="28"/>
              </w:rPr>
              <w:t xml:space="preserve">oteikumu projekts nosūtīts </w:t>
            </w:r>
            <w:r w:rsidRPr="003D37A2">
              <w:rPr>
                <w:sz w:val="28"/>
                <w:szCs w:val="28"/>
              </w:rPr>
              <w:t xml:space="preserve">apspriešanai </w:t>
            </w:r>
            <w:r w:rsidR="00CF3DC1" w:rsidRPr="003D37A2">
              <w:rPr>
                <w:sz w:val="28"/>
                <w:szCs w:val="28"/>
              </w:rPr>
              <w:t>Finanšu ministrija</w:t>
            </w:r>
            <w:r w:rsidRPr="003D37A2">
              <w:rPr>
                <w:sz w:val="28"/>
                <w:szCs w:val="28"/>
              </w:rPr>
              <w:t>i</w:t>
            </w:r>
            <w:r w:rsidR="00CF3DC1" w:rsidRPr="003D37A2">
              <w:rPr>
                <w:sz w:val="28"/>
                <w:szCs w:val="28"/>
              </w:rPr>
              <w:t>, Patērētāju tiesību aizsardzības centr</w:t>
            </w:r>
            <w:r w:rsidRPr="003D37A2">
              <w:rPr>
                <w:sz w:val="28"/>
                <w:szCs w:val="28"/>
              </w:rPr>
              <w:t>am</w:t>
            </w:r>
            <w:r w:rsidR="00CF3DC1" w:rsidRPr="003D37A2">
              <w:rPr>
                <w:sz w:val="28"/>
                <w:szCs w:val="28"/>
              </w:rPr>
              <w:t>, Latvijas investīciju un attīstības aģentūr</w:t>
            </w:r>
            <w:r w:rsidRPr="003D37A2">
              <w:rPr>
                <w:sz w:val="28"/>
                <w:szCs w:val="28"/>
              </w:rPr>
              <w:t>ai</w:t>
            </w:r>
            <w:r w:rsidR="00CF3DC1" w:rsidRPr="003D37A2">
              <w:rPr>
                <w:sz w:val="28"/>
                <w:szCs w:val="28"/>
              </w:rPr>
              <w:t>, Vides aizsardzības un reģionālās attīstības ministrija</w:t>
            </w:r>
            <w:r w:rsidRPr="003D37A2">
              <w:rPr>
                <w:sz w:val="28"/>
                <w:szCs w:val="28"/>
              </w:rPr>
              <w:t>i</w:t>
            </w:r>
            <w:r w:rsidR="00CF3DC1" w:rsidRPr="003D37A2">
              <w:rPr>
                <w:sz w:val="28"/>
                <w:szCs w:val="28"/>
              </w:rPr>
              <w:t>, Latvijas Darba devēju konfederācija</w:t>
            </w:r>
            <w:r w:rsidRPr="003D37A2">
              <w:rPr>
                <w:sz w:val="28"/>
                <w:szCs w:val="28"/>
              </w:rPr>
              <w:t>i</w:t>
            </w:r>
            <w:r w:rsidR="00CF3DC1" w:rsidRPr="003D37A2">
              <w:rPr>
                <w:sz w:val="28"/>
                <w:szCs w:val="28"/>
              </w:rPr>
              <w:t xml:space="preserve">, </w:t>
            </w:r>
            <w:r w:rsidR="00614D98" w:rsidRPr="003D37A2">
              <w:rPr>
                <w:sz w:val="28"/>
                <w:szCs w:val="28"/>
              </w:rPr>
              <w:t xml:space="preserve"> Latvijas </w:t>
            </w:r>
            <w:r w:rsidR="00CF3DC1" w:rsidRPr="003D37A2">
              <w:rPr>
                <w:sz w:val="28"/>
                <w:szCs w:val="28"/>
              </w:rPr>
              <w:t>T</w:t>
            </w:r>
            <w:r w:rsidR="00614D98" w:rsidRPr="003D37A2">
              <w:rPr>
                <w:sz w:val="28"/>
                <w:szCs w:val="28"/>
              </w:rPr>
              <w:t>irdzniecības un rūpniecības kamera</w:t>
            </w:r>
            <w:r w:rsidRPr="003D37A2">
              <w:rPr>
                <w:sz w:val="28"/>
                <w:szCs w:val="28"/>
              </w:rPr>
              <w:t>i</w:t>
            </w:r>
            <w:r w:rsidR="00614D98" w:rsidRPr="003D37A2">
              <w:rPr>
                <w:sz w:val="28"/>
                <w:szCs w:val="28"/>
              </w:rPr>
              <w:t>, Patērētāju interešu aizstāvības klub</w:t>
            </w:r>
            <w:r w:rsidRPr="003D37A2">
              <w:rPr>
                <w:sz w:val="28"/>
                <w:szCs w:val="28"/>
              </w:rPr>
              <w:t>am</w:t>
            </w:r>
            <w:r w:rsidR="00614D98" w:rsidRPr="003D37A2">
              <w:rPr>
                <w:sz w:val="28"/>
                <w:szCs w:val="28"/>
              </w:rPr>
              <w:t>, Patērētāju interešu aizst</w:t>
            </w:r>
            <w:r w:rsidR="00480D73" w:rsidRPr="003D37A2">
              <w:rPr>
                <w:sz w:val="28"/>
                <w:szCs w:val="28"/>
              </w:rPr>
              <w:t>ā</w:t>
            </w:r>
            <w:r w:rsidR="00614D98" w:rsidRPr="003D37A2">
              <w:rPr>
                <w:sz w:val="28"/>
                <w:szCs w:val="28"/>
              </w:rPr>
              <w:t>vības asociācija, Latvijas Tirgotāju asociācija</w:t>
            </w:r>
            <w:r w:rsidRPr="003D37A2">
              <w:rPr>
                <w:sz w:val="28"/>
                <w:szCs w:val="28"/>
              </w:rPr>
              <w:t>i</w:t>
            </w:r>
            <w:r w:rsidR="00CF3DC1" w:rsidRPr="003D37A2">
              <w:rPr>
                <w:sz w:val="28"/>
                <w:szCs w:val="28"/>
              </w:rPr>
              <w:t>,</w:t>
            </w:r>
            <w:r w:rsidR="00614D98" w:rsidRPr="003D37A2">
              <w:rPr>
                <w:sz w:val="28"/>
                <w:szCs w:val="28"/>
              </w:rPr>
              <w:t xml:space="preserve"> Latvijas Pārtikas tirgotāju asociācija</w:t>
            </w:r>
            <w:r w:rsidRPr="003D37A2">
              <w:rPr>
                <w:sz w:val="28"/>
                <w:szCs w:val="28"/>
              </w:rPr>
              <w:t>i un</w:t>
            </w:r>
            <w:r w:rsidR="00CF3DC1" w:rsidRPr="003D37A2">
              <w:rPr>
                <w:sz w:val="28"/>
                <w:szCs w:val="28"/>
              </w:rPr>
              <w:t xml:space="preserve"> Latvijas Degvielas tirgotāju asociācija</w:t>
            </w:r>
            <w:r w:rsidRPr="003D37A2">
              <w:rPr>
                <w:sz w:val="28"/>
                <w:szCs w:val="28"/>
              </w:rPr>
              <w:t>i</w:t>
            </w:r>
            <w:r w:rsidR="00473D4E" w:rsidRPr="003D37A2">
              <w:rPr>
                <w:sz w:val="28"/>
                <w:szCs w:val="28"/>
              </w:rPr>
              <w:t>.</w:t>
            </w:r>
            <w:r w:rsidRPr="003D37A2">
              <w:rPr>
                <w:sz w:val="28"/>
                <w:szCs w:val="28"/>
              </w:rPr>
              <w:t xml:space="preserve"> </w:t>
            </w:r>
            <w:r w:rsidR="00DA20A0" w:rsidRPr="003D37A2">
              <w:rPr>
                <w:sz w:val="28"/>
                <w:szCs w:val="28"/>
              </w:rPr>
              <w:t xml:space="preserve"> Noteikumu projekts nosūtīts saskaņošanai</w:t>
            </w:r>
            <w:r w:rsidR="00473D4E" w:rsidRPr="003D37A2">
              <w:rPr>
                <w:sz w:val="28"/>
                <w:szCs w:val="28"/>
              </w:rPr>
              <w:t xml:space="preserve"> minētajai darba grupai, kā arī 2012.gada 22.novembrī ar darba grupas locekļiem tika pārrunāti priekšlikumi grozījumiem Noteikumos. </w:t>
            </w:r>
            <w:r w:rsidRPr="003D37A2">
              <w:rPr>
                <w:sz w:val="28"/>
                <w:szCs w:val="28"/>
              </w:rPr>
              <w:t xml:space="preserve"> Minētās iestādes un organizācijas kopumā atbalsta MK noteikumu projektu.</w:t>
            </w:r>
          </w:p>
        </w:tc>
      </w:tr>
      <w:tr w:rsidR="002A1BA2" w:rsidRPr="003D37A2" w:rsidTr="00010A92">
        <w:trPr>
          <w:trHeight w:val="527"/>
        </w:trPr>
        <w:tc>
          <w:tcPr>
            <w:tcW w:w="485" w:type="dxa"/>
          </w:tcPr>
          <w:p w:rsidR="002A1BA2" w:rsidRPr="003D37A2" w:rsidRDefault="002A1BA2" w:rsidP="001A0A4A">
            <w:pPr>
              <w:pStyle w:val="naiskr"/>
              <w:spacing w:before="0" w:after="0"/>
              <w:rPr>
                <w:sz w:val="28"/>
                <w:szCs w:val="28"/>
              </w:rPr>
            </w:pPr>
            <w:r w:rsidRPr="003D37A2">
              <w:rPr>
                <w:sz w:val="28"/>
                <w:szCs w:val="28"/>
              </w:rPr>
              <w:t>6.</w:t>
            </w:r>
          </w:p>
        </w:tc>
        <w:tc>
          <w:tcPr>
            <w:tcW w:w="1505" w:type="dxa"/>
          </w:tcPr>
          <w:p w:rsidR="002A1BA2" w:rsidRPr="003D37A2" w:rsidRDefault="002A1BA2" w:rsidP="001A0A4A">
            <w:pPr>
              <w:pStyle w:val="naiskr"/>
              <w:spacing w:before="0" w:after="0"/>
              <w:rPr>
                <w:i/>
                <w:sz w:val="28"/>
                <w:szCs w:val="28"/>
                <w:highlight w:val="yellow"/>
              </w:rPr>
            </w:pPr>
            <w:r w:rsidRPr="003D37A2">
              <w:rPr>
                <w:sz w:val="28"/>
                <w:szCs w:val="28"/>
              </w:rPr>
              <w:t xml:space="preserve">Iemesli, kādēļ netika </w:t>
            </w:r>
            <w:r w:rsidRPr="003D37A2">
              <w:rPr>
                <w:sz w:val="28"/>
                <w:szCs w:val="28"/>
              </w:rPr>
              <w:lastRenderedPageBreak/>
              <w:t>nodrošināta sabiedrības līdzdalība</w:t>
            </w:r>
          </w:p>
        </w:tc>
        <w:tc>
          <w:tcPr>
            <w:tcW w:w="7490" w:type="dxa"/>
          </w:tcPr>
          <w:p w:rsidR="002A1BA2" w:rsidRPr="003D37A2" w:rsidRDefault="00F00987" w:rsidP="001A0A4A">
            <w:pPr>
              <w:pStyle w:val="FootnoteText"/>
              <w:ind w:left="70" w:right="115"/>
              <w:jc w:val="both"/>
              <w:rPr>
                <w:sz w:val="28"/>
                <w:szCs w:val="28"/>
              </w:rPr>
            </w:pPr>
            <w:r w:rsidRPr="003D37A2">
              <w:rPr>
                <w:sz w:val="28"/>
                <w:szCs w:val="28"/>
              </w:rPr>
              <w:lastRenderedPageBreak/>
              <w:t>Projekts šo jomu neskar</w:t>
            </w:r>
          </w:p>
        </w:tc>
      </w:tr>
      <w:tr w:rsidR="002A1BA2" w:rsidRPr="003D37A2" w:rsidTr="00010A92">
        <w:tc>
          <w:tcPr>
            <w:tcW w:w="485" w:type="dxa"/>
          </w:tcPr>
          <w:p w:rsidR="002A1BA2" w:rsidRPr="003D37A2" w:rsidRDefault="002A1BA2" w:rsidP="001A0A4A">
            <w:pPr>
              <w:pStyle w:val="naiskr"/>
              <w:spacing w:before="0" w:after="0"/>
              <w:rPr>
                <w:sz w:val="28"/>
                <w:szCs w:val="28"/>
              </w:rPr>
            </w:pPr>
            <w:r w:rsidRPr="003D37A2">
              <w:rPr>
                <w:sz w:val="28"/>
                <w:szCs w:val="28"/>
              </w:rPr>
              <w:lastRenderedPageBreak/>
              <w:t>7.</w:t>
            </w:r>
          </w:p>
        </w:tc>
        <w:tc>
          <w:tcPr>
            <w:tcW w:w="1505" w:type="dxa"/>
          </w:tcPr>
          <w:p w:rsidR="002A1BA2" w:rsidRPr="003D37A2" w:rsidRDefault="002A1BA2" w:rsidP="001A0A4A">
            <w:pPr>
              <w:pStyle w:val="naiskr"/>
              <w:spacing w:before="0" w:after="0"/>
              <w:rPr>
                <w:sz w:val="28"/>
                <w:szCs w:val="28"/>
              </w:rPr>
            </w:pPr>
            <w:r w:rsidRPr="003D37A2">
              <w:rPr>
                <w:sz w:val="28"/>
                <w:szCs w:val="28"/>
              </w:rPr>
              <w:t>Cita informācija</w:t>
            </w:r>
          </w:p>
        </w:tc>
        <w:tc>
          <w:tcPr>
            <w:tcW w:w="7490" w:type="dxa"/>
          </w:tcPr>
          <w:p w:rsidR="002A1BA2" w:rsidRPr="003D37A2" w:rsidRDefault="00577575" w:rsidP="00BB7477">
            <w:pPr>
              <w:pStyle w:val="naiskr"/>
              <w:spacing w:before="0" w:after="0"/>
              <w:ind w:right="115"/>
              <w:rPr>
                <w:sz w:val="28"/>
                <w:szCs w:val="28"/>
                <w:highlight w:val="yellow"/>
              </w:rPr>
            </w:pPr>
            <w:r w:rsidRPr="003D37A2">
              <w:rPr>
                <w:sz w:val="28"/>
                <w:szCs w:val="28"/>
              </w:rPr>
              <w:t>Nav</w:t>
            </w:r>
          </w:p>
        </w:tc>
      </w:tr>
    </w:tbl>
    <w:p w:rsidR="002A1BA2" w:rsidRDefault="002A1BA2" w:rsidP="002A1BA2">
      <w:pPr>
        <w:spacing w:line="270" w:lineRule="atLeast"/>
        <w:rPr>
          <w:rStyle w:val="apple-style-span"/>
          <w:sz w:val="28"/>
          <w:szCs w:val="28"/>
        </w:rPr>
      </w:pPr>
    </w:p>
    <w:p w:rsidR="001B5D4B" w:rsidRPr="00D92592" w:rsidRDefault="001B5D4B" w:rsidP="002A1BA2">
      <w:pPr>
        <w:spacing w:line="270" w:lineRule="atLeast"/>
        <w:rPr>
          <w:rStyle w:val="apple-style-span"/>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4"/>
        <w:gridCol w:w="2678"/>
        <w:gridCol w:w="6236"/>
      </w:tblGrid>
      <w:tr w:rsidR="002A1BA2" w:rsidRPr="009F71D9" w:rsidTr="001A0A4A">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2A1BA2" w:rsidRPr="009F71D9" w:rsidRDefault="002A1BA2" w:rsidP="001A0A4A">
            <w:pPr>
              <w:pStyle w:val="NormalWeb"/>
              <w:spacing w:before="0" w:beforeAutospacing="0" w:after="0" w:afterAutospacing="0"/>
              <w:jc w:val="center"/>
              <w:rPr>
                <w:b/>
                <w:bCs/>
                <w:sz w:val="27"/>
                <w:szCs w:val="27"/>
              </w:rPr>
            </w:pPr>
            <w:r w:rsidRPr="009F71D9">
              <w:rPr>
                <w:b/>
                <w:bCs/>
                <w:sz w:val="27"/>
                <w:szCs w:val="27"/>
              </w:rPr>
              <w:t>II. Tiesību akta projekta ietekme uz sabiedrību</w:t>
            </w:r>
          </w:p>
        </w:tc>
      </w:tr>
      <w:tr w:rsidR="002A1BA2" w:rsidRPr="009F71D9" w:rsidTr="000B1B99">
        <w:tc>
          <w:tcPr>
            <w:tcW w:w="307"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1.</w:t>
            </w:r>
          </w:p>
        </w:tc>
        <w:tc>
          <w:tcPr>
            <w:tcW w:w="1410"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 xml:space="preserve">Sabiedrības </w:t>
            </w:r>
            <w:proofErr w:type="spellStart"/>
            <w:r w:rsidRPr="009F71D9">
              <w:rPr>
                <w:sz w:val="27"/>
                <w:szCs w:val="27"/>
              </w:rPr>
              <w:t>mērķgrupa</w:t>
            </w:r>
            <w:proofErr w:type="spellEnd"/>
          </w:p>
        </w:tc>
        <w:tc>
          <w:tcPr>
            <w:tcW w:w="3283" w:type="pct"/>
            <w:tcBorders>
              <w:top w:val="outset" w:sz="6" w:space="0" w:color="000000"/>
              <w:left w:val="outset" w:sz="6" w:space="0" w:color="000000"/>
              <w:bottom w:val="outset" w:sz="6" w:space="0" w:color="000000"/>
              <w:right w:val="outset" w:sz="6" w:space="0" w:color="000000"/>
            </w:tcBorders>
          </w:tcPr>
          <w:p w:rsidR="00F2499A" w:rsidRPr="009F71D9" w:rsidRDefault="00E4426C" w:rsidP="00F2499A">
            <w:pPr>
              <w:pStyle w:val="NormalWeb"/>
              <w:spacing w:before="0" w:beforeAutospacing="0" w:after="0" w:afterAutospacing="0"/>
              <w:ind w:right="86"/>
              <w:jc w:val="both"/>
              <w:rPr>
                <w:sz w:val="27"/>
                <w:szCs w:val="27"/>
              </w:rPr>
            </w:pPr>
            <w:r w:rsidRPr="009F71D9">
              <w:rPr>
                <w:sz w:val="27"/>
                <w:szCs w:val="27"/>
              </w:rPr>
              <w:t>Patērētāji, kas pērk preci vai saņem pakalpojumu</w:t>
            </w:r>
            <w:r w:rsidR="00113BF6" w:rsidRPr="009F71D9">
              <w:rPr>
                <w:sz w:val="27"/>
                <w:szCs w:val="27"/>
              </w:rPr>
              <w:t xml:space="preserve"> cenu paralēlās atspoguļošanas periodā</w:t>
            </w:r>
            <w:r w:rsidR="002A1BA2" w:rsidRPr="009F71D9">
              <w:rPr>
                <w:sz w:val="27"/>
                <w:szCs w:val="27"/>
              </w:rPr>
              <w:t xml:space="preserve">. </w:t>
            </w:r>
          </w:p>
          <w:p w:rsidR="002A1BA2" w:rsidRPr="009F71D9" w:rsidRDefault="007504E5" w:rsidP="00F2499A">
            <w:pPr>
              <w:pStyle w:val="NormalWeb"/>
              <w:spacing w:before="0" w:beforeAutospacing="0" w:after="0" w:afterAutospacing="0"/>
              <w:ind w:right="86"/>
              <w:jc w:val="both"/>
              <w:rPr>
                <w:sz w:val="27"/>
                <w:szCs w:val="27"/>
              </w:rPr>
            </w:pPr>
            <w:r w:rsidRPr="009F71D9">
              <w:rPr>
                <w:sz w:val="27"/>
                <w:szCs w:val="27"/>
              </w:rPr>
              <w:t>Aptuveno skaitlisko lielumu vai īpatsvaru nav iespējams noteikt, jo MK noteikumu projekts skar ne tikai Latvijas patērētāju</w:t>
            </w:r>
            <w:r w:rsidR="00F2499A" w:rsidRPr="009F71D9">
              <w:rPr>
                <w:sz w:val="27"/>
                <w:szCs w:val="27"/>
              </w:rPr>
              <w:t>s</w:t>
            </w:r>
            <w:r w:rsidRPr="009F71D9">
              <w:rPr>
                <w:sz w:val="27"/>
                <w:szCs w:val="27"/>
              </w:rPr>
              <w:t>, bet arī jebkuru ārvalstnieku, kas iebraucot Latvijas teritorijā pērk preci vai izmanto pakalpojumu.</w:t>
            </w:r>
          </w:p>
        </w:tc>
      </w:tr>
      <w:tr w:rsidR="002A1BA2" w:rsidRPr="009F71D9" w:rsidTr="000B1B99">
        <w:tc>
          <w:tcPr>
            <w:tcW w:w="307"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2.</w:t>
            </w:r>
          </w:p>
        </w:tc>
        <w:tc>
          <w:tcPr>
            <w:tcW w:w="1410"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 xml:space="preserve">Citas sabiedrības grupas (bez </w:t>
            </w:r>
            <w:proofErr w:type="spellStart"/>
            <w:r w:rsidRPr="009F71D9">
              <w:rPr>
                <w:sz w:val="27"/>
                <w:szCs w:val="27"/>
              </w:rPr>
              <w:t>mērķgrupas</w:t>
            </w:r>
            <w:proofErr w:type="spellEnd"/>
            <w:r w:rsidRPr="009F71D9">
              <w:rPr>
                <w:sz w:val="27"/>
                <w:szCs w:val="27"/>
              </w:rPr>
              <w:t>), kuras tiesiskais regulējums arī ietekmē vai varētu ietekmēt</w:t>
            </w:r>
          </w:p>
        </w:tc>
        <w:tc>
          <w:tcPr>
            <w:tcW w:w="3283" w:type="pct"/>
            <w:tcBorders>
              <w:top w:val="outset" w:sz="6" w:space="0" w:color="000000"/>
              <w:left w:val="outset" w:sz="6" w:space="0" w:color="000000"/>
              <w:bottom w:val="outset" w:sz="6" w:space="0" w:color="000000"/>
              <w:right w:val="outset" w:sz="6" w:space="0" w:color="000000"/>
            </w:tcBorders>
          </w:tcPr>
          <w:p w:rsidR="002A1BA2" w:rsidRPr="0084610A" w:rsidRDefault="002179B4" w:rsidP="002179B4">
            <w:pPr>
              <w:pStyle w:val="NormalWeb"/>
              <w:spacing w:before="0" w:beforeAutospacing="0" w:after="0" w:afterAutospacing="0"/>
              <w:jc w:val="both"/>
              <w:rPr>
                <w:sz w:val="26"/>
                <w:szCs w:val="26"/>
              </w:rPr>
            </w:pPr>
            <w:r w:rsidRPr="009F71D9">
              <w:rPr>
                <w:sz w:val="27"/>
                <w:szCs w:val="27"/>
              </w:rPr>
              <w:t>Saimnieciskās darbības veicēji, kuri piedāvā patērētājiem preces un/vai  pakalpojumus</w:t>
            </w:r>
            <w:r w:rsidR="00113BF6" w:rsidRPr="009F71D9">
              <w:rPr>
                <w:sz w:val="27"/>
                <w:szCs w:val="27"/>
              </w:rPr>
              <w:t xml:space="preserve">, kuriem būs </w:t>
            </w:r>
            <w:r w:rsidR="00113BF6" w:rsidRPr="0084610A">
              <w:rPr>
                <w:sz w:val="26"/>
                <w:szCs w:val="26"/>
              </w:rPr>
              <w:t>jāņem vērā noteikumu projektā noteiktās prasības cenu norādei paralēlās atspoguļošanas periodā.</w:t>
            </w:r>
          </w:p>
          <w:p w:rsidR="0084610A" w:rsidRPr="009F71D9" w:rsidRDefault="0084610A" w:rsidP="0084610A">
            <w:pPr>
              <w:pStyle w:val="NormalWeb"/>
              <w:spacing w:before="0" w:beforeAutospacing="0" w:after="0" w:afterAutospacing="0"/>
              <w:jc w:val="both"/>
              <w:rPr>
                <w:sz w:val="27"/>
                <w:szCs w:val="27"/>
                <w:highlight w:val="yellow"/>
              </w:rPr>
            </w:pPr>
            <w:r w:rsidRPr="0084610A">
              <w:rPr>
                <w:sz w:val="26"/>
                <w:szCs w:val="26"/>
              </w:rPr>
              <w:t>Saskaņā ar Centrālās statistikas pārvaldes 2011.gada provizoriskajiem datiem, Latvijā ir aptuveni 16 tūkstoši mazumtirdzniecības uzņēmumu, gandrīz 6954 vairumtirdzniecības uzņēmumu un 40 815 pakalpojumu sniedzēju. Ņemot vērā, ka ne visi uzņēmumi piedāvā preces vai sniedz pakalpojumus patērētājiem vai veic tādu preču vairumtirdzniecību, kas nonāk pie patērētājiem, aptuveno skaitlisko lielumu vai īpatsvaru nav iespējams noteikt.</w:t>
            </w:r>
          </w:p>
        </w:tc>
      </w:tr>
      <w:tr w:rsidR="002A1BA2" w:rsidRPr="009F71D9" w:rsidTr="000B1B99">
        <w:tc>
          <w:tcPr>
            <w:tcW w:w="307"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3.</w:t>
            </w:r>
          </w:p>
        </w:tc>
        <w:tc>
          <w:tcPr>
            <w:tcW w:w="1410"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Tiesiskā regulējuma finansiālā ietekme</w:t>
            </w:r>
          </w:p>
        </w:tc>
        <w:tc>
          <w:tcPr>
            <w:tcW w:w="3283" w:type="pct"/>
            <w:tcBorders>
              <w:top w:val="outset" w:sz="6" w:space="0" w:color="000000"/>
              <w:left w:val="outset" w:sz="6" w:space="0" w:color="000000"/>
              <w:bottom w:val="outset" w:sz="6" w:space="0" w:color="000000"/>
              <w:right w:val="outset" w:sz="6" w:space="0" w:color="000000"/>
            </w:tcBorders>
          </w:tcPr>
          <w:p w:rsidR="000A0388" w:rsidRPr="009F71D9" w:rsidRDefault="00473D4E" w:rsidP="001B5D4B">
            <w:pPr>
              <w:pStyle w:val="NormalWeb"/>
              <w:spacing w:before="0" w:beforeAutospacing="0" w:after="0" w:afterAutospacing="0"/>
              <w:jc w:val="both"/>
              <w:rPr>
                <w:sz w:val="27"/>
                <w:szCs w:val="27"/>
                <w:highlight w:val="yellow"/>
              </w:rPr>
            </w:pPr>
            <w:r w:rsidRPr="009F71D9">
              <w:rPr>
                <w:sz w:val="27"/>
                <w:szCs w:val="27"/>
              </w:rPr>
              <w:t>Tirgotāji</w:t>
            </w:r>
            <w:r w:rsidR="002179B4" w:rsidRPr="009F71D9">
              <w:rPr>
                <w:sz w:val="27"/>
                <w:szCs w:val="27"/>
              </w:rPr>
              <w:t>, kuri piedāvā patērētājiem preces un/vai  pakalpojumus</w:t>
            </w:r>
            <w:r w:rsidRPr="009F71D9">
              <w:rPr>
                <w:sz w:val="27"/>
                <w:szCs w:val="27"/>
              </w:rPr>
              <w:t xml:space="preserve"> un</w:t>
            </w:r>
            <w:r w:rsidR="002179B4" w:rsidRPr="009F71D9">
              <w:rPr>
                <w:sz w:val="27"/>
                <w:szCs w:val="27"/>
              </w:rPr>
              <w:t xml:space="preserve">, kuriem būs jāņem vērā noteikumu projektā noteiktās prasības </w:t>
            </w:r>
            <w:r w:rsidRPr="009F71D9">
              <w:rPr>
                <w:sz w:val="27"/>
                <w:szCs w:val="27"/>
              </w:rPr>
              <w:t xml:space="preserve">attiecībā uz </w:t>
            </w:r>
            <w:r w:rsidR="002179B4" w:rsidRPr="009F71D9">
              <w:rPr>
                <w:sz w:val="27"/>
                <w:szCs w:val="27"/>
              </w:rPr>
              <w:t>cenu norād</w:t>
            </w:r>
            <w:r w:rsidRPr="009F71D9">
              <w:rPr>
                <w:sz w:val="27"/>
                <w:szCs w:val="27"/>
              </w:rPr>
              <w:t xml:space="preserve">īšanas kārtību </w:t>
            </w:r>
            <w:r w:rsidR="002179B4" w:rsidRPr="009F71D9">
              <w:rPr>
                <w:sz w:val="27"/>
                <w:szCs w:val="27"/>
              </w:rPr>
              <w:t>paralēlās atspoguļošanas periodā.</w:t>
            </w:r>
            <w:r w:rsidRPr="009F71D9">
              <w:rPr>
                <w:sz w:val="27"/>
                <w:szCs w:val="27"/>
              </w:rPr>
              <w:t xml:space="preserve"> Tā kā pārtikas tirgotājiem cenas precēm un pakalpojumiem tiek </w:t>
            </w:r>
            <w:r w:rsidR="001B5D4B" w:rsidRPr="009F71D9">
              <w:rPr>
                <w:sz w:val="27"/>
                <w:szCs w:val="27"/>
              </w:rPr>
              <w:t xml:space="preserve">regulāri </w:t>
            </w:r>
            <w:r w:rsidRPr="009F71D9">
              <w:rPr>
                <w:sz w:val="27"/>
                <w:szCs w:val="27"/>
              </w:rPr>
              <w:t>mainītas</w:t>
            </w:r>
            <w:r w:rsidR="001B5D4B" w:rsidRPr="009F71D9">
              <w:rPr>
                <w:sz w:val="27"/>
                <w:szCs w:val="27"/>
              </w:rPr>
              <w:t xml:space="preserve">, piemēram, akcijas precēm un/vai pakalpojumiem, </w:t>
            </w:r>
            <w:r w:rsidRPr="009F71D9">
              <w:rPr>
                <w:sz w:val="27"/>
                <w:szCs w:val="27"/>
              </w:rPr>
              <w:t xml:space="preserve"> </w:t>
            </w:r>
            <w:r w:rsidR="001B5D4B" w:rsidRPr="009F71D9">
              <w:rPr>
                <w:sz w:val="27"/>
                <w:szCs w:val="27"/>
              </w:rPr>
              <w:t>cenu pielāgošanas izmaksas Noteikumu projekta īstenošanā būtiski nepalielināsies.</w:t>
            </w:r>
          </w:p>
        </w:tc>
      </w:tr>
      <w:tr w:rsidR="002A1BA2" w:rsidRPr="009F71D9" w:rsidTr="000B1B99">
        <w:tc>
          <w:tcPr>
            <w:tcW w:w="307"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4.</w:t>
            </w:r>
          </w:p>
        </w:tc>
        <w:tc>
          <w:tcPr>
            <w:tcW w:w="1410"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Tiesiskā regulējuma nefinansiālā ietekme</w:t>
            </w:r>
          </w:p>
        </w:tc>
        <w:tc>
          <w:tcPr>
            <w:tcW w:w="3283" w:type="pct"/>
            <w:tcBorders>
              <w:top w:val="outset" w:sz="6" w:space="0" w:color="000000"/>
              <w:left w:val="outset" w:sz="6" w:space="0" w:color="000000"/>
              <w:bottom w:val="outset" w:sz="6" w:space="0" w:color="000000"/>
              <w:right w:val="outset" w:sz="6" w:space="0" w:color="000000"/>
            </w:tcBorders>
          </w:tcPr>
          <w:p w:rsidR="002A1BA2" w:rsidRPr="009F71D9" w:rsidRDefault="00810243" w:rsidP="00113BF6">
            <w:pPr>
              <w:pStyle w:val="NormalWeb"/>
              <w:spacing w:before="0" w:beforeAutospacing="0" w:after="0" w:afterAutospacing="0"/>
              <w:jc w:val="both"/>
              <w:rPr>
                <w:sz w:val="27"/>
                <w:szCs w:val="27"/>
                <w:highlight w:val="yellow"/>
              </w:rPr>
            </w:pPr>
            <w:r w:rsidRPr="009F71D9">
              <w:rPr>
                <w:sz w:val="27"/>
                <w:szCs w:val="27"/>
              </w:rPr>
              <w:t xml:space="preserve">Noteikumu projekts nodrošina iespēju </w:t>
            </w:r>
            <w:r w:rsidR="00113BF6" w:rsidRPr="009F71D9">
              <w:rPr>
                <w:sz w:val="27"/>
                <w:szCs w:val="27"/>
              </w:rPr>
              <w:t xml:space="preserve">patērētājiem paralēlās atspoguļošanās periodā preču vai pakalpojumu cenu pārlūkot divās valūtās – </w:t>
            </w:r>
            <w:proofErr w:type="spellStart"/>
            <w:r w:rsidR="00113BF6" w:rsidRPr="009F71D9">
              <w:rPr>
                <w:i/>
                <w:sz w:val="27"/>
                <w:szCs w:val="27"/>
              </w:rPr>
              <w:t>euro</w:t>
            </w:r>
            <w:proofErr w:type="spellEnd"/>
            <w:r w:rsidR="00181001" w:rsidRPr="009F71D9">
              <w:rPr>
                <w:sz w:val="27"/>
                <w:szCs w:val="27"/>
              </w:rPr>
              <w:t xml:space="preserve"> un latos, </w:t>
            </w:r>
            <w:r w:rsidR="00181001" w:rsidRPr="009F71D9">
              <w:rPr>
                <w:iCs/>
                <w:sz w:val="27"/>
                <w:szCs w:val="27"/>
              </w:rPr>
              <w:t>kas veicinās efektīvu patērētāju tiesību aizsardzību.</w:t>
            </w:r>
          </w:p>
        </w:tc>
      </w:tr>
      <w:tr w:rsidR="002A1BA2" w:rsidRPr="009F71D9" w:rsidTr="000B1B99">
        <w:tc>
          <w:tcPr>
            <w:tcW w:w="307"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5.</w:t>
            </w:r>
          </w:p>
        </w:tc>
        <w:tc>
          <w:tcPr>
            <w:tcW w:w="1410"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Administratīvās procedūras raksturojums</w:t>
            </w:r>
          </w:p>
        </w:tc>
        <w:tc>
          <w:tcPr>
            <w:tcW w:w="3283" w:type="pct"/>
            <w:tcBorders>
              <w:top w:val="outset" w:sz="6" w:space="0" w:color="000000"/>
              <w:left w:val="outset" w:sz="6" w:space="0" w:color="000000"/>
              <w:bottom w:val="outset" w:sz="6" w:space="0" w:color="000000"/>
              <w:right w:val="outset" w:sz="6" w:space="0" w:color="000000"/>
            </w:tcBorders>
          </w:tcPr>
          <w:p w:rsidR="002A1BA2" w:rsidRPr="009F71D9" w:rsidRDefault="00D06DE3" w:rsidP="001A0A4A">
            <w:pPr>
              <w:pStyle w:val="NormalWeb"/>
              <w:spacing w:before="0" w:beforeAutospacing="0" w:after="0" w:afterAutospacing="0"/>
              <w:jc w:val="both"/>
              <w:rPr>
                <w:sz w:val="27"/>
                <w:szCs w:val="27"/>
                <w:highlight w:val="yellow"/>
              </w:rPr>
            </w:pPr>
            <w:r>
              <w:rPr>
                <w:sz w:val="27"/>
                <w:szCs w:val="27"/>
              </w:rPr>
              <w:t>Projekts šo jomu neskar.</w:t>
            </w:r>
          </w:p>
        </w:tc>
      </w:tr>
      <w:tr w:rsidR="002A1BA2" w:rsidRPr="009F71D9" w:rsidTr="000B1B99">
        <w:tc>
          <w:tcPr>
            <w:tcW w:w="307"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lastRenderedPageBreak/>
              <w:t>6.</w:t>
            </w:r>
          </w:p>
        </w:tc>
        <w:tc>
          <w:tcPr>
            <w:tcW w:w="1410"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Administratīvo izmaksu monetārs novērtējums</w:t>
            </w:r>
          </w:p>
        </w:tc>
        <w:tc>
          <w:tcPr>
            <w:tcW w:w="3283" w:type="pct"/>
            <w:tcBorders>
              <w:top w:val="outset" w:sz="6" w:space="0" w:color="000000"/>
              <w:left w:val="outset" w:sz="6" w:space="0" w:color="000000"/>
              <w:bottom w:val="outset" w:sz="6" w:space="0" w:color="000000"/>
              <w:right w:val="outset" w:sz="6" w:space="0" w:color="000000"/>
            </w:tcBorders>
          </w:tcPr>
          <w:p w:rsidR="002A1BA2" w:rsidRPr="009F71D9" w:rsidRDefault="00D06DE3" w:rsidP="00D06DE3">
            <w:pPr>
              <w:pStyle w:val="NormalWeb"/>
              <w:spacing w:before="0" w:beforeAutospacing="0" w:after="0" w:afterAutospacing="0"/>
              <w:jc w:val="both"/>
              <w:rPr>
                <w:sz w:val="27"/>
                <w:szCs w:val="27"/>
              </w:rPr>
            </w:pPr>
            <w:r>
              <w:rPr>
                <w:rStyle w:val="apple-style-span"/>
                <w:sz w:val="27"/>
                <w:szCs w:val="27"/>
              </w:rPr>
              <w:t>Projekts šo jomu neskar.</w:t>
            </w:r>
          </w:p>
        </w:tc>
      </w:tr>
      <w:tr w:rsidR="002A1BA2" w:rsidRPr="009F71D9" w:rsidTr="000B1B99">
        <w:tc>
          <w:tcPr>
            <w:tcW w:w="307"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7.</w:t>
            </w:r>
          </w:p>
        </w:tc>
        <w:tc>
          <w:tcPr>
            <w:tcW w:w="1410"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Cita informācija</w:t>
            </w:r>
          </w:p>
        </w:tc>
        <w:tc>
          <w:tcPr>
            <w:tcW w:w="3283" w:type="pct"/>
            <w:tcBorders>
              <w:top w:val="outset" w:sz="6" w:space="0" w:color="000000"/>
              <w:left w:val="outset" w:sz="6" w:space="0" w:color="000000"/>
              <w:bottom w:val="outset" w:sz="6" w:space="0" w:color="000000"/>
              <w:right w:val="outset" w:sz="6" w:space="0" w:color="000000"/>
            </w:tcBorders>
          </w:tcPr>
          <w:p w:rsidR="002A1BA2" w:rsidRPr="009F71D9" w:rsidRDefault="002A1BA2" w:rsidP="001A0A4A">
            <w:pPr>
              <w:pStyle w:val="NormalWeb"/>
              <w:spacing w:before="0" w:beforeAutospacing="0" w:after="0" w:afterAutospacing="0"/>
              <w:rPr>
                <w:sz w:val="27"/>
                <w:szCs w:val="27"/>
              </w:rPr>
            </w:pPr>
            <w:r w:rsidRPr="009F71D9">
              <w:rPr>
                <w:sz w:val="27"/>
                <w:szCs w:val="27"/>
              </w:rPr>
              <w:t>Nav</w:t>
            </w:r>
          </w:p>
        </w:tc>
      </w:tr>
    </w:tbl>
    <w:p w:rsidR="001B5D4B" w:rsidRDefault="001B5D4B" w:rsidP="002A1BA2">
      <w:pPr>
        <w:pStyle w:val="NormalWeb"/>
        <w:rPr>
          <w:sz w:val="28"/>
          <w:szCs w:val="28"/>
        </w:rPr>
      </w:pPr>
    </w:p>
    <w:p w:rsidR="002A1BA2" w:rsidRDefault="002A1BA2" w:rsidP="002A1BA2">
      <w:pPr>
        <w:pStyle w:val="NormalWeb"/>
        <w:rPr>
          <w:sz w:val="28"/>
          <w:szCs w:val="28"/>
        </w:rPr>
      </w:pPr>
      <w:r w:rsidRPr="00D92592">
        <w:rPr>
          <w:sz w:val="28"/>
          <w:szCs w:val="28"/>
        </w:rPr>
        <w:t> </w:t>
      </w:r>
      <w:r w:rsidR="00F00987">
        <w:rPr>
          <w:sz w:val="28"/>
          <w:szCs w:val="28"/>
        </w:rPr>
        <w:t xml:space="preserve">Anotācijas </w:t>
      </w:r>
      <w:r>
        <w:rPr>
          <w:sz w:val="28"/>
          <w:szCs w:val="28"/>
        </w:rPr>
        <w:t>III</w:t>
      </w:r>
      <w:r w:rsidR="00F00987">
        <w:rPr>
          <w:sz w:val="28"/>
          <w:szCs w:val="28"/>
        </w:rPr>
        <w:t xml:space="preserve">., IV., un </w:t>
      </w:r>
      <w:r w:rsidRPr="00D92592">
        <w:rPr>
          <w:sz w:val="28"/>
          <w:szCs w:val="28"/>
        </w:rPr>
        <w:t>VI. sadaļa – projekts šīs jomas neskar</w:t>
      </w:r>
      <w:r w:rsidR="00F00987">
        <w:rPr>
          <w:sz w:val="28"/>
          <w:szCs w:val="28"/>
        </w:rPr>
        <w:t>.</w:t>
      </w:r>
    </w:p>
    <w:tbl>
      <w:tblPr>
        <w:tblW w:w="921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44"/>
        <w:gridCol w:w="5933"/>
      </w:tblGrid>
      <w:tr w:rsidR="00E242D5" w:rsidRPr="007945F9" w:rsidTr="00267CB9">
        <w:tc>
          <w:tcPr>
            <w:tcW w:w="5000" w:type="pct"/>
            <w:gridSpan w:val="3"/>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nod"/>
              <w:spacing w:before="0" w:after="0"/>
              <w:ind w:right="-99"/>
              <w:rPr>
                <w:sz w:val="27"/>
                <w:szCs w:val="27"/>
              </w:rPr>
            </w:pPr>
          </w:p>
          <w:p w:rsidR="00E242D5" w:rsidRPr="007945F9" w:rsidRDefault="00E242D5" w:rsidP="00267CB9">
            <w:pPr>
              <w:pStyle w:val="naisnod"/>
              <w:spacing w:before="0" w:after="0"/>
              <w:ind w:right="-99"/>
              <w:rPr>
                <w:sz w:val="27"/>
                <w:szCs w:val="27"/>
              </w:rPr>
            </w:pPr>
            <w:r w:rsidRPr="007945F9">
              <w:rPr>
                <w:sz w:val="27"/>
                <w:szCs w:val="27"/>
              </w:rPr>
              <w:t>V. Tiesību akta projekta atbilstība Latvijas Republikas starptautiskajām saistībām</w:t>
            </w:r>
          </w:p>
        </w:tc>
      </w:tr>
      <w:tr w:rsidR="00E242D5" w:rsidRPr="007945F9" w:rsidTr="00267CB9">
        <w:tc>
          <w:tcPr>
            <w:tcW w:w="292" w:type="pct"/>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tabs>
                <w:tab w:val="left" w:pos="2628"/>
              </w:tabs>
              <w:spacing w:before="0" w:after="0"/>
              <w:ind w:right="-99"/>
              <w:jc w:val="both"/>
              <w:rPr>
                <w:iCs/>
                <w:sz w:val="27"/>
                <w:szCs w:val="27"/>
              </w:rPr>
            </w:pPr>
            <w:r w:rsidRPr="007945F9">
              <w:rPr>
                <w:iCs/>
                <w:sz w:val="27"/>
                <w:szCs w:val="27"/>
              </w:rPr>
              <w:t>1.</w:t>
            </w:r>
          </w:p>
        </w:tc>
        <w:tc>
          <w:tcPr>
            <w:tcW w:w="1489" w:type="pct"/>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spacing w:before="0" w:after="0"/>
              <w:jc w:val="both"/>
              <w:rPr>
                <w:iCs/>
                <w:sz w:val="27"/>
                <w:szCs w:val="27"/>
              </w:rPr>
            </w:pPr>
            <w:r w:rsidRPr="007945F9">
              <w:rPr>
                <w:sz w:val="27"/>
                <w:szCs w:val="27"/>
              </w:rPr>
              <w:t>Saistības pret Eiropas Savienību</w:t>
            </w:r>
          </w:p>
        </w:tc>
        <w:tc>
          <w:tcPr>
            <w:tcW w:w="3219" w:type="pct"/>
            <w:tcBorders>
              <w:top w:val="single" w:sz="4" w:space="0" w:color="auto"/>
              <w:left w:val="single" w:sz="4" w:space="0" w:color="auto"/>
              <w:bottom w:val="single" w:sz="4" w:space="0" w:color="auto"/>
              <w:right w:val="single" w:sz="4" w:space="0" w:color="auto"/>
            </w:tcBorders>
          </w:tcPr>
          <w:p w:rsidR="00E242D5" w:rsidRPr="00E242D5" w:rsidRDefault="00E242D5" w:rsidP="00E242D5">
            <w:pPr>
              <w:pStyle w:val="naiskr"/>
              <w:tabs>
                <w:tab w:val="left" w:pos="297"/>
              </w:tabs>
              <w:spacing w:before="0" w:after="0"/>
              <w:ind w:left="13" w:right="34"/>
              <w:jc w:val="both"/>
              <w:rPr>
                <w:bCs/>
                <w:sz w:val="27"/>
                <w:szCs w:val="27"/>
              </w:rPr>
            </w:pPr>
            <w:r w:rsidRPr="00E242D5">
              <w:rPr>
                <w:color w:val="000000" w:themeColor="text1"/>
                <w:sz w:val="27"/>
                <w:szCs w:val="27"/>
              </w:rPr>
              <w:t>Eiropas Parlamenta un Padomes Direktīva 98/6/EK (1998.gada 16.februāris) par patērētāju aizsardzību, norādot patērētājiem piedāvāto produktu cenas</w:t>
            </w:r>
          </w:p>
        </w:tc>
      </w:tr>
      <w:tr w:rsidR="00E242D5" w:rsidRPr="007945F9" w:rsidTr="00267CB9">
        <w:tc>
          <w:tcPr>
            <w:tcW w:w="292" w:type="pct"/>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tabs>
                <w:tab w:val="left" w:pos="2628"/>
              </w:tabs>
              <w:spacing w:before="0" w:after="0"/>
              <w:ind w:right="-99"/>
              <w:jc w:val="both"/>
              <w:rPr>
                <w:iCs/>
                <w:sz w:val="27"/>
                <w:szCs w:val="27"/>
              </w:rPr>
            </w:pPr>
            <w:r w:rsidRPr="007945F9">
              <w:rPr>
                <w:iCs/>
                <w:sz w:val="27"/>
                <w:szCs w:val="27"/>
              </w:rPr>
              <w:t>2.</w:t>
            </w:r>
          </w:p>
        </w:tc>
        <w:tc>
          <w:tcPr>
            <w:tcW w:w="1489" w:type="pct"/>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tabs>
                <w:tab w:val="left" w:pos="2628"/>
              </w:tabs>
              <w:spacing w:before="0" w:after="0"/>
              <w:ind w:right="-99"/>
              <w:jc w:val="both"/>
              <w:rPr>
                <w:iCs/>
                <w:sz w:val="27"/>
                <w:szCs w:val="27"/>
              </w:rPr>
            </w:pPr>
            <w:r w:rsidRPr="007945F9">
              <w:rPr>
                <w:sz w:val="27"/>
                <w:szCs w:val="27"/>
              </w:rPr>
              <w:t>Citas starptautiskās saistības</w:t>
            </w:r>
          </w:p>
        </w:tc>
        <w:tc>
          <w:tcPr>
            <w:tcW w:w="3219" w:type="pct"/>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tabs>
                <w:tab w:val="left" w:pos="2628"/>
              </w:tabs>
              <w:spacing w:before="0" w:after="0"/>
              <w:ind w:right="-99"/>
              <w:jc w:val="both"/>
              <w:rPr>
                <w:iCs/>
                <w:sz w:val="27"/>
                <w:szCs w:val="27"/>
              </w:rPr>
            </w:pPr>
            <w:r>
              <w:rPr>
                <w:sz w:val="27"/>
                <w:szCs w:val="27"/>
              </w:rPr>
              <w:t>Projekts šo jomu neskar</w:t>
            </w:r>
          </w:p>
        </w:tc>
      </w:tr>
      <w:tr w:rsidR="00E242D5" w:rsidRPr="007945F9" w:rsidTr="00267CB9">
        <w:tc>
          <w:tcPr>
            <w:tcW w:w="292" w:type="pct"/>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tabs>
                <w:tab w:val="left" w:pos="2628"/>
              </w:tabs>
              <w:spacing w:before="0" w:after="0"/>
              <w:ind w:right="-99"/>
              <w:jc w:val="both"/>
              <w:rPr>
                <w:iCs/>
                <w:sz w:val="27"/>
                <w:szCs w:val="27"/>
              </w:rPr>
            </w:pPr>
            <w:r w:rsidRPr="007945F9">
              <w:rPr>
                <w:iCs/>
                <w:sz w:val="27"/>
                <w:szCs w:val="27"/>
              </w:rPr>
              <w:t>3.</w:t>
            </w:r>
          </w:p>
        </w:tc>
        <w:tc>
          <w:tcPr>
            <w:tcW w:w="1489" w:type="pct"/>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tabs>
                <w:tab w:val="left" w:pos="2628"/>
              </w:tabs>
              <w:spacing w:before="0" w:after="0"/>
              <w:ind w:right="-99"/>
              <w:jc w:val="both"/>
              <w:rPr>
                <w:sz w:val="27"/>
                <w:szCs w:val="27"/>
              </w:rPr>
            </w:pPr>
            <w:r w:rsidRPr="007945F9">
              <w:rPr>
                <w:sz w:val="27"/>
                <w:szCs w:val="27"/>
              </w:rPr>
              <w:t>Cita informācija</w:t>
            </w:r>
          </w:p>
        </w:tc>
        <w:tc>
          <w:tcPr>
            <w:tcW w:w="3219" w:type="pct"/>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tabs>
                <w:tab w:val="left" w:pos="2628"/>
              </w:tabs>
              <w:spacing w:before="0" w:after="0"/>
              <w:ind w:right="-99"/>
              <w:jc w:val="both"/>
              <w:rPr>
                <w:iCs/>
                <w:sz w:val="27"/>
                <w:szCs w:val="27"/>
              </w:rPr>
            </w:pPr>
            <w:r w:rsidRPr="007945F9">
              <w:rPr>
                <w:iCs/>
                <w:sz w:val="27"/>
                <w:szCs w:val="27"/>
              </w:rPr>
              <w:t>Nav</w:t>
            </w:r>
          </w:p>
        </w:tc>
      </w:tr>
    </w:tbl>
    <w:p w:rsidR="00E242D5" w:rsidRPr="007945F9" w:rsidRDefault="00E242D5" w:rsidP="00E242D5">
      <w:pPr>
        <w:pStyle w:val="naisf"/>
        <w:spacing w:before="0" w:after="0"/>
        <w:ind w:right="-99"/>
        <w:rPr>
          <w:sz w:val="27"/>
          <w:szCs w:val="27"/>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89"/>
        <w:gridCol w:w="1984"/>
        <w:gridCol w:w="1701"/>
        <w:gridCol w:w="2268"/>
      </w:tblGrid>
      <w:tr w:rsidR="00E242D5" w:rsidRPr="007945F9" w:rsidTr="00267CB9">
        <w:trPr>
          <w:trHeight w:val="523"/>
        </w:trPr>
        <w:tc>
          <w:tcPr>
            <w:tcW w:w="9242" w:type="dxa"/>
            <w:gridSpan w:val="4"/>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nod"/>
              <w:spacing w:before="0" w:after="0"/>
              <w:ind w:right="-99"/>
              <w:rPr>
                <w:sz w:val="27"/>
                <w:szCs w:val="27"/>
              </w:rPr>
            </w:pPr>
            <w:r w:rsidRPr="007945F9">
              <w:rPr>
                <w:sz w:val="27"/>
                <w:szCs w:val="27"/>
              </w:rPr>
              <w:t xml:space="preserve">1.tabula </w:t>
            </w:r>
          </w:p>
          <w:p w:rsidR="00E242D5" w:rsidRPr="007945F9" w:rsidRDefault="00E242D5" w:rsidP="00267CB9">
            <w:pPr>
              <w:pStyle w:val="naisnod"/>
              <w:spacing w:before="0" w:after="0"/>
              <w:ind w:right="-99"/>
              <w:rPr>
                <w:i/>
                <w:sz w:val="27"/>
                <w:szCs w:val="27"/>
              </w:rPr>
            </w:pPr>
            <w:r w:rsidRPr="007945F9">
              <w:rPr>
                <w:sz w:val="27"/>
                <w:szCs w:val="27"/>
              </w:rPr>
              <w:t>Tiesību akta projekta atbilstība ES tiesību aktiem</w:t>
            </w:r>
          </w:p>
        </w:tc>
      </w:tr>
      <w:tr w:rsidR="00E242D5" w:rsidRPr="007945F9" w:rsidTr="00267CB9">
        <w:trPr>
          <w:trHeight w:val="163"/>
        </w:trPr>
        <w:tc>
          <w:tcPr>
            <w:tcW w:w="9242" w:type="dxa"/>
            <w:gridSpan w:val="4"/>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ind w:right="-99"/>
              <w:rPr>
                <w:i/>
                <w:sz w:val="27"/>
                <w:szCs w:val="27"/>
              </w:rPr>
            </w:pPr>
          </w:p>
        </w:tc>
      </w:tr>
      <w:tr w:rsidR="00E242D5" w:rsidRPr="007945F9" w:rsidTr="00267CB9">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ind w:right="-99"/>
              <w:jc w:val="center"/>
              <w:rPr>
                <w:sz w:val="27"/>
                <w:szCs w:val="27"/>
              </w:rPr>
            </w:pPr>
            <w:r w:rsidRPr="007945F9">
              <w:rPr>
                <w:sz w:val="27"/>
                <w:szCs w:val="27"/>
              </w:rPr>
              <w:t>A</w:t>
            </w:r>
          </w:p>
        </w:tc>
        <w:tc>
          <w:tcPr>
            <w:tcW w:w="1984"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ind w:right="-99"/>
              <w:jc w:val="center"/>
              <w:rPr>
                <w:sz w:val="27"/>
                <w:szCs w:val="27"/>
              </w:rPr>
            </w:pPr>
            <w:r w:rsidRPr="007945F9">
              <w:rPr>
                <w:sz w:val="27"/>
                <w:szCs w:val="27"/>
              </w:rPr>
              <w:t>B</w:t>
            </w:r>
          </w:p>
        </w:tc>
        <w:tc>
          <w:tcPr>
            <w:tcW w:w="1701"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ind w:right="-99"/>
              <w:jc w:val="center"/>
              <w:rPr>
                <w:sz w:val="27"/>
                <w:szCs w:val="27"/>
              </w:rPr>
            </w:pPr>
            <w:r w:rsidRPr="007945F9">
              <w:rPr>
                <w:sz w:val="27"/>
                <w:szCs w:val="27"/>
              </w:rPr>
              <w:t>C</w:t>
            </w:r>
          </w:p>
        </w:tc>
        <w:tc>
          <w:tcPr>
            <w:tcW w:w="2268"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ind w:right="-99"/>
              <w:jc w:val="center"/>
              <w:rPr>
                <w:sz w:val="27"/>
                <w:szCs w:val="27"/>
              </w:rPr>
            </w:pPr>
            <w:r w:rsidRPr="007945F9">
              <w:rPr>
                <w:sz w:val="27"/>
                <w:szCs w:val="27"/>
              </w:rPr>
              <w:t>D</w:t>
            </w:r>
          </w:p>
        </w:tc>
      </w:tr>
      <w:tr w:rsidR="009F71D9" w:rsidRPr="007945F9" w:rsidTr="00267CB9">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9F71D9" w:rsidRPr="007945F9" w:rsidRDefault="009F71D9" w:rsidP="009F71D9">
            <w:pPr>
              <w:pStyle w:val="naiskr"/>
              <w:spacing w:before="0" w:after="0"/>
              <w:ind w:right="-99"/>
              <w:jc w:val="both"/>
              <w:rPr>
                <w:sz w:val="27"/>
                <w:szCs w:val="27"/>
              </w:rPr>
            </w:pPr>
            <w:r>
              <w:rPr>
                <w:sz w:val="27"/>
                <w:szCs w:val="27"/>
              </w:rPr>
              <w:t>5.pants</w:t>
            </w:r>
          </w:p>
        </w:tc>
        <w:tc>
          <w:tcPr>
            <w:tcW w:w="1984" w:type="dxa"/>
            <w:tcBorders>
              <w:top w:val="single" w:sz="4" w:space="0" w:color="auto"/>
              <w:left w:val="single" w:sz="4" w:space="0" w:color="auto"/>
              <w:bottom w:val="single" w:sz="4" w:space="0" w:color="auto"/>
              <w:right w:val="single" w:sz="4" w:space="0" w:color="auto"/>
            </w:tcBorders>
            <w:vAlign w:val="center"/>
          </w:tcPr>
          <w:p w:rsidR="009F71D9" w:rsidRPr="007945F9" w:rsidRDefault="009F71D9" w:rsidP="009F71D9">
            <w:pPr>
              <w:pStyle w:val="naiskr"/>
              <w:spacing w:before="0" w:after="0"/>
              <w:ind w:right="-99"/>
              <w:rPr>
                <w:sz w:val="27"/>
                <w:szCs w:val="27"/>
              </w:rPr>
            </w:pPr>
            <w:r>
              <w:rPr>
                <w:sz w:val="27"/>
                <w:szCs w:val="27"/>
              </w:rPr>
              <w:t>12.punkts</w:t>
            </w:r>
          </w:p>
        </w:tc>
        <w:tc>
          <w:tcPr>
            <w:tcW w:w="1701" w:type="dxa"/>
            <w:tcBorders>
              <w:top w:val="single" w:sz="4" w:space="0" w:color="auto"/>
              <w:left w:val="single" w:sz="4" w:space="0" w:color="auto"/>
              <w:bottom w:val="single" w:sz="4" w:space="0" w:color="auto"/>
              <w:right w:val="single" w:sz="4" w:space="0" w:color="auto"/>
            </w:tcBorders>
            <w:vAlign w:val="center"/>
          </w:tcPr>
          <w:p w:rsidR="009F71D9" w:rsidRDefault="009F71D9" w:rsidP="009F71D9">
            <w:pPr>
              <w:pStyle w:val="naiskr"/>
              <w:spacing w:before="0" w:after="0"/>
              <w:ind w:right="-99"/>
              <w:jc w:val="both"/>
              <w:rPr>
                <w:sz w:val="27"/>
                <w:szCs w:val="27"/>
              </w:rPr>
            </w:pPr>
            <w:r w:rsidRPr="007945F9">
              <w:rPr>
                <w:sz w:val="27"/>
                <w:szCs w:val="27"/>
              </w:rPr>
              <w:t xml:space="preserve">Ieviests </w:t>
            </w:r>
          </w:p>
          <w:p w:rsidR="009F71D9" w:rsidRPr="007945F9" w:rsidRDefault="009F71D9" w:rsidP="009F71D9">
            <w:pPr>
              <w:pStyle w:val="naiskr"/>
              <w:spacing w:before="0" w:after="0"/>
              <w:ind w:right="-99"/>
              <w:jc w:val="both"/>
              <w:rPr>
                <w:sz w:val="27"/>
                <w:szCs w:val="27"/>
              </w:rPr>
            </w:pPr>
            <w:r w:rsidRPr="007945F9">
              <w:rPr>
                <w:sz w:val="27"/>
                <w:szCs w:val="27"/>
              </w:rPr>
              <w:t>Pilnībā</w:t>
            </w:r>
            <w:r>
              <w:rPr>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tcPr>
          <w:p w:rsidR="009F71D9" w:rsidRPr="007945F9" w:rsidRDefault="009F71D9" w:rsidP="009F71D9">
            <w:pPr>
              <w:pStyle w:val="naiskr"/>
              <w:spacing w:before="0" w:after="0"/>
              <w:ind w:right="-99"/>
              <w:jc w:val="both"/>
              <w:rPr>
                <w:sz w:val="27"/>
                <w:szCs w:val="27"/>
              </w:rPr>
            </w:pPr>
            <w:r w:rsidRPr="007945F9">
              <w:rPr>
                <w:sz w:val="27"/>
                <w:szCs w:val="27"/>
              </w:rPr>
              <w:t xml:space="preserve">Stingrākas prasības nav paredzētas.  </w:t>
            </w:r>
          </w:p>
        </w:tc>
      </w:tr>
      <w:tr w:rsidR="00E242D5" w:rsidRPr="007945F9" w:rsidTr="00267CB9">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rPr>
                <w:sz w:val="27"/>
                <w:szCs w:val="27"/>
              </w:rPr>
            </w:pPr>
            <w:r>
              <w:rPr>
                <w:sz w:val="27"/>
                <w:szCs w:val="27"/>
              </w:rPr>
              <w:t xml:space="preserve">6.pants </w:t>
            </w:r>
          </w:p>
        </w:tc>
        <w:tc>
          <w:tcPr>
            <w:tcW w:w="1984"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E242D5">
            <w:pPr>
              <w:pStyle w:val="naiskr"/>
              <w:spacing w:before="0" w:after="0"/>
              <w:ind w:right="-99"/>
              <w:rPr>
                <w:sz w:val="27"/>
                <w:szCs w:val="27"/>
              </w:rPr>
            </w:pPr>
            <w:r>
              <w:rPr>
                <w:sz w:val="27"/>
                <w:szCs w:val="27"/>
              </w:rPr>
              <w:t>12.</w:t>
            </w:r>
            <w:r w:rsidRPr="00E242D5">
              <w:rPr>
                <w:sz w:val="27"/>
                <w:szCs w:val="27"/>
                <w:vertAlign w:val="superscript"/>
              </w:rPr>
              <w:t>1</w:t>
            </w:r>
            <w:r>
              <w:rPr>
                <w:sz w:val="27"/>
                <w:szCs w:val="27"/>
              </w:rPr>
              <w:t xml:space="preserve"> punkts</w:t>
            </w:r>
          </w:p>
        </w:tc>
        <w:tc>
          <w:tcPr>
            <w:tcW w:w="1701"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rPr>
                <w:sz w:val="27"/>
                <w:szCs w:val="27"/>
              </w:rPr>
            </w:pPr>
            <w:r w:rsidRPr="007945F9">
              <w:rPr>
                <w:sz w:val="27"/>
                <w:szCs w:val="27"/>
              </w:rPr>
              <w:t>Ieviests pilnībā</w:t>
            </w:r>
            <w:r>
              <w:rPr>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E242D5">
            <w:pPr>
              <w:pStyle w:val="naiskr"/>
              <w:spacing w:before="0" w:after="0"/>
              <w:jc w:val="both"/>
              <w:rPr>
                <w:sz w:val="27"/>
                <w:szCs w:val="27"/>
              </w:rPr>
            </w:pPr>
            <w:r w:rsidRPr="007945F9">
              <w:rPr>
                <w:sz w:val="27"/>
                <w:szCs w:val="27"/>
              </w:rPr>
              <w:t xml:space="preserve">Stingrākas prasības nav paredzētas.  </w:t>
            </w:r>
          </w:p>
        </w:tc>
      </w:tr>
      <w:tr w:rsidR="00E242D5" w:rsidRPr="007945F9" w:rsidTr="00267CB9">
        <w:trPr>
          <w:trHeight w:val="281"/>
        </w:trPr>
        <w:tc>
          <w:tcPr>
            <w:tcW w:w="3289"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ind w:right="-99"/>
              <w:rPr>
                <w:sz w:val="27"/>
                <w:szCs w:val="27"/>
              </w:rPr>
            </w:pPr>
            <w:r w:rsidRPr="007945F9">
              <w:rPr>
                <w:sz w:val="27"/>
                <w:szCs w:val="27"/>
              </w:rPr>
              <w:t>Kā ir izmantota ES tiesību aktā paredzētā rīcības brīvība dalībvalstij pārņemt vai ieviest noteiktas ES tiesību akta normas.</w:t>
            </w:r>
          </w:p>
          <w:p w:rsidR="00E242D5" w:rsidRPr="007945F9" w:rsidRDefault="00E242D5" w:rsidP="00267CB9">
            <w:pPr>
              <w:pStyle w:val="naiskr"/>
              <w:spacing w:before="0" w:after="0"/>
              <w:ind w:right="-99"/>
              <w:rPr>
                <w:sz w:val="27"/>
                <w:szCs w:val="27"/>
              </w:rPr>
            </w:pPr>
            <w:r w:rsidRPr="007945F9">
              <w:rPr>
                <w:sz w:val="27"/>
                <w:szCs w:val="27"/>
              </w:rPr>
              <w:t>Kādēļ?</w:t>
            </w:r>
          </w:p>
        </w:tc>
        <w:tc>
          <w:tcPr>
            <w:tcW w:w="5953" w:type="dxa"/>
            <w:gridSpan w:val="3"/>
            <w:tcBorders>
              <w:top w:val="single" w:sz="4" w:space="0" w:color="auto"/>
              <w:left w:val="single" w:sz="4" w:space="0" w:color="auto"/>
              <w:bottom w:val="single" w:sz="4" w:space="0" w:color="auto"/>
              <w:right w:val="single" w:sz="4" w:space="0" w:color="auto"/>
            </w:tcBorders>
          </w:tcPr>
          <w:p w:rsidR="00E242D5" w:rsidRDefault="009849F8" w:rsidP="00CC17E2">
            <w:pPr>
              <w:pStyle w:val="naiskr"/>
              <w:spacing w:before="0" w:after="0"/>
              <w:ind w:right="-99"/>
              <w:jc w:val="both"/>
              <w:rPr>
                <w:color w:val="000000" w:themeColor="text1"/>
                <w:sz w:val="27"/>
                <w:szCs w:val="27"/>
              </w:rPr>
            </w:pPr>
            <w:r w:rsidRPr="00465476">
              <w:rPr>
                <w:color w:val="000000" w:themeColor="text1"/>
                <w:sz w:val="27"/>
                <w:szCs w:val="27"/>
              </w:rPr>
              <w:t>Eiropas Parlamenta un Padomes Direktīvas 98/6/EK (1998.gada 16.februāris) par patērētāju aizsardzību, norādot patērētājiem piedāvāto produktu cenas 5.panta pirm</w:t>
            </w:r>
            <w:r>
              <w:rPr>
                <w:color w:val="000000" w:themeColor="text1"/>
                <w:sz w:val="27"/>
                <w:szCs w:val="27"/>
              </w:rPr>
              <w:t>ā</w:t>
            </w:r>
            <w:r w:rsidRPr="00465476">
              <w:rPr>
                <w:color w:val="000000" w:themeColor="text1"/>
                <w:sz w:val="27"/>
                <w:szCs w:val="27"/>
              </w:rPr>
              <w:t xml:space="preserve"> da</w:t>
            </w:r>
            <w:r>
              <w:rPr>
                <w:color w:val="000000" w:themeColor="text1"/>
                <w:sz w:val="27"/>
                <w:szCs w:val="27"/>
              </w:rPr>
              <w:t xml:space="preserve">ļa </w:t>
            </w:r>
            <w:r w:rsidR="00EC50BB" w:rsidRPr="00EC50BB">
              <w:rPr>
                <w:i/>
                <w:color w:val="000000" w:themeColor="text1"/>
                <w:sz w:val="27"/>
                <w:szCs w:val="27"/>
              </w:rPr>
              <w:t>at</w:t>
            </w:r>
            <w:r w:rsidRPr="00EC50BB">
              <w:rPr>
                <w:i/>
                <w:color w:val="000000" w:themeColor="text1"/>
                <w:sz w:val="27"/>
                <w:szCs w:val="27"/>
              </w:rPr>
              <w:t>ļauj</w:t>
            </w:r>
            <w:r w:rsidRPr="00465476">
              <w:rPr>
                <w:i/>
                <w:color w:val="000000" w:themeColor="text1"/>
                <w:sz w:val="27"/>
                <w:szCs w:val="27"/>
              </w:rPr>
              <w:t xml:space="preserve"> dalībvalstīm atteikties no pienākuma norādīt vienības cenu produktiem, kuriem šāda norādīšana nebūtu lietderīga kon</w:t>
            </w:r>
            <w:r>
              <w:rPr>
                <w:i/>
                <w:color w:val="000000" w:themeColor="text1"/>
                <w:sz w:val="27"/>
                <w:szCs w:val="27"/>
              </w:rPr>
              <w:t>k</w:t>
            </w:r>
            <w:r w:rsidRPr="00465476">
              <w:rPr>
                <w:i/>
                <w:color w:val="000000" w:themeColor="text1"/>
                <w:sz w:val="27"/>
                <w:szCs w:val="27"/>
              </w:rPr>
              <w:t>rētā produkta veida vai izmantošanas nolūka dēļ, vai arī, ja tas varētu radīt neskaidr</w:t>
            </w:r>
            <w:r>
              <w:rPr>
                <w:i/>
                <w:color w:val="000000" w:themeColor="text1"/>
                <w:sz w:val="27"/>
                <w:szCs w:val="27"/>
              </w:rPr>
              <w:t>ības</w:t>
            </w:r>
            <w:r>
              <w:rPr>
                <w:color w:val="000000" w:themeColor="text1"/>
                <w:sz w:val="27"/>
                <w:szCs w:val="27"/>
              </w:rPr>
              <w:t>.</w:t>
            </w:r>
          </w:p>
          <w:p w:rsidR="009849F8" w:rsidRDefault="00CC17E2" w:rsidP="00CC17E2">
            <w:pPr>
              <w:pStyle w:val="naiskr"/>
              <w:spacing w:before="0" w:after="0"/>
              <w:ind w:right="-99"/>
              <w:jc w:val="both"/>
              <w:rPr>
                <w:color w:val="000000" w:themeColor="text1"/>
                <w:sz w:val="27"/>
                <w:szCs w:val="27"/>
              </w:rPr>
            </w:pPr>
            <w:r>
              <w:rPr>
                <w:color w:val="000000" w:themeColor="text1"/>
                <w:sz w:val="27"/>
                <w:szCs w:val="27"/>
              </w:rPr>
              <w:t>Izvērtējot pastāvošo praksi un lietderību mērvienības cenas norādīšanai abās valūtās atsevišķām precēm, MK noteikumu projekts nosaka sekojošus izņēmumus  precēm ar šādām pazīmēm:</w:t>
            </w:r>
            <w:r w:rsidR="009154EC">
              <w:rPr>
                <w:color w:val="000000" w:themeColor="text1"/>
                <w:sz w:val="27"/>
                <w:szCs w:val="27"/>
              </w:rPr>
              <w:t xml:space="preserve"> </w:t>
            </w:r>
          </w:p>
          <w:p w:rsidR="009154EC" w:rsidRPr="009154EC" w:rsidRDefault="009154EC" w:rsidP="009154EC">
            <w:pPr>
              <w:pStyle w:val="ListParagraph"/>
              <w:numPr>
                <w:ilvl w:val="0"/>
                <w:numId w:val="10"/>
              </w:numPr>
              <w:spacing w:before="120"/>
              <w:ind w:left="255" w:hanging="255"/>
              <w:jc w:val="both"/>
              <w:rPr>
                <w:sz w:val="28"/>
                <w:szCs w:val="28"/>
              </w:rPr>
            </w:pPr>
            <w:r>
              <w:rPr>
                <w:sz w:val="28"/>
                <w:szCs w:val="28"/>
              </w:rPr>
              <w:t xml:space="preserve"> </w:t>
            </w:r>
            <w:r w:rsidRPr="009154EC">
              <w:rPr>
                <w:sz w:val="28"/>
                <w:szCs w:val="28"/>
              </w:rPr>
              <w:t>dažādām precēm, ko pārdod vienā iepakojumā;</w:t>
            </w:r>
          </w:p>
          <w:p w:rsidR="009154EC" w:rsidRPr="001920CD" w:rsidRDefault="009154EC" w:rsidP="009154EC">
            <w:pPr>
              <w:tabs>
                <w:tab w:val="left" w:pos="709"/>
              </w:tabs>
              <w:jc w:val="both"/>
              <w:rPr>
                <w:sz w:val="28"/>
                <w:szCs w:val="28"/>
              </w:rPr>
            </w:pPr>
            <w:r>
              <w:rPr>
                <w:sz w:val="28"/>
                <w:szCs w:val="28"/>
              </w:rPr>
              <w:t xml:space="preserve">2) </w:t>
            </w:r>
            <w:r w:rsidRPr="001920CD">
              <w:rPr>
                <w:sz w:val="28"/>
                <w:szCs w:val="28"/>
              </w:rPr>
              <w:t xml:space="preserve"> sabiedriskās ēdināšanas vietās piedāvātajiem ēdieniem un dzērieniem;</w:t>
            </w:r>
          </w:p>
          <w:p w:rsidR="009154EC" w:rsidRPr="001920CD" w:rsidRDefault="009154EC" w:rsidP="009154EC">
            <w:pPr>
              <w:jc w:val="both"/>
              <w:rPr>
                <w:sz w:val="28"/>
                <w:szCs w:val="28"/>
              </w:rPr>
            </w:pPr>
            <w:r>
              <w:rPr>
                <w:sz w:val="28"/>
                <w:szCs w:val="28"/>
              </w:rPr>
              <w:t xml:space="preserve">3) </w:t>
            </w:r>
            <w:r w:rsidRPr="001920CD">
              <w:rPr>
                <w:sz w:val="28"/>
                <w:szCs w:val="28"/>
              </w:rPr>
              <w:t xml:space="preserve">pārtikas precēm, kuru sagatavošanai nepieciešams pievienot sastāvdaļas (piemēram, </w:t>
            </w:r>
            <w:r w:rsidRPr="001920CD">
              <w:rPr>
                <w:sz w:val="28"/>
                <w:szCs w:val="28"/>
              </w:rPr>
              <w:lastRenderedPageBreak/>
              <w:t>pienu, krējumu, olas vai citas sastāvdaļas), kuru cena nav uzskatāma par nenozīmīgu;</w:t>
            </w:r>
          </w:p>
          <w:p w:rsidR="009154EC" w:rsidRPr="001920CD" w:rsidRDefault="009154EC" w:rsidP="009154EC">
            <w:pPr>
              <w:tabs>
                <w:tab w:val="left" w:pos="709"/>
              </w:tabs>
              <w:jc w:val="both"/>
              <w:rPr>
                <w:sz w:val="28"/>
                <w:szCs w:val="28"/>
              </w:rPr>
            </w:pPr>
            <w:r>
              <w:rPr>
                <w:sz w:val="28"/>
                <w:szCs w:val="28"/>
              </w:rPr>
              <w:t xml:space="preserve">4) </w:t>
            </w:r>
            <w:r w:rsidRPr="001920CD">
              <w:rPr>
                <w:sz w:val="28"/>
                <w:szCs w:val="28"/>
              </w:rPr>
              <w:t xml:space="preserve"> precēm, kuru svars nepārsniedz 10 gramus vai kuru tilpums nepārsniedz 10 mililitrus;</w:t>
            </w:r>
          </w:p>
          <w:p w:rsidR="004E2896" w:rsidRPr="00CC17E2" w:rsidRDefault="009154EC" w:rsidP="009154EC">
            <w:pPr>
              <w:tabs>
                <w:tab w:val="left" w:pos="709"/>
              </w:tabs>
              <w:jc w:val="both"/>
              <w:rPr>
                <w:sz w:val="28"/>
                <w:szCs w:val="28"/>
              </w:rPr>
            </w:pPr>
            <w:r w:rsidRPr="00CC17E2">
              <w:rPr>
                <w:sz w:val="28"/>
                <w:szCs w:val="28"/>
              </w:rPr>
              <w:t xml:space="preserve">5) </w:t>
            </w:r>
            <w:r w:rsidR="004E2896" w:rsidRPr="00CC17E2">
              <w:rPr>
                <w:sz w:val="28"/>
                <w:szCs w:val="28"/>
              </w:rPr>
              <w:t>precēm, kuras pārdod gabalos, saišķos vai podiņos un</w:t>
            </w:r>
            <w:r w:rsidR="00CC17E2" w:rsidRPr="00CC17E2">
              <w:rPr>
                <w:sz w:val="28"/>
                <w:szCs w:val="28"/>
              </w:rPr>
              <w:t>,</w:t>
            </w:r>
            <w:r w:rsidR="004E2896" w:rsidRPr="00CC17E2">
              <w:rPr>
                <w:sz w:val="28"/>
                <w:szCs w:val="28"/>
              </w:rPr>
              <w:t xml:space="preserve"> kurām nav precīzi noteikta masa, tai skaitā, augļi</w:t>
            </w:r>
            <w:r w:rsidR="00CC17E2" w:rsidRPr="00CC17E2">
              <w:rPr>
                <w:sz w:val="28"/>
                <w:szCs w:val="28"/>
              </w:rPr>
              <w:t>em</w:t>
            </w:r>
            <w:r w:rsidR="004E2896" w:rsidRPr="00CC17E2">
              <w:rPr>
                <w:sz w:val="28"/>
                <w:szCs w:val="28"/>
              </w:rPr>
              <w:t>, augi</w:t>
            </w:r>
            <w:r w:rsidR="00CC17E2" w:rsidRPr="00CC17E2">
              <w:rPr>
                <w:sz w:val="28"/>
                <w:szCs w:val="28"/>
              </w:rPr>
              <w:t>em</w:t>
            </w:r>
            <w:r w:rsidR="004E2896" w:rsidRPr="00CC17E2">
              <w:rPr>
                <w:sz w:val="28"/>
                <w:szCs w:val="28"/>
              </w:rPr>
              <w:t>, dārzeņi</w:t>
            </w:r>
            <w:r w:rsidR="00CC17E2" w:rsidRPr="00CC17E2">
              <w:rPr>
                <w:sz w:val="28"/>
                <w:szCs w:val="28"/>
              </w:rPr>
              <w:t>em</w:t>
            </w:r>
            <w:r w:rsidR="004E2896" w:rsidRPr="00CC17E2">
              <w:rPr>
                <w:sz w:val="28"/>
                <w:szCs w:val="28"/>
              </w:rPr>
              <w:t>, smalkmaizīt</w:t>
            </w:r>
            <w:r w:rsidR="00CC17E2" w:rsidRPr="00CC17E2">
              <w:rPr>
                <w:sz w:val="28"/>
                <w:szCs w:val="28"/>
              </w:rPr>
              <w:t>ēm</w:t>
            </w:r>
            <w:r w:rsidR="004E2896" w:rsidRPr="00CC17E2">
              <w:rPr>
                <w:sz w:val="28"/>
                <w:szCs w:val="28"/>
              </w:rPr>
              <w:t>, kūk</w:t>
            </w:r>
            <w:r w:rsidR="00CC17E2" w:rsidRPr="00CC17E2">
              <w:rPr>
                <w:sz w:val="28"/>
                <w:szCs w:val="28"/>
              </w:rPr>
              <w:t>ām</w:t>
            </w:r>
            <w:r w:rsidR="004E2896" w:rsidRPr="00CC17E2">
              <w:rPr>
                <w:sz w:val="28"/>
                <w:szCs w:val="28"/>
              </w:rPr>
              <w:t>;</w:t>
            </w:r>
          </w:p>
          <w:p w:rsidR="009154EC" w:rsidRDefault="00CC17E2" w:rsidP="009154EC">
            <w:pPr>
              <w:tabs>
                <w:tab w:val="left" w:pos="709"/>
              </w:tabs>
              <w:jc w:val="both"/>
              <w:rPr>
                <w:sz w:val="28"/>
                <w:szCs w:val="28"/>
              </w:rPr>
            </w:pPr>
            <w:r w:rsidRPr="00CC17E2">
              <w:rPr>
                <w:sz w:val="28"/>
                <w:szCs w:val="28"/>
              </w:rPr>
              <w:t>6</w:t>
            </w:r>
            <w:r w:rsidR="009154EC" w:rsidRPr="00CC17E2">
              <w:rPr>
                <w:sz w:val="28"/>
                <w:szCs w:val="28"/>
              </w:rPr>
              <w:t>)</w:t>
            </w:r>
            <w:r w:rsidR="009154EC">
              <w:rPr>
                <w:sz w:val="28"/>
                <w:szCs w:val="28"/>
              </w:rPr>
              <w:t xml:space="preserve">  citām </w:t>
            </w:r>
            <w:r w:rsidR="009154EC" w:rsidRPr="001920CD">
              <w:rPr>
                <w:sz w:val="28"/>
                <w:szCs w:val="28"/>
              </w:rPr>
              <w:t>precēm, kurām šāda norāde nav lietderīga vai tā varētu radīt pārpratumu</w:t>
            </w:r>
            <w:r w:rsidR="009154EC">
              <w:rPr>
                <w:sz w:val="28"/>
                <w:szCs w:val="28"/>
              </w:rPr>
              <w:t>.</w:t>
            </w:r>
          </w:p>
          <w:p w:rsidR="004E2896" w:rsidRPr="009154EC" w:rsidRDefault="004E2896" w:rsidP="00CC17E2">
            <w:pPr>
              <w:tabs>
                <w:tab w:val="left" w:pos="709"/>
              </w:tabs>
              <w:jc w:val="both"/>
              <w:rPr>
                <w:sz w:val="28"/>
                <w:szCs w:val="28"/>
              </w:rPr>
            </w:pPr>
          </w:p>
        </w:tc>
      </w:tr>
      <w:tr w:rsidR="00E242D5" w:rsidRPr="007945F9" w:rsidTr="00267CB9">
        <w:trPr>
          <w:trHeight w:val="913"/>
        </w:trPr>
        <w:tc>
          <w:tcPr>
            <w:tcW w:w="3289" w:type="dxa"/>
            <w:tcBorders>
              <w:top w:val="single" w:sz="4" w:space="0" w:color="auto"/>
              <w:left w:val="single" w:sz="4" w:space="0" w:color="auto"/>
              <w:bottom w:val="single" w:sz="4" w:space="0" w:color="auto"/>
              <w:right w:val="single" w:sz="4" w:space="0" w:color="auto"/>
            </w:tcBorders>
            <w:vAlign w:val="center"/>
          </w:tcPr>
          <w:p w:rsidR="00E242D5" w:rsidRPr="007945F9" w:rsidRDefault="00E242D5" w:rsidP="00267CB9">
            <w:pPr>
              <w:pStyle w:val="naiskr"/>
              <w:spacing w:before="0" w:after="0"/>
              <w:ind w:right="32"/>
              <w:rPr>
                <w:i/>
                <w:sz w:val="27"/>
                <w:szCs w:val="27"/>
              </w:rPr>
            </w:pPr>
            <w:r w:rsidRPr="007945F9">
              <w:rPr>
                <w:sz w:val="27"/>
                <w:szCs w:val="27"/>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953" w:type="dxa"/>
            <w:gridSpan w:val="3"/>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spacing w:before="0" w:after="0"/>
              <w:ind w:right="-99"/>
              <w:rPr>
                <w:sz w:val="27"/>
                <w:szCs w:val="27"/>
              </w:rPr>
            </w:pPr>
            <w:r w:rsidRPr="007945F9">
              <w:rPr>
                <w:sz w:val="27"/>
                <w:szCs w:val="27"/>
              </w:rPr>
              <w:t>Projekts šo jomu neskar.</w:t>
            </w:r>
          </w:p>
        </w:tc>
      </w:tr>
      <w:tr w:rsidR="00E242D5" w:rsidRPr="007945F9" w:rsidTr="00267CB9">
        <w:trPr>
          <w:trHeight w:val="382"/>
        </w:trPr>
        <w:tc>
          <w:tcPr>
            <w:tcW w:w="3289" w:type="dxa"/>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spacing w:before="0" w:after="0"/>
              <w:ind w:right="-99"/>
              <w:rPr>
                <w:sz w:val="27"/>
                <w:szCs w:val="27"/>
              </w:rPr>
            </w:pPr>
            <w:r w:rsidRPr="007945F9">
              <w:rPr>
                <w:sz w:val="27"/>
                <w:szCs w:val="27"/>
              </w:rPr>
              <w:t>Cita informācija</w:t>
            </w:r>
          </w:p>
        </w:tc>
        <w:tc>
          <w:tcPr>
            <w:tcW w:w="5953" w:type="dxa"/>
            <w:gridSpan w:val="3"/>
            <w:tcBorders>
              <w:top w:val="single" w:sz="4" w:space="0" w:color="auto"/>
              <w:left w:val="single" w:sz="4" w:space="0" w:color="auto"/>
              <w:bottom w:val="single" w:sz="4" w:space="0" w:color="auto"/>
              <w:right w:val="single" w:sz="4" w:space="0" w:color="auto"/>
            </w:tcBorders>
          </w:tcPr>
          <w:p w:rsidR="00E242D5" w:rsidRPr="007945F9" w:rsidRDefault="00E242D5" w:rsidP="00267CB9">
            <w:pPr>
              <w:pStyle w:val="naiskr"/>
              <w:spacing w:before="0" w:after="0"/>
              <w:ind w:right="-99"/>
              <w:jc w:val="both"/>
              <w:rPr>
                <w:i/>
                <w:sz w:val="27"/>
                <w:szCs w:val="27"/>
              </w:rPr>
            </w:pPr>
            <w:r w:rsidRPr="007945F9">
              <w:rPr>
                <w:sz w:val="27"/>
                <w:szCs w:val="27"/>
              </w:rPr>
              <w:t>Nav</w:t>
            </w:r>
          </w:p>
        </w:tc>
      </w:tr>
    </w:tbl>
    <w:p w:rsidR="00E242D5" w:rsidRPr="00D92592" w:rsidRDefault="00E242D5" w:rsidP="002A1BA2">
      <w:pPr>
        <w:pStyle w:val="NormalWeb"/>
        <w:rPr>
          <w:sz w:val="28"/>
          <w:szCs w:val="28"/>
        </w:rPr>
      </w:pPr>
    </w:p>
    <w:tbl>
      <w:tblPr>
        <w:tblW w:w="5279"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3201"/>
        <w:gridCol w:w="5881"/>
      </w:tblGrid>
      <w:tr w:rsidR="002A1BA2" w:rsidRPr="009F71D9" w:rsidTr="001A0A4A">
        <w:trPr>
          <w:jc w:val="center"/>
        </w:trPr>
        <w:tc>
          <w:tcPr>
            <w:tcW w:w="9565" w:type="dxa"/>
            <w:gridSpan w:val="3"/>
            <w:tcBorders>
              <w:top w:val="single" w:sz="4" w:space="0" w:color="auto"/>
            </w:tcBorders>
          </w:tcPr>
          <w:p w:rsidR="002A1BA2" w:rsidRPr="009F71D9" w:rsidRDefault="002A1BA2" w:rsidP="001A0A4A">
            <w:pPr>
              <w:pStyle w:val="naisnod"/>
              <w:spacing w:before="0" w:after="0"/>
              <w:ind w:left="57" w:right="57"/>
              <w:rPr>
                <w:sz w:val="27"/>
                <w:szCs w:val="27"/>
              </w:rPr>
            </w:pPr>
            <w:r w:rsidRPr="009F71D9">
              <w:rPr>
                <w:sz w:val="27"/>
                <w:szCs w:val="27"/>
              </w:rPr>
              <w:t>VII. Tiesību akta projekta izpildes nodrošināšana un tās ietekme uz institūcijām</w:t>
            </w:r>
          </w:p>
        </w:tc>
      </w:tr>
      <w:tr w:rsidR="002A1BA2" w:rsidRPr="009F71D9" w:rsidTr="001A0A4A">
        <w:trPr>
          <w:trHeight w:val="427"/>
          <w:jc w:val="center"/>
        </w:trPr>
        <w:tc>
          <w:tcPr>
            <w:tcW w:w="550" w:type="dxa"/>
          </w:tcPr>
          <w:p w:rsidR="002A1BA2" w:rsidRPr="009F71D9" w:rsidRDefault="002A1BA2" w:rsidP="001A0A4A">
            <w:pPr>
              <w:pStyle w:val="naisnod"/>
              <w:spacing w:before="0" w:after="0"/>
              <w:ind w:left="57" w:right="57"/>
              <w:jc w:val="left"/>
              <w:rPr>
                <w:b w:val="0"/>
                <w:sz w:val="27"/>
                <w:szCs w:val="27"/>
              </w:rPr>
            </w:pPr>
            <w:r w:rsidRPr="009F71D9">
              <w:rPr>
                <w:b w:val="0"/>
                <w:sz w:val="27"/>
                <w:szCs w:val="27"/>
              </w:rPr>
              <w:t>1.</w:t>
            </w:r>
          </w:p>
        </w:tc>
        <w:tc>
          <w:tcPr>
            <w:tcW w:w="3177" w:type="dxa"/>
          </w:tcPr>
          <w:p w:rsidR="002A1BA2" w:rsidRPr="009F71D9" w:rsidRDefault="002A1BA2" w:rsidP="001A0A4A">
            <w:pPr>
              <w:pStyle w:val="naisf"/>
              <w:spacing w:before="0" w:after="0"/>
              <w:ind w:left="57" w:right="57" w:firstLine="0"/>
              <w:jc w:val="left"/>
              <w:rPr>
                <w:sz w:val="27"/>
                <w:szCs w:val="27"/>
              </w:rPr>
            </w:pPr>
            <w:r w:rsidRPr="009F71D9">
              <w:rPr>
                <w:sz w:val="27"/>
                <w:szCs w:val="27"/>
              </w:rPr>
              <w:t xml:space="preserve">Projekta izpildē iesaistītās institūcijas </w:t>
            </w:r>
          </w:p>
        </w:tc>
        <w:tc>
          <w:tcPr>
            <w:tcW w:w="5838" w:type="dxa"/>
          </w:tcPr>
          <w:p w:rsidR="002A1BA2" w:rsidRPr="009F71D9" w:rsidRDefault="002A1BA2" w:rsidP="001A0A4A">
            <w:pPr>
              <w:pStyle w:val="naisnod"/>
              <w:spacing w:before="0" w:after="0"/>
              <w:ind w:left="57" w:right="57"/>
              <w:jc w:val="both"/>
              <w:rPr>
                <w:b w:val="0"/>
                <w:sz w:val="27"/>
                <w:szCs w:val="27"/>
              </w:rPr>
            </w:pPr>
            <w:r w:rsidRPr="009F71D9">
              <w:rPr>
                <w:b w:val="0"/>
                <w:sz w:val="27"/>
                <w:szCs w:val="27"/>
              </w:rPr>
              <w:t>Projekta izpildi nodrošina Patērētāju tiesību aizsardzības centrs.</w:t>
            </w:r>
          </w:p>
        </w:tc>
      </w:tr>
      <w:tr w:rsidR="002A1BA2" w:rsidRPr="009F71D9" w:rsidTr="001A0A4A">
        <w:trPr>
          <w:trHeight w:val="463"/>
          <w:jc w:val="center"/>
        </w:trPr>
        <w:tc>
          <w:tcPr>
            <w:tcW w:w="550" w:type="dxa"/>
          </w:tcPr>
          <w:p w:rsidR="002A1BA2" w:rsidRPr="009F71D9" w:rsidRDefault="002A1BA2" w:rsidP="001A0A4A">
            <w:pPr>
              <w:pStyle w:val="naisnod"/>
              <w:spacing w:before="0" w:after="0"/>
              <w:ind w:left="57" w:right="57"/>
              <w:jc w:val="left"/>
              <w:rPr>
                <w:b w:val="0"/>
                <w:sz w:val="27"/>
                <w:szCs w:val="27"/>
              </w:rPr>
            </w:pPr>
            <w:r w:rsidRPr="009F71D9">
              <w:rPr>
                <w:b w:val="0"/>
                <w:sz w:val="27"/>
                <w:szCs w:val="27"/>
              </w:rPr>
              <w:t>2.</w:t>
            </w:r>
          </w:p>
        </w:tc>
        <w:tc>
          <w:tcPr>
            <w:tcW w:w="3177" w:type="dxa"/>
          </w:tcPr>
          <w:p w:rsidR="002A1BA2" w:rsidRPr="009F71D9" w:rsidRDefault="002A1BA2" w:rsidP="001A0A4A">
            <w:pPr>
              <w:pStyle w:val="naisf"/>
              <w:spacing w:before="0" w:after="0"/>
              <w:ind w:left="57" w:right="57" w:firstLine="0"/>
              <w:jc w:val="left"/>
              <w:rPr>
                <w:sz w:val="27"/>
                <w:szCs w:val="27"/>
              </w:rPr>
            </w:pPr>
            <w:r w:rsidRPr="009F71D9">
              <w:rPr>
                <w:sz w:val="27"/>
                <w:szCs w:val="27"/>
              </w:rPr>
              <w:t xml:space="preserve">Projekta izpildes ietekme uz pārvaldes funkcijām </w:t>
            </w:r>
          </w:p>
        </w:tc>
        <w:tc>
          <w:tcPr>
            <w:tcW w:w="5838" w:type="dxa"/>
          </w:tcPr>
          <w:p w:rsidR="002A1BA2" w:rsidRPr="009F71D9" w:rsidRDefault="00433883" w:rsidP="001A0A4A">
            <w:pPr>
              <w:pStyle w:val="naisnod"/>
              <w:spacing w:before="0" w:after="0"/>
              <w:ind w:left="57" w:right="57"/>
              <w:jc w:val="both"/>
              <w:rPr>
                <w:b w:val="0"/>
                <w:sz w:val="27"/>
                <w:szCs w:val="27"/>
              </w:rPr>
            </w:pPr>
            <w:r w:rsidRPr="009F71D9">
              <w:rPr>
                <w:b w:val="0"/>
                <w:sz w:val="27"/>
                <w:szCs w:val="27"/>
              </w:rPr>
              <w:t>Projekts šo jomu neskar</w:t>
            </w:r>
          </w:p>
        </w:tc>
      </w:tr>
      <w:tr w:rsidR="002A1BA2" w:rsidRPr="009F71D9" w:rsidTr="001A0A4A">
        <w:trPr>
          <w:trHeight w:val="725"/>
          <w:jc w:val="center"/>
        </w:trPr>
        <w:tc>
          <w:tcPr>
            <w:tcW w:w="550" w:type="dxa"/>
          </w:tcPr>
          <w:p w:rsidR="002A1BA2" w:rsidRPr="009F71D9" w:rsidRDefault="002A1BA2" w:rsidP="001A0A4A">
            <w:pPr>
              <w:pStyle w:val="naisnod"/>
              <w:spacing w:before="0" w:after="0"/>
              <w:ind w:left="57" w:right="57"/>
              <w:jc w:val="left"/>
              <w:rPr>
                <w:b w:val="0"/>
                <w:sz w:val="27"/>
                <w:szCs w:val="27"/>
              </w:rPr>
            </w:pPr>
            <w:r w:rsidRPr="009F71D9">
              <w:rPr>
                <w:b w:val="0"/>
                <w:sz w:val="27"/>
                <w:szCs w:val="27"/>
              </w:rPr>
              <w:t>3.</w:t>
            </w:r>
          </w:p>
        </w:tc>
        <w:tc>
          <w:tcPr>
            <w:tcW w:w="3177" w:type="dxa"/>
          </w:tcPr>
          <w:p w:rsidR="002A1BA2" w:rsidRPr="009F71D9" w:rsidRDefault="002A1BA2" w:rsidP="001A0A4A">
            <w:pPr>
              <w:pStyle w:val="naisf"/>
              <w:spacing w:before="0" w:after="0"/>
              <w:ind w:left="57" w:right="57" w:firstLine="0"/>
              <w:jc w:val="left"/>
              <w:rPr>
                <w:sz w:val="27"/>
                <w:szCs w:val="27"/>
              </w:rPr>
            </w:pPr>
            <w:r w:rsidRPr="009F71D9">
              <w:rPr>
                <w:sz w:val="27"/>
                <w:szCs w:val="27"/>
              </w:rPr>
              <w:t>Projekta izpildes ietekme uz pārvaldes institucionālo struktūru.</w:t>
            </w:r>
          </w:p>
          <w:p w:rsidR="002A1BA2" w:rsidRPr="009F71D9" w:rsidRDefault="002A1BA2" w:rsidP="001A0A4A">
            <w:pPr>
              <w:pStyle w:val="naisf"/>
              <w:spacing w:before="0" w:after="0"/>
              <w:ind w:left="57" w:right="57" w:firstLine="0"/>
              <w:jc w:val="left"/>
              <w:rPr>
                <w:sz w:val="27"/>
                <w:szCs w:val="27"/>
              </w:rPr>
            </w:pPr>
            <w:r w:rsidRPr="009F71D9">
              <w:rPr>
                <w:sz w:val="27"/>
                <w:szCs w:val="27"/>
              </w:rPr>
              <w:t>Jaunu institūciju izveide</w:t>
            </w:r>
          </w:p>
        </w:tc>
        <w:tc>
          <w:tcPr>
            <w:tcW w:w="5838" w:type="dxa"/>
          </w:tcPr>
          <w:p w:rsidR="002A1BA2" w:rsidRPr="009F71D9" w:rsidRDefault="00433883" w:rsidP="001A0A4A">
            <w:pPr>
              <w:pStyle w:val="naisnod"/>
              <w:spacing w:before="0" w:after="0"/>
              <w:ind w:left="57" w:right="57"/>
              <w:jc w:val="left"/>
              <w:rPr>
                <w:b w:val="0"/>
                <w:sz w:val="27"/>
                <w:szCs w:val="27"/>
              </w:rPr>
            </w:pPr>
            <w:r w:rsidRPr="009F71D9">
              <w:rPr>
                <w:b w:val="0"/>
                <w:sz w:val="27"/>
                <w:szCs w:val="27"/>
              </w:rPr>
              <w:t>Projekts šo jomu neskar</w:t>
            </w:r>
          </w:p>
        </w:tc>
      </w:tr>
      <w:tr w:rsidR="002A1BA2" w:rsidRPr="009F71D9" w:rsidTr="001A0A4A">
        <w:trPr>
          <w:trHeight w:val="780"/>
          <w:jc w:val="center"/>
        </w:trPr>
        <w:tc>
          <w:tcPr>
            <w:tcW w:w="550" w:type="dxa"/>
          </w:tcPr>
          <w:p w:rsidR="002A1BA2" w:rsidRPr="009F71D9" w:rsidRDefault="002A1BA2" w:rsidP="001A0A4A">
            <w:pPr>
              <w:pStyle w:val="naisnod"/>
              <w:spacing w:before="0" w:after="0"/>
              <w:ind w:left="57" w:right="57"/>
              <w:jc w:val="left"/>
              <w:rPr>
                <w:b w:val="0"/>
                <w:sz w:val="27"/>
                <w:szCs w:val="27"/>
              </w:rPr>
            </w:pPr>
            <w:r w:rsidRPr="009F71D9">
              <w:rPr>
                <w:b w:val="0"/>
                <w:sz w:val="27"/>
                <w:szCs w:val="27"/>
              </w:rPr>
              <w:t>4.</w:t>
            </w:r>
          </w:p>
        </w:tc>
        <w:tc>
          <w:tcPr>
            <w:tcW w:w="3177" w:type="dxa"/>
          </w:tcPr>
          <w:p w:rsidR="002A1BA2" w:rsidRPr="009F71D9" w:rsidRDefault="002A1BA2" w:rsidP="001A0A4A">
            <w:pPr>
              <w:pStyle w:val="naisf"/>
              <w:spacing w:before="0" w:after="0"/>
              <w:ind w:left="57" w:right="57" w:firstLine="0"/>
              <w:jc w:val="left"/>
              <w:rPr>
                <w:sz w:val="27"/>
                <w:szCs w:val="27"/>
              </w:rPr>
            </w:pPr>
            <w:r w:rsidRPr="009F71D9">
              <w:rPr>
                <w:sz w:val="27"/>
                <w:szCs w:val="27"/>
              </w:rPr>
              <w:t>Projekta izpildes ietekme uz pārvaldes institucionālo struktūru.</w:t>
            </w:r>
          </w:p>
          <w:p w:rsidR="002A1BA2" w:rsidRPr="009F71D9" w:rsidRDefault="002A1BA2" w:rsidP="001A0A4A">
            <w:pPr>
              <w:pStyle w:val="naisf"/>
              <w:spacing w:before="0" w:after="0"/>
              <w:ind w:left="57" w:right="57" w:firstLine="0"/>
              <w:jc w:val="left"/>
              <w:rPr>
                <w:sz w:val="27"/>
                <w:szCs w:val="27"/>
              </w:rPr>
            </w:pPr>
            <w:r w:rsidRPr="009F71D9">
              <w:rPr>
                <w:sz w:val="27"/>
                <w:szCs w:val="27"/>
              </w:rPr>
              <w:t>Esošu institūciju likvidācija</w:t>
            </w:r>
          </w:p>
        </w:tc>
        <w:tc>
          <w:tcPr>
            <w:tcW w:w="5838" w:type="dxa"/>
          </w:tcPr>
          <w:p w:rsidR="002A1BA2" w:rsidRPr="009F71D9" w:rsidRDefault="002A1BA2" w:rsidP="001A0A4A">
            <w:pPr>
              <w:pStyle w:val="naisnod"/>
              <w:spacing w:before="0" w:after="0"/>
              <w:ind w:left="57" w:right="57"/>
              <w:jc w:val="left"/>
              <w:rPr>
                <w:b w:val="0"/>
                <w:sz w:val="27"/>
                <w:szCs w:val="27"/>
              </w:rPr>
            </w:pPr>
            <w:r w:rsidRPr="009F71D9">
              <w:rPr>
                <w:b w:val="0"/>
                <w:sz w:val="27"/>
                <w:szCs w:val="27"/>
              </w:rPr>
              <w:t>Projekts šo jomu neskar</w:t>
            </w:r>
          </w:p>
        </w:tc>
      </w:tr>
      <w:tr w:rsidR="002A1BA2" w:rsidRPr="009F71D9" w:rsidTr="001A0A4A">
        <w:trPr>
          <w:trHeight w:val="703"/>
          <w:jc w:val="center"/>
        </w:trPr>
        <w:tc>
          <w:tcPr>
            <w:tcW w:w="550" w:type="dxa"/>
          </w:tcPr>
          <w:p w:rsidR="002A1BA2" w:rsidRPr="009F71D9" w:rsidRDefault="002A1BA2" w:rsidP="001A0A4A">
            <w:pPr>
              <w:pStyle w:val="naisnod"/>
              <w:spacing w:before="0" w:after="0"/>
              <w:ind w:left="57" w:right="57"/>
              <w:jc w:val="left"/>
              <w:rPr>
                <w:b w:val="0"/>
                <w:sz w:val="27"/>
                <w:szCs w:val="27"/>
              </w:rPr>
            </w:pPr>
            <w:r w:rsidRPr="009F71D9">
              <w:rPr>
                <w:b w:val="0"/>
                <w:sz w:val="27"/>
                <w:szCs w:val="27"/>
              </w:rPr>
              <w:t>5.</w:t>
            </w:r>
          </w:p>
        </w:tc>
        <w:tc>
          <w:tcPr>
            <w:tcW w:w="3177" w:type="dxa"/>
          </w:tcPr>
          <w:p w:rsidR="002A1BA2" w:rsidRPr="009F71D9" w:rsidRDefault="002A1BA2" w:rsidP="001A0A4A">
            <w:pPr>
              <w:pStyle w:val="naisf"/>
              <w:spacing w:before="0" w:after="0"/>
              <w:ind w:left="57" w:right="57" w:firstLine="0"/>
              <w:jc w:val="left"/>
              <w:rPr>
                <w:sz w:val="27"/>
                <w:szCs w:val="27"/>
              </w:rPr>
            </w:pPr>
            <w:r w:rsidRPr="009F71D9">
              <w:rPr>
                <w:sz w:val="27"/>
                <w:szCs w:val="27"/>
              </w:rPr>
              <w:t>Projekta izpildes ietekme uz pārvaldes institucionālo struktūru.</w:t>
            </w:r>
          </w:p>
          <w:p w:rsidR="002A1BA2" w:rsidRPr="009F71D9" w:rsidRDefault="002A1BA2" w:rsidP="001A0A4A">
            <w:pPr>
              <w:pStyle w:val="naisf"/>
              <w:spacing w:before="0" w:after="0"/>
              <w:ind w:left="57" w:right="57" w:firstLine="0"/>
              <w:jc w:val="left"/>
              <w:rPr>
                <w:sz w:val="27"/>
                <w:szCs w:val="27"/>
              </w:rPr>
            </w:pPr>
            <w:r w:rsidRPr="009F71D9">
              <w:rPr>
                <w:sz w:val="27"/>
                <w:szCs w:val="27"/>
              </w:rPr>
              <w:t xml:space="preserve">Esošu institūciju </w:t>
            </w:r>
            <w:r w:rsidRPr="009F71D9">
              <w:rPr>
                <w:sz w:val="27"/>
                <w:szCs w:val="27"/>
              </w:rPr>
              <w:lastRenderedPageBreak/>
              <w:t>reorganizācija</w:t>
            </w:r>
          </w:p>
        </w:tc>
        <w:tc>
          <w:tcPr>
            <w:tcW w:w="5838" w:type="dxa"/>
          </w:tcPr>
          <w:p w:rsidR="002A1BA2" w:rsidRPr="009F71D9" w:rsidRDefault="002A1BA2" w:rsidP="001A0A4A">
            <w:pPr>
              <w:pStyle w:val="naisnod"/>
              <w:spacing w:before="0" w:after="0"/>
              <w:ind w:left="57" w:right="57"/>
              <w:jc w:val="both"/>
              <w:rPr>
                <w:b w:val="0"/>
                <w:sz w:val="27"/>
                <w:szCs w:val="27"/>
              </w:rPr>
            </w:pPr>
            <w:r w:rsidRPr="009F71D9">
              <w:rPr>
                <w:b w:val="0"/>
                <w:sz w:val="27"/>
                <w:szCs w:val="27"/>
              </w:rPr>
              <w:lastRenderedPageBreak/>
              <w:t>Projekts šo jomu neskar</w:t>
            </w:r>
          </w:p>
        </w:tc>
      </w:tr>
      <w:tr w:rsidR="002A1BA2" w:rsidRPr="009F71D9" w:rsidTr="001A0A4A">
        <w:trPr>
          <w:trHeight w:val="476"/>
          <w:jc w:val="center"/>
        </w:trPr>
        <w:tc>
          <w:tcPr>
            <w:tcW w:w="550" w:type="dxa"/>
          </w:tcPr>
          <w:p w:rsidR="002A1BA2" w:rsidRPr="009F71D9" w:rsidRDefault="002A1BA2" w:rsidP="001A0A4A">
            <w:pPr>
              <w:pStyle w:val="naiskr"/>
              <w:spacing w:before="0" w:after="0"/>
              <w:ind w:left="57" w:right="57"/>
              <w:rPr>
                <w:sz w:val="27"/>
                <w:szCs w:val="27"/>
              </w:rPr>
            </w:pPr>
            <w:r w:rsidRPr="009F71D9">
              <w:rPr>
                <w:sz w:val="27"/>
                <w:szCs w:val="27"/>
              </w:rPr>
              <w:lastRenderedPageBreak/>
              <w:t>6.</w:t>
            </w:r>
          </w:p>
        </w:tc>
        <w:tc>
          <w:tcPr>
            <w:tcW w:w="3177" w:type="dxa"/>
          </w:tcPr>
          <w:p w:rsidR="002A1BA2" w:rsidRPr="009F71D9" w:rsidRDefault="002A1BA2" w:rsidP="001A0A4A">
            <w:pPr>
              <w:pStyle w:val="naiskr"/>
              <w:spacing w:before="0" w:after="0"/>
              <w:ind w:left="57" w:right="57"/>
              <w:rPr>
                <w:sz w:val="27"/>
                <w:szCs w:val="27"/>
              </w:rPr>
            </w:pPr>
            <w:r w:rsidRPr="009F71D9">
              <w:rPr>
                <w:sz w:val="27"/>
                <w:szCs w:val="27"/>
              </w:rPr>
              <w:t>Cita informācija</w:t>
            </w:r>
          </w:p>
        </w:tc>
        <w:tc>
          <w:tcPr>
            <w:tcW w:w="5838" w:type="dxa"/>
          </w:tcPr>
          <w:p w:rsidR="002A1BA2" w:rsidRPr="009F71D9" w:rsidRDefault="002A1BA2" w:rsidP="001A0A4A">
            <w:pPr>
              <w:pStyle w:val="naiskr"/>
              <w:spacing w:before="0" w:after="0"/>
              <w:ind w:left="57" w:right="57"/>
              <w:rPr>
                <w:sz w:val="27"/>
                <w:szCs w:val="27"/>
              </w:rPr>
            </w:pPr>
            <w:r w:rsidRPr="009F71D9">
              <w:rPr>
                <w:sz w:val="27"/>
                <w:szCs w:val="27"/>
              </w:rPr>
              <w:t>Nav</w:t>
            </w:r>
          </w:p>
        </w:tc>
      </w:tr>
    </w:tbl>
    <w:p w:rsidR="001B5D4B" w:rsidRDefault="001B5D4B" w:rsidP="00DA20A0">
      <w:pPr>
        <w:pStyle w:val="Subtitle"/>
        <w:tabs>
          <w:tab w:val="left" w:pos="6096"/>
        </w:tabs>
        <w:ind w:left="0"/>
        <w:rPr>
          <w:szCs w:val="28"/>
        </w:rPr>
      </w:pPr>
    </w:p>
    <w:p w:rsidR="009F71D9" w:rsidRDefault="009F71D9" w:rsidP="00DA20A0">
      <w:pPr>
        <w:pStyle w:val="Subtitle"/>
        <w:tabs>
          <w:tab w:val="left" w:pos="6096"/>
        </w:tabs>
        <w:ind w:left="0"/>
        <w:rPr>
          <w:szCs w:val="28"/>
        </w:rPr>
      </w:pPr>
    </w:p>
    <w:p w:rsidR="003D37A2" w:rsidRDefault="003D37A2" w:rsidP="00DA20A0">
      <w:pPr>
        <w:pStyle w:val="Subtitle"/>
        <w:tabs>
          <w:tab w:val="left" w:pos="6096"/>
        </w:tabs>
        <w:ind w:left="0"/>
        <w:rPr>
          <w:szCs w:val="28"/>
        </w:rPr>
      </w:pPr>
    </w:p>
    <w:p w:rsidR="009F71D9" w:rsidRDefault="009F71D9" w:rsidP="00DA20A0">
      <w:pPr>
        <w:pStyle w:val="Subtitle"/>
        <w:tabs>
          <w:tab w:val="left" w:pos="6096"/>
        </w:tabs>
        <w:ind w:left="0"/>
        <w:rPr>
          <w:szCs w:val="28"/>
        </w:rPr>
      </w:pPr>
    </w:p>
    <w:p w:rsidR="00274AC8" w:rsidRDefault="00274AC8" w:rsidP="00274AC8">
      <w:pPr>
        <w:pStyle w:val="Subtitle"/>
        <w:tabs>
          <w:tab w:val="left" w:pos="6096"/>
        </w:tabs>
        <w:ind w:left="0"/>
        <w:rPr>
          <w:szCs w:val="28"/>
        </w:rPr>
      </w:pPr>
      <w:r>
        <w:rPr>
          <w:szCs w:val="28"/>
        </w:rPr>
        <w:t>Ekonomikas ministr</w:t>
      </w:r>
      <w:r w:rsidR="00243033">
        <w:rPr>
          <w:szCs w:val="28"/>
        </w:rPr>
        <w:t>s</w:t>
      </w:r>
      <w:r>
        <w:rPr>
          <w:szCs w:val="28"/>
        </w:rPr>
        <w:tab/>
        <w:t xml:space="preserve">                  </w:t>
      </w:r>
      <w:proofErr w:type="spellStart"/>
      <w:r w:rsidR="00243033">
        <w:rPr>
          <w:szCs w:val="28"/>
        </w:rPr>
        <w:t>D.Pavļuts</w:t>
      </w:r>
      <w:proofErr w:type="spellEnd"/>
    </w:p>
    <w:p w:rsidR="00DA20A0" w:rsidRDefault="00DA20A0" w:rsidP="00DA20A0">
      <w:pPr>
        <w:rPr>
          <w:b/>
          <w:bCs/>
          <w:sz w:val="28"/>
          <w:szCs w:val="28"/>
        </w:rPr>
      </w:pPr>
    </w:p>
    <w:p w:rsidR="001B5D4B" w:rsidRDefault="001B5D4B" w:rsidP="00DA20A0">
      <w:pPr>
        <w:rPr>
          <w:b/>
          <w:bCs/>
          <w:sz w:val="28"/>
          <w:szCs w:val="28"/>
        </w:rPr>
      </w:pPr>
    </w:p>
    <w:p w:rsidR="003D37A2" w:rsidRDefault="003D37A2" w:rsidP="00DA20A0">
      <w:pPr>
        <w:rPr>
          <w:b/>
          <w:bCs/>
          <w:sz w:val="28"/>
          <w:szCs w:val="28"/>
        </w:rPr>
      </w:pPr>
    </w:p>
    <w:p w:rsidR="003D37A2" w:rsidRDefault="003D37A2" w:rsidP="00DA20A0">
      <w:pPr>
        <w:rPr>
          <w:b/>
          <w:bCs/>
          <w:sz w:val="28"/>
          <w:szCs w:val="28"/>
        </w:rPr>
      </w:pPr>
    </w:p>
    <w:p w:rsidR="002A1BA2" w:rsidRDefault="002A1BA2" w:rsidP="00DA20A0">
      <w:pPr>
        <w:rPr>
          <w:b/>
          <w:bCs/>
          <w:sz w:val="28"/>
          <w:szCs w:val="28"/>
        </w:rPr>
      </w:pPr>
      <w:r w:rsidRPr="00D92592">
        <w:rPr>
          <w:b/>
          <w:bCs/>
          <w:sz w:val="28"/>
          <w:szCs w:val="28"/>
        </w:rPr>
        <w:t>Iesniedzējs:</w:t>
      </w:r>
    </w:p>
    <w:p w:rsidR="00243033" w:rsidRDefault="00243033" w:rsidP="00243033">
      <w:pPr>
        <w:pStyle w:val="Subtitle"/>
        <w:tabs>
          <w:tab w:val="left" w:pos="6096"/>
        </w:tabs>
        <w:ind w:left="0"/>
        <w:rPr>
          <w:szCs w:val="28"/>
        </w:rPr>
      </w:pPr>
      <w:r>
        <w:rPr>
          <w:szCs w:val="28"/>
        </w:rPr>
        <w:t>Ekonomikas ministrs</w:t>
      </w:r>
      <w:r>
        <w:rPr>
          <w:szCs w:val="28"/>
        </w:rPr>
        <w:tab/>
      </w:r>
      <w:r>
        <w:rPr>
          <w:szCs w:val="28"/>
        </w:rPr>
        <w:tab/>
      </w:r>
      <w:r>
        <w:rPr>
          <w:szCs w:val="28"/>
        </w:rPr>
        <w:tab/>
        <w:t xml:space="preserve">    </w:t>
      </w:r>
      <w:proofErr w:type="spellStart"/>
      <w:r>
        <w:rPr>
          <w:szCs w:val="28"/>
        </w:rPr>
        <w:t>D.Pavļuts</w:t>
      </w:r>
      <w:proofErr w:type="spellEnd"/>
    </w:p>
    <w:p w:rsidR="00274AC8" w:rsidRDefault="00274AC8" w:rsidP="00274AC8">
      <w:pPr>
        <w:pStyle w:val="Subtitle"/>
        <w:tabs>
          <w:tab w:val="left" w:pos="6096"/>
        </w:tabs>
        <w:ind w:left="0"/>
        <w:rPr>
          <w:szCs w:val="28"/>
        </w:rPr>
      </w:pPr>
      <w:r>
        <w:rPr>
          <w:szCs w:val="28"/>
        </w:rPr>
        <w:tab/>
      </w:r>
    </w:p>
    <w:p w:rsidR="004F467E" w:rsidRDefault="004F467E" w:rsidP="00DA20A0">
      <w:pPr>
        <w:tabs>
          <w:tab w:val="left" w:pos="6096"/>
        </w:tabs>
        <w:rPr>
          <w:bCs/>
          <w:sz w:val="28"/>
          <w:szCs w:val="28"/>
        </w:rPr>
      </w:pPr>
    </w:p>
    <w:p w:rsidR="004F467E" w:rsidRDefault="004F467E" w:rsidP="00DA20A0">
      <w:pPr>
        <w:tabs>
          <w:tab w:val="left" w:pos="6096"/>
        </w:tabs>
        <w:rPr>
          <w:bCs/>
          <w:sz w:val="28"/>
          <w:szCs w:val="28"/>
        </w:rPr>
      </w:pPr>
    </w:p>
    <w:p w:rsidR="009F71D9" w:rsidRDefault="009F71D9" w:rsidP="00DA20A0">
      <w:pPr>
        <w:tabs>
          <w:tab w:val="left" w:pos="6096"/>
        </w:tabs>
        <w:rPr>
          <w:bCs/>
          <w:sz w:val="28"/>
          <w:szCs w:val="28"/>
        </w:rPr>
      </w:pPr>
    </w:p>
    <w:p w:rsidR="009F71D9" w:rsidRDefault="009F71D9" w:rsidP="00DA20A0">
      <w:pPr>
        <w:tabs>
          <w:tab w:val="left" w:pos="6096"/>
        </w:tabs>
        <w:rPr>
          <w:bCs/>
          <w:sz w:val="28"/>
          <w:szCs w:val="28"/>
        </w:rPr>
      </w:pPr>
    </w:p>
    <w:p w:rsidR="00B056F3" w:rsidRDefault="00B056F3" w:rsidP="00B056F3">
      <w:pPr>
        <w:tabs>
          <w:tab w:val="left" w:pos="7371"/>
        </w:tabs>
        <w:jc w:val="both"/>
        <w:rPr>
          <w:bCs/>
          <w:sz w:val="28"/>
          <w:szCs w:val="28"/>
        </w:rPr>
      </w:pPr>
      <w:r w:rsidRPr="00E42236">
        <w:rPr>
          <w:bCs/>
          <w:sz w:val="28"/>
          <w:szCs w:val="28"/>
        </w:rPr>
        <w:t xml:space="preserve">Vīza: </w:t>
      </w:r>
    </w:p>
    <w:p w:rsidR="00B056F3" w:rsidRDefault="00B056F3" w:rsidP="00B056F3">
      <w:pPr>
        <w:tabs>
          <w:tab w:val="left" w:pos="7371"/>
        </w:tabs>
        <w:jc w:val="both"/>
        <w:rPr>
          <w:bCs/>
          <w:sz w:val="28"/>
          <w:szCs w:val="28"/>
        </w:rPr>
      </w:pPr>
      <w:r w:rsidRPr="00E42236">
        <w:rPr>
          <w:bCs/>
          <w:sz w:val="28"/>
          <w:szCs w:val="28"/>
        </w:rPr>
        <w:t>Valsts sekretār</w:t>
      </w:r>
      <w:r>
        <w:rPr>
          <w:bCs/>
          <w:sz w:val="28"/>
          <w:szCs w:val="28"/>
        </w:rPr>
        <w:t>a pienākumu izpildītājs,</w:t>
      </w:r>
    </w:p>
    <w:p w:rsidR="00B056F3" w:rsidRPr="00E42236" w:rsidRDefault="00B056F3" w:rsidP="00B056F3">
      <w:pPr>
        <w:tabs>
          <w:tab w:val="left" w:pos="7371"/>
        </w:tabs>
        <w:jc w:val="both"/>
        <w:rPr>
          <w:bCs/>
          <w:sz w:val="28"/>
          <w:szCs w:val="28"/>
        </w:rPr>
      </w:pPr>
      <w:r>
        <w:rPr>
          <w:bCs/>
          <w:sz w:val="28"/>
          <w:szCs w:val="28"/>
        </w:rPr>
        <w:t>valsts sekretāra vietnieks</w:t>
      </w:r>
      <w:r>
        <w:rPr>
          <w:bCs/>
          <w:sz w:val="28"/>
          <w:szCs w:val="28"/>
        </w:rPr>
        <w:tab/>
        <w:t>A.Liepiņš</w:t>
      </w:r>
    </w:p>
    <w:p w:rsidR="00B056F3" w:rsidRDefault="00B056F3" w:rsidP="00B056F3">
      <w:pPr>
        <w:tabs>
          <w:tab w:val="left" w:pos="7371"/>
        </w:tabs>
        <w:jc w:val="both"/>
        <w:rPr>
          <w:bCs/>
          <w:sz w:val="28"/>
          <w:szCs w:val="28"/>
        </w:rPr>
      </w:pPr>
    </w:p>
    <w:p w:rsidR="002A1BA2" w:rsidRPr="00D92592" w:rsidRDefault="002A1BA2" w:rsidP="00BE564E">
      <w:pPr>
        <w:tabs>
          <w:tab w:val="left" w:pos="6096"/>
          <w:tab w:val="left" w:pos="7371"/>
        </w:tabs>
        <w:rPr>
          <w:bCs/>
          <w:sz w:val="28"/>
          <w:szCs w:val="28"/>
        </w:rPr>
      </w:pPr>
      <w:r w:rsidRPr="00D92592">
        <w:rPr>
          <w:bCs/>
          <w:sz w:val="28"/>
          <w:szCs w:val="28"/>
        </w:rPr>
        <w:tab/>
      </w:r>
      <w:r w:rsidR="00BE564E">
        <w:rPr>
          <w:bCs/>
          <w:sz w:val="28"/>
          <w:szCs w:val="28"/>
        </w:rPr>
        <w:tab/>
      </w:r>
    </w:p>
    <w:p w:rsidR="00511E4F" w:rsidRPr="00301D3E" w:rsidRDefault="00511E4F" w:rsidP="001A0A4A">
      <w:pPr>
        <w:rPr>
          <w:sz w:val="18"/>
          <w:szCs w:val="18"/>
        </w:rPr>
      </w:pPr>
    </w:p>
    <w:p w:rsidR="001B5D4B" w:rsidRDefault="001B5D4B" w:rsidP="001A0A4A">
      <w:pPr>
        <w:rPr>
          <w:sz w:val="18"/>
          <w:szCs w:val="18"/>
        </w:rPr>
      </w:pPr>
    </w:p>
    <w:p w:rsidR="001B5D4B" w:rsidRDefault="001B5D4B" w:rsidP="001A0A4A">
      <w:pPr>
        <w:rPr>
          <w:sz w:val="18"/>
          <w:szCs w:val="18"/>
        </w:rPr>
      </w:pPr>
    </w:p>
    <w:p w:rsidR="004F467E" w:rsidRDefault="004F467E" w:rsidP="001A0A4A">
      <w:pPr>
        <w:rPr>
          <w:sz w:val="18"/>
          <w:szCs w:val="18"/>
        </w:rPr>
      </w:pPr>
    </w:p>
    <w:p w:rsidR="006D2195" w:rsidRDefault="006D2195" w:rsidP="001A0A4A">
      <w:pPr>
        <w:rPr>
          <w:sz w:val="18"/>
          <w:szCs w:val="18"/>
        </w:rPr>
      </w:pPr>
      <w:r>
        <w:rPr>
          <w:sz w:val="18"/>
          <w:szCs w:val="18"/>
        </w:rPr>
        <w:t>24.04.2013 11:35</w:t>
      </w:r>
    </w:p>
    <w:p w:rsidR="001A0A4A" w:rsidRPr="00301D3E" w:rsidRDefault="00B056F3" w:rsidP="001A0A4A">
      <w:pPr>
        <w:rPr>
          <w:sz w:val="18"/>
          <w:szCs w:val="18"/>
        </w:rPr>
      </w:pPr>
      <w:r>
        <w:rPr>
          <w:sz w:val="18"/>
          <w:szCs w:val="18"/>
        </w:rPr>
        <w:t>1772</w:t>
      </w:r>
    </w:p>
    <w:p w:rsidR="001A0A4A" w:rsidRPr="004A4084" w:rsidRDefault="0074501E" w:rsidP="001A0A4A">
      <w:pPr>
        <w:rPr>
          <w:sz w:val="18"/>
          <w:szCs w:val="18"/>
        </w:rPr>
      </w:pPr>
      <w:r>
        <w:rPr>
          <w:sz w:val="18"/>
          <w:szCs w:val="18"/>
        </w:rPr>
        <w:t>M.Ziediņa-</w:t>
      </w:r>
      <w:proofErr w:type="spellStart"/>
      <w:r>
        <w:rPr>
          <w:sz w:val="18"/>
          <w:szCs w:val="18"/>
        </w:rPr>
        <w:t>Brigmane</w:t>
      </w:r>
      <w:proofErr w:type="spellEnd"/>
    </w:p>
    <w:p w:rsidR="004F467E" w:rsidRDefault="008B1F9E" w:rsidP="00B4323E">
      <w:pPr>
        <w:tabs>
          <w:tab w:val="center" w:pos="4535"/>
        </w:tabs>
        <w:rPr>
          <w:sz w:val="18"/>
          <w:szCs w:val="18"/>
        </w:rPr>
      </w:pPr>
      <w:hyperlink r:id="rId9" w:history="1">
        <w:r w:rsidR="0074501E" w:rsidRPr="00C223B1">
          <w:rPr>
            <w:rStyle w:val="Hyperlink"/>
            <w:sz w:val="18"/>
            <w:szCs w:val="18"/>
          </w:rPr>
          <w:t>Maija.Ziedina-Brigmane@em.gov.lv</w:t>
        </w:r>
      </w:hyperlink>
      <w:r w:rsidR="001A0A4A" w:rsidRPr="004A4084">
        <w:rPr>
          <w:sz w:val="18"/>
          <w:szCs w:val="18"/>
        </w:rPr>
        <w:t xml:space="preserve">; </w:t>
      </w:r>
    </w:p>
    <w:p w:rsidR="001A0A4A" w:rsidRPr="00571B4A" w:rsidRDefault="004F467E" w:rsidP="00BA079E">
      <w:pPr>
        <w:tabs>
          <w:tab w:val="center" w:pos="4535"/>
        </w:tabs>
        <w:rPr>
          <w:sz w:val="20"/>
        </w:rPr>
      </w:pPr>
      <w:r>
        <w:rPr>
          <w:sz w:val="18"/>
          <w:szCs w:val="18"/>
        </w:rPr>
        <w:t>Tālr.</w:t>
      </w:r>
      <w:r w:rsidR="001A0A4A" w:rsidRPr="004A4084">
        <w:rPr>
          <w:sz w:val="18"/>
          <w:szCs w:val="18"/>
        </w:rPr>
        <w:t>67013</w:t>
      </w:r>
      <w:r w:rsidR="0074501E">
        <w:rPr>
          <w:sz w:val="18"/>
          <w:szCs w:val="18"/>
        </w:rPr>
        <w:t>230</w:t>
      </w:r>
    </w:p>
    <w:sectPr w:rsidR="001A0A4A" w:rsidRPr="00571B4A" w:rsidSect="001A0A4A">
      <w:headerReference w:type="even" r:id="rId10"/>
      <w:headerReference w:type="default" r:id="rId11"/>
      <w:footerReference w:type="default" r:id="rId12"/>
      <w:footerReference w:type="first" r:id="rId13"/>
      <w:pgSz w:w="11906" w:h="16838" w:code="9"/>
      <w:pgMar w:top="126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61" w:rsidRDefault="00C06861" w:rsidP="009923BA">
      <w:r>
        <w:separator/>
      </w:r>
    </w:p>
  </w:endnote>
  <w:endnote w:type="continuationSeparator" w:id="0">
    <w:p w:rsidR="00C06861" w:rsidRDefault="00C06861" w:rsidP="0099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61" w:rsidRPr="0074501E" w:rsidRDefault="00C06861" w:rsidP="0074501E">
    <w:pPr>
      <w:pStyle w:val="Footer"/>
    </w:pPr>
    <w:r w:rsidRPr="0074501E">
      <w:rPr>
        <w:sz w:val="20"/>
        <w:szCs w:val="20"/>
      </w:rPr>
      <w:t>EMAnot_</w:t>
    </w:r>
    <w:r w:rsidR="00BA079E">
      <w:rPr>
        <w:sz w:val="20"/>
        <w:szCs w:val="20"/>
      </w:rPr>
      <w:t>2</w:t>
    </w:r>
    <w:r w:rsidR="006D2195">
      <w:rPr>
        <w:sz w:val="20"/>
        <w:szCs w:val="20"/>
      </w:rPr>
      <w:t>4</w:t>
    </w:r>
    <w:r w:rsidR="009B011E">
      <w:rPr>
        <w:sz w:val="20"/>
        <w:szCs w:val="20"/>
      </w:rPr>
      <w:t>04</w:t>
    </w:r>
    <w:r w:rsidR="002556E2">
      <w:rPr>
        <w:sz w:val="20"/>
        <w:szCs w:val="20"/>
      </w:rPr>
      <w:t>13</w:t>
    </w:r>
    <w:r w:rsidRPr="0074501E">
      <w:rPr>
        <w:sz w:val="20"/>
        <w:szCs w:val="20"/>
      </w:rPr>
      <w:t>_groz_MK_not_178; Ministru kabineta noteikumu projekta „Grozījums Ministru kabineta 1999.gada 18.maija noteikumos Nr.178 „Kārtība, kādā norādāmas preču un pakalpojumu cenas”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1E" w:rsidRPr="0074501E" w:rsidRDefault="009B011E" w:rsidP="009B011E">
    <w:pPr>
      <w:pStyle w:val="Footer"/>
    </w:pPr>
    <w:r w:rsidRPr="0074501E">
      <w:rPr>
        <w:sz w:val="20"/>
        <w:szCs w:val="20"/>
      </w:rPr>
      <w:t>EMAnot_</w:t>
    </w:r>
    <w:r w:rsidR="00BA079E">
      <w:rPr>
        <w:sz w:val="20"/>
        <w:szCs w:val="20"/>
      </w:rPr>
      <w:t>2</w:t>
    </w:r>
    <w:r w:rsidR="006D2195">
      <w:rPr>
        <w:sz w:val="20"/>
        <w:szCs w:val="20"/>
      </w:rPr>
      <w:t>4</w:t>
    </w:r>
    <w:r w:rsidR="00571B4A">
      <w:rPr>
        <w:sz w:val="20"/>
        <w:szCs w:val="20"/>
      </w:rPr>
      <w:t>04</w:t>
    </w:r>
    <w:r>
      <w:rPr>
        <w:sz w:val="20"/>
        <w:szCs w:val="20"/>
      </w:rPr>
      <w:t>13</w:t>
    </w:r>
    <w:r w:rsidRPr="0074501E">
      <w:rPr>
        <w:sz w:val="20"/>
        <w:szCs w:val="20"/>
      </w:rPr>
      <w:t>_groz_MK_not_178; Ministru kabineta noteikumu projekta „Grozījums Ministru kabineta 1999.gada 18.maija noteikumos Nr.178 „Kārtība, kādā norādāmas preču un pakalpojumu cenas” sākotnējās ietekmes novērtējuma ziņojums (anotācija)</w:t>
    </w:r>
  </w:p>
  <w:p w:rsidR="00C06861" w:rsidRPr="009B011E" w:rsidRDefault="00C06861" w:rsidP="009B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61" w:rsidRDefault="00C06861" w:rsidP="009923BA">
      <w:r>
        <w:separator/>
      </w:r>
    </w:p>
  </w:footnote>
  <w:footnote w:type="continuationSeparator" w:id="0">
    <w:p w:rsidR="00C06861" w:rsidRDefault="00C06861" w:rsidP="0099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61" w:rsidRDefault="00C06861" w:rsidP="001A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861" w:rsidRDefault="00C06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61" w:rsidRDefault="00C06861" w:rsidP="001A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F9E">
      <w:rPr>
        <w:rStyle w:val="PageNumber"/>
        <w:noProof/>
      </w:rPr>
      <w:t>8</w:t>
    </w:r>
    <w:r>
      <w:rPr>
        <w:rStyle w:val="PageNumber"/>
      </w:rPr>
      <w:fldChar w:fldCharType="end"/>
    </w:r>
  </w:p>
  <w:p w:rsidR="00C06861" w:rsidRDefault="00C06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8F6"/>
    <w:multiLevelType w:val="hybridMultilevel"/>
    <w:tmpl w:val="B5840B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300A25"/>
    <w:multiLevelType w:val="hybridMultilevel"/>
    <w:tmpl w:val="CA5476D6"/>
    <w:lvl w:ilvl="0" w:tplc="CE1A48E8">
      <w:numFmt w:val="bullet"/>
      <w:lvlText w:val="-"/>
      <w:lvlJc w:val="left"/>
      <w:pPr>
        <w:tabs>
          <w:tab w:val="num" w:pos="859"/>
        </w:tabs>
        <w:ind w:left="859"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51172812"/>
    <w:multiLevelType w:val="hybridMultilevel"/>
    <w:tmpl w:val="E50C7B5C"/>
    <w:lvl w:ilvl="0" w:tplc="FF26F1A4">
      <w:start w:val="7"/>
      <w:numFmt w:val="bullet"/>
      <w:lvlText w:val="-"/>
      <w:lvlJc w:val="left"/>
      <w:pPr>
        <w:tabs>
          <w:tab w:val="num" w:pos="920"/>
        </w:tabs>
        <w:ind w:left="920" w:hanging="360"/>
      </w:pPr>
      <w:rPr>
        <w:rFonts w:ascii="Times New Roman" w:eastAsia="Times New Roman" w:hAnsi="Times New Roman" w:cs="Times New Roman" w:hint="default"/>
        <w:b/>
        <w:u w:val="none"/>
      </w:rPr>
    </w:lvl>
    <w:lvl w:ilvl="1" w:tplc="04260003" w:tentative="1">
      <w:start w:val="1"/>
      <w:numFmt w:val="bullet"/>
      <w:lvlText w:val="o"/>
      <w:lvlJc w:val="left"/>
      <w:pPr>
        <w:tabs>
          <w:tab w:val="num" w:pos="1640"/>
        </w:tabs>
        <w:ind w:left="1640" w:hanging="360"/>
      </w:pPr>
      <w:rPr>
        <w:rFonts w:ascii="Courier New" w:hAnsi="Courier New" w:cs="Courier New" w:hint="default"/>
      </w:rPr>
    </w:lvl>
    <w:lvl w:ilvl="2" w:tplc="04260005" w:tentative="1">
      <w:start w:val="1"/>
      <w:numFmt w:val="bullet"/>
      <w:lvlText w:val=""/>
      <w:lvlJc w:val="left"/>
      <w:pPr>
        <w:tabs>
          <w:tab w:val="num" w:pos="2360"/>
        </w:tabs>
        <w:ind w:left="2360" w:hanging="360"/>
      </w:pPr>
      <w:rPr>
        <w:rFonts w:ascii="Wingdings" w:hAnsi="Wingdings" w:hint="default"/>
      </w:rPr>
    </w:lvl>
    <w:lvl w:ilvl="3" w:tplc="04260001" w:tentative="1">
      <w:start w:val="1"/>
      <w:numFmt w:val="bullet"/>
      <w:lvlText w:val=""/>
      <w:lvlJc w:val="left"/>
      <w:pPr>
        <w:tabs>
          <w:tab w:val="num" w:pos="3080"/>
        </w:tabs>
        <w:ind w:left="3080" w:hanging="360"/>
      </w:pPr>
      <w:rPr>
        <w:rFonts w:ascii="Symbol" w:hAnsi="Symbol" w:hint="default"/>
      </w:rPr>
    </w:lvl>
    <w:lvl w:ilvl="4" w:tplc="04260003" w:tentative="1">
      <w:start w:val="1"/>
      <w:numFmt w:val="bullet"/>
      <w:lvlText w:val="o"/>
      <w:lvlJc w:val="left"/>
      <w:pPr>
        <w:tabs>
          <w:tab w:val="num" w:pos="3800"/>
        </w:tabs>
        <w:ind w:left="3800" w:hanging="360"/>
      </w:pPr>
      <w:rPr>
        <w:rFonts w:ascii="Courier New" w:hAnsi="Courier New" w:cs="Courier New" w:hint="default"/>
      </w:rPr>
    </w:lvl>
    <w:lvl w:ilvl="5" w:tplc="04260005" w:tentative="1">
      <w:start w:val="1"/>
      <w:numFmt w:val="bullet"/>
      <w:lvlText w:val=""/>
      <w:lvlJc w:val="left"/>
      <w:pPr>
        <w:tabs>
          <w:tab w:val="num" w:pos="4520"/>
        </w:tabs>
        <w:ind w:left="4520" w:hanging="360"/>
      </w:pPr>
      <w:rPr>
        <w:rFonts w:ascii="Wingdings" w:hAnsi="Wingdings" w:hint="default"/>
      </w:rPr>
    </w:lvl>
    <w:lvl w:ilvl="6" w:tplc="04260001" w:tentative="1">
      <w:start w:val="1"/>
      <w:numFmt w:val="bullet"/>
      <w:lvlText w:val=""/>
      <w:lvlJc w:val="left"/>
      <w:pPr>
        <w:tabs>
          <w:tab w:val="num" w:pos="5240"/>
        </w:tabs>
        <w:ind w:left="5240" w:hanging="360"/>
      </w:pPr>
      <w:rPr>
        <w:rFonts w:ascii="Symbol" w:hAnsi="Symbol" w:hint="default"/>
      </w:rPr>
    </w:lvl>
    <w:lvl w:ilvl="7" w:tplc="04260003" w:tentative="1">
      <w:start w:val="1"/>
      <w:numFmt w:val="bullet"/>
      <w:lvlText w:val="o"/>
      <w:lvlJc w:val="left"/>
      <w:pPr>
        <w:tabs>
          <w:tab w:val="num" w:pos="5960"/>
        </w:tabs>
        <w:ind w:left="5960" w:hanging="360"/>
      </w:pPr>
      <w:rPr>
        <w:rFonts w:ascii="Courier New" w:hAnsi="Courier New" w:cs="Courier New" w:hint="default"/>
      </w:rPr>
    </w:lvl>
    <w:lvl w:ilvl="8" w:tplc="04260005" w:tentative="1">
      <w:start w:val="1"/>
      <w:numFmt w:val="bullet"/>
      <w:lvlText w:val=""/>
      <w:lvlJc w:val="left"/>
      <w:pPr>
        <w:tabs>
          <w:tab w:val="num" w:pos="6680"/>
        </w:tabs>
        <w:ind w:left="6680" w:hanging="360"/>
      </w:pPr>
      <w:rPr>
        <w:rFonts w:ascii="Wingdings" w:hAnsi="Wingdings" w:hint="default"/>
      </w:rPr>
    </w:lvl>
  </w:abstractNum>
  <w:abstractNum w:abstractNumId="3">
    <w:nsid w:val="54D40E33"/>
    <w:multiLevelType w:val="hybridMultilevel"/>
    <w:tmpl w:val="CF547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322A41"/>
    <w:multiLevelType w:val="hybridMultilevel"/>
    <w:tmpl w:val="9E54AA4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901EF7"/>
    <w:multiLevelType w:val="hybridMultilevel"/>
    <w:tmpl w:val="04F21E42"/>
    <w:lvl w:ilvl="0" w:tplc="19426A8E">
      <w:start w:val="7"/>
      <w:numFmt w:val="bullet"/>
      <w:lvlText w:val="-"/>
      <w:lvlJc w:val="left"/>
      <w:pPr>
        <w:tabs>
          <w:tab w:val="num" w:pos="1419"/>
        </w:tabs>
        <w:ind w:left="1419" w:hanging="360"/>
      </w:pPr>
      <w:rPr>
        <w:rFonts w:ascii="Times New Roman" w:eastAsia="Times New Roman" w:hAnsi="Times New Roman" w:cs="Times New Roman" w:hint="default"/>
        <w:b w:val="0"/>
        <w:u w:val="none"/>
      </w:rPr>
    </w:lvl>
    <w:lvl w:ilvl="1" w:tplc="04260003" w:tentative="1">
      <w:start w:val="1"/>
      <w:numFmt w:val="bullet"/>
      <w:lvlText w:val="o"/>
      <w:lvlJc w:val="left"/>
      <w:pPr>
        <w:tabs>
          <w:tab w:val="num" w:pos="1939"/>
        </w:tabs>
        <w:ind w:left="1939" w:hanging="360"/>
      </w:pPr>
      <w:rPr>
        <w:rFonts w:ascii="Courier New" w:hAnsi="Courier New" w:cs="Courier New" w:hint="default"/>
      </w:rPr>
    </w:lvl>
    <w:lvl w:ilvl="2" w:tplc="04260005" w:tentative="1">
      <w:start w:val="1"/>
      <w:numFmt w:val="bullet"/>
      <w:lvlText w:val=""/>
      <w:lvlJc w:val="left"/>
      <w:pPr>
        <w:tabs>
          <w:tab w:val="num" w:pos="2659"/>
        </w:tabs>
        <w:ind w:left="2659" w:hanging="360"/>
      </w:pPr>
      <w:rPr>
        <w:rFonts w:ascii="Wingdings" w:hAnsi="Wingdings" w:hint="default"/>
      </w:rPr>
    </w:lvl>
    <w:lvl w:ilvl="3" w:tplc="04260001" w:tentative="1">
      <w:start w:val="1"/>
      <w:numFmt w:val="bullet"/>
      <w:lvlText w:val=""/>
      <w:lvlJc w:val="left"/>
      <w:pPr>
        <w:tabs>
          <w:tab w:val="num" w:pos="3379"/>
        </w:tabs>
        <w:ind w:left="3379" w:hanging="360"/>
      </w:pPr>
      <w:rPr>
        <w:rFonts w:ascii="Symbol" w:hAnsi="Symbol" w:hint="default"/>
      </w:rPr>
    </w:lvl>
    <w:lvl w:ilvl="4" w:tplc="04260003" w:tentative="1">
      <w:start w:val="1"/>
      <w:numFmt w:val="bullet"/>
      <w:lvlText w:val="o"/>
      <w:lvlJc w:val="left"/>
      <w:pPr>
        <w:tabs>
          <w:tab w:val="num" w:pos="4099"/>
        </w:tabs>
        <w:ind w:left="4099" w:hanging="360"/>
      </w:pPr>
      <w:rPr>
        <w:rFonts w:ascii="Courier New" w:hAnsi="Courier New" w:cs="Courier New" w:hint="default"/>
      </w:rPr>
    </w:lvl>
    <w:lvl w:ilvl="5" w:tplc="04260005" w:tentative="1">
      <w:start w:val="1"/>
      <w:numFmt w:val="bullet"/>
      <w:lvlText w:val=""/>
      <w:lvlJc w:val="left"/>
      <w:pPr>
        <w:tabs>
          <w:tab w:val="num" w:pos="4819"/>
        </w:tabs>
        <w:ind w:left="4819" w:hanging="360"/>
      </w:pPr>
      <w:rPr>
        <w:rFonts w:ascii="Wingdings" w:hAnsi="Wingdings" w:hint="default"/>
      </w:rPr>
    </w:lvl>
    <w:lvl w:ilvl="6" w:tplc="04260001" w:tentative="1">
      <w:start w:val="1"/>
      <w:numFmt w:val="bullet"/>
      <w:lvlText w:val=""/>
      <w:lvlJc w:val="left"/>
      <w:pPr>
        <w:tabs>
          <w:tab w:val="num" w:pos="5539"/>
        </w:tabs>
        <w:ind w:left="5539" w:hanging="360"/>
      </w:pPr>
      <w:rPr>
        <w:rFonts w:ascii="Symbol" w:hAnsi="Symbol" w:hint="default"/>
      </w:rPr>
    </w:lvl>
    <w:lvl w:ilvl="7" w:tplc="04260003" w:tentative="1">
      <w:start w:val="1"/>
      <w:numFmt w:val="bullet"/>
      <w:lvlText w:val="o"/>
      <w:lvlJc w:val="left"/>
      <w:pPr>
        <w:tabs>
          <w:tab w:val="num" w:pos="6259"/>
        </w:tabs>
        <w:ind w:left="6259" w:hanging="360"/>
      </w:pPr>
      <w:rPr>
        <w:rFonts w:ascii="Courier New" w:hAnsi="Courier New" w:cs="Courier New" w:hint="default"/>
      </w:rPr>
    </w:lvl>
    <w:lvl w:ilvl="8" w:tplc="04260005" w:tentative="1">
      <w:start w:val="1"/>
      <w:numFmt w:val="bullet"/>
      <w:lvlText w:val=""/>
      <w:lvlJc w:val="left"/>
      <w:pPr>
        <w:tabs>
          <w:tab w:val="num" w:pos="6979"/>
        </w:tabs>
        <w:ind w:left="6979" w:hanging="360"/>
      </w:pPr>
      <w:rPr>
        <w:rFonts w:ascii="Wingdings" w:hAnsi="Wingdings" w:hint="default"/>
      </w:rPr>
    </w:lvl>
  </w:abstractNum>
  <w:abstractNum w:abstractNumId="6">
    <w:nsid w:val="62496330"/>
    <w:multiLevelType w:val="hybridMultilevel"/>
    <w:tmpl w:val="CA7EE3E0"/>
    <w:lvl w:ilvl="0" w:tplc="8398C3D2">
      <w:start w:val="7"/>
      <w:numFmt w:val="upperRoman"/>
      <w:lvlText w:val="%1."/>
      <w:lvlJc w:val="left"/>
      <w:pPr>
        <w:tabs>
          <w:tab w:val="num" w:pos="1310"/>
        </w:tabs>
        <w:ind w:left="1310" w:hanging="750"/>
      </w:pPr>
      <w:rPr>
        <w:rFonts w:hint="default"/>
        <w:u w:val="none"/>
      </w:rPr>
    </w:lvl>
    <w:lvl w:ilvl="1" w:tplc="04260019" w:tentative="1">
      <w:start w:val="1"/>
      <w:numFmt w:val="lowerLetter"/>
      <w:lvlText w:val="%2."/>
      <w:lvlJc w:val="left"/>
      <w:pPr>
        <w:tabs>
          <w:tab w:val="num" w:pos="1640"/>
        </w:tabs>
        <w:ind w:left="1640" w:hanging="360"/>
      </w:pPr>
    </w:lvl>
    <w:lvl w:ilvl="2" w:tplc="0426001B" w:tentative="1">
      <w:start w:val="1"/>
      <w:numFmt w:val="lowerRoman"/>
      <w:lvlText w:val="%3."/>
      <w:lvlJc w:val="right"/>
      <w:pPr>
        <w:tabs>
          <w:tab w:val="num" w:pos="2360"/>
        </w:tabs>
        <w:ind w:left="2360" w:hanging="180"/>
      </w:pPr>
    </w:lvl>
    <w:lvl w:ilvl="3" w:tplc="0426000F" w:tentative="1">
      <w:start w:val="1"/>
      <w:numFmt w:val="decimal"/>
      <w:lvlText w:val="%4."/>
      <w:lvlJc w:val="left"/>
      <w:pPr>
        <w:tabs>
          <w:tab w:val="num" w:pos="3080"/>
        </w:tabs>
        <w:ind w:left="3080" w:hanging="360"/>
      </w:pPr>
    </w:lvl>
    <w:lvl w:ilvl="4" w:tplc="04260019" w:tentative="1">
      <w:start w:val="1"/>
      <w:numFmt w:val="lowerLetter"/>
      <w:lvlText w:val="%5."/>
      <w:lvlJc w:val="left"/>
      <w:pPr>
        <w:tabs>
          <w:tab w:val="num" w:pos="3800"/>
        </w:tabs>
        <w:ind w:left="3800" w:hanging="360"/>
      </w:pPr>
    </w:lvl>
    <w:lvl w:ilvl="5" w:tplc="0426001B" w:tentative="1">
      <w:start w:val="1"/>
      <w:numFmt w:val="lowerRoman"/>
      <w:lvlText w:val="%6."/>
      <w:lvlJc w:val="right"/>
      <w:pPr>
        <w:tabs>
          <w:tab w:val="num" w:pos="4520"/>
        </w:tabs>
        <w:ind w:left="4520" w:hanging="180"/>
      </w:pPr>
    </w:lvl>
    <w:lvl w:ilvl="6" w:tplc="0426000F" w:tentative="1">
      <w:start w:val="1"/>
      <w:numFmt w:val="decimal"/>
      <w:lvlText w:val="%7."/>
      <w:lvlJc w:val="left"/>
      <w:pPr>
        <w:tabs>
          <w:tab w:val="num" w:pos="5240"/>
        </w:tabs>
        <w:ind w:left="5240" w:hanging="360"/>
      </w:pPr>
    </w:lvl>
    <w:lvl w:ilvl="7" w:tplc="04260019" w:tentative="1">
      <w:start w:val="1"/>
      <w:numFmt w:val="lowerLetter"/>
      <w:lvlText w:val="%8."/>
      <w:lvlJc w:val="left"/>
      <w:pPr>
        <w:tabs>
          <w:tab w:val="num" w:pos="5960"/>
        </w:tabs>
        <w:ind w:left="5960" w:hanging="360"/>
      </w:pPr>
    </w:lvl>
    <w:lvl w:ilvl="8" w:tplc="0426001B" w:tentative="1">
      <w:start w:val="1"/>
      <w:numFmt w:val="lowerRoman"/>
      <w:lvlText w:val="%9."/>
      <w:lvlJc w:val="right"/>
      <w:pPr>
        <w:tabs>
          <w:tab w:val="num" w:pos="6680"/>
        </w:tabs>
        <w:ind w:left="6680" w:hanging="180"/>
      </w:pPr>
    </w:lvl>
  </w:abstractNum>
  <w:abstractNum w:abstractNumId="7">
    <w:nsid w:val="6DA06378"/>
    <w:multiLevelType w:val="hybridMultilevel"/>
    <w:tmpl w:val="92C648E2"/>
    <w:lvl w:ilvl="0" w:tplc="0E008018">
      <w:start w:val="2013"/>
      <w:numFmt w:val="bullet"/>
      <w:lvlText w:val="-"/>
      <w:lvlJc w:val="left"/>
      <w:pPr>
        <w:ind w:left="430" w:hanging="360"/>
      </w:pPr>
      <w:rPr>
        <w:rFonts w:ascii="Times New Roman" w:eastAsia="Times New Roman" w:hAnsi="Times New Roman" w:cs="Times New Roman" w:hint="default"/>
      </w:rPr>
    </w:lvl>
    <w:lvl w:ilvl="1" w:tplc="04260003" w:tentative="1">
      <w:start w:val="1"/>
      <w:numFmt w:val="bullet"/>
      <w:lvlText w:val="o"/>
      <w:lvlJc w:val="left"/>
      <w:pPr>
        <w:ind w:left="1150" w:hanging="360"/>
      </w:pPr>
      <w:rPr>
        <w:rFonts w:ascii="Courier New" w:hAnsi="Courier New" w:cs="Courier New" w:hint="default"/>
      </w:rPr>
    </w:lvl>
    <w:lvl w:ilvl="2" w:tplc="04260005" w:tentative="1">
      <w:start w:val="1"/>
      <w:numFmt w:val="bullet"/>
      <w:lvlText w:val=""/>
      <w:lvlJc w:val="left"/>
      <w:pPr>
        <w:ind w:left="1870" w:hanging="360"/>
      </w:pPr>
      <w:rPr>
        <w:rFonts w:ascii="Wingdings" w:hAnsi="Wingdings" w:hint="default"/>
      </w:rPr>
    </w:lvl>
    <w:lvl w:ilvl="3" w:tplc="04260001" w:tentative="1">
      <w:start w:val="1"/>
      <w:numFmt w:val="bullet"/>
      <w:lvlText w:val=""/>
      <w:lvlJc w:val="left"/>
      <w:pPr>
        <w:ind w:left="2590" w:hanging="360"/>
      </w:pPr>
      <w:rPr>
        <w:rFonts w:ascii="Symbol" w:hAnsi="Symbol" w:hint="default"/>
      </w:rPr>
    </w:lvl>
    <w:lvl w:ilvl="4" w:tplc="04260003" w:tentative="1">
      <w:start w:val="1"/>
      <w:numFmt w:val="bullet"/>
      <w:lvlText w:val="o"/>
      <w:lvlJc w:val="left"/>
      <w:pPr>
        <w:ind w:left="3310" w:hanging="360"/>
      </w:pPr>
      <w:rPr>
        <w:rFonts w:ascii="Courier New" w:hAnsi="Courier New" w:cs="Courier New" w:hint="default"/>
      </w:rPr>
    </w:lvl>
    <w:lvl w:ilvl="5" w:tplc="04260005" w:tentative="1">
      <w:start w:val="1"/>
      <w:numFmt w:val="bullet"/>
      <w:lvlText w:val=""/>
      <w:lvlJc w:val="left"/>
      <w:pPr>
        <w:ind w:left="4030" w:hanging="360"/>
      </w:pPr>
      <w:rPr>
        <w:rFonts w:ascii="Wingdings" w:hAnsi="Wingdings" w:hint="default"/>
      </w:rPr>
    </w:lvl>
    <w:lvl w:ilvl="6" w:tplc="04260001" w:tentative="1">
      <w:start w:val="1"/>
      <w:numFmt w:val="bullet"/>
      <w:lvlText w:val=""/>
      <w:lvlJc w:val="left"/>
      <w:pPr>
        <w:ind w:left="4750" w:hanging="360"/>
      </w:pPr>
      <w:rPr>
        <w:rFonts w:ascii="Symbol" w:hAnsi="Symbol" w:hint="default"/>
      </w:rPr>
    </w:lvl>
    <w:lvl w:ilvl="7" w:tplc="04260003" w:tentative="1">
      <w:start w:val="1"/>
      <w:numFmt w:val="bullet"/>
      <w:lvlText w:val="o"/>
      <w:lvlJc w:val="left"/>
      <w:pPr>
        <w:ind w:left="5470" w:hanging="360"/>
      </w:pPr>
      <w:rPr>
        <w:rFonts w:ascii="Courier New" w:hAnsi="Courier New" w:cs="Courier New" w:hint="default"/>
      </w:rPr>
    </w:lvl>
    <w:lvl w:ilvl="8" w:tplc="04260005" w:tentative="1">
      <w:start w:val="1"/>
      <w:numFmt w:val="bullet"/>
      <w:lvlText w:val=""/>
      <w:lvlJc w:val="left"/>
      <w:pPr>
        <w:ind w:left="6190" w:hanging="360"/>
      </w:pPr>
      <w:rPr>
        <w:rFonts w:ascii="Wingdings" w:hAnsi="Wingdings" w:hint="default"/>
      </w:rPr>
    </w:lvl>
  </w:abstractNum>
  <w:abstractNum w:abstractNumId="8">
    <w:nsid w:val="740D746E"/>
    <w:multiLevelType w:val="hybridMultilevel"/>
    <w:tmpl w:val="CB201D22"/>
    <w:lvl w:ilvl="0" w:tplc="9A6EF9AC">
      <w:start w:val="1"/>
      <w:numFmt w:val="decimal"/>
      <w:lvlText w:val="%1)"/>
      <w:lvlJc w:val="left"/>
      <w:pPr>
        <w:ind w:left="739" w:hanging="360"/>
      </w:pPr>
      <w:rPr>
        <w:rFonts w:hint="default"/>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9">
    <w:nsid w:val="7EEA2D51"/>
    <w:multiLevelType w:val="hybridMultilevel"/>
    <w:tmpl w:val="0B7250BA"/>
    <w:lvl w:ilvl="0" w:tplc="544EB3AA">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6"/>
  </w:num>
  <w:num w:numId="2">
    <w:abstractNumId w:val="2"/>
  </w:num>
  <w:num w:numId="3">
    <w:abstractNumId w:val="5"/>
  </w:num>
  <w:num w:numId="4">
    <w:abstractNumId w:val="1"/>
  </w:num>
  <w:num w:numId="5">
    <w:abstractNumId w:val="9"/>
  </w:num>
  <w:num w:numId="6">
    <w:abstractNumId w:val="8"/>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A2"/>
    <w:rsid w:val="00010A92"/>
    <w:rsid w:val="000160F9"/>
    <w:rsid w:val="00021943"/>
    <w:rsid w:val="00027970"/>
    <w:rsid w:val="00032C34"/>
    <w:rsid w:val="000466D7"/>
    <w:rsid w:val="00053DA7"/>
    <w:rsid w:val="00064459"/>
    <w:rsid w:val="000761C6"/>
    <w:rsid w:val="000A0388"/>
    <w:rsid w:val="000A57DC"/>
    <w:rsid w:val="000B1B99"/>
    <w:rsid w:val="000B6E16"/>
    <w:rsid w:val="000C0292"/>
    <w:rsid w:val="000E75FE"/>
    <w:rsid w:val="00113BF6"/>
    <w:rsid w:val="00124C71"/>
    <w:rsid w:val="00143956"/>
    <w:rsid w:val="00173EC2"/>
    <w:rsid w:val="001800B9"/>
    <w:rsid w:val="00181001"/>
    <w:rsid w:val="00181483"/>
    <w:rsid w:val="00194897"/>
    <w:rsid w:val="001A0A4A"/>
    <w:rsid w:val="001A6073"/>
    <w:rsid w:val="001B5D4B"/>
    <w:rsid w:val="001B72C6"/>
    <w:rsid w:val="001C02DE"/>
    <w:rsid w:val="001D6535"/>
    <w:rsid w:val="001E4B3D"/>
    <w:rsid w:val="001F1370"/>
    <w:rsid w:val="00202111"/>
    <w:rsid w:val="0020582A"/>
    <w:rsid w:val="002179B4"/>
    <w:rsid w:val="00233FA4"/>
    <w:rsid w:val="00243033"/>
    <w:rsid w:val="002556E2"/>
    <w:rsid w:val="0026084A"/>
    <w:rsid w:val="002627CB"/>
    <w:rsid w:val="00262B34"/>
    <w:rsid w:val="002638D1"/>
    <w:rsid w:val="0026651B"/>
    <w:rsid w:val="00266B8B"/>
    <w:rsid w:val="00274AC8"/>
    <w:rsid w:val="00287522"/>
    <w:rsid w:val="002A1BA2"/>
    <w:rsid w:val="002C677A"/>
    <w:rsid w:val="00301D3E"/>
    <w:rsid w:val="0030318A"/>
    <w:rsid w:val="003067A8"/>
    <w:rsid w:val="00312223"/>
    <w:rsid w:val="00313C80"/>
    <w:rsid w:val="00326220"/>
    <w:rsid w:val="0033482B"/>
    <w:rsid w:val="00355559"/>
    <w:rsid w:val="00361491"/>
    <w:rsid w:val="00370AA3"/>
    <w:rsid w:val="00375C1C"/>
    <w:rsid w:val="003A52DB"/>
    <w:rsid w:val="003C5DF8"/>
    <w:rsid w:val="003D233F"/>
    <w:rsid w:val="003D3042"/>
    <w:rsid w:val="003D37A2"/>
    <w:rsid w:val="003F59E7"/>
    <w:rsid w:val="00421725"/>
    <w:rsid w:val="00431494"/>
    <w:rsid w:val="004328D1"/>
    <w:rsid w:val="00433883"/>
    <w:rsid w:val="004349E4"/>
    <w:rsid w:val="00456292"/>
    <w:rsid w:val="00464A97"/>
    <w:rsid w:val="00465476"/>
    <w:rsid w:val="0047007A"/>
    <w:rsid w:val="00473D4E"/>
    <w:rsid w:val="00480D73"/>
    <w:rsid w:val="00486578"/>
    <w:rsid w:val="00486891"/>
    <w:rsid w:val="004A4084"/>
    <w:rsid w:val="004B0D36"/>
    <w:rsid w:val="004B2431"/>
    <w:rsid w:val="004C7FB4"/>
    <w:rsid w:val="004D6394"/>
    <w:rsid w:val="004E14CF"/>
    <w:rsid w:val="004E2896"/>
    <w:rsid w:val="004F467E"/>
    <w:rsid w:val="00511E4F"/>
    <w:rsid w:val="0053626F"/>
    <w:rsid w:val="00571B4A"/>
    <w:rsid w:val="00577575"/>
    <w:rsid w:val="005B3F37"/>
    <w:rsid w:val="005C3C6D"/>
    <w:rsid w:val="005C584F"/>
    <w:rsid w:val="005E2891"/>
    <w:rsid w:val="0060184C"/>
    <w:rsid w:val="00602320"/>
    <w:rsid w:val="006118D4"/>
    <w:rsid w:val="006140CC"/>
    <w:rsid w:val="00614D98"/>
    <w:rsid w:val="00615F4F"/>
    <w:rsid w:val="00662895"/>
    <w:rsid w:val="00665DE0"/>
    <w:rsid w:val="006D2195"/>
    <w:rsid w:val="006D4939"/>
    <w:rsid w:val="006D5BCC"/>
    <w:rsid w:val="006F0B28"/>
    <w:rsid w:val="006F5376"/>
    <w:rsid w:val="006F67C4"/>
    <w:rsid w:val="00703FDA"/>
    <w:rsid w:val="007128FC"/>
    <w:rsid w:val="00723E47"/>
    <w:rsid w:val="00727026"/>
    <w:rsid w:val="00732800"/>
    <w:rsid w:val="00735A84"/>
    <w:rsid w:val="007411F5"/>
    <w:rsid w:val="0074501E"/>
    <w:rsid w:val="0075049C"/>
    <w:rsid w:val="007504E5"/>
    <w:rsid w:val="00765157"/>
    <w:rsid w:val="00771EFF"/>
    <w:rsid w:val="00772422"/>
    <w:rsid w:val="00777FE4"/>
    <w:rsid w:val="007847B4"/>
    <w:rsid w:val="00786E34"/>
    <w:rsid w:val="007970C0"/>
    <w:rsid w:val="007B6518"/>
    <w:rsid w:val="007C1BD8"/>
    <w:rsid w:val="007F41E7"/>
    <w:rsid w:val="00810243"/>
    <w:rsid w:val="008143F9"/>
    <w:rsid w:val="00832F8E"/>
    <w:rsid w:val="0084610A"/>
    <w:rsid w:val="00880C69"/>
    <w:rsid w:val="00894797"/>
    <w:rsid w:val="008A01EA"/>
    <w:rsid w:val="008B1F9E"/>
    <w:rsid w:val="008D26BD"/>
    <w:rsid w:val="008D54BB"/>
    <w:rsid w:val="008E2B74"/>
    <w:rsid w:val="008F3883"/>
    <w:rsid w:val="0091075F"/>
    <w:rsid w:val="009133F4"/>
    <w:rsid w:val="009154EC"/>
    <w:rsid w:val="00916420"/>
    <w:rsid w:val="0092408D"/>
    <w:rsid w:val="00944FF5"/>
    <w:rsid w:val="00972C83"/>
    <w:rsid w:val="00974BCC"/>
    <w:rsid w:val="00977927"/>
    <w:rsid w:val="009849F8"/>
    <w:rsid w:val="009923BA"/>
    <w:rsid w:val="009A200D"/>
    <w:rsid w:val="009A2E73"/>
    <w:rsid w:val="009B011E"/>
    <w:rsid w:val="009C20A5"/>
    <w:rsid w:val="009C55D4"/>
    <w:rsid w:val="009C7702"/>
    <w:rsid w:val="009E20CB"/>
    <w:rsid w:val="009F6F7D"/>
    <w:rsid w:val="009F71D9"/>
    <w:rsid w:val="00A2248A"/>
    <w:rsid w:val="00A24BBB"/>
    <w:rsid w:val="00A337D7"/>
    <w:rsid w:val="00A5410D"/>
    <w:rsid w:val="00A64692"/>
    <w:rsid w:val="00A718E6"/>
    <w:rsid w:val="00AB0F77"/>
    <w:rsid w:val="00AC6772"/>
    <w:rsid w:val="00AF0DC2"/>
    <w:rsid w:val="00B056F3"/>
    <w:rsid w:val="00B10031"/>
    <w:rsid w:val="00B161BF"/>
    <w:rsid w:val="00B24364"/>
    <w:rsid w:val="00B25065"/>
    <w:rsid w:val="00B41B6A"/>
    <w:rsid w:val="00B426B6"/>
    <w:rsid w:val="00B4323E"/>
    <w:rsid w:val="00B72851"/>
    <w:rsid w:val="00B77052"/>
    <w:rsid w:val="00B86A98"/>
    <w:rsid w:val="00B913C9"/>
    <w:rsid w:val="00B9431F"/>
    <w:rsid w:val="00BA079E"/>
    <w:rsid w:val="00BB5296"/>
    <w:rsid w:val="00BB72EE"/>
    <w:rsid w:val="00BB7477"/>
    <w:rsid w:val="00BC0425"/>
    <w:rsid w:val="00BE564E"/>
    <w:rsid w:val="00BF005C"/>
    <w:rsid w:val="00BF5C51"/>
    <w:rsid w:val="00C06861"/>
    <w:rsid w:val="00C11498"/>
    <w:rsid w:val="00C12C36"/>
    <w:rsid w:val="00C35803"/>
    <w:rsid w:val="00C469BB"/>
    <w:rsid w:val="00C52985"/>
    <w:rsid w:val="00C5702C"/>
    <w:rsid w:val="00C62A59"/>
    <w:rsid w:val="00C71E59"/>
    <w:rsid w:val="00C77A6C"/>
    <w:rsid w:val="00C918EA"/>
    <w:rsid w:val="00C953EC"/>
    <w:rsid w:val="00CA38EA"/>
    <w:rsid w:val="00CA4E19"/>
    <w:rsid w:val="00CA50EE"/>
    <w:rsid w:val="00CB57D6"/>
    <w:rsid w:val="00CC17E2"/>
    <w:rsid w:val="00CD5C9E"/>
    <w:rsid w:val="00CE12F4"/>
    <w:rsid w:val="00CF3DC1"/>
    <w:rsid w:val="00CF46C6"/>
    <w:rsid w:val="00CF4C9B"/>
    <w:rsid w:val="00D06DE3"/>
    <w:rsid w:val="00D07885"/>
    <w:rsid w:val="00D07DAA"/>
    <w:rsid w:val="00D1000D"/>
    <w:rsid w:val="00D24D9C"/>
    <w:rsid w:val="00D41754"/>
    <w:rsid w:val="00D54579"/>
    <w:rsid w:val="00D75E3E"/>
    <w:rsid w:val="00D80BE5"/>
    <w:rsid w:val="00D819CA"/>
    <w:rsid w:val="00DA20A0"/>
    <w:rsid w:val="00DA7304"/>
    <w:rsid w:val="00DB6513"/>
    <w:rsid w:val="00DC71AB"/>
    <w:rsid w:val="00DD00D5"/>
    <w:rsid w:val="00DD4F56"/>
    <w:rsid w:val="00DD5F82"/>
    <w:rsid w:val="00DE6291"/>
    <w:rsid w:val="00E142D3"/>
    <w:rsid w:val="00E1585F"/>
    <w:rsid w:val="00E242D5"/>
    <w:rsid w:val="00E26554"/>
    <w:rsid w:val="00E3395C"/>
    <w:rsid w:val="00E4426C"/>
    <w:rsid w:val="00E71B93"/>
    <w:rsid w:val="00E74EEF"/>
    <w:rsid w:val="00E76437"/>
    <w:rsid w:val="00E767F8"/>
    <w:rsid w:val="00E80A63"/>
    <w:rsid w:val="00EB5430"/>
    <w:rsid w:val="00EC0889"/>
    <w:rsid w:val="00EC385A"/>
    <w:rsid w:val="00EC50BB"/>
    <w:rsid w:val="00ED11E2"/>
    <w:rsid w:val="00EE3165"/>
    <w:rsid w:val="00EE3923"/>
    <w:rsid w:val="00EE526D"/>
    <w:rsid w:val="00EF293E"/>
    <w:rsid w:val="00EF4B5E"/>
    <w:rsid w:val="00F00987"/>
    <w:rsid w:val="00F05836"/>
    <w:rsid w:val="00F1499D"/>
    <w:rsid w:val="00F20181"/>
    <w:rsid w:val="00F2499A"/>
    <w:rsid w:val="00F47112"/>
    <w:rsid w:val="00F819C0"/>
    <w:rsid w:val="00FB3CC2"/>
    <w:rsid w:val="00FC7613"/>
    <w:rsid w:val="00FD4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A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A1BA2"/>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A2"/>
    <w:rPr>
      <w:rFonts w:ascii="Times New Roman" w:eastAsia="Times New Roman" w:hAnsi="Times New Roman" w:cs="Times New Roman"/>
      <w:sz w:val="28"/>
      <w:szCs w:val="20"/>
      <w:lang w:eastAsia="lv-LV"/>
    </w:rPr>
  </w:style>
  <w:style w:type="paragraph" w:styleId="Header">
    <w:name w:val="header"/>
    <w:basedOn w:val="Normal"/>
    <w:link w:val="HeaderChar"/>
    <w:rsid w:val="002A1BA2"/>
    <w:pPr>
      <w:tabs>
        <w:tab w:val="center" w:pos="4153"/>
        <w:tab w:val="right" w:pos="8306"/>
      </w:tabs>
    </w:pPr>
  </w:style>
  <w:style w:type="character" w:customStyle="1" w:styleId="HeaderChar">
    <w:name w:val="Header Char"/>
    <w:basedOn w:val="DefaultParagraphFont"/>
    <w:link w:val="Header"/>
    <w:rsid w:val="002A1BA2"/>
    <w:rPr>
      <w:rFonts w:ascii="Times New Roman" w:eastAsia="Times New Roman" w:hAnsi="Times New Roman" w:cs="Times New Roman"/>
      <w:sz w:val="24"/>
      <w:szCs w:val="24"/>
      <w:lang w:eastAsia="lv-LV"/>
    </w:rPr>
  </w:style>
  <w:style w:type="character" w:styleId="PageNumber">
    <w:name w:val="page number"/>
    <w:basedOn w:val="DefaultParagraphFont"/>
    <w:rsid w:val="002A1BA2"/>
  </w:style>
  <w:style w:type="paragraph" w:customStyle="1" w:styleId="naisf">
    <w:name w:val="naisf"/>
    <w:basedOn w:val="Normal"/>
    <w:rsid w:val="002A1BA2"/>
    <w:pPr>
      <w:spacing w:before="75" w:after="75"/>
      <w:ind w:firstLine="375"/>
      <w:jc w:val="both"/>
    </w:pPr>
  </w:style>
  <w:style w:type="paragraph" w:customStyle="1" w:styleId="naisnod">
    <w:name w:val="naisnod"/>
    <w:basedOn w:val="Normal"/>
    <w:rsid w:val="002A1BA2"/>
    <w:pPr>
      <w:spacing w:before="150" w:after="150"/>
      <w:jc w:val="center"/>
    </w:pPr>
    <w:rPr>
      <w:b/>
      <w:bCs/>
    </w:rPr>
  </w:style>
  <w:style w:type="paragraph" w:customStyle="1" w:styleId="naislab">
    <w:name w:val="naislab"/>
    <w:basedOn w:val="Normal"/>
    <w:rsid w:val="002A1BA2"/>
    <w:pPr>
      <w:spacing w:before="75" w:after="75"/>
      <w:jc w:val="right"/>
    </w:pPr>
  </w:style>
  <w:style w:type="paragraph" w:customStyle="1" w:styleId="naiskr">
    <w:name w:val="naiskr"/>
    <w:basedOn w:val="Normal"/>
    <w:rsid w:val="002A1BA2"/>
    <w:pPr>
      <w:spacing w:before="75" w:after="75"/>
    </w:pPr>
  </w:style>
  <w:style w:type="paragraph" w:customStyle="1" w:styleId="naisc">
    <w:name w:val="naisc"/>
    <w:basedOn w:val="Normal"/>
    <w:uiPriority w:val="99"/>
    <w:rsid w:val="002A1BA2"/>
    <w:pPr>
      <w:spacing w:before="75" w:after="75"/>
      <w:jc w:val="center"/>
    </w:pPr>
  </w:style>
  <w:style w:type="character" w:styleId="CommentReference">
    <w:name w:val="annotation reference"/>
    <w:basedOn w:val="DefaultParagraphFont"/>
    <w:uiPriority w:val="99"/>
    <w:semiHidden/>
    <w:rsid w:val="002A1BA2"/>
    <w:rPr>
      <w:sz w:val="16"/>
      <w:szCs w:val="16"/>
    </w:rPr>
  </w:style>
  <w:style w:type="paragraph" w:styleId="FootnoteText">
    <w:name w:val="footnote text"/>
    <w:basedOn w:val="Normal"/>
    <w:link w:val="FootnoteTextChar"/>
    <w:semiHidden/>
    <w:rsid w:val="002A1BA2"/>
    <w:rPr>
      <w:sz w:val="20"/>
      <w:szCs w:val="20"/>
    </w:rPr>
  </w:style>
  <w:style w:type="character" w:customStyle="1" w:styleId="FootnoteTextChar">
    <w:name w:val="Footnote Text Char"/>
    <w:basedOn w:val="DefaultParagraphFont"/>
    <w:link w:val="FootnoteText"/>
    <w:semiHidden/>
    <w:rsid w:val="002A1BA2"/>
    <w:rPr>
      <w:rFonts w:ascii="Times New Roman" w:eastAsia="Times New Roman" w:hAnsi="Times New Roman" w:cs="Times New Roman"/>
      <w:sz w:val="20"/>
      <w:szCs w:val="20"/>
      <w:lang w:eastAsia="lv-LV"/>
    </w:rPr>
  </w:style>
  <w:style w:type="paragraph" w:styleId="Footer">
    <w:name w:val="footer"/>
    <w:basedOn w:val="Normal"/>
    <w:link w:val="FooterChar"/>
    <w:rsid w:val="002A1BA2"/>
    <w:pPr>
      <w:tabs>
        <w:tab w:val="center" w:pos="4153"/>
        <w:tab w:val="right" w:pos="8306"/>
      </w:tabs>
    </w:pPr>
  </w:style>
  <w:style w:type="character" w:customStyle="1" w:styleId="FooterChar">
    <w:name w:val="Footer Char"/>
    <w:basedOn w:val="DefaultParagraphFont"/>
    <w:link w:val="Footer"/>
    <w:rsid w:val="002A1BA2"/>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A1BA2"/>
  </w:style>
  <w:style w:type="paragraph" w:styleId="NormalWeb">
    <w:name w:val="Normal (Web)"/>
    <w:basedOn w:val="Normal"/>
    <w:uiPriority w:val="99"/>
    <w:rsid w:val="002A1BA2"/>
    <w:pPr>
      <w:spacing w:before="100" w:beforeAutospacing="1" w:after="100" w:afterAutospacing="1"/>
    </w:pPr>
  </w:style>
  <w:style w:type="paragraph" w:styleId="HTMLPreformatted">
    <w:name w:val="HTML Preformatted"/>
    <w:basedOn w:val="Normal"/>
    <w:link w:val="HTMLPreformattedChar"/>
    <w:uiPriority w:val="99"/>
    <w:unhideWhenUsed/>
    <w:rsid w:val="002A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1BA2"/>
    <w:rPr>
      <w:rFonts w:ascii="Courier New" w:eastAsia="Times New Roman" w:hAnsi="Courier New" w:cs="Courier New"/>
      <w:sz w:val="20"/>
      <w:szCs w:val="20"/>
      <w:lang w:eastAsia="lv-LV"/>
    </w:rPr>
  </w:style>
  <w:style w:type="paragraph" w:customStyle="1" w:styleId="Normal1">
    <w:name w:val="Normal1"/>
    <w:basedOn w:val="Normal"/>
    <w:rsid w:val="002A1BA2"/>
    <w:rPr>
      <w:rFonts w:ascii="Calibri" w:hAnsi="Calibri"/>
      <w:sz w:val="22"/>
      <w:szCs w:val="22"/>
    </w:rPr>
  </w:style>
  <w:style w:type="paragraph" w:customStyle="1" w:styleId="list0020paragraph">
    <w:name w:val="list_0020paragraph"/>
    <w:basedOn w:val="Normal"/>
    <w:rsid w:val="002A1BA2"/>
    <w:pPr>
      <w:ind w:left="720"/>
    </w:pPr>
    <w:rPr>
      <w:rFonts w:ascii="Calibri" w:hAnsi="Calibri"/>
      <w:sz w:val="22"/>
      <w:szCs w:val="22"/>
    </w:rPr>
  </w:style>
  <w:style w:type="paragraph" w:customStyle="1" w:styleId="body0020text">
    <w:name w:val="body_0020text"/>
    <w:basedOn w:val="Normal"/>
    <w:rsid w:val="002A1BA2"/>
    <w:rPr>
      <w:i/>
      <w:iCs/>
      <w:sz w:val="28"/>
      <w:szCs w:val="28"/>
    </w:rPr>
  </w:style>
  <w:style w:type="character" w:customStyle="1" w:styleId="normalchar1">
    <w:name w:val="normal__char1"/>
    <w:basedOn w:val="DefaultParagraphFont"/>
    <w:rsid w:val="002A1BA2"/>
    <w:rPr>
      <w:rFonts w:ascii="Calibri" w:hAnsi="Calibri" w:hint="default"/>
      <w:sz w:val="22"/>
      <w:szCs w:val="22"/>
    </w:rPr>
  </w:style>
  <w:style w:type="character" w:customStyle="1" w:styleId="list0020paragraphchar1">
    <w:name w:val="list_0020paragraph__char1"/>
    <w:basedOn w:val="DefaultParagraphFont"/>
    <w:rsid w:val="002A1BA2"/>
    <w:rPr>
      <w:rFonts w:ascii="Calibri" w:hAnsi="Calibri" w:hint="default"/>
      <w:sz w:val="22"/>
      <w:szCs w:val="22"/>
    </w:rPr>
  </w:style>
  <w:style w:type="character" w:customStyle="1" w:styleId="naiscchar1">
    <w:name w:val="naisc__char1"/>
    <w:basedOn w:val="DefaultParagraphFont"/>
    <w:rsid w:val="002A1BA2"/>
    <w:rPr>
      <w:rFonts w:ascii="Times New Roman" w:hAnsi="Times New Roman" w:cs="Times New Roman" w:hint="default"/>
      <w:sz w:val="24"/>
      <w:szCs w:val="24"/>
    </w:rPr>
  </w:style>
  <w:style w:type="paragraph" w:styleId="Subtitle">
    <w:name w:val="Subtitle"/>
    <w:basedOn w:val="Normal"/>
    <w:link w:val="SubtitleChar"/>
    <w:qFormat/>
    <w:rsid w:val="002A1BA2"/>
    <w:pPr>
      <w:ind w:left="851"/>
      <w:jc w:val="both"/>
    </w:pPr>
    <w:rPr>
      <w:sz w:val="28"/>
      <w:szCs w:val="20"/>
    </w:rPr>
  </w:style>
  <w:style w:type="character" w:customStyle="1" w:styleId="SubtitleChar">
    <w:name w:val="Subtitle Char"/>
    <w:basedOn w:val="DefaultParagraphFont"/>
    <w:link w:val="Subtitle"/>
    <w:rsid w:val="002A1BA2"/>
    <w:rPr>
      <w:rFonts w:ascii="Times New Roman" w:eastAsia="Times New Roman" w:hAnsi="Times New Roman" w:cs="Times New Roman"/>
      <w:sz w:val="28"/>
      <w:szCs w:val="20"/>
      <w:lang w:eastAsia="lv-LV"/>
    </w:rPr>
  </w:style>
  <w:style w:type="character" w:customStyle="1" w:styleId="list0020paragraphchar">
    <w:name w:val="list_0020paragraph__char"/>
    <w:basedOn w:val="DefaultParagraphFont"/>
    <w:rsid w:val="002A1BA2"/>
  </w:style>
  <w:style w:type="paragraph" w:styleId="BalloonText">
    <w:name w:val="Balloon Text"/>
    <w:basedOn w:val="Normal"/>
    <w:link w:val="BalloonTextChar"/>
    <w:uiPriority w:val="99"/>
    <w:semiHidden/>
    <w:unhideWhenUsed/>
    <w:rsid w:val="00EE3923"/>
    <w:rPr>
      <w:rFonts w:ascii="Tahoma" w:hAnsi="Tahoma" w:cs="Tahoma"/>
      <w:sz w:val="16"/>
      <w:szCs w:val="16"/>
    </w:rPr>
  </w:style>
  <w:style w:type="character" w:customStyle="1" w:styleId="BalloonTextChar">
    <w:name w:val="Balloon Text Char"/>
    <w:basedOn w:val="DefaultParagraphFont"/>
    <w:link w:val="BalloonText"/>
    <w:uiPriority w:val="99"/>
    <w:semiHidden/>
    <w:rsid w:val="00EE3923"/>
    <w:rPr>
      <w:rFonts w:ascii="Tahoma" w:eastAsia="Times New Roman" w:hAnsi="Tahoma" w:cs="Tahoma"/>
      <w:sz w:val="16"/>
      <w:szCs w:val="16"/>
      <w:lang w:eastAsia="lv-LV"/>
    </w:rPr>
  </w:style>
  <w:style w:type="character" w:styleId="Hyperlink">
    <w:name w:val="Hyperlink"/>
    <w:basedOn w:val="DefaultParagraphFont"/>
    <w:uiPriority w:val="99"/>
    <w:unhideWhenUsed/>
    <w:rsid w:val="001A0A4A"/>
    <w:rPr>
      <w:color w:val="0000FF" w:themeColor="hyperlink"/>
      <w:u w:val="single"/>
    </w:rPr>
  </w:style>
  <w:style w:type="character" w:styleId="Strong">
    <w:name w:val="Strong"/>
    <w:basedOn w:val="DefaultParagraphFont"/>
    <w:uiPriority w:val="99"/>
    <w:qFormat/>
    <w:rsid w:val="0092408D"/>
    <w:rPr>
      <w:rFonts w:cs="Times New Roman"/>
      <w:b/>
      <w:bCs/>
    </w:rPr>
  </w:style>
  <w:style w:type="paragraph" w:styleId="ListParagraph">
    <w:name w:val="List Paragraph"/>
    <w:basedOn w:val="Normal"/>
    <w:uiPriority w:val="34"/>
    <w:qFormat/>
    <w:rsid w:val="00465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A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A1BA2"/>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A2"/>
    <w:rPr>
      <w:rFonts w:ascii="Times New Roman" w:eastAsia="Times New Roman" w:hAnsi="Times New Roman" w:cs="Times New Roman"/>
      <w:sz w:val="28"/>
      <w:szCs w:val="20"/>
      <w:lang w:eastAsia="lv-LV"/>
    </w:rPr>
  </w:style>
  <w:style w:type="paragraph" w:styleId="Header">
    <w:name w:val="header"/>
    <w:basedOn w:val="Normal"/>
    <w:link w:val="HeaderChar"/>
    <w:rsid w:val="002A1BA2"/>
    <w:pPr>
      <w:tabs>
        <w:tab w:val="center" w:pos="4153"/>
        <w:tab w:val="right" w:pos="8306"/>
      </w:tabs>
    </w:pPr>
  </w:style>
  <w:style w:type="character" w:customStyle="1" w:styleId="HeaderChar">
    <w:name w:val="Header Char"/>
    <w:basedOn w:val="DefaultParagraphFont"/>
    <w:link w:val="Header"/>
    <w:rsid w:val="002A1BA2"/>
    <w:rPr>
      <w:rFonts w:ascii="Times New Roman" w:eastAsia="Times New Roman" w:hAnsi="Times New Roman" w:cs="Times New Roman"/>
      <w:sz w:val="24"/>
      <w:szCs w:val="24"/>
      <w:lang w:eastAsia="lv-LV"/>
    </w:rPr>
  </w:style>
  <w:style w:type="character" w:styleId="PageNumber">
    <w:name w:val="page number"/>
    <w:basedOn w:val="DefaultParagraphFont"/>
    <w:rsid w:val="002A1BA2"/>
  </w:style>
  <w:style w:type="paragraph" w:customStyle="1" w:styleId="naisf">
    <w:name w:val="naisf"/>
    <w:basedOn w:val="Normal"/>
    <w:rsid w:val="002A1BA2"/>
    <w:pPr>
      <w:spacing w:before="75" w:after="75"/>
      <w:ind w:firstLine="375"/>
      <w:jc w:val="both"/>
    </w:pPr>
  </w:style>
  <w:style w:type="paragraph" w:customStyle="1" w:styleId="naisnod">
    <w:name w:val="naisnod"/>
    <w:basedOn w:val="Normal"/>
    <w:rsid w:val="002A1BA2"/>
    <w:pPr>
      <w:spacing w:before="150" w:after="150"/>
      <w:jc w:val="center"/>
    </w:pPr>
    <w:rPr>
      <w:b/>
      <w:bCs/>
    </w:rPr>
  </w:style>
  <w:style w:type="paragraph" w:customStyle="1" w:styleId="naislab">
    <w:name w:val="naislab"/>
    <w:basedOn w:val="Normal"/>
    <w:rsid w:val="002A1BA2"/>
    <w:pPr>
      <w:spacing w:before="75" w:after="75"/>
      <w:jc w:val="right"/>
    </w:pPr>
  </w:style>
  <w:style w:type="paragraph" w:customStyle="1" w:styleId="naiskr">
    <w:name w:val="naiskr"/>
    <w:basedOn w:val="Normal"/>
    <w:rsid w:val="002A1BA2"/>
    <w:pPr>
      <w:spacing w:before="75" w:after="75"/>
    </w:pPr>
  </w:style>
  <w:style w:type="paragraph" w:customStyle="1" w:styleId="naisc">
    <w:name w:val="naisc"/>
    <w:basedOn w:val="Normal"/>
    <w:uiPriority w:val="99"/>
    <w:rsid w:val="002A1BA2"/>
    <w:pPr>
      <w:spacing w:before="75" w:after="75"/>
      <w:jc w:val="center"/>
    </w:pPr>
  </w:style>
  <w:style w:type="character" w:styleId="CommentReference">
    <w:name w:val="annotation reference"/>
    <w:basedOn w:val="DefaultParagraphFont"/>
    <w:uiPriority w:val="99"/>
    <w:semiHidden/>
    <w:rsid w:val="002A1BA2"/>
    <w:rPr>
      <w:sz w:val="16"/>
      <w:szCs w:val="16"/>
    </w:rPr>
  </w:style>
  <w:style w:type="paragraph" w:styleId="FootnoteText">
    <w:name w:val="footnote text"/>
    <w:basedOn w:val="Normal"/>
    <w:link w:val="FootnoteTextChar"/>
    <w:semiHidden/>
    <w:rsid w:val="002A1BA2"/>
    <w:rPr>
      <w:sz w:val="20"/>
      <w:szCs w:val="20"/>
    </w:rPr>
  </w:style>
  <w:style w:type="character" w:customStyle="1" w:styleId="FootnoteTextChar">
    <w:name w:val="Footnote Text Char"/>
    <w:basedOn w:val="DefaultParagraphFont"/>
    <w:link w:val="FootnoteText"/>
    <w:semiHidden/>
    <w:rsid w:val="002A1BA2"/>
    <w:rPr>
      <w:rFonts w:ascii="Times New Roman" w:eastAsia="Times New Roman" w:hAnsi="Times New Roman" w:cs="Times New Roman"/>
      <w:sz w:val="20"/>
      <w:szCs w:val="20"/>
      <w:lang w:eastAsia="lv-LV"/>
    </w:rPr>
  </w:style>
  <w:style w:type="paragraph" w:styleId="Footer">
    <w:name w:val="footer"/>
    <w:basedOn w:val="Normal"/>
    <w:link w:val="FooterChar"/>
    <w:rsid w:val="002A1BA2"/>
    <w:pPr>
      <w:tabs>
        <w:tab w:val="center" w:pos="4153"/>
        <w:tab w:val="right" w:pos="8306"/>
      </w:tabs>
    </w:pPr>
  </w:style>
  <w:style w:type="character" w:customStyle="1" w:styleId="FooterChar">
    <w:name w:val="Footer Char"/>
    <w:basedOn w:val="DefaultParagraphFont"/>
    <w:link w:val="Footer"/>
    <w:rsid w:val="002A1BA2"/>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A1BA2"/>
  </w:style>
  <w:style w:type="paragraph" w:styleId="NormalWeb">
    <w:name w:val="Normal (Web)"/>
    <w:basedOn w:val="Normal"/>
    <w:uiPriority w:val="99"/>
    <w:rsid w:val="002A1BA2"/>
    <w:pPr>
      <w:spacing w:before="100" w:beforeAutospacing="1" w:after="100" w:afterAutospacing="1"/>
    </w:pPr>
  </w:style>
  <w:style w:type="paragraph" w:styleId="HTMLPreformatted">
    <w:name w:val="HTML Preformatted"/>
    <w:basedOn w:val="Normal"/>
    <w:link w:val="HTMLPreformattedChar"/>
    <w:uiPriority w:val="99"/>
    <w:unhideWhenUsed/>
    <w:rsid w:val="002A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1BA2"/>
    <w:rPr>
      <w:rFonts w:ascii="Courier New" w:eastAsia="Times New Roman" w:hAnsi="Courier New" w:cs="Courier New"/>
      <w:sz w:val="20"/>
      <w:szCs w:val="20"/>
      <w:lang w:eastAsia="lv-LV"/>
    </w:rPr>
  </w:style>
  <w:style w:type="paragraph" w:customStyle="1" w:styleId="Normal1">
    <w:name w:val="Normal1"/>
    <w:basedOn w:val="Normal"/>
    <w:rsid w:val="002A1BA2"/>
    <w:rPr>
      <w:rFonts w:ascii="Calibri" w:hAnsi="Calibri"/>
      <w:sz w:val="22"/>
      <w:szCs w:val="22"/>
    </w:rPr>
  </w:style>
  <w:style w:type="paragraph" w:customStyle="1" w:styleId="list0020paragraph">
    <w:name w:val="list_0020paragraph"/>
    <w:basedOn w:val="Normal"/>
    <w:rsid w:val="002A1BA2"/>
    <w:pPr>
      <w:ind w:left="720"/>
    </w:pPr>
    <w:rPr>
      <w:rFonts w:ascii="Calibri" w:hAnsi="Calibri"/>
      <w:sz w:val="22"/>
      <w:szCs w:val="22"/>
    </w:rPr>
  </w:style>
  <w:style w:type="paragraph" w:customStyle="1" w:styleId="body0020text">
    <w:name w:val="body_0020text"/>
    <w:basedOn w:val="Normal"/>
    <w:rsid w:val="002A1BA2"/>
    <w:rPr>
      <w:i/>
      <w:iCs/>
      <w:sz w:val="28"/>
      <w:szCs w:val="28"/>
    </w:rPr>
  </w:style>
  <w:style w:type="character" w:customStyle="1" w:styleId="normalchar1">
    <w:name w:val="normal__char1"/>
    <w:basedOn w:val="DefaultParagraphFont"/>
    <w:rsid w:val="002A1BA2"/>
    <w:rPr>
      <w:rFonts w:ascii="Calibri" w:hAnsi="Calibri" w:hint="default"/>
      <w:sz w:val="22"/>
      <w:szCs w:val="22"/>
    </w:rPr>
  </w:style>
  <w:style w:type="character" w:customStyle="1" w:styleId="list0020paragraphchar1">
    <w:name w:val="list_0020paragraph__char1"/>
    <w:basedOn w:val="DefaultParagraphFont"/>
    <w:rsid w:val="002A1BA2"/>
    <w:rPr>
      <w:rFonts w:ascii="Calibri" w:hAnsi="Calibri" w:hint="default"/>
      <w:sz w:val="22"/>
      <w:szCs w:val="22"/>
    </w:rPr>
  </w:style>
  <w:style w:type="character" w:customStyle="1" w:styleId="naiscchar1">
    <w:name w:val="naisc__char1"/>
    <w:basedOn w:val="DefaultParagraphFont"/>
    <w:rsid w:val="002A1BA2"/>
    <w:rPr>
      <w:rFonts w:ascii="Times New Roman" w:hAnsi="Times New Roman" w:cs="Times New Roman" w:hint="default"/>
      <w:sz w:val="24"/>
      <w:szCs w:val="24"/>
    </w:rPr>
  </w:style>
  <w:style w:type="paragraph" w:styleId="Subtitle">
    <w:name w:val="Subtitle"/>
    <w:basedOn w:val="Normal"/>
    <w:link w:val="SubtitleChar"/>
    <w:qFormat/>
    <w:rsid w:val="002A1BA2"/>
    <w:pPr>
      <w:ind w:left="851"/>
      <w:jc w:val="both"/>
    </w:pPr>
    <w:rPr>
      <w:sz w:val="28"/>
      <w:szCs w:val="20"/>
    </w:rPr>
  </w:style>
  <w:style w:type="character" w:customStyle="1" w:styleId="SubtitleChar">
    <w:name w:val="Subtitle Char"/>
    <w:basedOn w:val="DefaultParagraphFont"/>
    <w:link w:val="Subtitle"/>
    <w:rsid w:val="002A1BA2"/>
    <w:rPr>
      <w:rFonts w:ascii="Times New Roman" w:eastAsia="Times New Roman" w:hAnsi="Times New Roman" w:cs="Times New Roman"/>
      <w:sz w:val="28"/>
      <w:szCs w:val="20"/>
      <w:lang w:eastAsia="lv-LV"/>
    </w:rPr>
  </w:style>
  <w:style w:type="character" w:customStyle="1" w:styleId="list0020paragraphchar">
    <w:name w:val="list_0020paragraph__char"/>
    <w:basedOn w:val="DefaultParagraphFont"/>
    <w:rsid w:val="002A1BA2"/>
  </w:style>
  <w:style w:type="paragraph" w:styleId="BalloonText">
    <w:name w:val="Balloon Text"/>
    <w:basedOn w:val="Normal"/>
    <w:link w:val="BalloonTextChar"/>
    <w:uiPriority w:val="99"/>
    <w:semiHidden/>
    <w:unhideWhenUsed/>
    <w:rsid w:val="00EE3923"/>
    <w:rPr>
      <w:rFonts w:ascii="Tahoma" w:hAnsi="Tahoma" w:cs="Tahoma"/>
      <w:sz w:val="16"/>
      <w:szCs w:val="16"/>
    </w:rPr>
  </w:style>
  <w:style w:type="character" w:customStyle="1" w:styleId="BalloonTextChar">
    <w:name w:val="Balloon Text Char"/>
    <w:basedOn w:val="DefaultParagraphFont"/>
    <w:link w:val="BalloonText"/>
    <w:uiPriority w:val="99"/>
    <w:semiHidden/>
    <w:rsid w:val="00EE3923"/>
    <w:rPr>
      <w:rFonts w:ascii="Tahoma" w:eastAsia="Times New Roman" w:hAnsi="Tahoma" w:cs="Tahoma"/>
      <w:sz w:val="16"/>
      <w:szCs w:val="16"/>
      <w:lang w:eastAsia="lv-LV"/>
    </w:rPr>
  </w:style>
  <w:style w:type="character" w:styleId="Hyperlink">
    <w:name w:val="Hyperlink"/>
    <w:basedOn w:val="DefaultParagraphFont"/>
    <w:uiPriority w:val="99"/>
    <w:unhideWhenUsed/>
    <w:rsid w:val="001A0A4A"/>
    <w:rPr>
      <w:color w:val="0000FF" w:themeColor="hyperlink"/>
      <w:u w:val="single"/>
    </w:rPr>
  </w:style>
  <w:style w:type="character" w:styleId="Strong">
    <w:name w:val="Strong"/>
    <w:basedOn w:val="DefaultParagraphFont"/>
    <w:uiPriority w:val="99"/>
    <w:qFormat/>
    <w:rsid w:val="0092408D"/>
    <w:rPr>
      <w:rFonts w:cs="Times New Roman"/>
      <w:b/>
      <w:bCs/>
    </w:rPr>
  </w:style>
  <w:style w:type="paragraph" w:styleId="ListParagraph">
    <w:name w:val="List Paragraph"/>
    <w:basedOn w:val="Normal"/>
    <w:uiPriority w:val="34"/>
    <w:qFormat/>
    <w:rsid w:val="0046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01619">
      <w:bodyDiv w:val="1"/>
      <w:marLeft w:val="0"/>
      <w:marRight w:val="0"/>
      <w:marTop w:val="0"/>
      <w:marBottom w:val="0"/>
      <w:divBdr>
        <w:top w:val="none" w:sz="0" w:space="0" w:color="auto"/>
        <w:left w:val="none" w:sz="0" w:space="0" w:color="auto"/>
        <w:bottom w:val="none" w:sz="0" w:space="0" w:color="auto"/>
        <w:right w:val="none" w:sz="0" w:space="0" w:color="auto"/>
      </w:divBdr>
    </w:div>
    <w:div w:id="1782410285">
      <w:bodyDiv w:val="1"/>
      <w:marLeft w:val="0"/>
      <w:marRight w:val="0"/>
      <w:marTop w:val="0"/>
      <w:marBottom w:val="0"/>
      <w:divBdr>
        <w:top w:val="none" w:sz="0" w:space="0" w:color="auto"/>
        <w:left w:val="none" w:sz="0" w:space="0" w:color="auto"/>
        <w:bottom w:val="none" w:sz="0" w:space="0" w:color="auto"/>
        <w:right w:val="none" w:sz="0" w:space="0" w:color="auto"/>
      </w:divBdr>
      <w:divsChild>
        <w:div w:id="918293304">
          <w:marLeft w:val="3"/>
          <w:marRight w:val="3"/>
          <w:marTop w:val="0"/>
          <w:marBottom w:val="0"/>
          <w:divBdr>
            <w:top w:val="single" w:sz="6" w:space="0" w:color="112449"/>
            <w:left w:val="single" w:sz="6" w:space="0" w:color="112449"/>
            <w:bottom w:val="single" w:sz="6" w:space="0" w:color="112449"/>
            <w:right w:val="single" w:sz="6" w:space="0" w:color="112449"/>
          </w:divBdr>
          <w:divsChild>
            <w:div w:id="1900087365">
              <w:marLeft w:val="3"/>
              <w:marRight w:val="3"/>
              <w:marTop w:val="0"/>
              <w:marBottom w:val="0"/>
              <w:divBdr>
                <w:top w:val="single" w:sz="6" w:space="0" w:color="112449"/>
                <w:left w:val="single" w:sz="6" w:space="0" w:color="112449"/>
                <w:bottom w:val="single" w:sz="6" w:space="0" w:color="112449"/>
                <w:right w:val="single" w:sz="6" w:space="0" w:color="112449"/>
              </w:divBdr>
              <w:divsChild>
                <w:div w:id="5563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ja.Ziedina-Brigman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21CD-08B3-4BCD-BD4B-32CA7D63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8</Pages>
  <Words>9220</Words>
  <Characters>5256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Noteikumu projekta „Grozījums Ministru kabineta 1999.gada 18.maija noteikumos Nr.178 „Kārtība, kādā norādāmas preču un pakalpojumu cenas" anotācija</vt:lpstr>
    </vt:vector>
  </TitlesOfParts>
  <Company>LR Ekonomikas ministrija</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1999.gada 18.maija noteikumos Nr.178 „Kārtība, kādā norādāmas preču un pakalpojumu cenas" anotācija</dc:title>
  <dc:subject>Anotācija</dc:subject>
  <dc:creator>Maija Ziediņa-Brigmane;Maija.Ziedina-Brigmane@em.gov.lv;Maija.Ziedina-Brigmane@em.gov.lv</dc:creator>
  <cp:keywords>Anotācija</cp:keywords>
  <dc:description>Maija Ziediņa-Brigmane, e-pasts: Maija.Ziedina-Brigmane@em.gov.lv, tālr.67013230</dc:description>
  <cp:lastModifiedBy>Liena Zemīte</cp:lastModifiedBy>
  <cp:revision>50</cp:revision>
  <cp:lastPrinted>2013-04-24T10:56:00Z</cp:lastPrinted>
  <dcterms:created xsi:type="dcterms:W3CDTF">2012-09-24T12:02:00Z</dcterms:created>
  <dcterms:modified xsi:type="dcterms:W3CDTF">2013-04-25T07:21:00Z</dcterms:modified>
</cp:coreProperties>
</file>