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40" w:rsidRPr="0024569C" w:rsidRDefault="00A67D40" w:rsidP="00A67D40">
      <w:pPr>
        <w:spacing w:line="240" w:lineRule="auto"/>
        <w:contextualSpacing/>
        <w:jc w:val="center"/>
        <w:outlineLvl w:val="0"/>
        <w:rPr>
          <w:rFonts w:ascii="Times New Roman" w:hAnsi="Times New Roman"/>
          <w:b/>
          <w:color w:val="000000" w:themeColor="text1"/>
          <w:sz w:val="24"/>
          <w:szCs w:val="24"/>
        </w:rPr>
      </w:pPr>
      <w:r w:rsidRPr="0024569C">
        <w:rPr>
          <w:rFonts w:ascii="Times New Roman" w:hAnsi="Times New Roman"/>
          <w:b/>
          <w:color w:val="000000" w:themeColor="text1"/>
          <w:sz w:val="24"/>
          <w:szCs w:val="24"/>
        </w:rPr>
        <w:t>Ministru kabineta noteikumu projekta</w:t>
      </w:r>
    </w:p>
    <w:p w:rsidR="00CE44D6" w:rsidRPr="0024569C" w:rsidRDefault="00A67D40" w:rsidP="009768DB">
      <w:pPr>
        <w:spacing w:after="0" w:line="240" w:lineRule="auto"/>
        <w:contextualSpacing/>
        <w:jc w:val="center"/>
        <w:outlineLvl w:val="3"/>
        <w:rPr>
          <w:b/>
          <w:color w:val="000000" w:themeColor="text1"/>
        </w:rPr>
      </w:pPr>
      <w:r w:rsidRPr="0024569C">
        <w:rPr>
          <w:rFonts w:ascii="Times New Roman" w:hAnsi="Times New Roman"/>
          <w:b/>
          <w:color w:val="000000" w:themeColor="text1"/>
          <w:sz w:val="24"/>
          <w:szCs w:val="24"/>
        </w:rPr>
        <w:t>„Grozījum</w:t>
      </w:r>
      <w:r w:rsidR="00C21DAE" w:rsidRPr="0024569C">
        <w:rPr>
          <w:rFonts w:ascii="Times New Roman" w:hAnsi="Times New Roman"/>
          <w:b/>
          <w:color w:val="000000" w:themeColor="text1"/>
          <w:sz w:val="24"/>
          <w:szCs w:val="24"/>
        </w:rPr>
        <w:t>i</w:t>
      </w:r>
      <w:r w:rsidRPr="0024569C">
        <w:rPr>
          <w:rFonts w:ascii="Times New Roman" w:hAnsi="Times New Roman"/>
          <w:b/>
          <w:color w:val="000000" w:themeColor="text1"/>
          <w:sz w:val="24"/>
          <w:szCs w:val="24"/>
        </w:rPr>
        <w:t xml:space="preserve"> </w:t>
      </w:r>
      <w:r w:rsidR="004C7262" w:rsidRPr="0024569C">
        <w:rPr>
          <w:rFonts w:ascii="Times New Roman" w:hAnsi="Times New Roman"/>
          <w:b/>
          <w:color w:val="000000" w:themeColor="text1"/>
          <w:sz w:val="24"/>
          <w:szCs w:val="24"/>
        </w:rPr>
        <w:t>Ministru kabineta</w:t>
      </w:r>
      <w:r w:rsidR="001C318D" w:rsidRPr="0024569C">
        <w:rPr>
          <w:rFonts w:ascii="Times New Roman" w:hAnsi="Times New Roman"/>
          <w:b/>
          <w:color w:val="000000" w:themeColor="text1"/>
          <w:sz w:val="24"/>
          <w:szCs w:val="24"/>
        </w:rPr>
        <w:t xml:space="preserve"> 2009.gada 10.marta</w:t>
      </w:r>
      <w:r w:rsidRPr="0024569C">
        <w:rPr>
          <w:rFonts w:ascii="Times New Roman" w:hAnsi="Times New Roman"/>
          <w:b/>
          <w:color w:val="000000" w:themeColor="text1"/>
          <w:sz w:val="24"/>
          <w:szCs w:val="24"/>
        </w:rPr>
        <w:t xml:space="preserve"> noteikumos Nr.221 „</w:t>
      </w:r>
      <w:r w:rsidRPr="0024569C">
        <w:rPr>
          <w:rFonts w:ascii="Times New Roman" w:hAnsi="Times New Roman"/>
          <w:b/>
          <w:bCs/>
          <w:color w:val="000000" w:themeColor="text1"/>
          <w:sz w:val="24"/>
          <w:szCs w:val="24"/>
        </w:rPr>
        <w:t>Noteikumi par elektroenerģijas ražošanu un cenu noteikšanu, ražojot elektroenerģiju koģenerācijā”</w:t>
      </w:r>
      <w:r w:rsidR="001418F5" w:rsidRPr="0024569C">
        <w:rPr>
          <w:rFonts w:ascii="Times New Roman" w:hAnsi="Times New Roman"/>
          <w:b/>
          <w:bCs/>
          <w:color w:val="000000" w:themeColor="text1"/>
          <w:sz w:val="24"/>
          <w:szCs w:val="24"/>
        </w:rPr>
        <w:t>”</w:t>
      </w:r>
      <w:r w:rsidRPr="0024569C">
        <w:rPr>
          <w:rFonts w:ascii="Times New Roman" w:hAnsi="Times New Roman"/>
          <w:b/>
          <w:color w:val="000000" w:themeColor="text1"/>
          <w:sz w:val="24"/>
          <w:szCs w:val="24"/>
        </w:rPr>
        <w:t xml:space="preserve"> </w:t>
      </w:r>
      <w:r w:rsidRPr="0024569C">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716"/>
        <w:gridCol w:w="6459"/>
      </w:tblGrid>
      <w:tr w:rsidR="0024569C" w:rsidRPr="0024569C" w:rsidTr="00AC5899">
        <w:tc>
          <w:tcPr>
            <w:tcW w:w="9725" w:type="dxa"/>
            <w:gridSpan w:val="3"/>
            <w:vAlign w:val="center"/>
          </w:tcPr>
          <w:p w:rsidR="00CE44D6" w:rsidRPr="0024569C" w:rsidRDefault="00CE44D6" w:rsidP="00494B41">
            <w:pPr>
              <w:pStyle w:val="naisnod"/>
              <w:spacing w:before="0" w:after="0"/>
              <w:rPr>
                <w:color w:val="000000" w:themeColor="text1"/>
              </w:rPr>
            </w:pPr>
            <w:r w:rsidRPr="0024569C">
              <w:rPr>
                <w:color w:val="000000" w:themeColor="text1"/>
              </w:rPr>
              <w:t>I. Tiesību akta projekta izstrādes nepieciešamība</w:t>
            </w:r>
          </w:p>
        </w:tc>
      </w:tr>
      <w:tr w:rsidR="0024569C" w:rsidRPr="0024569C" w:rsidTr="007E4D83">
        <w:trPr>
          <w:trHeight w:val="630"/>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1.</w:t>
            </w:r>
          </w:p>
        </w:tc>
        <w:tc>
          <w:tcPr>
            <w:tcW w:w="2716" w:type="dxa"/>
          </w:tcPr>
          <w:p w:rsidR="00CE44D6" w:rsidRPr="0024569C" w:rsidRDefault="00CE44D6" w:rsidP="00494B41">
            <w:pPr>
              <w:pStyle w:val="naiskr"/>
              <w:spacing w:before="0" w:after="0"/>
              <w:ind w:hanging="10"/>
              <w:rPr>
                <w:color w:val="000000" w:themeColor="text1"/>
              </w:rPr>
            </w:pPr>
            <w:r w:rsidRPr="0024569C">
              <w:rPr>
                <w:color w:val="000000" w:themeColor="text1"/>
              </w:rPr>
              <w:t>Pamatojums</w:t>
            </w:r>
          </w:p>
        </w:tc>
        <w:tc>
          <w:tcPr>
            <w:tcW w:w="6459" w:type="dxa"/>
          </w:tcPr>
          <w:p w:rsidR="00F95F9B" w:rsidRDefault="006067E8" w:rsidP="002F32E6">
            <w:pPr>
              <w:pStyle w:val="naiskr"/>
              <w:snapToGrid w:val="0"/>
              <w:spacing w:before="0" w:after="0"/>
              <w:ind w:right="48"/>
              <w:jc w:val="both"/>
              <w:rPr>
                <w:color w:val="000000"/>
              </w:rPr>
            </w:pPr>
            <w:r w:rsidRPr="0024569C">
              <w:rPr>
                <w:color w:val="000000" w:themeColor="text1"/>
              </w:rPr>
              <w:t xml:space="preserve">Ministru kabineta noteikumu projekts „Grozījumi 2009. gada 10. marta Ministru kabineta noteikumos </w:t>
            </w:r>
            <w:proofErr w:type="spellStart"/>
            <w:r w:rsidRPr="0024569C">
              <w:rPr>
                <w:color w:val="000000" w:themeColor="text1"/>
              </w:rPr>
              <w:t>Nr</w:t>
            </w:r>
            <w:proofErr w:type="spellEnd"/>
            <w:r w:rsidRPr="0024569C">
              <w:rPr>
                <w:color w:val="000000" w:themeColor="text1"/>
              </w:rPr>
              <w:t>.</w:t>
            </w:r>
            <w:r w:rsidR="00B15BD2" w:rsidRPr="0024569C">
              <w:rPr>
                <w:color w:val="000000" w:themeColor="text1"/>
              </w:rPr>
              <w:t> </w:t>
            </w:r>
            <w:r w:rsidRPr="0024569C">
              <w:rPr>
                <w:color w:val="000000" w:themeColor="text1"/>
              </w:rPr>
              <w:t>221 „</w:t>
            </w:r>
            <w:r w:rsidRPr="0024569C">
              <w:rPr>
                <w:bCs/>
                <w:color w:val="000000" w:themeColor="text1"/>
              </w:rPr>
              <w:t>Noteikumi par elektroenerģijas ražošanu un cenu noteikšanu, ražojot elektroenerģiju koģenerācijā” (turpmāk – noteikumu projekts)</w:t>
            </w:r>
            <w:r w:rsidRPr="0024569C">
              <w:rPr>
                <w:color w:val="000000" w:themeColor="text1"/>
              </w:rPr>
              <w:t xml:space="preserve"> </w:t>
            </w:r>
            <w:r w:rsidRPr="0024569C">
              <w:rPr>
                <w:rStyle w:val="Strong"/>
                <w:b w:val="0"/>
                <w:color w:val="000000" w:themeColor="text1"/>
              </w:rPr>
              <w:t xml:space="preserve"> sagatavots atbilstoši Deklarācijas par Valda Dombrovska vadītā Ministru kabineta iecerēto darbību</w:t>
            </w:r>
            <w:r w:rsidRPr="0024569C">
              <w:rPr>
                <w:b/>
                <w:color w:val="000000" w:themeColor="text1"/>
              </w:rPr>
              <w:t xml:space="preserve"> </w:t>
            </w:r>
            <w:r w:rsidRPr="0024569C">
              <w:rPr>
                <w:color w:val="000000" w:themeColor="text1"/>
              </w:rPr>
              <w:t xml:space="preserve">II nodaļas </w:t>
            </w:r>
            <w:r w:rsidRPr="0024569C">
              <w:rPr>
                <w:bCs/>
                <w:i/>
                <w:color w:val="000000" w:themeColor="text1"/>
              </w:rPr>
              <w:t>Inovatīva un efektīva ekonomika</w:t>
            </w:r>
            <w:r w:rsidRPr="0024569C">
              <w:rPr>
                <w:color w:val="000000" w:themeColor="text1"/>
              </w:rPr>
              <w:t xml:space="preserve"> apakšnodaļai </w:t>
            </w:r>
            <w:r w:rsidRPr="0024569C">
              <w:rPr>
                <w:bCs/>
                <w:i/>
                <w:color w:val="000000" w:themeColor="text1"/>
              </w:rPr>
              <w:t>Enerģētika konkurētspējīgai ekonomikai</w:t>
            </w:r>
            <w:r w:rsidR="00FB51D9" w:rsidRPr="0024569C">
              <w:rPr>
                <w:bCs/>
                <w:i/>
                <w:color w:val="000000" w:themeColor="text1"/>
              </w:rPr>
              <w:t xml:space="preserve"> </w:t>
            </w:r>
            <w:r w:rsidR="00FB51D9" w:rsidRPr="0024569C">
              <w:rPr>
                <w:bCs/>
                <w:color w:val="000000" w:themeColor="text1"/>
              </w:rPr>
              <w:t>un Valdības Rīcības plāna (MK 07.02.2012.</w:t>
            </w:r>
            <w:r w:rsidR="0072734B" w:rsidRPr="0024569C">
              <w:rPr>
                <w:bCs/>
                <w:color w:val="000000" w:themeColor="text1"/>
              </w:rPr>
              <w:t xml:space="preserve"> </w:t>
            </w:r>
            <w:r w:rsidR="00FB51D9" w:rsidRPr="0024569C">
              <w:rPr>
                <w:bCs/>
                <w:color w:val="000000" w:themeColor="text1"/>
              </w:rPr>
              <w:t xml:space="preserve">sēde, </w:t>
            </w:r>
            <w:proofErr w:type="spellStart"/>
            <w:r w:rsidR="00FB51D9" w:rsidRPr="0024569C">
              <w:rPr>
                <w:bCs/>
                <w:color w:val="000000" w:themeColor="text1"/>
              </w:rPr>
              <w:t>prot</w:t>
            </w:r>
            <w:proofErr w:type="spellEnd"/>
            <w:r w:rsidR="00FB51D9" w:rsidRPr="0024569C">
              <w:rPr>
                <w:bCs/>
                <w:color w:val="000000" w:themeColor="text1"/>
              </w:rPr>
              <w:t>. Nr.7</w:t>
            </w:r>
            <w:r w:rsidR="00DE6505">
              <w:rPr>
                <w:bCs/>
                <w:color w:val="000000" w:themeColor="text1"/>
              </w:rPr>
              <w:t>,</w:t>
            </w:r>
            <w:r w:rsidR="0046609B" w:rsidRPr="0024569C">
              <w:rPr>
                <w:bCs/>
                <w:color w:val="000000" w:themeColor="text1"/>
              </w:rPr>
              <w:t xml:space="preserve"> </w:t>
            </w:r>
            <w:r w:rsidR="00FB51D9" w:rsidRPr="0024569C">
              <w:rPr>
                <w:color w:val="000000" w:themeColor="text1"/>
              </w:rPr>
              <w:t>24</w:t>
            </w:r>
            <w:r w:rsidR="00DE6505">
              <w:rPr>
                <w:color w:val="000000" w:themeColor="text1"/>
              </w:rPr>
              <w:t>.</w:t>
            </w:r>
            <w:r w:rsidR="00DE6505" w:rsidRPr="0024569C">
              <w:rPr>
                <w:color w:val="000000" w:themeColor="text1"/>
              </w:rPr>
              <w:t>§</w:t>
            </w:r>
            <w:r w:rsidR="00FB51D9" w:rsidRPr="0024569C">
              <w:rPr>
                <w:bCs/>
                <w:color w:val="000000" w:themeColor="text1"/>
              </w:rPr>
              <w:t>) 64.</w:t>
            </w:r>
            <w:r w:rsidR="00FA5AF6" w:rsidRPr="0024569C">
              <w:rPr>
                <w:bCs/>
                <w:color w:val="000000" w:themeColor="text1"/>
              </w:rPr>
              <w:t> </w:t>
            </w:r>
            <w:r w:rsidR="00FB51D9" w:rsidRPr="0024569C">
              <w:rPr>
                <w:bCs/>
                <w:color w:val="000000" w:themeColor="text1"/>
              </w:rPr>
              <w:t>punktam</w:t>
            </w:r>
            <w:r w:rsidR="00351C47" w:rsidRPr="00A12A32">
              <w:rPr>
                <w:bCs/>
                <w:color w:val="000000" w:themeColor="text1"/>
              </w:rPr>
              <w:t>, kur</w:t>
            </w:r>
            <w:r w:rsidR="00596C8F">
              <w:rPr>
                <w:bCs/>
                <w:color w:val="000000" w:themeColor="text1"/>
              </w:rPr>
              <w:t xml:space="preserve">ā </w:t>
            </w:r>
            <w:r w:rsidR="00351C47" w:rsidRPr="00A12A32">
              <w:rPr>
                <w:bCs/>
                <w:color w:val="000000" w:themeColor="text1"/>
              </w:rPr>
              <w:t>noteik</w:t>
            </w:r>
            <w:r w:rsidR="00596C8F">
              <w:rPr>
                <w:bCs/>
                <w:color w:val="000000" w:themeColor="text1"/>
              </w:rPr>
              <w:t>t</w:t>
            </w:r>
            <w:r w:rsidR="00351C47" w:rsidRPr="00A12A32">
              <w:rPr>
                <w:bCs/>
                <w:color w:val="000000" w:themeColor="text1"/>
              </w:rPr>
              <w:t>s, ka</w:t>
            </w:r>
            <w:r w:rsidR="00351C47" w:rsidRPr="00A12A32">
              <w:rPr>
                <w:bCs/>
                <w:i/>
                <w:color w:val="000000" w:themeColor="text1"/>
              </w:rPr>
              <w:t xml:space="preserve"> </w:t>
            </w:r>
            <w:r w:rsidR="00351C47" w:rsidRPr="00A12A32">
              <w:rPr>
                <w:color w:val="000000" w:themeColor="text1"/>
              </w:rPr>
              <w:t xml:space="preserve">lai 2020. gadā sasniegtu vismaz 40% atjaunojamo energoresursu īpatsvaru enerģijas gala patēriņā, kompleksi Ministru kabinets risinās enerģētikas jautājumus apkures nodrošināšanā un elektroenerģijas ražošanā, transporta sektorā un energoefektivitātes jomā. </w:t>
            </w:r>
            <w:r w:rsidR="00C34F62">
              <w:rPr>
                <w:color w:val="000000"/>
              </w:rPr>
              <w:t>Ministru kabineta 2013. gada 9. aprīļa sēdē izskatītā i</w:t>
            </w:r>
            <w:r w:rsidR="00C34F62" w:rsidRPr="009E2E00">
              <w:rPr>
                <w:color w:val="000000"/>
              </w:rPr>
              <w:t>nformatīv</w:t>
            </w:r>
            <w:r w:rsidR="00C34F62">
              <w:rPr>
                <w:color w:val="000000"/>
              </w:rPr>
              <w:t>ā</w:t>
            </w:r>
            <w:r w:rsidR="00C34F62" w:rsidRPr="009E2E00">
              <w:rPr>
                <w:color w:val="000000"/>
              </w:rPr>
              <w:t xml:space="preserve"> ziņojum</w:t>
            </w:r>
            <w:r w:rsidR="00C34F62">
              <w:rPr>
                <w:color w:val="000000"/>
              </w:rPr>
              <w:t>a</w:t>
            </w:r>
            <w:r w:rsidR="00C34F62" w:rsidRPr="009E2E00">
              <w:rPr>
                <w:color w:val="000000"/>
              </w:rPr>
              <w:t xml:space="preserve"> „Rīcības plāns elektroenerģijas kopējās cenas</w:t>
            </w:r>
            <w:r w:rsidR="00C34F62">
              <w:rPr>
                <w:color w:val="000000"/>
              </w:rPr>
              <w:t xml:space="preserve"> pieauguma risku ierobežošanai”</w:t>
            </w:r>
            <w:r w:rsidR="00C34F62" w:rsidRPr="009E2E00">
              <w:rPr>
                <w:color w:val="000000"/>
              </w:rPr>
              <w:t xml:space="preserve"> (TA-683, </w:t>
            </w:r>
            <w:proofErr w:type="spellStart"/>
            <w:r w:rsidR="00C34F62" w:rsidRPr="009E2E00">
              <w:rPr>
                <w:color w:val="000000"/>
              </w:rPr>
              <w:t>prot</w:t>
            </w:r>
            <w:proofErr w:type="spellEnd"/>
            <w:r w:rsidR="00C34F62" w:rsidRPr="009E2E00">
              <w:rPr>
                <w:color w:val="000000"/>
              </w:rPr>
              <w:t>. Nr.18, 35. §)</w:t>
            </w:r>
            <w:r w:rsidR="00C34F62">
              <w:rPr>
                <w:color w:val="000000"/>
              </w:rPr>
              <w:t xml:space="preserve"> pielikumā Nr.1 paredzētie pasākumi</w:t>
            </w:r>
            <w:r w:rsidR="00C34F62" w:rsidRPr="009E2E00">
              <w:rPr>
                <w:color w:val="000000"/>
              </w:rPr>
              <w:t xml:space="preserve"> elektroenerģijas kopējās cenas</w:t>
            </w:r>
            <w:r w:rsidR="00C34F62">
              <w:rPr>
                <w:color w:val="000000"/>
              </w:rPr>
              <w:t xml:space="preserve"> pieauguma risku ierobežošanai</w:t>
            </w:r>
            <w:r w:rsidR="00C34F62" w:rsidRPr="009E2E00">
              <w:rPr>
                <w:color w:val="000000"/>
              </w:rPr>
              <w:t>.</w:t>
            </w:r>
          </w:p>
          <w:p w:rsidR="006A1801" w:rsidRPr="0024569C" w:rsidRDefault="006A1801" w:rsidP="002F32E6">
            <w:pPr>
              <w:pStyle w:val="naiskr"/>
              <w:snapToGrid w:val="0"/>
              <w:spacing w:before="0" w:after="0"/>
              <w:ind w:right="48"/>
              <w:jc w:val="both"/>
              <w:rPr>
                <w:bCs/>
                <w:color w:val="000000" w:themeColor="text1"/>
              </w:rPr>
            </w:pPr>
            <w:proofErr w:type="spellStart"/>
            <w:r>
              <w:rPr>
                <w:i/>
                <w:iCs/>
              </w:rPr>
              <w:t>Euro</w:t>
            </w:r>
            <w:proofErr w:type="spellEnd"/>
            <w:r>
              <w:rPr>
                <w:i/>
                <w:iCs/>
              </w:rPr>
              <w:t xml:space="preserve"> </w:t>
            </w:r>
            <w:r>
              <w:t xml:space="preserve">ieviešanas kārtības likuma 30. panta pirmā daļa, Ministru kabineta 2012. gada 27. jūnija rīkojuma Nr.282 „Par „Koncepciju par normatīvo aktu sakārtošanu saistībā ar eiro ieviešanu Latvijā”” 1.1.2. punkts un Latvijas Nacionālā </w:t>
            </w:r>
            <w:proofErr w:type="spellStart"/>
            <w:r>
              <w:rPr>
                <w:i/>
                <w:iCs/>
              </w:rPr>
              <w:t>euro</w:t>
            </w:r>
            <w:proofErr w:type="spellEnd"/>
            <w:r>
              <w:t xml:space="preserve"> ieviešanas plāna (apstiprināts ar Ministru kabineta 2013. gada 4. aprīļa rīkojumu Nr.136) </w:t>
            </w:r>
            <w:r w:rsidRPr="0032073E">
              <w:t>1. pielikuma J2.</w:t>
            </w:r>
            <w:r>
              <w:t>2.1. pasākums</w:t>
            </w:r>
            <w:r>
              <w:rPr>
                <w:sz w:val="28"/>
                <w:szCs w:val="28"/>
              </w:rPr>
              <w:t>.</w:t>
            </w:r>
          </w:p>
        </w:tc>
      </w:tr>
      <w:tr w:rsidR="0024569C" w:rsidRPr="0024569C" w:rsidTr="007E4D83">
        <w:trPr>
          <w:trHeight w:val="416"/>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2.</w:t>
            </w:r>
          </w:p>
        </w:tc>
        <w:tc>
          <w:tcPr>
            <w:tcW w:w="2716" w:type="dxa"/>
          </w:tcPr>
          <w:p w:rsidR="00CE44D6" w:rsidRPr="0024569C" w:rsidRDefault="00CE44D6" w:rsidP="00494B41">
            <w:pPr>
              <w:pStyle w:val="naiskr"/>
              <w:tabs>
                <w:tab w:val="left" w:pos="170"/>
              </w:tabs>
              <w:spacing w:before="0" w:after="0"/>
              <w:rPr>
                <w:color w:val="000000" w:themeColor="text1"/>
              </w:rPr>
            </w:pPr>
            <w:r w:rsidRPr="0024569C">
              <w:rPr>
                <w:color w:val="000000" w:themeColor="text1"/>
              </w:rPr>
              <w:t>Pašreizējā situācija un problēmas</w:t>
            </w:r>
          </w:p>
        </w:tc>
        <w:tc>
          <w:tcPr>
            <w:tcW w:w="6459" w:type="dxa"/>
          </w:tcPr>
          <w:p w:rsidR="00CE44D6" w:rsidRPr="009E2E00" w:rsidRDefault="00CE44D6" w:rsidP="00D10894">
            <w:pPr>
              <w:pStyle w:val="naislab"/>
              <w:spacing w:before="0" w:after="0"/>
              <w:contextualSpacing/>
              <w:jc w:val="both"/>
              <w:rPr>
                <w:color w:val="000000" w:themeColor="text1"/>
              </w:rPr>
            </w:pPr>
            <w:r w:rsidRPr="009E2E00">
              <w:rPr>
                <w:color w:val="000000" w:themeColor="text1"/>
              </w:rPr>
              <w:t>Šobrīd ir spēkā saskaņā ar Elektroenerģijas tirgus likuma 28.</w:t>
            </w:r>
            <w:r w:rsidR="00DE4329">
              <w:rPr>
                <w:color w:val="000000" w:themeColor="text1"/>
              </w:rPr>
              <w:t> </w:t>
            </w:r>
            <w:r w:rsidRPr="009E2E00">
              <w:rPr>
                <w:color w:val="000000" w:themeColor="text1"/>
              </w:rPr>
              <w:t>panta otro un septīto daļu un 28.</w:t>
            </w:r>
            <w:r w:rsidRPr="009E2E00">
              <w:rPr>
                <w:color w:val="000000" w:themeColor="text1"/>
                <w:vertAlign w:val="superscript"/>
              </w:rPr>
              <w:t>1</w:t>
            </w:r>
            <w:r w:rsidR="00726614" w:rsidRPr="009E2E00">
              <w:rPr>
                <w:color w:val="000000" w:themeColor="text1"/>
                <w:vertAlign w:val="superscript"/>
              </w:rPr>
              <w:t xml:space="preserve"> </w:t>
            </w:r>
            <w:r w:rsidRPr="009E2E00">
              <w:rPr>
                <w:color w:val="000000" w:themeColor="text1"/>
              </w:rPr>
              <w:t>panta otro un piekto daļu izdotie 2009.</w:t>
            </w:r>
            <w:r w:rsidR="005563C4" w:rsidRPr="009E2E00">
              <w:rPr>
                <w:color w:val="000000" w:themeColor="text1"/>
              </w:rPr>
              <w:t> </w:t>
            </w:r>
            <w:r w:rsidRPr="009E2E00">
              <w:rPr>
                <w:color w:val="000000" w:themeColor="text1"/>
              </w:rPr>
              <w:t>gada 10.</w:t>
            </w:r>
            <w:r w:rsidR="00726614" w:rsidRPr="009E2E00">
              <w:rPr>
                <w:color w:val="000000" w:themeColor="text1"/>
              </w:rPr>
              <w:t xml:space="preserve"> </w:t>
            </w:r>
            <w:r w:rsidRPr="009E2E00">
              <w:rPr>
                <w:color w:val="000000" w:themeColor="text1"/>
              </w:rPr>
              <w:t>marta Ministru kabineta noteikumi Nr.221 „</w:t>
            </w:r>
            <w:r w:rsidRPr="009E2E00">
              <w:rPr>
                <w:bCs/>
                <w:color w:val="000000" w:themeColor="text1"/>
              </w:rPr>
              <w:t>Noteikumi par elektroenerģijas ražošanu un cenu noteikšanu, ražojo</w:t>
            </w:r>
            <w:r w:rsidR="00B0131D" w:rsidRPr="009E2E00">
              <w:rPr>
                <w:bCs/>
                <w:color w:val="000000" w:themeColor="text1"/>
              </w:rPr>
              <w:t>t elektroenerģiju koģenerācijā”</w:t>
            </w:r>
            <w:r w:rsidR="00C723D7" w:rsidRPr="009E2E00">
              <w:rPr>
                <w:bCs/>
                <w:color w:val="000000" w:themeColor="text1"/>
              </w:rPr>
              <w:t xml:space="preserve"> (turpmāk</w:t>
            </w:r>
            <w:r w:rsidR="00CB6338" w:rsidRPr="009E2E00">
              <w:rPr>
                <w:bCs/>
                <w:color w:val="000000" w:themeColor="text1"/>
              </w:rPr>
              <w:t xml:space="preserve"> </w:t>
            </w:r>
            <w:r w:rsidR="00C723D7" w:rsidRPr="009E2E00">
              <w:rPr>
                <w:bCs/>
                <w:color w:val="000000" w:themeColor="text1"/>
              </w:rPr>
              <w:t>- MK noteikumi Nr.221)</w:t>
            </w:r>
            <w:r w:rsidR="00B0131D" w:rsidRPr="009E2E00">
              <w:rPr>
                <w:bCs/>
                <w:color w:val="000000" w:themeColor="text1"/>
              </w:rPr>
              <w:t>,</w:t>
            </w:r>
            <w:r w:rsidRPr="009E2E00">
              <w:rPr>
                <w:bCs/>
                <w:color w:val="000000" w:themeColor="text1"/>
              </w:rPr>
              <w:t xml:space="preserve"> </w:t>
            </w:r>
            <w:r w:rsidRPr="009E2E00">
              <w:rPr>
                <w:color w:val="000000" w:themeColor="text1"/>
              </w:rPr>
              <w:t>kas nosaka kritērijus, pēc kuriem koģenerācijas stacijas tiek kvalificētas tiesību iegūšanai pārdot saražoto elektroenerģiju obligātā iepirkuma ietvaros vai saņemt garantētu maksu par koģenerācijas stacijā uzstādīto elektrisko jaudu.</w:t>
            </w:r>
          </w:p>
          <w:p w:rsidR="0011774F" w:rsidRPr="00E730F0" w:rsidRDefault="0011774F" w:rsidP="0011774F">
            <w:pPr>
              <w:spacing w:after="0" w:line="240" w:lineRule="auto"/>
              <w:jc w:val="both"/>
              <w:rPr>
                <w:rFonts w:ascii="Times New Roman" w:hAnsi="Times New Roman"/>
                <w:color w:val="000000" w:themeColor="text1"/>
                <w:sz w:val="24"/>
                <w:szCs w:val="24"/>
              </w:rPr>
            </w:pPr>
            <w:r w:rsidRPr="00331BFB">
              <w:rPr>
                <w:rFonts w:ascii="Times New Roman" w:hAnsi="Times New Roman"/>
                <w:color w:val="000000" w:themeColor="text1"/>
                <w:sz w:val="24"/>
                <w:szCs w:val="24"/>
              </w:rPr>
              <w:t>Saskaņā ar Sabiedrisko pakalpojumu regulēšanas</w:t>
            </w:r>
            <w:r w:rsidRPr="00544779">
              <w:rPr>
                <w:rFonts w:ascii="Times New Roman" w:hAnsi="Times New Roman"/>
                <w:color w:val="000000" w:themeColor="text1"/>
                <w:sz w:val="24"/>
                <w:szCs w:val="24"/>
              </w:rPr>
              <w:t xml:space="preserve"> komisijas 2013. gada 20. februāra lēmumu Nr.44 „Par obligātā iepirkuma komponentēm un elektroenerģijas tirdzniecības vidējo tarifu saistītajiem lietotājiem no 2013. gada 1. aprīļa” no 2013. gada 1. aprīļa apstiprinātās </w:t>
            </w:r>
            <w:r>
              <w:rPr>
                <w:rFonts w:ascii="Times New Roman" w:hAnsi="Times New Roman"/>
                <w:color w:val="000000" w:themeColor="text1"/>
                <w:sz w:val="24"/>
                <w:szCs w:val="24"/>
              </w:rPr>
              <w:t xml:space="preserve">obligātā iepirkuma komponente </w:t>
            </w:r>
            <w:r w:rsidRPr="00544779">
              <w:rPr>
                <w:rFonts w:ascii="Times New Roman" w:hAnsi="Times New Roman"/>
                <w:color w:val="000000" w:themeColor="text1"/>
                <w:sz w:val="24"/>
                <w:szCs w:val="24"/>
              </w:rPr>
              <w:t xml:space="preserve">lietotājiem kopā veido 1,89 </w:t>
            </w:r>
            <w:proofErr w:type="spellStart"/>
            <w:r w:rsidRPr="00544779">
              <w:rPr>
                <w:rFonts w:ascii="Times New Roman" w:hAnsi="Times New Roman"/>
                <w:color w:val="000000" w:themeColor="text1"/>
                <w:sz w:val="24"/>
                <w:szCs w:val="24"/>
              </w:rPr>
              <w:t>sant</w:t>
            </w:r>
            <w:proofErr w:type="spellEnd"/>
            <w:r w:rsidRPr="00544779">
              <w:rPr>
                <w:rFonts w:ascii="Times New Roman" w:hAnsi="Times New Roman"/>
                <w:color w:val="000000" w:themeColor="text1"/>
                <w:sz w:val="24"/>
                <w:szCs w:val="24"/>
              </w:rPr>
              <w:t xml:space="preserve">./kWh, tajā skaitā komponente no ražotājiem, kas </w:t>
            </w:r>
            <w:r w:rsidRPr="00E730F0">
              <w:rPr>
                <w:rFonts w:ascii="Times New Roman" w:hAnsi="Times New Roman"/>
                <w:color w:val="000000" w:themeColor="text1"/>
                <w:sz w:val="24"/>
                <w:szCs w:val="24"/>
              </w:rPr>
              <w:t xml:space="preserve">elektroenerģiju ražo koģenerācijā – 1,33 </w:t>
            </w:r>
            <w:proofErr w:type="spellStart"/>
            <w:r w:rsidRPr="00E730F0">
              <w:rPr>
                <w:rFonts w:ascii="Times New Roman" w:hAnsi="Times New Roman"/>
                <w:color w:val="000000" w:themeColor="text1"/>
                <w:sz w:val="24"/>
                <w:szCs w:val="24"/>
              </w:rPr>
              <w:t>sant</w:t>
            </w:r>
            <w:proofErr w:type="spellEnd"/>
            <w:r w:rsidRPr="00E730F0">
              <w:rPr>
                <w:rFonts w:ascii="Times New Roman" w:hAnsi="Times New Roman"/>
                <w:color w:val="000000" w:themeColor="text1"/>
                <w:sz w:val="24"/>
                <w:szCs w:val="24"/>
              </w:rPr>
              <w:t xml:space="preserve">./kWh, izmantojot </w:t>
            </w:r>
            <w:r>
              <w:rPr>
                <w:rFonts w:ascii="Times New Roman" w:hAnsi="Times New Roman"/>
                <w:color w:val="000000" w:themeColor="text1"/>
                <w:sz w:val="24"/>
                <w:szCs w:val="24"/>
              </w:rPr>
              <w:t xml:space="preserve"> atjaunojamos energoresursus </w:t>
            </w:r>
            <w:r w:rsidRPr="00E730F0">
              <w:rPr>
                <w:rFonts w:ascii="Times New Roman" w:hAnsi="Times New Roman"/>
                <w:color w:val="000000" w:themeColor="text1"/>
                <w:sz w:val="24"/>
                <w:szCs w:val="24"/>
              </w:rPr>
              <w:t xml:space="preserve">– 0,56 </w:t>
            </w:r>
            <w:proofErr w:type="spellStart"/>
            <w:r w:rsidRPr="00E730F0">
              <w:rPr>
                <w:rFonts w:ascii="Times New Roman" w:hAnsi="Times New Roman"/>
                <w:color w:val="000000" w:themeColor="text1"/>
                <w:sz w:val="24"/>
                <w:szCs w:val="24"/>
              </w:rPr>
              <w:t>sant</w:t>
            </w:r>
            <w:proofErr w:type="spellEnd"/>
            <w:r w:rsidRPr="00E730F0">
              <w:rPr>
                <w:rFonts w:ascii="Times New Roman" w:hAnsi="Times New Roman"/>
                <w:color w:val="000000" w:themeColor="text1"/>
                <w:sz w:val="24"/>
                <w:szCs w:val="24"/>
              </w:rPr>
              <w:t>./kWh.</w:t>
            </w:r>
          </w:p>
          <w:p w:rsidR="0011774F" w:rsidRPr="00331BFB" w:rsidRDefault="0011774F" w:rsidP="0011774F">
            <w:pPr>
              <w:spacing w:after="0" w:line="240" w:lineRule="auto"/>
              <w:jc w:val="both"/>
              <w:rPr>
                <w:rFonts w:ascii="Times New Roman" w:hAnsi="Times New Roman"/>
                <w:b/>
                <w:color w:val="000000" w:themeColor="text1"/>
                <w:sz w:val="24"/>
                <w:szCs w:val="24"/>
              </w:rPr>
            </w:pPr>
            <w:r w:rsidRPr="00E730F0">
              <w:rPr>
                <w:rFonts w:ascii="Times New Roman" w:hAnsi="Times New Roman"/>
                <w:color w:val="000000" w:themeColor="text1"/>
                <w:sz w:val="24"/>
                <w:szCs w:val="24"/>
              </w:rPr>
              <w:t xml:space="preserve">Pēc Ekonomikas ministrijas prognozēm, ja visi izdotie un spēkā esošie lēmumi par tiesību piešķiršanu pārdot elektroenerģiju obligātā iepirkuma ietvaros tiek īstenoti pilnā apmērām, </w:t>
            </w:r>
            <w:proofErr w:type="spellStart"/>
            <w:r w:rsidRPr="00E730F0">
              <w:rPr>
                <w:rFonts w:ascii="Times New Roman" w:hAnsi="Times New Roman"/>
                <w:color w:val="000000" w:themeColor="text1"/>
                <w:sz w:val="24"/>
                <w:szCs w:val="24"/>
              </w:rPr>
              <w:t>t.i</w:t>
            </w:r>
            <w:proofErr w:type="spellEnd"/>
            <w:r w:rsidRPr="00E730F0">
              <w:rPr>
                <w:rFonts w:ascii="Times New Roman" w:hAnsi="Times New Roman"/>
                <w:color w:val="000000" w:themeColor="text1"/>
                <w:sz w:val="24"/>
                <w:szCs w:val="24"/>
              </w:rPr>
              <w:t xml:space="preserve">., </w:t>
            </w:r>
            <w:r w:rsidRPr="00E730F0">
              <w:rPr>
                <w:rFonts w:ascii="Times New Roman" w:hAnsi="Times New Roman"/>
                <w:color w:val="000000" w:themeColor="text1"/>
                <w:sz w:val="24"/>
                <w:szCs w:val="24"/>
              </w:rPr>
              <w:lastRenderedPageBreak/>
              <w:t>neviens no lēmumiem netiek atcelts, visi projekti īstenoti un elektroenerģiju komersanti pārdod maksimālajā atļautajā apjomā, tad 2014.</w:t>
            </w:r>
            <w:r>
              <w:rPr>
                <w:rFonts w:ascii="Times New Roman" w:hAnsi="Times New Roman"/>
                <w:color w:val="000000" w:themeColor="text1"/>
                <w:sz w:val="24"/>
                <w:szCs w:val="24"/>
              </w:rPr>
              <w:t> </w:t>
            </w:r>
            <w:r w:rsidRPr="00E730F0">
              <w:rPr>
                <w:rFonts w:ascii="Times New Roman" w:hAnsi="Times New Roman"/>
                <w:color w:val="000000" w:themeColor="text1"/>
                <w:sz w:val="24"/>
                <w:szCs w:val="24"/>
              </w:rPr>
              <w:t>gadā obligātā iepirkuma komponente varētu pieaugt robežās</w:t>
            </w:r>
            <w:r w:rsidRPr="00082D6C">
              <w:rPr>
                <w:rFonts w:ascii="Times New Roman" w:hAnsi="Times New Roman"/>
                <w:color w:val="000000" w:themeColor="text1"/>
                <w:sz w:val="24"/>
                <w:szCs w:val="24"/>
              </w:rPr>
              <w:t xml:space="preserve"> no 2,</w:t>
            </w:r>
            <w:r>
              <w:rPr>
                <w:rFonts w:ascii="Times New Roman" w:hAnsi="Times New Roman"/>
                <w:color w:val="000000" w:themeColor="text1"/>
                <w:sz w:val="24"/>
                <w:szCs w:val="24"/>
              </w:rPr>
              <w:t>47</w:t>
            </w:r>
            <w:r w:rsidRPr="00082D6C">
              <w:rPr>
                <w:rFonts w:ascii="Times New Roman" w:hAnsi="Times New Roman"/>
                <w:color w:val="000000" w:themeColor="text1"/>
                <w:sz w:val="24"/>
                <w:szCs w:val="24"/>
              </w:rPr>
              <w:t xml:space="preserve"> </w:t>
            </w:r>
            <w:proofErr w:type="spellStart"/>
            <w:r w:rsidRPr="00082D6C">
              <w:rPr>
                <w:rFonts w:ascii="Times New Roman" w:hAnsi="Times New Roman"/>
                <w:color w:val="000000" w:themeColor="text1"/>
                <w:sz w:val="24"/>
                <w:szCs w:val="24"/>
              </w:rPr>
              <w:t>sant</w:t>
            </w:r>
            <w:proofErr w:type="spellEnd"/>
            <w:r w:rsidRPr="00082D6C">
              <w:rPr>
                <w:rFonts w:ascii="Times New Roman" w:hAnsi="Times New Roman"/>
                <w:color w:val="000000" w:themeColor="text1"/>
                <w:sz w:val="24"/>
                <w:szCs w:val="24"/>
              </w:rPr>
              <w:t xml:space="preserve">./kWh līdz 2,69 </w:t>
            </w:r>
            <w:r w:rsidRPr="00E730F0">
              <w:rPr>
                <w:rFonts w:ascii="Times New Roman" w:hAnsi="Times New Roman"/>
                <w:color w:val="000000" w:themeColor="text1"/>
                <w:sz w:val="24"/>
                <w:szCs w:val="24"/>
              </w:rPr>
              <w:t xml:space="preserve"> </w:t>
            </w:r>
            <w:proofErr w:type="spellStart"/>
            <w:r w:rsidRPr="00E730F0">
              <w:rPr>
                <w:rFonts w:ascii="Times New Roman" w:hAnsi="Times New Roman"/>
                <w:color w:val="000000" w:themeColor="text1"/>
                <w:sz w:val="24"/>
                <w:szCs w:val="24"/>
              </w:rPr>
              <w:t>sant</w:t>
            </w:r>
            <w:proofErr w:type="spellEnd"/>
            <w:r w:rsidRPr="00E730F0">
              <w:rPr>
                <w:rFonts w:ascii="Times New Roman" w:hAnsi="Times New Roman"/>
                <w:color w:val="000000" w:themeColor="text1"/>
                <w:sz w:val="24"/>
                <w:szCs w:val="24"/>
              </w:rPr>
              <w:t xml:space="preserve">./kWh, ja netiek veiktas nekādas </w:t>
            </w:r>
            <w:r>
              <w:rPr>
                <w:rFonts w:ascii="Times New Roman" w:hAnsi="Times New Roman"/>
                <w:color w:val="000000" w:themeColor="text1"/>
                <w:sz w:val="24"/>
                <w:szCs w:val="24"/>
              </w:rPr>
              <w:t xml:space="preserve">obligātā iepirkuma </w:t>
            </w:r>
            <w:r w:rsidRPr="00331BFB">
              <w:rPr>
                <w:rFonts w:ascii="Times New Roman" w:hAnsi="Times New Roman"/>
                <w:color w:val="000000" w:themeColor="text1"/>
                <w:sz w:val="24"/>
                <w:szCs w:val="24"/>
              </w:rPr>
              <w:t>komponentes samazināšanas aktivitātes.</w:t>
            </w:r>
            <w:r w:rsidRPr="00331BFB">
              <w:rPr>
                <w:rFonts w:ascii="Times New Roman" w:hAnsi="Times New Roman"/>
                <w:b/>
                <w:color w:val="000000" w:themeColor="text1"/>
                <w:sz w:val="24"/>
                <w:szCs w:val="24"/>
              </w:rPr>
              <w:t xml:space="preserve"> </w:t>
            </w:r>
          </w:p>
          <w:p w:rsidR="0011774F" w:rsidRPr="00331BFB" w:rsidRDefault="0011774F" w:rsidP="0011774F">
            <w:pPr>
              <w:spacing w:after="0" w:line="240" w:lineRule="auto"/>
              <w:jc w:val="both"/>
              <w:rPr>
                <w:rFonts w:ascii="Times New Roman" w:hAnsi="Times New Roman"/>
                <w:sz w:val="24"/>
                <w:szCs w:val="24"/>
              </w:rPr>
            </w:pPr>
            <w:r w:rsidRPr="00331BFB">
              <w:rPr>
                <w:rFonts w:ascii="Times New Roman" w:hAnsi="Times New Roman"/>
                <w:sz w:val="24"/>
                <w:szCs w:val="24"/>
              </w:rPr>
              <w:t>Pēc E</w:t>
            </w:r>
            <w:r>
              <w:rPr>
                <w:rFonts w:ascii="Times New Roman" w:hAnsi="Times New Roman"/>
                <w:sz w:val="24"/>
                <w:szCs w:val="24"/>
              </w:rPr>
              <w:t>konomikas ministrijas</w:t>
            </w:r>
            <w:r w:rsidRPr="00331BFB">
              <w:rPr>
                <w:rFonts w:ascii="Times New Roman" w:hAnsi="Times New Roman"/>
                <w:sz w:val="24"/>
                <w:szCs w:val="24"/>
              </w:rPr>
              <w:t xml:space="preserve"> prognozēm faktiskā </w:t>
            </w:r>
            <w:r>
              <w:rPr>
                <w:rFonts w:ascii="Times New Roman" w:hAnsi="Times New Roman"/>
                <w:sz w:val="24"/>
                <w:szCs w:val="24"/>
              </w:rPr>
              <w:t>obligātā iepirkuma komponente</w:t>
            </w:r>
            <w:r w:rsidRPr="00331BFB">
              <w:rPr>
                <w:rFonts w:ascii="Times New Roman" w:hAnsi="Times New Roman"/>
                <w:sz w:val="24"/>
                <w:szCs w:val="24"/>
              </w:rPr>
              <w:t xml:space="preserve"> varētu pieaugt līdz 2,33 </w:t>
            </w:r>
            <w:proofErr w:type="spellStart"/>
            <w:r w:rsidRPr="00331BFB">
              <w:rPr>
                <w:rFonts w:ascii="Times New Roman" w:hAnsi="Times New Roman"/>
                <w:sz w:val="24"/>
                <w:szCs w:val="24"/>
              </w:rPr>
              <w:t>sant</w:t>
            </w:r>
            <w:proofErr w:type="spellEnd"/>
            <w:r w:rsidRPr="00331BFB">
              <w:rPr>
                <w:rFonts w:ascii="Times New Roman" w:hAnsi="Times New Roman"/>
                <w:sz w:val="24"/>
                <w:szCs w:val="24"/>
              </w:rPr>
              <w:t xml:space="preserve">./kWh 2014. gadā, 2,55 </w:t>
            </w:r>
            <w:proofErr w:type="spellStart"/>
            <w:r w:rsidRPr="00331BFB">
              <w:rPr>
                <w:rFonts w:ascii="Times New Roman" w:hAnsi="Times New Roman"/>
                <w:sz w:val="24"/>
                <w:szCs w:val="24"/>
              </w:rPr>
              <w:t>sant</w:t>
            </w:r>
            <w:proofErr w:type="spellEnd"/>
            <w:r w:rsidRPr="00331BFB">
              <w:rPr>
                <w:rFonts w:ascii="Times New Roman" w:hAnsi="Times New Roman"/>
                <w:sz w:val="24"/>
                <w:szCs w:val="24"/>
              </w:rPr>
              <w:t xml:space="preserve">./kWh 2015. gadā un 2,61 </w:t>
            </w:r>
            <w:proofErr w:type="spellStart"/>
            <w:r w:rsidRPr="00331BFB">
              <w:rPr>
                <w:rFonts w:ascii="Times New Roman" w:hAnsi="Times New Roman"/>
                <w:sz w:val="24"/>
                <w:szCs w:val="24"/>
              </w:rPr>
              <w:t>sant</w:t>
            </w:r>
            <w:proofErr w:type="spellEnd"/>
            <w:r w:rsidRPr="00331BFB">
              <w:rPr>
                <w:rFonts w:ascii="Times New Roman" w:hAnsi="Times New Roman"/>
                <w:sz w:val="24"/>
                <w:szCs w:val="24"/>
              </w:rPr>
              <w:t xml:space="preserve">./kWh 2016. gadā. Savukārt, sākot ar 2018. gadu, OIK apjoms nedaudz samazinās tādēļ, ka ar 2017. gada 1. jūliju atbalstu vairs nesaņems daļa no dabasgāzes koģenerācijas stacijām. </w:t>
            </w:r>
          </w:p>
          <w:p w:rsidR="00404932" w:rsidRPr="00404932" w:rsidRDefault="00404932" w:rsidP="00404932">
            <w:pPr>
              <w:spacing w:after="0" w:line="240" w:lineRule="auto"/>
              <w:jc w:val="both"/>
              <w:rPr>
                <w:rFonts w:ascii="Times New Roman" w:hAnsi="Times New Roman"/>
                <w:color w:val="000000" w:themeColor="text1"/>
                <w:sz w:val="24"/>
                <w:szCs w:val="24"/>
              </w:rPr>
            </w:pPr>
            <w:r w:rsidRPr="00404932">
              <w:rPr>
                <w:rFonts w:ascii="Times New Roman" w:hAnsi="Times New Roman"/>
                <w:color w:val="000000" w:themeColor="text1"/>
                <w:sz w:val="24"/>
                <w:szCs w:val="24"/>
              </w:rPr>
              <w:t>Kopumā Latvijas Republikā saskaņā ar MK noteikumiem Nr.221</w:t>
            </w:r>
            <w:r w:rsidRPr="00104362">
              <w:rPr>
                <w:rFonts w:ascii="Times New Roman" w:hAnsi="Times New Roman"/>
                <w:color w:val="000000" w:themeColor="text1"/>
                <w:sz w:val="24"/>
                <w:szCs w:val="24"/>
              </w:rPr>
              <w:t xml:space="preserve"> un </w:t>
            </w:r>
            <w:r w:rsidRPr="00404932">
              <w:rPr>
                <w:rFonts w:ascii="Times New Roman" w:hAnsi="Times New Roman"/>
                <w:color w:val="000000" w:themeColor="text1"/>
                <w:sz w:val="24"/>
                <w:szCs w:val="24"/>
              </w:rPr>
              <w:t>Ministru kabineta 2010. gada 16. marta noteikumiem Nr.262 „</w:t>
            </w:r>
            <w:r w:rsidRPr="00404932">
              <w:rPr>
                <w:rFonts w:ascii="Times New Roman" w:hAnsi="Times New Roman"/>
                <w:bCs/>
                <w:color w:val="000000" w:themeColor="text1"/>
                <w:sz w:val="24"/>
                <w:szCs w:val="24"/>
              </w:rPr>
              <w:t>Noteikumi par elektroenerģijas ražošanu, izmantojot atjaunojamos energoresursus, un cenu noteikšanas kārtību”</w:t>
            </w:r>
            <w:r w:rsidRPr="00404932">
              <w:rPr>
                <w:rFonts w:ascii="Times New Roman" w:eastAsia="Times New Roman" w:hAnsi="Times New Roman"/>
                <w:sz w:val="24"/>
                <w:szCs w:val="24"/>
                <w:lang w:eastAsia="lv-LV"/>
              </w:rPr>
              <w:t xml:space="preserve"> </w:t>
            </w:r>
            <w:r w:rsidRPr="00404932">
              <w:rPr>
                <w:rFonts w:ascii="Times New Roman" w:hAnsi="Times New Roman"/>
                <w:color w:val="000000" w:themeColor="text1"/>
                <w:sz w:val="24"/>
                <w:szCs w:val="24"/>
              </w:rPr>
              <w:t>866 komersanti ir ieguvuši tiesības pārdot saražoto elektroenerģiju obligātā iepirkuma ietvaros vai tiesības saņemt garantēto maksu par uzs</w:t>
            </w:r>
            <w:r w:rsidRPr="00104362">
              <w:rPr>
                <w:rFonts w:ascii="Times New Roman" w:hAnsi="Times New Roman"/>
                <w:color w:val="000000" w:themeColor="text1"/>
                <w:sz w:val="24"/>
                <w:szCs w:val="24"/>
              </w:rPr>
              <w:t>tādīto elektrisko jaudu. Kamēr atsevišķu lielo projektu realizēšanas iespējas ir pietiekami skaidras, pastāv daudzi mazu projektu pieteikumi, kuru īstenošanas iespējas novērtēt nav vienkārši. Lai varētu veikt detaliz</w:t>
            </w:r>
            <w:r w:rsidRPr="00FC2C88">
              <w:rPr>
                <w:rFonts w:ascii="Times New Roman" w:hAnsi="Times New Roman"/>
                <w:color w:val="000000" w:themeColor="text1"/>
                <w:sz w:val="24"/>
                <w:szCs w:val="24"/>
              </w:rPr>
              <w:t>ētu izvērtējumu par piešķirto tiesību pā</w:t>
            </w:r>
            <w:r w:rsidRPr="00404932">
              <w:rPr>
                <w:rFonts w:ascii="Times New Roman" w:hAnsi="Times New Roman"/>
                <w:color w:val="000000" w:themeColor="text1"/>
                <w:sz w:val="24"/>
                <w:szCs w:val="24"/>
              </w:rPr>
              <w:t>rdot saražoto elektroenerģiju obligātā iepirkuma ietvaros vai tiesību saņemt garantēto maksu par uzstādīto elektrisko jaudu dzīvotspēju un attīstības līmeni nākotnē, ir nepieciešams ieviest papildu prasības komersanti</w:t>
            </w:r>
            <w:r w:rsidR="00314D59">
              <w:rPr>
                <w:rFonts w:ascii="Times New Roman" w:hAnsi="Times New Roman"/>
                <w:color w:val="000000" w:themeColor="text1"/>
                <w:sz w:val="24"/>
                <w:szCs w:val="24"/>
              </w:rPr>
              <w:t>em</w:t>
            </w:r>
            <w:r w:rsidRPr="00404932">
              <w:rPr>
                <w:rFonts w:ascii="Times New Roman" w:hAnsi="Times New Roman"/>
                <w:color w:val="000000" w:themeColor="text1"/>
                <w:sz w:val="24"/>
                <w:szCs w:val="24"/>
              </w:rPr>
              <w:t>, pēc kurām varētu veikt minēto izvērtējumu.</w:t>
            </w:r>
          </w:p>
          <w:p w:rsidR="007E18E3" w:rsidRPr="007E18E3" w:rsidRDefault="007E18E3" w:rsidP="007E18E3">
            <w:pPr>
              <w:spacing w:after="0" w:line="240" w:lineRule="auto"/>
              <w:jc w:val="both"/>
              <w:rPr>
                <w:rFonts w:ascii="Times New Roman" w:hAnsi="Times New Roman"/>
                <w:color w:val="000000" w:themeColor="text1"/>
                <w:sz w:val="24"/>
                <w:szCs w:val="24"/>
              </w:rPr>
            </w:pPr>
            <w:r w:rsidRPr="007E18E3">
              <w:rPr>
                <w:rFonts w:ascii="Times New Roman" w:hAnsi="Times New Roman"/>
                <w:color w:val="000000" w:themeColor="text1"/>
                <w:sz w:val="24"/>
                <w:szCs w:val="24"/>
              </w:rPr>
              <w:t>Šobrīd M</w:t>
            </w:r>
            <w:r>
              <w:rPr>
                <w:rFonts w:ascii="Times New Roman" w:hAnsi="Times New Roman"/>
                <w:color w:val="000000" w:themeColor="text1"/>
                <w:sz w:val="24"/>
                <w:szCs w:val="24"/>
              </w:rPr>
              <w:t>K</w:t>
            </w:r>
            <w:r w:rsidRPr="007E18E3">
              <w:rPr>
                <w:rFonts w:ascii="Times New Roman" w:hAnsi="Times New Roman"/>
                <w:color w:val="000000" w:themeColor="text1"/>
                <w:sz w:val="24"/>
                <w:szCs w:val="24"/>
              </w:rPr>
              <w:t xml:space="preserve"> noteikumos Nr.221 nav noteikts, </w:t>
            </w:r>
            <w:r w:rsidR="007742EC">
              <w:rPr>
                <w:rFonts w:ascii="Times New Roman" w:hAnsi="Times New Roman"/>
                <w:color w:val="000000" w:themeColor="text1"/>
                <w:sz w:val="24"/>
                <w:szCs w:val="24"/>
              </w:rPr>
              <w:t>kā pagarināmi MK noteikumos Nr.</w:t>
            </w:r>
            <w:r w:rsidRPr="007E18E3">
              <w:rPr>
                <w:rFonts w:ascii="Times New Roman" w:hAnsi="Times New Roman"/>
                <w:color w:val="000000" w:themeColor="text1"/>
                <w:sz w:val="24"/>
                <w:szCs w:val="24"/>
              </w:rPr>
              <w:t xml:space="preserve">221 20. punktā minētie lēmumi, kas piešķir komersantam tiesības pārdot stacijā koģenerācijā saražoto elektroenerģiju obligātā iepirkuma ietvaros vai tiesības saņemt garantētu maksu par elektrostacijā uzstādīto jaudu. </w:t>
            </w:r>
          </w:p>
          <w:p w:rsidR="007E18E3" w:rsidRPr="007E18E3" w:rsidRDefault="007E18E3" w:rsidP="007E18E3">
            <w:pPr>
              <w:spacing w:after="0" w:line="240" w:lineRule="auto"/>
              <w:jc w:val="both"/>
              <w:rPr>
                <w:rFonts w:ascii="Times New Roman" w:hAnsi="Times New Roman"/>
                <w:color w:val="000000" w:themeColor="text1"/>
                <w:sz w:val="24"/>
                <w:szCs w:val="24"/>
              </w:rPr>
            </w:pPr>
            <w:r w:rsidRPr="007E18E3">
              <w:rPr>
                <w:rFonts w:ascii="Times New Roman" w:hAnsi="Times New Roman"/>
                <w:color w:val="000000" w:themeColor="text1"/>
                <w:sz w:val="24"/>
                <w:szCs w:val="24"/>
              </w:rPr>
              <w:t>Atsevišķos gadījumos elektroenerģijas ražotāji ir griezušies Ekonomikas ministrijā ar lūgumu pagarināt</w:t>
            </w:r>
            <w:r w:rsidR="00436C2A">
              <w:rPr>
                <w:rFonts w:ascii="Times New Roman" w:hAnsi="Times New Roman"/>
                <w:color w:val="000000" w:themeColor="text1"/>
                <w:sz w:val="24"/>
                <w:szCs w:val="24"/>
              </w:rPr>
              <w:t xml:space="preserve"> izpildes termiņu</w:t>
            </w:r>
            <w:r w:rsidRPr="007E18E3">
              <w:rPr>
                <w:rFonts w:ascii="Times New Roman" w:hAnsi="Times New Roman"/>
                <w:color w:val="000000" w:themeColor="text1"/>
                <w:sz w:val="24"/>
                <w:szCs w:val="24"/>
              </w:rPr>
              <w:t xml:space="preserve"> kād</w:t>
            </w:r>
            <w:r w:rsidR="00436C2A">
              <w:rPr>
                <w:rFonts w:ascii="Times New Roman" w:hAnsi="Times New Roman"/>
                <w:color w:val="000000" w:themeColor="text1"/>
                <w:sz w:val="24"/>
                <w:szCs w:val="24"/>
              </w:rPr>
              <w:t>iem</w:t>
            </w:r>
            <w:r w:rsidRPr="007E18E3">
              <w:rPr>
                <w:rFonts w:ascii="Times New Roman" w:hAnsi="Times New Roman"/>
                <w:color w:val="000000" w:themeColor="text1"/>
                <w:sz w:val="24"/>
                <w:szCs w:val="24"/>
              </w:rPr>
              <w:t xml:space="preserve"> no minētajiem lēmumiem. Ņemot vērā, ka minētie lēmumi kvalificējas kā administratīvi akti, pagarinājums ir apstiprināts vai atteikts, vadoties pēc Administratīvā procesa likumā 4. pantā minētiem administratīvā procesa principiem. </w:t>
            </w:r>
          </w:p>
          <w:p w:rsidR="005003D5" w:rsidRDefault="007E18E3" w:rsidP="00404932">
            <w:pPr>
              <w:spacing w:after="0" w:line="240" w:lineRule="auto"/>
              <w:jc w:val="both"/>
              <w:rPr>
                <w:rFonts w:ascii="Times New Roman" w:hAnsi="Times New Roman"/>
                <w:color w:val="000000" w:themeColor="text1"/>
                <w:sz w:val="24"/>
                <w:szCs w:val="24"/>
              </w:rPr>
            </w:pPr>
            <w:r w:rsidRPr="007E18E3">
              <w:rPr>
                <w:rFonts w:ascii="Times New Roman" w:hAnsi="Times New Roman"/>
                <w:color w:val="000000" w:themeColor="text1"/>
                <w:sz w:val="24"/>
                <w:szCs w:val="24"/>
              </w:rPr>
              <w:t xml:space="preserve">Līdz šim Ekonomikas ministrijas prakse ir bijusi tāda, ka lēmumus var pagarināt divas reizes, katru pa trīs mēnešiem, ja ir pamatots iemesls. Pirmo reizi pagarinājums tiek piešķirts, ja stacijas projekta realizācija ir tā noslēguma stadijā un komersants ir norādījis uz objektīviem apstākļiem, kādēļ projektu nav iespējams realizēt noteiktajā termiņā. Otro reizi Ekonomikas ministrijas izveidota komisija veic objekta fizisku apsekojumu, un pagarinājums tiek piešķirts tikai tad, ja objekta apskates rezultātā komisija secina, ka stacijas projekta realizāciju ir iespējams pabeigt 3 mēnešu </w:t>
            </w:r>
            <w:proofErr w:type="spellStart"/>
            <w:r w:rsidRPr="007E18E3">
              <w:rPr>
                <w:rFonts w:ascii="Times New Roman" w:hAnsi="Times New Roman"/>
                <w:color w:val="000000" w:themeColor="text1"/>
                <w:sz w:val="24"/>
                <w:szCs w:val="24"/>
              </w:rPr>
              <w:t>laikā</w:t>
            </w:r>
            <w:proofErr w:type="spellEnd"/>
            <w:r w:rsidRPr="007E18E3">
              <w:rPr>
                <w:rFonts w:ascii="Times New Roman" w:hAnsi="Times New Roman"/>
                <w:color w:val="000000" w:themeColor="text1"/>
                <w:sz w:val="24"/>
                <w:szCs w:val="24"/>
              </w:rPr>
              <w:t xml:space="preserve">. </w:t>
            </w:r>
          </w:p>
          <w:p w:rsidR="002107E9" w:rsidRDefault="00404932" w:rsidP="0040493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Šāda </w:t>
            </w:r>
            <w:r w:rsidRPr="00307410">
              <w:rPr>
                <w:rFonts w:ascii="Times New Roman" w:hAnsi="Times New Roman"/>
                <w:color w:val="000000" w:themeColor="text1"/>
                <w:sz w:val="24"/>
                <w:szCs w:val="24"/>
              </w:rPr>
              <w:t>Ekonomikas ministrijas prakse</w:t>
            </w:r>
            <w:r w:rsidR="00C44314">
              <w:rPr>
                <w:rFonts w:ascii="Times New Roman" w:hAnsi="Times New Roman"/>
                <w:color w:val="000000" w:themeColor="text1"/>
                <w:sz w:val="24"/>
                <w:szCs w:val="24"/>
              </w:rPr>
              <w:t xml:space="preserve"> saistībā ar lēmumu pagarinājumiem</w:t>
            </w:r>
            <w:r>
              <w:rPr>
                <w:rFonts w:ascii="Times New Roman" w:hAnsi="Times New Roman"/>
                <w:color w:val="000000" w:themeColor="text1"/>
                <w:sz w:val="24"/>
                <w:szCs w:val="24"/>
              </w:rPr>
              <w:t xml:space="preserve"> </w:t>
            </w:r>
            <w:r w:rsidR="002107E9">
              <w:rPr>
                <w:rFonts w:ascii="Times New Roman" w:hAnsi="Times New Roman"/>
                <w:color w:val="000000" w:themeColor="text1"/>
                <w:sz w:val="24"/>
                <w:szCs w:val="24"/>
              </w:rPr>
              <w:t xml:space="preserve">bieži vien </w:t>
            </w:r>
            <w:r>
              <w:rPr>
                <w:rFonts w:ascii="Times New Roman" w:hAnsi="Times New Roman"/>
                <w:color w:val="000000" w:themeColor="text1"/>
                <w:sz w:val="24"/>
                <w:szCs w:val="24"/>
              </w:rPr>
              <w:t>sabiedrīb</w:t>
            </w:r>
            <w:r w:rsidR="007B3627">
              <w:rPr>
                <w:rFonts w:ascii="Times New Roman" w:hAnsi="Times New Roman"/>
                <w:color w:val="000000" w:themeColor="text1"/>
                <w:sz w:val="24"/>
                <w:szCs w:val="24"/>
              </w:rPr>
              <w:t>ā</w:t>
            </w:r>
            <w:r w:rsidRPr="00307410">
              <w:rPr>
                <w:rFonts w:ascii="Times New Roman" w:hAnsi="Times New Roman"/>
                <w:color w:val="000000" w:themeColor="text1"/>
                <w:sz w:val="24"/>
                <w:szCs w:val="24"/>
              </w:rPr>
              <w:t xml:space="preserve"> </w:t>
            </w:r>
            <w:r w:rsidR="007B3627">
              <w:rPr>
                <w:rFonts w:ascii="Times New Roman" w:hAnsi="Times New Roman"/>
                <w:color w:val="000000" w:themeColor="text1"/>
                <w:sz w:val="24"/>
                <w:szCs w:val="24"/>
              </w:rPr>
              <w:t xml:space="preserve"> tiek</w:t>
            </w:r>
            <w:r w:rsidRPr="00307410">
              <w:rPr>
                <w:rFonts w:ascii="Times New Roman" w:hAnsi="Times New Roman"/>
                <w:color w:val="000000" w:themeColor="text1"/>
                <w:sz w:val="24"/>
                <w:szCs w:val="24"/>
              </w:rPr>
              <w:t xml:space="preserve"> vērtēta</w:t>
            </w:r>
            <w:r>
              <w:rPr>
                <w:rFonts w:ascii="Times New Roman" w:hAnsi="Times New Roman"/>
                <w:color w:val="000000" w:themeColor="text1"/>
                <w:sz w:val="24"/>
                <w:szCs w:val="24"/>
              </w:rPr>
              <w:t xml:space="preserve"> ļoti</w:t>
            </w:r>
            <w:r w:rsidRPr="00307410">
              <w:rPr>
                <w:rFonts w:ascii="Times New Roman" w:hAnsi="Times New Roman"/>
                <w:color w:val="000000" w:themeColor="text1"/>
                <w:sz w:val="24"/>
                <w:szCs w:val="24"/>
              </w:rPr>
              <w:t xml:space="preserve"> kritiski.</w:t>
            </w:r>
            <w:r w:rsidR="002107E9">
              <w:rPr>
                <w:rFonts w:ascii="Times New Roman" w:hAnsi="Times New Roman"/>
                <w:color w:val="000000" w:themeColor="text1"/>
                <w:sz w:val="24"/>
                <w:szCs w:val="24"/>
              </w:rPr>
              <w:t xml:space="preserve"> Komersantam, kas ir ieguvis </w:t>
            </w:r>
            <w:r w:rsidR="002107E9" w:rsidRPr="00404932">
              <w:rPr>
                <w:rFonts w:ascii="Times New Roman" w:hAnsi="Times New Roman"/>
                <w:color w:val="000000" w:themeColor="text1"/>
                <w:sz w:val="24"/>
                <w:szCs w:val="24"/>
              </w:rPr>
              <w:t>tiesības pārdot saražoto elektroenerģiju obligātā iepirkuma ietvaros vai tiesības saņemt garantēto maksu par uzs</w:t>
            </w:r>
            <w:r w:rsidR="002107E9" w:rsidRPr="00104362">
              <w:rPr>
                <w:rFonts w:ascii="Times New Roman" w:hAnsi="Times New Roman"/>
                <w:color w:val="000000" w:themeColor="text1"/>
                <w:sz w:val="24"/>
                <w:szCs w:val="24"/>
              </w:rPr>
              <w:t>tādīto elektrisko jaudu</w:t>
            </w:r>
            <w:r w:rsidR="002107E9">
              <w:rPr>
                <w:rFonts w:ascii="Times New Roman" w:hAnsi="Times New Roman"/>
                <w:color w:val="000000" w:themeColor="text1"/>
                <w:sz w:val="24"/>
                <w:szCs w:val="24"/>
              </w:rPr>
              <w:t xml:space="preserve"> ir jāspēj iekļauties normatīvajos aktos paredzētajos, samērīgajos staciju attīstības termiņos, kas nosaka stacijas ekspluatācijas uzsākšanu.</w:t>
            </w:r>
          </w:p>
          <w:p w:rsidR="00404932" w:rsidRPr="00307410" w:rsidRDefault="002107E9" w:rsidP="00404932">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Piemēram, nodokļu administrēšanas nozarē normatīvajos aktos paredzētā nodokļu nomaksas pienākuma termiņa kavējums tiek vērtēts negatīvi un par to tiek piemērotas dažādas sankcijas (</w:t>
            </w:r>
            <w:proofErr w:type="spellStart"/>
            <w:r>
              <w:rPr>
                <w:rFonts w:ascii="Times New Roman" w:hAnsi="Times New Roman"/>
                <w:color w:val="000000" w:themeColor="text1"/>
                <w:sz w:val="24"/>
                <w:szCs w:val="24"/>
              </w:rPr>
              <w:t>piem</w:t>
            </w:r>
            <w:proofErr w:type="spellEnd"/>
            <w:r>
              <w:rPr>
                <w:rFonts w:ascii="Times New Roman" w:hAnsi="Times New Roman"/>
                <w:color w:val="000000" w:themeColor="text1"/>
                <w:sz w:val="24"/>
                <w:szCs w:val="24"/>
              </w:rPr>
              <w:t xml:space="preserve">. nokavējuma procenti, </w:t>
            </w:r>
            <w:proofErr w:type="spellStart"/>
            <w:r>
              <w:rPr>
                <w:rFonts w:ascii="Times New Roman" w:hAnsi="Times New Roman"/>
                <w:color w:val="000000" w:themeColor="text1"/>
                <w:sz w:val="24"/>
                <w:szCs w:val="24"/>
              </w:rPr>
              <w:t>u.c</w:t>
            </w:r>
            <w:proofErr w:type="spellEnd"/>
            <w:r>
              <w:rPr>
                <w:rFonts w:ascii="Times New Roman" w:hAnsi="Times New Roman"/>
                <w:color w:val="000000" w:themeColor="text1"/>
                <w:sz w:val="24"/>
                <w:szCs w:val="24"/>
              </w:rPr>
              <w:t>.).</w:t>
            </w:r>
          </w:p>
          <w:p w:rsidR="00404932" w:rsidRPr="00307410" w:rsidRDefault="00404932" w:rsidP="00404932">
            <w:pPr>
              <w:spacing w:after="0" w:line="240" w:lineRule="auto"/>
              <w:jc w:val="both"/>
              <w:rPr>
                <w:rFonts w:ascii="Times New Roman" w:hAnsi="Times New Roman"/>
                <w:color w:val="000000" w:themeColor="text1"/>
                <w:sz w:val="24"/>
                <w:szCs w:val="24"/>
              </w:rPr>
            </w:pPr>
            <w:r w:rsidRPr="00307410">
              <w:rPr>
                <w:rFonts w:ascii="Times New Roman" w:hAnsi="Times New Roman"/>
                <w:sz w:val="24"/>
                <w:szCs w:val="24"/>
              </w:rPr>
              <w:t>Kļūdaina tiesību normas interpretācija nevar liegt valstij labot savas kļūdas, un valsts iestādes var atteikties no nepareizas prakses.</w:t>
            </w:r>
            <w:r w:rsidRPr="00307410">
              <w:rPr>
                <w:rStyle w:val="FootnoteReference"/>
                <w:rFonts w:ascii="Times New Roman" w:hAnsi="Times New Roman"/>
                <w:sz w:val="24"/>
                <w:szCs w:val="24"/>
              </w:rPr>
              <w:footnoteReference w:id="1"/>
            </w:r>
          </w:p>
          <w:p w:rsidR="00404932" w:rsidRDefault="00404932" w:rsidP="00404932">
            <w:pPr>
              <w:spacing w:after="0" w:line="240" w:lineRule="auto"/>
              <w:jc w:val="both"/>
              <w:rPr>
                <w:rFonts w:ascii="Times New Roman" w:hAnsi="Times New Roman"/>
                <w:color w:val="000000" w:themeColor="text1"/>
                <w:sz w:val="24"/>
                <w:szCs w:val="24"/>
              </w:rPr>
            </w:pPr>
            <w:r w:rsidRPr="00556CAE">
              <w:rPr>
                <w:rFonts w:ascii="Times New Roman" w:hAnsi="Times New Roman"/>
                <w:sz w:val="24"/>
                <w:szCs w:val="24"/>
              </w:rPr>
              <w:t xml:space="preserve">Publisko tiesību princips nosaka, ka aizliegts ir viss tas, kas nav noteikts ar tiesību normām. Līdz ar to, ņemot vērā, ka spēkā esošais normatīvais regulējums šobrīd neparedz stacijas ekspluatācijas uzsākšanas izpildes termiņa pagarināšanu, tad tas </w:t>
            </w:r>
            <w:r w:rsidR="00C44314">
              <w:rPr>
                <w:rFonts w:ascii="Times New Roman" w:hAnsi="Times New Roman"/>
                <w:sz w:val="24"/>
                <w:szCs w:val="24"/>
              </w:rPr>
              <w:t>turpmāk nebūtu atļaujams</w:t>
            </w:r>
            <w:r w:rsidRPr="00556CAE">
              <w:rPr>
                <w:rFonts w:ascii="Times New Roman" w:hAnsi="Times New Roman"/>
                <w:sz w:val="24"/>
                <w:szCs w:val="24"/>
              </w:rPr>
              <w:t xml:space="preserve">. </w:t>
            </w:r>
            <w:r w:rsidRPr="00556CAE">
              <w:rPr>
                <w:rFonts w:ascii="Times New Roman" w:hAnsi="Times New Roman"/>
                <w:color w:val="000000" w:themeColor="text1"/>
                <w:sz w:val="24"/>
                <w:szCs w:val="24"/>
              </w:rPr>
              <w:t xml:space="preserve">Ņemot vērā minēto, </w:t>
            </w:r>
            <w:r>
              <w:rPr>
                <w:rFonts w:ascii="Times New Roman" w:hAnsi="Times New Roman"/>
                <w:color w:val="000000" w:themeColor="text1"/>
                <w:sz w:val="24"/>
                <w:szCs w:val="24"/>
              </w:rPr>
              <w:t xml:space="preserve">lai vairotu </w:t>
            </w:r>
            <w:r w:rsidRPr="00307410">
              <w:rPr>
                <w:rFonts w:ascii="Times New Roman" w:hAnsi="Times New Roman"/>
                <w:sz w:val="24"/>
                <w:szCs w:val="24"/>
              </w:rPr>
              <w:t>sabiedrības uzticīb</w:t>
            </w:r>
            <w:r w:rsidR="00E75174">
              <w:rPr>
                <w:rFonts w:ascii="Times New Roman" w:hAnsi="Times New Roman"/>
                <w:sz w:val="24"/>
                <w:szCs w:val="24"/>
              </w:rPr>
              <w:t>u</w:t>
            </w:r>
            <w:r>
              <w:rPr>
                <w:rFonts w:ascii="Times New Roman" w:hAnsi="Times New Roman"/>
                <w:sz w:val="24"/>
                <w:szCs w:val="24"/>
              </w:rPr>
              <w:t xml:space="preserve"> tiesībām un tiesiskai drošībai, </w:t>
            </w:r>
            <w:r w:rsidRPr="00556CAE">
              <w:rPr>
                <w:rFonts w:ascii="Times New Roman" w:hAnsi="Times New Roman"/>
                <w:color w:val="000000" w:themeColor="text1"/>
                <w:sz w:val="24"/>
                <w:szCs w:val="24"/>
              </w:rPr>
              <w:t xml:space="preserve">noteikumu projektā </w:t>
            </w:r>
            <w:r w:rsidRPr="00736CCC">
              <w:rPr>
                <w:rFonts w:ascii="Times New Roman" w:hAnsi="Times New Roman"/>
                <w:color w:val="000000" w:themeColor="text1"/>
                <w:sz w:val="24"/>
                <w:szCs w:val="24"/>
              </w:rPr>
              <w:t>noteikts, ka vairāk netiek paredzēta šādu lēmumu izpildes termiņu pagarinājums</w:t>
            </w:r>
            <w:r>
              <w:rPr>
                <w:rFonts w:ascii="Times New Roman" w:hAnsi="Times New Roman"/>
                <w:color w:val="000000" w:themeColor="text1"/>
                <w:sz w:val="24"/>
                <w:szCs w:val="24"/>
              </w:rPr>
              <w:t>, lai nepastāvētu nepareizas interpretācijas, piemērošanas riski turpmākā tiesiskā regulējuma piemērošanas gaitā.</w:t>
            </w:r>
          </w:p>
          <w:p w:rsidR="00D17F2C" w:rsidRPr="00A223E3" w:rsidRDefault="00D17F2C" w:rsidP="00D17F2C">
            <w:pPr>
              <w:spacing w:after="0" w:line="240" w:lineRule="auto"/>
              <w:jc w:val="both"/>
              <w:rPr>
                <w:rFonts w:ascii="Times New Roman" w:hAnsi="Times New Roman"/>
                <w:sz w:val="24"/>
                <w:szCs w:val="24"/>
              </w:rPr>
            </w:pPr>
            <w:r w:rsidRPr="00A223E3">
              <w:rPr>
                <w:rFonts w:ascii="Times New Roman" w:hAnsi="Times New Roman"/>
                <w:color w:val="000000" w:themeColor="text1"/>
                <w:sz w:val="24"/>
                <w:szCs w:val="24"/>
              </w:rPr>
              <w:t>Kopumā līdz 2013.</w:t>
            </w:r>
            <w:r>
              <w:rPr>
                <w:rFonts w:ascii="Times New Roman" w:hAnsi="Times New Roman"/>
                <w:color w:val="000000" w:themeColor="text1"/>
                <w:sz w:val="24"/>
                <w:szCs w:val="24"/>
              </w:rPr>
              <w:t> </w:t>
            </w:r>
            <w:r w:rsidRPr="00A223E3">
              <w:rPr>
                <w:rFonts w:ascii="Times New Roman" w:hAnsi="Times New Roman"/>
                <w:color w:val="000000" w:themeColor="text1"/>
                <w:sz w:val="24"/>
                <w:szCs w:val="24"/>
              </w:rPr>
              <w:t>gada 1.</w:t>
            </w:r>
            <w:r>
              <w:rPr>
                <w:rFonts w:ascii="Times New Roman" w:hAnsi="Times New Roman"/>
                <w:color w:val="000000" w:themeColor="text1"/>
                <w:sz w:val="24"/>
                <w:szCs w:val="24"/>
              </w:rPr>
              <w:t> </w:t>
            </w:r>
            <w:r w:rsidRPr="00A223E3">
              <w:rPr>
                <w:rFonts w:ascii="Times New Roman" w:hAnsi="Times New Roman"/>
                <w:color w:val="000000" w:themeColor="text1"/>
                <w:sz w:val="24"/>
                <w:szCs w:val="24"/>
              </w:rPr>
              <w:t xml:space="preserve">jūlijam atcelti </w:t>
            </w:r>
            <w:r w:rsidR="00386424">
              <w:rPr>
                <w:rFonts w:ascii="Times New Roman" w:hAnsi="Times New Roman"/>
                <w:color w:val="000000" w:themeColor="text1"/>
                <w:sz w:val="24"/>
                <w:szCs w:val="24"/>
              </w:rPr>
              <w:t>90</w:t>
            </w:r>
            <w:r w:rsidRPr="00A223E3">
              <w:rPr>
                <w:rFonts w:ascii="Times New Roman" w:hAnsi="Times New Roman"/>
                <w:sz w:val="24"/>
                <w:szCs w:val="24"/>
              </w:rPr>
              <w:t xml:space="preserve"> lēmumi</w:t>
            </w:r>
            <w:r w:rsidRPr="00A223E3">
              <w:rPr>
                <w:rFonts w:ascii="Times New Roman" w:hAnsi="Times New Roman"/>
                <w:color w:val="000000"/>
                <w:sz w:val="24"/>
                <w:szCs w:val="24"/>
              </w:rPr>
              <w:t xml:space="preserve"> </w:t>
            </w:r>
            <w:r w:rsidRPr="00A223E3">
              <w:rPr>
                <w:rFonts w:ascii="Times New Roman" w:hAnsi="Times New Roman"/>
                <w:sz w:val="24"/>
                <w:szCs w:val="24"/>
              </w:rPr>
              <w:t>par tiesību piešķiršanu pārdot elektroenerģiju obligātā iepirkuma ietvaros</w:t>
            </w:r>
            <w:r>
              <w:rPr>
                <w:rFonts w:ascii="Times New Roman" w:hAnsi="Times New Roman"/>
                <w:sz w:val="24"/>
                <w:szCs w:val="24"/>
              </w:rPr>
              <w:t xml:space="preserve"> vai tiesībām saņemt garantēto maksu</w:t>
            </w:r>
            <w:r w:rsidRPr="00A223E3">
              <w:rPr>
                <w:rFonts w:ascii="Times New Roman" w:hAnsi="Times New Roman"/>
                <w:sz w:val="24"/>
                <w:szCs w:val="24"/>
              </w:rPr>
              <w:t>.</w:t>
            </w:r>
          </w:p>
          <w:p w:rsidR="00404932" w:rsidRPr="006A1801" w:rsidRDefault="00404932" w:rsidP="009463B0">
            <w:pPr>
              <w:spacing w:after="0" w:line="240" w:lineRule="auto"/>
              <w:jc w:val="both"/>
              <w:rPr>
                <w:rFonts w:ascii="Times New Roman" w:hAnsi="Times New Roman"/>
                <w:color w:val="000000"/>
                <w:sz w:val="24"/>
                <w:szCs w:val="24"/>
              </w:rPr>
            </w:pPr>
            <w:r w:rsidRPr="00556CAE">
              <w:rPr>
                <w:rFonts w:ascii="Times New Roman" w:hAnsi="Times New Roman"/>
                <w:color w:val="000000"/>
                <w:sz w:val="24"/>
                <w:szCs w:val="24"/>
              </w:rPr>
              <w:t xml:space="preserve">Lai </w:t>
            </w:r>
            <w:r w:rsidR="009463B0">
              <w:rPr>
                <w:rFonts w:ascii="Times New Roman" w:hAnsi="Times New Roman"/>
                <w:color w:val="000000"/>
                <w:sz w:val="24"/>
                <w:szCs w:val="24"/>
              </w:rPr>
              <w:t>nodrošinātu efektīvāku atbalsta mehānisma kontroli</w:t>
            </w:r>
            <w:r w:rsidRPr="00556CAE">
              <w:rPr>
                <w:rFonts w:ascii="Times New Roman" w:hAnsi="Times New Roman"/>
                <w:color w:val="000000"/>
                <w:sz w:val="24"/>
                <w:szCs w:val="24"/>
              </w:rPr>
              <w:t xml:space="preserve">, esošajā tiesiskajā regulējumā ir nepieciešams pastiprināt kontroles mehānismus </w:t>
            </w:r>
            <w:r w:rsidR="006E22C1">
              <w:rPr>
                <w:rFonts w:ascii="Times New Roman" w:hAnsi="Times New Roman"/>
                <w:color w:val="000000"/>
                <w:sz w:val="24"/>
                <w:szCs w:val="24"/>
              </w:rPr>
              <w:t>koģenerācijas</w:t>
            </w:r>
            <w:r w:rsidRPr="00556CAE">
              <w:rPr>
                <w:rFonts w:ascii="Times New Roman" w:hAnsi="Times New Roman"/>
                <w:color w:val="000000"/>
                <w:sz w:val="24"/>
                <w:szCs w:val="24"/>
              </w:rPr>
              <w:t xml:space="preserve"> staciju, kas izmanto atjaunojamos energoresursus un saņemt atbalstu obligātā iepirkuma ietvaros </w:t>
            </w:r>
            <w:r w:rsidR="00B51D53">
              <w:rPr>
                <w:rFonts w:ascii="Times New Roman" w:hAnsi="Times New Roman"/>
                <w:color w:val="000000"/>
                <w:sz w:val="24"/>
                <w:szCs w:val="24"/>
              </w:rPr>
              <w:t xml:space="preserve">vai </w:t>
            </w:r>
            <w:r w:rsidR="00B51D53" w:rsidRPr="006A1801">
              <w:rPr>
                <w:rFonts w:ascii="Times New Roman" w:hAnsi="Times New Roman"/>
                <w:color w:val="000000"/>
                <w:sz w:val="24"/>
                <w:szCs w:val="24"/>
              </w:rPr>
              <w:t xml:space="preserve">garantētas maksas veidā </w:t>
            </w:r>
            <w:r w:rsidRPr="006A1801">
              <w:rPr>
                <w:rFonts w:ascii="Times New Roman" w:hAnsi="Times New Roman"/>
                <w:color w:val="000000"/>
                <w:sz w:val="24"/>
                <w:szCs w:val="24"/>
              </w:rPr>
              <w:t>uzraudzībai.</w:t>
            </w:r>
          </w:p>
          <w:p w:rsidR="006A1801" w:rsidRPr="009E2E00" w:rsidRDefault="006A1801" w:rsidP="006A1801">
            <w:pPr>
              <w:spacing w:after="0" w:line="240" w:lineRule="auto"/>
              <w:jc w:val="both"/>
              <w:rPr>
                <w:rFonts w:ascii="Times New Roman" w:hAnsi="Times New Roman"/>
                <w:color w:val="000000" w:themeColor="text1"/>
                <w:sz w:val="24"/>
                <w:szCs w:val="24"/>
              </w:rPr>
            </w:pPr>
            <w:r w:rsidRPr="006A1801">
              <w:rPr>
                <w:rFonts w:ascii="Times New Roman" w:hAnsi="Times New Roman"/>
                <w:sz w:val="24"/>
                <w:szCs w:val="24"/>
              </w:rPr>
              <w:t xml:space="preserve">Ņemot vērā, ka ar 2014. gada 1. janvāri Latvijā plānots ieviest </w:t>
            </w:r>
            <w:proofErr w:type="spellStart"/>
            <w:r w:rsidRPr="006A1801">
              <w:rPr>
                <w:rFonts w:ascii="Times New Roman" w:hAnsi="Times New Roman"/>
                <w:i/>
                <w:sz w:val="24"/>
                <w:szCs w:val="24"/>
              </w:rPr>
              <w:t>euro</w:t>
            </w:r>
            <w:proofErr w:type="spellEnd"/>
            <w:r w:rsidRPr="006A1801">
              <w:rPr>
                <w:rFonts w:ascii="Times New Roman" w:hAnsi="Times New Roman"/>
                <w:sz w:val="24"/>
                <w:szCs w:val="24"/>
              </w:rPr>
              <w:t>, ir nepieciešams veikt grozījumus MK noteikumu Nr.52.punktā un 7.pielikumā</w:t>
            </w:r>
            <w:r w:rsidRPr="006A1801">
              <w:rPr>
                <w:rFonts w:ascii="Times New Roman" w:hAnsi="Times New Roman"/>
                <w:bCs/>
                <w:sz w:val="24"/>
                <w:szCs w:val="24"/>
              </w:rPr>
              <w:t>,</w:t>
            </w:r>
            <w:r w:rsidRPr="006A1801">
              <w:rPr>
                <w:rStyle w:val="FootnoteReference"/>
                <w:rFonts w:ascii="Times New Roman" w:hAnsi="Times New Roman"/>
                <w:sz w:val="24"/>
                <w:szCs w:val="24"/>
              </w:rPr>
              <w:t xml:space="preserve"> </w:t>
            </w:r>
            <w:r w:rsidRPr="006A1801">
              <w:rPr>
                <w:rFonts w:ascii="Times New Roman" w:hAnsi="Times New Roman"/>
                <w:sz w:val="24"/>
                <w:szCs w:val="24"/>
              </w:rPr>
              <w:t xml:space="preserve">aizstājot tajā latus ar </w:t>
            </w:r>
            <w:proofErr w:type="spellStart"/>
            <w:r w:rsidRPr="006A1801">
              <w:rPr>
                <w:rFonts w:ascii="Times New Roman" w:hAnsi="Times New Roman"/>
                <w:i/>
                <w:sz w:val="24"/>
                <w:szCs w:val="24"/>
              </w:rPr>
              <w:t>euro</w:t>
            </w:r>
            <w:proofErr w:type="spellEnd"/>
            <w:r w:rsidRPr="006A1801">
              <w:rPr>
                <w:rFonts w:ascii="Times New Roman" w:hAnsi="Times New Roman"/>
                <w:sz w:val="24"/>
                <w:szCs w:val="24"/>
              </w:rPr>
              <w:t>.</w:t>
            </w:r>
          </w:p>
        </w:tc>
      </w:tr>
      <w:tr w:rsidR="0024569C" w:rsidRPr="0024569C" w:rsidTr="006A1801">
        <w:trPr>
          <w:trHeight w:val="1692"/>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lastRenderedPageBreak/>
              <w:t>3.</w:t>
            </w:r>
          </w:p>
        </w:tc>
        <w:tc>
          <w:tcPr>
            <w:tcW w:w="2716" w:type="dxa"/>
          </w:tcPr>
          <w:p w:rsidR="00CE44D6" w:rsidRPr="0024569C" w:rsidRDefault="00CE44D6" w:rsidP="00494B41">
            <w:pPr>
              <w:pStyle w:val="naiskr"/>
              <w:spacing w:before="0" w:after="0"/>
              <w:rPr>
                <w:color w:val="000000" w:themeColor="text1"/>
              </w:rPr>
            </w:pPr>
            <w:r w:rsidRPr="0024569C">
              <w:rPr>
                <w:color w:val="000000" w:themeColor="text1"/>
              </w:rPr>
              <w:t>Saistītie politikas ietekmes novērtējumi un pētījumi</w:t>
            </w:r>
          </w:p>
        </w:tc>
        <w:tc>
          <w:tcPr>
            <w:tcW w:w="6459" w:type="dxa"/>
          </w:tcPr>
          <w:p w:rsidR="00FB27B5" w:rsidRDefault="00E677DB" w:rsidP="00214A17">
            <w:pPr>
              <w:pStyle w:val="FootnoteText"/>
              <w:contextualSpacing/>
              <w:jc w:val="both"/>
              <w:rPr>
                <w:color w:val="000000"/>
                <w:sz w:val="24"/>
                <w:szCs w:val="24"/>
              </w:rPr>
            </w:pPr>
            <w:r>
              <w:rPr>
                <w:color w:val="000000"/>
                <w:sz w:val="24"/>
                <w:szCs w:val="24"/>
              </w:rPr>
              <w:t>Ministru kabineta 2013. gada 9. aprīļa sēdē zināšanai pieņemtais i</w:t>
            </w:r>
            <w:r w:rsidRPr="009E2E00">
              <w:rPr>
                <w:color w:val="000000"/>
                <w:sz w:val="24"/>
                <w:szCs w:val="24"/>
              </w:rPr>
              <w:t>nformatīvais ziņojums „Rīcības plāns elektroenerģijas kopējās cenas</w:t>
            </w:r>
            <w:r>
              <w:rPr>
                <w:color w:val="000000"/>
                <w:sz w:val="24"/>
                <w:szCs w:val="24"/>
              </w:rPr>
              <w:t xml:space="preserve"> pieauguma risku ierobežošanai”</w:t>
            </w:r>
            <w:r w:rsidRPr="009E2E00">
              <w:rPr>
                <w:color w:val="000000"/>
                <w:sz w:val="24"/>
                <w:szCs w:val="24"/>
              </w:rPr>
              <w:t xml:space="preserve"> (TA-683, </w:t>
            </w:r>
            <w:proofErr w:type="spellStart"/>
            <w:r w:rsidRPr="009E2E00">
              <w:rPr>
                <w:color w:val="000000"/>
                <w:sz w:val="24"/>
                <w:szCs w:val="24"/>
              </w:rPr>
              <w:t>prot</w:t>
            </w:r>
            <w:proofErr w:type="spellEnd"/>
            <w:r w:rsidRPr="009E2E00">
              <w:rPr>
                <w:color w:val="000000"/>
                <w:sz w:val="24"/>
                <w:szCs w:val="24"/>
              </w:rPr>
              <w:t>. Nr.18, 35. §).</w:t>
            </w:r>
          </w:p>
          <w:p w:rsidR="00152A19" w:rsidRPr="00714B67" w:rsidRDefault="003823C9" w:rsidP="00714B67">
            <w:pPr>
              <w:spacing w:after="0" w:line="240" w:lineRule="auto"/>
              <w:jc w:val="both"/>
              <w:rPr>
                <w:rFonts w:ascii="Times New Roman" w:hAnsi="Times New Roman"/>
                <w:color w:val="000000"/>
                <w:sz w:val="24"/>
                <w:szCs w:val="24"/>
              </w:rPr>
            </w:pPr>
            <w:r w:rsidRPr="00162A0E">
              <w:rPr>
                <w:rFonts w:ascii="Times New Roman" w:hAnsi="Times New Roman"/>
                <w:color w:val="000000"/>
                <w:sz w:val="24"/>
                <w:szCs w:val="24"/>
              </w:rPr>
              <w:t>Atbilstoši Rīcības plāna Pielikuma Nr.1</w:t>
            </w:r>
            <w:r w:rsidRPr="00162A0E">
              <w:rPr>
                <w:rFonts w:ascii="Times New Roman" w:hAnsi="Times New Roman"/>
                <w:color w:val="000000" w:themeColor="text1"/>
                <w:sz w:val="24"/>
                <w:szCs w:val="24"/>
              </w:rPr>
              <w:t xml:space="preserve"> paredzēta atbalsta apjoma izvērtēšana dabasgāzes koģenerācijas stacijām līdz 4MW un AER stacijām, kā arī dabasgāzes koģenerācijas stacijām virs 4MW</w:t>
            </w:r>
            <w:r w:rsidR="00162A0E" w:rsidRPr="00162A0E">
              <w:rPr>
                <w:rFonts w:ascii="Times New Roman" w:hAnsi="Times New Roman"/>
                <w:color w:val="000000" w:themeColor="text1"/>
                <w:sz w:val="24"/>
                <w:szCs w:val="24"/>
              </w:rPr>
              <w:t>.</w:t>
            </w:r>
            <w:r w:rsidR="00162A0E" w:rsidRPr="00162A0E">
              <w:rPr>
                <w:rFonts w:ascii="Times New Roman" w:hAnsi="Times New Roman"/>
                <w:color w:val="000000"/>
                <w:sz w:val="24"/>
                <w:szCs w:val="24"/>
              </w:rPr>
              <w:t xml:space="preserve"> Saistībā ar maksājumu ražotājiem, kas ieguvuši tiesības pārdot saražoto elektroenerģiju obligātā iepirkuma ietvaros vai tiesības saņemt garantēto maksu par stacijā uzstādīto elektrisko jaudu izvērtējumu valsts atbalsta normām, vēlamies norādīt, ka </w:t>
            </w:r>
            <w:r w:rsidR="00162A0E" w:rsidRPr="00162A0E">
              <w:rPr>
                <w:rFonts w:ascii="Times New Roman" w:hAnsi="Times New Roman"/>
                <w:color w:val="000000"/>
                <w:sz w:val="24"/>
                <w:szCs w:val="24"/>
              </w:rPr>
              <w:lastRenderedPageBreak/>
              <w:t>Ekonomikas ministrija organizēja un 2013. gada 15. februārī izsludināja konkursu „Elektroenerģijas, kas ražota no atjaunojamiem energoresursiem un koģenerācijā, atbalsta izvērtējums un priekšlikumi atbalsta uzlabošanai” (Nr.EM 2013/09) (turpmāk – konkurss). Konkursa mērķis ir veikt pētījumu par elektroenerģijas, kas ražota no atjaunojamiem energoresursiem un koģenerācijā, atbalsta izvērtējumu un apskatīt priekšlikumus atbalsta uzlabošanai, tai skaitā,</w:t>
            </w:r>
            <w:r w:rsidR="00162A0E" w:rsidRPr="00162A0E">
              <w:rPr>
                <w:rFonts w:ascii="Times New Roman" w:hAnsi="Times New Roman"/>
                <w:sz w:val="24"/>
                <w:szCs w:val="24"/>
              </w:rPr>
              <w:t xml:space="preserve"> paredzot ietvert arī novērtējumu par </w:t>
            </w:r>
            <w:r w:rsidR="00162A0E" w:rsidRPr="00714B67">
              <w:rPr>
                <w:rFonts w:ascii="Times New Roman" w:hAnsi="Times New Roman"/>
                <w:sz w:val="24"/>
                <w:szCs w:val="24"/>
              </w:rPr>
              <w:t>faktiskajām elektroenerģijas ražošanas izmaksām Latvijā</w:t>
            </w:r>
            <w:r w:rsidR="00162A0E" w:rsidRPr="00714B67">
              <w:rPr>
                <w:rFonts w:ascii="Times New Roman" w:hAnsi="Times New Roman"/>
                <w:color w:val="000000"/>
                <w:sz w:val="24"/>
                <w:szCs w:val="24"/>
              </w:rPr>
              <w:t>. Savukārt pētījums tik</w:t>
            </w:r>
            <w:r w:rsidR="00C44314" w:rsidRPr="00714B67">
              <w:rPr>
                <w:rFonts w:ascii="Times New Roman" w:hAnsi="Times New Roman"/>
                <w:color w:val="000000"/>
                <w:sz w:val="24"/>
                <w:szCs w:val="24"/>
              </w:rPr>
              <w:t>a</w:t>
            </w:r>
            <w:r w:rsidR="00162A0E" w:rsidRPr="00714B67">
              <w:rPr>
                <w:rFonts w:ascii="Times New Roman" w:hAnsi="Times New Roman"/>
                <w:color w:val="000000"/>
                <w:sz w:val="24"/>
                <w:szCs w:val="24"/>
              </w:rPr>
              <w:t xml:space="preserve"> pabeigts </w:t>
            </w:r>
            <w:proofErr w:type="spellStart"/>
            <w:r w:rsidR="00C44314" w:rsidRPr="00714B67">
              <w:rPr>
                <w:rFonts w:ascii="Times New Roman" w:hAnsi="Times New Roman"/>
                <w:color w:val="000000"/>
                <w:sz w:val="24"/>
                <w:szCs w:val="24"/>
              </w:rPr>
              <w:t>š.g</w:t>
            </w:r>
            <w:proofErr w:type="spellEnd"/>
            <w:r w:rsidR="00C44314" w:rsidRPr="00714B67">
              <w:rPr>
                <w:rFonts w:ascii="Times New Roman" w:hAnsi="Times New Roman"/>
                <w:color w:val="000000"/>
                <w:sz w:val="24"/>
                <w:szCs w:val="24"/>
              </w:rPr>
              <w:t>. jūnijā un š</w:t>
            </w:r>
            <w:r w:rsidR="00214A17" w:rsidRPr="00714B67">
              <w:rPr>
                <w:rFonts w:ascii="Times New Roman" w:hAnsi="Times New Roman"/>
                <w:color w:val="000000"/>
                <w:sz w:val="24"/>
                <w:szCs w:val="24"/>
              </w:rPr>
              <w:t xml:space="preserve">obrīd notiek </w:t>
            </w:r>
            <w:r w:rsidR="00C44314" w:rsidRPr="00714B67">
              <w:rPr>
                <w:rFonts w:ascii="Times New Roman" w:hAnsi="Times New Roman"/>
                <w:color w:val="000000"/>
                <w:sz w:val="24"/>
                <w:szCs w:val="24"/>
              </w:rPr>
              <w:t>pētījuma otrā nodevuma</w:t>
            </w:r>
            <w:r w:rsidR="00214A17" w:rsidRPr="00714B67">
              <w:rPr>
                <w:rFonts w:ascii="Times New Roman" w:hAnsi="Times New Roman"/>
                <w:color w:val="000000"/>
                <w:sz w:val="24"/>
                <w:szCs w:val="24"/>
              </w:rPr>
              <w:t xml:space="preserve"> analīze un nozares iepazīstināšana ar </w:t>
            </w:r>
            <w:r w:rsidR="00C44314" w:rsidRPr="00714B67">
              <w:rPr>
                <w:rFonts w:ascii="Times New Roman" w:hAnsi="Times New Roman"/>
                <w:color w:val="000000"/>
                <w:sz w:val="24"/>
                <w:szCs w:val="24"/>
              </w:rPr>
              <w:t>tajā iekļautajiem</w:t>
            </w:r>
            <w:r w:rsidR="00214A17" w:rsidRPr="00714B67">
              <w:rPr>
                <w:rFonts w:ascii="Times New Roman" w:hAnsi="Times New Roman"/>
                <w:color w:val="000000"/>
                <w:sz w:val="24"/>
                <w:szCs w:val="24"/>
              </w:rPr>
              <w:t xml:space="preserve"> rezultātiem.</w:t>
            </w:r>
          </w:p>
          <w:p w:rsidR="00714B67" w:rsidRPr="003823C9" w:rsidRDefault="00714B67" w:rsidP="00714B67">
            <w:pPr>
              <w:spacing w:after="0" w:line="240" w:lineRule="auto"/>
              <w:jc w:val="both"/>
              <w:rPr>
                <w:color w:val="000000" w:themeColor="text1"/>
                <w:sz w:val="24"/>
                <w:szCs w:val="24"/>
              </w:rPr>
            </w:pPr>
            <w:r w:rsidRPr="00714B67">
              <w:rPr>
                <w:rFonts w:ascii="Times New Roman" w:hAnsi="Times New Roman"/>
                <w:color w:val="000000"/>
                <w:sz w:val="24"/>
                <w:szCs w:val="24"/>
              </w:rPr>
              <w:t>Ekonomikas ministrija, izpildot Ministru kabineta  2013.gada 4.</w:t>
            </w:r>
            <w:r w:rsidRPr="00714B67">
              <w:rPr>
                <w:rFonts w:ascii="Times New Roman" w:hAnsi="Times New Roman"/>
                <w:color w:val="000000" w:themeColor="text1"/>
                <w:sz w:val="24"/>
                <w:szCs w:val="24"/>
              </w:rPr>
              <w:t> </w:t>
            </w:r>
            <w:r w:rsidRPr="00714B67">
              <w:rPr>
                <w:rFonts w:ascii="Times New Roman" w:hAnsi="Times New Roman"/>
                <w:color w:val="000000"/>
                <w:sz w:val="24"/>
                <w:szCs w:val="24"/>
              </w:rPr>
              <w:t xml:space="preserve">jūnija sēdes Protokollēmuma Nr.33, </w:t>
            </w:r>
            <w:bookmarkStart w:id="0" w:name="29"/>
            <w:r w:rsidRPr="00714B67">
              <w:rPr>
                <w:rFonts w:ascii="Times New Roman" w:hAnsi="Times New Roman"/>
                <w:color w:val="000000"/>
                <w:sz w:val="24"/>
                <w:szCs w:val="24"/>
              </w:rPr>
              <w:t>29.§</w:t>
            </w:r>
            <w:bookmarkEnd w:id="0"/>
            <w:r w:rsidRPr="00714B67">
              <w:rPr>
                <w:rFonts w:ascii="Times New Roman" w:hAnsi="Times New Roman"/>
                <w:color w:val="000000"/>
                <w:sz w:val="24"/>
                <w:szCs w:val="24"/>
              </w:rPr>
              <w:t xml:space="preserve"> 3. punktu, kopīgi ar Finanšu ministrijas pārstāvjiem </w:t>
            </w:r>
            <w:r w:rsidRPr="00714B67">
              <w:rPr>
                <w:rFonts w:ascii="Times New Roman" w:hAnsi="Times New Roman"/>
                <w:sz w:val="24"/>
                <w:szCs w:val="24"/>
              </w:rPr>
              <w:t>2013.gada 26. jūnijā</w:t>
            </w:r>
            <w:r w:rsidRPr="00714B67">
              <w:rPr>
                <w:rFonts w:ascii="Times New Roman" w:hAnsi="Times New Roman"/>
                <w:color w:val="000000"/>
                <w:sz w:val="24"/>
                <w:szCs w:val="24"/>
              </w:rPr>
              <w:t xml:space="preserve"> konsultējās ar Eiropas Komisijas Konkurences ģenerāldirektorātu par Elektroenerģijas lietotāju atbalsta fonda darbību</w:t>
            </w:r>
            <w:r w:rsidRPr="00714B67">
              <w:rPr>
                <w:rFonts w:ascii="Times New Roman" w:hAnsi="Times New Roman"/>
                <w:sz w:val="24"/>
                <w:szCs w:val="24"/>
              </w:rPr>
              <w:t xml:space="preserve">. Sarunas laikā tika identificēts, ka visticamāk Eiropas Komisija lūgs notificēt arī pašreizējās atbalsta shēmas, kuras ietvaros būs nepieciešams apzināt elektroenerģijas ražošanas izmaksas dažādām tehnoloģijām un dažāda lieluma elektrostacijām. Eiropas Komisija vērtēs arī to, vai esošais atbalsts nepārsniedz saprātīgas peļņas līmeni. Vienlīdz </w:t>
            </w:r>
            <w:r w:rsidRPr="00714B67">
              <w:rPr>
                <w:rFonts w:ascii="Times New Roman" w:eastAsia="EUAlbertina-Regular-Identity-H" w:hAnsi="Times New Roman"/>
                <w:color w:val="000000"/>
                <w:sz w:val="24"/>
                <w:szCs w:val="24"/>
              </w:rPr>
              <w:t>Eiropas Komisija vērtēs līdzsvaru starp valsts paredzēto atbalsta pasākuma pozitīvo iedarbību, sasniedzot vispārējas nozīmes mērķi, un tā potenciāli negatīvo blakus iedarbību, piemēram, tirdzniecības un konkurences kropļošanu, ietekmi uz valsts tautsaimniecības attīstību un citus būtiskus faktorus.</w:t>
            </w:r>
            <w:r>
              <w:rPr>
                <w:rFonts w:ascii="Times New Roman" w:eastAsia="EUAlbertina-Regular-Identity-H" w:hAnsi="Times New Roman"/>
                <w:color w:val="000000"/>
                <w:sz w:val="24"/>
                <w:szCs w:val="24"/>
              </w:rPr>
              <w:t xml:space="preserve"> N</w:t>
            </w:r>
            <w:r w:rsidRPr="00714B67">
              <w:rPr>
                <w:rFonts w:ascii="Times New Roman" w:hAnsi="Times New Roman"/>
                <w:color w:val="000000"/>
                <w:sz w:val="24"/>
                <w:szCs w:val="24"/>
              </w:rPr>
              <w:t>ovērtējot kopējo atbalsta intensitāti atbilstoši Komisijas 2008. gada 6. augusta Regulai Nr.800/2008, kas atzīst noteiktas atbalsta kategorijas par saderīgām ar kopējo tirgu, piemērojot Līguma par Eiropas Savienību darbību 87. un 88. pantu, līdz ar piemaksu ir paralēli jāizvērtē citi atbalsta instrumenti, kā piemēram valsts piešķirtas subsīdijas, nodokļu atlaides un citi atbalsta veidi, kas būtu definējami kā valsts atbalsts Līguma par Eiropas Savienības darbību izpratnē.</w:t>
            </w:r>
            <w:r w:rsidRPr="009526B9">
              <w:rPr>
                <w:color w:val="000000"/>
                <w:szCs w:val="28"/>
              </w:rPr>
              <w:t xml:space="preserve"> </w:t>
            </w:r>
          </w:p>
        </w:tc>
      </w:tr>
      <w:tr w:rsidR="0024569C" w:rsidRPr="0024569C" w:rsidTr="007E4D83">
        <w:trPr>
          <w:trHeight w:val="706"/>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lastRenderedPageBreak/>
              <w:t>4.</w:t>
            </w:r>
          </w:p>
        </w:tc>
        <w:tc>
          <w:tcPr>
            <w:tcW w:w="2716" w:type="dxa"/>
          </w:tcPr>
          <w:p w:rsidR="00CE44D6" w:rsidRPr="0024569C" w:rsidRDefault="00CE44D6" w:rsidP="00494B41">
            <w:pPr>
              <w:pStyle w:val="naiskr"/>
              <w:spacing w:before="0" w:after="0"/>
              <w:rPr>
                <w:color w:val="000000" w:themeColor="text1"/>
              </w:rPr>
            </w:pPr>
            <w:r w:rsidRPr="0024569C">
              <w:rPr>
                <w:color w:val="000000" w:themeColor="text1"/>
              </w:rPr>
              <w:t>Tiesiskā regulējuma mērķis un būtība</w:t>
            </w:r>
          </w:p>
        </w:tc>
        <w:tc>
          <w:tcPr>
            <w:tcW w:w="6459" w:type="dxa"/>
          </w:tcPr>
          <w:p w:rsidR="00027D3D" w:rsidRPr="009A46EE" w:rsidRDefault="00027D3D" w:rsidP="00027D3D">
            <w:pPr>
              <w:spacing w:after="0" w:line="240" w:lineRule="auto"/>
              <w:jc w:val="both"/>
              <w:rPr>
                <w:rFonts w:ascii="Times New Roman" w:eastAsia="Times New Roman" w:hAnsi="Times New Roman"/>
                <w:color w:val="000000"/>
                <w:sz w:val="24"/>
                <w:szCs w:val="24"/>
                <w:lang w:eastAsia="lv-LV"/>
              </w:rPr>
            </w:pPr>
            <w:r w:rsidRPr="009A46EE">
              <w:rPr>
                <w:rFonts w:ascii="Times New Roman" w:eastAsia="Times New Roman" w:hAnsi="Times New Roman"/>
                <w:bCs/>
                <w:color w:val="000000"/>
                <w:sz w:val="24"/>
                <w:szCs w:val="24"/>
                <w:lang w:eastAsia="lv-LV"/>
              </w:rPr>
              <w:t>Elektroenerģijas tirgus likuma 28.</w:t>
            </w:r>
            <w:r w:rsidR="007F642A">
              <w:rPr>
                <w:rFonts w:ascii="Times New Roman" w:eastAsia="Times New Roman" w:hAnsi="Times New Roman"/>
                <w:bCs/>
                <w:color w:val="000000"/>
                <w:sz w:val="24"/>
                <w:szCs w:val="24"/>
                <w:lang w:eastAsia="lv-LV"/>
              </w:rPr>
              <w:t> </w:t>
            </w:r>
            <w:r w:rsidRPr="009A46EE">
              <w:rPr>
                <w:rFonts w:ascii="Times New Roman" w:eastAsia="Times New Roman" w:hAnsi="Times New Roman"/>
                <w:bCs/>
                <w:color w:val="000000"/>
                <w:sz w:val="24"/>
                <w:szCs w:val="24"/>
                <w:lang w:eastAsia="lv-LV"/>
              </w:rPr>
              <w:t>panta otrā daļa paredz, ka k</w:t>
            </w:r>
            <w:r w:rsidRPr="009A46EE">
              <w:rPr>
                <w:rFonts w:ascii="Times New Roman" w:eastAsia="Times New Roman" w:hAnsi="Times New Roman"/>
                <w:color w:val="000000"/>
                <w:sz w:val="24"/>
                <w:szCs w:val="24"/>
                <w:lang w:eastAsia="lv-LV"/>
              </w:rPr>
              <w:t>ritērijus, pēc kādiem koģenerācijas elektrostacijas tiek kvalificētas šā panta pirmajā daļā noteikto tiesību iegūšanai, </w:t>
            </w:r>
            <w:r w:rsidRPr="00F95F9B">
              <w:rPr>
                <w:rFonts w:ascii="Times New Roman" w:eastAsia="Times New Roman" w:hAnsi="Times New Roman"/>
                <w:bCs/>
                <w:color w:val="000000"/>
                <w:sz w:val="24"/>
                <w:szCs w:val="24"/>
                <w:u w:val="single"/>
                <w:lang w:eastAsia="lv-LV"/>
              </w:rPr>
              <w:t>obligātā iepirkuma un tā uzraudzības kārtību</w:t>
            </w:r>
            <w:r w:rsidRPr="009A46EE">
              <w:rPr>
                <w:rFonts w:ascii="Times New Roman" w:eastAsia="Times New Roman" w:hAnsi="Times New Roman"/>
                <w:color w:val="000000"/>
                <w:sz w:val="24"/>
                <w:szCs w:val="24"/>
                <w:lang w:eastAsia="lv-LV"/>
              </w:rPr>
              <w:t>, elektroenerģijas cenas noteikšanas kārtību atkarībā no koģenerācijas stacijas elektriskās jaudas un izmantojamā kurināmā, obligātā iepirkuma izmaksu segšanas kārtību un kārtību, kādā var atteikties no tiesībām pārdot saražoto elektroenerģiju obligātā iepirkuma ietvaros, nosaka Ministru kabinets.</w:t>
            </w:r>
          </w:p>
          <w:p w:rsidR="00E84465" w:rsidRPr="0061100D" w:rsidRDefault="004B7800" w:rsidP="00104362">
            <w:pPr>
              <w:spacing w:after="0" w:line="240" w:lineRule="auto"/>
              <w:jc w:val="both"/>
              <w:rPr>
                <w:rFonts w:ascii="Times New Roman" w:hAnsi="Times New Roman"/>
                <w:color w:val="000000" w:themeColor="text1"/>
                <w:sz w:val="24"/>
                <w:szCs w:val="24"/>
              </w:rPr>
            </w:pPr>
            <w:r w:rsidRPr="004B7800">
              <w:rPr>
                <w:rFonts w:ascii="Times New Roman" w:hAnsi="Times New Roman"/>
                <w:color w:val="000000"/>
                <w:sz w:val="24"/>
                <w:szCs w:val="24"/>
              </w:rPr>
              <w:t>Lai pārliecinātos, ka obligātā iepirkuma ietvaros elektroenerģijas ražotājiem piešķirtie līdzekļi tiek izmantoti efektīvi un atbilstoši paredzētajiem mērķiem</w:t>
            </w:r>
            <w:r w:rsidRPr="004B7800">
              <w:rPr>
                <w:rFonts w:ascii="Times New Roman" w:hAnsi="Times New Roman"/>
                <w:color w:val="000000" w:themeColor="text1"/>
                <w:sz w:val="24"/>
                <w:szCs w:val="24"/>
              </w:rPr>
              <w:t xml:space="preserve"> pastāvošajā </w:t>
            </w:r>
            <w:r w:rsidR="00E84465" w:rsidRPr="00616E5D">
              <w:rPr>
                <w:rFonts w:ascii="Times New Roman" w:hAnsi="Times New Roman"/>
                <w:color w:val="000000" w:themeColor="text1"/>
                <w:sz w:val="24"/>
                <w:szCs w:val="24"/>
              </w:rPr>
              <w:t>atbalsta mehānismā nepieciešams saglabāt esošos kontroles mehānismus</w:t>
            </w:r>
            <w:r w:rsidR="00E84465" w:rsidRPr="0061100D">
              <w:rPr>
                <w:rFonts w:ascii="Times New Roman" w:hAnsi="Times New Roman"/>
                <w:color w:val="000000" w:themeColor="text1"/>
                <w:sz w:val="24"/>
                <w:szCs w:val="24"/>
              </w:rPr>
              <w:t xml:space="preserve">, vienlaikus </w:t>
            </w:r>
            <w:r w:rsidR="00E84465" w:rsidRPr="0061100D">
              <w:rPr>
                <w:rFonts w:ascii="Times New Roman" w:hAnsi="Times New Roman"/>
                <w:color w:val="000000" w:themeColor="text1"/>
                <w:sz w:val="24"/>
                <w:szCs w:val="24"/>
              </w:rPr>
              <w:lastRenderedPageBreak/>
              <w:t xml:space="preserve">pastiprinot uzraudzību pār to ieviešanu, kas palīdzētu izvairīties no sniegtā </w:t>
            </w:r>
            <w:r w:rsidR="00E84465" w:rsidRPr="00D92CB0">
              <w:rPr>
                <w:rFonts w:ascii="Times New Roman" w:hAnsi="Times New Roman"/>
                <w:color w:val="000000" w:themeColor="text1"/>
                <w:sz w:val="24"/>
                <w:szCs w:val="24"/>
              </w:rPr>
              <w:t>atbalsta nepamatotas ietekmes uz elektroenerģijas gala tarifu.</w:t>
            </w:r>
            <w:r w:rsidR="0061100D" w:rsidRPr="00D92CB0">
              <w:rPr>
                <w:rFonts w:ascii="Times New Roman" w:hAnsi="Times New Roman"/>
                <w:color w:val="000000" w:themeColor="text1"/>
                <w:sz w:val="24"/>
                <w:szCs w:val="24"/>
              </w:rPr>
              <w:t xml:space="preserve"> Ar noteikumu projekt</w:t>
            </w:r>
            <w:r w:rsidR="00314D59">
              <w:rPr>
                <w:rFonts w:ascii="Times New Roman" w:hAnsi="Times New Roman"/>
                <w:color w:val="000000" w:themeColor="text1"/>
                <w:sz w:val="24"/>
                <w:szCs w:val="24"/>
              </w:rPr>
              <w:t>u</w:t>
            </w:r>
            <w:r w:rsidR="0061100D" w:rsidRPr="00D92CB0">
              <w:rPr>
                <w:rFonts w:ascii="Times New Roman" w:hAnsi="Times New Roman"/>
                <w:color w:val="000000" w:themeColor="text1"/>
                <w:sz w:val="24"/>
                <w:szCs w:val="24"/>
              </w:rPr>
              <w:t xml:space="preserve"> paredzēts noteikt staciju projektu kontroles grupas kompetenci, kas būtu stacijas atrašanās vietā pārbaudīt MK noteikumos Nr.221 ietverto prasību ievērošanu, kas paredz atbilstību būvniecību regulējošajiem normatīvajiem aktiem</w:t>
            </w:r>
            <w:r w:rsidR="0061100D" w:rsidRPr="0061100D">
              <w:rPr>
                <w:rFonts w:ascii="Times New Roman" w:hAnsi="Times New Roman"/>
                <w:color w:val="000000" w:themeColor="text1"/>
                <w:sz w:val="24"/>
                <w:szCs w:val="24"/>
              </w:rPr>
              <w:t xml:space="preserve"> stacijās, atbilstošu izejvielu izmantošanu enerģijas ražošanas procesā, kā arī koģenerācijas stacijās saražotās siltumenerģijas efektīvu </w:t>
            </w:r>
            <w:proofErr w:type="spellStart"/>
            <w:r w:rsidR="0061100D" w:rsidRPr="0061100D">
              <w:rPr>
                <w:rFonts w:ascii="Times New Roman" w:hAnsi="Times New Roman"/>
                <w:color w:val="000000" w:themeColor="text1"/>
                <w:sz w:val="24"/>
                <w:szCs w:val="24"/>
              </w:rPr>
              <w:t>izmantošanu</w:t>
            </w:r>
            <w:proofErr w:type="spellEnd"/>
            <w:r w:rsidR="0061100D" w:rsidRPr="0061100D">
              <w:rPr>
                <w:rFonts w:ascii="Times New Roman" w:hAnsi="Times New Roman"/>
                <w:color w:val="000000" w:themeColor="text1"/>
                <w:sz w:val="24"/>
                <w:szCs w:val="24"/>
              </w:rPr>
              <w:t>.</w:t>
            </w:r>
          </w:p>
          <w:p w:rsidR="000E47F4" w:rsidRDefault="000E47F4" w:rsidP="00A539C7">
            <w:pPr>
              <w:spacing w:after="0" w:line="240" w:lineRule="auto"/>
              <w:jc w:val="both"/>
              <w:rPr>
                <w:rFonts w:ascii="Times New Roman" w:hAnsi="Times New Roman"/>
                <w:iCs/>
                <w:color w:val="000000"/>
                <w:sz w:val="24"/>
                <w:szCs w:val="24"/>
              </w:rPr>
            </w:pPr>
            <w:r w:rsidRPr="000E47F4">
              <w:rPr>
                <w:rFonts w:ascii="Times New Roman" w:hAnsi="Times New Roman"/>
                <w:color w:val="000000" w:themeColor="text1"/>
                <w:sz w:val="24"/>
                <w:szCs w:val="24"/>
              </w:rPr>
              <w:t xml:space="preserve">Nolūkā nodrošināt elektroenerģijas obligātā iepirkuma atbalsta sistēmas sakārtošanu, kā arī, lai iegūtu ticamu informāciju enerģijas </w:t>
            </w:r>
            <w:r w:rsidRPr="009463B0">
              <w:rPr>
                <w:rFonts w:ascii="Times New Roman" w:hAnsi="Times New Roman"/>
                <w:color w:val="000000" w:themeColor="text1"/>
                <w:sz w:val="24"/>
                <w:szCs w:val="24"/>
              </w:rPr>
              <w:t>sektora plānošanā, kas ir īpaši būtiski, izstrādājot jauno atjaunojamās enerģijas atbalsta mehānismu</w:t>
            </w:r>
            <w:r w:rsidR="00314D59">
              <w:rPr>
                <w:rFonts w:ascii="Times New Roman" w:hAnsi="Times New Roman"/>
                <w:color w:val="000000" w:themeColor="text1"/>
                <w:sz w:val="24"/>
                <w:szCs w:val="24"/>
              </w:rPr>
              <w:t>,</w:t>
            </w:r>
            <w:r w:rsidRPr="009463B0">
              <w:rPr>
                <w:rFonts w:ascii="Times New Roman" w:hAnsi="Times New Roman"/>
                <w:color w:val="000000" w:themeColor="text1"/>
                <w:sz w:val="24"/>
                <w:szCs w:val="24"/>
              </w:rPr>
              <w:t xml:space="preserve"> noteikumu projekts papildināts ar tiesību normu, kas komersantiem par pienākumu uzliek</w:t>
            </w:r>
            <w:r w:rsidR="000C16E6" w:rsidRPr="009463B0">
              <w:rPr>
                <w:rFonts w:ascii="Times New Roman" w:hAnsi="Times New Roman"/>
                <w:color w:val="000000" w:themeColor="text1"/>
                <w:sz w:val="24"/>
                <w:szCs w:val="24"/>
              </w:rPr>
              <w:t xml:space="preserve"> </w:t>
            </w:r>
            <w:r w:rsidRPr="009463B0">
              <w:rPr>
                <w:rFonts w:ascii="Times New Roman" w:hAnsi="Times New Roman"/>
                <w:color w:val="000000" w:themeColor="text1"/>
                <w:sz w:val="24"/>
                <w:szCs w:val="24"/>
              </w:rPr>
              <w:t>iesniegt Ekonomikas ministrijai būvatļaujas kopiju</w:t>
            </w:r>
            <w:r w:rsidR="000C16E6" w:rsidRPr="009463B0">
              <w:rPr>
                <w:rFonts w:ascii="Times New Roman" w:hAnsi="Times New Roman"/>
                <w:color w:val="000000" w:themeColor="text1"/>
                <w:sz w:val="24"/>
                <w:szCs w:val="24"/>
              </w:rPr>
              <w:t xml:space="preserve"> un </w:t>
            </w:r>
            <w:r w:rsidRPr="009463B0">
              <w:rPr>
                <w:rFonts w:ascii="Times New Roman" w:hAnsi="Times New Roman"/>
                <w:color w:val="000000" w:themeColor="text1"/>
                <w:sz w:val="24"/>
                <w:szCs w:val="24"/>
              </w:rPr>
              <w:t xml:space="preserve">iesniegt kredītiestādes izziņu par kredīta piešķiršanu, vai kredītiestādes izziņu, kas apliecina, ka komersantam ir pieejami projekta īstenošanai nepieciešamie līdzekļi. </w:t>
            </w:r>
            <w:r w:rsidR="009463B0" w:rsidRPr="009463B0">
              <w:rPr>
                <w:rFonts w:ascii="Times New Roman" w:hAnsi="Times New Roman"/>
                <w:iCs/>
                <w:color w:val="000000"/>
                <w:sz w:val="24"/>
                <w:szCs w:val="24"/>
              </w:rPr>
              <w:t xml:space="preserve"> </w:t>
            </w:r>
          </w:p>
          <w:p w:rsidR="009463B0" w:rsidRPr="009463B0" w:rsidRDefault="009463B0" w:rsidP="00A539C7">
            <w:pPr>
              <w:spacing w:after="0" w:line="240" w:lineRule="auto"/>
              <w:jc w:val="both"/>
            </w:pPr>
            <w:r w:rsidRPr="009463B0">
              <w:rPr>
                <w:rFonts w:ascii="Times New Roman" w:hAnsi="Times New Roman"/>
                <w:iCs/>
                <w:color w:val="000000"/>
                <w:sz w:val="24"/>
                <w:szCs w:val="24"/>
              </w:rPr>
              <w:t>Vienlaikus paredzēts ar noteikumu projektu noteikt, ja projekta īstenošanā komersants plāno ieguldīt privātos līdzekļus, komersants iesniedz apliecinājumu, ka komersantam ir pietiekami naudas līdzekļi visa projekta īstenošanai pilnā apmērā. Savukārt, ja  projekta īstenošanā komersants plāno ieguldīt citas personas finanšu līdzekļus, komersants iesniedz apliecinājumu, ka investors nodrošinās naudas līdzekļus visa projekta īstenošanai.</w:t>
            </w:r>
          </w:p>
          <w:p w:rsidR="00AB414C" w:rsidRDefault="000E47F4" w:rsidP="00A539C7">
            <w:pPr>
              <w:spacing w:after="0" w:line="240" w:lineRule="auto"/>
              <w:jc w:val="both"/>
              <w:rPr>
                <w:rFonts w:ascii="Times New Roman" w:hAnsi="Times New Roman"/>
                <w:color w:val="000000" w:themeColor="text1"/>
                <w:sz w:val="24"/>
                <w:szCs w:val="24"/>
              </w:rPr>
            </w:pPr>
            <w:r w:rsidRPr="00E4043B">
              <w:rPr>
                <w:rFonts w:ascii="Times New Roman" w:hAnsi="Times New Roman"/>
                <w:color w:val="000000" w:themeColor="text1"/>
                <w:sz w:val="24"/>
                <w:szCs w:val="24"/>
              </w:rPr>
              <w:t>Vienlaikus</w:t>
            </w:r>
            <w:r w:rsidR="000C16E6" w:rsidRPr="00E4043B">
              <w:rPr>
                <w:rFonts w:ascii="Times New Roman" w:hAnsi="Times New Roman"/>
                <w:color w:val="000000" w:themeColor="text1"/>
                <w:sz w:val="24"/>
                <w:szCs w:val="24"/>
              </w:rPr>
              <w:t xml:space="preserve"> noteikumu projektā</w:t>
            </w:r>
            <w:r w:rsidRPr="00E4043B">
              <w:rPr>
                <w:rFonts w:ascii="Times New Roman" w:hAnsi="Times New Roman"/>
                <w:color w:val="000000" w:themeColor="text1"/>
                <w:sz w:val="24"/>
                <w:szCs w:val="24"/>
              </w:rPr>
              <w:t xml:space="preserve"> Ekonomikas</w:t>
            </w:r>
            <w:r w:rsidRPr="000E47F4">
              <w:rPr>
                <w:rFonts w:ascii="Times New Roman" w:hAnsi="Times New Roman"/>
                <w:color w:val="000000" w:themeColor="text1"/>
                <w:sz w:val="24"/>
                <w:szCs w:val="24"/>
              </w:rPr>
              <w:t xml:space="preserve"> ministrijai tiek </w:t>
            </w:r>
            <w:r w:rsidRPr="00823B79">
              <w:rPr>
                <w:rFonts w:ascii="Times New Roman" w:hAnsi="Times New Roman"/>
                <w:color w:val="000000" w:themeColor="text1"/>
                <w:sz w:val="24"/>
                <w:szCs w:val="24"/>
              </w:rPr>
              <w:t>paredzētas tiesības pārbaudīt iepriekš minēto komersanta iesniegto dokumentu autentiskumu, kā arī pārbaudīt, vai attiecīgās stacijas būvniecība vai tās jaudas palielināšana ir uzsākta.</w:t>
            </w:r>
          </w:p>
          <w:p w:rsidR="00FC2C88" w:rsidRDefault="00FC2C88" w:rsidP="00FC2C88">
            <w:pPr>
              <w:tabs>
                <w:tab w:val="left" w:pos="284"/>
              </w:tabs>
              <w:spacing w:after="0" w:line="240" w:lineRule="auto"/>
              <w:jc w:val="both"/>
              <w:rPr>
                <w:rFonts w:ascii="Times New Roman" w:hAnsi="Times New Roman"/>
                <w:sz w:val="24"/>
                <w:szCs w:val="24"/>
                <w:u w:val="single"/>
              </w:rPr>
            </w:pPr>
            <w:r>
              <w:rPr>
                <w:rFonts w:ascii="Times New Roman" w:hAnsi="Times New Roman"/>
                <w:color w:val="000000" w:themeColor="text1"/>
                <w:sz w:val="24"/>
                <w:szCs w:val="24"/>
              </w:rPr>
              <w:t>Kontroles grupa veiktu</w:t>
            </w:r>
            <w:r w:rsidRPr="00372266">
              <w:rPr>
                <w:rFonts w:ascii="Times New Roman" w:hAnsi="Times New Roman"/>
                <w:sz w:val="24"/>
                <w:szCs w:val="24"/>
              </w:rPr>
              <w:t xml:space="preserve"> </w:t>
            </w:r>
            <w:r>
              <w:rPr>
                <w:rFonts w:ascii="Times New Roman" w:hAnsi="Times New Roman"/>
                <w:sz w:val="24"/>
                <w:szCs w:val="24"/>
                <w:u w:val="single"/>
              </w:rPr>
              <w:t>pārbaudes, kas ļautu identificēt iespējamu negodprātīgu komersantu rīcību sekojošās augsta riska jomās:</w:t>
            </w:r>
          </w:p>
          <w:p w:rsidR="00FC2C88" w:rsidRPr="009A46EE" w:rsidRDefault="00FC2C88" w:rsidP="00FC2C88">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 xml:space="preserve">1) </w:t>
            </w:r>
            <w:r w:rsidR="002107E9">
              <w:rPr>
                <w:rFonts w:ascii="Times New Roman" w:hAnsi="Times New Roman"/>
                <w:sz w:val="24"/>
                <w:szCs w:val="24"/>
              </w:rPr>
              <w:t>S</w:t>
            </w:r>
            <w:r w:rsidRPr="009A46EE">
              <w:rPr>
                <w:rFonts w:ascii="Times New Roman" w:hAnsi="Times New Roman"/>
                <w:sz w:val="24"/>
                <w:szCs w:val="24"/>
              </w:rPr>
              <w:t>tacijās koģenerācijas režīmā izmantotā kurināmā sastāvs, apjoms un kvalitāte;</w:t>
            </w:r>
          </w:p>
          <w:p w:rsidR="00FC2C88" w:rsidRPr="009A46EE" w:rsidRDefault="00FC2C88" w:rsidP="00FC2C88">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2) Elektroenerģijas un siltumenerģijas pašpatēriņa apjoms;</w:t>
            </w:r>
          </w:p>
          <w:p w:rsidR="00FC2C88" w:rsidRPr="009A46EE" w:rsidRDefault="00FC2C88" w:rsidP="00FC2C88">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3) Koģenerācijas iekārtas darba stundu skaits gadā;</w:t>
            </w:r>
          </w:p>
          <w:p w:rsidR="00FC2C88" w:rsidRPr="009A46EE" w:rsidRDefault="00FC2C88" w:rsidP="00FC2C88">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4) Lietotājiem nodotais/pārdotais lietderīgās (efektīvi izlietotās) siltumenerģijas apjoms;</w:t>
            </w:r>
          </w:p>
          <w:p w:rsidR="00FC2C88" w:rsidRDefault="00FC2C88" w:rsidP="00FC2C88">
            <w:pPr>
              <w:pStyle w:val="ListParagraph"/>
              <w:tabs>
                <w:tab w:val="left" w:pos="284"/>
              </w:tabs>
              <w:ind w:left="0"/>
              <w:contextualSpacing/>
              <w:jc w:val="both"/>
              <w:rPr>
                <w:rFonts w:ascii="Times New Roman" w:hAnsi="Times New Roman"/>
                <w:sz w:val="24"/>
                <w:szCs w:val="24"/>
              </w:rPr>
            </w:pPr>
            <w:r w:rsidRPr="009A46EE">
              <w:rPr>
                <w:rFonts w:ascii="Times New Roman" w:hAnsi="Times New Roman"/>
                <w:sz w:val="24"/>
                <w:szCs w:val="24"/>
              </w:rPr>
              <w:t>5) Koģenerācijas iekārtā izmantotās informācijas sistēmas drošība (ja tāda ir ieviesta).</w:t>
            </w:r>
          </w:p>
          <w:p w:rsidR="00FC2C88" w:rsidRDefault="00FC2C88" w:rsidP="00FC2C88">
            <w:pPr>
              <w:pStyle w:val="ListParagraph"/>
              <w:tabs>
                <w:tab w:val="left" w:pos="284"/>
              </w:tabs>
              <w:ind w:left="0"/>
              <w:contextualSpacing/>
              <w:jc w:val="both"/>
              <w:rPr>
                <w:rFonts w:ascii="Times New Roman" w:hAnsi="Times New Roman"/>
                <w:b/>
                <w:color w:val="000000" w:themeColor="text1"/>
                <w:sz w:val="24"/>
                <w:szCs w:val="24"/>
              </w:rPr>
            </w:pPr>
            <w:r w:rsidRPr="009A46EE">
              <w:rPr>
                <w:rFonts w:ascii="Times New Roman" w:hAnsi="Times New Roman"/>
                <w:color w:val="000000" w:themeColor="text1"/>
                <w:sz w:val="24"/>
                <w:szCs w:val="24"/>
              </w:rPr>
              <w:t>Kontroles grupa veiktu siltumenerģijas skaitītāju, saražotās siltumenerģijas mērīšan</w:t>
            </w:r>
            <w:r>
              <w:rPr>
                <w:rFonts w:ascii="Times New Roman" w:hAnsi="Times New Roman"/>
                <w:color w:val="000000" w:themeColor="text1"/>
                <w:sz w:val="24"/>
                <w:szCs w:val="24"/>
              </w:rPr>
              <w:t>u</w:t>
            </w:r>
            <w:r w:rsidRPr="009A46EE">
              <w:rPr>
                <w:rFonts w:ascii="Times New Roman" w:hAnsi="Times New Roman"/>
                <w:color w:val="000000" w:themeColor="text1"/>
                <w:sz w:val="24"/>
                <w:szCs w:val="24"/>
              </w:rPr>
              <w:t xml:space="preserve"> un uzskaiti, izlietotā kurināmā mērīšana un uzskaiti</w:t>
            </w:r>
            <w:r>
              <w:rPr>
                <w:rFonts w:ascii="Times New Roman" w:hAnsi="Times New Roman"/>
                <w:color w:val="000000" w:themeColor="text1"/>
                <w:sz w:val="24"/>
                <w:szCs w:val="24"/>
              </w:rPr>
              <w:t>, saražotās siltumenerģijas uzskaiti, pārbaudītu datus par stacijā izmantoto kurināmo un tā siltumspēju, kā arī veiktu siltumenerģijas lietderīgas izmantošanas pārbaudi. Lai veiktu šo kontroli, tiktu veikts stacijas apsekojums tās atrašanās vietā un atbilstošas dokumentācijas pārbaude.</w:t>
            </w:r>
          </w:p>
          <w:p w:rsidR="00285544" w:rsidRPr="00285544" w:rsidRDefault="007117BC" w:rsidP="00D600A7">
            <w:pPr>
              <w:spacing w:after="0" w:line="240" w:lineRule="auto"/>
              <w:jc w:val="both"/>
              <w:rPr>
                <w:rFonts w:ascii="Times New Roman" w:hAnsi="Times New Roman"/>
                <w:color w:val="000000" w:themeColor="text1"/>
                <w:sz w:val="24"/>
                <w:szCs w:val="24"/>
              </w:rPr>
            </w:pPr>
            <w:r w:rsidRPr="00823B79">
              <w:rPr>
                <w:rFonts w:ascii="Times New Roman" w:hAnsi="Times New Roman"/>
                <w:color w:val="000000" w:themeColor="text1"/>
                <w:sz w:val="24"/>
                <w:szCs w:val="24"/>
              </w:rPr>
              <w:t>Noteikumu projektā tiek definēts Ekonomikas ministrijas darbīb</w:t>
            </w:r>
            <w:r w:rsidR="009B7B38">
              <w:rPr>
                <w:rFonts w:ascii="Times New Roman" w:hAnsi="Times New Roman"/>
                <w:color w:val="000000" w:themeColor="text1"/>
                <w:sz w:val="24"/>
                <w:szCs w:val="24"/>
              </w:rPr>
              <w:t>a</w:t>
            </w:r>
            <w:r w:rsidRPr="00823B79">
              <w:rPr>
                <w:rFonts w:ascii="Times New Roman" w:hAnsi="Times New Roman"/>
                <w:color w:val="000000" w:themeColor="text1"/>
                <w:sz w:val="24"/>
                <w:szCs w:val="24"/>
              </w:rPr>
              <w:t xml:space="preserve"> gadījumos, kad neatkarīgo auditoru veikto auditu </w:t>
            </w:r>
            <w:r w:rsidRPr="006C23BB">
              <w:rPr>
                <w:rFonts w:ascii="Times New Roman" w:hAnsi="Times New Roman"/>
                <w:color w:val="000000" w:themeColor="text1"/>
                <w:sz w:val="24"/>
                <w:szCs w:val="24"/>
              </w:rPr>
              <w:t xml:space="preserve">ietvaros </w:t>
            </w:r>
            <w:r w:rsidRPr="006C23BB">
              <w:rPr>
                <w:rFonts w:ascii="Times New Roman" w:hAnsi="Times New Roman"/>
                <w:color w:val="000000" w:themeColor="text1"/>
                <w:sz w:val="24"/>
                <w:szCs w:val="24"/>
              </w:rPr>
              <w:lastRenderedPageBreak/>
              <w:t xml:space="preserve">konstatēti </w:t>
            </w:r>
            <w:r w:rsidRPr="00285544">
              <w:rPr>
                <w:rFonts w:ascii="Times New Roman" w:hAnsi="Times New Roman"/>
                <w:color w:val="000000" w:themeColor="text1"/>
                <w:sz w:val="24"/>
                <w:szCs w:val="24"/>
              </w:rPr>
              <w:t>pārkāpumi, kā arī nodefinēt attiecīgās sankcijas pārkāpumu konstatēšanas gadījumos.</w:t>
            </w:r>
            <w:r w:rsidR="00285544" w:rsidRPr="00285544">
              <w:rPr>
                <w:rFonts w:ascii="Times New Roman" w:hAnsi="Times New Roman"/>
                <w:color w:val="000000" w:themeColor="text1"/>
                <w:sz w:val="24"/>
                <w:szCs w:val="24"/>
              </w:rPr>
              <w:t xml:space="preserve"> </w:t>
            </w:r>
          </w:p>
          <w:p w:rsidR="006C23BB" w:rsidRPr="001E3A50" w:rsidRDefault="00285544" w:rsidP="00285544">
            <w:pPr>
              <w:spacing w:after="0" w:line="240" w:lineRule="auto"/>
              <w:jc w:val="both"/>
              <w:rPr>
                <w:rFonts w:ascii="Times New Roman" w:hAnsi="Times New Roman"/>
                <w:sz w:val="24"/>
                <w:szCs w:val="24"/>
              </w:rPr>
            </w:pPr>
            <w:r w:rsidRPr="00285544">
              <w:rPr>
                <w:rFonts w:ascii="Times New Roman" w:hAnsi="Times New Roman"/>
                <w:color w:val="000000" w:themeColor="text1"/>
                <w:sz w:val="24"/>
                <w:szCs w:val="24"/>
              </w:rPr>
              <w:t xml:space="preserve">Vienlaikus noteikumu projekts tiek precizēts, nosakot, ka auditu var veikt neatkarīgi auditori, ņemot vērā, ka atbilstoši </w:t>
            </w:r>
            <w:r w:rsidRPr="00285544">
              <w:rPr>
                <w:rFonts w:ascii="Times New Roman" w:hAnsi="Times New Roman"/>
                <w:sz w:val="24"/>
                <w:szCs w:val="24"/>
              </w:rPr>
              <w:t xml:space="preserve"> standartam LVS EN ISO/IEC 17020:2012 "Atbilstības novērtēšana. Prasības dažāda veida institūcijām, kas veic </w:t>
            </w:r>
            <w:r w:rsidRPr="009463B0">
              <w:rPr>
                <w:rFonts w:ascii="Times New Roman" w:hAnsi="Times New Roman"/>
                <w:sz w:val="24"/>
                <w:szCs w:val="24"/>
              </w:rPr>
              <w:t xml:space="preserve">inspekciju" ir iespējama vairāku institūcijas veidu (atkarības veidi A, B un C) akreditācija, </w:t>
            </w:r>
            <w:r w:rsidRPr="001E3A50">
              <w:rPr>
                <w:rFonts w:ascii="Times New Roman" w:hAnsi="Times New Roman"/>
                <w:sz w:val="24"/>
                <w:szCs w:val="24"/>
              </w:rPr>
              <w:t>tādejādi novēršot nevēlamas interpretācijas iespējamību.</w:t>
            </w:r>
          </w:p>
          <w:p w:rsidR="001E3A50" w:rsidRPr="001E3A50" w:rsidRDefault="001E3A50" w:rsidP="001E3A50">
            <w:pPr>
              <w:pStyle w:val="contentstory"/>
              <w:spacing w:before="0" w:beforeAutospacing="0" w:after="0" w:afterAutospacing="0"/>
              <w:rPr>
                <w:rFonts w:ascii="Times New Roman" w:hAnsi="Times New Roman"/>
                <w:color w:val="auto"/>
                <w:sz w:val="24"/>
                <w:szCs w:val="24"/>
              </w:rPr>
            </w:pPr>
            <w:r w:rsidRPr="001E3A50">
              <w:rPr>
                <w:rFonts w:ascii="Times New Roman" w:hAnsi="Times New Roman"/>
                <w:color w:val="auto"/>
                <w:sz w:val="24"/>
                <w:szCs w:val="24"/>
              </w:rPr>
              <w:t xml:space="preserve">AS „Latvenergo” Rīgas TEC-1 un TEC-2, AS „Rīgas siltums” siltumcentrāle „Imanta” un SIA „Juglas jauda,  veido 66% no OIK koģenerācijas komponentes. 2012. gadā atbalsts virs elektroenerģijas tirgus cenas šīm stacijām bija 61,7 </w:t>
            </w:r>
            <w:proofErr w:type="spellStart"/>
            <w:r w:rsidRPr="001E3A50">
              <w:rPr>
                <w:rFonts w:ascii="Times New Roman" w:hAnsi="Times New Roman"/>
                <w:color w:val="auto"/>
                <w:sz w:val="24"/>
                <w:szCs w:val="24"/>
              </w:rPr>
              <w:t>milj</w:t>
            </w:r>
            <w:proofErr w:type="spellEnd"/>
            <w:r w:rsidRPr="001E3A50">
              <w:rPr>
                <w:rFonts w:ascii="Times New Roman" w:hAnsi="Times New Roman"/>
                <w:color w:val="auto"/>
                <w:sz w:val="24"/>
                <w:szCs w:val="24"/>
              </w:rPr>
              <w:t xml:space="preserve">. Ls, </w:t>
            </w:r>
            <w:proofErr w:type="spellStart"/>
            <w:r w:rsidRPr="001E3A50">
              <w:rPr>
                <w:rFonts w:ascii="Times New Roman" w:hAnsi="Times New Roman"/>
                <w:color w:val="auto"/>
                <w:sz w:val="24"/>
                <w:szCs w:val="24"/>
              </w:rPr>
              <w:t>t.i</w:t>
            </w:r>
            <w:proofErr w:type="spellEnd"/>
            <w:r w:rsidRPr="001E3A50">
              <w:rPr>
                <w:rFonts w:ascii="Times New Roman" w:hAnsi="Times New Roman"/>
                <w:color w:val="auto"/>
                <w:sz w:val="24"/>
                <w:szCs w:val="24"/>
              </w:rPr>
              <w:t>. 46% no visas atbalsta summas virs tirgus cenas. Visas stacijas atrodas Rīgā, uz kuras siltumenerģijas tarifiem atbalsta izmaiņas ietekmi neatstāj. Līdz ar to ir veikti grozījumi Ministru kabineta 2009. gada 10. marta noteikumu Nr.221 „Noteikumi par elektroenerģijas ražošanu un cenu noteikšanu, ražojot elektroenerģiju koģenerācijā”” 52.punktā, samazinot atbalsta intensitāti.</w:t>
            </w:r>
          </w:p>
          <w:p w:rsidR="001E3A50" w:rsidRPr="001E3A50" w:rsidRDefault="001E3A50" w:rsidP="001E3A50">
            <w:pPr>
              <w:tabs>
                <w:tab w:val="left" w:pos="851"/>
              </w:tabs>
              <w:spacing w:after="0" w:line="240" w:lineRule="auto"/>
              <w:jc w:val="both"/>
              <w:rPr>
                <w:rFonts w:ascii="Times New Roman" w:hAnsi="Times New Roman"/>
                <w:sz w:val="24"/>
                <w:szCs w:val="24"/>
              </w:rPr>
            </w:pPr>
            <w:r w:rsidRPr="001E3A50">
              <w:rPr>
                <w:rFonts w:ascii="Times New Roman" w:hAnsi="Times New Roman"/>
                <w:sz w:val="24"/>
                <w:szCs w:val="24"/>
              </w:rPr>
              <w:t xml:space="preserve">Priekšlikuma būtība ir veikt attiecīgās izmaiņas ar nosacījumu, ka tiek panākts obligātās iepirkuma komponentes samazinājums un vienlaicīgi tiktu līdzsvarotas staciju īpašnieka un elektroenerģijas lietotāja intereses – elektroenerģijas ražošanai nelabvēlīgos tirgus apstākļos stacijas īpašnieks spētu atgūt vismaz daļu no pastāvīgajām izmaksām, bet labvēlīgos apstākļos samazinātos slogs elektroenerģijas lietotājiem, jo uz tiem nebūs uzlikts slogs, kas rodas enerģijas ražošanas rezultātā. </w:t>
            </w:r>
          </w:p>
          <w:p w:rsidR="001E3A50" w:rsidRDefault="001E3A50" w:rsidP="001E3A50">
            <w:pPr>
              <w:tabs>
                <w:tab w:val="left" w:pos="851"/>
              </w:tabs>
              <w:spacing w:after="0" w:line="240" w:lineRule="auto"/>
              <w:jc w:val="both"/>
              <w:rPr>
                <w:rFonts w:ascii="Times New Roman" w:hAnsi="Times New Roman"/>
                <w:sz w:val="24"/>
                <w:szCs w:val="24"/>
              </w:rPr>
            </w:pPr>
            <w:r w:rsidRPr="001E3A50">
              <w:rPr>
                <w:rFonts w:ascii="Times New Roman" w:hAnsi="Times New Roman"/>
                <w:sz w:val="24"/>
                <w:szCs w:val="24"/>
              </w:rPr>
              <w:t xml:space="preserve">Pašlaik iepriekš minētās stacijas saņem atbalstu gan fiksēta jaudas maksājuma, gan enerģijas komponentes veidā. Priekšlikums izmaiņām noteikumu projektā paredz pilnīgi atteikties no enerģijas komponentes atbalsta mehānisma, saglabājot atbalstu tikai </w:t>
            </w:r>
            <w:r w:rsidRPr="001E3A50">
              <w:rPr>
                <w:rFonts w:ascii="Times New Roman" w:hAnsi="Times New Roman"/>
                <w:color w:val="000000"/>
                <w:sz w:val="24"/>
                <w:szCs w:val="24"/>
              </w:rPr>
              <w:t xml:space="preserve">MK noteikumos Nr.221 </w:t>
            </w:r>
            <w:r w:rsidRPr="001E3A50">
              <w:rPr>
                <w:rFonts w:ascii="Times New Roman" w:hAnsi="Times New Roman"/>
                <w:sz w:val="24"/>
                <w:szCs w:val="24"/>
              </w:rPr>
              <w:t xml:space="preserve">iekļautās jaudas komponente formā, vienlaikus izvirzot nosacījumu, ka uzstādītā jauda tiek izmantota vismaz 1200 stundas gadā. </w:t>
            </w:r>
          </w:p>
          <w:p w:rsidR="001E3A50" w:rsidRPr="001E3A50" w:rsidRDefault="001E3A50" w:rsidP="001E3A50">
            <w:pPr>
              <w:tabs>
                <w:tab w:val="left" w:pos="851"/>
              </w:tabs>
              <w:spacing w:after="0" w:line="240" w:lineRule="auto"/>
              <w:jc w:val="both"/>
              <w:rPr>
                <w:rFonts w:ascii="Times New Roman" w:hAnsi="Times New Roman"/>
                <w:color w:val="000000"/>
                <w:sz w:val="24"/>
                <w:szCs w:val="24"/>
              </w:rPr>
            </w:pPr>
            <w:r w:rsidRPr="001E3A50">
              <w:rPr>
                <w:rFonts w:ascii="Times New Roman" w:hAnsi="Times New Roman"/>
                <w:sz w:val="24"/>
                <w:szCs w:val="24"/>
              </w:rPr>
              <w:t xml:space="preserve">Priekšlikums paredz, ka jaudas komponente </w:t>
            </w:r>
            <w:r w:rsidRPr="001E3A50">
              <w:rPr>
                <w:rFonts w:ascii="Times New Roman" w:hAnsi="Times New Roman"/>
                <w:color w:val="000000"/>
                <w:sz w:val="24"/>
                <w:szCs w:val="24"/>
              </w:rPr>
              <w:t>koģenerācijas stacijām par vienu uzstādīto elektrisko megavatu gadā (LVL/MW) veido šādā sadalījumā pēc stacijā uzstādītās elektriskās jaudas:</w:t>
            </w:r>
          </w:p>
          <w:p w:rsidR="001E3A50" w:rsidRPr="001E3A50" w:rsidRDefault="001E3A50" w:rsidP="001E3A50">
            <w:pPr>
              <w:numPr>
                <w:ilvl w:val="0"/>
                <w:numId w:val="14"/>
              </w:numPr>
              <w:tabs>
                <w:tab w:val="left" w:pos="284"/>
                <w:tab w:val="left" w:pos="851"/>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E3A50">
              <w:rPr>
                <w:rFonts w:ascii="Times New Roman" w:hAnsi="Times New Roman"/>
                <w:color w:val="000000"/>
                <w:sz w:val="24"/>
                <w:szCs w:val="24"/>
              </w:rPr>
              <w:t>lielāka par četriem MW (ieskaitot), bet mazāka par 20 MW - 107 900 LVL;</w:t>
            </w:r>
          </w:p>
          <w:p w:rsidR="001E3A50" w:rsidRPr="001E3A50" w:rsidRDefault="001E3A50" w:rsidP="001E3A50">
            <w:pPr>
              <w:numPr>
                <w:ilvl w:val="0"/>
                <w:numId w:val="14"/>
              </w:numPr>
              <w:tabs>
                <w:tab w:val="left" w:pos="284"/>
                <w:tab w:val="left" w:pos="851"/>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E3A50">
              <w:rPr>
                <w:rFonts w:ascii="Times New Roman" w:hAnsi="Times New Roman"/>
                <w:color w:val="000000"/>
                <w:sz w:val="24"/>
                <w:szCs w:val="24"/>
              </w:rPr>
              <w:t>lielāka par 20 MW (ieskaitot),  bet mazāka par 100 MW - 83 800 LVL;</w:t>
            </w:r>
          </w:p>
          <w:p w:rsidR="001E3A50" w:rsidRPr="001E3A50" w:rsidRDefault="001E3A50" w:rsidP="001E3A50">
            <w:pPr>
              <w:numPr>
                <w:ilvl w:val="0"/>
                <w:numId w:val="14"/>
              </w:numPr>
              <w:tabs>
                <w:tab w:val="left" w:pos="284"/>
                <w:tab w:val="left" w:pos="851"/>
              </w:tabs>
              <w:suppressAutoHyphens/>
              <w:autoSpaceDE w:val="0"/>
              <w:autoSpaceDN w:val="0"/>
              <w:adjustRightInd w:val="0"/>
              <w:spacing w:after="0" w:line="240" w:lineRule="auto"/>
              <w:ind w:left="0" w:firstLine="567"/>
              <w:jc w:val="both"/>
              <w:rPr>
                <w:rFonts w:ascii="Times New Roman" w:hAnsi="Times New Roman"/>
                <w:color w:val="000000"/>
                <w:sz w:val="24"/>
                <w:szCs w:val="24"/>
              </w:rPr>
            </w:pPr>
            <w:r w:rsidRPr="001E3A50">
              <w:rPr>
                <w:rFonts w:ascii="Times New Roman" w:hAnsi="Times New Roman"/>
                <w:color w:val="000000"/>
                <w:sz w:val="24"/>
                <w:szCs w:val="24"/>
              </w:rPr>
              <w:t>lielāka par 100 MW (ieskaitot) - 71 900 LVL.</w:t>
            </w:r>
          </w:p>
          <w:p w:rsidR="001E3A50" w:rsidRPr="001E3A50" w:rsidRDefault="001E3A50" w:rsidP="001E3A50">
            <w:pPr>
              <w:tabs>
                <w:tab w:val="left" w:pos="851"/>
              </w:tabs>
              <w:autoSpaceDE w:val="0"/>
              <w:autoSpaceDN w:val="0"/>
              <w:adjustRightInd w:val="0"/>
              <w:spacing w:after="0" w:line="240" w:lineRule="auto"/>
              <w:jc w:val="both"/>
              <w:rPr>
                <w:rFonts w:ascii="Times New Roman" w:hAnsi="Times New Roman"/>
                <w:color w:val="000000"/>
                <w:sz w:val="24"/>
                <w:szCs w:val="24"/>
              </w:rPr>
            </w:pPr>
            <w:r w:rsidRPr="001E3A50">
              <w:rPr>
                <w:rFonts w:ascii="Times New Roman" w:hAnsi="Times New Roman"/>
                <w:sz w:val="24"/>
                <w:szCs w:val="24"/>
              </w:rPr>
              <w:t xml:space="preserve">Tāpat tiek sniegts priekšlikums, ka jaudas komponentei tiek veiktas korekcijas atkarībā no pārdotās elektroenerģijas apjoma, biržas </w:t>
            </w:r>
            <w:r w:rsidRPr="001E3A50">
              <w:rPr>
                <w:rFonts w:ascii="Times New Roman" w:hAnsi="Times New Roman"/>
                <w:i/>
                <w:iCs/>
                <w:sz w:val="24"/>
                <w:szCs w:val="24"/>
              </w:rPr>
              <w:t>spot</w:t>
            </w:r>
            <w:r w:rsidRPr="001E3A50">
              <w:rPr>
                <w:rFonts w:ascii="Times New Roman" w:hAnsi="Times New Roman"/>
                <w:sz w:val="24"/>
                <w:szCs w:val="24"/>
              </w:rPr>
              <w:t xml:space="preserve"> cenas, koģenerācijas mainīgajām izmaksām. Kā arī priekšlikums paredz, ka jaudas komponente tiek samazināta, ja pēc nostrādātajām 1200 stundām elektroenerģijas biržas </w:t>
            </w:r>
            <w:r w:rsidRPr="001E3A50">
              <w:rPr>
                <w:rFonts w:ascii="Times New Roman" w:hAnsi="Times New Roman"/>
                <w:i/>
                <w:iCs/>
                <w:sz w:val="24"/>
                <w:szCs w:val="24"/>
              </w:rPr>
              <w:t>spot</w:t>
            </w:r>
            <w:r w:rsidRPr="001E3A50">
              <w:rPr>
                <w:rFonts w:ascii="Times New Roman" w:hAnsi="Times New Roman"/>
                <w:sz w:val="24"/>
                <w:szCs w:val="24"/>
              </w:rPr>
              <w:t xml:space="preserve"> cena pārsniedz mainīgās izmaksas. Šāds solis nodrošinās </w:t>
            </w:r>
            <w:r w:rsidRPr="001E3A50">
              <w:rPr>
                <w:rFonts w:ascii="Times New Roman" w:hAnsi="Times New Roman"/>
                <w:sz w:val="24"/>
                <w:szCs w:val="24"/>
              </w:rPr>
              <w:lastRenderedPageBreak/>
              <w:t xml:space="preserve">elektroenerģijas ražošanā nepieciešamā dabasgāzes apjoma samazināšanu un neveicinās elektroenerģijas ražošanu nelabvēlīgos elektroenerģijas un dabasgāzes tirgus apstākļos. </w:t>
            </w:r>
          </w:p>
          <w:p w:rsidR="001E3A50" w:rsidRPr="001E3A50" w:rsidRDefault="001E3A50" w:rsidP="001E3A50">
            <w:pPr>
              <w:tabs>
                <w:tab w:val="left" w:pos="851"/>
              </w:tabs>
              <w:spacing w:after="0" w:line="240" w:lineRule="auto"/>
              <w:jc w:val="both"/>
              <w:rPr>
                <w:rFonts w:ascii="Times New Roman" w:hAnsi="Times New Roman"/>
                <w:color w:val="000000"/>
                <w:sz w:val="24"/>
                <w:szCs w:val="24"/>
              </w:rPr>
            </w:pPr>
            <w:r w:rsidRPr="001E3A50">
              <w:rPr>
                <w:rFonts w:ascii="Times New Roman" w:hAnsi="Times New Roman"/>
                <w:sz w:val="24"/>
                <w:szCs w:val="24"/>
              </w:rPr>
              <w:t xml:space="preserve">Pēc EM provizoriskām prognozēm priekšlikuma rezultātā piedāvātās izmaiņas </w:t>
            </w:r>
            <w:r w:rsidRPr="001E3A50">
              <w:rPr>
                <w:rFonts w:ascii="Times New Roman" w:hAnsi="Times New Roman"/>
                <w:color w:val="000000"/>
                <w:sz w:val="24"/>
                <w:szCs w:val="24"/>
              </w:rPr>
              <w:t xml:space="preserve">samazinās obligātā iepirkuma izmaksājamās atbalsta summas apmēru, sākot ar 2014. gadu aptuveni 20 </w:t>
            </w:r>
            <w:proofErr w:type="spellStart"/>
            <w:r w:rsidRPr="001E3A50">
              <w:rPr>
                <w:rFonts w:ascii="Times New Roman" w:hAnsi="Times New Roman"/>
                <w:color w:val="000000"/>
                <w:sz w:val="24"/>
                <w:szCs w:val="24"/>
              </w:rPr>
              <w:t>milj</w:t>
            </w:r>
            <w:proofErr w:type="spellEnd"/>
            <w:r w:rsidRPr="001E3A50">
              <w:rPr>
                <w:rFonts w:ascii="Times New Roman" w:hAnsi="Times New Roman"/>
                <w:color w:val="000000"/>
                <w:sz w:val="24"/>
                <w:szCs w:val="24"/>
              </w:rPr>
              <w:t>. LVL apjomā katru gadu, kamēr minētas k</w:t>
            </w:r>
            <w:r w:rsidRPr="001E3A50">
              <w:rPr>
                <w:rFonts w:ascii="Times New Roman" w:hAnsi="Times New Roman"/>
                <w:sz w:val="24"/>
                <w:szCs w:val="24"/>
              </w:rPr>
              <w:t>oģenerācijas stacijas ar uzstādīto elektrisko jaudu virs četriem megavatiem saņems atbalstu obligātā iepirkuma ietvaros</w:t>
            </w:r>
            <w:r w:rsidRPr="001E3A50">
              <w:rPr>
                <w:rFonts w:ascii="Times New Roman" w:hAnsi="Times New Roman"/>
                <w:color w:val="000000"/>
                <w:sz w:val="24"/>
                <w:szCs w:val="24"/>
              </w:rPr>
              <w:t>.</w:t>
            </w:r>
          </w:p>
          <w:p w:rsidR="003F0D9F" w:rsidRPr="003F0D9F" w:rsidRDefault="003F0D9F" w:rsidP="001E3A50">
            <w:pPr>
              <w:spacing w:after="0" w:line="240" w:lineRule="auto"/>
              <w:jc w:val="both"/>
              <w:rPr>
                <w:rFonts w:ascii="Times New Roman" w:hAnsi="Times New Roman"/>
                <w:color w:val="000000" w:themeColor="text1"/>
                <w:sz w:val="24"/>
                <w:szCs w:val="24"/>
              </w:rPr>
            </w:pPr>
            <w:r w:rsidRPr="001E3A50">
              <w:rPr>
                <w:rFonts w:ascii="Times New Roman" w:hAnsi="Times New Roman"/>
                <w:color w:val="000000" w:themeColor="text1"/>
                <w:sz w:val="24"/>
                <w:szCs w:val="24"/>
              </w:rPr>
              <w:t>Vienlaikus līdzvērtīgā situācijā, ja būtu komersants būtu izvēlējies MK noteikumu Nr.221 55.2. apakšpunktā iekļauto atbalsta aprēķina formu, tad atbalsts</w:t>
            </w:r>
            <w:r w:rsidRPr="003F0D9F">
              <w:rPr>
                <w:rFonts w:ascii="Times New Roman" w:hAnsi="Times New Roman"/>
                <w:color w:val="000000" w:themeColor="text1"/>
                <w:sz w:val="24"/>
                <w:szCs w:val="24"/>
              </w:rPr>
              <w:t xml:space="preserve"> būtu krietni lielāks un veidotu 95712 LVL/</w:t>
            </w:r>
            <w:r>
              <w:rPr>
                <w:rFonts w:ascii="Times New Roman" w:hAnsi="Times New Roman"/>
                <w:color w:val="000000" w:themeColor="text1"/>
                <w:sz w:val="24"/>
                <w:szCs w:val="24"/>
              </w:rPr>
              <w:t>MW mēnesī</w:t>
            </w:r>
            <w:r w:rsidRPr="003F0D9F">
              <w:rPr>
                <w:rFonts w:ascii="Times New Roman" w:hAnsi="Times New Roman"/>
                <w:color w:val="000000" w:themeColor="text1"/>
                <w:sz w:val="24"/>
                <w:szCs w:val="24"/>
              </w:rPr>
              <w:t xml:space="preserve"> par koģenerācijas elektrostacijā vai šīs elektrostacijas koģenerācijas iekārtā uzstādīto elektrisko jaudu.  </w:t>
            </w:r>
          </w:p>
          <w:p w:rsidR="00F95F9B" w:rsidRDefault="00E4043B" w:rsidP="001B0A96">
            <w:pPr>
              <w:spacing w:after="0" w:line="240" w:lineRule="auto"/>
              <w:jc w:val="both"/>
              <w:rPr>
                <w:rFonts w:ascii="Times New Roman" w:hAnsi="Times New Roman"/>
                <w:sz w:val="24"/>
                <w:szCs w:val="24"/>
              </w:rPr>
            </w:pPr>
            <w:r w:rsidRPr="003F0D9F">
              <w:rPr>
                <w:rFonts w:ascii="Times New Roman" w:hAnsi="Times New Roman"/>
                <w:color w:val="000000" w:themeColor="text1"/>
                <w:sz w:val="24"/>
                <w:szCs w:val="24"/>
              </w:rPr>
              <w:t>Aprēķinātajā tarifu projektā ietver ienākumus par pārdoto elektroenerģijas pārpalikumu,</w:t>
            </w:r>
            <w:r w:rsidRPr="00E4043B">
              <w:rPr>
                <w:rFonts w:ascii="Times New Roman" w:hAnsi="Times New Roman"/>
                <w:sz w:val="24"/>
                <w:szCs w:val="24"/>
              </w:rPr>
              <w:t xml:space="preserve"> izmantojot koģenerācijas stacijai noteikto iepirkuma tarifu vai vienošanās cenu. Siltumenerģijas tarifu projektu aprēķina tā, lai kopējie ienākumi no elektroenerģijas un siltumenerģijas pārdošanas nepārsniedz metodikā noteiktos rentabilitātes rādītājus: noteikto iekšējās peļņas normas vērtību jaunām koģenerācijas stacijām un noteikto </w:t>
            </w:r>
            <w:proofErr w:type="spellStart"/>
            <w:r w:rsidRPr="00E4043B">
              <w:rPr>
                <w:rFonts w:ascii="Times New Roman" w:hAnsi="Times New Roman"/>
                <w:sz w:val="24"/>
                <w:szCs w:val="24"/>
              </w:rPr>
              <w:t>kopkapitāla</w:t>
            </w:r>
            <w:proofErr w:type="spellEnd"/>
            <w:r w:rsidRPr="00E4043B">
              <w:rPr>
                <w:rFonts w:ascii="Times New Roman" w:hAnsi="Times New Roman"/>
                <w:sz w:val="24"/>
                <w:szCs w:val="24"/>
              </w:rPr>
              <w:t xml:space="preserve"> rentabilitātes vērtību esošām koģenerācijas stacijām. Koģenerācijas stacijā saražotās siltumenerģijas tarifs nedrīkst būt augstāks par siltumenerģijas cenas etalonu.</w:t>
            </w:r>
          </w:p>
          <w:p w:rsidR="006A1801" w:rsidRDefault="006A1801" w:rsidP="006A1801">
            <w:pPr>
              <w:pStyle w:val="naiskr"/>
              <w:spacing w:before="0" w:after="0"/>
              <w:ind w:hanging="5"/>
              <w:jc w:val="both"/>
              <w:rPr>
                <w:color w:val="000000"/>
              </w:rPr>
            </w:pPr>
            <w:r w:rsidRPr="009827CF">
              <w:t xml:space="preserve">Šis projekts paredz aizstāt attiecīgajā normatīvajā aktā latus ar </w:t>
            </w:r>
            <w:proofErr w:type="spellStart"/>
            <w:r w:rsidRPr="009827CF">
              <w:rPr>
                <w:i/>
              </w:rPr>
              <w:t>euro</w:t>
            </w:r>
            <w:proofErr w:type="spellEnd"/>
            <w:r w:rsidRPr="009827CF">
              <w:t xml:space="preserve"> </w:t>
            </w:r>
            <w:r w:rsidRPr="002B5021">
              <w:t xml:space="preserve">atbilstoši </w:t>
            </w:r>
            <w:proofErr w:type="spellStart"/>
            <w:r w:rsidRPr="002B5021">
              <w:rPr>
                <w:i/>
                <w:color w:val="000000"/>
              </w:rPr>
              <w:t>Euro</w:t>
            </w:r>
            <w:proofErr w:type="spellEnd"/>
            <w:r w:rsidRPr="002B5021">
              <w:rPr>
                <w:color w:val="000000"/>
              </w:rPr>
              <w:t xml:space="preserve"> ieviešanas kārtības likuma 6.</w:t>
            </w:r>
            <w:r>
              <w:rPr>
                <w:color w:val="000000"/>
              </w:rPr>
              <w:t> </w:t>
            </w:r>
            <w:r w:rsidRPr="002B5021">
              <w:rPr>
                <w:color w:val="000000"/>
              </w:rPr>
              <w:t>pantam, kas balstīts uz Eiropas Savienības Padomes noteikto valūtas maiņas kursu un matemātiskās noapaļošanas principiem.</w:t>
            </w:r>
            <w:r>
              <w:rPr>
                <w:color w:val="000000"/>
              </w:rPr>
              <w:t xml:space="preserve"> </w:t>
            </w:r>
          </w:p>
          <w:p w:rsidR="006A1801" w:rsidRPr="006A1801" w:rsidRDefault="006A1801" w:rsidP="006A1801">
            <w:pPr>
              <w:pStyle w:val="naiskr"/>
              <w:spacing w:before="0" w:after="0"/>
              <w:ind w:hanging="5"/>
              <w:jc w:val="both"/>
              <w:rPr>
                <w:rFonts w:eastAsia="Calibri"/>
                <w:color w:val="000000"/>
                <w:lang w:eastAsia="en-US"/>
              </w:rPr>
            </w:pPr>
            <w:r w:rsidRPr="002B5021">
              <w:rPr>
                <w:rFonts w:eastAsia="Calibri"/>
                <w:color w:val="000000"/>
                <w:lang w:eastAsia="en-US"/>
              </w:rPr>
              <w:t xml:space="preserve">Grozītās tiesību normas </w:t>
            </w:r>
            <w:proofErr w:type="spellStart"/>
            <w:r w:rsidRPr="002B5021">
              <w:rPr>
                <w:rFonts w:eastAsia="Calibri"/>
                <w:i/>
                <w:color w:val="000000"/>
                <w:lang w:eastAsia="en-US"/>
              </w:rPr>
              <w:t>euro</w:t>
            </w:r>
            <w:proofErr w:type="spellEnd"/>
            <w:r w:rsidRPr="002B5021">
              <w:rPr>
                <w:rFonts w:eastAsia="Calibri"/>
                <w:i/>
                <w:color w:val="000000"/>
                <w:lang w:eastAsia="en-US"/>
              </w:rPr>
              <w:t xml:space="preserve"> </w:t>
            </w:r>
            <w:r w:rsidRPr="002B5021">
              <w:rPr>
                <w:rFonts w:eastAsia="Calibri"/>
                <w:color w:val="000000"/>
                <w:lang w:eastAsia="en-US"/>
              </w:rPr>
              <w:t xml:space="preserve">valūtā nav personām nelabvēlīgākas </w:t>
            </w:r>
            <w:r w:rsidRPr="006A1801">
              <w:rPr>
                <w:rFonts w:eastAsia="Calibri"/>
                <w:color w:val="000000"/>
                <w:lang w:eastAsia="en-US"/>
              </w:rPr>
              <w:t>par sākotnējo tiesību normu latos un nerada vērā ņemamu negatīvu ietekmi uz valsts budžetu.</w:t>
            </w:r>
          </w:p>
          <w:p w:rsidR="006A1801" w:rsidRPr="006A1801" w:rsidRDefault="006A1801" w:rsidP="006A1801">
            <w:pPr>
              <w:pStyle w:val="naiskr"/>
              <w:spacing w:before="0" w:after="0"/>
              <w:ind w:hanging="5"/>
              <w:jc w:val="both"/>
              <w:rPr>
                <w:rFonts w:eastAsia="Calibri"/>
                <w:color w:val="000000"/>
                <w:lang w:eastAsia="en-US"/>
              </w:rPr>
            </w:pPr>
            <w:r w:rsidRPr="006A1801">
              <w:rPr>
                <w:color w:val="000000"/>
              </w:rPr>
              <w:t>Izmaiņas MK noteikumu Nr.221 pārējos punkt</w:t>
            </w:r>
            <w:r w:rsidR="00152A19">
              <w:rPr>
                <w:color w:val="000000"/>
              </w:rPr>
              <w:t>o</w:t>
            </w:r>
            <w:r w:rsidRPr="006A1801">
              <w:rPr>
                <w:color w:val="000000"/>
              </w:rPr>
              <w:t xml:space="preserve">s, </w:t>
            </w:r>
            <w:r w:rsidRPr="006A1801">
              <w:t xml:space="preserve">aizstājot tajā latus ar </w:t>
            </w:r>
            <w:proofErr w:type="spellStart"/>
            <w:r w:rsidRPr="006A1801">
              <w:rPr>
                <w:i/>
              </w:rPr>
              <w:t>euro</w:t>
            </w:r>
            <w:proofErr w:type="spellEnd"/>
            <w:r w:rsidRPr="006A1801">
              <w:rPr>
                <w:i/>
              </w:rPr>
              <w:t xml:space="preserve"> </w:t>
            </w:r>
            <w:r w:rsidRPr="006A1801">
              <w:t>ir</w:t>
            </w:r>
            <w:r w:rsidRPr="006A1801">
              <w:rPr>
                <w:i/>
              </w:rPr>
              <w:t xml:space="preserve"> </w:t>
            </w:r>
            <w:r w:rsidRPr="006A1801">
              <w:t>iekļautas</w:t>
            </w:r>
            <w:r w:rsidRPr="006A1801">
              <w:rPr>
                <w:color w:val="000000"/>
              </w:rPr>
              <w:t xml:space="preserve"> Ministru kabineta noteikumu projektā „Grozījumi Ministru kabineta 2009. gada 10. marta noteikumiemNr.221 „Noteikumi par elektroenerģijas ražošanu un cenu noteikšanu, ražojot elektroenerģiju koģenerācijā”” (VSS-1320), kas izsludināts </w:t>
            </w:r>
            <w:proofErr w:type="spellStart"/>
            <w:r w:rsidRPr="006A1801">
              <w:rPr>
                <w:color w:val="000000"/>
              </w:rPr>
              <w:t>š.g</w:t>
            </w:r>
            <w:proofErr w:type="spellEnd"/>
            <w:r w:rsidRPr="006A1801">
              <w:rPr>
                <w:color w:val="000000"/>
              </w:rPr>
              <w:t>. 11. jūlija Valsts sekretāru sanāksmē</w:t>
            </w:r>
            <w:r w:rsidR="00AA1B55">
              <w:rPr>
                <w:color w:val="000000"/>
              </w:rPr>
              <w:t>.</w:t>
            </w:r>
          </w:p>
          <w:p w:rsidR="006A1801" w:rsidRPr="0024569C" w:rsidRDefault="006A1801" w:rsidP="006A1801">
            <w:pPr>
              <w:spacing w:after="0" w:line="240" w:lineRule="auto"/>
              <w:jc w:val="both"/>
              <w:rPr>
                <w:b/>
                <w:color w:val="000000" w:themeColor="text1"/>
              </w:rPr>
            </w:pPr>
            <w:r w:rsidRPr="006A1801">
              <w:rPr>
                <w:rFonts w:ascii="Times New Roman" w:hAnsi="Times New Roman"/>
                <w:color w:val="000000"/>
                <w:sz w:val="24"/>
                <w:szCs w:val="24"/>
              </w:rPr>
              <w:t xml:space="preserve">Izmaiņas MK noteikumu Nr.221 52. punkta iekļautajā tiek veikta nolūkā to sasaistīt ar  Eiropas Savienības Padomes noteikto valūtas maiņas kursu „0,702804”, lai formulu aprēķina rezultātā nesamazinātos cenas ekvivalents </w:t>
            </w:r>
            <w:proofErr w:type="spellStart"/>
            <w:r w:rsidRPr="006A1801">
              <w:rPr>
                <w:rFonts w:ascii="Times New Roman" w:hAnsi="Times New Roman"/>
                <w:i/>
                <w:color w:val="000000"/>
                <w:sz w:val="24"/>
                <w:szCs w:val="24"/>
              </w:rPr>
              <w:t>euro</w:t>
            </w:r>
            <w:proofErr w:type="spellEnd"/>
            <w:r w:rsidRPr="006A1801">
              <w:rPr>
                <w:rFonts w:ascii="Times New Roman" w:hAnsi="Times New Roman"/>
                <w:color w:val="000000"/>
                <w:sz w:val="24"/>
                <w:szCs w:val="24"/>
              </w:rPr>
              <w:t xml:space="preserve"> valūtā.</w:t>
            </w:r>
          </w:p>
        </w:tc>
      </w:tr>
      <w:tr w:rsidR="0024569C" w:rsidRPr="0024569C" w:rsidTr="007E4D83">
        <w:trPr>
          <w:trHeight w:val="476"/>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lastRenderedPageBreak/>
              <w:t>5.</w:t>
            </w:r>
          </w:p>
        </w:tc>
        <w:tc>
          <w:tcPr>
            <w:tcW w:w="2716" w:type="dxa"/>
          </w:tcPr>
          <w:p w:rsidR="00CE44D6" w:rsidRPr="0024569C" w:rsidRDefault="00CE44D6" w:rsidP="00494B41">
            <w:pPr>
              <w:pStyle w:val="naiskr"/>
              <w:spacing w:before="0" w:after="0"/>
              <w:rPr>
                <w:color w:val="000000" w:themeColor="text1"/>
              </w:rPr>
            </w:pPr>
            <w:r w:rsidRPr="0024569C">
              <w:rPr>
                <w:color w:val="000000" w:themeColor="text1"/>
              </w:rPr>
              <w:t>Projekta izstrādē iesaistītās institūcijas</w:t>
            </w:r>
          </w:p>
        </w:tc>
        <w:tc>
          <w:tcPr>
            <w:tcW w:w="6459" w:type="dxa"/>
          </w:tcPr>
          <w:p w:rsidR="00CE44D6" w:rsidRPr="0024569C" w:rsidRDefault="000C24C7" w:rsidP="00494B4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Nav attiecināms</w:t>
            </w:r>
            <w:r w:rsidR="00DC2BF2">
              <w:rPr>
                <w:rFonts w:ascii="Times New Roman" w:hAnsi="Times New Roman"/>
                <w:color w:val="000000" w:themeColor="text1"/>
                <w:sz w:val="24"/>
                <w:szCs w:val="24"/>
              </w:rPr>
              <w:t>.</w:t>
            </w:r>
          </w:p>
        </w:tc>
      </w:tr>
      <w:tr w:rsidR="0024569C" w:rsidRPr="0024569C" w:rsidTr="007E4D83">
        <w:trPr>
          <w:trHeight w:val="410"/>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6.</w:t>
            </w:r>
          </w:p>
        </w:tc>
        <w:tc>
          <w:tcPr>
            <w:tcW w:w="2716" w:type="dxa"/>
          </w:tcPr>
          <w:p w:rsidR="00CE44D6" w:rsidRPr="0024569C" w:rsidRDefault="00CE44D6" w:rsidP="00494B41">
            <w:pPr>
              <w:pStyle w:val="naiskr"/>
              <w:spacing w:before="0" w:after="0"/>
              <w:rPr>
                <w:i/>
                <w:color w:val="000000" w:themeColor="text1"/>
                <w:highlight w:val="yellow"/>
              </w:rPr>
            </w:pPr>
            <w:r w:rsidRPr="0024569C">
              <w:rPr>
                <w:color w:val="000000" w:themeColor="text1"/>
              </w:rPr>
              <w:t>Iemesli, kādēļ netika nodrošināta sabiedrības līdzdalība</w:t>
            </w:r>
          </w:p>
        </w:tc>
        <w:tc>
          <w:tcPr>
            <w:tcW w:w="6459" w:type="dxa"/>
          </w:tcPr>
          <w:p w:rsidR="00CE44D6" w:rsidRPr="00162A0E" w:rsidRDefault="00036A9B" w:rsidP="00162A0E">
            <w:pPr>
              <w:spacing w:after="0" w:line="240" w:lineRule="auto"/>
              <w:ind w:right="79"/>
              <w:jc w:val="both"/>
              <w:rPr>
                <w:rFonts w:ascii="Times New Roman" w:eastAsia="Times New Roman" w:hAnsi="Times New Roman"/>
                <w:color w:val="000000" w:themeColor="text1"/>
                <w:sz w:val="24"/>
                <w:szCs w:val="24"/>
                <w:lang w:eastAsia="lv-LV"/>
              </w:rPr>
            </w:pPr>
            <w:r w:rsidRPr="00162A0E">
              <w:rPr>
                <w:rFonts w:ascii="Times New Roman" w:eastAsia="Times New Roman" w:hAnsi="Times New Roman"/>
                <w:color w:val="000000" w:themeColor="text1"/>
                <w:sz w:val="24"/>
                <w:szCs w:val="24"/>
                <w:lang w:eastAsia="lv-LV"/>
              </w:rPr>
              <w:t>Sabiedrība savu viedokli var</w:t>
            </w:r>
            <w:r w:rsidR="00162A0E" w:rsidRPr="00162A0E">
              <w:rPr>
                <w:rFonts w:ascii="Times New Roman" w:eastAsia="Times New Roman" w:hAnsi="Times New Roman"/>
                <w:color w:val="000000" w:themeColor="text1"/>
                <w:sz w:val="24"/>
                <w:szCs w:val="24"/>
                <w:lang w:eastAsia="lv-LV"/>
              </w:rPr>
              <w:t>ēja</w:t>
            </w:r>
            <w:r w:rsidRPr="00162A0E">
              <w:rPr>
                <w:rFonts w:ascii="Times New Roman" w:eastAsia="Times New Roman" w:hAnsi="Times New Roman"/>
                <w:color w:val="000000" w:themeColor="text1"/>
                <w:sz w:val="24"/>
                <w:szCs w:val="24"/>
                <w:lang w:eastAsia="lv-LV"/>
              </w:rPr>
              <w:t xml:space="preserve"> izteikt pēc projekta izsludināšanas 201</w:t>
            </w:r>
            <w:r w:rsidR="009E2E00" w:rsidRPr="00162A0E">
              <w:rPr>
                <w:rFonts w:ascii="Times New Roman" w:eastAsia="Times New Roman" w:hAnsi="Times New Roman"/>
                <w:color w:val="000000" w:themeColor="text1"/>
                <w:sz w:val="24"/>
                <w:szCs w:val="24"/>
                <w:lang w:eastAsia="lv-LV"/>
              </w:rPr>
              <w:t>3</w:t>
            </w:r>
            <w:r w:rsidRPr="00162A0E">
              <w:rPr>
                <w:rFonts w:ascii="Times New Roman" w:eastAsia="Times New Roman" w:hAnsi="Times New Roman"/>
                <w:color w:val="000000" w:themeColor="text1"/>
                <w:sz w:val="24"/>
                <w:szCs w:val="24"/>
                <w:lang w:eastAsia="lv-LV"/>
              </w:rPr>
              <w:t xml:space="preserve">. gada </w:t>
            </w:r>
            <w:r w:rsidR="00F67CB9" w:rsidRPr="00162A0E">
              <w:rPr>
                <w:rFonts w:ascii="Times New Roman" w:eastAsia="Times New Roman" w:hAnsi="Times New Roman"/>
                <w:color w:val="000000" w:themeColor="text1"/>
                <w:sz w:val="24"/>
                <w:szCs w:val="24"/>
                <w:lang w:eastAsia="lv-LV"/>
              </w:rPr>
              <w:t>9</w:t>
            </w:r>
            <w:r w:rsidRPr="00162A0E">
              <w:rPr>
                <w:rFonts w:ascii="Times New Roman" w:eastAsia="Times New Roman" w:hAnsi="Times New Roman"/>
                <w:color w:val="000000" w:themeColor="text1"/>
                <w:sz w:val="24"/>
                <w:szCs w:val="24"/>
                <w:lang w:eastAsia="lv-LV"/>
              </w:rPr>
              <w:t xml:space="preserve">. </w:t>
            </w:r>
            <w:r w:rsidR="009E2E00" w:rsidRPr="00162A0E">
              <w:rPr>
                <w:rFonts w:ascii="Times New Roman" w:eastAsia="Times New Roman" w:hAnsi="Times New Roman"/>
                <w:color w:val="000000" w:themeColor="text1"/>
                <w:sz w:val="24"/>
                <w:szCs w:val="24"/>
                <w:lang w:eastAsia="lv-LV"/>
              </w:rPr>
              <w:t>maija</w:t>
            </w:r>
            <w:r w:rsidRPr="00162A0E">
              <w:rPr>
                <w:rFonts w:ascii="Times New Roman" w:eastAsia="Times New Roman" w:hAnsi="Times New Roman"/>
                <w:color w:val="000000" w:themeColor="text1"/>
                <w:sz w:val="24"/>
                <w:szCs w:val="24"/>
                <w:lang w:eastAsia="lv-LV"/>
              </w:rPr>
              <w:t xml:space="preserve"> Valsts sekretāru sanāksmē</w:t>
            </w:r>
            <w:r w:rsidR="009E2E00" w:rsidRPr="00162A0E">
              <w:rPr>
                <w:rFonts w:ascii="Times New Roman" w:eastAsia="Times New Roman" w:hAnsi="Times New Roman"/>
                <w:color w:val="000000" w:themeColor="text1"/>
                <w:sz w:val="24"/>
                <w:szCs w:val="24"/>
                <w:lang w:eastAsia="lv-LV"/>
              </w:rPr>
              <w:t>.</w:t>
            </w:r>
          </w:p>
          <w:p w:rsidR="00162A0E" w:rsidRPr="0024569C" w:rsidRDefault="00162A0E" w:rsidP="00C576CE">
            <w:pPr>
              <w:spacing w:after="0" w:line="240" w:lineRule="auto"/>
              <w:ind w:right="79"/>
              <w:jc w:val="both"/>
              <w:rPr>
                <w:rFonts w:ascii="Times New Roman" w:hAnsi="Times New Roman"/>
                <w:color w:val="000000" w:themeColor="text1"/>
                <w:sz w:val="24"/>
                <w:szCs w:val="24"/>
              </w:rPr>
            </w:pPr>
            <w:r w:rsidRPr="00162A0E">
              <w:rPr>
                <w:rFonts w:ascii="Times New Roman" w:hAnsi="Times New Roman"/>
                <w:color w:val="000000" w:themeColor="text1"/>
                <w:sz w:val="24"/>
                <w:szCs w:val="24"/>
              </w:rPr>
              <w:t xml:space="preserve">Atzinumi saņemti no Konkurences padomes, Sabiedrisko pakalpojumu regulēšanas komisijas, Tieslietu ministrijas, Finanšu ministrijas, Biedrības „Latvijas Atjaunojamās enerģijas </w:t>
            </w:r>
            <w:r w:rsidRPr="00162A0E">
              <w:rPr>
                <w:rFonts w:ascii="Times New Roman" w:hAnsi="Times New Roman"/>
                <w:color w:val="000000" w:themeColor="text1"/>
                <w:sz w:val="24"/>
                <w:szCs w:val="24"/>
              </w:rPr>
              <w:lastRenderedPageBreak/>
              <w:t>federācija”, Biedrības „Latvijas Komercbanku asociācija”.</w:t>
            </w:r>
          </w:p>
        </w:tc>
      </w:tr>
      <w:tr w:rsidR="0024569C" w:rsidRPr="0024569C" w:rsidTr="007E4D83">
        <w:tc>
          <w:tcPr>
            <w:tcW w:w="550" w:type="dxa"/>
          </w:tcPr>
          <w:p w:rsidR="00CE44D6" w:rsidRPr="0024569C" w:rsidRDefault="00CE44D6" w:rsidP="00494B41">
            <w:pPr>
              <w:pStyle w:val="naiskr"/>
              <w:spacing w:before="0" w:after="0"/>
              <w:rPr>
                <w:color w:val="000000" w:themeColor="text1"/>
              </w:rPr>
            </w:pPr>
            <w:r w:rsidRPr="0024569C">
              <w:rPr>
                <w:color w:val="000000" w:themeColor="text1"/>
              </w:rPr>
              <w:lastRenderedPageBreak/>
              <w:t>7.</w:t>
            </w:r>
          </w:p>
        </w:tc>
        <w:tc>
          <w:tcPr>
            <w:tcW w:w="2716" w:type="dxa"/>
          </w:tcPr>
          <w:p w:rsidR="00CE44D6" w:rsidRPr="0024569C" w:rsidRDefault="00CE44D6" w:rsidP="00494B41">
            <w:pPr>
              <w:pStyle w:val="naiskr"/>
              <w:spacing w:before="0" w:after="0"/>
              <w:rPr>
                <w:color w:val="000000" w:themeColor="text1"/>
              </w:rPr>
            </w:pPr>
            <w:r w:rsidRPr="0024569C">
              <w:rPr>
                <w:color w:val="000000" w:themeColor="text1"/>
              </w:rPr>
              <w:t>Cita informācija</w:t>
            </w:r>
          </w:p>
        </w:tc>
        <w:tc>
          <w:tcPr>
            <w:tcW w:w="6459" w:type="dxa"/>
          </w:tcPr>
          <w:p w:rsidR="00CE44D6" w:rsidRPr="0024569C" w:rsidRDefault="00CE44D6" w:rsidP="00494B41">
            <w:pPr>
              <w:pStyle w:val="naiskr"/>
              <w:spacing w:before="0" w:after="0"/>
              <w:jc w:val="both"/>
              <w:rPr>
                <w:color w:val="000000" w:themeColor="text1"/>
              </w:rPr>
            </w:pPr>
            <w:r w:rsidRPr="0024569C">
              <w:rPr>
                <w:color w:val="000000" w:themeColor="text1"/>
              </w:rPr>
              <w:t>Nav</w:t>
            </w:r>
          </w:p>
        </w:tc>
      </w:tr>
    </w:tbl>
    <w:p w:rsidR="002F76E7" w:rsidRPr="0024569C" w:rsidRDefault="002F76E7" w:rsidP="00494B41">
      <w:pPr>
        <w:pStyle w:val="naisf"/>
        <w:tabs>
          <w:tab w:val="left" w:pos="5760"/>
        </w:tabs>
        <w:spacing w:before="0" w:after="0"/>
        <w:ind w:firstLine="0"/>
        <w:rPr>
          <w:color w:val="000000" w:themeColor="text1"/>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24569C" w:rsidRPr="0024569C" w:rsidTr="00AC5899">
        <w:tc>
          <w:tcPr>
            <w:tcW w:w="9725" w:type="dxa"/>
            <w:gridSpan w:val="3"/>
            <w:vAlign w:val="center"/>
          </w:tcPr>
          <w:p w:rsidR="00CE44D6" w:rsidRPr="0024569C" w:rsidRDefault="00CE44D6" w:rsidP="00494B41">
            <w:pPr>
              <w:pStyle w:val="naisnod"/>
              <w:spacing w:before="0" w:after="0"/>
              <w:rPr>
                <w:color w:val="000000" w:themeColor="text1"/>
              </w:rPr>
            </w:pPr>
            <w:r w:rsidRPr="0024569C">
              <w:rPr>
                <w:color w:val="000000" w:themeColor="text1"/>
              </w:rPr>
              <w:t>II. Tiesību akta projekta ietekme uz sabiedrību</w:t>
            </w:r>
          </w:p>
        </w:tc>
      </w:tr>
      <w:tr w:rsidR="0024569C" w:rsidRPr="0024569C" w:rsidTr="004E4A8D">
        <w:trPr>
          <w:trHeight w:val="281"/>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1.</w:t>
            </w:r>
          </w:p>
        </w:tc>
        <w:tc>
          <w:tcPr>
            <w:tcW w:w="3708" w:type="dxa"/>
          </w:tcPr>
          <w:p w:rsidR="00CE44D6" w:rsidRPr="0024569C" w:rsidRDefault="00CE44D6" w:rsidP="00494B41">
            <w:pPr>
              <w:pStyle w:val="naiskr"/>
              <w:spacing w:before="0" w:after="0"/>
              <w:ind w:hanging="10"/>
              <w:rPr>
                <w:color w:val="000000" w:themeColor="text1"/>
              </w:rPr>
            </w:pPr>
            <w:r w:rsidRPr="0024569C">
              <w:rPr>
                <w:color w:val="000000" w:themeColor="text1"/>
              </w:rPr>
              <w:t>Sabiedrības mērķgrupa</w:t>
            </w:r>
          </w:p>
        </w:tc>
        <w:tc>
          <w:tcPr>
            <w:tcW w:w="5467" w:type="dxa"/>
          </w:tcPr>
          <w:p w:rsidR="00D358F5" w:rsidRPr="0024569C" w:rsidRDefault="00314456" w:rsidP="002107E9">
            <w:pPr>
              <w:pStyle w:val="Default"/>
              <w:jc w:val="both"/>
              <w:rPr>
                <w:rFonts w:ascii="Times New Roman" w:hAnsi="Times New Roman"/>
                <w:bCs/>
                <w:color w:val="000000" w:themeColor="text1"/>
              </w:rPr>
            </w:pPr>
            <w:r w:rsidRPr="0024569C">
              <w:rPr>
                <w:rFonts w:ascii="Times New Roman" w:hAnsi="Times New Roman"/>
                <w:color w:val="000000" w:themeColor="text1"/>
              </w:rPr>
              <w:t xml:space="preserve">Ražotāji, kas ieguvuši </w:t>
            </w:r>
            <w:r w:rsidR="00D358F5" w:rsidRPr="0024569C">
              <w:rPr>
                <w:rFonts w:ascii="Times New Roman" w:hAnsi="Times New Roman"/>
                <w:color w:val="000000" w:themeColor="text1"/>
              </w:rPr>
              <w:t xml:space="preserve">vai plāno iegūt </w:t>
            </w:r>
            <w:r w:rsidRPr="0024569C">
              <w:rPr>
                <w:rFonts w:ascii="Times New Roman" w:hAnsi="Times New Roman"/>
                <w:color w:val="000000" w:themeColor="text1"/>
              </w:rPr>
              <w:t>tiesības pārdot saražoto elektroenerģiju obligātā iepirkuma ietvaros</w:t>
            </w:r>
            <w:r w:rsidR="00E00768" w:rsidRPr="0024569C">
              <w:rPr>
                <w:rFonts w:ascii="Times New Roman" w:hAnsi="Times New Roman"/>
                <w:color w:val="000000" w:themeColor="text1"/>
              </w:rPr>
              <w:t xml:space="preserve"> </w:t>
            </w:r>
            <w:r w:rsidR="00E00768" w:rsidRPr="0024569C">
              <w:rPr>
                <w:rFonts w:ascii="Times New Roman" w:hAnsi="Times New Roman" w:cs="Times New Roman"/>
                <w:color w:val="000000" w:themeColor="text1"/>
              </w:rPr>
              <w:t xml:space="preserve">vai saņemt </w:t>
            </w:r>
            <w:r w:rsidR="008B7844" w:rsidRPr="0024569C">
              <w:rPr>
                <w:rFonts w:ascii="Times New Roman" w:hAnsi="Times New Roman" w:cs="Times New Roman"/>
                <w:color w:val="000000" w:themeColor="text1"/>
              </w:rPr>
              <w:t xml:space="preserve">garantēto </w:t>
            </w:r>
            <w:r w:rsidR="00E00768" w:rsidRPr="0024569C">
              <w:rPr>
                <w:rFonts w:ascii="Times New Roman" w:hAnsi="Times New Roman" w:cs="Times New Roman"/>
                <w:color w:val="000000" w:themeColor="text1"/>
              </w:rPr>
              <w:t>maksu par stacijā uzstādīto elektrisko jaudu</w:t>
            </w:r>
            <w:r w:rsidR="00857B8B" w:rsidRPr="0024569C">
              <w:rPr>
                <w:rFonts w:ascii="Times New Roman" w:hAnsi="Times New Roman" w:cs="Times New Roman"/>
                <w:color w:val="000000" w:themeColor="text1"/>
              </w:rPr>
              <w:t>.</w:t>
            </w:r>
          </w:p>
        </w:tc>
      </w:tr>
      <w:tr w:rsidR="0024569C" w:rsidRPr="0024569C" w:rsidTr="00826828">
        <w:trPr>
          <w:trHeight w:val="472"/>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2.</w:t>
            </w:r>
          </w:p>
        </w:tc>
        <w:tc>
          <w:tcPr>
            <w:tcW w:w="3708" w:type="dxa"/>
          </w:tcPr>
          <w:p w:rsidR="00CE44D6" w:rsidRPr="00B270E2" w:rsidRDefault="00CE44D6" w:rsidP="00494B41">
            <w:pPr>
              <w:pStyle w:val="naiskr"/>
              <w:tabs>
                <w:tab w:val="left" w:pos="170"/>
              </w:tabs>
              <w:spacing w:before="0" w:after="0"/>
              <w:rPr>
                <w:color w:val="000000" w:themeColor="text1"/>
              </w:rPr>
            </w:pPr>
            <w:r w:rsidRPr="00B270E2">
              <w:rPr>
                <w:color w:val="000000" w:themeColor="text1"/>
              </w:rPr>
              <w:t>Citas sabiedrības grupas (bez mērķgrupas), kuras tiesiskais regulējums arī ietekmē vai varētu ietekmēt</w:t>
            </w:r>
          </w:p>
        </w:tc>
        <w:tc>
          <w:tcPr>
            <w:tcW w:w="5467" w:type="dxa"/>
          </w:tcPr>
          <w:p w:rsidR="00FC2C88" w:rsidRPr="00B270E2" w:rsidRDefault="00FC2C88" w:rsidP="00FC2C88">
            <w:pPr>
              <w:spacing w:after="0" w:line="240" w:lineRule="auto"/>
              <w:jc w:val="both"/>
              <w:rPr>
                <w:rFonts w:ascii="Times New Roman" w:hAnsi="Times New Roman"/>
                <w:iCs/>
                <w:color w:val="000000" w:themeColor="text1"/>
                <w:sz w:val="24"/>
                <w:szCs w:val="24"/>
              </w:rPr>
            </w:pPr>
            <w:r w:rsidRPr="00B270E2">
              <w:rPr>
                <w:rFonts w:ascii="Times New Roman" w:hAnsi="Times New Roman"/>
                <w:iCs/>
                <w:color w:val="000000" w:themeColor="text1"/>
                <w:sz w:val="24"/>
                <w:szCs w:val="24"/>
              </w:rPr>
              <w:t xml:space="preserve">Visi elektroenerģijas lietotāji, tai skaitā uzņēmumi un mājsaimniecības, kuriem noteikuma projektā paredzēto tiesību normu darbības rezultātā samazinātos </w:t>
            </w:r>
            <w:r w:rsidRPr="00B270E2">
              <w:rPr>
                <w:rFonts w:ascii="Times New Roman" w:hAnsi="Times New Roman"/>
                <w:color w:val="000000" w:themeColor="text1"/>
                <w:sz w:val="24"/>
                <w:szCs w:val="24"/>
              </w:rPr>
              <w:t>obligātā iepirkuma komponentes un elektroenerģijas kopējās cenas turpmāks pieaugums, kas atstātu negatīvu ietekmi uz Latvijas tautsaimniecības konkurētspēju, tajā skaitā pievienotās vērtības radīšanu.</w:t>
            </w:r>
          </w:p>
          <w:p w:rsidR="00FC2C88" w:rsidRPr="00B270E2" w:rsidRDefault="00FC2C88" w:rsidP="00FC2C88">
            <w:pPr>
              <w:spacing w:after="0" w:line="240" w:lineRule="auto"/>
              <w:jc w:val="both"/>
              <w:rPr>
                <w:rFonts w:ascii="Times New Roman" w:hAnsi="Times New Roman"/>
                <w:iCs/>
                <w:color w:val="000000" w:themeColor="text1"/>
                <w:sz w:val="24"/>
                <w:szCs w:val="24"/>
              </w:rPr>
            </w:pPr>
            <w:r w:rsidRPr="00B270E2">
              <w:rPr>
                <w:rFonts w:ascii="Times New Roman" w:hAnsi="Times New Roman"/>
                <w:color w:val="000000"/>
                <w:sz w:val="24"/>
                <w:szCs w:val="24"/>
              </w:rPr>
              <w:t xml:space="preserve">Noteikuma projekta izstrāde ir viens no paredzētajiem pasākumiem elektroenerģijas kopējās cenas pieauguma risku ierobežošanai, kas iekļauts Ministru kabineta 2013. gada 9. aprīļa sēdē izskatītā informatīvā ziņojuma „Rīcības plāns elektroenerģijas kopējās cenas pieauguma risku ierobežošanai” (TA-683, </w:t>
            </w:r>
            <w:proofErr w:type="spellStart"/>
            <w:r w:rsidRPr="00B270E2">
              <w:rPr>
                <w:rFonts w:ascii="Times New Roman" w:hAnsi="Times New Roman"/>
                <w:color w:val="000000"/>
                <w:sz w:val="24"/>
                <w:szCs w:val="24"/>
              </w:rPr>
              <w:t>prot</w:t>
            </w:r>
            <w:proofErr w:type="spellEnd"/>
            <w:r w:rsidRPr="00B270E2">
              <w:rPr>
                <w:rFonts w:ascii="Times New Roman" w:hAnsi="Times New Roman"/>
                <w:color w:val="000000"/>
                <w:sz w:val="24"/>
                <w:szCs w:val="24"/>
              </w:rPr>
              <w:t>. Nr.18, 35. §) pielikumā Nr.1, nolūkā</w:t>
            </w:r>
            <w:r w:rsidR="00B270E2" w:rsidRPr="00B270E2">
              <w:rPr>
                <w:rFonts w:ascii="Times New Roman" w:hAnsi="Times New Roman"/>
                <w:color w:val="000000"/>
                <w:sz w:val="24"/>
                <w:szCs w:val="24"/>
              </w:rPr>
              <w:t xml:space="preserve"> </w:t>
            </w:r>
            <w:r w:rsidRPr="00B270E2">
              <w:rPr>
                <w:rFonts w:ascii="Times New Roman" w:hAnsi="Times New Roman"/>
                <w:iCs/>
                <w:color w:val="000000" w:themeColor="text1"/>
                <w:sz w:val="24"/>
                <w:szCs w:val="24"/>
              </w:rPr>
              <w:t>ierobežot papildu slog</w:t>
            </w:r>
            <w:r w:rsidR="00B270E2" w:rsidRPr="00B270E2">
              <w:rPr>
                <w:rFonts w:ascii="Times New Roman" w:hAnsi="Times New Roman"/>
                <w:iCs/>
                <w:color w:val="000000" w:themeColor="text1"/>
                <w:sz w:val="24"/>
                <w:szCs w:val="24"/>
              </w:rPr>
              <w:t>u</w:t>
            </w:r>
            <w:r w:rsidRPr="00B270E2">
              <w:rPr>
                <w:rFonts w:ascii="Times New Roman" w:hAnsi="Times New Roman"/>
                <w:iCs/>
                <w:color w:val="000000" w:themeColor="text1"/>
                <w:sz w:val="24"/>
                <w:szCs w:val="24"/>
              </w:rPr>
              <w:t xml:space="preserve"> elektroenerģijas lietotājiem.</w:t>
            </w:r>
          </w:p>
          <w:p w:rsidR="00B700A9" w:rsidRPr="00B270E2" w:rsidRDefault="00FE130D" w:rsidP="00D84CAA">
            <w:pPr>
              <w:spacing w:after="0" w:line="240" w:lineRule="auto"/>
              <w:jc w:val="both"/>
              <w:rPr>
                <w:rFonts w:ascii="Times New Roman" w:hAnsi="Times New Roman"/>
                <w:color w:val="000000" w:themeColor="text1"/>
                <w:sz w:val="24"/>
                <w:szCs w:val="24"/>
              </w:rPr>
            </w:pPr>
            <w:r w:rsidRPr="00B270E2">
              <w:rPr>
                <w:rFonts w:ascii="Times New Roman" w:hAnsi="Times New Roman"/>
                <w:iCs/>
                <w:color w:val="000000" w:themeColor="text1"/>
                <w:sz w:val="24"/>
                <w:szCs w:val="24"/>
              </w:rPr>
              <w:t>N</w:t>
            </w:r>
            <w:r w:rsidR="002836F8" w:rsidRPr="00B270E2">
              <w:rPr>
                <w:rFonts w:ascii="Times New Roman" w:hAnsi="Times New Roman"/>
                <w:iCs/>
                <w:color w:val="000000" w:themeColor="text1"/>
                <w:sz w:val="24"/>
                <w:szCs w:val="24"/>
              </w:rPr>
              <w:t>oteikumu projekta pieņemšanas gadījumā tiks</w:t>
            </w:r>
            <w:r w:rsidR="002836F8" w:rsidRPr="00B270E2">
              <w:rPr>
                <w:rFonts w:ascii="Times New Roman" w:hAnsi="Times New Roman"/>
                <w:color w:val="000000" w:themeColor="text1"/>
                <w:sz w:val="24"/>
                <w:szCs w:val="24"/>
              </w:rPr>
              <w:t xml:space="preserve"> ierobežota koģenerācijas stacijās saražotās elektroenerģijas</w:t>
            </w:r>
            <w:r w:rsidR="005367EB" w:rsidRPr="00B270E2">
              <w:rPr>
                <w:rFonts w:ascii="Times New Roman" w:hAnsi="Times New Roman"/>
                <w:color w:val="000000" w:themeColor="text1"/>
                <w:sz w:val="24"/>
                <w:szCs w:val="24"/>
              </w:rPr>
              <w:t>, kas tiek iepirkta elektroenerģijas obligātā iepirkuma ietvaros</w:t>
            </w:r>
            <w:r w:rsidR="00FE0039" w:rsidRPr="00B270E2">
              <w:rPr>
                <w:rFonts w:ascii="Times New Roman" w:hAnsi="Times New Roman"/>
                <w:color w:val="000000" w:themeColor="text1"/>
                <w:sz w:val="24"/>
                <w:szCs w:val="24"/>
              </w:rPr>
              <w:t>,</w:t>
            </w:r>
            <w:r w:rsidR="002836F8" w:rsidRPr="00B270E2">
              <w:rPr>
                <w:rFonts w:ascii="Times New Roman" w:hAnsi="Times New Roman"/>
                <w:color w:val="000000" w:themeColor="text1"/>
                <w:sz w:val="24"/>
                <w:szCs w:val="24"/>
              </w:rPr>
              <w:t xml:space="preserve"> ietekme</w:t>
            </w:r>
            <w:r w:rsidR="00B26AE2" w:rsidRPr="00B270E2">
              <w:rPr>
                <w:rFonts w:ascii="Times New Roman" w:hAnsi="Times New Roman"/>
                <w:color w:val="000000" w:themeColor="text1"/>
                <w:sz w:val="24"/>
                <w:szCs w:val="24"/>
              </w:rPr>
              <w:t xml:space="preserve"> uz elektroenerģijas tarifu elektroenerģijas </w:t>
            </w:r>
            <w:r w:rsidR="002836F8" w:rsidRPr="00B270E2">
              <w:rPr>
                <w:rFonts w:ascii="Times New Roman" w:hAnsi="Times New Roman"/>
                <w:color w:val="000000" w:themeColor="text1"/>
                <w:sz w:val="24"/>
                <w:szCs w:val="24"/>
              </w:rPr>
              <w:t>lietotājiem</w:t>
            </w:r>
            <w:r w:rsidR="002836F8" w:rsidRPr="00B270E2">
              <w:rPr>
                <w:rFonts w:ascii="Times New Roman" w:hAnsi="Times New Roman"/>
                <w:iCs/>
                <w:color w:val="000000" w:themeColor="text1"/>
                <w:sz w:val="24"/>
                <w:szCs w:val="24"/>
              </w:rPr>
              <w:t>, salīdzinot ar to,</w:t>
            </w:r>
            <w:r w:rsidRPr="00B270E2">
              <w:rPr>
                <w:rFonts w:ascii="Times New Roman" w:hAnsi="Times New Roman"/>
                <w:iCs/>
                <w:color w:val="000000" w:themeColor="text1"/>
                <w:sz w:val="24"/>
                <w:szCs w:val="24"/>
              </w:rPr>
              <w:t xml:space="preserve"> ja atbalsts nav ierobežots, kā arī, ja arī turpmāk komersanti varētu saņemt jaunas tiesības.</w:t>
            </w:r>
          </w:p>
        </w:tc>
      </w:tr>
      <w:tr w:rsidR="0024569C" w:rsidRPr="0024569C" w:rsidTr="00503051">
        <w:trPr>
          <w:trHeight w:val="2152"/>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3.</w:t>
            </w:r>
          </w:p>
        </w:tc>
        <w:tc>
          <w:tcPr>
            <w:tcW w:w="3708" w:type="dxa"/>
          </w:tcPr>
          <w:p w:rsidR="00CE44D6" w:rsidRPr="0024569C" w:rsidRDefault="00CE44D6" w:rsidP="002107E9">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Tiesiskā regulējuma finansiālā ietekme</w:t>
            </w:r>
          </w:p>
        </w:tc>
        <w:tc>
          <w:tcPr>
            <w:tcW w:w="5467" w:type="dxa"/>
          </w:tcPr>
          <w:p w:rsidR="000F6BCB" w:rsidRPr="0024569C" w:rsidRDefault="009463B0" w:rsidP="00503051">
            <w:pPr>
              <w:spacing w:after="0" w:line="240" w:lineRule="auto"/>
              <w:jc w:val="both"/>
              <w:rPr>
                <w:rFonts w:ascii="Times New Roman" w:hAnsi="Times New Roman"/>
                <w:color w:val="000000" w:themeColor="text1"/>
                <w:sz w:val="24"/>
                <w:szCs w:val="24"/>
              </w:rPr>
            </w:pPr>
            <w:r w:rsidRPr="009463B0">
              <w:rPr>
                <w:rFonts w:ascii="Times New Roman" w:hAnsi="Times New Roman"/>
                <w:sz w:val="24"/>
                <w:szCs w:val="24"/>
              </w:rPr>
              <w:t xml:space="preserve">Pēc Ekonomikas ministrijas provizoriskām prognozēm izmaiņas </w:t>
            </w:r>
            <w:r w:rsidRPr="00282512">
              <w:rPr>
                <w:rFonts w:ascii="Times New Roman" w:hAnsi="Times New Roman"/>
                <w:color w:val="000000" w:themeColor="text1"/>
                <w:sz w:val="24"/>
                <w:szCs w:val="24"/>
              </w:rPr>
              <w:t>MK noteikumu Nr.221 52. punktā var radīt obligātā iepirkuma izmaksātās</w:t>
            </w:r>
            <w:r w:rsidRPr="009463B0">
              <w:rPr>
                <w:rFonts w:ascii="Times New Roman" w:hAnsi="Times New Roman"/>
                <w:color w:val="000000" w:themeColor="text1"/>
                <w:sz w:val="24"/>
                <w:szCs w:val="24"/>
              </w:rPr>
              <w:t xml:space="preserve"> </w:t>
            </w:r>
            <w:r w:rsidR="00503051">
              <w:rPr>
                <w:rFonts w:ascii="Times New Roman" w:hAnsi="Times New Roman"/>
                <w:color w:val="000000" w:themeColor="text1"/>
                <w:sz w:val="24"/>
                <w:szCs w:val="24"/>
              </w:rPr>
              <w:t xml:space="preserve">kopējās </w:t>
            </w:r>
            <w:r w:rsidRPr="009463B0">
              <w:rPr>
                <w:rFonts w:ascii="Times New Roman" w:hAnsi="Times New Roman"/>
                <w:color w:val="000000" w:themeColor="text1"/>
                <w:sz w:val="24"/>
                <w:szCs w:val="24"/>
              </w:rPr>
              <w:t>atbalsta summas samazinājumu sākot ar 2014. gadu 19,4 milj.LVL apjomā</w:t>
            </w:r>
            <w:r w:rsidR="00503051">
              <w:rPr>
                <w:rFonts w:ascii="Times New Roman" w:hAnsi="Times New Roman"/>
                <w:color w:val="000000" w:themeColor="text1"/>
                <w:sz w:val="24"/>
                <w:szCs w:val="24"/>
              </w:rPr>
              <w:t xml:space="preserve">, ierobežojot 2014. gadā izmaksājamo </w:t>
            </w:r>
            <w:r w:rsidR="00503051" w:rsidRPr="00282512">
              <w:rPr>
                <w:rFonts w:ascii="Times New Roman" w:hAnsi="Times New Roman"/>
                <w:color w:val="000000" w:themeColor="text1"/>
                <w:sz w:val="24"/>
                <w:szCs w:val="24"/>
              </w:rPr>
              <w:t xml:space="preserve">obligātā iepirkuma </w:t>
            </w:r>
            <w:r w:rsidR="00503051" w:rsidRPr="009463B0">
              <w:rPr>
                <w:rFonts w:ascii="Times New Roman" w:hAnsi="Times New Roman"/>
                <w:color w:val="000000" w:themeColor="text1"/>
                <w:sz w:val="24"/>
                <w:szCs w:val="24"/>
              </w:rPr>
              <w:t>atbalsta summ</w:t>
            </w:r>
            <w:r w:rsidR="00503051">
              <w:rPr>
                <w:rFonts w:ascii="Times New Roman" w:hAnsi="Times New Roman"/>
                <w:color w:val="000000" w:themeColor="text1"/>
                <w:sz w:val="24"/>
                <w:szCs w:val="24"/>
              </w:rPr>
              <w:t>as pieaugumu attiecībā pret 2013. gadu</w:t>
            </w:r>
            <w:r w:rsidRPr="009463B0">
              <w:rPr>
                <w:rFonts w:ascii="Times New Roman" w:hAnsi="Times New Roman"/>
                <w:color w:val="000000" w:themeColor="text1"/>
                <w:sz w:val="24"/>
                <w:szCs w:val="24"/>
              </w:rPr>
              <w:t>.</w:t>
            </w:r>
            <w:r w:rsidR="002107E9">
              <w:rPr>
                <w:rFonts w:ascii="Times New Roman" w:hAnsi="Times New Roman"/>
                <w:color w:val="000000" w:themeColor="text1"/>
                <w:sz w:val="24"/>
                <w:szCs w:val="24"/>
              </w:rPr>
              <w:t xml:space="preserve"> Šādas obligātā iepirkuma komponentes</w:t>
            </w:r>
            <w:r w:rsidR="002107E9" w:rsidRPr="00E730F0">
              <w:rPr>
                <w:rFonts w:ascii="Times New Roman" w:hAnsi="Times New Roman"/>
                <w:color w:val="000000" w:themeColor="text1"/>
                <w:sz w:val="24"/>
                <w:szCs w:val="24"/>
              </w:rPr>
              <w:t xml:space="preserve"> samazināšanas aktivitātes</w:t>
            </w:r>
            <w:r w:rsidR="002107E9">
              <w:rPr>
                <w:rFonts w:ascii="Times New Roman" w:hAnsi="Times New Roman"/>
                <w:color w:val="000000" w:themeColor="text1"/>
                <w:sz w:val="24"/>
                <w:szCs w:val="24"/>
              </w:rPr>
              <w:t xml:space="preserve"> rezultāts ietekmētu </w:t>
            </w:r>
            <w:r w:rsidR="002107E9" w:rsidRPr="00E730F0">
              <w:rPr>
                <w:rFonts w:ascii="Times New Roman" w:hAnsi="Times New Roman"/>
                <w:color w:val="000000" w:themeColor="text1"/>
                <w:sz w:val="24"/>
                <w:szCs w:val="24"/>
              </w:rPr>
              <w:t>2014.</w:t>
            </w:r>
            <w:r w:rsidR="002107E9">
              <w:rPr>
                <w:rFonts w:ascii="Times New Roman" w:hAnsi="Times New Roman"/>
                <w:color w:val="000000" w:themeColor="text1"/>
                <w:sz w:val="24"/>
                <w:szCs w:val="24"/>
              </w:rPr>
              <w:t> </w:t>
            </w:r>
            <w:r w:rsidR="002107E9" w:rsidRPr="00E730F0">
              <w:rPr>
                <w:rFonts w:ascii="Times New Roman" w:hAnsi="Times New Roman"/>
                <w:color w:val="000000" w:themeColor="text1"/>
                <w:sz w:val="24"/>
                <w:szCs w:val="24"/>
              </w:rPr>
              <w:t>gad</w:t>
            </w:r>
            <w:r w:rsidR="00503051">
              <w:rPr>
                <w:rFonts w:ascii="Times New Roman" w:hAnsi="Times New Roman"/>
                <w:color w:val="000000" w:themeColor="text1"/>
                <w:sz w:val="24"/>
                <w:szCs w:val="24"/>
              </w:rPr>
              <w:t>a</w:t>
            </w:r>
            <w:r w:rsidR="002107E9" w:rsidRPr="00E730F0">
              <w:rPr>
                <w:rFonts w:ascii="Times New Roman" w:hAnsi="Times New Roman"/>
                <w:color w:val="000000" w:themeColor="text1"/>
                <w:sz w:val="24"/>
                <w:szCs w:val="24"/>
              </w:rPr>
              <w:t xml:space="preserve"> obligātā iepirkuma komponent</w:t>
            </w:r>
            <w:r w:rsidR="002107E9">
              <w:rPr>
                <w:rFonts w:ascii="Times New Roman" w:hAnsi="Times New Roman"/>
                <w:color w:val="000000" w:themeColor="text1"/>
                <w:sz w:val="24"/>
                <w:szCs w:val="24"/>
              </w:rPr>
              <w:t xml:space="preserve">i, </w:t>
            </w:r>
            <w:r w:rsidR="00503051">
              <w:rPr>
                <w:rFonts w:ascii="Times New Roman" w:hAnsi="Times New Roman"/>
                <w:color w:val="000000" w:themeColor="text1"/>
                <w:sz w:val="24"/>
                <w:szCs w:val="24"/>
              </w:rPr>
              <w:t>kuras pieaugums izmaiņu rezultātā veidotu</w:t>
            </w:r>
            <w:r w:rsidR="002107E9">
              <w:rPr>
                <w:rFonts w:ascii="Times New Roman" w:hAnsi="Times New Roman"/>
                <w:color w:val="000000" w:themeColor="text1"/>
                <w:sz w:val="24"/>
                <w:szCs w:val="24"/>
              </w:rPr>
              <w:t xml:space="preserve"> </w:t>
            </w:r>
            <w:r w:rsidR="00503051">
              <w:rPr>
                <w:rFonts w:ascii="Times New Roman" w:hAnsi="Times New Roman"/>
                <w:color w:val="000000" w:themeColor="text1"/>
                <w:sz w:val="24"/>
                <w:szCs w:val="24"/>
              </w:rPr>
              <w:t xml:space="preserve">ne vairāk kā </w:t>
            </w:r>
            <w:r w:rsidR="002107E9" w:rsidRPr="00E730F0">
              <w:rPr>
                <w:rFonts w:ascii="Times New Roman" w:hAnsi="Times New Roman"/>
                <w:color w:val="000000" w:themeColor="text1"/>
                <w:sz w:val="24"/>
                <w:szCs w:val="24"/>
              </w:rPr>
              <w:t>2,</w:t>
            </w:r>
            <w:r w:rsidR="002107E9">
              <w:rPr>
                <w:rFonts w:ascii="Times New Roman" w:hAnsi="Times New Roman"/>
                <w:color w:val="000000" w:themeColor="text1"/>
                <w:sz w:val="24"/>
                <w:szCs w:val="24"/>
              </w:rPr>
              <w:t>33</w:t>
            </w:r>
            <w:r w:rsidR="002107E9" w:rsidRPr="00E730F0">
              <w:rPr>
                <w:rFonts w:ascii="Times New Roman" w:hAnsi="Times New Roman"/>
                <w:color w:val="000000" w:themeColor="text1"/>
                <w:sz w:val="24"/>
                <w:szCs w:val="24"/>
              </w:rPr>
              <w:t xml:space="preserve"> </w:t>
            </w:r>
            <w:proofErr w:type="spellStart"/>
            <w:r w:rsidR="002107E9" w:rsidRPr="00E730F0">
              <w:rPr>
                <w:rFonts w:ascii="Times New Roman" w:hAnsi="Times New Roman"/>
                <w:color w:val="000000" w:themeColor="text1"/>
                <w:sz w:val="24"/>
                <w:szCs w:val="24"/>
              </w:rPr>
              <w:t>sant</w:t>
            </w:r>
            <w:proofErr w:type="spellEnd"/>
            <w:r w:rsidR="002107E9" w:rsidRPr="00E730F0">
              <w:rPr>
                <w:rFonts w:ascii="Times New Roman" w:hAnsi="Times New Roman"/>
                <w:color w:val="000000" w:themeColor="text1"/>
                <w:sz w:val="24"/>
                <w:szCs w:val="24"/>
              </w:rPr>
              <w:t>./kWh.</w:t>
            </w:r>
          </w:p>
        </w:tc>
      </w:tr>
      <w:tr w:rsidR="0024569C" w:rsidRPr="0024569C" w:rsidTr="00826828">
        <w:trPr>
          <w:trHeight w:val="274"/>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4.</w:t>
            </w:r>
          </w:p>
        </w:tc>
        <w:tc>
          <w:tcPr>
            <w:tcW w:w="3708" w:type="dxa"/>
          </w:tcPr>
          <w:p w:rsidR="00CE44D6" w:rsidRPr="0024569C" w:rsidRDefault="00CE44D6" w:rsidP="00494B41">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Tiesiskā regulējuma nefinansiālā ietekme</w:t>
            </w:r>
          </w:p>
        </w:tc>
        <w:tc>
          <w:tcPr>
            <w:tcW w:w="5467" w:type="dxa"/>
          </w:tcPr>
          <w:p w:rsidR="006067E8" w:rsidRPr="0024569C" w:rsidRDefault="000F6BCB" w:rsidP="002107E9">
            <w:pPr>
              <w:spacing w:after="0" w:line="240" w:lineRule="auto"/>
              <w:jc w:val="both"/>
              <w:rPr>
                <w:rFonts w:ascii="Times New Roman" w:eastAsia="Times New Roman" w:hAnsi="Times New Roman"/>
                <w:color w:val="000000" w:themeColor="text1"/>
                <w:sz w:val="24"/>
                <w:szCs w:val="24"/>
                <w:lang w:eastAsia="lv-LV"/>
              </w:rPr>
            </w:pPr>
            <w:r w:rsidRPr="0024569C">
              <w:rPr>
                <w:rFonts w:ascii="Times New Roman" w:hAnsi="Times New Roman"/>
                <w:color w:val="000000" w:themeColor="text1"/>
                <w:sz w:val="24"/>
                <w:szCs w:val="24"/>
              </w:rPr>
              <w:t>Vienlaikus ar noteikumu projektu arī tiks sekmēta staciju būvju kvalitātes prasību ievērošana atbilstoši attiecīgiem būvniecību regulējošajiem normatīvajiem aktiem un uzstādīto iekārtu ekspluatācijas noteikumiem.</w:t>
            </w:r>
          </w:p>
        </w:tc>
      </w:tr>
      <w:tr w:rsidR="0024569C" w:rsidRPr="0024569C" w:rsidTr="00826828">
        <w:trPr>
          <w:trHeight w:val="476"/>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5.</w:t>
            </w:r>
          </w:p>
        </w:tc>
        <w:tc>
          <w:tcPr>
            <w:tcW w:w="3708" w:type="dxa"/>
          </w:tcPr>
          <w:p w:rsidR="00CE44D6" w:rsidRPr="0024569C" w:rsidRDefault="00CE44D6" w:rsidP="00494B41">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Administratīvās procedūras raksturojums</w:t>
            </w:r>
          </w:p>
        </w:tc>
        <w:tc>
          <w:tcPr>
            <w:tcW w:w="5467" w:type="dxa"/>
          </w:tcPr>
          <w:p w:rsidR="00857B8B" w:rsidRPr="0024569C" w:rsidRDefault="00857B8B" w:rsidP="00917B24">
            <w:pPr>
              <w:spacing w:after="0" w:line="240" w:lineRule="auto"/>
              <w:jc w:val="both"/>
              <w:rPr>
                <w:rFonts w:ascii="Times New Roman" w:hAnsi="Times New Roman"/>
                <w:iCs/>
                <w:color w:val="000000" w:themeColor="text1"/>
                <w:sz w:val="24"/>
                <w:szCs w:val="24"/>
              </w:rPr>
            </w:pPr>
            <w:r w:rsidRPr="0024569C">
              <w:rPr>
                <w:rFonts w:ascii="Times New Roman" w:hAnsi="Times New Roman"/>
                <w:iCs/>
                <w:color w:val="000000" w:themeColor="text1"/>
                <w:sz w:val="24"/>
                <w:szCs w:val="24"/>
              </w:rPr>
              <w:t xml:space="preserve">Ar noteikumu projektu paredzēts veicināt komersantu, kas ražo un pārdod elektroenerģiju obligātā iepirkuma ietvaros </w:t>
            </w:r>
            <w:r w:rsidRPr="0024569C">
              <w:rPr>
                <w:rFonts w:ascii="Times New Roman" w:hAnsi="Times New Roman"/>
                <w:color w:val="000000" w:themeColor="text1"/>
                <w:sz w:val="24"/>
                <w:szCs w:val="24"/>
              </w:rPr>
              <w:t xml:space="preserve">vai saņem maksu par stacijā uzstādīto elektrisko </w:t>
            </w:r>
            <w:r w:rsidRPr="0024569C">
              <w:rPr>
                <w:rFonts w:ascii="Times New Roman" w:hAnsi="Times New Roman"/>
                <w:color w:val="000000" w:themeColor="text1"/>
                <w:sz w:val="24"/>
                <w:szCs w:val="24"/>
              </w:rPr>
              <w:lastRenderedPageBreak/>
              <w:t>jaudu</w:t>
            </w:r>
            <w:r w:rsidR="00826828" w:rsidRPr="0024569C">
              <w:rPr>
                <w:rFonts w:ascii="Times New Roman" w:hAnsi="Times New Roman"/>
                <w:color w:val="000000" w:themeColor="text1"/>
                <w:sz w:val="24"/>
                <w:szCs w:val="24"/>
              </w:rPr>
              <w:t>,</w:t>
            </w:r>
            <w:r w:rsidRPr="0024569C">
              <w:rPr>
                <w:rFonts w:ascii="Times New Roman" w:hAnsi="Times New Roman"/>
                <w:iCs/>
                <w:color w:val="000000" w:themeColor="text1"/>
                <w:sz w:val="24"/>
                <w:szCs w:val="24"/>
              </w:rPr>
              <w:t xml:space="preserve"> godprātīgu saņemto tiesību </w:t>
            </w:r>
            <w:proofErr w:type="spellStart"/>
            <w:r w:rsidRPr="0024569C">
              <w:rPr>
                <w:rFonts w:ascii="Times New Roman" w:hAnsi="Times New Roman"/>
                <w:iCs/>
                <w:color w:val="000000" w:themeColor="text1"/>
                <w:sz w:val="24"/>
                <w:szCs w:val="24"/>
              </w:rPr>
              <w:t>izmantošanu</w:t>
            </w:r>
            <w:proofErr w:type="spellEnd"/>
            <w:r w:rsidRPr="0024569C">
              <w:rPr>
                <w:rFonts w:ascii="Times New Roman" w:hAnsi="Times New Roman"/>
                <w:iCs/>
                <w:color w:val="000000" w:themeColor="text1"/>
                <w:sz w:val="24"/>
                <w:szCs w:val="24"/>
              </w:rPr>
              <w:t xml:space="preserve">. </w:t>
            </w:r>
          </w:p>
          <w:p w:rsidR="00CD599E" w:rsidRPr="0024569C" w:rsidRDefault="007117BC" w:rsidP="007117BC">
            <w:pPr>
              <w:spacing w:after="0" w:line="240" w:lineRule="auto"/>
              <w:jc w:val="both"/>
              <w:rPr>
                <w:rFonts w:ascii="Times New Roman" w:eastAsia="Times New Roman" w:hAnsi="Times New Roman"/>
                <w:color w:val="000000" w:themeColor="text1"/>
                <w:sz w:val="24"/>
                <w:szCs w:val="24"/>
                <w:lang w:eastAsia="lv-LV"/>
              </w:rPr>
            </w:pPr>
            <w:r>
              <w:rPr>
                <w:rFonts w:ascii="Times New Roman" w:hAnsi="Times New Roman"/>
                <w:iCs/>
                <w:color w:val="000000" w:themeColor="text1"/>
                <w:sz w:val="24"/>
                <w:szCs w:val="24"/>
              </w:rPr>
              <w:t>Vienlaikus a</w:t>
            </w:r>
            <w:r w:rsidR="00857B8B" w:rsidRPr="0024569C">
              <w:rPr>
                <w:rFonts w:ascii="Times New Roman" w:hAnsi="Times New Roman"/>
                <w:iCs/>
                <w:color w:val="000000" w:themeColor="text1"/>
                <w:sz w:val="24"/>
                <w:szCs w:val="24"/>
              </w:rPr>
              <w:t>r noteikumu projektu paredzēts not</w:t>
            </w:r>
            <w:r w:rsidR="00197BBC" w:rsidRPr="0024569C">
              <w:rPr>
                <w:rFonts w:ascii="Times New Roman" w:hAnsi="Times New Roman"/>
                <w:iCs/>
                <w:color w:val="000000" w:themeColor="text1"/>
                <w:sz w:val="24"/>
                <w:szCs w:val="24"/>
              </w:rPr>
              <w:t>e</w:t>
            </w:r>
            <w:r w:rsidR="00857B8B" w:rsidRPr="0024569C">
              <w:rPr>
                <w:rFonts w:ascii="Times New Roman" w:hAnsi="Times New Roman"/>
                <w:iCs/>
                <w:color w:val="000000" w:themeColor="text1"/>
                <w:sz w:val="24"/>
                <w:szCs w:val="24"/>
              </w:rPr>
              <w:t>ikt stingrākas prasības komersantiem, ja pēc brīdinājuma saņemšanas nav novērsti konstatētie pārkāpumi.</w:t>
            </w:r>
          </w:p>
        </w:tc>
      </w:tr>
      <w:tr w:rsidR="0024569C" w:rsidRPr="0024569C" w:rsidTr="00826828">
        <w:trPr>
          <w:trHeight w:val="469"/>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lastRenderedPageBreak/>
              <w:t>6.</w:t>
            </w:r>
          </w:p>
        </w:tc>
        <w:tc>
          <w:tcPr>
            <w:tcW w:w="3708" w:type="dxa"/>
          </w:tcPr>
          <w:p w:rsidR="00CE44D6" w:rsidRPr="0024569C" w:rsidRDefault="00CE44D6" w:rsidP="00494B41">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Administratīvo izmaksu monetārs novērtējums</w:t>
            </w:r>
          </w:p>
        </w:tc>
        <w:tc>
          <w:tcPr>
            <w:tcW w:w="5467" w:type="dxa"/>
          </w:tcPr>
          <w:p w:rsidR="00AD4F27" w:rsidRPr="0024569C" w:rsidRDefault="00314456" w:rsidP="00494B41">
            <w:pPr>
              <w:spacing w:after="0" w:line="240" w:lineRule="auto"/>
              <w:jc w:val="both"/>
              <w:rPr>
                <w:rFonts w:ascii="Times New Roman" w:eastAsia="Times New Roman" w:hAnsi="Times New Roman"/>
                <w:color w:val="000000" w:themeColor="text1"/>
                <w:sz w:val="24"/>
                <w:szCs w:val="24"/>
                <w:lang w:eastAsia="lv-LV"/>
              </w:rPr>
            </w:pPr>
            <w:r w:rsidRPr="0024569C">
              <w:rPr>
                <w:rFonts w:ascii="Times New Roman" w:hAnsi="Times New Roman"/>
                <w:iCs/>
                <w:color w:val="000000" w:themeColor="text1"/>
                <w:sz w:val="24"/>
                <w:szCs w:val="24"/>
              </w:rPr>
              <w:t>Projekts šo jomu neskar.</w:t>
            </w:r>
          </w:p>
        </w:tc>
      </w:tr>
      <w:tr w:rsidR="0024569C" w:rsidRPr="0024569C" w:rsidTr="00826828">
        <w:trPr>
          <w:trHeight w:val="324"/>
        </w:trPr>
        <w:tc>
          <w:tcPr>
            <w:tcW w:w="550" w:type="dxa"/>
          </w:tcPr>
          <w:p w:rsidR="00CE44D6" w:rsidRPr="0024569C" w:rsidRDefault="00CE44D6" w:rsidP="00494B41">
            <w:pPr>
              <w:pStyle w:val="naiskr"/>
              <w:spacing w:before="0" w:after="0"/>
              <w:rPr>
                <w:color w:val="000000" w:themeColor="text1"/>
              </w:rPr>
            </w:pPr>
            <w:r w:rsidRPr="0024569C">
              <w:rPr>
                <w:color w:val="000000" w:themeColor="text1"/>
              </w:rPr>
              <w:t>7.</w:t>
            </w:r>
          </w:p>
        </w:tc>
        <w:tc>
          <w:tcPr>
            <w:tcW w:w="3708" w:type="dxa"/>
          </w:tcPr>
          <w:p w:rsidR="00CE44D6" w:rsidRPr="0024569C" w:rsidRDefault="00CE44D6" w:rsidP="00494B41">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Cita informācija</w:t>
            </w:r>
          </w:p>
        </w:tc>
        <w:tc>
          <w:tcPr>
            <w:tcW w:w="5467" w:type="dxa"/>
          </w:tcPr>
          <w:p w:rsidR="00AD4F27" w:rsidRPr="0024569C" w:rsidRDefault="00CE44D6" w:rsidP="00A226BC">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Nav</w:t>
            </w:r>
          </w:p>
        </w:tc>
      </w:tr>
    </w:tbl>
    <w:p w:rsidR="00AD4F27" w:rsidRPr="0024569C" w:rsidRDefault="00AD4F27" w:rsidP="00494B41">
      <w:pPr>
        <w:spacing w:after="0" w:line="240" w:lineRule="auto"/>
        <w:rPr>
          <w:rFonts w:ascii="Times New Roman" w:eastAsia="Times New Roman" w:hAnsi="Times New Roman"/>
          <w:color w:val="000000" w:themeColor="text1"/>
          <w:sz w:val="24"/>
          <w:szCs w:val="24"/>
          <w:lang w:eastAsia="lv-LV"/>
        </w:rPr>
      </w:pPr>
    </w:p>
    <w:tbl>
      <w:tblPr>
        <w:tblW w:w="5343" w:type="pct"/>
        <w:tblInd w:w="-306" w:type="dxa"/>
        <w:tblBorders>
          <w:top w:val="thinThickSmallGap" w:sz="12" w:space="0" w:color="BFBFBF" w:themeColor="background1" w:themeShade="BF"/>
          <w:left w:val="thinThickSmallGap" w:sz="12" w:space="0" w:color="BFBFBF" w:themeColor="background1" w:themeShade="BF"/>
          <w:bottom w:val="thinThickSmallGap" w:sz="12" w:space="0" w:color="BFBFBF" w:themeColor="background1" w:themeShade="BF"/>
          <w:right w:val="thinThickSmallGap" w:sz="12" w:space="0" w:color="BFBFBF" w:themeColor="background1" w:themeShade="BF"/>
          <w:insideH w:val="thinThickSmallGap" w:sz="12" w:space="0" w:color="BFBFBF" w:themeColor="background1" w:themeShade="BF"/>
          <w:insideV w:val="outset"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9757"/>
      </w:tblGrid>
      <w:tr w:rsidR="0024569C" w:rsidRPr="0024569C" w:rsidTr="005367EB">
        <w:tc>
          <w:tcPr>
            <w:tcW w:w="5000" w:type="pct"/>
            <w:tcBorders>
              <w:top w:val="single" w:sz="4" w:space="0" w:color="auto"/>
              <w:left w:val="single" w:sz="4" w:space="0" w:color="auto"/>
              <w:bottom w:val="single" w:sz="4" w:space="0" w:color="auto"/>
              <w:right w:val="single" w:sz="4" w:space="0" w:color="auto"/>
            </w:tcBorders>
            <w:shd w:val="clear" w:color="auto" w:fill="FFFFFF"/>
            <w:hideMark/>
          </w:tcPr>
          <w:p w:rsidR="00462754" w:rsidRPr="0024569C" w:rsidRDefault="004F796C" w:rsidP="00917B24">
            <w:pPr>
              <w:spacing w:after="0" w:line="240" w:lineRule="auto"/>
              <w:jc w:val="center"/>
              <w:rPr>
                <w:rFonts w:ascii="Times New Roman" w:eastAsia="Times New Roman" w:hAnsi="Times New Roman"/>
                <w:b/>
                <w:bCs/>
                <w:color w:val="000000" w:themeColor="text1"/>
                <w:sz w:val="24"/>
                <w:szCs w:val="24"/>
                <w:bdr w:val="none" w:sz="0" w:space="0" w:color="auto" w:frame="1"/>
                <w:lang w:eastAsia="lv-LV"/>
              </w:rPr>
            </w:pPr>
            <w:r w:rsidRPr="0024569C">
              <w:rPr>
                <w:rFonts w:ascii="Times New Roman" w:eastAsia="Times New Roman" w:hAnsi="Times New Roman"/>
                <w:b/>
                <w:bCs/>
                <w:color w:val="000000" w:themeColor="text1"/>
                <w:sz w:val="24"/>
                <w:szCs w:val="24"/>
                <w:bdr w:val="none" w:sz="0" w:space="0" w:color="auto" w:frame="1"/>
                <w:lang w:eastAsia="lv-LV"/>
              </w:rPr>
              <w:t>III. Tiesību akta projekta ietekme uz valsts budžetu un pašvaldību budžetiem</w:t>
            </w:r>
          </w:p>
          <w:p w:rsidR="004F796C" w:rsidRPr="0024569C" w:rsidRDefault="00462754" w:rsidP="00917B24">
            <w:pPr>
              <w:spacing w:after="0" w:line="240" w:lineRule="auto"/>
              <w:jc w:val="both"/>
              <w:rPr>
                <w:rFonts w:ascii="Times New Roman" w:eastAsia="Times New Roman" w:hAnsi="Times New Roman"/>
                <w:color w:val="000000" w:themeColor="text1"/>
                <w:sz w:val="24"/>
                <w:szCs w:val="24"/>
                <w:lang w:eastAsia="lv-LV"/>
              </w:rPr>
            </w:pPr>
            <w:r w:rsidRPr="0024569C">
              <w:rPr>
                <w:rFonts w:ascii="Times New Roman" w:hAnsi="Times New Roman"/>
                <w:bCs/>
                <w:color w:val="000000" w:themeColor="text1"/>
                <w:sz w:val="24"/>
                <w:szCs w:val="24"/>
              </w:rPr>
              <w:t xml:space="preserve">Ar noteikumu projektu </w:t>
            </w:r>
            <w:r w:rsidRPr="0024569C">
              <w:rPr>
                <w:rFonts w:ascii="Times New Roman" w:hAnsi="Times New Roman"/>
                <w:b/>
                <w:bCs/>
                <w:color w:val="000000" w:themeColor="text1"/>
                <w:sz w:val="24"/>
                <w:szCs w:val="24"/>
              </w:rPr>
              <w:t>netiek</w:t>
            </w:r>
            <w:r w:rsidRPr="0024569C">
              <w:rPr>
                <w:rFonts w:ascii="Times New Roman" w:hAnsi="Times New Roman"/>
                <w:bCs/>
                <w:color w:val="000000" w:themeColor="text1"/>
                <w:sz w:val="24"/>
                <w:szCs w:val="24"/>
              </w:rPr>
              <w:t xml:space="preserve"> prognozēta ietekme uz valsts vai pašvaldību budžetiem.  </w:t>
            </w:r>
          </w:p>
        </w:tc>
      </w:tr>
    </w:tbl>
    <w:p w:rsidR="00136BD5" w:rsidRPr="0024569C" w:rsidRDefault="00136BD5" w:rsidP="00494B41">
      <w:pPr>
        <w:spacing w:after="0" w:line="240" w:lineRule="auto"/>
        <w:rPr>
          <w:rFonts w:ascii="Times New Roman" w:eastAsia="Times New Roman" w:hAnsi="Times New Roman"/>
          <w:color w:val="000000" w:themeColor="text1"/>
          <w:sz w:val="24"/>
          <w:szCs w:val="24"/>
          <w:lang w:eastAsia="lv-LV"/>
        </w:rPr>
      </w:pPr>
    </w:p>
    <w:tbl>
      <w:tblPr>
        <w:tblpPr w:leftFromText="180" w:rightFromText="180" w:vertAnchor="text" w:horzAnchor="margin" w:tblpX="-256" w:tblpY="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2885"/>
        <w:gridCol w:w="5982"/>
      </w:tblGrid>
      <w:tr w:rsidR="0024569C" w:rsidRPr="0024569C" w:rsidTr="00A931B8">
        <w:tc>
          <w:tcPr>
            <w:tcW w:w="9673" w:type="dxa"/>
            <w:gridSpan w:val="3"/>
            <w:vAlign w:val="center"/>
          </w:tcPr>
          <w:p w:rsidR="00FC03FD" w:rsidRPr="0024569C" w:rsidRDefault="00FC03FD" w:rsidP="00A931B8">
            <w:pPr>
              <w:pStyle w:val="naisnod"/>
              <w:spacing w:before="0" w:after="0"/>
              <w:rPr>
                <w:color w:val="000000" w:themeColor="text1"/>
              </w:rPr>
            </w:pPr>
            <w:r w:rsidRPr="0024569C">
              <w:rPr>
                <w:color w:val="000000" w:themeColor="text1"/>
              </w:rPr>
              <w:t>VII. Tiesību akta projekta izpildes nodrošināšana un tās ietekme uz institūcijām</w:t>
            </w:r>
          </w:p>
        </w:tc>
      </w:tr>
      <w:tr w:rsidR="0024569C" w:rsidRPr="0024569C" w:rsidTr="006C23BB">
        <w:trPr>
          <w:trHeight w:val="630"/>
        </w:trPr>
        <w:tc>
          <w:tcPr>
            <w:tcW w:w="806" w:type="dxa"/>
          </w:tcPr>
          <w:p w:rsidR="00FC03FD" w:rsidRPr="0024569C" w:rsidRDefault="00FC03FD" w:rsidP="00A931B8">
            <w:pPr>
              <w:pStyle w:val="naiskr"/>
              <w:spacing w:before="0" w:after="0"/>
              <w:rPr>
                <w:color w:val="000000" w:themeColor="text1"/>
              </w:rPr>
            </w:pPr>
            <w:r w:rsidRPr="0024569C">
              <w:rPr>
                <w:color w:val="000000" w:themeColor="text1"/>
              </w:rPr>
              <w:t>1.</w:t>
            </w:r>
          </w:p>
        </w:tc>
        <w:tc>
          <w:tcPr>
            <w:tcW w:w="2885"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Projekta izpildē iesaistītās institūcijas</w:t>
            </w:r>
          </w:p>
        </w:tc>
        <w:tc>
          <w:tcPr>
            <w:tcW w:w="5982" w:type="dxa"/>
          </w:tcPr>
          <w:p w:rsidR="00FC03FD" w:rsidRPr="0024569C" w:rsidRDefault="00CC7F49" w:rsidP="00A931B8">
            <w:pPr>
              <w:pStyle w:val="NormalWeb"/>
              <w:spacing w:before="0" w:beforeAutospacing="0" w:after="0" w:afterAutospacing="0"/>
              <w:jc w:val="both"/>
              <w:rPr>
                <w:color w:val="000000" w:themeColor="text1"/>
              </w:rPr>
            </w:pPr>
            <w:r w:rsidRPr="0024569C">
              <w:rPr>
                <w:iCs/>
                <w:color w:val="000000" w:themeColor="text1"/>
              </w:rPr>
              <w:t>Projekts šo jomu neskar.</w:t>
            </w:r>
          </w:p>
        </w:tc>
      </w:tr>
      <w:tr w:rsidR="0024569C" w:rsidRPr="0024569C" w:rsidTr="006C23BB">
        <w:trPr>
          <w:trHeight w:val="472"/>
        </w:trPr>
        <w:tc>
          <w:tcPr>
            <w:tcW w:w="806" w:type="dxa"/>
          </w:tcPr>
          <w:p w:rsidR="00FC03FD" w:rsidRPr="0024569C" w:rsidRDefault="00FC03FD" w:rsidP="00A931B8">
            <w:pPr>
              <w:pStyle w:val="naiskr"/>
              <w:spacing w:before="0" w:after="0"/>
              <w:rPr>
                <w:color w:val="000000" w:themeColor="text1"/>
              </w:rPr>
            </w:pPr>
            <w:r w:rsidRPr="0024569C">
              <w:rPr>
                <w:color w:val="000000" w:themeColor="text1"/>
              </w:rPr>
              <w:t>2.</w:t>
            </w:r>
          </w:p>
        </w:tc>
        <w:tc>
          <w:tcPr>
            <w:tcW w:w="2885" w:type="dxa"/>
          </w:tcPr>
          <w:p w:rsidR="00AD4F27"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Projekta izpildes ietekme uz pārvaldes funkcijām</w:t>
            </w:r>
          </w:p>
        </w:tc>
        <w:tc>
          <w:tcPr>
            <w:tcW w:w="5982" w:type="dxa"/>
          </w:tcPr>
          <w:p w:rsidR="00FC03FD" w:rsidRPr="0024569C" w:rsidRDefault="00FC03FD" w:rsidP="00DC2BF2">
            <w:pPr>
              <w:spacing w:after="0" w:line="240" w:lineRule="auto"/>
              <w:jc w:val="both"/>
              <w:rPr>
                <w:rFonts w:ascii="Times New Roman" w:eastAsia="Times New Roman" w:hAnsi="Times New Roman"/>
                <w:color w:val="000000" w:themeColor="text1"/>
                <w:sz w:val="24"/>
                <w:szCs w:val="24"/>
                <w:lang w:eastAsia="lv-LV"/>
              </w:rPr>
            </w:pPr>
            <w:r w:rsidRPr="0024569C">
              <w:rPr>
                <w:rFonts w:ascii="Times New Roman" w:hAnsi="Times New Roman"/>
                <w:color w:val="000000" w:themeColor="text1"/>
                <w:sz w:val="24"/>
                <w:szCs w:val="24"/>
              </w:rPr>
              <w:t xml:space="preserve">Noteikumu projekta izpildes funkcijas veiks </w:t>
            </w:r>
            <w:r w:rsidR="0055465E" w:rsidRPr="0024569C">
              <w:rPr>
                <w:rFonts w:ascii="Times New Roman" w:hAnsi="Times New Roman"/>
                <w:color w:val="000000" w:themeColor="text1"/>
                <w:sz w:val="24"/>
                <w:szCs w:val="24"/>
              </w:rPr>
              <w:t xml:space="preserve"> </w:t>
            </w:r>
            <w:r w:rsidR="00DC2BF2">
              <w:rPr>
                <w:rFonts w:ascii="Times New Roman" w:hAnsi="Times New Roman"/>
                <w:color w:val="000000" w:themeColor="text1"/>
                <w:sz w:val="24"/>
                <w:szCs w:val="24"/>
              </w:rPr>
              <w:t>Ekonomikas ministrija</w:t>
            </w:r>
            <w:r w:rsidRPr="0024569C">
              <w:rPr>
                <w:rFonts w:ascii="Times New Roman" w:hAnsi="Times New Roman"/>
                <w:color w:val="000000" w:themeColor="text1"/>
                <w:sz w:val="24"/>
                <w:szCs w:val="24"/>
              </w:rPr>
              <w:t>.</w:t>
            </w:r>
          </w:p>
        </w:tc>
      </w:tr>
      <w:tr w:rsidR="0024569C" w:rsidRPr="0024569C" w:rsidTr="006C23BB">
        <w:trPr>
          <w:trHeight w:val="788"/>
        </w:trPr>
        <w:tc>
          <w:tcPr>
            <w:tcW w:w="806" w:type="dxa"/>
          </w:tcPr>
          <w:p w:rsidR="00FC03FD" w:rsidRPr="0024569C" w:rsidRDefault="00FC03FD" w:rsidP="00A931B8">
            <w:pPr>
              <w:pStyle w:val="naiskr"/>
              <w:spacing w:before="0" w:after="0"/>
              <w:rPr>
                <w:color w:val="000000" w:themeColor="text1"/>
              </w:rPr>
            </w:pPr>
            <w:r w:rsidRPr="0024569C">
              <w:rPr>
                <w:color w:val="000000" w:themeColor="text1"/>
              </w:rPr>
              <w:t>3.</w:t>
            </w:r>
          </w:p>
        </w:tc>
        <w:tc>
          <w:tcPr>
            <w:tcW w:w="2885"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Projekta izpildes ietekme uz pārvaldes institucionālo struktūru.</w:t>
            </w:r>
          </w:p>
          <w:p w:rsidR="00AD4F27"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Jaunu institūciju izveide</w:t>
            </w:r>
          </w:p>
        </w:tc>
        <w:tc>
          <w:tcPr>
            <w:tcW w:w="5982"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hAnsi="Times New Roman"/>
                <w:iCs/>
                <w:color w:val="000000" w:themeColor="text1"/>
                <w:sz w:val="24"/>
                <w:szCs w:val="24"/>
              </w:rPr>
              <w:t>Projekts šo jomu neskar.</w:t>
            </w:r>
          </w:p>
        </w:tc>
      </w:tr>
      <w:tr w:rsidR="0024569C" w:rsidRPr="0024569C" w:rsidTr="006C23BB">
        <w:trPr>
          <w:trHeight w:val="384"/>
        </w:trPr>
        <w:tc>
          <w:tcPr>
            <w:tcW w:w="806" w:type="dxa"/>
          </w:tcPr>
          <w:p w:rsidR="00FC03FD" w:rsidRPr="0024569C" w:rsidRDefault="00FC03FD" w:rsidP="00A931B8">
            <w:pPr>
              <w:pStyle w:val="naiskr"/>
              <w:spacing w:before="0" w:after="0"/>
              <w:rPr>
                <w:color w:val="000000" w:themeColor="text1"/>
              </w:rPr>
            </w:pPr>
            <w:r w:rsidRPr="0024569C">
              <w:rPr>
                <w:color w:val="000000" w:themeColor="text1"/>
              </w:rPr>
              <w:t>4.</w:t>
            </w:r>
          </w:p>
        </w:tc>
        <w:tc>
          <w:tcPr>
            <w:tcW w:w="2885"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Projekta izpildes ietekme uz pārvaldes institucionālo struktūru.</w:t>
            </w:r>
          </w:p>
          <w:p w:rsidR="00AD4F27"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Esošu institūciju likvidācija</w:t>
            </w:r>
          </w:p>
        </w:tc>
        <w:tc>
          <w:tcPr>
            <w:tcW w:w="5982"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hAnsi="Times New Roman"/>
                <w:iCs/>
                <w:color w:val="000000" w:themeColor="text1"/>
                <w:sz w:val="24"/>
                <w:szCs w:val="24"/>
              </w:rPr>
              <w:t>Projekts šo jomu neskar.</w:t>
            </w:r>
          </w:p>
        </w:tc>
      </w:tr>
      <w:tr w:rsidR="0024569C" w:rsidRPr="0024569C" w:rsidTr="006C23BB">
        <w:trPr>
          <w:trHeight w:val="820"/>
        </w:trPr>
        <w:tc>
          <w:tcPr>
            <w:tcW w:w="806" w:type="dxa"/>
          </w:tcPr>
          <w:p w:rsidR="00FC03FD" w:rsidRPr="0024569C" w:rsidRDefault="00FC03FD" w:rsidP="00A931B8">
            <w:pPr>
              <w:pStyle w:val="naiskr"/>
              <w:spacing w:before="0" w:after="0"/>
              <w:rPr>
                <w:color w:val="000000" w:themeColor="text1"/>
              </w:rPr>
            </w:pPr>
            <w:r w:rsidRPr="0024569C">
              <w:rPr>
                <w:color w:val="000000" w:themeColor="text1"/>
              </w:rPr>
              <w:t>5.</w:t>
            </w:r>
          </w:p>
        </w:tc>
        <w:tc>
          <w:tcPr>
            <w:tcW w:w="2885"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Projekta izpildes ietekme uz pārvaldes institucionālo struktūru.</w:t>
            </w:r>
          </w:p>
          <w:p w:rsidR="00AD4F27"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Esošu institūciju reorganizācija</w:t>
            </w:r>
          </w:p>
        </w:tc>
        <w:tc>
          <w:tcPr>
            <w:tcW w:w="5982"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hAnsi="Times New Roman"/>
                <w:iCs/>
                <w:color w:val="000000" w:themeColor="text1"/>
                <w:sz w:val="24"/>
                <w:szCs w:val="24"/>
              </w:rPr>
              <w:t>Projekts šo jomu neskar.</w:t>
            </w:r>
          </w:p>
        </w:tc>
      </w:tr>
      <w:tr w:rsidR="0024569C" w:rsidRPr="0024569C" w:rsidTr="006C23BB">
        <w:trPr>
          <w:trHeight w:val="258"/>
        </w:trPr>
        <w:tc>
          <w:tcPr>
            <w:tcW w:w="806" w:type="dxa"/>
          </w:tcPr>
          <w:p w:rsidR="00FC03FD" w:rsidRPr="0024569C" w:rsidRDefault="00FC03FD" w:rsidP="00A931B8">
            <w:pPr>
              <w:pStyle w:val="naiskr"/>
              <w:spacing w:before="0" w:after="0"/>
              <w:rPr>
                <w:color w:val="000000" w:themeColor="text1"/>
              </w:rPr>
            </w:pPr>
            <w:r w:rsidRPr="0024569C">
              <w:rPr>
                <w:color w:val="000000" w:themeColor="text1"/>
              </w:rPr>
              <w:t>6.</w:t>
            </w:r>
          </w:p>
        </w:tc>
        <w:tc>
          <w:tcPr>
            <w:tcW w:w="2885"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Cita informācija</w:t>
            </w:r>
          </w:p>
        </w:tc>
        <w:tc>
          <w:tcPr>
            <w:tcW w:w="5982" w:type="dxa"/>
          </w:tcPr>
          <w:p w:rsidR="00FC03FD" w:rsidRPr="0024569C" w:rsidRDefault="00FC03FD" w:rsidP="00A931B8">
            <w:pPr>
              <w:spacing w:after="0" w:line="240" w:lineRule="auto"/>
              <w:rPr>
                <w:rFonts w:ascii="Times New Roman" w:eastAsia="Times New Roman" w:hAnsi="Times New Roman"/>
                <w:color w:val="000000" w:themeColor="text1"/>
                <w:sz w:val="24"/>
                <w:szCs w:val="24"/>
                <w:lang w:eastAsia="lv-LV"/>
              </w:rPr>
            </w:pPr>
            <w:r w:rsidRPr="0024569C">
              <w:rPr>
                <w:rFonts w:ascii="Times New Roman" w:eastAsia="Times New Roman" w:hAnsi="Times New Roman"/>
                <w:color w:val="000000" w:themeColor="text1"/>
                <w:sz w:val="24"/>
                <w:szCs w:val="24"/>
                <w:lang w:eastAsia="lv-LV"/>
              </w:rPr>
              <w:t>Nav</w:t>
            </w:r>
          </w:p>
        </w:tc>
      </w:tr>
    </w:tbl>
    <w:p w:rsidR="00EF4FFB" w:rsidRPr="0024569C" w:rsidRDefault="00946212" w:rsidP="004C165F">
      <w:pPr>
        <w:spacing w:after="0" w:line="240" w:lineRule="auto"/>
        <w:ind w:firstLine="720"/>
        <w:jc w:val="center"/>
        <w:rPr>
          <w:rFonts w:ascii="Times New Roman" w:hAnsi="Times New Roman"/>
          <w:i/>
          <w:color w:val="000000" w:themeColor="text1"/>
          <w:sz w:val="24"/>
          <w:szCs w:val="24"/>
        </w:rPr>
      </w:pPr>
      <w:r w:rsidRPr="0024569C">
        <w:rPr>
          <w:rFonts w:ascii="Times New Roman" w:hAnsi="Times New Roman"/>
          <w:i/>
          <w:color w:val="000000" w:themeColor="text1"/>
          <w:sz w:val="24"/>
          <w:szCs w:val="24"/>
        </w:rPr>
        <w:t>Anotācijas IV</w:t>
      </w:r>
      <w:r w:rsidR="005B74D0">
        <w:rPr>
          <w:rFonts w:ascii="Times New Roman" w:hAnsi="Times New Roman"/>
          <w:i/>
          <w:color w:val="000000" w:themeColor="text1"/>
          <w:sz w:val="24"/>
          <w:szCs w:val="24"/>
        </w:rPr>
        <w:t xml:space="preserve">, V, </w:t>
      </w:r>
      <w:r w:rsidR="00EF4FFB" w:rsidRPr="0024569C">
        <w:rPr>
          <w:rFonts w:ascii="Times New Roman" w:hAnsi="Times New Roman"/>
          <w:i/>
          <w:color w:val="000000" w:themeColor="text1"/>
          <w:sz w:val="24"/>
          <w:szCs w:val="24"/>
        </w:rPr>
        <w:t>VI sadaļa – projekts šīs jomas neskar.</w:t>
      </w:r>
    </w:p>
    <w:p w:rsidR="004C165F" w:rsidRPr="0024569C" w:rsidRDefault="004C165F" w:rsidP="004C165F">
      <w:pPr>
        <w:pStyle w:val="NormalWeb"/>
        <w:spacing w:before="0" w:beforeAutospacing="0" w:after="0" w:afterAutospacing="0"/>
        <w:ind w:left="539"/>
        <w:rPr>
          <w:color w:val="000000" w:themeColor="text1"/>
          <w:sz w:val="28"/>
          <w:szCs w:val="28"/>
        </w:rPr>
      </w:pPr>
    </w:p>
    <w:p w:rsidR="00977807" w:rsidRPr="00977807" w:rsidRDefault="00977807" w:rsidP="00977807">
      <w:pPr>
        <w:suppressLineNumbers/>
        <w:spacing w:after="0" w:line="240" w:lineRule="auto"/>
        <w:ind w:firstLine="539"/>
        <w:rPr>
          <w:rFonts w:ascii="Times New Roman" w:hAnsi="Times New Roman"/>
          <w:color w:val="000000"/>
          <w:sz w:val="28"/>
        </w:rPr>
      </w:pPr>
      <w:r w:rsidRPr="00977807">
        <w:rPr>
          <w:rFonts w:ascii="Times New Roman" w:hAnsi="Times New Roman"/>
          <w:color w:val="000000"/>
          <w:sz w:val="28"/>
        </w:rPr>
        <w:t>Eko</w:t>
      </w:r>
      <w:r w:rsidRPr="00977807">
        <w:rPr>
          <w:rFonts w:ascii="Times New Roman" w:hAnsi="Times New Roman"/>
          <w:color w:val="000000"/>
          <w:sz w:val="28"/>
        </w:rPr>
        <w:t xml:space="preserve">nomikas ministrs         </w:t>
      </w:r>
      <w:r w:rsidRPr="00977807">
        <w:rPr>
          <w:rFonts w:ascii="Times New Roman" w:hAnsi="Times New Roman"/>
          <w:color w:val="000000"/>
          <w:sz w:val="28"/>
        </w:rPr>
        <w:tab/>
      </w:r>
      <w:r w:rsidRPr="00977807">
        <w:rPr>
          <w:rFonts w:ascii="Times New Roman" w:hAnsi="Times New Roman"/>
          <w:color w:val="000000"/>
          <w:sz w:val="28"/>
        </w:rPr>
        <w:tab/>
      </w:r>
      <w:r w:rsidRPr="00977807">
        <w:rPr>
          <w:rFonts w:ascii="Times New Roman" w:hAnsi="Times New Roman"/>
          <w:color w:val="000000"/>
          <w:sz w:val="28"/>
        </w:rPr>
        <w:tab/>
      </w:r>
      <w:r w:rsidRPr="00977807">
        <w:rPr>
          <w:rFonts w:ascii="Times New Roman" w:hAnsi="Times New Roman"/>
          <w:color w:val="000000"/>
          <w:sz w:val="28"/>
        </w:rPr>
        <w:tab/>
      </w:r>
      <w:r w:rsidRPr="00977807">
        <w:rPr>
          <w:rFonts w:ascii="Times New Roman" w:hAnsi="Times New Roman"/>
          <w:color w:val="000000"/>
          <w:sz w:val="28"/>
        </w:rPr>
        <w:tab/>
      </w:r>
      <w:r w:rsidRPr="00977807">
        <w:rPr>
          <w:rFonts w:ascii="Times New Roman" w:hAnsi="Times New Roman"/>
          <w:color w:val="000000"/>
          <w:sz w:val="28"/>
        </w:rPr>
        <w:tab/>
      </w:r>
      <w:r w:rsidRPr="00977807">
        <w:rPr>
          <w:rFonts w:ascii="Times New Roman" w:hAnsi="Times New Roman"/>
          <w:color w:val="000000"/>
          <w:sz w:val="28"/>
        </w:rPr>
        <w:t>D.Pavļuts</w:t>
      </w:r>
    </w:p>
    <w:p w:rsidR="004C165F" w:rsidRPr="00977807" w:rsidRDefault="004C165F" w:rsidP="004C165F">
      <w:pPr>
        <w:pStyle w:val="EnvelopeReturn"/>
        <w:tabs>
          <w:tab w:val="left" w:pos="6480"/>
          <w:tab w:val="right" w:pos="7560"/>
        </w:tabs>
        <w:spacing w:before="0"/>
        <w:ind w:left="539"/>
        <w:rPr>
          <w:color w:val="000000" w:themeColor="text1"/>
          <w:sz w:val="28"/>
          <w:szCs w:val="28"/>
          <w:lang w:val="lv-LV"/>
        </w:rPr>
      </w:pPr>
    </w:p>
    <w:p w:rsidR="00F3027A" w:rsidRPr="00977807" w:rsidRDefault="00F3027A" w:rsidP="004C165F">
      <w:pPr>
        <w:pStyle w:val="EnvelopeReturn"/>
        <w:tabs>
          <w:tab w:val="left" w:pos="6480"/>
          <w:tab w:val="right" w:pos="7560"/>
        </w:tabs>
        <w:spacing w:before="0"/>
        <w:ind w:left="539"/>
        <w:rPr>
          <w:color w:val="000000" w:themeColor="text1"/>
          <w:sz w:val="28"/>
          <w:szCs w:val="28"/>
          <w:lang w:val="lv-LV"/>
        </w:rPr>
      </w:pPr>
      <w:r w:rsidRPr="00977807">
        <w:rPr>
          <w:color w:val="000000" w:themeColor="text1"/>
          <w:sz w:val="28"/>
          <w:szCs w:val="28"/>
          <w:lang w:val="lv-LV"/>
        </w:rPr>
        <w:t>Vīz</w:t>
      </w:r>
      <w:r w:rsidR="009947F0" w:rsidRPr="00977807">
        <w:rPr>
          <w:color w:val="000000" w:themeColor="text1"/>
          <w:sz w:val="28"/>
          <w:szCs w:val="28"/>
          <w:lang w:val="lv-LV"/>
        </w:rPr>
        <w:t>a</w:t>
      </w:r>
      <w:r w:rsidRPr="00977807">
        <w:rPr>
          <w:color w:val="000000" w:themeColor="text1"/>
          <w:sz w:val="28"/>
          <w:szCs w:val="28"/>
          <w:lang w:val="lv-LV"/>
        </w:rPr>
        <w:t xml:space="preserve">: </w:t>
      </w:r>
    </w:p>
    <w:p w:rsidR="00372AC5" w:rsidRPr="00977807" w:rsidRDefault="009E19E9" w:rsidP="00372AC5">
      <w:pPr>
        <w:pStyle w:val="BodyTextIndent2"/>
        <w:spacing w:after="60" w:line="240" w:lineRule="auto"/>
        <w:ind w:left="0" w:firstLine="539"/>
        <w:rPr>
          <w:rFonts w:ascii="Times New Roman" w:hAnsi="Times New Roman"/>
          <w:color w:val="000000" w:themeColor="text1"/>
          <w:sz w:val="28"/>
          <w:szCs w:val="28"/>
        </w:rPr>
      </w:pPr>
      <w:r w:rsidRPr="00977807">
        <w:rPr>
          <w:rFonts w:ascii="Times New Roman" w:hAnsi="Times New Roman"/>
          <w:color w:val="000000" w:themeColor="text1"/>
          <w:sz w:val="28"/>
          <w:szCs w:val="28"/>
        </w:rPr>
        <w:t>v</w:t>
      </w:r>
      <w:r w:rsidR="00372AC5" w:rsidRPr="00977807">
        <w:rPr>
          <w:rFonts w:ascii="Times New Roman" w:hAnsi="Times New Roman"/>
          <w:color w:val="000000" w:themeColor="text1"/>
          <w:sz w:val="28"/>
          <w:szCs w:val="28"/>
        </w:rPr>
        <w:t>alsts sekretār</w:t>
      </w:r>
      <w:r w:rsidR="0058459A" w:rsidRPr="00977807">
        <w:rPr>
          <w:rFonts w:ascii="Times New Roman" w:hAnsi="Times New Roman"/>
          <w:color w:val="000000" w:themeColor="text1"/>
          <w:sz w:val="28"/>
          <w:szCs w:val="28"/>
        </w:rPr>
        <w:t xml:space="preserve">s </w:t>
      </w:r>
      <w:r w:rsidR="0058459A" w:rsidRPr="00977807">
        <w:rPr>
          <w:rFonts w:ascii="Times New Roman" w:hAnsi="Times New Roman"/>
          <w:color w:val="000000" w:themeColor="text1"/>
          <w:sz w:val="28"/>
          <w:szCs w:val="28"/>
        </w:rPr>
        <w:tab/>
      </w:r>
      <w:r w:rsidR="0058459A" w:rsidRPr="00977807">
        <w:rPr>
          <w:rFonts w:ascii="Times New Roman" w:hAnsi="Times New Roman"/>
          <w:color w:val="000000" w:themeColor="text1"/>
          <w:sz w:val="28"/>
          <w:szCs w:val="28"/>
        </w:rPr>
        <w:tab/>
      </w:r>
      <w:r w:rsidR="0058459A" w:rsidRPr="00977807">
        <w:rPr>
          <w:rFonts w:ascii="Times New Roman" w:hAnsi="Times New Roman"/>
          <w:color w:val="000000" w:themeColor="text1"/>
          <w:sz w:val="28"/>
          <w:szCs w:val="28"/>
        </w:rPr>
        <w:tab/>
      </w:r>
      <w:r w:rsidR="0058459A" w:rsidRPr="00977807">
        <w:rPr>
          <w:rFonts w:ascii="Times New Roman" w:hAnsi="Times New Roman"/>
          <w:color w:val="000000" w:themeColor="text1"/>
          <w:sz w:val="28"/>
          <w:szCs w:val="28"/>
        </w:rPr>
        <w:tab/>
      </w:r>
      <w:r w:rsidR="0058459A" w:rsidRPr="00977807">
        <w:rPr>
          <w:rFonts w:ascii="Times New Roman" w:hAnsi="Times New Roman"/>
          <w:color w:val="000000" w:themeColor="text1"/>
          <w:sz w:val="28"/>
          <w:szCs w:val="28"/>
        </w:rPr>
        <w:tab/>
      </w:r>
      <w:r w:rsidR="0058459A" w:rsidRPr="00977807">
        <w:rPr>
          <w:rFonts w:ascii="Times New Roman" w:hAnsi="Times New Roman"/>
          <w:color w:val="000000" w:themeColor="text1"/>
          <w:sz w:val="28"/>
          <w:szCs w:val="28"/>
        </w:rPr>
        <w:tab/>
      </w:r>
      <w:r w:rsidR="00373141" w:rsidRPr="00977807">
        <w:rPr>
          <w:rFonts w:ascii="Times New Roman" w:hAnsi="Times New Roman"/>
          <w:color w:val="000000" w:themeColor="text1"/>
          <w:sz w:val="28"/>
          <w:szCs w:val="28"/>
        </w:rPr>
        <w:tab/>
      </w:r>
      <w:r w:rsidR="0058459A" w:rsidRPr="00977807">
        <w:rPr>
          <w:rFonts w:ascii="Times New Roman" w:hAnsi="Times New Roman"/>
          <w:color w:val="000000" w:themeColor="text1"/>
          <w:sz w:val="28"/>
          <w:szCs w:val="28"/>
        </w:rPr>
        <w:t>J.Pūce</w:t>
      </w:r>
    </w:p>
    <w:p w:rsidR="00C64385" w:rsidRDefault="00C64385" w:rsidP="009E19E9">
      <w:pPr>
        <w:spacing w:after="0" w:line="240" w:lineRule="auto"/>
        <w:rPr>
          <w:rFonts w:ascii="Times New Roman" w:hAnsi="Times New Roman"/>
          <w:color w:val="000000" w:themeColor="text1"/>
          <w:sz w:val="20"/>
          <w:szCs w:val="20"/>
        </w:rPr>
      </w:pPr>
    </w:p>
    <w:p w:rsidR="00A61BC2" w:rsidRDefault="00A61BC2" w:rsidP="009E19E9">
      <w:pPr>
        <w:spacing w:after="0" w:line="240" w:lineRule="auto"/>
        <w:rPr>
          <w:rFonts w:ascii="Times New Roman" w:hAnsi="Times New Roman"/>
          <w:color w:val="000000" w:themeColor="text1"/>
          <w:sz w:val="20"/>
          <w:szCs w:val="20"/>
        </w:rPr>
      </w:pPr>
    </w:p>
    <w:p w:rsidR="00A61BC2" w:rsidRDefault="00A61BC2" w:rsidP="009E19E9">
      <w:pPr>
        <w:spacing w:after="0" w:line="240" w:lineRule="auto"/>
        <w:rPr>
          <w:rFonts w:ascii="Times New Roman" w:hAnsi="Times New Roman"/>
          <w:color w:val="000000" w:themeColor="text1"/>
          <w:sz w:val="20"/>
          <w:szCs w:val="20"/>
        </w:rPr>
      </w:pPr>
    </w:p>
    <w:p w:rsidR="00A61BC2" w:rsidRDefault="00A61BC2" w:rsidP="009E19E9">
      <w:pPr>
        <w:spacing w:after="0" w:line="240" w:lineRule="auto"/>
        <w:rPr>
          <w:rFonts w:ascii="Times New Roman" w:hAnsi="Times New Roman"/>
          <w:color w:val="000000" w:themeColor="text1"/>
          <w:sz w:val="20"/>
          <w:szCs w:val="20"/>
        </w:rPr>
      </w:pPr>
    </w:p>
    <w:p w:rsidR="009E19E9" w:rsidRPr="0024569C" w:rsidRDefault="00A61BC2" w:rsidP="009E19E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sidR="00977807">
        <w:rPr>
          <w:rFonts w:ascii="Times New Roman" w:hAnsi="Times New Roman"/>
          <w:color w:val="000000" w:themeColor="text1"/>
          <w:sz w:val="20"/>
          <w:szCs w:val="20"/>
        </w:rPr>
        <w:t>5</w:t>
      </w:r>
      <w:r w:rsidR="009E19E9" w:rsidRPr="0024569C">
        <w:rPr>
          <w:rFonts w:ascii="Times New Roman" w:hAnsi="Times New Roman"/>
          <w:color w:val="000000" w:themeColor="text1"/>
          <w:sz w:val="20"/>
          <w:szCs w:val="20"/>
        </w:rPr>
        <w:t>.0</w:t>
      </w:r>
      <w:r w:rsidR="001B0A96">
        <w:rPr>
          <w:rFonts w:ascii="Times New Roman" w:hAnsi="Times New Roman"/>
          <w:color w:val="000000" w:themeColor="text1"/>
          <w:sz w:val="20"/>
          <w:szCs w:val="20"/>
        </w:rPr>
        <w:t>7</w:t>
      </w:r>
      <w:r w:rsidR="009E19E9" w:rsidRPr="0024569C">
        <w:rPr>
          <w:rFonts w:ascii="Times New Roman" w:hAnsi="Times New Roman"/>
          <w:color w:val="000000" w:themeColor="text1"/>
          <w:sz w:val="20"/>
          <w:szCs w:val="20"/>
        </w:rPr>
        <w:t>.201</w:t>
      </w:r>
      <w:r w:rsidR="00DA4260">
        <w:rPr>
          <w:rFonts w:ascii="Times New Roman" w:hAnsi="Times New Roman"/>
          <w:color w:val="000000" w:themeColor="text1"/>
          <w:sz w:val="20"/>
          <w:szCs w:val="20"/>
        </w:rPr>
        <w:t>3</w:t>
      </w:r>
      <w:r w:rsidR="009E19E9" w:rsidRPr="0024569C">
        <w:rPr>
          <w:rFonts w:ascii="Times New Roman" w:hAnsi="Times New Roman"/>
          <w:color w:val="000000" w:themeColor="text1"/>
          <w:sz w:val="20"/>
          <w:szCs w:val="20"/>
        </w:rPr>
        <w:t>.</w:t>
      </w:r>
      <w:r w:rsidR="006A037A" w:rsidRPr="0024569C">
        <w:rPr>
          <w:rFonts w:ascii="Times New Roman" w:hAnsi="Times New Roman"/>
          <w:color w:val="000000" w:themeColor="text1"/>
          <w:sz w:val="20"/>
          <w:szCs w:val="20"/>
        </w:rPr>
        <w:t xml:space="preserve"> </w:t>
      </w:r>
      <w:r w:rsidR="00AA1B55">
        <w:rPr>
          <w:rFonts w:ascii="Times New Roman" w:hAnsi="Times New Roman"/>
          <w:color w:val="000000" w:themeColor="text1"/>
          <w:sz w:val="20"/>
          <w:szCs w:val="20"/>
        </w:rPr>
        <w:t>10</w:t>
      </w:r>
      <w:r w:rsidR="00EC13DE">
        <w:rPr>
          <w:rFonts w:ascii="Times New Roman" w:hAnsi="Times New Roman"/>
          <w:color w:val="000000" w:themeColor="text1"/>
          <w:sz w:val="20"/>
          <w:szCs w:val="20"/>
        </w:rPr>
        <w:t>:</w:t>
      </w:r>
      <w:r w:rsidR="00977807">
        <w:rPr>
          <w:rFonts w:ascii="Times New Roman" w:hAnsi="Times New Roman"/>
          <w:color w:val="000000" w:themeColor="text1"/>
          <w:sz w:val="20"/>
          <w:szCs w:val="20"/>
        </w:rPr>
        <w:t>0</w:t>
      </w:r>
      <w:r w:rsidR="004F00FB">
        <w:rPr>
          <w:rFonts w:ascii="Times New Roman" w:hAnsi="Times New Roman"/>
          <w:color w:val="000000" w:themeColor="text1"/>
          <w:sz w:val="20"/>
          <w:szCs w:val="20"/>
        </w:rPr>
        <w:t>7</w:t>
      </w:r>
      <w:bookmarkStart w:id="1" w:name="_GoBack"/>
      <w:bookmarkEnd w:id="1"/>
    </w:p>
    <w:p w:rsidR="00DC1C4B" w:rsidRDefault="001640B1" w:rsidP="0058459A">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2</w:t>
      </w:r>
      <w:r w:rsidR="00714B67">
        <w:rPr>
          <w:rFonts w:ascii="Times New Roman" w:hAnsi="Times New Roman"/>
          <w:color w:val="000000" w:themeColor="text1"/>
          <w:sz w:val="20"/>
          <w:szCs w:val="20"/>
        </w:rPr>
        <w:t>8</w:t>
      </w:r>
      <w:r w:rsidR="00977807">
        <w:rPr>
          <w:rFonts w:ascii="Times New Roman" w:hAnsi="Times New Roman"/>
          <w:color w:val="000000" w:themeColor="text1"/>
          <w:sz w:val="20"/>
          <w:szCs w:val="20"/>
        </w:rPr>
        <w:t>88</w:t>
      </w:r>
    </w:p>
    <w:p w:rsidR="0058459A" w:rsidRPr="0024569C" w:rsidRDefault="0058459A" w:rsidP="0058459A">
      <w:pPr>
        <w:spacing w:after="0" w:line="240" w:lineRule="auto"/>
        <w:rPr>
          <w:rFonts w:ascii="Times New Roman" w:hAnsi="Times New Roman"/>
          <w:color w:val="000000" w:themeColor="text1"/>
          <w:sz w:val="20"/>
          <w:szCs w:val="20"/>
        </w:rPr>
      </w:pPr>
      <w:r w:rsidRPr="0024569C">
        <w:rPr>
          <w:rFonts w:ascii="Times New Roman" w:hAnsi="Times New Roman"/>
          <w:color w:val="000000" w:themeColor="text1"/>
          <w:sz w:val="20"/>
          <w:szCs w:val="20"/>
        </w:rPr>
        <w:t>K.Piģēns,</w:t>
      </w:r>
      <w:r w:rsidR="0052561D">
        <w:rPr>
          <w:rFonts w:ascii="Times New Roman" w:hAnsi="Times New Roman"/>
          <w:color w:val="000000" w:themeColor="text1"/>
          <w:sz w:val="20"/>
          <w:szCs w:val="20"/>
        </w:rPr>
        <w:t xml:space="preserve"> </w:t>
      </w:r>
      <w:r w:rsidRPr="0024569C">
        <w:rPr>
          <w:rFonts w:ascii="Times New Roman" w:hAnsi="Times New Roman"/>
          <w:color w:val="000000" w:themeColor="text1"/>
          <w:sz w:val="20"/>
          <w:szCs w:val="20"/>
        </w:rPr>
        <w:t>67013133</w:t>
      </w:r>
    </w:p>
    <w:p w:rsidR="0058459A" w:rsidRPr="0024569C" w:rsidRDefault="00E81513" w:rsidP="0058459A">
      <w:pPr>
        <w:spacing w:after="0" w:line="240" w:lineRule="auto"/>
        <w:rPr>
          <w:rFonts w:ascii="Times New Roman" w:hAnsi="Times New Roman"/>
          <w:color w:val="000000" w:themeColor="text1"/>
          <w:sz w:val="20"/>
          <w:szCs w:val="20"/>
        </w:rPr>
      </w:pPr>
      <w:hyperlink r:id="rId9" w:history="1">
        <w:r w:rsidR="0058459A" w:rsidRPr="0024569C">
          <w:rPr>
            <w:rStyle w:val="Hyperlink"/>
            <w:rFonts w:ascii="Times New Roman" w:hAnsi="Times New Roman"/>
            <w:color w:val="000000" w:themeColor="text1"/>
            <w:sz w:val="20"/>
            <w:szCs w:val="20"/>
          </w:rPr>
          <w:t>Karlis.Pigens@em.gov.lv</w:t>
        </w:r>
      </w:hyperlink>
    </w:p>
    <w:sectPr w:rsidR="0058459A" w:rsidRPr="0024569C" w:rsidSect="00AB5795">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513" w:rsidRDefault="00E81513" w:rsidP="009640EB">
      <w:pPr>
        <w:spacing w:after="0" w:line="240" w:lineRule="auto"/>
      </w:pPr>
      <w:r>
        <w:separator/>
      </w:r>
    </w:p>
  </w:endnote>
  <w:endnote w:type="continuationSeparator" w:id="0">
    <w:p w:rsidR="00E81513" w:rsidRDefault="00E81513"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altName w:val="Times New Roman"/>
    <w:panose1 w:val="00000000000000000000"/>
    <w:charset w:val="00"/>
    <w:family w:val="roman"/>
    <w:notTrueType/>
    <w:pitch w:val="default"/>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0D" w:rsidRPr="00DC48EE" w:rsidRDefault="00DC48EE" w:rsidP="00DC48EE">
    <w:pPr>
      <w:spacing w:line="240" w:lineRule="auto"/>
      <w:contextualSpacing/>
      <w:jc w:val="both"/>
      <w:outlineLvl w:val="0"/>
    </w:pPr>
    <w:r>
      <w:rPr>
        <w:rFonts w:ascii="Times New Roman" w:hAnsi="Times New Roman"/>
        <w:sz w:val="20"/>
        <w:szCs w:val="20"/>
      </w:rPr>
      <w:t>EMAnot_</w:t>
    </w:r>
    <w:r w:rsidR="00A61BC2">
      <w:rPr>
        <w:rFonts w:ascii="Times New Roman" w:hAnsi="Times New Roman"/>
        <w:sz w:val="20"/>
        <w:szCs w:val="20"/>
      </w:rPr>
      <w:t>2</w:t>
    </w:r>
    <w:r w:rsidR="00977807">
      <w:rPr>
        <w:rFonts w:ascii="Times New Roman" w:hAnsi="Times New Roman"/>
        <w:sz w:val="20"/>
        <w:szCs w:val="20"/>
      </w:rPr>
      <w:t>5</w:t>
    </w:r>
    <w:r w:rsidR="00F9473E">
      <w:rPr>
        <w:rFonts w:ascii="Times New Roman" w:hAnsi="Times New Roman"/>
        <w:sz w:val="20"/>
        <w:szCs w:val="20"/>
      </w:rPr>
      <w:t>0713</w:t>
    </w:r>
    <w:r>
      <w:rPr>
        <w:rFonts w:ascii="Times New Roman" w:hAnsi="Times New Roman"/>
        <w:sz w:val="20"/>
        <w:szCs w:val="20"/>
      </w:rPr>
      <w:t>_MKnotNr221</w:t>
    </w:r>
    <w:r w:rsidRPr="004C7262">
      <w:rPr>
        <w:rFonts w:ascii="Times New Roman" w:hAnsi="Times New Roman"/>
        <w:sz w:val="20"/>
        <w:szCs w:val="20"/>
      </w:rPr>
      <w:t>; Ministru kabineta noteikumu projekta</w:t>
    </w:r>
    <w:r>
      <w:rPr>
        <w:rFonts w:ascii="Times New Roman" w:hAnsi="Times New Roman"/>
        <w:sz w:val="20"/>
        <w:szCs w:val="20"/>
      </w:rPr>
      <w:t xml:space="preserve"> </w:t>
    </w:r>
    <w:r w:rsidRPr="004C7262">
      <w:rPr>
        <w:rFonts w:ascii="Times New Roman" w:hAnsi="Times New Roman"/>
        <w:sz w:val="20"/>
        <w:szCs w:val="20"/>
      </w:rPr>
      <w:t>„Grozījum</w:t>
    </w:r>
    <w:r>
      <w:rPr>
        <w:rFonts w:ascii="Times New Roman" w:hAnsi="Times New Roman"/>
        <w:sz w:val="20"/>
        <w:szCs w:val="20"/>
      </w:rPr>
      <w:t>i</w:t>
    </w:r>
    <w:r w:rsidRPr="004C7262">
      <w:rPr>
        <w:rFonts w:ascii="Times New Roman" w:hAnsi="Times New Roman"/>
        <w:sz w:val="20"/>
        <w:szCs w:val="20"/>
      </w:rPr>
      <w:t xml:space="preserve"> 2009.</w:t>
    </w:r>
    <w:r w:rsidR="003227FE">
      <w:rPr>
        <w:rFonts w:ascii="Times New Roman" w:hAnsi="Times New Roman"/>
        <w:sz w:val="20"/>
        <w:szCs w:val="20"/>
      </w:rPr>
      <w:t> </w:t>
    </w:r>
    <w:r w:rsidRPr="004C7262">
      <w:rPr>
        <w:rFonts w:ascii="Times New Roman" w:hAnsi="Times New Roman"/>
        <w:sz w:val="20"/>
        <w:szCs w:val="20"/>
      </w:rPr>
      <w:t>gada 10.</w:t>
    </w:r>
    <w:r w:rsidR="003227FE">
      <w:rPr>
        <w:rFonts w:ascii="Times New Roman" w:hAnsi="Times New Roman"/>
        <w:sz w:val="20"/>
        <w:szCs w:val="20"/>
      </w:rPr>
      <w:t> </w:t>
    </w:r>
    <w:r w:rsidRPr="004C7262">
      <w:rPr>
        <w:rFonts w:ascii="Times New Roman" w:hAnsi="Times New Roman"/>
        <w:sz w:val="20"/>
        <w:szCs w:val="20"/>
      </w:rPr>
      <w:t xml:space="preserve">marta </w:t>
    </w:r>
    <w:r>
      <w:rPr>
        <w:rFonts w:ascii="Times New Roman" w:hAnsi="Times New Roman"/>
        <w:sz w:val="20"/>
        <w:szCs w:val="20"/>
      </w:rPr>
      <w:t xml:space="preserve">Ministru kabineta </w:t>
    </w:r>
    <w:r w:rsidRPr="004C7262">
      <w:rPr>
        <w:rFonts w:ascii="Times New Roman" w:hAnsi="Times New Roman"/>
        <w:sz w:val="20"/>
        <w:szCs w:val="20"/>
      </w:rPr>
      <w:t>noteikumos Nr.221 „</w:t>
    </w:r>
    <w:r w:rsidRPr="004C7262">
      <w:rPr>
        <w:rFonts w:ascii="Times New Roman" w:hAnsi="Times New Roman"/>
        <w:bCs/>
        <w:sz w:val="20"/>
        <w:szCs w:val="20"/>
      </w:rPr>
      <w:t>Noteikumi par elektroenerģijas ražošanu un cenu noteikšanu, ražojot elektroenerģiju koģenerācijā”</w:t>
    </w:r>
    <w:r>
      <w:rPr>
        <w:rFonts w:ascii="Times New Roman" w:hAnsi="Times New Roman"/>
        <w:bCs/>
        <w:sz w:val="20"/>
        <w:szCs w:val="20"/>
      </w:rPr>
      <w:t>”</w:t>
    </w:r>
    <w:r w:rsidRPr="004C7262">
      <w:rPr>
        <w:rFonts w:ascii="Times New Roman" w:hAnsi="Times New Roman"/>
        <w:sz w:val="20"/>
        <w:szCs w:val="20"/>
      </w:rPr>
      <w:t xml:space="preserve"> </w:t>
    </w:r>
    <w:r w:rsidRPr="004C7262">
      <w:rPr>
        <w:rFonts w:ascii="Times New Roman" w:eastAsia="Times New Roman" w:hAnsi="Times New Roman"/>
        <w:bCs/>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0D" w:rsidRPr="004C7262" w:rsidRDefault="00DA4260" w:rsidP="004C7262">
    <w:pPr>
      <w:spacing w:line="240" w:lineRule="auto"/>
      <w:contextualSpacing/>
      <w:jc w:val="both"/>
      <w:outlineLvl w:val="0"/>
      <w:rPr>
        <w:rFonts w:ascii="Times New Roman" w:eastAsia="Times New Roman" w:hAnsi="Times New Roman"/>
        <w:bCs/>
        <w:sz w:val="20"/>
        <w:szCs w:val="20"/>
        <w:lang w:eastAsia="lv-LV"/>
      </w:rPr>
    </w:pPr>
    <w:r>
      <w:rPr>
        <w:rFonts w:ascii="Times New Roman" w:hAnsi="Times New Roman"/>
        <w:sz w:val="20"/>
        <w:szCs w:val="20"/>
      </w:rPr>
      <w:t>EMAnot_</w:t>
    </w:r>
    <w:r w:rsidR="00A61BC2">
      <w:rPr>
        <w:rFonts w:ascii="Times New Roman" w:hAnsi="Times New Roman"/>
        <w:sz w:val="20"/>
        <w:szCs w:val="20"/>
      </w:rPr>
      <w:t>2</w:t>
    </w:r>
    <w:r w:rsidR="00977807">
      <w:rPr>
        <w:rFonts w:ascii="Times New Roman" w:hAnsi="Times New Roman"/>
        <w:sz w:val="20"/>
        <w:szCs w:val="20"/>
      </w:rPr>
      <w:t>5</w:t>
    </w:r>
    <w:r w:rsidR="00F9473E">
      <w:rPr>
        <w:rFonts w:ascii="Times New Roman" w:hAnsi="Times New Roman"/>
        <w:sz w:val="20"/>
        <w:szCs w:val="20"/>
      </w:rPr>
      <w:t>0713</w:t>
    </w:r>
    <w:r>
      <w:rPr>
        <w:rFonts w:ascii="Times New Roman" w:hAnsi="Times New Roman"/>
        <w:sz w:val="20"/>
        <w:szCs w:val="20"/>
      </w:rPr>
      <w:t>_MKnotNr221</w:t>
    </w:r>
    <w:r w:rsidR="00FE130D" w:rsidRPr="004C7262">
      <w:rPr>
        <w:rFonts w:ascii="Times New Roman" w:hAnsi="Times New Roman"/>
        <w:sz w:val="20"/>
        <w:szCs w:val="20"/>
      </w:rPr>
      <w:t xml:space="preserve">; </w:t>
    </w:r>
    <w:bookmarkStart w:id="2" w:name="OLE_LINK6"/>
    <w:bookmarkStart w:id="3" w:name="OLE_LINK7"/>
    <w:r w:rsidR="00FE130D" w:rsidRPr="004C7262">
      <w:rPr>
        <w:rFonts w:ascii="Times New Roman" w:hAnsi="Times New Roman"/>
        <w:sz w:val="20"/>
        <w:szCs w:val="20"/>
      </w:rPr>
      <w:t>Ministru kabineta noteikumu projekta</w:t>
    </w:r>
    <w:r w:rsidR="00FE130D">
      <w:rPr>
        <w:rFonts w:ascii="Times New Roman" w:hAnsi="Times New Roman"/>
        <w:sz w:val="20"/>
        <w:szCs w:val="20"/>
      </w:rPr>
      <w:t xml:space="preserve"> </w:t>
    </w:r>
    <w:r w:rsidR="00FE130D" w:rsidRPr="004C7262">
      <w:rPr>
        <w:rFonts w:ascii="Times New Roman" w:hAnsi="Times New Roman"/>
        <w:sz w:val="20"/>
        <w:szCs w:val="20"/>
      </w:rPr>
      <w:t>„Grozījum</w:t>
    </w:r>
    <w:r w:rsidR="00FE130D">
      <w:rPr>
        <w:rFonts w:ascii="Times New Roman" w:hAnsi="Times New Roman"/>
        <w:sz w:val="20"/>
        <w:szCs w:val="20"/>
      </w:rPr>
      <w:t>i</w:t>
    </w:r>
    <w:r w:rsidR="00FE130D" w:rsidRPr="004C7262">
      <w:rPr>
        <w:rFonts w:ascii="Times New Roman" w:hAnsi="Times New Roman"/>
        <w:sz w:val="20"/>
        <w:szCs w:val="20"/>
      </w:rPr>
      <w:t xml:space="preserve"> 2009.</w:t>
    </w:r>
    <w:r w:rsidR="003227FE">
      <w:rPr>
        <w:rFonts w:ascii="Times New Roman" w:hAnsi="Times New Roman"/>
        <w:sz w:val="20"/>
        <w:szCs w:val="20"/>
      </w:rPr>
      <w:t> </w:t>
    </w:r>
    <w:r w:rsidR="00FE130D" w:rsidRPr="004C7262">
      <w:rPr>
        <w:rFonts w:ascii="Times New Roman" w:hAnsi="Times New Roman"/>
        <w:sz w:val="20"/>
        <w:szCs w:val="20"/>
      </w:rPr>
      <w:t>gada 10.</w:t>
    </w:r>
    <w:r w:rsidR="003227FE">
      <w:rPr>
        <w:rFonts w:ascii="Times New Roman" w:hAnsi="Times New Roman"/>
        <w:sz w:val="20"/>
        <w:szCs w:val="20"/>
      </w:rPr>
      <w:t> </w:t>
    </w:r>
    <w:r w:rsidR="00FE130D" w:rsidRPr="004C7262">
      <w:rPr>
        <w:rFonts w:ascii="Times New Roman" w:hAnsi="Times New Roman"/>
        <w:sz w:val="20"/>
        <w:szCs w:val="20"/>
      </w:rPr>
      <w:t xml:space="preserve">marta </w:t>
    </w:r>
    <w:r w:rsidR="00FE130D">
      <w:rPr>
        <w:rFonts w:ascii="Times New Roman" w:hAnsi="Times New Roman"/>
        <w:sz w:val="20"/>
        <w:szCs w:val="20"/>
      </w:rPr>
      <w:t xml:space="preserve">Ministru kabineta </w:t>
    </w:r>
    <w:r w:rsidR="00FE130D" w:rsidRPr="004C7262">
      <w:rPr>
        <w:rFonts w:ascii="Times New Roman" w:hAnsi="Times New Roman"/>
        <w:sz w:val="20"/>
        <w:szCs w:val="20"/>
      </w:rPr>
      <w:t>noteikumos Nr.221 „</w:t>
    </w:r>
    <w:r w:rsidR="00FE130D" w:rsidRPr="004C7262">
      <w:rPr>
        <w:rFonts w:ascii="Times New Roman" w:hAnsi="Times New Roman"/>
        <w:bCs/>
        <w:sz w:val="20"/>
        <w:szCs w:val="20"/>
      </w:rPr>
      <w:t>Noteikumi par elektroenerģijas ražošanu un cenu noteikšanu, ražojot elektroenerģiju koģenerācijā”</w:t>
    </w:r>
    <w:r w:rsidR="00FE130D">
      <w:rPr>
        <w:rFonts w:ascii="Times New Roman" w:hAnsi="Times New Roman"/>
        <w:bCs/>
        <w:sz w:val="20"/>
        <w:szCs w:val="20"/>
      </w:rPr>
      <w:t>”</w:t>
    </w:r>
    <w:r w:rsidR="00FE130D" w:rsidRPr="004C7262">
      <w:rPr>
        <w:rFonts w:ascii="Times New Roman" w:hAnsi="Times New Roman"/>
        <w:sz w:val="20"/>
        <w:szCs w:val="20"/>
      </w:rPr>
      <w:t xml:space="preserve"> </w:t>
    </w:r>
    <w:r w:rsidR="00FE130D" w:rsidRPr="004C7262">
      <w:rPr>
        <w:rFonts w:ascii="Times New Roman" w:eastAsia="Times New Roman" w:hAnsi="Times New Roman"/>
        <w:bCs/>
        <w:sz w:val="20"/>
        <w:szCs w:val="20"/>
        <w:lang w:eastAsia="lv-LV"/>
      </w:rPr>
      <w:t>sākotnējās ietekmes novērtējuma ziņojums (anotācija)</w:t>
    </w:r>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513" w:rsidRDefault="00E81513" w:rsidP="009640EB">
      <w:pPr>
        <w:spacing w:after="0" w:line="240" w:lineRule="auto"/>
      </w:pPr>
      <w:r>
        <w:separator/>
      </w:r>
    </w:p>
  </w:footnote>
  <w:footnote w:type="continuationSeparator" w:id="0">
    <w:p w:rsidR="00E81513" w:rsidRDefault="00E81513" w:rsidP="009640EB">
      <w:pPr>
        <w:spacing w:after="0" w:line="240" w:lineRule="auto"/>
      </w:pPr>
      <w:r>
        <w:continuationSeparator/>
      </w:r>
    </w:p>
  </w:footnote>
  <w:footnote w:id="1">
    <w:p w:rsidR="00404932" w:rsidRPr="00404932" w:rsidRDefault="00404932" w:rsidP="00404932">
      <w:pPr>
        <w:shd w:val="clear" w:color="auto" w:fill="FFFFFF"/>
        <w:spacing w:after="0" w:line="240" w:lineRule="auto"/>
        <w:jc w:val="both"/>
        <w:rPr>
          <w:rFonts w:ascii="Times New Roman" w:hAnsi="Times New Roman"/>
        </w:rPr>
      </w:pPr>
      <w:r w:rsidRPr="00404932">
        <w:rPr>
          <w:rStyle w:val="FootnoteReference"/>
          <w:rFonts w:ascii="Times New Roman" w:hAnsi="Times New Roman"/>
          <w:sz w:val="20"/>
          <w:szCs w:val="20"/>
        </w:rPr>
        <w:footnoteRef/>
      </w:r>
      <w:r w:rsidRPr="00404932">
        <w:rPr>
          <w:rFonts w:ascii="Times New Roman" w:hAnsi="Times New Roman"/>
          <w:sz w:val="20"/>
          <w:szCs w:val="20"/>
        </w:rPr>
        <w:t xml:space="preserve"> </w:t>
      </w:r>
      <w:r w:rsidRPr="00404932">
        <w:rPr>
          <w:rFonts w:ascii="Times New Roman" w:hAnsi="Times New Roman"/>
          <w:color w:val="000000"/>
          <w:sz w:val="20"/>
          <w:szCs w:val="20"/>
        </w:rPr>
        <w:t xml:space="preserve">Latvijas Republikas Augstākās tiesas </w:t>
      </w:r>
      <w:proofErr w:type="spellStart"/>
      <w:r w:rsidRPr="00404932">
        <w:rPr>
          <w:rFonts w:ascii="Times New Roman" w:hAnsi="Times New Roman"/>
          <w:color w:val="000000"/>
          <w:spacing w:val="-1"/>
          <w:sz w:val="20"/>
          <w:szCs w:val="20"/>
          <w:lang w:val="en-GB"/>
        </w:rPr>
        <w:t>Senāta</w:t>
      </w:r>
      <w:proofErr w:type="spellEnd"/>
      <w:r w:rsidRPr="00404932">
        <w:rPr>
          <w:rFonts w:ascii="Times New Roman" w:hAnsi="Times New Roman"/>
          <w:color w:val="000000"/>
          <w:spacing w:val="-1"/>
          <w:sz w:val="20"/>
          <w:szCs w:val="20"/>
          <w:lang w:val="en-GB"/>
        </w:rPr>
        <w:t xml:space="preserve"> </w:t>
      </w:r>
      <w:proofErr w:type="spellStart"/>
      <w:r w:rsidRPr="00404932">
        <w:rPr>
          <w:rFonts w:ascii="Times New Roman" w:hAnsi="Times New Roman"/>
          <w:color w:val="000000"/>
          <w:spacing w:val="-1"/>
          <w:sz w:val="20"/>
          <w:szCs w:val="20"/>
          <w:lang w:val="en-GB"/>
        </w:rPr>
        <w:t>Administratīvo</w:t>
      </w:r>
      <w:proofErr w:type="spellEnd"/>
      <w:r w:rsidRPr="00404932">
        <w:rPr>
          <w:rFonts w:ascii="Times New Roman" w:hAnsi="Times New Roman"/>
          <w:color w:val="000000"/>
          <w:spacing w:val="-1"/>
          <w:sz w:val="20"/>
          <w:szCs w:val="20"/>
          <w:lang w:val="en-GB"/>
        </w:rPr>
        <w:t xml:space="preserve"> lietu departamenta </w:t>
      </w:r>
      <w:r w:rsidRPr="00404932">
        <w:rPr>
          <w:rFonts w:ascii="Times New Roman" w:hAnsi="Times New Roman"/>
          <w:sz w:val="20"/>
          <w:szCs w:val="20"/>
        </w:rPr>
        <w:t>2012.gada 4.jūnija</w:t>
      </w:r>
      <w:r w:rsidRPr="00104362">
        <w:rPr>
          <w:rFonts w:ascii="Times New Roman" w:hAnsi="Times New Roman"/>
          <w:sz w:val="20"/>
          <w:szCs w:val="20"/>
        </w:rPr>
        <w:t xml:space="preserve"> spriedums lietā </w:t>
      </w:r>
      <w:proofErr w:type="spellStart"/>
      <w:r w:rsidRPr="00104362">
        <w:rPr>
          <w:rFonts w:ascii="Times New Roman" w:hAnsi="Times New Roman"/>
          <w:sz w:val="20"/>
          <w:szCs w:val="20"/>
        </w:rPr>
        <w:t>Nr</w:t>
      </w:r>
      <w:proofErr w:type="spellEnd"/>
      <w:r w:rsidRPr="00104362">
        <w:rPr>
          <w:rFonts w:ascii="Times New Roman" w:hAnsi="Times New Roman"/>
          <w:sz w:val="20"/>
          <w:szCs w:val="20"/>
        </w:rPr>
        <w:t>. A42723108 (SKA–28/2012), 1.lpp.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0376"/>
      <w:docPartObj>
        <w:docPartGallery w:val="Page Numbers (Top of Page)"/>
        <w:docPartUnique/>
      </w:docPartObj>
    </w:sdtPr>
    <w:sdtEndPr/>
    <w:sdtContent>
      <w:p w:rsidR="00FE130D" w:rsidRDefault="00FE1A12">
        <w:pPr>
          <w:pStyle w:val="Header"/>
          <w:jc w:val="center"/>
        </w:pPr>
        <w:r w:rsidRPr="00C25AD5">
          <w:rPr>
            <w:rFonts w:ascii="Times New Roman" w:hAnsi="Times New Roman"/>
            <w:sz w:val="24"/>
            <w:szCs w:val="24"/>
          </w:rPr>
          <w:fldChar w:fldCharType="begin"/>
        </w:r>
        <w:r w:rsidR="00FE130D"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4F00FB">
          <w:rPr>
            <w:rFonts w:ascii="Times New Roman" w:hAnsi="Times New Roman"/>
            <w:noProof/>
            <w:sz w:val="24"/>
            <w:szCs w:val="24"/>
          </w:rPr>
          <w:t>9</w:t>
        </w:r>
        <w:r w:rsidRPr="00C25AD5">
          <w:rPr>
            <w:rFonts w:ascii="Times New Roman" w:hAnsi="Times New Roman"/>
            <w:sz w:val="24"/>
            <w:szCs w:val="24"/>
          </w:rPr>
          <w:fldChar w:fldCharType="end"/>
        </w:r>
      </w:p>
    </w:sdtContent>
  </w:sdt>
  <w:p w:rsidR="00FE130D" w:rsidRDefault="00FE1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abstractNum w:abstractNumId="13">
    <w:nsid w:val="7E071510"/>
    <w:multiLevelType w:val="hybridMultilevel"/>
    <w:tmpl w:val="58205598"/>
    <w:lvl w:ilvl="0" w:tplc="0426000D">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10"/>
  </w:num>
  <w:num w:numId="4">
    <w:abstractNumId w:val="5"/>
  </w:num>
  <w:num w:numId="5">
    <w:abstractNumId w:val="9"/>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12"/>
  </w:num>
  <w:num w:numId="10">
    <w:abstractNumId w:val="7"/>
  </w:num>
  <w:num w:numId="11">
    <w:abstractNumId w:val="0"/>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43E8"/>
    <w:rsid w:val="00002268"/>
    <w:rsid w:val="00002503"/>
    <w:rsid w:val="000051CC"/>
    <w:rsid w:val="000114C7"/>
    <w:rsid w:val="0001271E"/>
    <w:rsid w:val="00014144"/>
    <w:rsid w:val="0001422A"/>
    <w:rsid w:val="00014937"/>
    <w:rsid w:val="00015A72"/>
    <w:rsid w:val="00015EC6"/>
    <w:rsid w:val="00017C7B"/>
    <w:rsid w:val="0002028F"/>
    <w:rsid w:val="0002030A"/>
    <w:rsid w:val="000214C4"/>
    <w:rsid w:val="000258C0"/>
    <w:rsid w:val="00027D3D"/>
    <w:rsid w:val="00030477"/>
    <w:rsid w:val="00030D50"/>
    <w:rsid w:val="00035037"/>
    <w:rsid w:val="00036A9B"/>
    <w:rsid w:val="0004038C"/>
    <w:rsid w:val="0004231A"/>
    <w:rsid w:val="00043735"/>
    <w:rsid w:val="00043C1A"/>
    <w:rsid w:val="00046C40"/>
    <w:rsid w:val="000504F6"/>
    <w:rsid w:val="0005099F"/>
    <w:rsid w:val="0005372E"/>
    <w:rsid w:val="00053D19"/>
    <w:rsid w:val="00053E9B"/>
    <w:rsid w:val="00055F75"/>
    <w:rsid w:val="00062F83"/>
    <w:rsid w:val="00063A04"/>
    <w:rsid w:val="0007081E"/>
    <w:rsid w:val="00072931"/>
    <w:rsid w:val="00073651"/>
    <w:rsid w:val="00076769"/>
    <w:rsid w:val="00077611"/>
    <w:rsid w:val="00080D0B"/>
    <w:rsid w:val="00080F58"/>
    <w:rsid w:val="0008206C"/>
    <w:rsid w:val="000820A2"/>
    <w:rsid w:val="00082D6C"/>
    <w:rsid w:val="000833E2"/>
    <w:rsid w:val="00083E6F"/>
    <w:rsid w:val="00084090"/>
    <w:rsid w:val="00085AD1"/>
    <w:rsid w:val="00085DBA"/>
    <w:rsid w:val="00086787"/>
    <w:rsid w:val="0009034C"/>
    <w:rsid w:val="00092065"/>
    <w:rsid w:val="000931B5"/>
    <w:rsid w:val="00093ACE"/>
    <w:rsid w:val="00093DEB"/>
    <w:rsid w:val="00095E97"/>
    <w:rsid w:val="000A1292"/>
    <w:rsid w:val="000A5A46"/>
    <w:rsid w:val="000A67F8"/>
    <w:rsid w:val="000A6B7D"/>
    <w:rsid w:val="000A747F"/>
    <w:rsid w:val="000B0780"/>
    <w:rsid w:val="000B1064"/>
    <w:rsid w:val="000B29E9"/>
    <w:rsid w:val="000B2A4E"/>
    <w:rsid w:val="000B2D19"/>
    <w:rsid w:val="000B3CF2"/>
    <w:rsid w:val="000B7F35"/>
    <w:rsid w:val="000C16E6"/>
    <w:rsid w:val="000C24C7"/>
    <w:rsid w:val="000C37CF"/>
    <w:rsid w:val="000C4389"/>
    <w:rsid w:val="000D0C6F"/>
    <w:rsid w:val="000D10CB"/>
    <w:rsid w:val="000D16A5"/>
    <w:rsid w:val="000D29B1"/>
    <w:rsid w:val="000D51D2"/>
    <w:rsid w:val="000D6EEE"/>
    <w:rsid w:val="000E11A5"/>
    <w:rsid w:val="000E2B3C"/>
    <w:rsid w:val="000E47B5"/>
    <w:rsid w:val="000E47F4"/>
    <w:rsid w:val="000E7AB3"/>
    <w:rsid w:val="000F279D"/>
    <w:rsid w:val="000F27FD"/>
    <w:rsid w:val="000F2E2F"/>
    <w:rsid w:val="000F4726"/>
    <w:rsid w:val="000F6BCB"/>
    <w:rsid w:val="00101515"/>
    <w:rsid w:val="00103E89"/>
    <w:rsid w:val="00104362"/>
    <w:rsid w:val="00105275"/>
    <w:rsid w:val="0010532F"/>
    <w:rsid w:val="001072A1"/>
    <w:rsid w:val="00110673"/>
    <w:rsid w:val="00110AA1"/>
    <w:rsid w:val="001128BE"/>
    <w:rsid w:val="001134C5"/>
    <w:rsid w:val="00115CA5"/>
    <w:rsid w:val="0011631B"/>
    <w:rsid w:val="001172C8"/>
    <w:rsid w:val="0011734D"/>
    <w:rsid w:val="0011774F"/>
    <w:rsid w:val="001243D1"/>
    <w:rsid w:val="00127523"/>
    <w:rsid w:val="001277A9"/>
    <w:rsid w:val="00127BCB"/>
    <w:rsid w:val="0013131D"/>
    <w:rsid w:val="00131457"/>
    <w:rsid w:val="00133765"/>
    <w:rsid w:val="00136A18"/>
    <w:rsid w:val="00136BD5"/>
    <w:rsid w:val="001400B0"/>
    <w:rsid w:val="001418F5"/>
    <w:rsid w:val="001443E1"/>
    <w:rsid w:val="00144A85"/>
    <w:rsid w:val="001463BF"/>
    <w:rsid w:val="001467DC"/>
    <w:rsid w:val="00152A19"/>
    <w:rsid w:val="00152DD0"/>
    <w:rsid w:val="0015335F"/>
    <w:rsid w:val="001534B7"/>
    <w:rsid w:val="00153959"/>
    <w:rsid w:val="00154B5E"/>
    <w:rsid w:val="00154DD3"/>
    <w:rsid w:val="001565D2"/>
    <w:rsid w:val="0015775E"/>
    <w:rsid w:val="00157BED"/>
    <w:rsid w:val="0016003A"/>
    <w:rsid w:val="00162A0E"/>
    <w:rsid w:val="00163DD3"/>
    <w:rsid w:val="001640B1"/>
    <w:rsid w:val="00164B6D"/>
    <w:rsid w:val="00167706"/>
    <w:rsid w:val="001759C5"/>
    <w:rsid w:val="00176424"/>
    <w:rsid w:val="001767E4"/>
    <w:rsid w:val="0017768B"/>
    <w:rsid w:val="0018043E"/>
    <w:rsid w:val="0018151D"/>
    <w:rsid w:val="001827CC"/>
    <w:rsid w:val="001828BC"/>
    <w:rsid w:val="00183532"/>
    <w:rsid w:val="00184DAF"/>
    <w:rsid w:val="00184E0D"/>
    <w:rsid w:val="001915B6"/>
    <w:rsid w:val="00192763"/>
    <w:rsid w:val="001930EC"/>
    <w:rsid w:val="00193A5B"/>
    <w:rsid w:val="00196AE4"/>
    <w:rsid w:val="001972C5"/>
    <w:rsid w:val="00197BBC"/>
    <w:rsid w:val="001A2478"/>
    <w:rsid w:val="001A5CEB"/>
    <w:rsid w:val="001A65B8"/>
    <w:rsid w:val="001B0A96"/>
    <w:rsid w:val="001B0AE9"/>
    <w:rsid w:val="001B1627"/>
    <w:rsid w:val="001B1710"/>
    <w:rsid w:val="001B2AEC"/>
    <w:rsid w:val="001B7A0F"/>
    <w:rsid w:val="001C318D"/>
    <w:rsid w:val="001C5EF0"/>
    <w:rsid w:val="001C62E7"/>
    <w:rsid w:val="001D380F"/>
    <w:rsid w:val="001D4937"/>
    <w:rsid w:val="001D4B14"/>
    <w:rsid w:val="001E020C"/>
    <w:rsid w:val="001E0C1B"/>
    <w:rsid w:val="001E2C12"/>
    <w:rsid w:val="001E3A50"/>
    <w:rsid w:val="001F03B6"/>
    <w:rsid w:val="001F048F"/>
    <w:rsid w:val="001F4771"/>
    <w:rsid w:val="001F6164"/>
    <w:rsid w:val="001F61AC"/>
    <w:rsid w:val="00201FF2"/>
    <w:rsid w:val="0020265D"/>
    <w:rsid w:val="002045EF"/>
    <w:rsid w:val="002107E9"/>
    <w:rsid w:val="002112B0"/>
    <w:rsid w:val="00211B99"/>
    <w:rsid w:val="00214893"/>
    <w:rsid w:val="00214A17"/>
    <w:rsid w:val="00215B3E"/>
    <w:rsid w:val="00215FD3"/>
    <w:rsid w:val="002229F9"/>
    <w:rsid w:val="00224736"/>
    <w:rsid w:val="0023040B"/>
    <w:rsid w:val="0023060F"/>
    <w:rsid w:val="002322D7"/>
    <w:rsid w:val="00232A7B"/>
    <w:rsid w:val="00233AA4"/>
    <w:rsid w:val="00233C59"/>
    <w:rsid w:val="002345C1"/>
    <w:rsid w:val="0023533F"/>
    <w:rsid w:val="0023700D"/>
    <w:rsid w:val="00237539"/>
    <w:rsid w:val="00237DDA"/>
    <w:rsid w:val="002403CE"/>
    <w:rsid w:val="00240A58"/>
    <w:rsid w:val="002425A8"/>
    <w:rsid w:val="00242B86"/>
    <w:rsid w:val="002441E9"/>
    <w:rsid w:val="0024569C"/>
    <w:rsid w:val="002462A2"/>
    <w:rsid w:val="00247636"/>
    <w:rsid w:val="00251B9E"/>
    <w:rsid w:val="00255065"/>
    <w:rsid w:val="002552AE"/>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138"/>
    <w:rsid w:val="002836F8"/>
    <w:rsid w:val="00283D0E"/>
    <w:rsid w:val="00285544"/>
    <w:rsid w:val="0028694F"/>
    <w:rsid w:val="00286F3D"/>
    <w:rsid w:val="00287AF7"/>
    <w:rsid w:val="00287E87"/>
    <w:rsid w:val="0029051C"/>
    <w:rsid w:val="0029098B"/>
    <w:rsid w:val="00292822"/>
    <w:rsid w:val="0029471D"/>
    <w:rsid w:val="00294E26"/>
    <w:rsid w:val="002961CF"/>
    <w:rsid w:val="002A230C"/>
    <w:rsid w:val="002A277A"/>
    <w:rsid w:val="002A4FC3"/>
    <w:rsid w:val="002A7F47"/>
    <w:rsid w:val="002B2901"/>
    <w:rsid w:val="002B5ADD"/>
    <w:rsid w:val="002B6F89"/>
    <w:rsid w:val="002B7FD6"/>
    <w:rsid w:val="002C2267"/>
    <w:rsid w:val="002C3295"/>
    <w:rsid w:val="002C3BCC"/>
    <w:rsid w:val="002C5275"/>
    <w:rsid w:val="002C56F7"/>
    <w:rsid w:val="002C57D3"/>
    <w:rsid w:val="002C7399"/>
    <w:rsid w:val="002C745E"/>
    <w:rsid w:val="002D1FC5"/>
    <w:rsid w:val="002D25FD"/>
    <w:rsid w:val="002D2AA7"/>
    <w:rsid w:val="002D33D2"/>
    <w:rsid w:val="002D5BC5"/>
    <w:rsid w:val="002D6523"/>
    <w:rsid w:val="002D6CAC"/>
    <w:rsid w:val="002D7E5A"/>
    <w:rsid w:val="002E0515"/>
    <w:rsid w:val="002E1A29"/>
    <w:rsid w:val="002E26E0"/>
    <w:rsid w:val="002E43E8"/>
    <w:rsid w:val="002F1108"/>
    <w:rsid w:val="002F21C2"/>
    <w:rsid w:val="002F32E6"/>
    <w:rsid w:val="002F3E27"/>
    <w:rsid w:val="002F5081"/>
    <w:rsid w:val="002F5E3F"/>
    <w:rsid w:val="002F64E8"/>
    <w:rsid w:val="002F67CF"/>
    <w:rsid w:val="002F6EAE"/>
    <w:rsid w:val="002F76E7"/>
    <w:rsid w:val="002F78DD"/>
    <w:rsid w:val="0030362F"/>
    <w:rsid w:val="003037FC"/>
    <w:rsid w:val="00304112"/>
    <w:rsid w:val="00305FB6"/>
    <w:rsid w:val="00306CF3"/>
    <w:rsid w:val="003101BF"/>
    <w:rsid w:val="003133D9"/>
    <w:rsid w:val="00313B1A"/>
    <w:rsid w:val="00314456"/>
    <w:rsid w:val="00314B96"/>
    <w:rsid w:val="00314D59"/>
    <w:rsid w:val="0031617D"/>
    <w:rsid w:val="003161BE"/>
    <w:rsid w:val="003165DE"/>
    <w:rsid w:val="00316752"/>
    <w:rsid w:val="00316E18"/>
    <w:rsid w:val="00317336"/>
    <w:rsid w:val="003222F7"/>
    <w:rsid w:val="003227FE"/>
    <w:rsid w:val="003229F3"/>
    <w:rsid w:val="00323244"/>
    <w:rsid w:val="0032351A"/>
    <w:rsid w:val="003243D8"/>
    <w:rsid w:val="00324468"/>
    <w:rsid w:val="00324A66"/>
    <w:rsid w:val="003254CB"/>
    <w:rsid w:val="00325CD2"/>
    <w:rsid w:val="003339AC"/>
    <w:rsid w:val="00333DBC"/>
    <w:rsid w:val="00337A55"/>
    <w:rsid w:val="00341684"/>
    <w:rsid w:val="00342129"/>
    <w:rsid w:val="00342867"/>
    <w:rsid w:val="00342930"/>
    <w:rsid w:val="0034411F"/>
    <w:rsid w:val="00345A48"/>
    <w:rsid w:val="00351C47"/>
    <w:rsid w:val="00355629"/>
    <w:rsid w:val="00357966"/>
    <w:rsid w:val="00360D0D"/>
    <w:rsid w:val="00361CAB"/>
    <w:rsid w:val="00361FBA"/>
    <w:rsid w:val="003643AA"/>
    <w:rsid w:val="00364D84"/>
    <w:rsid w:val="0036509B"/>
    <w:rsid w:val="00367CEC"/>
    <w:rsid w:val="00372266"/>
    <w:rsid w:val="00372AC5"/>
    <w:rsid w:val="00373141"/>
    <w:rsid w:val="00375362"/>
    <w:rsid w:val="0037632F"/>
    <w:rsid w:val="00377349"/>
    <w:rsid w:val="00377FD9"/>
    <w:rsid w:val="0038144C"/>
    <w:rsid w:val="003823C9"/>
    <w:rsid w:val="0038304B"/>
    <w:rsid w:val="00383C62"/>
    <w:rsid w:val="00386424"/>
    <w:rsid w:val="003876E0"/>
    <w:rsid w:val="00387874"/>
    <w:rsid w:val="00390BAD"/>
    <w:rsid w:val="00392124"/>
    <w:rsid w:val="0039221D"/>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03"/>
    <w:rsid w:val="003B29F1"/>
    <w:rsid w:val="003B3870"/>
    <w:rsid w:val="003C19CD"/>
    <w:rsid w:val="003C2A18"/>
    <w:rsid w:val="003C3DDF"/>
    <w:rsid w:val="003C3FA4"/>
    <w:rsid w:val="003C439A"/>
    <w:rsid w:val="003C7172"/>
    <w:rsid w:val="003D0493"/>
    <w:rsid w:val="003D07ED"/>
    <w:rsid w:val="003D0B2F"/>
    <w:rsid w:val="003D241E"/>
    <w:rsid w:val="003D432A"/>
    <w:rsid w:val="003D4E4A"/>
    <w:rsid w:val="003D503C"/>
    <w:rsid w:val="003D534F"/>
    <w:rsid w:val="003D629E"/>
    <w:rsid w:val="003E009E"/>
    <w:rsid w:val="003E09C1"/>
    <w:rsid w:val="003E2065"/>
    <w:rsid w:val="003E3304"/>
    <w:rsid w:val="003E3BAC"/>
    <w:rsid w:val="003E4F1E"/>
    <w:rsid w:val="003E77C8"/>
    <w:rsid w:val="003F04CE"/>
    <w:rsid w:val="003F0D9F"/>
    <w:rsid w:val="003F1772"/>
    <w:rsid w:val="003F19BA"/>
    <w:rsid w:val="003F3B24"/>
    <w:rsid w:val="003F50D9"/>
    <w:rsid w:val="00404742"/>
    <w:rsid w:val="00404932"/>
    <w:rsid w:val="00407EA2"/>
    <w:rsid w:val="0041089C"/>
    <w:rsid w:val="00410AC4"/>
    <w:rsid w:val="00417CCA"/>
    <w:rsid w:val="004204C3"/>
    <w:rsid w:val="0042572C"/>
    <w:rsid w:val="00426B13"/>
    <w:rsid w:val="00427E23"/>
    <w:rsid w:val="0043390E"/>
    <w:rsid w:val="0043514A"/>
    <w:rsid w:val="004361C9"/>
    <w:rsid w:val="00436C2A"/>
    <w:rsid w:val="004401A8"/>
    <w:rsid w:val="00440617"/>
    <w:rsid w:val="004425C2"/>
    <w:rsid w:val="00442AAD"/>
    <w:rsid w:val="0044361C"/>
    <w:rsid w:val="00444C2F"/>
    <w:rsid w:val="004460AF"/>
    <w:rsid w:val="00453911"/>
    <w:rsid w:val="00453BF3"/>
    <w:rsid w:val="00454F14"/>
    <w:rsid w:val="00455385"/>
    <w:rsid w:val="00455D64"/>
    <w:rsid w:val="00460AE0"/>
    <w:rsid w:val="00460CFE"/>
    <w:rsid w:val="00462754"/>
    <w:rsid w:val="004628FA"/>
    <w:rsid w:val="00463696"/>
    <w:rsid w:val="004637B9"/>
    <w:rsid w:val="00464AB1"/>
    <w:rsid w:val="00465BBD"/>
    <w:rsid w:val="0046609B"/>
    <w:rsid w:val="00466771"/>
    <w:rsid w:val="004675E5"/>
    <w:rsid w:val="00467A94"/>
    <w:rsid w:val="004704FF"/>
    <w:rsid w:val="00471F59"/>
    <w:rsid w:val="00480ADE"/>
    <w:rsid w:val="004814AD"/>
    <w:rsid w:val="004831F0"/>
    <w:rsid w:val="00485AFA"/>
    <w:rsid w:val="004866EB"/>
    <w:rsid w:val="00486B4F"/>
    <w:rsid w:val="004877A5"/>
    <w:rsid w:val="00487C33"/>
    <w:rsid w:val="00492245"/>
    <w:rsid w:val="00493021"/>
    <w:rsid w:val="00494467"/>
    <w:rsid w:val="00494494"/>
    <w:rsid w:val="00494B41"/>
    <w:rsid w:val="00496501"/>
    <w:rsid w:val="00497BAC"/>
    <w:rsid w:val="00497DAB"/>
    <w:rsid w:val="004A238E"/>
    <w:rsid w:val="004A347F"/>
    <w:rsid w:val="004A3A83"/>
    <w:rsid w:val="004A3F2B"/>
    <w:rsid w:val="004A4248"/>
    <w:rsid w:val="004A48D7"/>
    <w:rsid w:val="004A52B1"/>
    <w:rsid w:val="004A53BA"/>
    <w:rsid w:val="004A7151"/>
    <w:rsid w:val="004B55A7"/>
    <w:rsid w:val="004B71E3"/>
    <w:rsid w:val="004B7800"/>
    <w:rsid w:val="004C0015"/>
    <w:rsid w:val="004C165F"/>
    <w:rsid w:val="004C2B0E"/>
    <w:rsid w:val="004C2C9E"/>
    <w:rsid w:val="004C3208"/>
    <w:rsid w:val="004C5D6A"/>
    <w:rsid w:val="004C6C07"/>
    <w:rsid w:val="004C7262"/>
    <w:rsid w:val="004D0657"/>
    <w:rsid w:val="004D1A42"/>
    <w:rsid w:val="004D3161"/>
    <w:rsid w:val="004D377B"/>
    <w:rsid w:val="004D3E38"/>
    <w:rsid w:val="004D7981"/>
    <w:rsid w:val="004E2197"/>
    <w:rsid w:val="004E401F"/>
    <w:rsid w:val="004E4A8D"/>
    <w:rsid w:val="004E648F"/>
    <w:rsid w:val="004F00FB"/>
    <w:rsid w:val="004F0198"/>
    <w:rsid w:val="004F0221"/>
    <w:rsid w:val="004F0E93"/>
    <w:rsid w:val="004F0F48"/>
    <w:rsid w:val="004F1BCF"/>
    <w:rsid w:val="004F2537"/>
    <w:rsid w:val="004F454F"/>
    <w:rsid w:val="004F796C"/>
    <w:rsid w:val="005003D5"/>
    <w:rsid w:val="005011A8"/>
    <w:rsid w:val="00503051"/>
    <w:rsid w:val="00503F2E"/>
    <w:rsid w:val="00504636"/>
    <w:rsid w:val="00504CEC"/>
    <w:rsid w:val="005054BC"/>
    <w:rsid w:val="0050773E"/>
    <w:rsid w:val="00507BE0"/>
    <w:rsid w:val="00507F1A"/>
    <w:rsid w:val="005108A2"/>
    <w:rsid w:val="00510AFE"/>
    <w:rsid w:val="00511BD7"/>
    <w:rsid w:val="00513575"/>
    <w:rsid w:val="00515359"/>
    <w:rsid w:val="00517FB4"/>
    <w:rsid w:val="00520C10"/>
    <w:rsid w:val="0052561D"/>
    <w:rsid w:val="005270B5"/>
    <w:rsid w:val="00527B87"/>
    <w:rsid w:val="00531C94"/>
    <w:rsid w:val="00532D11"/>
    <w:rsid w:val="005344D9"/>
    <w:rsid w:val="00534C66"/>
    <w:rsid w:val="00534CE2"/>
    <w:rsid w:val="00535327"/>
    <w:rsid w:val="005367EB"/>
    <w:rsid w:val="005402FA"/>
    <w:rsid w:val="00540792"/>
    <w:rsid w:val="00540973"/>
    <w:rsid w:val="00541AD8"/>
    <w:rsid w:val="00541F97"/>
    <w:rsid w:val="005420E1"/>
    <w:rsid w:val="00544474"/>
    <w:rsid w:val="00544779"/>
    <w:rsid w:val="00547F89"/>
    <w:rsid w:val="005503AC"/>
    <w:rsid w:val="00551FD6"/>
    <w:rsid w:val="00553425"/>
    <w:rsid w:val="0055465E"/>
    <w:rsid w:val="00555588"/>
    <w:rsid w:val="00555884"/>
    <w:rsid w:val="005563C4"/>
    <w:rsid w:val="00556975"/>
    <w:rsid w:val="005605B6"/>
    <w:rsid w:val="00564950"/>
    <w:rsid w:val="00565900"/>
    <w:rsid w:val="0056708C"/>
    <w:rsid w:val="005676D6"/>
    <w:rsid w:val="00574EB5"/>
    <w:rsid w:val="00581567"/>
    <w:rsid w:val="00582C05"/>
    <w:rsid w:val="0058459A"/>
    <w:rsid w:val="00587F8D"/>
    <w:rsid w:val="005917FB"/>
    <w:rsid w:val="0059640E"/>
    <w:rsid w:val="00596C8F"/>
    <w:rsid w:val="005A00C9"/>
    <w:rsid w:val="005A058F"/>
    <w:rsid w:val="005A306C"/>
    <w:rsid w:val="005A6D74"/>
    <w:rsid w:val="005A6F44"/>
    <w:rsid w:val="005A7EF2"/>
    <w:rsid w:val="005B1566"/>
    <w:rsid w:val="005B330C"/>
    <w:rsid w:val="005B62C5"/>
    <w:rsid w:val="005B74D0"/>
    <w:rsid w:val="005C2599"/>
    <w:rsid w:val="005C581A"/>
    <w:rsid w:val="005C7530"/>
    <w:rsid w:val="005D08A0"/>
    <w:rsid w:val="005D1AE6"/>
    <w:rsid w:val="005D2196"/>
    <w:rsid w:val="005D221B"/>
    <w:rsid w:val="005D5C44"/>
    <w:rsid w:val="005D5ECF"/>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7ACA"/>
    <w:rsid w:val="00610696"/>
    <w:rsid w:val="006108F5"/>
    <w:rsid w:val="00610B62"/>
    <w:rsid w:val="00610BAD"/>
    <w:rsid w:val="0061100D"/>
    <w:rsid w:val="00616E5D"/>
    <w:rsid w:val="006179DC"/>
    <w:rsid w:val="006208C4"/>
    <w:rsid w:val="0062386F"/>
    <w:rsid w:val="00625BF0"/>
    <w:rsid w:val="00627FEB"/>
    <w:rsid w:val="006332FD"/>
    <w:rsid w:val="00635698"/>
    <w:rsid w:val="006359CB"/>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D86"/>
    <w:rsid w:val="00655B20"/>
    <w:rsid w:val="00655DD7"/>
    <w:rsid w:val="006560B2"/>
    <w:rsid w:val="006564DA"/>
    <w:rsid w:val="00656517"/>
    <w:rsid w:val="00657C2B"/>
    <w:rsid w:val="006641FF"/>
    <w:rsid w:val="00665909"/>
    <w:rsid w:val="00666184"/>
    <w:rsid w:val="00666CB8"/>
    <w:rsid w:val="006703F9"/>
    <w:rsid w:val="00671021"/>
    <w:rsid w:val="006714CB"/>
    <w:rsid w:val="006728BE"/>
    <w:rsid w:val="0067340F"/>
    <w:rsid w:val="00674F28"/>
    <w:rsid w:val="00674F81"/>
    <w:rsid w:val="006761DB"/>
    <w:rsid w:val="0067623F"/>
    <w:rsid w:val="00680013"/>
    <w:rsid w:val="00680FF6"/>
    <w:rsid w:val="006827DB"/>
    <w:rsid w:val="00683D14"/>
    <w:rsid w:val="00684B38"/>
    <w:rsid w:val="00690820"/>
    <w:rsid w:val="006960C4"/>
    <w:rsid w:val="006967DC"/>
    <w:rsid w:val="00696848"/>
    <w:rsid w:val="00696BA8"/>
    <w:rsid w:val="006973CD"/>
    <w:rsid w:val="006977AD"/>
    <w:rsid w:val="00697CE4"/>
    <w:rsid w:val="00697DDA"/>
    <w:rsid w:val="006A030F"/>
    <w:rsid w:val="006A037A"/>
    <w:rsid w:val="006A03E7"/>
    <w:rsid w:val="006A178B"/>
    <w:rsid w:val="006A1801"/>
    <w:rsid w:val="006A3067"/>
    <w:rsid w:val="006A74FD"/>
    <w:rsid w:val="006B0B9B"/>
    <w:rsid w:val="006B1C7C"/>
    <w:rsid w:val="006B1FF6"/>
    <w:rsid w:val="006B356B"/>
    <w:rsid w:val="006B4AFF"/>
    <w:rsid w:val="006B5AF3"/>
    <w:rsid w:val="006C23BB"/>
    <w:rsid w:val="006C3856"/>
    <w:rsid w:val="006D1CF8"/>
    <w:rsid w:val="006D39AF"/>
    <w:rsid w:val="006D3BA0"/>
    <w:rsid w:val="006D44C5"/>
    <w:rsid w:val="006D4B58"/>
    <w:rsid w:val="006D55ED"/>
    <w:rsid w:val="006E063B"/>
    <w:rsid w:val="006E1C2B"/>
    <w:rsid w:val="006E1F96"/>
    <w:rsid w:val="006E22C1"/>
    <w:rsid w:val="006E4575"/>
    <w:rsid w:val="006E729D"/>
    <w:rsid w:val="006F2200"/>
    <w:rsid w:val="006F2A9A"/>
    <w:rsid w:val="006F41A2"/>
    <w:rsid w:val="006F54FE"/>
    <w:rsid w:val="006F5C36"/>
    <w:rsid w:val="006F5C75"/>
    <w:rsid w:val="006F5F96"/>
    <w:rsid w:val="006F6E8F"/>
    <w:rsid w:val="007005F7"/>
    <w:rsid w:val="007020A8"/>
    <w:rsid w:val="007023C4"/>
    <w:rsid w:val="00703E87"/>
    <w:rsid w:val="00705C12"/>
    <w:rsid w:val="0070604A"/>
    <w:rsid w:val="007063AD"/>
    <w:rsid w:val="00707B4E"/>
    <w:rsid w:val="00707C95"/>
    <w:rsid w:val="007117BC"/>
    <w:rsid w:val="00714B67"/>
    <w:rsid w:val="00717805"/>
    <w:rsid w:val="007178BA"/>
    <w:rsid w:val="007209B5"/>
    <w:rsid w:val="00721B0B"/>
    <w:rsid w:val="00721E9E"/>
    <w:rsid w:val="00722607"/>
    <w:rsid w:val="007238B2"/>
    <w:rsid w:val="00726614"/>
    <w:rsid w:val="0072734B"/>
    <w:rsid w:val="007315EA"/>
    <w:rsid w:val="0073204C"/>
    <w:rsid w:val="00734B47"/>
    <w:rsid w:val="00736DCC"/>
    <w:rsid w:val="00741445"/>
    <w:rsid w:val="00741A9C"/>
    <w:rsid w:val="00742AAF"/>
    <w:rsid w:val="00742F8A"/>
    <w:rsid w:val="007470A1"/>
    <w:rsid w:val="007500F3"/>
    <w:rsid w:val="00750AED"/>
    <w:rsid w:val="00750D45"/>
    <w:rsid w:val="007518B1"/>
    <w:rsid w:val="0076047A"/>
    <w:rsid w:val="00762601"/>
    <w:rsid w:val="007636A5"/>
    <w:rsid w:val="00766058"/>
    <w:rsid w:val="00770785"/>
    <w:rsid w:val="007742EC"/>
    <w:rsid w:val="00775B4D"/>
    <w:rsid w:val="0077660F"/>
    <w:rsid w:val="00776E0F"/>
    <w:rsid w:val="007808EB"/>
    <w:rsid w:val="00780AB7"/>
    <w:rsid w:val="00781C1C"/>
    <w:rsid w:val="0078228E"/>
    <w:rsid w:val="00782780"/>
    <w:rsid w:val="00783E8D"/>
    <w:rsid w:val="00784577"/>
    <w:rsid w:val="007845C2"/>
    <w:rsid w:val="00784696"/>
    <w:rsid w:val="00785B77"/>
    <w:rsid w:val="00791A8D"/>
    <w:rsid w:val="00792187"/>
    <w:rsid w:val="00793EC5"/>
    <w:rsid w:val="007A23D7"/>
    <w:rsid w:val="007A27F5"/>
    <w:rsid w:val="007A56E1"/>
    <w:rsid w:val="007B068C"/>
    <w:rsid w:val="007B3627"/>
    <w:rsid w:val="007B37A4"/>
    <w:rsid w:val="007B4440"/>
    <w:rsid w:val="007B5A08"/>
    <w:rsid w:val="007B606A"/>
    <w:rsid w:val="007C330B"/>
    <w:rsid w:val="007C6779"/>
    <w:rsid w:val="007D0A73"/>
    <w:rsid w:val="007D0EEC"/>
    <w:rsid w:val="007D2352"/>
    <w:rsid w:val="007D46C5"/>
    <w:rsid w:val="007D58D9"/>
    <w:rsid w:val="007D671D"/>
    <w:rsid w:val="007D6B57"/>
    <w:rsid w:val="007D7A48"/>
    <w:rsid w:val="007E01A3"/>
    <w:rsid w:val="007E049E"/>
    <w:rsid w:val="007E18E3"/>
    <w:rsid w:val="007E2FF4"/>
    <w:rsid w:val="007E4D83"/>
    <w:rsid w:val="007E53F4"/>
    <w:rsid w:val="007E7DEE"/>
    <w:rsid w:val="007F1A21"/>
    <w:rsid w:val="007F1C80"/>
    <w:rsid w:val="007F1F36"/>
    <w:rsid w:val="007F387B"/>
    <w:rsid w:val="007F3E5C"/>
    <w:rsid w:val="007F5599"/>
    <w:rsid w:val="007F58A1"/>
    <w:rsid w:val="007F5F09"/>
    <w:rsid w:val="007F642A"/>
    <w:rsid w:val="007F7359"/>
    <w:rsid w:val="0080058E"/>
    <w:rsid w:val="0080253D"/>
    <w:rsid w:val="0080302C"/>
    <w:rsid w:val="0080617D"/>
    <w:rsid w:val="00806D94"/>
    <w:rsid w:val="00806D96"/>
    <w:rsid w:val="008103B1"/>
    <w:rsid w:val="00810AC1"/>
    <w:rsid w:val="00812951"/>
    <w:rsid w:val="008137F2"/>
    <w:rsid w:val="00815235"/>
    <w:rsid w:val="00815B66"/>
    <w:rsid w:val="00816D68"/>
    <w:rsid w:val="0081799D"/>
    <w:rsid w:val="00817B48"/>
    <w:rsid w:val="00820E4C"/>
    <w:rsid w:val="0082289E"/>
    <w:rsid w:val="00823121"/>
    <w:rsid w:val="00823B79"/>
    <w:rsid w:val="00824D9F"/>
    <w:rsid w:val="0082529C"/>
    <w:rsid w:val="00826828"/>
    <w:rsid w:val="00827C03"/>
    <w:rsid w:val="00827DCE"/>
    <w:rsid w:val="008306A8"/>
    <w:rsid w:val="0083159D"/>
    <w:rsid w:val="0083295D"/>
    <w:rsid w:val="00833942"/>
    <w:rsid w:val="00834400"/>
    <w:rsid w:val="00835A72"/>
    <w:rsid w:val="00835C2F"/>
    <w:rsid w:val="00836BF8"/>
    <w:rsid w:val="008378CF"/>
    <w:rsid w:val="00840B0F"/>
    <w:rsid w:val="00840EA9"/>
    <w:rsid w:val="00841A74"/>
    <w:rsid w:val="008448B1"/>
    <w:rsid w:val="00844C36"/>
    <w:rsid w:val="0084545E"/>
    <w:rsid w:val="00845D04"/>
    <w:rsid w:val="0084744C"/>
    <w:rsid w:val="00856485"/>
    <w:rsid w:val="00857B8B"/>
    <w:rsid w:val="00857C21"/>
    <w:rsid w:val="00860F24"/>
    <w:rsid w:val="00861C82"/>
    <w:rsid w:val="0086334D"/>
    <w:rsid w:val="00865432"/>
    <w:rsid w:val="008659F9"/>
    <w:rsid w:val="0086634A"/>
    <w:rsid w:val="008718F3"/>
    <w:rsid w:val="0087281E"/>
    <w:rsid w:val="008732AA"/>
    <w:rsid w:val="0087412F"/>
    <w:rsid w:val="00874894"/>
    <w:rsid w:val="008771EF"/>
    <w:rsid w:val="008810B9"/>
    <w:rsid w:val="00881996"/>
    <w:rsid w:val="00882208"/>
    <w:rsid w:val="00882DDA"/>
    <w:rsid w:val="00884DE9"/>
    <w:rsid w:val="0088539B"/>
    <w:rsid w:val="00885AF3"/>
    <w:rsid w:val="00885F4B"/>
    <w:rsid w:val="00886059"/>
    <w:rsid w:val="00891261"/>
    <w:rsid w:val="00894C5F"/>
    <w:rsid w:val="00897DDF"/>
    <w:rsid w:val="008A039D"/>
    <w:rsid w:val="008A2149"/>
    <w:rsid w:val="008A2BC9"/>
    <w:rsid w:val="008A4C49"/>
    <w:rsid w:val="008A55AA"/>
    <w:rsid w:val="008A56C3"/>
    <w:rsid w:val="008A680E"/>
    <w:rsid w:val="008B0F57"/>
    <w:rsid w:val="008B7844"/>
    <w:rsid w:val="008C246A"/>
    <w:rsid w:val="008C36E3"/>
    <w:rsid w:val="008C6560"/>
    <w:rsid w:val="008D3538"/>
    <w:rsid w:val="008D59C2"/>
    <w:rsid w:val="008D6629"/>
    <w:rsid w:val="008E1E57"/>
    <w:rsid w:val="008E263D"/>
    <w:rsid w:val="008E4848"/>
    <w:rsid w:val="008E5CF2"/>
    <w:rsid w:val="008E78F4"/>
    <w:rsid w:val="008E7DCA"/>
    <w:rsid w:val="008F1823"/>
    <w:rsid w:val="008F24B8"/>
    <w:rsid w:val="008F6947"/>
    <w:rsid w:val="009008E8"/>
    <w:rsid w:val="00902133"/>
    <w:rsid w:val="00902C21"/>
    <w:rsid w:val="00903678"/>
    <w:rsid w:val="009043CE"/>
    <w:rsid w:val="009053E2"/>
    <w:rsid w:val="00905647"/>
    <w:rsid w:val="00906BD5"/>
    <w:rsid w:val="00907A47"/>
    <w:rsid w:val="0091006D"/>
    <w:rsid w:val="00910F58"/>
    <w:rsid w:val="00911258"/>
    <w:rsid w:val="009126D8"/>
    <w:rsid w:val="00912EFF"/>
    <w:rsid w:val="00913554"/>
    <w:rsid w:val="00915D9C"/>
    <w:rsid w:val="009166BF"/>
    <w:rsid w:val="00916E05"/>
    <w:rsid w:val="00917519"/>
    <w:rsid w:val="00917B24"/>
    <w:rsid w:val="00920595"/>
    <w:rsid w:val="00920B96"/>
    <w:rsid w:val="00920BC7"/>
    <w:rsid w:val="009216EE"/>
    <w:rsid w:val="00923343"/>
    <w:rsid w:val="00923413"/>
    <w:rsid w:val="00923A60"/>
    <w:rsid w:val="0092576A"/>
    <w:rsid w:val="009269C2"/>
    <w:rsid w:val="009311A7"/>
    <w:rsid w:val="00934B9B"/>
    <w:rsid w:val="00937506"/>
    <w:rsid w:val="009405FF"/>
    <w:rsid w:val="00941DED"/>
    <w:rsid w:val="0094315B"/>
    <w:rsid w:val="00946212"/>
    <w:rsid w:val="009462DC"/>
    <w:rsid w:val="009463B0"/>
    <w:rsid w:val="00946BBB"/>
    <w:rsid w:val="00951411"/>
    <w:rsid w:val="00951574"/>
    <w:rsid w:val="009545D9"/>
    <w:rsid w:val="00955893"/>
    <w:rsid w:val="00956193"/>
    <w:rsid w:val="00957281"/>
    <w:rsid w:val="0096168E"/>
    <w:rsid w:val="00961793"/>
    <w:rsid w:val="0096281F"/>
    <w:rsid w:val="00962FE0"/>
    <w:rsid w:val="009640EB"/>
    <w:rsid w:val="009657A6"/>
    <w:rsid w:val="009708C8"/>
    <w:rsid w:val="00970C45"/>
    <w:rsid w:val="00972F36"/>
    <w:rsid w:val="0097311D"/>
    <w:rsid w:val="009731B4"/>
    <w:rsid w:val="009745B2"/>
    <w:rsid w:val="00974BA2"/>
    <w:rsid w:val="00975B61"/>
    <w:rsid w:val="009768DB"/>
    <w:rsid w:val="00976B71"/>
    <w:rsid w:val="00977807"/>
    <w:rsid w:val="009802E3"/>
    <w:rsid w:val="009815E4"/>
    <w:rsid w:val="00982002"/>
    <w:rsid w:val="009827A4"/>
    <w:rsid w:val="00982D75"/>
    <w:rsid w:val="0098467F"/>
    <w:rsid w:val="00985AF1"/>
    <w:rsid w:val="00986BD0"/>
    <w:rsid w:val="00991873"/>
    <w:rsid w:val="009918A2"/>
    <w:rsid w:val="0099382C"/>
    <w:rsid w:val="009938D5"/>
    <w:rsid w:val="009947F0"/>
    <w:rsid w:val="00995434"/>
    <w:rsid w:val="00996A45"/>
    <w:rsid w:val="009A4D19"/>
    <w:rsid w:val="009B0D78"/>
    <w:rsid w:val="009B230B"/>
    <w:rsid w:val="009B566A"/>
    <w:rsid w:val="009B6FA1"/>
    <w:rsid w:val="009B7B38"/>
    <w:rsid w:val="009C38C2"/>
    <w:rsid w:val="009C3B44"/>
    <w:rsid w:val="009C4059"/>
    <w:rsid w:val="009C4582"/>
    <w:rsid w:val="009C5773"/>
    <w:rsid w:val="009C77C5"/>
    <w:rsid w:val="009D2246"/>
    <w:rsid w:val="009D5E33"/>
    <w:rsid w:val="009D669E"/>
    <w:rsid w:val="009E19E9"/>
    <w:rsid w:val="009E2E00"/>
    <w:rsid w:val="009E4D9A"/>
    <w:rsid w:val="009F1581"/>
    <w:rsid w:val="009F26F2"/>
    <w:rsid w:val="009F28E2"/>
    <w:rsid w:val="009F2D07"/>
    <w:rsid w:val="009F6ECA"/>
    <w:rsid w:val="009F7955"/>
    <w:rsid w:val="00A01C1A"/>
    <w:rsid w:val="00A03F3B"/>
    <w:rsid w:val="00A053F5"/>
    <w:rsid w:val="00A0793E"/>
    <w:rsid w:val="00A10232"/>
    <w:rsid w:val="00A12478"/>
    <w:rsid w:val="00A13CAF"/>
    <w:rsid w:val="00A14F6C"/>
    <w:rsid w:val="00A161D6"/>
    <w:rsid w:val="00A1679C"/>
    <w:rsid w:val="00A21C07"/>
    <w:rsid w:val="00A226BC"/>
    <w:rsid w:val="00A22777"/>
    <w:rsid w:val="00A22FDC"/>
    <w:rsid w:val="00A33062"/>
    <w:rsid w:val="00A3481B"/>
    <w:rsid w:val="00A35795"/>
    <w:rsid w:val="00A363C9"/>
    <w:rsid w:val="00A37CAB"/>
    <w:rsid w:val="00A43488"/>
    <w:rsid w:val="00A45D88"/>
    <w:rsid w:val="00A462A1"/>
    <w:rsid w:val="00A469CB"/>
    <w:rsid w:val="00A46AA5"/>
    <w:rsid w:val="00A52271"/>
    <w:rsid w:val="00A52B15"/>
    <w:rsid w:val="00A539C7"/>
    <w:rsid w:val="00A54B8A"/>
    <w:rsid w:val="00A552C6"/>
    <w:rsid w:val="00A57B55"/>
    <w:rsid w:val="00A610EC"/>
    <w:rsid w:val="00A61BC2"/>
    <w:rsid w:val="00A63386"/>
    <w:rsid w:val="00A65B96"/>
    <w:rsid w:val="00A67D40"/>
    <w:rsid w:val="00A72D98"/>
    <w:rsid w:val="00A74DED"/>
    <w:rsid w:val="00A76E93"/>
    <w:rsid w:val="00A77026"/>
    <w:rsid w:val="00A806F3"/>
    <w:rsid w:val="00A820D2"/>
    <w:rsid w:val="00A85461"/>
    <w:rsid w:val="00A86FC3"/>
    <w:rsid w:val="00A873FA"/>
    <w:rsid w:val="00A9005D"/>
    <w:rsid w:val="00A905D8"/>
    <w:rsid w:val="00A91151"/>
    <w:rsid w:val="00A9126C"/>
    <w:rsid w:val="00A92325"/>
    <w:rsid w:val="00A931B8"/>
    <w:rsid w:val="00A94D08"/>
    <w:rsid w:val="00A95042"/>
    <w:rsid w:val="00A9514E"/>
    <w:rsid w:val="00A95732"/>
    <w:rsid w:val="00AA07A5"/>
    <w:rsid w:val="00AA1B55"/>
    <w:rsid w:val="00AA68F9"/>
    <w:rsid w:val="00AB065B"/>
    <w:rsid w:val="00AB08E5"/>
    <w:rsid w:val="00AB34E4"/>
    <w:rsid w:val="00AB37E0"/>
    <w:rsid w:val="00AB414C"/>
    <w:rsid w:val="00AB5795"/>
    <w:rsid w:val="00AB63D8"/>
    <w:rsid w:val="00AB6B6E"/>
    <w:rsid w:val="00AB7BC5"/>
    <w:rsid w:val="00AC05DC"/>
    <w:rsid w:val="00AC2C7F"/>
    <w:rsid w:val="00AC5899"/>
    <w:rsid w:val="00AC6E4C"/>
    <w:rsid w:val="00AC7840"/>
    <w:rsid w:val="00AC7E98"/>
    <w:rsid w:val="00AD3151"/>
    <w:rsid w:val="00AD4122"/>
    <w:rsid w:val="00AD455A"/>
    <w:rsid w:val="00AD4F27"/>
    <w:rsid w:val="00AD7D52"/>
    <w:rsid w:val="00AE1E1D"/>
    <w:rsid w:val="00AE3EF9"/>
    <w:rsid w:val="00AE47C1"/>
    <w:rsid w:val="00AE7262"/>
    <w:rsid w:val="00AF589A"/>
    <w:rsid w:val="00B0131D"/>
    <w:rsid w:val="00B0533E"/>
    <w:rsid w:val="00B05EED"/>
    <w:rsid w:val="00B06F37"/>
    <w:rsid w:val="00B0725E"/>
    <w:rsid w:val="00B07C44"/>
    <w:rsid w:val="00B1090F"/>
    <w:rsid w:val="00B10DA0"/>
    <w:rsid w:val="00B113D2"/>
    <w:rsid w:val="00B11B6D"/>
    <w:rsid w:val="00B151BF"/>
    <w:rsid w:val="00B15949"/>
    <w:rsid w:val="00B15BD2"/>
    <w:rsid w:val="00B160F2"/>
    <w:rsid w:val="00B20A5C"/>
    <w:rsid w:val="00B21031"/>
    <w:rsid w:val="00B2132D"/>
    <w:rsid w:val="00B24731"/>
    <w:rsid w:val="00B26AE2"/>
    <w:rsid w:val="00B270E2"/>
    <w:rsid w:val="00B27884"/>
    <w:rsid w:val="00B316F1"/>
    <w:rsid w:val="00B3226B"/>
    <w:rsid w:val="00B328EA"/>
    <w:rsid w:val="00B32B34"/>
    <w:rsid w:val="00B344D9"/>
    <w:rsid w:val="00B34FD4"/>
    <w:rsid w:val="00B368B5"/>
    <w:rsid w:val="00B377DF"/>
    <w:rsid w:val="00B37ED8"/>
    <w:rsid w:val="00B4128F"/>
    <w:rsid w:val="00B42139"/>
    <w:rsid w:val="00B467C4"/>
    <w:rsid w:val="00B47780"/>
    <w:rsid w:val="00B5047D"/>
    <w:rsid w:val="00B51226"/>
    <w:rsid w:val="00B51D53"/>
    <w:rsid w:val="00B53559"/>
    <w:rsid w:val="00B53767"/>
    <w:rsid w:val="00B542EC"/>
    <w:rsid w:val="00B54F7A"/>
    <w:rsid w:val="00B56412"/>
    <w:rsid w:val="00B5796F"/>
    <w:rsid w:val="00B57F16"/>
    <w:rsid w:val="00B624BB"/>
    <w:rsid w:val="00B62912"/>
    <w:rsid w:val="00B66A3D"/>
    <w:rsid w:val="00B66ACE"/>
    <w:rsid w:val="00B66CA8"/>
    <w:rsid w:val="00B700A9"/>
    <w:rsid w:val="00B762B5"/>
    <w:rsid w:val="00B76846"/>
    <w:rsid w:val="00B818D6"/>
    <w:rsid w:val="00B84FB9"/>
    <w:rsid w:val="00B87219"/>
    <w:rsid w:val="00B875D7"/>
    <w:rsid w:val="00B9138D"/>
    <w:rsid w:val="00B93446"/>
    <w:rsid w:val="00B93E94"/>
    <w:rsid w:val="00B95307"/>
    <w:rsid w:val="00B96E8C"/>
    <w:rsid w:val="00BA10A7"/>
    <w:rsid w:val="00BA1B6A"/>
    <w:rsid w:val="00BA28B4"/>
    <w:rsid w:val="00BA4092"/>
    <w:rsid w:val="00BA627E"/>
    <w:rsid w:val="00BA7835"/>
    <w:rsid w:val="00BA7F1A"/>
    <w:rsid w:val="00BB437C"/>
    <w:rsid w:val="00BB4E2C"/>
    <w:rsid w:val="00BB5D92"/>
    <w:rsid w:val="00BB66C5"/>
    <w:rsid w:val="00BB7589"/>
    <w:rsid w:val="00BC10F5"/>
    <w:rsid w:val="00BC2390"/>
    <w:rsid w:val="00BC3BBF"/>
    <w:rsid w:val="00BC5062"/>
    <w:rsid w:val="00BD033A"/>
    <w:rsid w:val="00BD0509"/>
    <w:rsid w:val="00BD1688"/>
    <w:rsid w:val="00BD199F"/>
    <w:rsid w:val="00BD43E5"/>
    <w:rsid w:val="00BD53C9"/>
    <w:rsid w:val="00BE064A"/>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59B8"/>
    <w:rsid w:val="00C16B46"/>
    <w:rsid w:val="00C16C38"/>
    <w:rsid w:val="00C16F17"/>
    <w:rsid w:val="00C17255"/>
    <w:rsid w:val="00C208B9"/>
    <w:rsid w:val="00C212CC"/>
    <w:rsid w:val="00C21DAE"/>
    <w:rsid w:val="00C23F61"/>
    <w:rsid w:val="00C25AD5"/>
    <w:rsid w:val="00C25CA9"/>
    <w:rsid w:val="00C269D1"/>
    <w:rsid w:val="00C313B9"/>
    <w:rsid w:val="00C34F62"/>
    <w:rsid w:val="00C356B3"/>
    <w:rsid w:val="00C37D83"/>
    <w:rsid w:val="00C40B20"/>
    <w:rsid w:val="00C44314"/>
    <w:rsid w:val="00C44835"/>
    <w:rsid w:val="00C478E0"/>
    <w:rsid w:val="00C506F3"/>
    <w:rsid w:val="00C50E2D"/>
    <w:rsid w:val="00C50EBC"/>
    <w:rsid w:val="00C52B6E"/>
    <w:rsid w:val="00C534CD"/>
    <w:rsid w:val="00C53908"/>
    <w:rsid w:val="00C5512B"/>
    <w:rsid w:val="00C569AD"/>
    <w:rsid w:val="00C5731D"/>
    <w:rsid w:val="00C576CE"/>
    <w:rsid w:val="00C62B93"/>
    <w:rsid w:val="00C63E8A"/>
    <w:rsid w:val="00C64385"/>
    <w:rsid w:val="00C643BC"/>
    <w:rsid w:val="00C656CC"/>
    <w:rsid w:val="00C658EB"/>
    <w:rsid w:val="00C65CBF"/>
    <w:rsid w:val="00C6679A"/>
    <w:rsid w:val="00C723D7"/>
    <w:rsid w:val="00C72D15"/>
    <w:rsid w:val="00C738F3"/>
    <w:rsid w:val="00C7449D"/>
    <w:rsid w:val="00C74FB7"/>
    <w:rsid w:val="00C771B1"/>
    <w:rsid w:val="00C80DDF"/>
    <w:rsid w:val="00C8392C"/>
    <w:rsid w:val="00C847F7"/>
    <w:rsid w:val="00C87535"/>
    <w:rsid w:val="00C91CA7"/>
    <w:rsid w:val="00C93ABC"/>
    <w:rsid w:val="00C959C4"/>
    <w:rsid w:val="00CA1337"/>
    <w:rsid w:val="00CA62E9"/>
    <w:rsid w:val="00CB0122"/>
    <w:rsid w:val="00CB05FF"/>
    <w:rsid w:val="00CB1862"/>
    <w:rsid w:val="00CB233F"/>
    <w:rsid w:val="00CB2952"/>
    <w:rsid w:val="00CB2DA4"/>
    <w:rsid w:val="00CB3031"/>
    <w:rsid w:val="00CB6338"/>
    <w:rsid w:val="00CC0481"/>
    <w:rsid w:val="00CC230E"/>
    <w:rsid w:val="00CC7F49"/>
    <w:rsid w:val="00CD1163"/>
    <w:rsid w:val="00CD21AB"/>
    <w:rsid w:val="00CD599E"/>
    <w:rsid w:val="00CD59A2"/>
    <w:rsid w:val="00CE1AA5"/>
    <w:rsid w:val="00CE2B4C"/>
    <w:rsid w:val="00CE3EDE"/>
    <w:rsid w:val="00CE3F41"/>
    <w:rsid w:val="00CE44D6"/>
    <w:rsid w:val="00CE752C"/>
    <w:rsid w:val="00CF0520"/>
    <w:rsid w:val="00CF25BD"/>
    <w:rsid w:val="00CF421F"/>
    <w:rsid w:val="00CF5013"/>
    <w:rsid w:val="00D001E7"/>
    <w:rsid w:val="00D007AF"/>
    <w:rsid w:val="00D00DD2"/>
    <w:rsid w:val="00D01E42"/>
    <w:rsid w:val="00D03CCB"/>
    <w:rsid w:val="00D066A6"/>
    <w:rsid w:val="00D107AB"/>
    <w:rsid w:val="00D1085E"/>
    <w:rsid w:val="00D10894"/>
    <w:rsid w:val="00D10E20"/>
    <w:rsid w:val="00D12396"/>
    <w:rsid w:val="00D12B86"/>
    <w:rsid w:val="00D14B59"/>
    <w:rsid w:val="00D15BBE"/>
    <w:rsid w:val="00D160C2"/>
    <w:rsid w:val="00D16FF2"/>
    <w:rsid w:val="00D170A5"/>
    <w:rsid w:val="00D17F2C"/>
    <w:rsid w:val="00D2172C"/>
    <w:rsid w:val="00D231BF"/>
    <w:rsid w:val="00D2366F"/>
    <w:rsid w:val="00D30E31"/>
    <w:rsid w:val="00D31F68"/>
    <w:rsid w:val="00D33344"/>
    <w:rsid w:val="00D33EF5"/>
    <w:rsid w:val="00D358F5"/>
    <w:rsid w:val="00D372C2"/>
    <w:rsid w:val="00D409F3"/>
    <w:rsid w:val="00D41E42"/>
    <w:rsid w:val="00D434F9"/>
    <w:rsid w:val="00D46914"/>
    <w:rsid w:val="00D471A0"/>
    <w:rsid w:val="00D473E8"/>
    <w:rsid w:val="00D53548"/>
    <w:rsid w:val="00D53797"/>
    <w:rsid w:val="00D53D99"/>
    <w:rsid w:val="00D54E07"/>
    <w:rsid w:val="00D55DCD"/>
    <w:rsid w:val="00D600A7"/>
    <w:rsid w:val="00D6024D"/>
    <w:rsid w:val="00D60CB0"/>
    <w:rsid w:val="00D64BF8"/>
    <w:rsid w:val="00D654D0"/>
    <w:rsid w:val="00D67FAB"/>
    <w:rsid w:val="00D7033A"/>
    <w:rsid w:val="00D713AE"/>
    <w:rsid w:val="00D745C8"/>
    <w:rsid w:val="00D75651"/>
    <w:rsid w:val="00D757E1"/>
    <w:rsid w:val="00D7724F"/>
    <w:rsid w:val="00D805C2"/>
    <w:rsid w:val="00D8160D"/>
    <w:rsid w:val="00D8179B"/>
    <w:rsid w:val="00D81BA0"/>
    <w:rsid w:val="00D81BE8"/>
    <w:rsid w:val="00D81BEE"/>
    <w:rsid w:val="00D84384"/>
    <w:rsid w:val="00D84CAA"/>
    <w:rsid w:val="00D84DAE"/>
    <w:rsid w:val="00D850E6"/>
    <w:rsid w:val="00D85B5F"/>
    <w:rsid w:val="00D85BB1"/>
    <w:rsid w:val="00D92CB0"/>
    <w:rsid w:val="00D94471"/>
    <w:rsid w:val="00D9504C"/>
    <w:rsid w:val="00D955FC"/>
    <w:rsid w:val="00D961AB"/>
    <w:rsid w:val="00D97FEC"/>
    <w:rsid w:val="00DA0815"/>
    <w:rsid w:val="00DA4260"/>
    <w:rsid w:val="00DA7644"/>
    <w:rsid w:val="00DA7D81"/>
    <w:rsid w:val="00DB1626"/>
    <w:rsid w:val="00DB1888"/>
    <w:rsid w:val="00DB1D57"/>
    <w:rsid w:val="00DB22B4"/>
    <w:rsid w:val="00DB3A23"/>
    <w:rsid w:val="00DB3CDD"/>
    <w:rsid w:val="00DC1C4B"/>
    <w:rsid w:val="00DC2BF2"/>
    <w:rsid w:val="00DC3538"/>
    <w:rsid w:val="00DC356F"/>
    <w:rsid w:val="00DC35E8"/>
    <w:rsid w:val="00DC48EE"/>
    <w:rsid w:val="00DC4A00"/>
    <w:rsid w:val="00DC6B05"/>
    <w:rsid w:val="00DD0A8D"/>
    <w:rsid w:val="00DD2C61"/>
    <w:rsid w:val="00DD3479"/>
    <w:rsid w:val="00DD68CD"/>
    <w:rsid w:val="00DD6CDE"/>
    <w:rsid w:val="00DE0727"/>
    <w:rsid w:val="00DE0D0B"/>
    <w:rsid w:val="00DE24FC"/>
    <w:rsid w:val="00DE4329"/>
    <w:rsid w:val="00DE43AE"/>
    <w:rsid w:val="00DE6505"/>
    <w:rsid w:val="00DE6ECE"/>
    <w:rsid w:val="00DF4F32"/>
    <w:rsid w:val="00DF5491"/>
    <w:rsid w:val="00DF78BC"/>
    <w:rsid w:val="00E0035B"/>
    <w:rsid w:val="00E00768"/>
    <w:rsid w:val="00E00E94"/>
    <w:rsid w:val="00E061E8"/>
    <w:rsid w:val="00E07609"/>
    <w:rsid w:val="00E079D7"/>
    <w:rsid w:val="00E07A72"/>
    <w:rsid w:val="00E1000A"/>
    <w:rsid w:val="00E15177"/>
    <w:rsid w:val="00E1693C"/>
    <w:rsid w:val="00E17422"/>
    <w:rsid w:val="00E17FF8"/>
    <w:rsid w:val="00E2092F"/>
    <w:rsid w:val="00E20B40"/>
    <w:rsid w:val="00E21CF1"/>
    <w:rsid w:val="00E23CCC"/>
    <w:rsid w:val="00E23CCD"/>
    <w:rsid w:val="00E23F2F"/>
    <w:rsid w:val="00E2614B"/>
    <w:rsid w:val="00E26E58"/>
    <w:rsid w:val="00E30AAF"/>
    <w:rsid w:val="00E3453C"/>
    <w:rsid w:val="00E364FB"/>
    <w:rsid w:val="00E36F00"/>
    <w:rsid w:val="00E3744E"/>
    <w:rsid w:val="00E379CC"/>
    <w:rsid w:val="00E4043B"/>
    <w:rsid w:val="00E4064D"/>
    <w:rsid w:val="00E42425"/>
    <w:rsid w:val="00E44CBA"/>
    <w:rsid w:val="00E5051A"/>
    <w:rsid w:val="00E506CE"/>
    <w:rsid w:val="00E533DD"/>
    <w:rsid w:val="00E53E2C"/>
    <w:rsid w:val="00E55CAB"/>
    <w:rsid w:val="00E56668"/>
    <w:rsid w:val="00E57020"/>
    <w:rsid w:val="00E57EF0"/>
    <w:rsid w:val="00E615EF"/>
    <w:rsid w:val="00E61EB5"/>
    <w:rsid w:val="00E620AC"/>
    <w:rsid w:val="00E6245E"/>
    <w:rsid w:val="00E6283A"/>
    <w:rsid w:val="00E62CF8"/>
    <w:rsid w:val="00E651DD"/>
    <w:rsid w:val="00E669D5"/>
    <w:rsid w:val="00E677DB"/>
    <w:rsid w:val="00E715BA"/>
    <w:rsid w:val="00E72FD6"/>
    <w:rsid w:val="00E730F0"/>
    <w:rsid w:val="00E733A9"/>
    <w:rsid w:val="00E73AC8"/>
    <w:rsid w:val="00E75174"/>
    <w:rsid w:val="00E757A1"/>
    <w:rsid w:val="00E75ED5"/>
    <w:rsid w:val="00E77A75"/>
    <w:rsid w:val="00E8080B"/>
    <w:rsid w:val="00E80EA1"/>
    <w:rsid w:val="00E81513"/>
    <w:rsid w:val="00E82BD6"/>
    <w:rsid w:val="00E841AC"/>
    <w:rsid w:val="00E841D3"/>
    <w:rsid w:val="00E84465"/>
    <w:rsid w:val="00E84A3B"/>
    <w:rsid w:val="00E85073"/>
    <w:rsid w:val="00E85B00"/>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B22AA"/>
    <w:rsid w:val="00EC0649"/>
    <w:rsid w:val="00EC069D"/>
    <w:rsid w:val="00EC13DE"/>
    <w:rsid w:val="00EC46B3"/>
    <w:rsid w:val="00EC7336"/>
    <w:rsid w:val="00EC7380"/>
    <w:rsid w:val="00ED187E"/>
    <w:rsid w:val="00ED57B8"/>
    <w:rsid w:val="00ED6CD0"/>
    <w:rsid w:val="00ED7CDC"/>
    <w:rsid w:val="00EE1C56"/>
    <w:rsid w:val="00EE22FC"/>
    <w:rsid w:val="00EE269B"/>
    <w:rsid w:val="00EE4C50"/>
    <w:rsid w:val="00EE6188"/>
    <w:rsid w:val="00EE695D"/>
    <w:rsid w:val="00EE6A10"/>
    <w:rsid w:val="00EF25A7"/>
    <w:rsid w:val="00EF2748"/>
    <w:rsid w:val="00EF36C9"/>
    <w:rsid w:val="00EF4397"/>
    <w:rsid w:val="00EF4FFB"/>
    <w:rsid w:val="00EF7363"/>
    <w:rsid w:val="00F00140"/>
    <w:rsid w:val="00F00BCA"/>
    <w:rsid w:val="00F0221A"/>
    <w:rsid w:val="00F04763"/>
    <w:rsid w:val="00F11B16"/>
    <w:rsid w:val="00F13C03"/>
    <w:rsid w:val="00F156CB"/>
    <w:rsid w:val="00F161EA"/>
    <w:rsid w:val="00F16594"/>
    <w:rsid w:val="00F223AE"/>
    <w:rsid w:val="00F23890"/>
    <w:rsid w:val="00F24EC1"/>
    <w:rsid w:val="00F266FE"/>
    <w:rsid w:val="00F27031"/>
    <w:rsid w:val="00F2727C"/>
    <w:rsid w:val="00F30153"/>
    <w:rsid w:val="00F30261"/>
    <w:rsid w:val="00F3027A"/>
    <w:rsid w:val="00F33023"/>
    <w:rsid w:val="00F330F2"/>
    <w:rsid w:val="00F34F7D"/>
    <w:rsid w:val="00F351C0"/>
    <w:rsid w:val="00F35753"/>
    <w:rsid w:val="00F35E67"/>
    <w:rsid w:val="00F36140"/>
    <w:rsid w:val="00F409D8"/>
    <w:rsid w:val="00F41266"/>
    <w:rsid w:val="00F43AD6"/>
    <w:rsid w:val="00F46C34"/>
    <w:rsid w:val="00F5198C"/>
    <w:rsid w:val="00F51C36"/>
    <w:rsid w:val="00F51CBC"/>
    <w:rsid w:val="00F51D0D"/>
    <w:rsid w:val="00F545EB"/>
    <w:rsid w:val="00F600D2"/>
    <w:rsid w:val="00F61B4F"/>
    <w:rsid w:val="00F63ECF"/>
    <w:rsid w:val="00F66429"/>
    <w:rsid w:val="00F67CB9"/>
    <w:rsid w:val="00F73413"/>
    <w:rsid w:val="00F74751"/>
    <w:rsid w:val="00F81046"/>
    <w:rsid w:val="00F826F3"/>
    <w:rsid w:val="00F82EE3"/>
    <w:rsid w:val="00F83ECD"/>
    <w:rsid w:val="00F84192"/>
    <w:rsid w:val="00F858DB"/>
    <w:rsid w:val="00F85CA6"/>
    <w:rsid w:val="00F85D45"/>
    <w:rsid w:val="00F9061E"/>
    <w:rsid w:val="00F907C3"/>
    <w:rsid w:val="00F90F1A"/>
    <w:rsid w:val="00F91E36"/>
    <w:rsid w:val="00F940DF"/>
    <w:rsid w:val="00F944D7"/>
    <w:rsid w:val="00F9473E"/>
    <w:rsid w:val="00F95CC9"/>
    <w:rsid w:val="00F95F9B"/>
    <w:rsid w:val="00F97423"/>
    <w:rsid w:val="00F97601"/>
    <w:rsid w:val="00F97DDA"/>
    <w:rsid w:val="00FA02C8"/>
    <w:rsid w:val="00FA06E2"/>
    <w:rsid w:val="00FA23E5"/>
    <w:rsid w:val="00FA35D7"/>
    <w:rsid w:val="00FA3CCA"/>
    <w:rsid w:val="00FA5696"/>
    <w:rsid w:val="00FA5AF6"/>
    <w:rsid w:val="00FA623D"/>
    <w:rsid w:val="00FA7BC9"/>
    <w:rsid w:val="00FB02AE"/>
    <w:rsid w:val="00FB0B01"/>
    <w:rsid w:val="00FB27B5"/>
    <w:rsid w:val="00FB394E"/>
    <w:rsid w:val="00FB51D9"/>
    <w:rsid w:val="00FB6CC6"/>
    <w:rsid w:val="00FC03FD"/>
    <w:rsid w:val="00FC13F3"/>
    <w:rsid w:val="00FC175A"/>
    <w:rsid w:val="00FC2C88"/>
    <w:rsid w:val="00FC34BD"/>
    <w:rsid w:val="00FC3A6B"/>
    <w:rsid w:val="00FC4F36"/>
    <w:rsid w:val="00FC6B16"/>
    <w:rsid w:val="00FD08DE"/>
    <w:rsid w:val="00FD0A86"/>
    <w:rsid w:val="00FD362F"/>
    <w:rsid w:val="00FD4C5C"/>
    <w:rsid w:val="00FD4F2E"/>
    <w:rsid w:val="00FD5011"/>
    <w:rsid w:val="00FD5F15"/>
    <w:rsid w:val="00FD79BA"/>
    <w:rsid w:val="00FE0039"/>
    <w:rsid w:val="00FE0094"/>
    <w:rsid w:val="00FE08D6"/>
    <w:rsid w:val="00FE1040"/>
    <w:rsid w:val="00FE130D"/>
    <w:rsid w:val="00FE1A12"/>
    <w:rsid w:val="00FE2353"/>
    <w:rsid w:val="00FE5359"/>
    <w:rsid w:val="00FE7541"/>
    <w:rsid w:val="00FF0411"/>
    <w:rsid w:val="00FF0762"/>
    <w:rsid w:val="00FF10B6"/>
    <w:rsid w:val="00FF1CAF"/>
    <w:rsid w:val="00FF610C"/>
    <w:rsid w:val="00FF698C"/>
    <w:rsid w:val="00FF6E4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CE44D6"/>
    <w:rPr>
      <w:rFonts w:ascii="Times New Roman" w:eastAsia="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semiHidden/>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semiHidden/>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character" w:customStyle="1" w:styleId="apple-converted-space">
    <w:name w:val="apple-converted-space"/>
    <w:basedOn w:val="DefaultParagraphFont"/>
    <w:rsid w:val="00104362"/>
  </w:style>
  <w:style w:type="paragraph" w:customStyle="1" w:styleId="contentstory">
    <w:name w:val="contentstory"/>
    <w:basedOn w:val="Normal"/>
    <w:rsid w:val="001E3A50"/>
    <w:pPr>
      <w:spacing w:before="100" w:beforeAutospacing="1" w:after="100" w:afterAutospacing="1" w:line="240" w:lineRule="auto"/>
      <w:jc w:val="both"/>
    </w:pPr>
    <w:rPr>
      <w:rFonts w:ascii="TimesNewRoman" w:eastAsia="Times New Roman" w:hAnsi="TimesNewRoman"/>
      <w:color w:val="003366"/>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velope return"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696"/>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semiHidden/>
    <w:unhideWhenUsed/>
    <w:rsid w:val="00607ACA"/>
    <w:pPr>
      <w:spacing w:line="240" w:lineRule="auto"/>
    </w:pPr>
    <w:rPr>
      <w:sz w:val="20"/>
      <w:szCs w:val="20"/>
    </w:rPr>
  </w:style>
  <w:style w:type="character" w:customStyle="1" w:styleId="CommentTextChar">
    <w:name w:val="Comment Text Char"/>
    <w:basedOn w:val="DefaultParagraphFont"/>
    <w:link w:val="CommentText"/>
    <w:semiHidden/>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uiPriority w:val="99"/>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semiHidden/>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semiHidden/>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CE44D6"/>
    <w:rPr>
      <w:rFonts w:ascii="Times New Roman" w:eastAsia="Times New Roman" w:hAnsi="Times New Roman"/>
    </w:rPr>
  </w:style>
  <w:style w:type="character" w:styleId="FootnoteReference">
    <w:name w:val="footnote reference"/>
    <w:aliases w:val="Footnote Reference Number,SUPERS"/>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semiHidden/>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semiHidden/>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348683800">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653607669">
      <w:bodyDiv w:val="1"/>
      <w:marLeft w:val="0"/>
      <w:marRight w:val="0"/>
      <w:marTop w:val="0"/>
      <w:marBottom w:val="0"/>
      <w:divBdr>
        <w:top w:val="none" w:sz="0" w:space="0" w:color="auto"/>
        <w:left w:val="none" w:sz="0" w:space="0" w:color="auto"/>
        <w:bottom w:val="none" w:sz="0" w:space="0" w:color="auto"/>
        <w:right w:val="none" w:sz="0" w:space="0" w:color="auto"/>
      </w:divBdr>
    </w:div>
    <w:div w:id="660037866">
      <w:bodyDiv w:val="1"/>
      <w:marLeft w:val="0"/>
      <w:marRight w:val="0"/>
      <w:marTop w:val="0"/>
      <w:marBottom w:val="0"/>
      <w:divBdr>
        <w:top w:val="none" w:sz="0" w:space="0" w:color="auto"/>
        <w:left w:val="none" w:sz="0" w:space="0" w:color="auto"/>
        <w:bottom w:val="none" w:sz="0" w:space="0" w:color="auto"/>
        <w:right w:val="none" w:sz="0" w:space="0" w:color="auto"/>
      </w:divBdr>
    </w:div>
    <w:div w:id="687147647">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541749347">
      <w:bodyDiv w:val="1"/>
      <w:marLeft w:val="0"/>
      <w:marRight w:val="0"/>
      <w:marTop w:val="0"/>
      <w:marBottom w:val="0"/>
      <w:divBdr>
        <w:top w:val="none" w:sz="0" w:space="0" w:color="auto"/>
        <w:left w:val="none" w:sz="0" w:space="0" w:color="auto"/>
        <w:bottom w:val="none" w:sz="0" w:space="0" w:color="auto"/>
        <w:right w:val="none" w:sz="0" w:space="0" w:color="auto"/>
      </w:divBdr>
    </w:div>
    <w:div w:id="1718817927">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54426318">
      <w:bodyDiv w:val="1"/>
      <w:marLeft w:val="0"/>
      <w:marRight w:val="0"/>
      <w:marTop w:val="0"/>
      <w:marBottom w:val="0"/>
      <w:divBdr>
        <w:top w:val="none" w:sz="0" w:space="0" w:color="auto"/>
        <w:left w:val="none" w:sz="0" w:space="0" w:color="auto"/>
        <w:bottom w:val="none" w:sz="0" w:space="0" w:color="auto"/>
        <w:right w:val="none" w:sz="0" w:space="0" w:color="auto"/>
      </w:divBdr>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 w:id="2072194980">
      <w:bodyDiv w:val="1"/>
      <w:marLeft w:val="0"/>
      <w:marRight w:val="0"/>
      <w:marTop w:val="0"/>
      <w:marBottom w:val="0"/>
      <w:divBdr>
        <w:top w:val="none" w:sz="0" w:space="0" w:color="auto"/>
        <w:left w:val="none" w:sz="0" w:space="0" w:color="auto"/>
        <w:bottom w:val="none" w:sz="0" w:space="0" w:color="auto"/>
        <w:right w:val="none" w:sz="0" w:space="0" w:color="auto"/>
      </w:divBdr>
      <w:divsChild>
        <w:div w:id="528837433">
          <w:marLeft w:val="0"/>
          <w:marRight w:val="0"/>
          <w:marTop w:val="0"/>
          <w:marBottom w:val="0"/>
          <w:divBdr>
            <w:top w:val="none" w:sz="0" w:space="0" w:color="auto"/>
            <w:left w:val="none" w:sz="0" w:space="0" w:color="auto"/>
            <w:bottom w:val="none" w:sz="0" w:space="0" w:color="auto"/>
            <w:right w:val="none" w:sz="0" w:space="0" w:color="auto"/>
          </w:divBdr>
        </w:div>
        <w:div w:id="61224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rlis.Pigens@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8526-E053-4F5B-BC01-C8F55627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9</Pages>
  <Words>15115</Words>
  <Characters>8616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Ministru kabineta noteikumu projekta „Grozījumi 2009.gada 10.marta Ministru kabineta noteikumos Nr.221 „Noteikumi par elektroenerģijas ražošanu un cenu noteikšanu, ražojot elektroenerģiju koģenerācijā”” sākotnējās ietekmes novērtējuma ziņojums (anotācija)</vt:lpstr>
    </vt:vector>
  </TitlesOfParts>
  <Company>LR Ekonomikas ministrija</Company>
  <LinksUpToDate>false</LinksUpToDate>
  <CharactersWithSpaces>23684</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2009.gada 10.marta Ministru kabineta noteikumos Nr.221 „Noteikumi par elektroenerģijas ražošanu un cenu noteikšanu, ražojot elektroenerģiju koģenerācijā”” sākotnējās ietekmes novērtējuma ziņojums (anotācija)</dc:title>
  <dc:subject>anotācija</dc:subject>
  <dc:creator>Kārlis Piģēns</dc:creator>
  <dc:description>Karlis.Pigens@em.gov.lv 67013133</dc:description>
  <cp:lastModifiedBy>PigensK</cp:lastModifiedBy>
  <cp:revision>136</cp:revision>
  <cp:lastPrinted>2013-07-05T11:36:00Z</cp:lastPrinted>
  <dcterms:created xsi:type="dcterms:W3CDTF">2012-08-30T10:00:00Z</dcterms:created>
  <dcterms:modified xsi:type="dcterms:W3CDTF">2013-07-25T07:07:00Z</dcterms:modified>
</cp:coreProperties>
</file>