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B62" w:rsidRPr="001E7BE3" w:rsidRDefault="00BB09C5" w:rsidP="001E7BE3">
      <w:pPr>
        <w:pStyle w:val="BodyText"/>
        <w:jc w:val="center"/>
        <w:rPr>
          <w:b/>
          <w:szCs w:val="28"/>
        </w:rPr>
      </w:pPr>
      <w:bookmarkStart w:id="0" w:name="OLE_LINK3"/>
      <w:bookmarkStart w:id="1" w:name="OLE_LINK1"/>
      <w:bookmarkStart w:id="2" w:name="OLE_LINK2"/>
      <w:r w:rsidRPr="001E7BE3">
        <w:rPr>
          <w:b/>
          <w:szCs w:val="28"/>
        </w:rPr>
        <w:t xml:space="preserve">Ministru kabineta </w:t>
      </w:r>
      <w:r w:rsidR="00C83591" w:rsidRPr="001E7BE3">
        <w:rPr>
          <w:b/>
          <w:szCs w:val="28"/>
        </w:rPr>
        <w:t>noteikumu</w:t>
      </w:r>
      <w:r w:rsidR="001764E7" w:rsidRPr="001E7BE3">
        <w:rPr>
          <w:b/>
          <w:szCs w:val="28"/>
        </w:rPr>
        <w:t xml:space="preserve"> </w:t>
      </w:r>
      <w:r w:rsidRPr="001E7BE3">
        <w:rPr>
          <w:b/>
          <w:szCs w:val="28"/>
        </w:rPr>
        <w:t xml:space="preserve">projekta </w:t>
      </w:r>
      <w:r w:rsidR="003F25FF" w:rsidRPr="001E7BE3">
        <w:rPr>
          <w:b/>
          <w:szCs w:val="28"/>
        </w:rPr>
        <w:t>„Grozījum</w:t>
      </w:r>
      <w:r w:rsidR="004F7117" w:rsidRPr="001E7BE3">
        <w:rPr>
          <w:b/>
          <w:szCs w:val="28"/>
        </w:rPr>
        <w:t>i</w:t>
      </w:r>
      <w:r w:rsidR="003F25FF" w:rsidRPr="001E7BE3">
        <w:rPr>
          <w:b/>
          <w:szCs w:val="28"/>
        </w:rPr>
        <w:t xml:space="preserve"> Ministru kabineta 2009.gada 17.februāra noteikumos Nr.162 „Noteikumi par darbības programmas „Infrastruktūra un pakalpojumi” papildinājuma 3.5.2.1.1.apakšaktivitātes „Pasākumi centralizētās siltumapgādes sistēmu efektivitātes paaugstināšanai” projektu iesniegumu atlases pirmo kārtu””</w:t>
      </w:r>
      <w:r w:rsidR="003000F0" w:rsidRPr="001E7BE3">
        <w:rPr>
          <w:b/>
          <w:szCs w:val="28"/>
        </w:rPr>
        <w:t xml:space="preserve"> sākotnējās ietekmes novērtējuma ziņojums</w:t>
      </w:r>
      <w:r w:rsidR="00E73425" w:rsidRPr="001E7BE3">
        <w:rPr>
          <w:b/>
          <w:szCs w:val="28"/>
        </w:rPr>
        <w:t xml:space="preserve"> </w:t>
      </w:r>
      <w:r w:rsidR="003000F0" w:rsidRPr="001E7BE3">
        <w:rPr>
          <w:b/>
          <w:szCs w:val="28"/>
        </w:rPr>
        <w:t>(</w:t>
      </w:r>
      <w:r w:rsidR="00E73425" w:rsidRPr="001E7BE3">
        <w:rPr>
          <w:b/>
          <w:szCs w:val="28"/>
        </w:rPr>
        <w:t>anotācija</w:t>
      </w:r>
      <w:r w:rsidR="003000F0" w:rsidRPr="001E7BE3">
        <w:rPr>
          <w:b/>
          <w:szCs w:val="28"/>
        </w:rPr>
        <w:t>)</w:t>
      </w: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99"/>
        <w:gridCol w:w="2551"/>
        <w:gridCol w:w="6237"/>
      </w:tblGrid>
      <w:tr w:rsidR="00A31FDC" w:rsidRPr="001E7BE3" w:rsidTr="00F90307">
        <w:trPr>
          <w:trHeight w:val="141"/>
        </w:trPr>
        <w:tc>
          <w:tcPr>
            <w:tcW w:w="9087" w:type="dxa"/>
            <w:gridSpan w:val="3"/>
            <w:tcBorders>
              <w:top w:val="thickThinLargeGap" w:sz="6" w:space="0" w:color="C0C0C0"/>
              <w:left w:val="thickThinLargeGap" w:sz="6" w:space="0" w:color="C0C0C0"/>
              <w:bottom w:val="thickThinLargeGap" w:sz="6" w:space="0" w:color="C0C0C0"/>
              <w:right w:val="thickThinLargeGap" w:sz="6" w:space="0" w:color="C0C0C0"/>
            </w:tcBorders>
          </w:tcPr>
          <w:bookmarkEnd w:id="0"/>
          <w:bookmarkEnd w:id="1"/>
          <w:bookmarkEnd w:id="2"/>
          <w:p w:rsidR="00A31FDC" w:rsidRPr="001E7BE3" w:rsidRDefault="00A31FDC" w:rsidP="001E7BE3">
            <w:pPr>
              <w:ind w:firstLine="720"/>
              <w:jc w:val="both"/>
              <w:rPr>
                <w:rFonts w:eastAsia="Times New Roman"/>
                <w:b/>
                <w:sz w:val="28"/>
                <w:szCs w:val="28"/>
                <w:lang w:val="lv-LV" w:eastAsia="lv-LV"/>
              </w:rPr>
            </w:pPr>
            <w:r w:rsidRPr="001E7BE3">
              <w:rPr>
                <w:rFonts w:eastAsia="Times New Roman"/>
                <w:b/>
                <w:sz w:val="28"/>
                <w:szCs w:val="28"/>
                <w:lang w:val="lv-LV" w:eastAsia="lv-LV"/>
              </w:rPr>
              <w:t>I.</w:t>
            </w:r>
            <w:r w:rsidR="00573C02" w:rsidRPr="001E7BE3">
              <w:rPr>
                <w:rFonts w:eastAsia="Times New Roman"/>
                <w:b/>
                <w:sz w:val="28"/>
                <w:szCs w:val="28"/>
                <w:lang w:val="lv-LV" w:eastAsia="lv-LV"/>
              </w:rPr>
              <w:t xml:space="preserve"> </w:t>
            </w:r>
            <w:r w:rsidRPr="001E7BE3">
              <w:rPr>
                <w:rFonts w:eastAsia="Times New Roman"/>
                <w:b/>
                <w:sz w:val="28"/>
                <w:szCs w:val="28"/>
                <w:lang w:val="lv-LV" w:eastAsia="lv-LV"/>
              </w:rPr>
              <w:t>Tiesību akta projekta izstrādes nepieciešamība</w:t>
            </w:r>
          </w:p>
        </w:tc>
      </w:tr>
      <w:tr w:rsidR="00A31FDC" w:rsidRPr="001E7BE3" w:rsidTr="00A31FDC">
        <w:trPr>
          <w:trHeight w:val="14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1E7BE3" w:rsidRDefault="00A31FDC" w:rsidP="001E7BE3">
            <w:pPr>
              <w:jc w:val="both"/>
              <w:rPr>
                <w:rFonts w:eastAsia="Times New Roman"/>
                <w:sz w:val="28"/>
                <w:szCs w:val="28"/>
                <w:lang w:val="lv-LV" w:eastAsia="lv-LV"/>
              </w:rPr>
            </w:pPr>
            <w:r w:rsidRPr="001E7BE3">
              <w:rPr>
                <w:rFonts w:eastAsia="Times New Roman"/>
                <w:sz w:val="28"/>
                <w:szCs w:val="28"/>
                <w:lang w:val="lv-LV" w:eastAsia="lv-LV"/>
              </w:rPr>
              <w:t>1.</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1E7BE3" w:rsidRDefault="00A31FDC" w:rsidP="001E7BE3">
            <w:pPr>
              <w:jc w:val="both"/>
              <w:rPr>
                <w:rFonts w:eastAsia="Times New Roman"/>
                <w:sz w:val="28"/>
                <w:szCs w:val="28"/>
                <w:lang w:val="lv-LV" w:eastAsia="lv-LV"/>
              </w:rPr>
            </w:pPr>
            <w:r w:rsidRPr="001E7BE3">
              <w:rPr>
                <w:rFonts w:eastAsia="Times New Roman"/>
                <w:sz w:val="28"/>
                <w:szCs w:val="28"/>
                <w:lang w:val="lv-LV" w:eastAsia="lv-LV"/>
              </w:rPr>
              <w:t>Pamatojums</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BD0B72" w:rsidRDefault="0001626D" w:rsidP="008B603A">
            <w:pPr>
              <w:ind w:firstLine="709"/>
              <w:jc w:val="both"/>
              <w:rPr>
                <w:sz w:val="28"/>
                <w:szCs w:val="28"/>
              </w:rPr>
            </w:pPr>
            <w:r w:rsidRPr="00BD0B72">
              <w:rPr>
                <w:sz w:val="28"/>
                <w:szCs w:val="28"/>
                <w:lang w:val="lv-LV"/>
              </w:rPr>
              <w:t xml:space="preserve">Noteikumu projekts sagatavots, pamatojoties uz Eiropas Savienības struktūrfondu un </w:t>
            </w:r>
            <w:r w:rsidRPr="00BD0B72">
              <w:rPr>
                <w:sz w:val="28"/>
                <w:szCs w:val="28"/>
                <w:lang w:val="lv-LV"/>
              </w:rPr>
              <w:br/>
              <w:t xml:space="preserve">Kohēzijas fonda vadības likuma </w:t>
            </w:r>
            <w:r w:rsidRPr="00BD0B72">
              <w:rPr>
                <w:sz w:val="28"/>
                <w:szCs w:val="28"/>
                <w:lang w:val="lv-LV"/>
              </w:rPr>
              <w:br/>
              <w:t>18.panta 10.punktu</w:t>
            </w:r>
            <w:r w:rsidR="00961186" w:rsidRPr="00BD0B72">
              <w:rPr>
                <w:sz w:val="28"/>
                <w:szCs w:val="28"/>
                <w:lang w:val="lv-LV"/>
              </w:rPr>
              <w:t xml:space="preserve">, </w:t>
            </w:r>
            <w:r w:rsidR="00573C02" w:rsidRPr="00BD0B72">
              <w:rPr>
                <w:i/>
                <w:sz w:val="28"/>
                <w:szCs w:val="28"/>
              </w:rPr>
              <w:t>Euro</w:t>
            </w:r>
            <w:r w:rsidR="00573C02" w:rsidRPr="00BD0B72">
              <w:rPr>
                <w:sz w:val="28"/>
                <w:szCs w:val="28"/>
              </w:rPr>
              <w:t xml:space="preserve"> </w:t>
            </w:r>
            <w:proofErr w:type="spellStart"/>
            <w:r w:rsidR="00573C02" w:rsidRPr="00BD0B72">
              <w:rPr>
                <w:sz w:val="28"/>
                <w:szCs w:val="28"/>
              </w:rPr>
              <w:t>ieviešanas</w:t>
            </w:r>
            <w:proofErr w:type="spellEnd"/>
            <w:r w:rsidR="00573C02" w:rsidRPr="00BD0B72">
              <w:rPr>
                <w:sz w:val="28"/>
                <w:szCs w:val="28"/>
              </w:rPr>
              <w:t xml:space="preserve"> </w:t>
            </w:r>
            <w:proofErr w:type="spellStart"/>
            <w:r w:rsidR="00573C02" w:rsidRPr="00BD0B72">
              <w:rPr>
                <w:sz w:val="28"/>
                <w:szCs w:val="28"/>
              </w:rPr>
              <w:t>kārtības</w:t>
            </w:r>
            <w:proofErr w:type="spellEnd"/>
            <w:r w:rsidR="00573C02" w:rsidRPr="00BD0B72">
              <w:rPr>
                <w:sz w:val="28"/>
                <w:szCs w:val="28"/>
              </w:rPr>
              <w:t xml:space="preserve"> </w:t>
            </w:r>
            <w:proofErr w:type="spellStart"/>
            <w:r w:rsidR="00573C02" w:rsidRPr="00BD0B72">
              <w:rPr>
                <w:sz w:val="28"/>
                <w:szCs w:val="28"/>
              </w:rPr>
              <w:t>likuma</w:t>
            </w:r>
            <w:proofErr w:type="spellEnd"/>
            <w:r w:rsidR="00573C02" w:rsidRPr="00BD0B72">
              <w:rPr>
                <w:sz w:val="28"/>
                <w:szCs w:val="28"/>
              </w:rPr>
              <w:t xml:space="preserve"> (</w:t>
            </w:r>
            <w:proofErr w:type="spellStart"/>
            <w:r w:rsidR="008B603A" w:rsidRPr="00C44E80">
              <w:rPr>
                <w:sz w:val="28"/>
                <w:szCs w:val="28"/>
              </w:rPr>
              <w:t>turpmāk</w:t>
            </w:r>
            <w:proofErr w:type="spellEnd"/>
            <w:r w:rsidR="008B603A" w:rsidRPr="00C44E80">
              <w:rPr>
                <w:sz w:val="28"/>
                <w:szCs w:val="28"/>
              </w:rPr>
              <w:t xml:space="preserve"> – EIKL) </w:t>
            </w:r>
            <w:r w:rsidR="00573C02" w:rsidRPr="00C44E80">
              <w:rPr>
                <w:sz w:val="28"/>
                <w:szCs w:val="28"/>
              </w:rPr>
              <w:t xml:space="preserve">30.panta </w:t>
            </w:r>
            <w:proofErr w:type="spellStart"/>
            <w:r w:rsidR="00573C02" w:rsidRPr="00C44E80">
              <w:rPr>
                <w:sz w:val="28"/>
                <w:szCs w:val="28"/>
              </w:rPr>
              <w:t>pirmo</w:t>
            </w:r>
            <w:proofErr w:type="spellEnd"/>
            <w:r w:rsidR="00573C02" w:rsidRPr="00C44E80">
              <w:rPr>
                <w:sz w:val="28"/>
                <w:szCs w:val="28"/>
              </w:rPr>
              <w:t xml:space="preserve"> </w:t>
            </w:r>
            <w:proofErr w:type="spellStart"/>
            <w:r w:rsidR="00573C02" w:rsidRPr="00C44E80">
              <w:rPr>
                <w:sz w:val="28"/>
                <w:szCs w:val="28"/>
              </w:rPr>
              <w:t>daļu</w:t>
            </w:r>
            <w:proofErr w:type="spellEnd"/>
            <w:r w:rsidR="00573C02" w:rsidRPr="00C44E80">
              <w:rPr>
                <w:sz w:val="28"/>
                <w:szCs w:val="28"/>
              </w:rPr>
              <w:t xml:space="preserve"> un </w:t>
            </w:r>
            <w:proofErr w:type="spellStart"/>
            <w:r w:rsidR="00573C02" w:rsidRPr="00C44E80">
              <w:rPr>
                <w:sz w:val="28"/>
                <w:szCs w:val="28"/>
              </w:rPr>
              <w:t>Ministru</w:t>
            </w:r>
            <w:proofErr w:type="spellEnd"/>
            <w:r w:rsidR="00573C02" w:rsidRPr="00C44E80">
              <w:rPr>
                <w:sz w:val="28"/>
                <w:szCs w:val="28"/>
              </w:rPr>
              <w:t xml:space="preserve"> </w:t>
            </w:r>
            <w:proofErr w:type="spellStart"/>
            <w:r w:rsidR="00573C02" w:rsidRPr="00C44E80">
              <w:rPr>
                <w:sz w:val="28"/>
                <w:szCs w:val="28"/>
              </w:rPr>
              <w:t>kabineta</w:t>
            </w:r>
            <w:proofErr w:type="spellEnd"/>
            <w:r w:rsidR="00573C02" w:rsidRPr="00C44E80">
              <w:rPr>
                <w:sz w:val="28"/>
                <w:szCs w:val="28"/>
              </w:rPr>
              <w:t xml:space="preserve"> 2012.gada 27.jūnija </w:t>
            </w:r>
            <w:proofErr w:type="spellStart"/>
            <w:r w:rsidR="00573C02" w:rsidRPr="00C44E80">
              <w:rPr>
                <w:sz w:val="28"/>
                <w:szCs w:val="28"/>
              </w:rPr>
              <w:t>rīkojuma</w:t>
            </w:r>
            <w:proofErr w:type="spellEnd"/>
            <w:r w:rsidR="00573C02" w:rsidRPr="00C44E80">
              <w:rPr>
                <w:sz w:val="28"/>
                <w:szCs w:val="28"/>
              </w:rPr>
              <w:t xml:space="preserve"> Nr.282 „Par „</w:t>
            </w:r>
            <w:proofErr w:type="spellStart"/>
            <w:r w:rsidR="00573C02" w:rsidRPr="00C44E80">
              <w:rPr>
                <w:sz w:val="28"/>
                <w:szCs w:val="28"/>
              </w:rPr>
              <w:t>Koncepciju</w:t>
            </w:r>
            <w:proofErr w:type="spellEnd"/>
            <w:r w:rsidR="00573C02" w:rsidRPr="00C44E80">
              <w:rPr>
                <w:sz w:val="28"/>
                <w:szCs w:val="28"/>
              </w:rPr>
              <w:t xml:space="preserve"> par </w:t>
            </w:r>
            <w:proofErr w:type="spellStart"/>
            <w:r w:rsidR="00573C02" w:rsidRPr="00C44E80">
              <w:rPr>
                <w:sz w:val="28"/>
                <w:szCs w:val="28"/>
              </w:rPr>
              <w:t>normatīvo</w:t>
            </w:r>
            <w:proofErr w:type="spellEnd"/>
            <w:r w:rsidR="00573C02" w:rsidRPr="00C44E80">
              <w:rPr>
                <w:sz w:val="28"/>
                <w:szCs w:val="28"/>
              </w:rPr>
              <w:t xml:space="preserve"> </w:t>
            </w:r>
            <w:proofErr w:type="spellStart"/>
            <w:r w:rsidR="00573C02" w:rsidRPr="00C44E80">
              <w:rPr>
                <w:sz w:val="28"/>
                <w:szCs w:val="28"/>
              </w:rPr>
              <w:t>aktu</w:t>
            </w:r>
            <w:proofErr w:type="spellEnd"/>
            <w:r w:rsidR="00573C02" w:rsidRPr="00C44E80">
              <w:rPr>
                <w:sz w:val="28"/>
                <w:szCs w:val="28"/>
              </w:rPr>
              <w:t xml:space="preserve"> </w:t>
            </w:r>
            <w:proofErr w:type="spellStart"/>
            <w:r w:rsidR="00573C02" w:rsidRPr="00C44E80">
              <w:rPr>
                <w:sz w:val="28"/>
                <w:szCs w:val="28"/>
              </w:rPr>
              <w:t>sakārtošanu</w:t>
            </w:r>
            <w:proofErr w:type="spellEnd"/>
            <w:r w:rsidR="00573C02" w:rsidRPr="00C44E80">
              <w:rPr>
                <w:sz w:val="28"/>
                <w:szCs w:val="28"/>
              </w:rPr>
              <w:t xml:space="preserve"> </w:t>
            </w:r>
            <w:proofErr w:type="spellStart"/>
            <w:r w:rsidR="00573C02" w:rsidRPr="00C44E80">
              <w:rPr>
                <w:sz w:val="28"/>
                <w:szCs w:val="28"/>
              </w:rPr>
              <w:t>saistībā</w:t>
            </w:r>
            <w:proofErr w:type="spellEnd"/>
            <w:r w:rsidR="00573C02" w:rsidRPr="00C44E80">
              <w:rPr>
                <w:sz w:val="28"/>
                <w:szCs w:val="28"/>
              </w:rPr>
              <w:t xml:space="preserve"> </w:t>
            </w:r>
            <w:proofErr w:type="spellStart"/>
            <w:r w:rsidR="00573C02" w:rsidRPr="00C44E80">
              <w:rPr>
                <w:sz w:val="28"/>
                <w:szCs w:val="28"/>
              </w:rPr>
              <w:t>ar</w:t>
            </w:r>
            <w:proofErr w:type="spellEnd"/>
            <w:r w:rsidR="00573C02" w:rsidRPr="00C44E80">
              <w:rPr>
                <w:sz w:val="28"/>
                <w:szCs w:val="28"/>
              </w:rPr>
              <w:t xml:space="preserve"> </w:t>
            </w:r>
            <w:proofErr w:type="spellStart"/>
            <w:r w:rsidR="00573C02" w:rsidRPr="00C44E80">
              <w:rPr>
                <w:sz w:val="28"/>
                <w:szCs w:val="28"/>
              </w:rPr>
              <w:t>eiro</w:t>
            </w:r>
            <w:proofErr w:type="spellEnd"/>
            <w:r w:rsidR="00573C02" w:rsidRPr="00C44E80">
              <w:rPr>
                <w:sz w:val="28"/>
                <w:szCs w:val="28"/>
              </w:rPr>
              <w:t xml:space="preserve"> </w:t>
            </w:r>
            <w:proofErr w:type="spellStart"/>
            <w:r w:rsidR="00573C02" w:rsidRPr="00C44E80">
              <w:rPr>
                <w:sz w:val="28"/>
                <w:szCs w:val="28"/>
              </w:rPr>
              <w:t>ieviešanu</w:t>
            </w:r>
            <w:proofErr w:type="spellEnd"/>
            <w:r w:rsidR="00573C02" w:rsidRPr="00C44E80">
              <w:rPr>
                <w:sz w:val="28"/>
                <w:szCs w:val="28"/>
              </w:rPr>
              <w:t xml:space="preserve"> </w:t>
            </w:r>
            <w:proofErr w:type="spellStart"/>
            <w:r w:rsidR="00573C02" w:rsidRPr="00C44E80">
              <w:rPr>
                <w:sz w:val="28"/>
                <w:szCs w:val="28"/>
              </w:rPr>
              <w:t>Latvijā</w:t>
            </w:r>
            <w:proofErr w:type="spellEnd"/>
            <w:r w:rsidR="00573C02" w:rsidRPr="00C44E80">
              <w:rPr>
                <w:sz w:val="28"/>
                <w:szCs w:val="28"/>
              </w:rPr>
              <w:t>”” 7.1.apakšpunktu</w:t>
            </w:r>
            <w:r w:rsidR="00C44E80" w:rsidRPr="00C44E80">
              <w:rPr>
                <w:sz w:val="28"/>
                <w:szCs w:val="28"/>
              </w:rPr>
              <w:t xml:space="preserve"> un 3.pielikuma 292.punktu</w:t>
            </w:r>
            <w:r w:rsidRPr="00C44E80">
              <w:rPr>
                <w:sz w:val="28"/>
                <w:szCs w:val="28"/>
                <w:lang w:val="lv-LV"/>
              </w:rPr>
              <w:t>.</w:t>
            </w:r>
          </w:p>
        </w:tc>
      </w:tr>
      <w:tr w:rsidR="00A31FDC" w:rsidRPr="001E7BE3" w:rsidTr="00E20BF7">
        <w:trPr>
          <w:trHeight w:val="218"/>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1E7BE3" w:rsidRDefault="00A31FDC" w:rsidP="001E7BE3">
            <w:pPr>
              <w:jc w:val="both"/>
              <w:rPr>
                <w:rFonts w:eastAsia="Times New Roman"/>
                <w:sz w:val="28"/>
                <w:szCs w:val="28"/>
                <w:lang w:val="lv-LV" w:eastAsia="lv-LV"/>
              </w:rPr>
            </w:pPr>
            <w:r w:rsidRPr="001E7BE3">
              <w:rPr>
                <w:rFonts w:eastAsia="Times New Roman"/>
                <w:sz w:val="28"/>
                <w:szCs w:val="28"/>
                <w:lang w:val="lv-LV" w:eastAsia="lv-LV"/>
              </w:rPr>
              <w:t>2.</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1E7BE3" w:rsidRDefault="00A31FDC" w:rsidP="001E7BE3">
            <w:pPr>
              <w:jc w:val="both"/>
              <w:rPr>
                <w:rFonts w:eastAsia="Times New Roman"/>
                <w:sz w:val="28"/>
                <w:szCs w:val="28"/>
                <w:lang w:val="lv-LV" w:eastAsia="lv-LV"/>
              </w:rPr>
            </w:pPr>
            <w:r w:rsidRPr="001E7BE3">
              <w:rPr>
                <w:rFonts w:eastAsia="Times New Roman"/>
                <w:sz w:val="28"/>
                <w:szCs w:val="28"/>
                <w:lang w:val="lv-LV" w:eastAsia="lv-LV"/>
              </w:rPr>
              <w:t>Pašreizējā situācija un problēmas</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2A58FD" w:rsidRPr="00BD0B72" w:rsidRDefault="002A58FD" w:rsidP="001E7BE3">
            <w:pPr>
              <w:jc w:val="both"/>
              <w:rPr>
                <w:bCs/>
                <w:i/>
                <w:sz w:val="28"/>
                <w:szCs w:val="28"/>
                <w:lang w:val="lv-LV"/>
              </w:rPr>
            </w:pPr>
            <w:r w:rsidRPr="00BD0B72">
              <w:rPr>
                <w:bCs/>
                <w:i/>
                <w:sz w:val="28"/>
                <w:szCs w:val="28"/>
                <w:lang w:val="lv-LV"/>
              </w:rPr>
              <w:t>Finansējums</w:t>
            </w:r>
          </w:p>
          <w:p w:rsidR="005740D7" w:rsidRPr="00BD0B72" w:rsidRDefault="005740D7" w:rsidP="001E7BE3">
            <w:pPr>
              <w:ind w:firstLine="709"/>
              <w:jc w:val="both"/>
              <w:rPr>
                <w:bCs/>
                <w:sz w:val="28"/>
                <w:szCs w:val="28"/>
                <w:lang w:val="lv-LV"/>
              </w:rPr>
            </w:pPr>
            <w:r w:rsidRPr="00BD0B72">
              <w:rPr>
                <w:bCs/>
                <w:sz w:val="28"/>
                <w:szCs w:val="28"/>
                <w:lang w:val="lv-LV"/>
              </w:rPr>
              <w:t>Ministru kabineta 2009.gada 17.februāra noteikumos Nr.162 „Noteikumi par darbības programmas „Infrastruktūra un pakalpojumi” papildinājuma 3.5.2.1.1.apakšaktivitātes „Pasākumi centralizētās siltumapgādes sistēmu efektivitātes paaugstināšanai” projektu iesniegumu atlases pirmo kārtu” (turpmāk – MK noteikumi Nr.162) ir noteikts, ka darbības programmas „Infrastruktūra un pakalpojumi” papildinājuma 3.5.2.1.1.apakšaktivitātes „Pasākumi centralizētās siltumapgādes sistēmu efektivitātes paaugstināšanai” (turpmāk – 3.5.2.1.1.apakšaktivitāte) projektu iesniegumu atlases pirmajā kārtā pieejamais Kohēzijas fonda (turpmāk – KF) finansējums ir 6 498 733 lati. Ministru kabineta 2010.gada 31.augusta noteikumos Nr.824 „Noteikumi par darbības programmas „Infrastruktūra un pakalpojumi” papildinājuma 3.5.2.1.1.apakšaktivitātes „Pasākumi centralizētās siltumapgādes sistēmu efektivitātes paaugstināšanai” projektu iesniegumu atlases otro kārtu un turpmākajām kārtām”” (turpmāk – MK noteikumi Nr.824) ir noteikts, ka 3.5.2.1.1.apakšaktivitātes projektu iesniegumu atlases otrās</w:t>
            </w:r>
            <w:r w:rsidR="00ED7556" w:rsidRPr="00BD0B72">
              <w:rPr>
                <w:bCs/>
                <w:sz w:val="28"/>
                <w:szCs w:val="28"/>
                <w:lang w:val="lv-LV"/>
              </w:rPr>
              <w:t xml:space="preserve"> kārtas</w:t>
            </w:r>
            <w:r w:rsidRPr="00BD0B72">
              <w:rPr>
                <w:bCs/>
                <w:sz w:val="28"/>
                <w:szCs w:val="28"/>
                <w:lang w:val="lv-LV"/>
              </w:rPr>
              <w:t xml:space="preserve"> un turpmāko kārtu ietvaros pieejamais KF </w:t>
            </w:r>
            <w:r w:rsidRPr="00BD0B72">
              <w:rPr>
                <w:bCs/>
                <w:sz w:val="28"/>
                <w:szCs w:val="28"/>
                <w:lang w:val="lv-LV"/>
              </w:rPr>
              <w:lastRenderedPageBreak/>
              <w:t xml:space="preserve">finansējums ir </w:t>
            </w:r>
            <w:r w:rsidRPr="00BD0B72">
              <w:rPr>
                <w:sz w:val="28"/>
                <w:szCs w:val="28"/>
              </w:rPr>
              <w:t>48 831 866</w:t>
            </w:r>
            <w:r w:rsidRPr="00BD0B72">
              <w:rPr>
                <w:bCs/>
                <w:sz w:val="28"/>
                <w:szCs w:val="28"/>
                <w:lang w:val="lv-LV"/>
              </w:rPr>
              <w:t xml:space="preserve"> lati. Tādējādi kopējais KF finansējums 3.5.2.1.1.apakšaktivitātē ir 55 330 599 lati (78 728 350 </w:t>
            </w:r>
            <w:proofErr w:type="spellStart"/>
            <w:r w:rsidRPr="00BD0B72">
              <w:rPr>
                <w:bCs/>
                <w:i/>
                <w:sz w:val="28"/>
                <w:szCs w:val="28"/>
                <w:lang w:val="lv-LV"/>
              </w:rPr>
              <w:t>euro</w:t>
            </w:r>
            <w:proofErr w:type="spellEnd"/>
            <w:r w:rsidRPr="00BD0B72">
              <w:rPr>
                <w:bCs/>
                <w:sz w:val="28"/>
                <w:szCs w:val="28"/>
                <w:lang w:val="lv-LV"/>
              </w:rPr>
              <w:t xml:space="preserve">). Līdz 09.10.2013. 3.5.2.1.1.apakšaktivitātes projektu iesniegumu atlases pirmās, otrās, trešās un ceturtās kārtas ietvaros ir noslēgti 97 līgumi par projektu īstenošanu par KF finansējumu 48 110 576,66 latiem, t. </w:t>
            </w:r>
            <w:proofErr w:type="spellStart"/>
            <w:r w:rsidRPr="00BD0B72">
              <w:rPr>
                <w:bCs/>
                <w:sz w:val="28"/>
                <w:szCs w:val="28"/>
                <w:lang w:val="lv-LV"/>
              </w:rPr>
              <w:t>sk</w:t>
            </w:r>
            <w:proofErr w:type="spellEnd"/>
            <w:r w:rsidRPr="00BD0B72">
              <w:rPr>
                <w:bCs/>
                <w:sz w:val="28"/>
                <w:szCs w:val="28"/>
                <w:lang w:val="lv-LV"/>
              </w:rPr>
              <w:t>. pabeigti 26 projekti par KF finansējumu 11 019 502,73 latiem.</w:t>
            </w:r>
          </w:p>
          <w:p w:rsidR="008D28C6" w:rsidRPr="00BD0B72" w:rsidRDefault="008D28C6" w:rsidP="001E7BE3">
            <w:pPr>
              <w:ind w:firstLine="709"/>
              <w:jc w:val="both"/>
              <w:rPr>
                <w:bCs/>
                <w:sz w:val="28"/>
                <w:szCs w:val="28"/>
                <w:lang w:val="lv-LV"/>
              </w:rPr>
            </w:pPr>
            <w:r w:rsidRPr="00BD0B72">
              <w:rPr>
                <w:bCs/>
                <w:sz w:val="28"/>
                <w:szCs w:val="28"/>
                <w:lang w:val="lv-LV"/>
              </w:rPr>
              <w:t xml:space="preserve">Saskaņā ar Ministru kabineta 2013.gada 15.oktobra sēdes protokola Nr.54 37.§ 3.punktu Ministru kabineta 2012.gada 8.maija sēdes </w:t>
            </w:r>
            <w:proofErr w:type="spellStart"/>
            <w:r w:rsidRPr="00BD0B72">
              <w:rPr>
                <w:bCs/>
                <w:sz w:val="28"/>
                <w:szCs w:val="28"/>
                <w:lang w:val="lv-LV"/>
              </w:rPr>
              <w:t>protokollēmuma</w:t>
            </w:r>
            <w:proofErr w:type="spellEnd"/>
            <w:r w:rsidRPr="00BD0B72">
              <w:rPr>
                <w:bCs/>
                <w:sz w:val="28"/>
                <w:szCs w:val="28"/>
                <w:lang w:val="lv-LV"/>
              </w:rPr>
              <w:t xml:space="preserve"> (</w:t>
            </w:r>
            <w:proofErr w:type="spellStart"/>
            <w:r w:rsidRPr="00BD0B72">
              <w:rPr>
                <w:bCs/>
                <w:sz w:val="28"/>
                <w:szCs w:val="28"/>
                <w:lang w:val="lv-LV"/>
              </w:rPr>
              <w:t>prot</w:t>
            </w:r>
            <w:proofErr w:type="spellEnd"/>
            <w:r w:rsidRPr="00BD0B72">
              <w:rPr>
                <w:bCs/>
                <w:sz w:val="28"/>
                <w:szCs w:val="28"/>
                <w:lang w:val="lv-LV"/>
              </w:rPr>
              <w:t xml:space="preserve">. Nr.25 26.§) „Informatīvais ziņojums „Valsts budžeta </w:t>
            </w:r>
            <w:proofErr w:type="spellStart"/>
            <w:r w:rsidRPr="00BD0B72">
              <w:rPr>
                <w:bCs/>
                <w:sz w:val="28"/>
                <w:szCs w:val="28"/>
                <w:lang w:val="lv-LV"/>
              </w:rPr>
              <w:t>virssaistību</w:t>
            </w:r>
            <w:proofErr w:type="spellEnd"/>
            <w:r w:rsidRPr="00BD0B72">
              <w:rPr>
                <w:bCs/>
                <w:sz w:val="28"/>
                <w:szCs w:val="28"/>
                <w:lang w:val="lv-LV"/>
              </w:rPr>
              <w:t xml:space="preserve"> iespējas Eiropas Savienības struktūrfondu un Kohēzijas fonda 2007.-2013.gada plānošanas perioda aktivitātēs”” 7.punktā noteiktais ierobežojums attiecībā uz neatbilstību un lauzto līgumu ietvaros atbrīvoto finansējumu nav attiecināms Ekonomikas ministrijas ieviesto darbības programmas „Infrastruktūra un pakalpojumi” 3.5.2.pasākuma „Enerģētika” aktivitāšu ietvaros. Neatbilstību un lauzto līgumu, ja to ietvaros nav veikti maksājumi, atbrīvoto finansējumu 3.5.2.pasākumā „Enerģētika” var izmantot 3.5.2.1.1.apakšaktivitātes „Pasākumi centralizētās siltumapgādes sistēmu efektivitātes paaugstināšanai” ietvaros iesniegto projektu īstenošanai.</w:t>
            </w:r>
          </w:p>
          <w:p w:rsidR="005740D7" w:rsidRPr="00BD0B72" w:rsidRDefault="008D28C6" w:rsidP="001E7BE3">
            <w:pPr>
              <w:ind w:firstLine="709"/>
              <w:jc w:val="both"/>
              <w:rPr>
                <w:bCs/>
                <w:sz w:val="28"/>
                <w:szCs w:val="28"/>
                <w:lang w:val="lv-LV"/>
              </w:rPr>
            </w:pPr>
            <w:r w:rsidRPr="00BD0B72">
              <w:rPr>
                <w:bCs/>
                <w:sz w:val="28"/>
                <w:szCs w:val="28"/>
                <w:lang w:val="lv-LV"/>
              </w:rPr>
              <w:t xml:space="preserve">Informējam, ka darbības programmas „Infrastruktūra un pakalpojumi” ietvaros Ekonomikas ministrijas </w:t>
            </w:r>
            <w:proofErr w:type="spellStart"/>
            <w:r w:rsidRPr="00BD0B72">
              <w:rPr>
                <w:bCs/>
                <w:sz w:val="28"/>
                <w:szCs w:val="28"/>
                <w:lang w:val="lv-LV"/>
              </w:rPr>
              <w:t>pārziņā</w:t>
            </w:r>
            <w:proofErr w:type="spellEnd"/>
            <w:r w:rsidRPr="00BD0B72">
              <w:rPr>
                <w:bCs/>
                <w:sz w:val="28"/>
                <w:szCs w:val="28"/>
                <w:lang w:val="lv-LV"/>
              </w:rPr>
              <w:t xml:space="preserve"> ir finanšu līdzekļi 156,4 miljonu latu apmērā, t. </w:t>
            </w:r>
            <w:proofErr w:type="spellStart"/>
            <w:r w:rsidRPr="00BD0B72">
              <w:rPr>
                <w:bCs/>
                <w:sz w:val="28"/>
                <w:szCs w:val="28"/>
                <w:lang w:val="lv-LV"/>
              </w:rPr>
              <w:t>sk</w:t>
            </w:r>
            <w:proofErr w:type="spellEnd"/>
            <w:r w:rsidRPr="00BD0B72">
              <w:rPr>
                <w:bCs/>
                <w:sz w:val="28"/>
                <w:szCs w:val="28"/>
                <w:lang w:val="lv-LV"/>
              </w:rPr>
              <w:t xml:space="preserve">. </w:t>
            </w:r>
            <w:proofErr w:type="spellStart"/>
            <w:r w:rsidRPr="00BD0B72">
              <w:rPr>
                <w:bCs/>
                <w:sz w:val="28"/>
                <w:szCs w:val="28"/>
                <w:lang w:val="lv-LV"/>
              </w:rPr>
              <w:t>virssaistības</w:t>
            </w:r>
            <w:proofErr w:type="spellEnd"/>
            <w:r w:rsidRPr="00BD0B72">
              <w:rPr>
                <w:bCs/>
                <w:sz w:val="28"/>
                <w:szCs w:val="28"/>
                <w:lang w:val="lv-LV"/>
              </w:rPr>
              <w:t xml:space="preserve"> 8 miljoni latu (ņemot vērā darbības programmas grozījumus, kas iesniegti Eiropas Komisijā). Tai pat laikā visu Ekonomikas ministrijas </w:t>
            </w:r>
            <w:proofErr w:type="spellStart"/>
            <w:r w:rsidRPr="00BD0B72">
              <w:rPr>
                <w:bCs/>
                <w:sz w:val="28"/>
                <w:szCs w:val="28"/>
                <w:lang w:val="lv-LV"/>
              </w:rPr>
              <w:t>pārziņā</w:t>
            </w:r>
            <w:proofErr w:type="spellEnd"/>
            <w:r w:rsidRPr="00BD0B72">
              <w:rPr>
                <w:bCs/>
                <w:sz w:val="28"/>
                <w:szCs w:val="28"/>
                <w:lang w:val="lv-LV"/>
              </w:rPr>
              <w:t xml:space="preserve"> esošo darbības programmas „Infrastruktūra un pakalpojumi” aktivitāšu ietvaros šobrīd izveidojies finansējuma pārpalikums 9,2 miljonu latu apmērā (pārpalikumi pēc projektu pabeigšanas, neatbilstoši veikti izdevumi, lauzti līgumi). Novirzot 3.5.2.pasākuma „Enerģētika” aktivitāšu finansējuma pārpalikumu 2,6 miljonu latu apmērā 3.5.2.1.1.apakšaktivitātei, neizmantotais finansējums darbības programmas „Infrastruktūra un </w:t>
            </w:r>
            <w:r w:rsidRPr="00BD0B72">
              <w:rPr>
                <w:bCs/>
                <w:sz w:val="28"/>
                <w:szCs w:val="28"/>
                <w:lang w:val="lv-LV"/>
              </w:rPr>
              <w:lastRenderedPageBreak/>
              <w:t xml:space="preserve">pakalpojumi” ietvaros būs 6,6 miljoni latu. Tai pat laikā Ekonomikas ministrija informē, ka šobrīd daļai projektu īstenotāju ir grūtības saņemt aizdevumus projektu īstenošanai, kā arī, īstenojot projektus, rodas finanšu neatbilstības. Tādēļ prognozējam, ka neapgūto līdzekļu apjoms palielināsies, pārsniedzot 8 miljonus latus (kas pārsniedz šobrīd Ekonomikas ministrijai piešķirto </w:t>
            </w:r>
            <w:proofErr w:type="spellStart"/>
            <w:r w:rsidRPr="00BD0B72">
              <w:rPr>
                <w:bCs/>
                <w:sz w:val="28"/>
                <w:szCs w:val="28"/>
                <w:lang w:val="lv-LV"/>
              </w:rPr>
              <w:t>virssaistību</w:t>
            </w:r>
            <w:proofErr w:type="spellEnd"/>
            <w:r w:rsidRPr="00BD0B72">
              <w:rPr>
                <w:bCs/>
                <w:sz w:val="28"/>
                <w:szCs w:val="28"/>
                <w:lang w:val="lv-LV"/>
              </w:rPr>
              <w:t xml:space="preserve"> apjomu darbības programmas „Infrastruktūra un pakalpojumi” ietvaros). Līdz ar to, novirzot brīvo KF finansējumu 3.5.2.1.1.apakšaktivitātes piektās kārtas projektu īstenošanai, netiks radīts p</w:t>
            </w:r>
            <w:r w:rsidR="000D7B22" w:rsidRPr="00BD0B72">
              <w:rPr>
                <w:bCs/>
                <w:sz w:val="28"/>
                <w:szCs w:val="28"/>
                <w:lang w:val="lv-LV"/>
              </w:rPr>
              <w:t>apildus slogs valsts budžetam</w:t>
            </w:r>
            <w:r w:rsidR="005740D7" w:rsidRPr="00BD0B72">
              <w:rPr>
                <w:bCs/>
                <w:sz w:val="28"/>
                <w:szCs w:val="28"/>
                <w:lang w:val="lv-LV"/>
              </w:rPr>
              <w:t>.</w:t>
            </w:r>
          </w:p>
          <w:p w:rsidR="005740D7" w:rsidRPr="00BD0B72" w:rsidRDefault="005740D7" w:rsidP="001E7BE3">
            <w:pPr>
              <w:ind w:firstLine="709"/>
              <w:jc w:val="both"/>
              <w:rPr>
                <w:bCs/>
                <w:sz w:val="28"/>
                <w:szCs w:val="28"/>
                <w:lang w:val="lv-LV"/>
              </w:rPr>
            </w:pPr>
            <w:r w:rsidRPr="00BD0B72">
              <w:rPr>
                <w:bCs/>
                <w:sz w:val="28"/>
                <w:szCs w:val="28"/>
                <w:lang w:val="lv-LV"/>
              </w:rPr>
              <w:t xml:space="preserve">Savukārt 3.5.2.1.1.apakšaktivitātes projektu iesniegumu atlases piektajā kārtā izsludinātais KF finansējums ir </w:t>
            </w:r>
            <w:r w:rsidRPr="00BD0B72">
              <w:rPr>
                <w:bCs/>
                <w:sz w:val="28"/>
                <w:szCs w:val="28"/>
              </w:rPr>
              <w:t xml:space="preserve">5 150 111,66 </w:t>
            </w:r>
            <w:proofErr w:type="spellStart"/>
            <w:r w:rsidRPr="00BD0B72">
              <w:rPr>
                <w:bCs/>
                <w:sz w:val="28"/>
                <w:szCs w:val="28"/>
              </w:rPr>
              <w:t>lati</w:t>
            </w:r>
            <w:proofErr w:type="spellEnd"/>
            <w:r w:rsidRPr="00BD0B72">
              <w:rPr>
                <w:bCs/>
                <w:sz w:val="28"/>
                <w:szCs w:val="28"/>
                <w:lang w:val="lv-LV"/>
              </w:rPr>
              <w:t>, iesniegti 35 projekti par KF finansējumu 12 891 162,95 latiem. Līdz ar to piektajā kārtā iesniegto projektu apstiprināšanai KF finans</w:t>
            </w:r>
            <w:r w:rsidR="00841207" w:rsidRPr="00BD0B72">
              <w:rPr>
                <w:bCs/>
                <w:sz w:val="28"/>
                <w:szCs w:val="28"/>
                <w:lang w:val="lv-LV"/>
              </w:rPr>
              <w:t>ējums ir nepietiekošs.</w:t>
            </w:r>
          </w:p>
          <w:p w:rsidR="00841207" w:rsidRPr="00BD0B72" w:rsidRDefault="00841207" w:rsidP="001E7BE3">
            <w:pPr>
              <w:pStyle w:val="ListParagraph"/>
              <w:ind w:left="0" w:firstLine="709"/>
              <w:jc w:val="both"/>
              <w:rPr>
                <w:bCs/>
                <w:sz w:val="28"/>
                <w:szCs w:val="28"/>
                <w:lang w:val="lv-LV"/>
              </w:rPr>
            </w:pPr>
            <w:r w:rsidRPr="00BD0B72">
              <w:rPr>
                <w:bCs/>
                <w:sz w:val="28"/>
                <w:szCs w:val="28"/>
                <w:lang w:val="lv-LV"/>
              </w:rPr>
              <w:t xml:space="preserve">Ņemot vērā augstāk minēto, 3.5.2.1.1.apakšaktivitātes </w:t>
            </w:r>
            <w:r w:rsidR="000B102D" w:rsidRPr="00BD0B72">
              <w:rPr>
                <w:bCs/>
                <w:sz w:val="28"/>
                <w:szCs w:val="28"/>
                <w:lang w:val="lv-LV"/>
              </w:rPr>
              <w:t xml:space="preserve">projektu iesniegumu atlases pirmās kārtas </w:t>
            </w:r>
            <w:r w:rsidRPr="00BD0B72">
              <w:rPr>
                <w:bCs/>
                <w:sz w:val="28"/>
                <w:szCs w:val="28"/>
                <w:lang w:val="lv-LV"/>
              </w:rPr>
              <w:t xml:space="preserve">ietvaros pieejamo KF finansējuma atlikumu 204 564 latu (291 068 </w:t>
            </w:r>
            <w:proofErr w:type="spellStart"/>
            <w:r w:rsidRPr="00BD0B72">
              <w:rPr>
                <w:bCs/>
                <w:i/>
                <w:sz w:val="28"/>
                <w:szCs w:val="28"/>
                <w:lang w:val="lv-LV"/>
              </w:rPr>
              <w:t>euro</w:t>
            </w:r>
            <w:proofErr w:type="spellEnd"/>
            <w:r w:rsidRPr="00BD0B72">
              <w:rPr>
                <w:bCs/>
                <w:sz w:val="28"/>
                <w:szCs w:val="28"/>
                <w:lang w:val="lv-LV"/>
              </w:rPr>
              <w:t xml:space="preserve">) apmērā </w:t>
            </w:r>
            <w:r w:rsidR="008D28C6" w:rsidRPr="00BD0B72">
              <w:rPr>
                <w:bCs/>
                <w:sz w:val="28"/>
                <w:szCs w:val="28"/>
                <w:lang w:val="lv-LV"/>
              </w:rPr>
              <w:t xml:space="preserve">jānovirza </w:t>
            </w:r>
            <w:r w:rsidRPr="00BD0B72">
              <w:rPr>
                <w:bCs/>
                <w:sz w:val="28"/>
                <w:szCs w:val="28"/>
                <w:lang w:val="lv-LV"/>
              </w:rPr>
              <w:t>piektās kārtas ietvaros iesniegto projektu apstiprināšanai.</w:t>
            </w:r>
          </w:p>
          <w:p w:rsidR="005740D7" w:rsidRPr="00BD0B72" w:rsidRDefault="005740D7" w:rsidP="001E7BE3">
            <w:pPr>
              <w:jc w:val="both"/>
              <w:rPr>
                <w:bCs/>
                <w:i/>
                <w:sz w:val="28"/>
                <w:szCs w:val="28"/>
                <w:lang w:val="lv-LV"/>
              </w:rPr>
            </w:pPr>
            <w:proofErr w:type="spellStart"/>
            <w:r w:rsidRPr="00BD0B72">
              <w:rPr>
                <w:bCs/>
                <w:i/>
                <w:sz w:val="28"/>
                <w:szCs w:val="28"/>
                <w:lang w:val="lv-LV"/>
              </w:rPr>
              <w:t>Euro</w:t>
            </w:r>
            <w:proofErr w:type="spellEnd"/>
            <w:r w:rsidRPr="00BD0B72">
              <w:rPr>
                <w:bCs/>
                <w:i/>
                <w:sz w:val="28"/>
                <w:szCs w:val="28"/>
                <w:lang w:val="lv-LV"/>
              </w:rPr>
              <w:t xml:space="preserve"> ieviešana</w:t>
            </w:r>
          </w:p>
          <w:p w:rsidR="003611ED" w:rsidRPr="00BD0B72" w:rsidRDefault="005740D7" w:rsidP="001E7BE3">
            <w:pPr>
              <w:pStyle w:val="ListParagraph"/>
              <w:ind w:left="0" w:firstLine="709"/>
              <w:jc w:val="both"/>
              <w:rPr>
                <w:bCs/>
                <w:sz w:val="28"/>
                <w:szCs w:val="28"/>
                <w:lang w:val="lv-LV"/>
              </w:rPr>
            </w:pPr>
            <w:r w:rsidRPr="00BD0B72">
              <w:rPr>
                <w:bCs/>
                <w:sz w:val="28"/>
                <w:szCs w:val="28"/>
                <w:lang w:val="lv-LV"/>
              </w:rPr>
              <w:t xml:space="preserve">Ņemot vērā </w:t>
            </w:r>
            <w:proofErr w:type="spellStart"/>
            <w:r w:rsidRPr="00BD0B72">
              <w:rPr>
                <w:bCs/>
                <w:i/>
                <w:sz w:val="28"/>
                <w:szCs w:val="28"/>
                <w:lang w:val="lv-LV"/>
              </w:rPr>
              <w:t>euro</w:t>
            </w:r>
            <w:proofErr w:type="spellEnd"/>
            <w:r w:rsidRPr="00BD0B72">
              <w:rPr>
                <w:bCs/>
                <w:sz w:val="28"/>
                <w:szCs w:val="28"/>
                <w:lang w:val="lv-LV"/>
              </w:rPr>
              <w:t xml:space="preserve"> ieviešanu no 2014.gada</w:t>
            </w:r>
            <w:r w:rsidR="0000084E" w:rsidRPr="00BD0B72">
              <w:rPr>
                <w:bCs/>
                <w:sz w:val="28"/>
                <w:szCs w:val="28"/>
                <w:lang w:val="lv-LV"/>
              </w:rPr>
              <w:t xml:space="preserve"> 1.janvāra, MK noteikumos Nr.162</w:t>
            </w:r>
            <w:r w:rsidRPr="00BD0B72">
              <w:rPr>
                <w:bCs/>
                <w:sz w:val="28"/>
                <w:szCs w:val="28"/>
                <w:lang w:val="lv-LV"/>
              </w:rPr>
              <w:t xml:space="preserve"> minētās summas</w:t>
            </w:r>
            <w:r w:rsidR="000D7B22" w:rsidRPr="00BD0B72">
              <w:rPr>
                <w:bCs/>
                <w:sz w:val="28"/>
                <w:szCs w:val="28"/>
                <w:lang w:val="lv-LV"/>
              </w:rPr>
              <w:t xml:space="preserve"> latos</w:t>
            </w:r>
            <w:r w:rsidRPr="00BD0B72">
              <w:rPr>
                <w:bCs/>
                <w:sz w:val="28"/>
                <w:szCs w:val="28"/>
                <w:lang w:val="lv-LV"/>
              </w:rPr>
              <w:t xml:space="preserve"> </w:t>
            </w:r>
            <w:r w:rsidR="00573C02" w:rsidRPr="00BD0B72">
              <w:rPr>
                <w:bCs/>
                <w:sz w:val="28"/>
                <w:szCs w:val="28"/>
                <w:lang w:val="lv-LV"/>
              </w:rPr>
              <w:t xml:space="preserve">tiek </w:t>
            </w:r>
            <w:proofErr w:type="spellStart"/>
            <w:r w:rsidR="008B603A" w:rsidRPr="00BD0B72">
              <w:rPr>
                <w:sz w:val="28"/>
                <w:szCs w:val="28"/>
              </w:rPr>
              <w:t>izteiktas</w:t>
            </w:r>
            <w:proofErr w:type="spellEnd"/>
            <w:r w:rsidR="008B603A" w:rsidRPr="00BD0B72">
              <w:rPr>
                <w:sz w:val="28"/>
                <w:szCs w:val="28"/>
              </w:rPr>
              <w:t xml:space="preserve"> </w:t>
            </w:r>
            <w:r w:rsidR="008B603A" w:rsidRPr="00BD0B72">
              <w:rPr>
                <w:i/>
                <w:iCs/>
                <w:sz w:val="28"/>
                <w:szCs w:val="28"/>
              </w:rPr>
              <w:t>euro</w:t>
            </w:r>
            <w:r w:rsidR="008B603A" w:rsidRPr="00BD0B72">
              <w:rPr>
                <w:sz w:val="28"/>
                <w:szCs w:val="28"/>
              </w:rPr>
              <w:t xml:space="preserve"> </w:t>
            </w:r>
            <w:proofErr w:type="spellStart"/>
            <w:r w:rsidR="008B603A" w:rsidRPr="00BD0B72">
              <w:rPr>
                <w:sz w:val="28"/>
                <w:szCs w:val="28"/>
              </w:rPr>
              <w:t>atbilstoši</w:t>
            </w:r>
            <w:proofErr w:type="spellEnd"/>
            <w:r w:rsidR="008B603A" w:rsidRPr="00BD0B72">
              <w:rPr>
                <w:sz w:val="28"/>
                <w:szCs w:val="28"/>
              </w:rPr>
              <w:t xml:space="preserve"> </w:t>
            </w:r>
            <w:proofErr w:type="spellStart"/>
            <w:r w:rsidR="008B603A" w:rsidRPr="00BD0B72">
              <w:rPr>
                <w:sz w:val="28"/>
                <w:szCs w:val="28"/>
              </w:rPr>
              <w:t>Eiropas</w:t>
            </w:r>
            <w:proofErr w:type="spellEnd"/>
            <w:r w:rsidR="008B603A" w:rsidRPr="00BD0B72">
              <w:rPr>
                <w:sz w:val="28"/>
                <w:szCs w:val="28"/>
              </w:rPr>
              <w:t xml:space="preserve"> </w:t>
            </w:r>
            <w:proofErr w:type="spellStart"/>
            <w:r w:rsidR="008B603A" w:rsidRPr="00BD0B72">
              <w:rPr>
                <w:sz w:val="28"/>
                <w:szCs w:val="28"/>
              </w:rPr>
              <w:t>Savienības</w:t>
            </w:r>
            <w:proofErr w:type="spellEnd"/>
            <w:r w:rsidR="008B603A" w:rsidRPr="00BD0B72">
              <w:rPr>
                <w:sz w:val="28"/>
                <w:szCs w:val="28"/>
              </w:rPr>
              <w:t xml:space="preserve"> </w:t>
            </w:r>
            <w:proofErr w:type="spellStart"/>
            <w:r w:rsidR="008B603A" w:rsidRPr="00BD0B72">
              <w:rPr>
                <w:sz w:val="28"/>
                <w:szCs w:val="28"/>
              </w:rPr>
              <w:t>Padomes</w:t>
            </w:r>
            <w:proofErr w:type="spellEnd"/>
            <w:r w:rsidR="008B603A" w:rsidRPr="00BD0B72">
              <w:rPr>
                <w:sz w:val="28"/>
                <w:szCs w:val="28"/>
              </w:rPr>
              <w:t xml:space="preserve"> </w:t>
            </w:r>
            <w:proofErr w:type="spellStart"/>
            <w:r w:rsidR="008B603A" w:rsidRPr="00BD0B72">
              <w:rPr>
                <w:sz w:val="28"/>
                <w:szCs w:val="28"/>
              </w:rPr>
              <w:t>apstiprinātam</w:t>
            </w:r>
            <w:proofErr w:type="spellEnd"/>
            <w:r w:rsidR="008B603A" w:rsidRPr="00BD0B72">
              <w:rPr>
                <w:sz w:val="28"/>
                <w:szCs w:val="28"/>
              </w:rPr>
              <w:t xml:space="preserve"> </w:t>
            </w:r>
            <w:proofErr w:type="spellStart"/>
            <w:r w:rsidR="008B603A" w:rsidRPr="00BD0B72">
              <w:rPr>
                <w:sz w:val="28"/>
                <w:szCs w:val="28"/>
              </w:rPr>
              <w:t>valūtas</w:t>
            </w:r>
            <w:proofErr w:type="spellEnd"/>
            <w:r w:rsidR="008B603A" w:rsidRPr="00BD0B72">
              <w:rPr>
                <w:sz w:val="28"/>
                <w:szCs w:val="28"/>
              </w:rPr>
              <w:t xml:space="preserve"> </w:t>
            </w:r>
            <w:proofErr w:type="spellStart"/>
            <w:r w:rsidR="008B603A" w:rsidRPr="00BD0B72">
              <w:rPr>
                <w:sz w:val="28"/>
                <w:szCs w:val="28"/>
              </w:rPr>
              <w:t>maiņas</w:t>
            </w:r>
            <w:proofErr w:type="spellEnd"/>
            <w:r w:rsidR="008B603A" w:rsidRPr="00BD0B72">
              <w:rPr>
                <w:sz w:val="28"/>
                <w:szCs w:val="28"/>
              </w:rPr>
              <w:t xml:space="preserve"> </w:t>
            </w:r>
            <w:proofErr w:type="spellStart"/>
            <w:r w:rsidR="008B603A" w:rsidRPr="00BD0B72">
              <w:rPr>
                <w:sz w:val="28"/>
                <w:szCs w:val="28"/>
              </w:rPr>
              <w:t>kursam</w:t>
            </w:r>
            <w:proofErr w:type="spellEnd"/>
            <w:r w:rsidR="008B603A" w:rsidRPr="00BD0B72">
              <w:rPr>
                <w:sz w:val="28"/>
                <w:szCs w:val="28"/>
              </w:rPr>
              <w:t xml:space="preserve"> 1 EUR = 0,702804 LVL. </w:t>
            </w:r>
            <w:proofErr w:type="spellStart"/>
            <w:r w:rsidR="008B603A" w:rsidRPr="00BD0B72">
              <w:rPr>
                <w:sz w:val="28"/>
                <w:szCs w:val="28"/>
              </w:rPr>
              <w:t>Izsakot</w:t>
            </w:r>
            <w:proofErr w:type="spellEnd"/>
            <w:r w:rsidR="008B603A" w:rsidRPr="00BD0B72">
              <w:rPr>
                <w:sz w:val="28"/>
                <w:szCs w:val="28"/>
              </w:rPr>
              <w:t xml:space="preserve"> MK </w:t>
            </w:r>
            <w:proofErr w:type="spellStart"/>
            <w:r w:rsidR="008B603A" w:rsidRPr="00BD0B72">
              <w:rPr>
                <w:sz w:val="28"/>
                <w:szCs w:val="28"/>
              </w:rPr>
              <w:t>noteikumos</w:t>
            </w:r>
            <w:proofErr w:type="spellEnd"/>
            <w:r w:rsidR="008B603A" w:rsidRPr="00BD0B72">
              <w:rPr>
                <w:sz w:val="28"/>
                <w:szCs w:val="28"/>
              </w:rPr>
              <w:t xml:space="preserve"> Nr.162 </w:t>
            </w:r>
            <w:proofErr w:type="spellStart"/>
            <w:r w:rsidR="008B603A" w:rsidRPr="00BD0B72">
              <w:rPr>
                <w:sz w:val="28"/>
                <w:szCs w:val="28"/>
              </w:rPr>
              <w:t>minētās</w:t>
            </w:r>
            <w:proofErr w:type="spellEnd"/>
            <w:r w:rsidR="008B603A" w:rsidRPr="00BD0B72">
              <w:rPr>
                <w:sz w:val="28"/>
                <w:szCs w:val="28"/>
              </w:rPr>
              <w:t xml:space="preserve"> </w:t>
            </w:r>
            <w:proofErr w:type="spellStart"/>
            <w:r w:rsidR="008B603A" w:rsidRPr="00BD0B72">
              <w:rPr>
                <w:sz w:val="28"/>
                <w:szCs w:val="28"/>
              </w:rPr>
              <w:t>summas</w:t>
            </w:r>
            <w:proofErr w:type="spellEnd"/>
            <w:r w:rsidR="008B603A" w:rsidRPr="00BD0B72">
              <w:rPr>
                <w:sz w:val="28"/>
                <w:szCs w:val="28"/>
              </w:rPr>
              <w:t xml:space="preserve"> </w:t>
            </w:r>
            <w:r w:rsidR="008B603A" w:rsidRPr="00BD0B72">
              <w:rPr>
                <w:i/>
                <w:iCs/>
                <w:sz w:val="28"/>
                <w:szCs w:val="28"/>
              </w:rPr>
              <w:t>euro</w:t>
            </w:r>
            <w:r w:rsidR="008B603A" w:rsidRPr="00BD0B72">
              <w:rPr>
                <w:sz w:val="28"/>
                <w:szCs w:val="28"/>
              </w:rPr>
              <w:t xml:space="preserve"> </w:t>
            </w:r>
            <w:proofErr w:type="spellStart"/>
            <w:r w:rsidR="008B603A" w:rsidRPr="00BD0B72">
              <w:rPr>
                <w:sz w:val="28"/>
                <w:szCs w:val="28"/>
              </w:rPr>
              <w:t>valūtā</w:t>
            </w:r>
            <w:proofErr w:type="spellEnd"/>
            <w:r w:rsidR="008B603A" w:rsidRPr="00BD0B72">
              <w:rPr>
                <w:sz w:val="28"/>
                <w:szCs w:val="28"/>
              </w:rPr>
              <w:t xml:space="preserve">, </w:t>
            </w:r>
            <w:proofErr w:type="spellStart"/>
            <w:r w:rsidR="008B603A" w:rsidRPr="00BD0B72">
              <w:rPr>
                <w:sz w:val="28"/>
                <w:szCs w:val="28"/>
              </w:rPr>
              <w:t>ņemti</w:t>
            </w:r>
            <w:proofErr w:type="spellEnd"/>
            <w:r w:rsidR="008B603A" w:rsidRPr="00BD0B72">
              <w:rPr>
                <w:sz w:val="28"/>
                <w:szCs w:val="28"/>
              </w:rPr>
              <w:t xml:space="preserve"> </w:t>
            </w:r>
            <w:proofErr w:type="spellStart"/>
            <w:r w:rsidR="008B603A" w:rsidRPr="00BD0B72">
              <w:rPr>
                <w:sz w:val="28"/>
                <w:szCs w:val="28"/>
              </w:rPr>
              <w:t>vērā</w:t>
            </w:r>
            <w:proofErr w:type="spellEnd"/>
            <w:r w:rsidR="008B603A" w:rsidRPr="00BD0B72">
              <w:rPr>
                <w:sz w:val="28"/>
                <w:szCs w:val="28"/>
              </w:rPr>
              <w:t xml:space="preserve"> </w:t>
            </w:r>
            <w:r w:rsidR="008B603A" w:rsidRPr="00BD0B72">
              <w:rPr>
                <w:iCs/>
                <w:sz w:val="28"/>
                <w:szCs w:val="28"/>
              </w:rPr>
              <w:t>EIKL</w:t>
            </w:r>
            <w:r w:rsidR="008B603A" w:rsidRPr="00BD0B72">
              <w:rPr>
                <w:sz w:val="28"/>
                <w:szCs w:val="28"/>
              </w:rPr>
              <w:t xml:space="preserve"> 32.pantā </w:t>
            </w:r>
            <w:proofErr w:type="spellStart"/>
            <w:r w:rsidR="008B603A" w:rsidRPr="00BD0B72">
              <w:rPr>
                <w:sz w:val="28"/>
                <w:szCs w:val="28"/>
              </w:rPr>
              <w:t>noteiktie</w:t>
            </w:r>
            <w:proofErr w:type="spellEnd"/>
            <w:r w:rsidR="008B603A" w:rsidRPr="00BD0B72">
              <w:rPr>
                <w:sz w:val="28"/>
                <w:szCs w:val="28"/>
              </w:rPr>
              <w:t xml:space="preserve"> </w:t>
            </w:r>
            <w:proofErr w:type="spellStart"/>
            <w:r w:rsidR="008B603A" w:rsidRPr="00BD0B72">
              <w:rPr>
                <w:sz w:val="28"/>
                <w:szCs w:val="28"/>
              </w:rPr>
              <w:t>principi</w:t>
            </w:r>
            <w:proofErr w:type="spellEnd"/>
            <w:r w:rsidR="008B603A" w:rsidRPr="00BD0B72">
              <w:rPr>
                <w:sz w:val="28"/>
                <w:szCs w:val="28"/>
              </w:rPr>
              <w:t xml:space="preserve">, </w:t>
            </w:r>
            <w:proofErr w:type="spellStart"/>
            <w:r w:rsidR="008B603A" w:rsidRPr="00BD0B72">
              <w:rPr>
                <w:sz w:val="28"/>
                <w:szCs w:val="28"/>
              </w:rPr>
              <w:t>nosakot</w:t>
            </w:r>
            <w:proofErr w:type="spellEnd"/>
            <w:r w:rsidR="008B603A" w:rsidRPr="00BD0B72">
              <w:rPr>
                <w:sz w:val="28"/>
                <w:szCs w:val="28"/>
              </w:rPr>
              <w:t xml:space="preserve"> </w:t>
            </w:r>
            <w:proofErr w:type="spellStart"/>
            <w:r w:rsidR="008B603A" w:rsidRPr="00BD0B72">
              <w:rPr>
                <w:sz w:val="28"/>
                <w:szCs w:val="28"/>
              </w:rPr>
              <w:t>finansējumu</w:t>
            </w:r>
            <w:proofErr w:type="spellEnd"/>
            <w:r w:rsidR="008B603A" w:rsidRPr="00BD0B72">
              <w:rPr>
                <w:sz w:val="28"/>
                <w:szCs w:val="28"/>
              </w:rPr>
              <w:t xml:space="preserve"> </w:t>
            </w:r>
            <w:proofErr w:type="spellStart"/>
            <w:r w:rsidR="008B603A" w:rsidRPr="00BD0B72">
              <w:rPr>
                <w:sz w:val="28"/>
                <w:szCs w:val="28"/>
              </w:rPr>
              <w:t>veselos</w:t>
            </w:r>
            <w:proofErr w:type="spellEnd"/>
            <w:r w:rsidR="008B603A" w:rsidRPr="00BD0B72">
              <w:rPr>
                <w:sz w:val="28"/>
                <w:szCs w:val="28"/>
              </w:rPr>
              <w:t xml:space="preserve"> </w:t>
            </w:r>
            <w:proofErr w:type="spellStart"/>
            <w:r w:rsidR="008B603A" w:rsidRPr="00BD0B72">
              <w:rPr>
                <w:sz w:val="28"/>
                <w:szCs w:val="28"/>
              </w:rPr>
              <w:t>skaitļos</w:t>
            </w:r>
            <w:proofErr w:type="spellEnd"/>
            <w:r w:rsidR="008B603A" w:rsidRPr="00BD0B72">
              <w:rPr>
                <w:sz w:val="28"/>
                <w:szCs w:val="28"/>
              </w:rPr>
              <w:t xml:space="preserve"> – </w:t>
            </w:r>
            <w:proofErr w:type="spellStart"/>
            <w:r w:rsidR="008B603A" w:rsidRPr="00BD0B72">
              <w:rPr>
                <w:sz w:val="28"/>
                <w:szCs w:val="28"/>
              </w:rPr>
              <w:t>privātpersonai</w:t>
            </w:r>
            <w:proofErr w:type="spellEnd"/>
            <w:r w:rsidR="008B603A" w:rsidRPr="00BD0B72">
              <w:rPr>
                <w:sz w:val="28"/>
                <w:szCs w:val="28"/>
              </w:rPr>
              <w:t xml:space="preserve"> par </w:t>
            </w:r>
            <w:proofErr w:type="spellStart"/>
            <w:r w:rsidR="008B603A" w:rsidRPr="00BD0B72">
              <w:rPr>
                <w:sz w:val="28"/>
                <w:szCs w:val="28"/>
              </w:rPr>
              <w:t>labu</w:t>
            </w:r>
            <w:proofErr w:type="spellEnd"/>
            <w:r w:rsidR="008B603A" w:rsidRPr="00BD0B72">
              <w:rPr>
                <w:sz w:val="28"/>
                <w:szCs w:val="28"/>
              </w:rPr>
              <w:t xml:space="preserve"> </w:t>
            </w:r>
            <w:proofErr w:type="spellStart"/>
            <w:r w:rsidR="008B603A" w:rsidRPr="00BD0B72">
              <w:rPr>
                <w:sz w:val="28"/>
                <w:szCs w:val="28"/>
              </w:rPr>
              <w:t>līdz</w:t>
            </w:r>
            <w:proofErr w:type="spellEnd"/>
            <w:r w:rsidR="008B603A" w:rsidRPr="00BD0B72">
              <w:rPr>
                <w:sz w:val="28"/>
                <w:szCs w:val="28"/>
              </w:rPr>
              <w:t xml:space="preserve"> </w:t>
            </w:r>
            <w:proofErr w:type="spellStart"/>
            <w:r w:rsidR="008B603A" w:rsidRPr="00BD0B72">
              <w:rPr>
                <w:sz w:val="28"/>
                <w:szCs w:val="28"/>
              </w:rPr>
              <w:t>veselam</w:t>
            </w:r>
            <w:proofErr w:type="spellEnd"/>
            <w:r w:rsidR="008B603A" w:rsidRPr="00BD0B72">
              <w:rPr>
                <w:sz w:val="28"/>
                <w:szCs w:val="28"/>
              </w:rPr>
              <w:t xml:space="preserve"> </w:t>
            </w:r>
            <w:proofErr w:type="spellStart"/>
            <w:r w:rsidR="008B603A" w:rsidRPr="00BD0B72">
              <w:rPr>
                <w:sz w:val="28"/>
                <w:szCs w:val="28"/>
              </w:rPr>
              <w:t>eiro</w:t>
            </w:r>
            <w:proofErr w:type="spellEnd"/>
            <w:r w:rsidR="008B603A" w:rsidRPr="00BD0B72">
              <w:rPr>
                <w:sz w:val="28"/>
                <w:szCs w:val="28"/>
              </w:rPr>
              <w:t xml:space="preserve">, </w:t>
            </w:r>
            <w:proofErr w:type="spellStart"/>
            <w:r w:rsidR="008B603A" w:rsidRPr="00BD0B72">
              <w:rPr>
                <w:sz w:val="28"/>
                <w:szCs w:val="28"/>
              </w:rPr>
              <w:t>papildus</w:t>
            </w:r>
            <w:proofErr w:type="spellEnd"/>
            <w:r w:rsidR="008B603A" w:rsidRPr="00BD0B72">
              <w:rPr>
                <w:sz w:val="28"/>
                <w:szCs w:val="28"/>
              </w:rPr>
              <w:t xml:space="preserve"> </w:t>
            </w:r>
            <w:proofErr w:type="spellStart"/>
            <w:r w:rsidR="008B603A" w:rsidRPr="00BD0B72">
              <w:rPr>
                <w:sz w:val="28"/>
                <w:szCs w:val="28"/>
              </w:rPr>
              <w:t>ņemot</w:t>
            </w:r>
            <w:proofErr w:type="spellEnd"/>
            <w:r w:rsidR="008B603A" w:rsidRPr="00BD0B72">
              <w:rPr>
                <w:sz w:val="28"/>
                <w:szCs w:val="28"/>
              </w:rPr>
              <w:t xml:space="preserve"> </w:t>
            </w:r>
            <w:proofErr w:type="spellStart"/>
            <w:r w:rsidR="008B603A" w:rsidRPr="00BD0B72">
              <w:rPr>
                <w:sz w:val="28"/>
                <w:szCs w:val="28"/>
              </w:rPr>
              <w:t>vērā</w:t>
            </w:r>
            <w:proofErr w:type="spellEnd"/>
            <w:r w:rsidR="008B603A" w:rsidRPr="00BD0B72">
              <w:rPr>
                <w:sz w:val="28"/>
                <w:szCs w:val="28"/>
              </w:rPr>
              <w:t xml:space="preserve"> </w:t>
            </w:r>
            <w:proofErr w:type="spellStart"/>
            <w:r w:rsidR="008B603A" w:rsidRPr="00BD0B72">
              <w:rPr>
                <w:sz w:val="28"/>
                <w:szCs w:val="28"/>
              </w:rPr>
              <w:t>darbības</w:t>
            </w:r>
            <w:proofErr w:type="spellEnd"/>
            <w:r w:rsidR="008B603A" w:rsidRPr="00BD0B72">
              <w:rPr>
                <w:sz w:val="28"/>
                <w:szCs w:val="28"/>
              </w:rPr>
              <w:t xml:space="preserve"> </w:t>
            </w:r>
            <w:proofErr w:type="spellStart"/>
            <w:r w:rsidR="008B603A" w:rsidRPr="00BD0B72">
              <w:rPr>
                <w:sz w:val="28"/>
                <w:szCs w:val="28"/>
              </w:rPr>
              <w:t>programmā</w:t>
            </w:r>
            <w:proofErr w:type="spellEnd"/>
            <w:r w:rsidR="008B603A" w:rsidRPr="00BD0B72">
              <w:rPr>
                <w:sz w:val="28"/>
                <w:szCs w:val="28"/>
              </w:rPr>
              <w:t xml:space="preserve"> „</w:t>
            </w:r>
            <w:proofErr w:type="spellStart"/>
            <w:r w:rsidR="008B603A" w:rsidRPr="00BD0B72">
              <w:rPr>
                <w:sz w:val="28"/>
                <w:szCs w:val="28"/>
              </w:rPr>
              <w:t>Infrastruktūra</w:t>
            </w:r>
            <w:proofErr w:type="spellEnd"/>
            <w:r w:rsidR="008B603A" w:rsidRPr="00BD0B72">
              <w:rPr>
                <w:sz w:val="28"/>
                <w:szCs w:val="28"/>
              </w:rPr>
              <w:t xml:space="preserve"> un </w:t>
            </w:r>
            <w:proofErr w:type="spellStart"/>
            <w:r w:rsidR="008B603A" w:rsidRPr="00BD0B72">
              <w:rPr>
                <w:sz w:val="28"/>
                <w:szCs w:val="28"/>
              </w:rPr>
              <w:t>pakalpojumi</w:t>
            </w:r>
            <w:proofErr w:type="spellEnd"/>
            <w:r w:rsidR="008B603A" w:rsidRPr="00BD0B72">
              <w:rPr>
                <w:sz w:val="28"/>
                <w:szCs w:val="28"/>
              </w:rPr>
              <w:t xml:space="preserve">” </w:t>
            </w:r>
            <w:proofErr w:type="spellStart"/>
            <w:r w:rsidR="008B603A" w:rsidRPr="00BD0B72">
              <w:rPr>
                <w:sz w:val="28"/>
                <w:szCs w:val="28"/>
              </w:rPr>
              <w:t>papildin</w:t>
            </w:r>
            <w:r w:rsidR="00B82402">
              <w:rPr>
                <w:sz w:val="28"/>
                <w:szCs w:val="28"/>
              </w:rPr>
              <w:t>ājumā</w:t>
            </w:r>
            <w:proofErr w:type="spellEnd"/>
            <w:r w:rsidR="00B82402">
              <w:rPr>
                <w:sz w:val="28"/>
                <w:szCs w:val="28"/>
              </w:rPr>
              <w:t xml:space="preserve"> </w:t>
            </w:r>
            <w:proofErr w:type="spellStart"/>
            <w:r w:rsidR="00B82402">
              <w:rPr>
                <w:sz w:val="28"/>
                <w:szCs w:val="28"/>
              </w:rPr>
              <w:t>noteikto</w:t>
            </w:r>
            <w:proofErr w:type="spellEnd"/>
            <w:r w:rsidRPr="00BD0B72">
              <w:rPr>
                <w:bCs/>
                <w:sz w:val="28"/>
                <w:szCs w:val="28"/>
                <w:lang w:val="lv-LV"/>
              </w:rPr>
              <w:t>.</w:t>
            </w:r>
          </w:p>
          <w:p w:rsidR="002A58FD" w:rsidRPr="00BD0B72" w:rsidRDefault="002A58FD" w:rsidP="001E7BE3">
            <w:pPr>
              <w:jc w:val="both"/>
              <w:rPr>
                <w:bCs/>
                <w:i/>
                <w:sz w:val="28"/>
                <w:szCs w:val="28"/>
                <w:lang w:val="lv-LV"/>
              </w:rPr>
            </w:pPr>
            <w:r w:rsidRPr="00BD0B72">
              <w:rPr>
                <w:bCs/>
                <w:i/>
                <w:sz w:val="28"/>
                <w:szCs w:val="28"/>
                <w:lang w:val="lv-LV"/>
              </w:rPr>
              <w:t>Valsts atbalsts</w:t>
            </w:r>
          </w:p>
          <w:p w:rsidR="002A58FD" w:rsidRPr="00BD0B72" w:rsidRDefault="002A58FD" w:rsidP="001E7BE3">
            <w:pPr>
              <w:autoSpaceDE w:val="0"/>
              <w:autoSpaceDN w:val="0"/>
              <w:adjustRightInd w:val="0"/>
              <w:ind w:firstLine="709"/>
              <w:jc w:val="both"/>
              <w:rPr>
                <w:sz w:val="28"/>
                <w:szCs w:val="28"/>
                <w:lang w:val="lv-LV"/>
              </w:rPr>
            </w:pPr>
            <w:r w:rsidRPr="00BD0B72">
              <w:rPr>
                <w:bCs/>
                <w:sz w:val="28"/>
                <w:szCs w:val="28"/>
                <w:lang w:val="lv-LV"/>
              </w:rPr>
              <w:t xml:space="preserve">Finansējums aktivitātes ietvaros tiek piešķirt atbilstoši Valstu reģionālā atbalsta pamatnostādnēm 2007. – 2013.gadam,OV C 54, 4.3.2006 (turpmāk – </w:t>
            </w:r>
            <w:r w:rsidRPr="00BD0B72">
              <w:rPr>
                <w:bCs/>
                <w:sz w:val="28"/>
                <w:szCs w:val="28"/>
                <w:lang w:val="lv-LV"/>
              </w:rPr>
              <w:lastRenderedPageBreak/>
              <w:t xml:space="preserve">pamatnostādnes). Atbalstam ir piemērojams Līgumam par Eiropas Savienības darbību (turpmāk – LESD) 107. panta 1. punkts. Eiropas Komisija ar lēmumu </w:t>
            </w:r>
            <w:r w:rsidR="000B102D" w:rsidRPr="00BD0B72">
              <w:rPr>
                <w:sz w:val="28"/>
                <w:szCs w:val="28"/>
                <w:lang w:val="lv-LV"/>
              </w:rPr>
              <w:t xml:space="preserve">par valsts atbalstu </w:t>
            </w:r>
            <w:r w:rsidR="000B102D" w:rsidRPr="00BD0B72">
              <w:rPr>
                <w:bCs/>
                <w:sz w:val="28"/>
                <w:szCs w:val="28"/>
                <w:lang w:val="lv-LV"/>
              </w:rPr>
              <w:t xml:space="preserve">N 426/2008 „Shēma centralizētās siltumapgādes sistēmu efektivitātes paaugstināšanai” </w:t>
            </w:r>
            <w:r w:rsidR="000B102D" w:rsidRPr="00BD0B72">
              <w:rPr>
                <w:sz w:val="28"/>
                <w:szCs w:val="28"/>
                <w:lang w:val="lv-LV"/>
              </w:rPr>
              <w:t xml:space="preserve"> (turpmāk – EK lēmums N </w:t>
            </w:r>
            <w:r w:rsidR="000B102D" w:rsidRPr="00BD0B72">
              <w:rPr>
                <w:bCs/>
                <w:sz w:val="28"/>
                <w:szCs w:val="28"/>
                <w:lang w:val="lv-LV"/>
              </w:rPr>
              <w:t>426/2008</w:t>
            </w:r>
            <w:r w:rsidR="000B102D" w:rsidRPr="00BD0B72">
              <w:rPr>
                <w:sz w:val="28"/>
                <w:szCs w:val="28"/>
                <w:lang w:val="lv-LV"/>
              </w:rPr>
              <w:t>)</w:t>
            </w:r>
            <w:r w:rsidRPr="00BD0B72">
              <w:rPr>
                <w:bCs/>
                <w:sz w:val="28"/>
                <w:szCs w:val="28"/>
                <w:lang w:val="lv-LV"/>
              </w:rPr>
              <w:t xml:space="preserve"> attiecīgo atbalsta shēmu ir saskaņojusi. Attiecīgās valsts atbalsta shēmas</w:t>
            </w:r>
            <w:r w:rsidRPr="00BD0B72">
              <w:rPr>
                <w:sz w:val="28"/>
                <w:szCs w:val="28"/>
                <w:lang w:val="lv-LV"/>
              </w:rPr>
              <w:t xml:space="preserve"> viens no pamatnosacījumiem nosaka, ka atbalsta saņēmēja, proti, finansējuma saņēmēja, pašu ieguldījums ir vismaz 25</w:t>
            </w:r>
            <w:r w:rsidR="00BC335E" w:rsidRPr="00BD0B72">
              <w:rPr>
                <w:sz w:val="28"/>
                <w:szCs w:val="28"/>
                <w:lang w:val="lv-LV"/>
              </w:rPr>
              <w:t> </w:t>
            </w:r>
            <w:r w:rsidRPr="00BD0B72">
              <w:rPr>
                <w:sz w:val="28"/>
                <w:szCs w:val="28"/>
                <w:lang w:val="lv-LV"/>
              </w:rPr>
              <w:t>% no attiecināmajām izmaksām, un šis ieguldījums neietver nekādu atbalstu, kā arī maksimālā Eiropas Savienības Kohēzijas fonda  atbalsta intensitāte ir 40</w:t>
            </w:r>
            <w:r w:rsidR="00BC335E" w:rsidRPr="00BD0B72">
              <w:rPr>
                <w:sz w:val="28"/>
                <w:szCs w:val="28"/>
                <w:lang w:val="lv-LV"/>
              </w:rPr>
              <w:t> </w:t>
            </w:r>
            <w:r w:rsidRPr="00BD0B72">
              <w:rPr>
                <w:sz w:val="28"/>
                <w:szCs w:val="28"/>
                <w:lang w:val="lv-LV"/>
              </w:rPr>
              <w:t xml:space="preserve">% no projekta kopējām attiecināmajām izmaksām. Ja tiek rekonstruēts </w:t>
            </w:r>
            <w:proofErr w:type="spellStart"/>
            <w:r w:rsidRPr="00BD0B72">
              <w:rPr>
                <w:sz w:val="28"/>
                <w:szCs w:val="28"/>
                <w:lang w:val="lv-LV"/>
              </w:rPr>
              <w:t>siltumavots</w:t>
            </w:r>
            <w:proofErr w:type="spellEnd"/>
            <w:r w:rsidRPr="00BD0B72">
              <w:rPr>
                <w:sz w:val="28"/>
                <w:szCs w:val="28"/>
                <w:lang w:val="lv-LV"/>
              </w:rPr>
              <w:t>, kurā nav izmantoti atjaunojamie energoresursi, maksimāli pieļaujamā Eiropas Savienības Kohēzijas fonda finansējuma intensitāte ir 50</w:t>
            </w:r>
            <w:r w:rsidR="00BC335E" w:rsidRPr="00BD0B72">
              <w:rPr>
                <w:sz w:val="28"/>
                <w:szCs w:val="28"/>
                <w:lang w:val="lv-LV"/>
              </w:rPr>
              <w:t> %</w:t>
            </w:r>
            <w:r w:rsidRPr="00BD0B72">
              <w:rPr>
                <w:sz w:val="28"/>
                <w:szCs w:val="28"/>
                <w:lang w:val="lv-LV"/>
              </w:rPr>
              <w:t xml:space="preserve"> no projekta kopējām attiecināmajām izmaksām. Attiecīgās prasīb</w:t>
            </w:r>
            <w:r w:rsidR="00BC335E" w:rsidRPr="00BD0B72">
              <w:rPr>
                <w:sz w:val="28"/>
                <w:szCs w:val="28"/>
                <w:lang w:val="lv-LV"/>
              </w:rPr>
              <w:t>as iekļautas MK noteikumu Nr.162</w:t>
            </w:r>
            <w:r w:rsidRPr="00BD0B72">
              <w:rPr>
                <w:sz w:val="28"/>
                <w:szCs w:val="28"/>
                <w:lang w:val="lv-LV"/>
              </w:rPr>
              <w:t xml:space="preserve"> 2</w:t>
            </w:r>
            <w:r w:rsidR="00BC335E" w:rsidRPr="00BD0B72">
              <w:rPr>
                <w:sz w:val="28"/>
                <w:szCs w:val="28"/>
                <w:lang w:val="lv-LV"/>
              </w:rPr>
              <w:t>0</w:t>
            </w:r>
            <w:r w:rsidRPr="00BD0B72">
              <w:rPr>
                <w:sz w:val="28"/>
                <w:szCs w:val="28"/>
                <w:lang w:val="lv-LV"/>
              </w:rPr>
              <w:t>., 2</w:t>
            </w:r>
            <w:r w:rsidR="00BC335E" w:rsidRPr="00BD0B72">
              <w:rPr>
                <w:sz w:val="28"/>
                <w:szCs w:val="28"/>
                <w:lang w:val="lv-LV"/>
              </w:rPr>
              <w:t>3</w:t>
            </w:r>
            <w:r w:rsidRPr="00BD0B72">
              <w:rPr>
                <w:sz w:val="28"/>
                <w:szCs w:val="28"/>
                <w:lang w:val="lv-LV"/>
              </w:rPr>
              <w:t>. un 2</w:t>
            </w:r>
            <w:r w:rsidR="00BC335E" w:rsidRPr="00BD0B72">
              <w:rPr>
                <w:sz w:val="28"/>
                <w:szCs w:val="28"/>
                <w:lang w:val="lv-LV"/>
              </w:rPr>
              <w:t>4</w:t>
            </w:r>
            <w:r w:rsidRPr="00BD0B72">
              <w:rPr>
                <w:sz w:val="28"/>
                <w:szCs w:val="28"/>
                <w:lang w:val="lv-LV"/>
              </w:rPr>
              <w:t>.pun</w:t>
            </w:r>
            <w:r w:rsidR="004E052E" w:rsidRPr="00BD0B72">
              <w:rPr>
                <w:sz w:val="28"/>
                <w:szCs w:val="28"/>
                <w:lang w:val="lv-LV"/>
              </w:rPr>
              <w:t>k</w:t>
            </w:r>
            <w:r w:rsidRPr="00BD0B72">
              <w:rPr>
                <w:sz w:val="28"/>
                <w:szCs w:val="28"/>
                <w:lang w:val="lv-LV"/>
              </w:rPr>
              <w:t>tos.</w:t>
            </w:r>
          </w:p>
          <w:p w:rsidR="002A58FD" w:rsidRPr="00BD0B72" w:rsidRDefault="002A58FD" w:rsidP="001E7BE3">
            <w:pPr>
              <w:ind w:firstLine="709"/>
              <w:jc w:val="both"/>
              <w:rPr>
                <w:sz w:val="28"/>
                <w:szCs w:val="28"/>
                <w:lang w:val="lv-LV"/>
              </w:rPr>
            </w:pPr>
            <w:r w:rsidRPr="00BD0B72">
              <w:rPr>
                <w:sz w:val="28"/>
                <w:szCs w:val="28"/>
                <w:lang w:val="lv-LV"/>
              </w:rPr>
              <w:t>Latvijas Investīciju un attīstības aģentūra (turpmāk – LIAA), kas ir attiecīgās aktivitātes sadarbības iestāde un līgumslēdzējs, kā arī Ekonomikas ministrija ir konstatējusi, ka vairāki finansējuma saņēmēji ir lūguši veikt grozījumus projektu īstenošanas līgumos, paredzot, ka finansējuma nodrošināšanai projekta īstenošanai tiek piesaistīta pašvaldība, veicot ieguldījumu finansējuma saņēmēja pamatkapitālā vai arī izsniedzot galvojumu finansējuma saņemšanai kredītiestādē. Ekonomikas ministrija sadarbībā ar Finanšu ministriju ir konstatējusi, ka šāda rīcība neatbilst valsts atbalsta shēmas nosacījumiem, proti, attiecīgais pašvaldības finansējums uzskatāms par publiskiem līdzekļiem un tādejādi tiek pārkāpta prasība nodrošināt 25</w:t>
            </w:r>
            <w:r w:rsidR="00BC335E" w:rsidRPr="00BD0B72">
              <w:rPr>
                <w:sz w:val="28"/>
                <w:szCs w:val="28"/>
                <w:lang w:val="lv-LV"/>
              </w:rPr>
              <w:t> </w:t>
            </w:r>
            <w:r w:rsidRPr="00BD0B72">
              <w:rPr>
                <w:sz w:val="28"/>
                <w:szCs w:val="28"/>
                <w:lang w:val="lv-LV"/>
              </w:rPr>
              <w:t xml:space="preserve">% brīvu no jebkāda </w:t>
            </w:r>
            <w:r w:rsidR="00BC335E" w:rsidRPr="00BD0B72">
              <w:rPr>
                <w:sz w:val="28"/>
                <w:szCs w:val="28"/>
                <w:lang w:val="lv-LV"/>
              </w:rPr>
              <w:t xml:space="preserve">publiskā </w:t>
            </w:r>
            <w:r w:rsidRPr="00BD0B72">
              <w:rPr>
                <w:sz w:val="28"/>
                <w:szCs w:val="28"/>
                <w:lang w:val="lv-LV"/>
              </w:rPr>
              <w:t>atbalsta.</w:t>
            </w:r>
          </w:p>
          <w:p w:rsidR="002A58FD" w:rsidRPr="00BD0B72" w:rsidRDefault="002A58FD" w:rsidP="001E7BE3">
            <w:pPr>
              <w:ind w:firstLine="709"/>
              <w:jc w:val="both"/>
              <w:rPr>
                <w:sz w:val="28"/>
                <w:szCs w:val="28"/>
                <w:lang w:val="lv-LV"/>
              </w:rPr>
            </w:pPr>
            <w:r w:rsidRPr="00BD0B72">
              <w:rPr>
                <w:sz w:val="28"/>
                <w:szCs w:val="28"/>
                <w:lang w:val="lv-LV"/>
              </w:rPr>
              <w:t xml:space="preserve">LIAA, ņemot vērā valsts atbalsta shēmas nosacījumus, nav tiesības atbalstīt šādus finansējuma saņēmēja ierosinātos līguma grozījumus (pašvaldības ieguldījumus), kā arī gadījumā, ja finansējuma saņēmējs nav iesniedzis LIAA līguma par projekta </w:t>
            </w:r>
            <w:r w:rsidRPr="00BD0B72">
              <w:rPr>
                <w:sz w:val="28"/>
                <w:szCs w:val="28"/>
                <w:lang w:val="lv-LV"/>
              </w:rPr>
              <w:lastRenderedPageBreak/>
              <w:t>īstenošanu grozījumu projektu, finansējuma saņēmējs pārkāpj LIAA sniegtos apliecinājumus. Attiecīgo apliecinājumu pārkāpums ir tiešā cēloņsakarībā ar finanšu korekcijas risku.</w:t>
            </w:r>
          </w:p>
          <w:p w:rsidR="002A58FD" w:rsidRPr="00BD0B72" w:rsidRDefault="002A58FD" w:rsidP="001E7BE3">
            <w:pPr>
              <w:ind w:firstLine="567"/>
              <w:jc w:val="both"/>
              <w:rPr>
                <w:sz w:val="28"/>
                <w:szCs w:val="28"/>
                <w:lang w:val="lv-LV"/>
              </w:rPr>
            </w:pPr>
            <w:r w:rsidRPr="00BD0B72">
              <w:rPr>
                <w:sz w:val="28"/>
                <w:szCs w:val="28"/>
                <w:lang w:val="lv-LV"/>
              </w:rPr>
              <w:t>Pamatojoties uz augstāk norādīto, Ekonomikas ministrija sadarbībā ar Finanšu ministriju u</w:t>
            </w:r>
            <w:r w:rsidR="00BC335E" w:rsidRPr="00BD0B72">
              <w:rPr>
                <w:sz w:val="28"/>
                <w:szCs w:val="28"/>
                <w:lang w:val="lv-LV"/>
              </w:rPr>
              <w:t>n Latvijas Pašvaldību savienību</w:t>
            </w:r>
            <w:r w:rsidRPr="00BD0B72">
              <w:rPr>
                <w:sz w:val="28"/>
                <w:szCs w:val="28"/>
                <w:lang w:val="lv-LV"/>
              </w:rPr>
              <w:t xml:space="preserve"> ir </w:t>
            </w:r>
            <w:r w:rsidR="00BC335E" w:rsidRPr="00BD0B72">
              <w:rPr>
                <w:sz w:val="28"/>
                <w:szCs w:val="28"/>
                <w:lang w:val="lv-LV"/>
              </w:rPr>
              <w:t>izstrādājusi MK noteikumu Nr.162</w:t>
            </w:r>
            <w:r w:rsidRPr="00BD0B72">
              <w:rPr>
                <w:sz w:val="28"/>
                <w:szCs w:val="28"/>
                <w:lang w:val="lv-LV"/>
              </w:rPr>
              <w:t xml:space="preserve"> grozījumu projektu, kas nodrošinās finansējuma pieejamību saņēmējiem, iespēju realizēt projektu un sasniegt aktivitātes mērķa sasniegšanu - paaugstināt siltumenerģijas ražošanas efektivitāti, samazināt siltumenerģijas zudumus pārvades un sadales sistēmās un sekmēt fosilā kurināmā veidu aizvietošanu ar atjaunojamiem kurināmiem.</w:t>
            </w:r>
          </w:p>
          <w:p w:rsidR="002A58FD" w:rsidRPr="00BD0B72" w:rsidRDefault="002A58FD" w:rsidP="001E7BE3">
            <w:pPr>
              <w:ind w:firstLine="709"/>
              <w:jc w:val="both"/>
              <w:rPr>
                <w:sz w:val="28"/>
                <w:szCs w:val="28"/>
                <w:lang w:val="lv-LV"/>
              </w:rPr>
            </w:pPr>
            <w:r w:rsidRPr="00BD0B72">
              <w:rPr>
                <w:sz w:val="28"/>
                <w:szCs w:val="28"/>
                <w:lang w:val="lv-LV"/>
              </w:rPr>
              <w:t>Likuma „Par pašvaldībām” 15.pants nosaka, ka viena no pašvaldību autonomajām funkcijām ir siltumapgādes organizēšana iedzīvotājiem, savukārt likums „Par sabiedrisko pakalpojumu regulatoriem” 2.panta otrā daļa nosaka, ka valsts regulē sabiedrisko pakalpojumu sniegšanu kā komercdarbību enerģētikas nozarē. Par enerģētikas nozares apakšnozarēm tiek uzskatīta arī siltumapgāde. Līdz ar to finansējuma saņēmēji ir uzskatāmi par sabiedrisko pakalpojumu sniedzējiem – pakalpojumu sniedzējiem ar vispārēju tautsaimniecisku nozīmi. Papildus norādām, ka atbilstoši MK noteikumu Nr.</w:t>
            </w:r>
            <w:r w:rsidR="00F506B4" w:rsidRPr="00BD0B72">
              <w:rPr>
                <w:sz w:val="28"/>
                <w:szCs w:val="28"/>
                <w:lang w:val="lv-LV"/>
              </w:rPr>
              <w:t>162</w:t>
            </w:r>
            <w:r w:rsidRPr="00BD0B72">
              <w:rPr>
                <w:sz w:val="28"/>
                <w:szCs w:val="28"/>
                <w:lang w:val="lv-LV"/>
              </w:rPr>
              <w:t xml:space="preserve"> 8.punktam projekta iesniegumu aktivitātes ietvaros var iesniegt tikai sabiedriskā pakalpojumu sniedzēji. Eiropas Komisijas 2011.gada 20.decembra lēmums par Līguma par Eiropas Savienības darbību 106.panta 2.punkta piemērošanu valsts atbalstam attiecībā uz kompensāciju par sabiedriskajiem pakalpojumiem dažiem uzņēmumiem, kuriem uzticēts sniegt pakalpojumus ar vispārēju tautsaimniecisku nozīmi (turpmāk – Komisijas lēmums) 2.panta 1.punkts nosaka, ka šo lēmumu piemēro valsts atbalstam attiecībā uz kompensāciju par sabiedrisko pakalpojumu sniegšanu, kas piešķirta uzņēmumiem, kuriem uzticēts sniegt pakalpojumus ar vispārēju tautsaimniecisku nozīme, kā minēts LESD 106.panta 2.punktā un kas ietilpst punktā, un kas ietilpst vienā no </w:t>
            </w:r>
            <w:r w:rsidRPr="00BD0B72">
              <w:rPr>
                <w:sz w:val="28"/>
                <w:szCs w:val="28"/>
                <w:lang w:val="lv-LV"/>
              </w:rPr>
              <w:lastRenderedPageBreak/>
              <w:t>turpmāk minētajām kategorijām.</w:t>
            </w:r>
          </w:p>
          <w:p w:rsidR="002A58FD" w:rsidRPr="00BD0B72" w:rsidRDefault="002A58FD" w:rsidP="001E7BE3">
            <w:pPr>
              <w:ind w:firstLine="709"/>
              <w:jc w:val="both"/>
              <w:rPr>
                <w:sz w:val="28"/>
                <w:szCs w:val="28"/>
                <w:lang w:val="lv-LV"/>
              </w:rPr>
            </w:pPr>
            <w:r w:rsidRPr="00BD0B72">
              <w:rPr>
                <w:sz w:val="28"/>
                <w:szCs w:val="28"/>
                <w:lang w:val="lv-LV"/>
              </w:rPr>
              <w:t>Saskaņā ar Komisijas lēmuma preambulas 8.punktu Eiropas Savienības līmenī nav izstrādāta vienota pakalpojuma ar vispārēju tautsaimniecības nozīmi definīcija, līdz ar to dalībvalstīm ir plašas iespējas brīvi definēt, tomēr, lai uzskatītu, ka atbalsts ir saderīgs ar Eiropas Savienības iekšējo tirgu, dalībvalstīm ir jāievēro Komisijas lēmumā ietvertie nosacījumi, kas cita starpā pieļau</w:t>
            </w:r>
            <w:r w:rsidR="00F506B4" w:rsidRPr="00BD0B72">
              <w:rPr>
                <w:sz w:val="28"/>
                <w:szCs w:val="28"/>
                <w:lang w:val="lv-LV"/>
              </w:rPr>
              <w:t>j atbalsta intensitāti līdz 100 </w:t>
            </w:r>
            <w:r w:rsidRPr="00BD0B72">
              <w:rPr>
                <w:sz w:val="28"/>
                <w:szCs w:val="28"/>
                <w:lang w:val="lv-LV"/>
              </w:rPr>
              <w:t>% no kopējām projekta attiecināmajām izmaksām un nav noteikts pienākums finansējuma saņēmējam nodrošināt, ka vismaz 25</w:t>
            </w:r>
            <w:r w:rsidR="00F506B4" w:rsidRPr="00BD0B72">
              <w:rPr>
                <w:sz w:val="28"/>
                <w:szCs w:val="28"/>
                <w:lang w:val="lv-LV"/>
              </w:rPr>
              <w:t> </w:t>
            </w:r>
            <w:r w:rsidRPr="00BD0B72">
              <w:rPr>
                <w:sz w:val="28"/>
                <w:szCs w:val="28"/>
                <w:lang w:val="lv-LV"/>
              </w:rPr>
              <w:t xml:space="preserve">% no projekta attiecināmajām izmaksām neietver nekādu </w:t>
            </w:r>
            <w:r w:rsidR="00F506B4" w:rsidRPr="00BD0B72">
              <w:rPr>
                <w:sz w:val="28"/>
                <w:szCs w:val="28"/>
                <w:lang w:val="lv-LV"/>
              </w:rPr>
              <w:t xml:space="preserve">publisko </w:t>
            </w:r>
            <w:r w:rsidRPr="00BD0B72">
              <w:rPr>
                <w:sz w:val="28"/>
                <w:szCs w:val="28"/>
                <w:lang w:val="lv-LV"/>
              </w:rPr>
              <w:t>atbalstu.</w:t>
            </w:r>
          </w:p>
          <w:p w:rsidR="002A58FD" w:rsidRPr="00BD0B72" w:rsidRDefault="002A58FD" w:rsidP="001E7BE3">
            <w:pPr>
              <w:ind w:firstLine="300"/>
              <w:jc w:val="both"/>
              <w:rPr>
                <w:sz w:val="28"/>
                <w:szCs w:val="28"/>
                <w:lang w:val="lv-LV"/>
              </w:rPr>
            </w:pPr>
            <w:r w:rsidRPr="00BD0B72">
              <w:rPr>
                <w:sz w:val="28"/>
                <w:szCs w:val="28"/>
                <w:lang w:val="lv-LV"/>
              </w:rPr>
              <w:t>Atbilstoši Komisijas lēmuma 1.pantam, lai uzskatītu, ka atbalsts tiek sniegts finansējuma saņēmējam ar vispārēju tautsaimniecības nozīmi un tas ir atbrīvots no paziņošanas prasības Eiropas Komisijai, finansējuma saņēmējam ir jānodrošina, ka:</w:t>
            </w:r>
          </w:p>
          <w:p w:rsidR="002A58FD" w:rsidRPr="00BD0B72" w:rsidRDefault="002A58FD" w:rsidP="001E7BE3">
            <w:pPr>
              <w:pStyle w:val="ListParagraph"/>
              <w:numPr>
                <w:ilvl w:val="0"/>
                <w:numId w:val="9"/>
              </w:numPr>
              <w:jc w:val="both"/>
              <w:rPr>
                <w:sz w:val="28"/>
                <w:szCs w:val="28"/>
                <w:lang w:val="lv-LV"/>
              </w:rPr>
            </w:pPr>
            <w:r w:rsidRPr="00BD0B72">
              <w:rPr>
                <w:sz w:val="28"/>
                <w:szCs w:val="28"/>
                <w:lang w:val="lv-LV"/>
              </w:rPr>
              <w:t xml:space="preserve">Kompensācijas summa nepārsniedz summu (gada summu 15 miljonus </w:t>
            </w:r>
            <w:proofErr w:type="spellStart"/>
            <w:r w:rsidRPr="00BD0B72">
              <w:rPr>
                <w:i/>
                <w:sz w:val="28"/>
                <w:szCs w:val="28"/>
                <w:lang w:val="lv-LV"/>
              </w:rPr>
              <w:t>euro</w:t>
            </w:r>
            <w:proofErr w:type="spellEnd"/>
            <w:r w:rsidRPr="00BD0B72">
              <w:rPr>
                <w:sz w:val="28"/>
                <w:szCs w:val="28"/>
                <w:lang w:val="lv-LV"/>
              </w:rPr>
              <w:t>) , kas nepieciešama, lai segtu neto izmaksas, kas rodas, pildot sabiedrisko pakalpojumu sniegšanas pienākumus, tostarp saprātīgu peļņu;</w:t>
            </w:r>
          </w:p>
          <w:p w:rsidR="002A58FD" w:rsidRPr="00BD0B72" w:rsidRDefault="002A58FD" w:rsidP="001E7BE3">
            <w:pPr>
              <w:pStyle w:val="ListParagraph"/>
              <w:numPr>
                <w:ilvl w:val="0"/>
                <w:numId w:val="9"/>
              </w:numPr>
              <w:jc w:val="both"/>
              <w:rPr>
                <w:sz w:val="28"/>
                <w:szCs w:val="28"/>
                <w:lang w:val="lv-LV"/>
              </w:rPr>
            </w:pPr>
            <w:r w:rsidRPr="00BD0B72">
              <w:rPr>
                <w:sz w:val="28"/>
                <w:szCs w:val="28"/>
                <w:lang w:val="lv-LV"/>
              </w:rPr>
              <w:t>saprātīga peļņa nozīmē kapitāla rentabilitātes koeficientu, kas būtu vajadzīgs tipiskam uzņēmumam, apsverot pakalpojuma ar vispārēju tautsaimniecisku nozīmi sniegšanu visā pilnvarojuma periodā, ņemot vērā riska līmeni. “Kapitāla rentabilitātes koeficients” nozīmē iekšējo peļņas normu, ko uzņēmums gūst par savu ieguldīto kapitālu pilnvarojuma periodā. Riska līmenis ir atkarīgs no attiecīgās nozares, pakalpojuma veida un kompensācijas īpašībām;</w:t>
            </w:r>
          </w:p>
          <w:p w:rsidR="002A58FD" w:rsidRPr="00BD0B72" w:rsidRDefault="002A58FD" w:rsidP="001E7BE3">
            <w:pPr>
              <w:pStyle w:val="ListParagraph"/>
              <w:numPr>
                <w:ilvl w:val="0"/>
                <w:numId w:val="9"/>
              </w:numPr>
              <w:jc w:val="both"/>
              <w:rPr>
                <w:sz w:val="28"/>
                <w:szCs w:val="28"/>
                <w:lang w:val="lv-LV"/>
              </w:rPr>
            </w:pPr>
            <w:r w:rsidRPr="00BD0B72">
              <w:rPr>
                <w:sz w:val="28"/>
                <w:szCs w:val="28"/>
                <w:lang w:val="lv-LV"/>
              </w:rPr>
              <w:t xml:space="preserve">pakalpojuma ar vispārēju tautsaimniecisku nozīmi sniegšanu ir uzticēta finansējuma saņēmējam ar pašvaldības līgumu, lēmumu vai rīkojumu, kurā ir ietverts: </w:t>
            </w:r>
          </w:p>
          <w:p w:rsidR="002A58FD" w:rsidRPr="00BD0B72" w:rsidRDefault="002A58FD" w:rsidP="001E7BE3">
            <w:pPr>
              <w:pStyle w:val="ListParagraph"/>
              <w:numPr>
                <w:ilvl w:val="0"/>
                <w:numId w:val="10"/>
              </w:numPr>
              <w:jc w:val="both"/>
              <w:rPr>
                <w:sz w:val="28"/>
                <w:szCs w:val="28"/>
                <w:lang w:val="lv-LV"/>
              </w:rPr>
            </w:pPr>
            <w:r w:rsidRPr="00BD0B72">
              <w:rPr>
                <w:sz w:val="28"/>
                <w:szCs w:val="28"/>
                <w:lang w:val="lv-LV"/>
              </w:rPr>
              <w:t>sabiedrisko pakalpojumu pienākumu saturs un ilgums;</w:t>
            </w:r>
          </w:p>
          <w:p w:rsidR="002A58FD" w:rsidRPr="00BD0B72" w:rsidRDefault="002A58FD" w:rsidP="001E7BE3">
            <w:pPr>
              <w:pStyle w:val="ListParagraph"/>
              <w:numPr>
                <w:ilvl w:val="0"/>
                <w:numId w:val="10"/>
              </w:numPr>
              <w:jc w:val="both"/>
              <w:rPr>
                <w:sz w:val="28"/>
                <w:szCs w:val="28"/>
                <w:lang w:val="lv-LV"/>
              </w:rPr>
            </w:pPr>
            <w:r w:rsidRPr="00BD0B72">
              <w:rPr>
                <w:sz w:val="28"/>
                <w:szCs w:val="28"/>
                <w:lang w:val="lv-LV"/>
              </w:rPr>
              <w:t>uzņēmums un attiecīgā teritorija;</w:t>
            </w:r>
          </w:p>
          <w:p w:rsidR="002A58FD" w:rsidRPr="00BD0B72" w:rsidRDefault="002A58FD" w:rsidP="001E7BE3">
            <w:pPr>
              <w:pStyle w:val="ListParagraph"/>
              <w:numPr>
                <w:ilvl w:val="0"/>
                <w:numId w:val="10"/>
              </w:numPr>
              <w:jc w:val="both"/>
              <w:rPr>
                <w:sz w:val="28"/>
                <w:szCs w:val="28"/>
                <w:lang w:val="lv-LV"/>
              </w:rPr>
            </w:pPr>
            <w:r w:rsidRPr="00BD0B72">
              <w:rPr>
                <w:sz w:val="28"/>
                <w:szCs w:val="28"/>
                <w:lang w:val="lv-LV"/>
              </w:rPr>
              <w:lastRenderedPageBreak/>
              <w:t>jebkādu to ekskluzīvo vai īpašo tiesību būtība</w:t>
            </w:r>
            <w:r w:rsidR="00083873" w:rsidRPr="00BD0B72">
              <w:rPr>
                <w:sz w:val="28"/>
                <w:szCs w:val="28"/>
                <w:lang w:val="lv-LV"/>
              </w:rPr>
              <w:t>;</w:t>
            </w:r>
            <w:r w:rsidRPr="00BD0B72">
              <w:rPr>
                <w:sz w:val="28"/>
                <w:szCs w:val="28"/>
                <w:lang w:val="lv-LV"/>
              </w:rPr>
              <w:t xml:space="preserve"> kuras uzņēmumam piešķīrusi </w:t>
            </w:r>
            <w:proofErr w:type="spellStart"/>
            <w:r w:rsidRPr="00BD0B72">
              <w:rPr>
                <w:sz w:val="28"/>
                <w:szCs w:val="28"/>
                <w:lang w:val="lv-LV"/>
              </w:rPr>
              <w:t>piešķīrējiestāde</w:t>
            </w:r>
            <w:proofErr w:type="spellEnd"/>
            <w:r w:rsidRPr="00BD0B72">
              <w:rPr>
                <w:sz w:val="28"/>
                <w:szCs w:val="28"/>
                <w:lang w:val="lv-LV"/>
              </w:rPr>
              <w:t>;</w:t>
            </w:r>
          </w:p>
          <w:p w:rsidR="002A58FD" w:rsidRPr="00BD0B72" w:rsidRDefault="002A58FD" w:rsidP="001E7BE3">
            <w:pPr>
              <w:pStyle w:val="ListParagraph"/>
              <w:numPr>
                <w:ilvl w:val="0"/>
                <w:numId w:val="10"/>
              </w:numPr>
              <w:jc w:val="both"/>
              <w:rPr>
                <w:sz w:val="28"/>
                <w:szCs w:val="28"/>
                <w:lang w:val="lv-LV"/>
              </w:rPr>
            </w:pPr>
            <w:r w:rsidRPr="00BD0B72">
              <w:rPr>
                <w:sz w:val="28"/>
                <w:szCs w:val="28"/>
                <w:lang w:val="lv-LV"/>
              </w:rPr>
              <w:t>kompensācijas mehānisma apraksts un aprēķināšanas, kontroles un pārskatīšanas parametri;</w:t>
            </w:r>
          </w:p>
          <w:p w:rsidR="002A58FD" w:rsidRPr="00BD0B72" w:rsidRDefault="002A58FD" w:rsidP="001E7BE3">
            <w:pPr>
              <w:pStyle w:val="ListParagraph"/>
              <w:numPr>
                <w:ilvl w:val="0"/>
                <w:numId w:val="10"/>
              </w:numPr>
              <w:jc w:val="both"/>
              <w:rPr>
                <w:sz w:val="28"/>
                <w:szCs w:val="28"/>
                <w:lang w:val="lv-LV"/>
              </w:rPr>
            </w:pPr>
            <w:r w:rsidRPr="00BD0B72">
              <w:rPr>
                <w:sz w:val="28"/>
                <w:szCs w:val="28"/>
                <w:lang w:val="lv-LV"/>
              </w:rPr>
              <w:t>pasākumi, lai novērstu un atgūtu jebkādu pārmērīgu kompensāciju;</w:t>
            </w:r>
          </w:p>
          <w:p w:rsidR="002A58FD" w:rsidRPr="00BD0B72" w:rsidRDefault="002A58FD" w:rsidP="001E7BE3">
            <w:pPr>
              <w:pStyle w:val="ListParagraph"/>
              <w:numPr>
                <w:ilvl w:val="0"/>
                <w:numId w:val="10"/>
              </w:numPr>
              <w:jc w:val="both"/>
              <w:rPr>
                <w:sz w:val="28"/>
                <w:szCs w:val="28"/>
                <w:lang w:val="lv-LV"/>
              </w:rPr>
            </w:pPr>
            <w:r w:rsidRPr="00BD0B72">
              <w:rPr>
                <w:sz w:val="28"/>
                <w:szCs w:val="28"/>
                <w:lang w:val="lv-LV"/>
              </w:rPr>
              <w:t>atsauce uz Komisijas lēmumu.</w:t>
            </w:r>
          </w:p>
          <w:p w:rsidR="002A58FD" w:rsidRPr="00BD0B72" w:rsidRDefault="002A58FD" w:rsidP="001E7BE3">
            <w:pPr>
              <w:ind w:firstLine="709"/>
              <w:jc w:val="both"/>
              <w:rPr>
                <w:sz w:val="28"/>
                <w:szCs w:val="28"/>
                <w:lang w:val="lv-LV"/>
              </w:rPr>
            </w:pPr>
            <w:r w:rsidRPr="00BD0B72">
              <w:rPr>
                <w:sz w:val="28"/>
                <w:szCs w:val="28"/>
                <w:lang w:val="lv-LV"/>
              </w:rPr>
              <w:t>Ievērojot augstāk minēto, Ekonomikas ministrija ir izstrādājusi MK noteikumu Nr.</w:t>
            </w:r>
            <w:r w:rsidR="00F506B4" w:rsidRPr="00BD0B72">
              <w:rPr>
                <w:sz w:val="28"/>
                <w:szCs w:val="28"/>
                <w:lang w:val="lv-LV"/>
              </w:rPr>
              <w:t>162</w:t>
            </w:r>
            <w:r w:rsidRPr="00BD0B72">
              <w:rPr>
                <w:sz w:val="28"/>
                <w:szCs w:val="28"/>
                <w:lang w:val="lv-LV"/>
              </w:rPr>
              <w:t xml:space="preserve"> grozījumu projektu, saskaņā ar kuru finansējuma saņēmējiem tiek dota iespēja iesniegt LIAA pieteikumu ar lūgumu pārkvalificēt piešķirto Eiropas Savienības Kohēzijas fonda finansējumu, kā valsts atbalstu komersantam, kas sniedz pakalpojumus ar vispārēju tautsaimniecisku nozīmi. Ņemot vērā Sabiedrisko pakalpojumu regulēšanas komisijas padomes 2010.gada 14.aprīļa lēmumā Nr.1/7 „Siltumenerģijas apgādes pakalpojumu tarifu aprēķināšanas metodika” ietverto metodoloģiju, Ekonomikas ministrija ir noteikusi, ka finansējuma saņēmēja, kas sniedz pakalpojumus ar vispārēju tautsaimniecības nozīmi saprātīgas peļņas apmērs ir kapitāla rentabilitātes koeficents, kas nepārsniedz 10</w:t>
            </w:r>
            <w:r w:rsidR="00F506B4" w:rsidRPr="00BD0B72">
              <w:rPr>
                <w:sz w:val="28"/>
                <w:szCs w:val="28"/>
                <w:lang w:val="lv-LV"/>
              </w:rPr>
              <w:t> </w:t>
            </w:r>
            <w:r w:rsidRPr="00BD0B72">
              <w:rPr>
                <w:sz w:val="28"/>
                <w:szCs w:val="28"/>
                <w:lang w:val="lv-LV"/>
              </w:rPr>
              <w:t>%, proti, neto ienākumu apjoms nepārsniedz 10</w:t>
            </w:r>
            <w:r w:rsidR="00F506B4" w:rsidRPr="00BD0B72">
              <w:rPr>
                <w:sz w:val="28"/>
                <w:szCs w:val="28"/>
                <w:lang w:val="lv-LV"/>
              </w:rPr>
              <w:t> </w:t>
            </w:r>
            <w:r w:rsidR="004E052E" w:rsidRPr="00BD0B72">
              <w:rPr>
                <w:sz w:val="28"/>
                <w:szCs w:val="28"/>
                <w:lang w:val="lv-LV"/>
              </w:rPr>
              <w:t>% no pamatkapitāla apmēra.</w:t>
            </w:r>
            <w:r w:rsidRPr="00BD0B72">
              <w:rPr>
                <w:sz w:val="28"/>
                <w:szCs w:val="28"/>
                <w:lang w:val="lv-LV"/>
              </w:rPr>
              <w:t xml:space="preserve"> Tādejādi finansējuma saņēmējiem, kas atbilst augstāk norādītajām prasībām, iesniedzot LIAA pierādījumus, ir tiesības lūgt piešķirto valsts reģionālo atbalstu pārkvalificēt uz valsts atbalstu </w:t>
            </w:r>
            <w:proofErr w:type="spellStart"/>
            <w:r w:rsidRPr="00BD0B72">
              <w:rPr>
                <w:rFonts w:eastAsia="Times New Roman"/>
                <w:sz w:val="28"/>
                <w:szCs w:val="28"/>
                <w:lang w:eastAsia="lv-LV"/>
              </w:rPr>
              <w:t>sabiedrisko</w:t>
            </w:r>
            <w:proofErr w:type="spellEnd"/>
            <w:r w:rsidRPr="00BD0B72">
              <w:rPr>
                <w:rFonts w:eastAsia="Times New Roman"/>
                <w:sz w:val="28"/>
                <w:szCs w:val="28"/>
                <w:lang w:eastAsia="lv-LV"/>
              </w:rPr>
              <w:t xml:space="preserve"> </w:t>
            </w:r>
            <w:proofErr w:type="spellStart"/>
            <w:r w:rsidRPr="00BD0B72">
              <w:rPr>
                <w:rFonts w:eastAsia="Times New Roman"/>
                <w:sz w:val="28"/>
                <w:szCs w:val="28"/>
                <w:lang w:eastAsia="lv-LV"/>
              </w:rPr>
              <w:t>pakalpojumu</w:t>
            </w:r>
            <w:proofErr w:type="spellEnd"/>
            <w:r w:rsidRPr="00BD0B72">
              <w:rPr>
                <w:rFonts w:eastAsia="Times New Roman"/>
                <w:sz w:val="28"/>
                <w:szCs w:val="28"/>
                <w:lang w:eastAsia="lv-LV"/>
              </w:rPr>
              <w:t xml:space="preserve"> </w:t>
            </w:r>
            <w:proofErr w:type="spellStart"/>
            <w:r w:rsidRPr="00BD0B72">
              <w:rPr>
                <w:rFonts w:eastAsia="Times New Roman"/>
                <w:sz w:val="28"/>
                <w:szCs w:val="28"/>
                <w:lang w:eastAsia="lv-LV"/>
              </w:rPr>
              <w:t>sniedzēj</w:t>
            </w:r>
            <w:r w:rsidR="000D7B22" w:rsidRPr="00BD0B72">
              <w:rPr>
                <w:rFonts w:eastAsia="Times New Roman"/>
                <w:sz w:val="28"/>
                <w:szCs w:val="28"/>
                <w:lang w:eastAsia="lv-LV"/>
              </w:rPr>
              <w:t>ie</w:t>
            </w:r>
            <w:r w:rsidRPr="00BD0B72">
              <w:rPr>
                <w:rFonts w:eastAsia="Times New Roman"/>
                <w:sz w:val="28"/>
                <w:szCs w:val="28"/>
                <w:lang w:eastAsia="lv-LV"/>
              </w:rPr>
              <w:t>m</w:t>
            </w:r>
            <w:proofErr w:type="spellEnd"/>
            <w:r w:rsidRPr="00BD0B72">
              <w:rPr>
                <w:rFonts w:eastAsia="Times New Roman"/>
                <w:sz w:val="28"/>
                <w:szCs w:val="28"/>
                <w:lang w:eastAsia="lv-LV"/>
              </w:rPr>
              <w:t xml:space="preserve"> </w:t>
            </w:r>
            <w:proofErr w:type="spellStart"/>
            <w:r w:rsidRPr="00BD0B72">
              <w:rPr>
                <w:rFonts w:eastAsia="Times New Roman"/>
                <w:sz w:val="28"/>
                <w:szCs w:val="28"/>
                <w:lang w:eastAsia="lv-LV"/>
              </w:rPr>
              <w:t>ar</w:t>
            </w:r>
            <w:proofErr w:type="spellEnd"/>
            <w:r w:rsidRPr="00BD0B72">
              <w:rPr>
                <w:rFonts w:eastAsia="Times New Roman"/>
                <w:sz w:val="28"/>
                <w:szCs w:val="28"/>
                <w:lang w:eastAsia="lv-LV"/>
              </w:rPr>
              <w:t xml:space="preserve"> </w:t>
            </w:r>
            <w:proofErr w:type="spellStart"/>
            <w:r w:rsidRPr="00BD0B72">
              <w:rPr>
                <w:rFonts w:eastAsia="Times New Roman"/>
                <w:sz w:val="28"/>
                <w:szCs w:val="28"/>
                <w:lang w:eastAsia="lv-LV"/>
              </w:rPr>
              <w:t>vispārēju</w:t>
            </w:r>
            <w:proofErr w:type="spellEnd"/>
            <w:r w:rsidRPr="00BD0B72">
              <w:rPr>
                <w:rFonts w:eastAsia="Times New Roman"/>
                <w:sz w:val="28"/>
                <w:szCs w:val="28"/>
                <w:lang w:eastAsia="lv-LV"/>
              </w:rPr>
              <w:t xml:space="preserve"> </w:t>
            </w:r>
            <w:proofErr w:type="spellStart"/>
            <w:r w:rsidRPr="00BD0B72">
              <w:rPr>
                <w:rFonts w:eastAsia="Times New Roman"/>
                <w:sz w:val="28"/>
                <w:szCs w:val="28"/>
                <w:lang w:eastAsia="lv-LV"/>
              </w:rPr>
              <w:t>tautsaimniecisku</w:t>
            </w:r>
            <w:proofErr w:type="spellEnd"/>
            <w:r w:rsidRPr="00BD0B72">
              <w:rPr>
                <w:rFonts w:eastAsia="Times New Roman"/>
                <w:sz w:val="28"/>
                <w:szCs w:val="28"/>
                <w:lang w:eastAsia="lv-LV"/>
              </w:rPr>
              <w:t xml:space="preserve"> </w:t>
            </w:r>
            <w:proofErr w:type="spellStart"/>
            <w:r w:rsidRPr="00BD0B72">
              <w:rPr>
                <w:rFonts w:eastAsia="Times New Roman"/>
                <w:sz w:val="28"/>
                <w:szCs w:val="28"/>
                <w:lang w:eastAsia="lv-LV"/>
              </w:rPr>
              <w:t>nozīmi</w:t>
            </w:r>
            <w:proofErr w:type="spellEnd"/>
            <w:r w:rsidRPr="00BD0B72">
              <w:rPr>
                <w:sz w:val="28"/>
                <w:szCs w:val="28"/>
                <w:lang w:val="lv-LV"/>
              </w:rPr>
              <w:t>.</w:t>
            </w:r>
          </w:p>
          <w:p w:rsidR="00595578" w:rsidRPr="00BD0B72" w:rsidRDefault="00595578" w:rsidP="001E7BE3">
            <w:pPr>
              <w:ind w:firstLine="709"/>
              <w:jc w:val="both"/>
              <w:rPr>
                <w:sz w:val="28"/>
                <w:szCs w:val="28"/>
                <w:lang w:val="lv-LV"/>
              </w:rPr>
            </w:pPr>
            <w:r w:rsidRPr="00BD0B72">
              <w:rPr>
                <w:sz w:val="28"/>
                <w:szCs w:val="28"/>
                <w:lang w:val="lv-LV"/>
              </w:rPr>
              <w:t xml:space="preserve">Atbilstoši Komisijas lēmuma 10.pantam, kā arī, kā tas izriet no Komisijas lēmuma preambulas 31.punkta, šo lēmumu var piemērot arī atbalsta shēmai, kas ieviesta pirms Komisijas lēmuma spēkā stāšanās brīža: gan atbalsta shēmām, kas ieviestas pirms šā lēmuma spēkā stāšanās, kas bija saderīgas ar iekšējo tirgu un atbrīvotas no paziņošanas prasības saskaņā ar Lēmumu 2005/842/EK, gan atbalstam, kas ieviests pirms šā lēmuma stāšanās spēkā un kas nebija saderīgs ar iekšējo tirgu un atbrīvots no paziņošanas prasības saskaņā ar Lēmumu 2005/842/EK, bet kas </w:t>
            </w:r>
            <w:r w:rsidRPr="00BD0B72">
              <w:rPr>
                <w:sz w:val="28"/>
                <w:szCs w:val="28"/>
                <w:lang w:val="lv-LV"/>
              </w:rPr>
              <w:lastRenderedPageBreak/>
              <w:t>atbilst šajā lēmumā paredzētajiem nosacījumiem. Ņemot vērā, ka Komisijas lēmums ir stājies spēkā 2012.gada 31.janvārī, prasība par atsauci uz Komisijas lēmumu, ir obligāta līgumos, kas noslēgti pēc 2012.gada 31.janvāra jeb no Komisijas lēmuma spēkā stāšanās datuma. Norādām, ka Komisijas lēmuma 10.pants paredz, ka Komisijas lēmuma nosacījumi jāpārņem līdz 2014.gada 31.janvārim (divu gadu laikā kopš Komisijas lēmuma spēkā stāšanās datuma) un no 2014.gada 31.janvāra visos sabiedriskas nozīmes pakalpojumu sniegšanas deleģējuma gadījumos jāievēro nosacījumi, kas izvirzīti Komisijas lēmumā. Attiecīgi finansējuma saņēmējam, kurš sniedz sabiedriskas nozīmes pakalpojumu, ir pienākums Komisijas lēmuma prasības iestrādāt deleģējuma līgumos līdz 2014.gada 31.janvārim. Līdz ar to, lai LIAA būtu iespējams pārkvalificēt finansējuma atbilstoši Komisijas lēmumam, finansējuma saņēmējam ir jāiesniedz LIAA ne tikai sākotnējais pilnvarojuma lēmums, bet arī lēmums, kas atbilst Komisijas lēmuma prasībām.</w:t>
            </w:r>
          </w:p>
          <w:p w:rsidR="002A58FD" w:rsidRPr="00BD0B72" w:rsidRDefault="002A58FD" w:rsidP="001E7BE3">
            <w:pPr>
              <w:ind w:firstLine="709"/>
              <w:jc w:val="both"/>
              <w:rPr>
                <w:bCs/>
                <w:sz w:val="28"/>
                <w:szCs w:val="28"/>
                <w:lang w:val="lv-LV"/>
              </w:rPr>
            </w:pPr>
            <w:r w:rsidRPr="00BD0B72">
              <w:rPr>
                <w:sz w:val="28"/>
                <w:szCs w:val="28"/>
                <w:lang w:val="lv-LV"/>
              </w:rPr>
              <w:t xml:space="preserve">Pamatojoties uz augstāk norādīto, lai izvairītos, ka daļa no projektiem netiek īstenoti privātā finansējuma nepietiekamības dēļ un tiek sasniegti mērķi, kas iekļauti Latvijas enerģētikas </w:t>
            </w:r>
            <w:r w:rsidRPr="00BD0B72">
              <w:rPr>
                <w:bCs/>
                <w:sz w:val="28"/>
                <w:szCs w:val="28"/>
                <w:lang w:val="lv-LV"/>
              </w:rPr>
              <w:t xml:space="preserve">nozares attīstības pamatnostādnēs, </w:t>
            </w:r>
            <w:r w:rsidRPr="00BD0B72">
              <w:rPr>
                <w:bCs/>
                <w:sz w:val="28"/>
                <w:szCs w:val="28"/>
                <w:u w:val="single"/>
                <w:lang w:val="lv-LV"/>
              </w:rPr>
              <w:t>MK noteikumu Nr.</w:t>
            </w:r>
            <w:r w:rsidR="00F506B4" w:rsidRPr="00BD0B72">
              <w:rPr>
                <w:bCs/>
                <w:sz w:val="28"/>
                <w:szCs w:val="28"/>
                <w:u w:val="single"/>
                <w:lang w:val="lv-LV"/>
              </w:rPr>
              <w:t>162</w:t>
            </w:r>
            <w:r w:rsidRPr="00BD0B72">
              <w:rPr>
                <w:bCs/>
                <w:sz w:val="28"/>
                <w:szCs w:val="28"/>
                <w:u w:val="single"/>
                <w:lang w:val="lv-LV"/>
              </w:rPr>
              <w:t xml:space="preserve"> grozījumu projekts paredz iespēju jau piešķirto valsts atbalstu uzskatīt par kompensāciju par sabiedriskajiem pakalpojumiem, kuriem uzticēts sniegt pakalpojumus ar vispārēju tautsaimniecisku nozīmi, ievērojot augstāk norādītos nosacījumus.</w:t>
            </w:r>
            <w:r w:rsidR="001C0861" w:rsidRPr="00BD0B72">
              <w:rPr>
                <w:bCs/>
                <w:sz w:val="28"/>
                <w:szCs w:val="28"/>
                <w:lang w:val="lv-LV"/>
              </w:rPr>
              <w:t xml:space="preserve"> Augstāk minēto </w:t>
            </w:r>
            <w:proofErr w:type="spellStart"/>
            <w:r w:rsidR="001C0861" w:rsidRPr="00BD0B72">
              <w:rPr>
                <w:bCs/>
                <w:sz w:val="28"/>
                <w:szCs w:val="28"/>
                <w:lang w:val="lv-LV"/>
              </w:rPr>
              <w:t>leģitimizē</w:t>
            </w:r>
            <w:proofErr w:type="spellEnd"/>
            <w:r w:rsidR="001C0861" w:rsidRPr="00BD0B72">
              <w:rPr>
                <w:bCs/>
                <w:sz w:val="28"/>
                <w:szCs w:val="28"/>
                <w:lang w:val="lv-LV"/>
              </w:rPr>
              <w:t xml:space="preserve"> Komisijas lēmuma 3.pants, skatot to visu Komisijas lēmuma ietverto tiesību normu sistēmā, it sevišķi ņemot vērā tā preambulas 31.punktu.</w:t>
            </w:r>
          </w:p>
          <w:p w:rsidR="002A58FD" w:rsidRPr="00BD0B72" w:rsidRDefault="002A58FD" w:rsidP="001E7BE3">
            <w:pPr>
              <w:ind w:firstLine="709"/>
              <w:jc w:val="both"/>
              <w:rPr>
                <w:bCs/>
                <w:sz w:val="28"/>
                <w:szCs w:val="28"/>
                <w:lang w:val="lv-LV"/>
              </w:rPr>
            </w:pPr>
            <w:r w:rsidRPr="00BD0B72">
              <w:rPr>
                <w:bCs/>
                <w:sz w:val="28"/>
                <w:szCs w:val="28"/>
                <w:lang w:val="lv-LV"/>
              </w:rPr>
              <w:t xml:space="preserve">Ekonomikas ministrijas izstrādātie grozījumi ir vērsti uz pašreizējo projektu īstenošanas kārtību un ar grozījumiem noteiktais regulējums tiks piemērots uz finansējuma saņēmējiem, kas uz grozījumu projektā ietvertā regulējuma spēkā stāšanās brīdi jau būs iesnieguši projektu iesniegumus un ar daļu LIAA būs noslēgusi civiltiesiskus līgumus par projekta </w:t>
            </w:r>
            <w:r w:rsidRPr="00BD0B72">
              <w:rPr>
                <w:bCs/>
                <w:sz w:val="28"/>
                <w:szCs w:val="28"/>
                <w:lang w:val="lv-LV"/>
              </w:rPr>
              <w:lastRenderedPageBreak/>
              <w:t>īstenošanu. Tādejādi, lai nodrošinātu, ka attiecīgās normas tiks ievērotas LIAA, saņemot finansējuma saņēmēja iesniegumu pārskatīt valsts atbalsta shēmu,  ierosinās veikt grozījumus noslēgtajos līgumos atbilstoši spēkā esošajam tiesiskajam regulējumam.</w:t>
            </w:r>
          </w:p>
          <w:p w:rsidR="002A58FD" w:rsidRPr="00BD0B72" w:rsidRDefault="002A58FD" w:rsidP="001E7BE3">
            <w:pPr>
              <w:ind w:firstLine="709"/>
              <w:jc w:val="both"/>
              <w:rPr>
                <w:bCs/>
                <w:sz w:val="28"/>
                <w:szCs w:val="28"/>
                <w:lang w:val="lv-LV"/>
              </w:rPr>
            </w:pPr>
            <w:r w:rsidRPr="00BD0B72">
              <w:rPr>
                <w:bCs/>
                <w:sz w:val="28"/>
                <w:szCs w:val="28"/>
                <w:lang w:val="lv-LV"/>
              </w:rPr>
              <w:t>Ekonomikas ministrija ir izvērtējusi iespējamos riskus, kas saistīti ar finansējuma saņēmēja tiesiskās paļāvības principa un tiesiskās noteiktības principa pārkāpumiem, ierosinot grozījumus MK noteikumos Nr.</w:t>
            </w:r>
            <w:r w:rsidR="007449D3" w:rsidRPr="00BD0B72">
              <w:rPr>
                <w:bCs/>
                <w:sz w:val="28"/>
                <w:szCs w:val="28"/>
                <w:lang w:val="lv-LV"/>
              </w:rPr>
              <w:t>162</w:t>
            </w:r>
            <w:r w:rsidRPr="00BD0B72">
              <w:rPr>
                <w:bCs/>
                <w:sz w:val="28"/>
                <w:szCs w:val="28"/>
                <w:lang w:val="lv-LV"/>
              </w:rPr>
              <w:t>. Ierosinātie grozījumi ir tiešā cēloņsakarībā ar nepieciešamību veikt grozījumus jau nodibinātās attiecībās, proti, jaunās normas tiks piemērotas uz jau nodibinātām un turpinātām tiesiskām attiecībām. Tomēr tiem piemitīs brīvprātīgs raksturs, proti, tikai tie finansējuma saņēmēji, kuri vēlēsies pārkvalificēt piešķirto atbalstu, būs nepieciešams veikt grozījumus līgumā par projekta īstenošanu.</w:t>
            </w:r>
          </w:p>
          <w:p w:rsidR="002A58FD" w:rsidRPr="00BD0B72" w:rsidRDefault="002A58FD" w:rsidP="001E7BE3">
            <w:pPr>
              <w:pStyle w:val="BodyText2"/>
              <w:spacing w:after="0" w:line="240" w:lineRule="auto"/>
              <w:ind w:firstLine="709"/>
              <w:jc w:val="both"/>
              <w:rPr>
                <w:bCs/>
                <w:sz w:val="28"/>
                <w:szCs w:val="28"/>
                <w:lang w:val="lv-LV"/>
              </w:rPr>
            </w:pPr>
            <w:r w:rsidRPr="00BD0B72">
              <w:rPr>
                <w:bCs/>
                <w:sz w:val="28"/>
                <w:szCs w:val="28"/>
                <w:lang w:val="lv-LV"/>
              </w:rPr>
              <w:t>Atbilstoši demokrātiskas republikas jēdzienam valsts pienākums savā rīcība ir ievērot tiesiskas valsts pamatprincipus, tai skaitā tiesiskās paļāvības un tiesiskās noteiktības principus. Ekonomikas ministrija norāda, ka atbilstoši Augstākās tiesas Senāta Administratīvo lietu departamenta 2011.gada 24.novembra spriedumam SKA – 708/2011 attiecīgo principu pastāvēšana neizslēdz valsts iespēju grozīt pastāvošo tiesisko regulējumu. Grozot tiesisko regulējumu, valstij ir jāņem vērā tās tiesības, uz kuru saglabāšanu vai īstenošanu personai var būt izveidojusies paļāvība. Tiesiskās paļāvības princips prasa, lai valsts, mainot normatīvo regulējumu, ievērotu saprātīgu līdzsvaru starp personas paļāvību un tām interesēm, kuru nodrošināšanas labad regulējums tiek mainīts (</w:t>
            </w:r>
            <w:proofErr w:type="spellStart"/>
            <w:r w:rsidRPr="00BD0B72">
              <w:rPr>
                <w:bCs/>
                <w:sz w:val="28"/>
                <w:szCs w:val="28"/>
                <w:lang w:val="lv-LV"/>
              </w:rPr>
              <w:t>sk</w:t>
            </w:r>
            <w:proofErr w:type="spellEnd"/>
            <w:r w:rsidRPr="00BD0B72">
              <w:rPr>
                <w:bCs/>
                <w:sz w:val="28"/>
                <w:szCs w:val="28"/>
                <w:lang w:val="lv-LV"/>
              </w:rPr>
              <w:t>. Satversmes tiesas 2010.gada 6.decembra sprieduma lietā Nr.2010-25-01 4.punktu).</w:t>
            </w:r>
          </w:p>
          <w:p w:rsidR="002A58FD" w:rsidRPr="00BD0B72" w:rsidRDefault="002A58FD" w:rsidP="001E7BE3">
            <w:pPr>
              <w:ind w:firstLine="709"/>
              <w:jc w:val="both"/>
              <w:rPr>
                <w:bCs/>
                <w:sz w:val="28"/>
                <w:szCs w:val="28"/>
                <w:lang w:val="lv-LV"/>
              </w:rPr>
            </w:pPr>
            <w:r w:rsidRPr="00BD0B72">
              <w:rPr>
                <w:bCs/>
                <w:sz w:val="28"/>
                <w:szCs w:val="28"/>
                <w:lang w:val="lv-LV"/>
              </w:rPr>
              <w:t>Noteikumu projekts sniedz risinājumu tiem finansējuma saņēmējiem, kuriem nav iespējams iegūt privātos līdzekļus projekta īstenošanai bez papildus pašvaldības atbalsta, kas ir attaisnojami ar visas sabiedrības interešu aizsardzību,</w:t>
            </w:r>
          </w:p>
          <w:p w:rsidR="002A58FD" w:rsidRPr="00BD0B72" w:rsidRDefault="002A58FD" w:rsidP="001E7BE3">
            <w:pPr>
              <w:ind w:firstLine="709"/>
              <w:jc w:val="both"/>
              <w:rPr>
                <w:bCs/>
                <w:sz w:val="28"/>
                <w:szCs w:val="28"/>
                <w:lang w:val="lv-LV"/>
              </w:rPr>
            </w:pPr>
            <w:r w:rsidRPr="00BD0B72">
              <w:rPr>
                <w:bCs/>
                <w:sz w:val="28"/>
                <w:szCs w:val="28"/>
                <w:lang w:val="lv-LV"/>
              </w:rPr>
              <w:t xml:space="preserve">Pamatojoties uz augstāk minēto, Ekonomikas ministrija secina, ka objektīvi pastāv steidzams un </w:t>
            </w:r>
            <w:r w:rsidRPr="00BD0B72">
              <w:rPr>
                <w:bCs/>
                <w:sz w:val="28"/>
                <w:szCs w:val="28"/>
                <w:lang w:val="lv-LV"/>
              </w:rPr>
              <w:lastRenderedPageBreak/>
              <w:t>sevišķi nepieciešams grozījumu izdošanas mērķis, ar kuru būtu attaisnojama tiesiskās noteiktības ierobežošana.</w:t>
            </w:r>
          </w:p>
          <w:p w:rsidR="002A58FD" w:rsidRPr="00BD0B72" w:rsidRDefault="002A58FD" w:rsidP="001E7BE3">
            <w:pPr>
              <w:ind w:firstLine="709"/>
              <w:jc w:val="both"/>
              <w:rPr>
                <w:bCs/>
                <w:sz w:val="28"/>
                <w:szCs w:val="28"/>
                <w:lang w:val="lv-LV"/>
              </w:rPr>
            </w:pPr>
            <w:r w:rsidRPr="00BD0B72">
              <w:rPr>
                <w:bCs/>
                <w:sz w:val="28"/>
                <w:szCs w:val="28"/>
                <w:lang w:val="lv-LV"/>
              </w:rPr>
              <w:t>Noteikumu projektā iekļautās prasības uzskatāmas par finansējuma saņēmējiem labvēlīgākām un ir atbalstāmas jau uz nodibinātām tiesiskajām attiecībām</w:t>
            </w:r>
            <w:r w:rsidR="001453B6" w:rsidRPr="00BD0B72">
              <w:rPr>
                <w:bCs/>
                <w:sz w:val="28"/>
                <w:szCs w:val="28"/>
                <w:lang w:val="lv-LV"/>
              </w:rPr>
              <w:t xml:space="preserve"> ar nosacījumu, ka finansējuma saņēmējs tam ir piekritis</w:t>
            </w:r>
            <w:r w:rsidRPr="00BD0B72">
              <w:rPr>
                <w:bCs/>
                <w:sz w:val="28"/>
                <w:szCs w:val="28"/>
                <w:lang w:val="lv-LV"/>
              </w:rPr>
              <w:t>.</w:t>
            </w:r>
          </w:p>
          <w:p w:rsidR="002A58FD" w:rsidRPr="00BD0B72" w:rsidRDefault="002A58FD" w:rsidP="001E7BE3">
            <w:pPr>
              <w:pStyle w:val="ListParagraph"/>
              <w:ind w:left="0" w:firstLine="709"/>
              <w:jc w:val="both"/>
              <w:rPr>
                <w:sz w:val="28"/>
                <w:szCs w:val="28"/>
                <w:lang w:val="lv-LV"/>
              </w:rPr>
            </w:pPr>
            <w:r w:rsidRPr="00BD0B72">
              <w:rPr>
                <w:bCs/>
                <w:sz w:val="28"/>
                <w:szCs w:val="28"/>
                <w:lang w:val="lv-LV"/>
              </w:rPr>
              <w:t>Papildu</w:t>
            </w:r>
            <w:r w:rsidR="00F506B4" w:rsidRPr="00BD0B72">
              <w:rPr>
                <w:bCs/>
                <w:sz w:val="28"/>
                <w:szCs w:val="28"/>
                <w:lang w:val="lv-LV"/>
              </w:rPr>
              <w:t>s</w:t>
            </w:r>
            <w:r w:rsidRPr="00BD0B72">
              <w:rPr>
                <w:bCs/>
                <w:sz w:val="28"/>
                <w:szCs w:val="28"/>
                <w:lang w:val="lv-LV"/>
              </w:rPr>
              <w:t xml:space="preserve"> Ekonomikas ministrija norāda, ka, ņemot vērā, ka ar noteikumu projektu tiek radīti finansējuma saņēmējiem labvēlīgāki nosacījumi, personām, kas nav iesniegušas projektu iesniegumus, nav radušās nekādas tiesības saistībā ar projekta īstenošanu un nav pierādījumu par personu tiesību aizskārumu, līdz ar to tiesiskās paļāvības principa aizskārums attiecībā uz attiecīgajām personām nav konstatējams.</w:t>
            </w:r>
          </w:p>
        </w:tc>
      </w:tr>
      <w:tr w:rsidR="00A31FDC" w:rsidRPr="001E7BE3" w:rsidTr="000B102D">
        <w:trPr>
          <w:trHeight w:val="20"/>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1E7BE3" w:rsidRDefault="00A31FDC" w:rsidP="001E7BE3">
            <w:pPr>
              <w:jc w:val="both"/>
              <w:rPr>
                <w:rFonts w:eastAsia="Times New Roman"/>
                <w:sz w:val="28"/>
                <w:szCs w:val="28"/>
                <w:lang w:val="lv-LV" w:eastAsia="lv-LV"/>
              </w:rPr>
            </w:pPr>
            <w:r w:rsidRPr="001E7BE3">
              <w:rPr>
                <w:rFonts w:eastAsia="Times New Roman"/>
                <w:sz w:val="28"/>
                <w:szCs w:val="28"/>
                <w:lang w:val="lv-LV" w:eastAsia="lv-LV"/>
              </w:rPr>
              <w:lastRenderedPageBreak/>
              <w:t>3.</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1E7BE3" w:rsidRDefault="00A31FDC" w:rsidP="001E7BE3">
            <w:pPr>
              <w:jc w:val="both"/>
              <w:rPr>
                <w:rFonts w:eastAsia="Times New Roman"/>
                <w:sz w:val="28"/>
                <w:szCs w:val="28"/>
                <w:lang w:val="lv-LV" w:eastAsia="lv-LV"/>
              </w:rPr>
            </w:pPr>
            <w:r w:rsidRPr="001E7BE3">
              <w:rPr>
                <w:rFonts w:eastAsia="Times New Roman"/>
                <w:sz w:val="28"/>
                <w:szCs w:val="28"/>
                <w:lang w:val="lv-LV" w:eastAsia="lv-LV"/>
              </w:rPr>
              <w:t>Saistītie politikas ietekmes novērtējumi un pētījumi</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1E7BE3" w:rsidRDefault="00A31FDC" w:rsidP="001E7BE3">
            <w:pPr>
              <w:ind w:firstLine="720"/>
              <w:jc w:val="both"/>
              <w:rPr>
                <w:bCs/>
                <w:sz w:val="28"/>
                <w:szCs w:val="28"/>
                <w:lang w:val="lv-LV"/>
              </w:rPr>
            </w:pPr>
            <w:r w:rsidRPr="001E7BE3">
              <w:rPr>
                <w:iCs/>
                <w:sz w:val="28"/>
                <w:szCs w:val="28"/>
                <w:lang w:val="lv-LV"/>
              </w:rPr>
              <w:t>Projekts šo jomu neskar</w:t>
            </w:r>
            <w:r w:rsidRPr="001E7BE3">
              <w:rPr>
                <w:color w:val="000000"/>
                <w:sz w:val="28"/>
                <w:szCs w:val="28"/>
                <w:lang w:val="lv-LV"/>
              </w:rPr>
              <w:t>.</w:t>
            </w:r>
          </w:p>
        </w:tc>
      </w:tr>
      <w:tr w:rsidR="00A31FDC" w:rsidRPr="001E7BE3" w:rsidTr="0000084E">
        <w:trPr>
          <w:trHeight w:val="76"/>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1E7BE3" w:rsidRDefault="00A31FDC" w:rsidP="001E7BE3">
            <w:pPr>
              <w:jc w:val="both"/>
              <w:rPr>
                <w:rFonts w:eastAsia="Times New Roman"/>
                <w:sz w:val="28"/>
                <w:szCs w:val="28"/>
                <w:lang w:val="lv-LV" w:eastAsia="lv-LV"/>
              </w:rPr>
            </w:pPr>
            <w:r w:rsidRPr="001E7BE3">
              <w:rPr>
                <w:rFonts w:eastAsia="Times New Roman"/>
                <w:sz w:val="28"/>
                <w:szCs w:val="28"/>
                <w:lang w:val="lv-LV" w:eastAsia="lv-LV"/>
              </w:rPr>
              <w:t>4.</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1E7BE3" w:rsidRDefault="00A31FDC" w:rsidP="001E7BE3">
            <w:pPr>
              <w:jc w:val="both"/>
              <w:rPr>
                <w:rFonts w:eastAsia="Times New Roman"/>
                <w:sz w:val="28"/>
                <w:szCs w:val="28"/>
                <w:lang w:val="lv-LV" w:eastAsia="lv-LV"/>
              </w:rPr>
            </w:pPr>
            <w:r w:rsidRPr="001E7BE3">
              <w:rPr>
                <w:rFonts w:eastAsia="Times New Roman"/>
                <w:sz w:val="28"/>
                <w:szCs w:val="28"/>
                <w:lang w:val="lv-LV" w:eastAsia="lv-LV"/>
              </w:rPr>
              <w:t>Tiesiskā regulējuma mērķis un būtība</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5740D7" w:rsidRPr="00BD0B72" w:rsidRDefault="005740D7" w:rsidP="001E7BE3">
            <w:pPr>
              <w:pStyle w:val="BodyText"/>
              <w:ind w:firstLine="709"/>
              <w:rPr>
                <w:szCs w:val="28"/>
              </w:rPr>
            </w:pPr>
            <w:r w:rsidRPr="00BD0B72">
              <w:rPr>
                <w:szCs w:val="28"/>
              </w:rPr>
              <w:t>Ministru kabineta noteikumu projekts paredz:</w:t>
            </w:r>
          </w:p>
          <w:p w:rsidR="00530DE8" w:rsidRPr="00BD0B72" w:rsidRDefault="0000084E" w:rsidP="001E7BE3">
            <w:pPr>
              <w:pStyle w:val="BodyText"/>
              <w:numPr>
                <w:ilvl w:val="0"/>
                <w:numId w:val="7"/>
              </w:numPr>
              <w:rPr>
                <w:i/>
                <w:szCs w:val="28"/>
              </w:rPr>
            </w:pPr>
            <w:r w:rsidRPr="00BD0B72">
              <w:rPr>
                <w:szCs w:val="28"/>
              </w:rPr>
              <w:t xml:space="preserve">Noteikt, ka 3.5.2.1.1.apakšaktivitātes </w:t>
            </w:r>
            <w:r w:rsidR="007063E3" w:rsidRPr="00BD0B72">
              <w:rPr>
                <w:szCs w:val="28"/>
              </w:rPr>
              <w:t xml:space="preserve">projektu iesniegumu atlases pirmās kārtas </w:t>
            </w:r>
            <w:r w:rsidRPr="00BD0B72">
              <w:rPr>
                <w:szCs w:val="28"/>
              </w:rPr>
              <w:t xml:space="preserve">ietvaros īstenotos projektus līdzfinansē no KF līdzekļiem 8 955 796 </w:t>
            </w:r>
            <w:proofErr w:type="spellStart"/>
            <w:r w:rsidRPr="00BD0B72">
              <w:rPr>
                <w:i/>
                <w:szCs w:val="28"/>
              </w:rPr>
              <w:t>euro</w:t>
            </w:r>
            <w:proofErr w:type="spellEnd"/>
            <w:r w:rsidRPr="00BD0B72">
              <w:rPr>
                <w:szCs w:val="28"/>
              </w:rPr>
              <w:t xml:space="preserve"> apmērā un finansējuma saņēmēju nodrošinātais līdzfinansējuma kopējais apjoms projektu īstenošanai nav mazāks par 8 955 796 </w:t>
            </w:r>
            <w:proofErr w:type="spellStart"/>
            <w:r w:rsidRPr="00BD0B72">
              <w:rPr>
                <w:i/>
                <w:szCs w:val="28"/>
              </w:rPr>
              <w:t>euro</w:t>
            </w:r>
            <w:proofErr w:type="spellEnd"/>
            <w:r w:rsidR="001E0DB1" w:rsidRPr="00BD0B72">
              <w:rPr>
                <w:i/>
                <w:szCs w:val="28"/>
              </w:rPr>
              <w:t>.</w:t>
            </w:r>
          </w:p>
          <w:p w:rsidR="00A31FDC" w:rsidRPr="00BD0B72" w:rsidRDefault="00530DE8" w:rsidP="001E7BE3">
            <w:pPr>
              <w:pStyle w:val="BodyText"/>
              <w:numPr>
                <w:ilvl w:val="0"/>
                <w:numId w:val="7"/>
              </w:numPr>
              <w:rPr>
                <w:szCs w:val="28"/>
              </w:rPr>
            </w:pPr>
            <w:r w:rsidRPr="00BD0B72">
              <w:rPr>
                <w:szCs w:val="28"/>
              </w:rPr>
              <w:t>MK noteikumos Nr.</w:t>
            </w:r>
            <w:r w:rsidR="00720DC2" w:rsidRPr="00BD0B72">
              <w:rPr>
                <w:szCs w:val="28"/>
              </w:rPr>
              <w:t>162</w:t>
            </w:r>
            <w:r w:rsidRPr="00BD0B72">
              <w:rPr>
                <w:szCs w:val="28"/>
              </w:rPr>
              <w:t xml:space="preserve"> minētās summas latos </w:t>
            </w:r>
            <w:r w:rsidR="008B603A" w:rsidRPr="00BD0B72">
              <w:rPr>
                <w:szCs w:val="28"/>
              </w:rPr>
              <w:t xml:space="preserve">tiek izteiktas </w:t>
            </w:r>
            <w:proofErr w:type="spellStart"/>
            <w:r w:rsidR="008B603A" w:rsidRPr="00BD0B72">
              <w:rPr>
                <w:i/>
                <w:iCs/>
                <w:szCs w:val="28"/>
              </w:rPr>
              <w:t>euro</w:t>
            </w:r>
            <w:proofErr w:type="spellEnd"/>
            <w:r w:rsidR="008B603A" w:rsidRPr="00BD0B72">
              <w:rPr>
                <w:szCs w:val="28"/>
              </w:rPr>
              <w:t xml:space="preserve"> atbilstoši Eiropas Savienības Padomes apstiprinātam valūtas maiņas kursam 1 EUR = 0,702804 LVL</w:t>
            </w:r>
            <w:r w:rsidR="000D6D1C" w:rsidRPr="00BD0B72">
              <w:rPr>
                <w:szCs w:val="28"/>
              </w:rPr>
              <w:t>.</w:t>
            </w:r>
          </w:p>
          <w:p w:rsidR="002A58FD" w:rsidRPr="00BD0B72" w:rsidRDefault="002A58FD" w:rsidP="001E7BE3">
            <w:pPr>
              <w:pStyle w:val="ListParagraph"/>
              <w:numPr>
                <w:ilvl w:val="0"/>
                <w:numId w:val="7"/>
              </w:numPr>
              <w:jc w:val="both"/>
              <w:rPr>
                <w:rFonts w:eastAsia="Times New Roman"/>
                <w:sz w:val="28"/>
                <w:szCs w:val="28"/>
                <w:lang w:val="lv-LV" w:eastAsia="lv-LV"/>
              </w:rPr>
            </w:pPr>
            <w:r w:rsidRPr="00BD0B72">
              <w:rPr>
                <w:rFonts w:eastAsia="Times New Roman"/>
                <w:sz w:val="28"/>
                <w:szCs w:val="28"/>
                <w:lang w:val="lv-LV" w:eastAsia="lv-LV"/>
              </w:rPr>
              <w:t>Iekļaut pienākumu LIAA nodrošināt uzraudzību par Komisijas lēmuma prasību ievērošanu</w:t>
            </w:r>
            <w:r w:rsidR="000D6D1C" w:rsidRPr="00BD0B72">
              <w:rPr>
                <w:rFonts w:eastAsia="Times New Roman"/>
                <w:sz w:val="28"/>
                <w:szCs w:val="28"/>
                <w:lang w:val="lv-LV" w:eastAsia="lv-LV"/>
              </w:rPr>
              <w:t>.</w:t>
            </w:r>
          </w:p>
          <w:p w:rsidR="002A58FD" w:rsidRPr="00BD0B72" w:rsidRDefault="002A58FD" w:rsidP="001E7BE3">
            <w:pPr>
              <w:pStyle w:val="ListParagraph"/>
              <w:numPr>
                <w:ilvl w:val="0"/>
                <w:numId w:val="7"/>
              </w:numPr>
              <w:jc w:val="both"/>
              <w:rPr>
                <w:rFonts w:eastAsia="Times New Roman"/>
                <w:sz w:val="28"/>
                <w:szCs w:val="28"/>
                <w:lang w:val="lv-LV" w:eastAsia="lv-LV"/>
              </w:rPr>
            </w:pPr>
            <w:r w:rsidRPr="00BD0B72">
              <w:rPr>
                <w:rFonts w:eastAsia="Times New Roman"/>
                <w:sz w:val="28"/>
                <w:szCs w:val="28"/>
                <w:lang w:val="lv-LV" w:eastAsia="lv-LV"/>
              </w:rPr>
              <w:t>Valsts atbalsts aktivitātes ietvaros var tikt piešķirts gan atbilstoši Pamatnostādnēm, gan Komisijas lēmumam.</w:t>
            </w:r>
          </w:p>
          <w:p w:rsidR="002A58FD" w:rsidRPr="00BD0B72" w:rsidRDefault="00076421" w:rsidP="001E7BE3">
            <w:pPr>
              <w:pStyle w:val="ListParagraph"/>
              <w:numPr>
                <w:ilvl w:val="0"/>
                <w:numId w:val="7"/>
              </w:numPr>
              <w:jc w:val="both"/>
              <w:rPr>
                <w:rFonts w:eastAsia="Times New Roman"/>
                <w:sz w:val="28"/>
                <w:szCs w:val="28"/>
                <w:lang w:val="lv-LV" w:eastAsia="lv-LV"/>
              </w:rPr>
            </w:pPr>
            <w:r w:rsidRPr="00BD0B72">
              <w:rPr>
                <w:rFonts w:eastAsia="Times New Roman"/>
                <w:sz w:val="28"/>
                <w:szCs w:val="28"/>
                <w:lang w:val="lv-LV" w:eastAsia="lv-LV"/>
              </w:rPr>
              <w:t xml:space="preserve">Tiesības finansējuma saņēmējam līdz 2014.gada 31.decembrim ierosināt līguma par </w:t>
            </w:r>
            <w:r w:rsidRPr="00BD0B72">
              <w:rPr>
                <w:rFonts w:eastAsia="Times New Roman"/>
                <w:sz w:val="28"/>
                <w:szCs w:val="28"/>
                <w:lang w:val="lv-LV" w:eastAsia="lv-LV"/>
              </w:rPr>
              <w:lastRenderedPageBreak/>
              <w:t>projekta īstenošanu grozījumus, lai nodrošinātu, ka atbalsts visā projekta īstenošanas laikā tiek piešķirts saskaņā ar Komisijas lēmumu</w:t>
            </w:r>
            <w:r w:rsidR="002A58FD" w:rsidRPr="00BD0B72">
              <w:rPr>
                <w:rFonts w:eastAsia="Times New Roman"/>
                <w:sz w:val="28"/>
                <w:szCs w:val="28"/>
                <w:lang w:val="lv-LV" w:eastAsia="lv-LV"/>
              </w:rPr>
              <w:t>.</w:t>
            </w:r>
          </w:p>
          <w:p w:rsidR="002A58FD" w:rsidRPr="00BD0B72" w:rsidRDefault="002A58FD" w:rsidP="001E7BE3">
            <w:pPr>
              <w:pStyle w:val="ListParagraph"/>
              <w:numPr>
                <w:ilvl w:val="0"/>
                <w:numId w:val="7"/>
              </w:numPr>
              <w:jc w:val="both"/>
              <w:rPr>
                <w:rFonts w:eastAsia="Times New Roman"/>
                <w:sz w:val="28"/>
                <w:szCs w:val="28"/>
                <w:lang w:val="lv-LV" w:eastAsia="lv-LV"/>
              </w:rPr>
            </w:pPr>
            <w:r w:rsidRPr="00BD0B72">
              <w:rPr>
                <w:rFonts w:eastAsia="Times New Roman"/>
                <w:sz w:val="28"/>
                <w:szCs w:val="28"/>
                <w:lang w:val="lv-LV" w:eastAsia="lv-LV"/>
              </w:rPr>
              <w:t>Pienākumu finansējuma saņēmējam nodrošināt, ka kapitāla</w:t>
            </w:r>
            <w:r w:rsidRPr="00BD0B72">
              <w:rPr>
                <w:sz w:val="28"/>
                <w:szCs w:val="28"/>
              </w:rPr>
              <w:t xml:space="preserve"> </w:t>
            </w:r>
            <w:proofErr w:type="spellStart"/>
            <w:r w:rsidRPr="00BD0B72">
              <w:rPr>
                <w:sz w:val="28"/>
                <w:szCs w:val="28"/>
              </w:rPr>
              <w:t>atdeves</w:t>
            </w:r>
            <w:proofErr w:type="spellEnd"/>
            <w:r w:rsidRPr="00BD0B72">
              <w:rPr>
                <w:sz w:val="28"/>
                <w:szCs w:val="28"/>
              </w:rPr>
              <w:t xml:space="preserve"> </w:t>
            </w:r>
            <w:proofErr w:type="spellStart"/>
            <w:r w:rsidRPr="00BD0B72">
              <w:rPr>
                <w:sz w:val="28"/>
                <w:szCs w:val="28"/>
              </w:rPr>
              <w:t>rādītājs</w:t>
            </w:r>
            <w:proofErr w:type="spellEnd"/>
            <w:r w:rsidRPr="00BD0B72">
              <w:rPr>
                <w:sz w:val="28"/>
                <w:szCs w:val="28"/>
              </w:rPr>
              <w:t xml:space="preserve"> </w:t>
            </w:r>
            <w:proofErr w:type="spellStart"/>
            <w:r w:rsidRPr="00BD0B72">
              <w:rPr>
                <w:sz w:val="28"/>
                <w:szCs w:val="28"/>
              </w:rPr>
              <w:t>piecus</w:t>
            </w:r>
            <w:proofErr w:type="spellEnd"/>
            <w:r w:rsidRPr="00BD0B72">
              <w:rPr>
                <w:sz w:val="28"/>
                <w:szCs w:val="28"/>
              </w:rPr>
              <w:t xml:space="preserve"> </w:t>
            </w:r>
            <w:proofErr w:type="spellStart"/>
            <w:r w:rsidRPr="00BD0B72">
              <w:rPr>
                <w:sz w:val="28"/>
                <w:szCs w:val="28"/>
              </w:rPr>
              <w:t>gadus</w:t>
            </w:r>
            <w:proofErr w:type="spellEnd"/>
            <w:r w:rsidRPr="00BD0B72">
              <w:rPr>
                <w:sz w:val="28"/>
                <w:szCs w:val="28"/>
              </w:rPr>
              <w:t xml:space="preserve"> </w:t>
            </w:r>
            <w:proofErr w:type="spellStart"/>
            <w:r w:rsidRPr="00BD0B72">
              <w:rPr>
                <w:sz w:val="28"/>
                <w:szCs w:val="28"/>
              </w:rPr>
              <w:t>pēc</w:t>
            </w:r>
            <w:proofErr w:type="spellEnd"/>
            <w:r w:rsidRPr="00BD0B72">
              <w:rPr>
                <w:sz w:val="28"/>
                <w:szCs w:val="28"/>
              </w:rPr>
              <w:t xml:space="preserve"> </w:t>
            </w:r>
            <w:proofErr w:type="spellStart"/>
            <w:r w:rsidRPr="00BD0B72">
              <w:rPr>
                <w:sz w:val="28"/>
                <w:szCs w:val="28"/>
              </w:rPr>
              <w:t>projekta</w:t>
            </w:r>
            <w:proofErr w:type="spellEnd"/>
            <w:r w:rsidRPr="00BD0B72">
              <w:rPr>
                <w:sz w:val="28"/>
                <w:szCs w:val="28"/>
              </w:rPr>
              <w:t xml:space="preserve"> </w:t>
            </w:r>
            <w:proofErr w:type="spellStart"/>
            <w:r w:rsidRPr="00BD0B72">
              <w:rPr>
                <w:sz w:val="28"/>
                <w:szCs w:val="28"/>
              </w:rPr>
              <w:t>īstenošanas</w:t>
            </w:r>
            <w:proofErr w:type="spellEnd"/>
            <w:r w:rsidRPr="00BD0B72">
              <w:rPr>
                <w:sz w:val="28"/>
                <w:szCs w:val="28"/>
              </w:rPr>
              <w:t xml:space="preserve"> </w:t>
            </w:r>
            <w:proofErr w:type="spellStart"/>
            <w:r w:rsidRPr="00BD0B72">
              <w:rPr>
                <w:sz w:val="28"/>
                <w:szCs w:val="28"/>
              </w:rPr>
              <w:t>nav</w:t>
            </w:r>
            <w:proofErr w:type="spellEnd"/>
            <w:r w:rsidRPr="00BD0B72">
              <w:rPr>
                <w:sz w:val="28"/>
                <w:szCs w:val="28"/>
              </w:rPr>
              <w:t xml:space="preserve"> </w:t>
            </w:r>
            <w:proofErr w:type="spellStart"/>
            <w:r w:rsidRPr="00BD0B72">
              <w:rPr>
                <w:sz w:val="28"/>
                <w:szCs w:val="28"/>
              </w:rPr>
              <w:t>lielāks</w:t>
            </w:r>
            <w:proofErr w:type="spellEnd"/>
            <w:r w:rsidRPr="00BD0B72">
              <w:rPr>
                <w:sz w:val="28"/>
                <w:szCs w:val="28"/>
              </w:rPr>
              <w:t xml:space="preserve"> par 10</w:t>
            </w:r>
            <w:r w:rsidR="004E052E" w:rsidRPr="00BD0B72">
              <w:rPr>
                <w:sz w:val="28"/>
                <w:szCs w:val="28"/>
              </w:rPr>
              <w:t> %</w:t>
            </w:r>
            <w:r w:rsidRPr="00BD0B72">
              <w:rPr>
                <w:sz w:val="28"/>
                <w:szCs w:val="28"/>
              </w:rPr>
              <w:t xml:space="preserve">. </w:t>
            </w:r>
            <w:proofErr w:type="spellStart"/>
            <w:r w:rsidRPr="00BD0B72">
              <w:rPr>
                <w:sz w:val="28"/>
                <w:szCs w:val="28"/>
              </w:rPr>
              <w:t>Kapitāla</w:t>
            </w:r>
            <w:proofErr w:type="spellEnd"/>
            <w:r w:rsidRPr="00BD0B72">
              <w:rPr>
                <w:sz w:val="28"/>
                <w:szCs w:val="28"/>
              </w:rPr>
              <w:t xml:space="preserve"> </w:t>
            </w:r>
            <w:proofErr w:type="spellStart"/>
            <w:r w:rsidRPr="00BD0B72">
              <w:rPr>
                <w:sz w:val="28"/>
                <w:szCs w:val="28"/>
              </w:rPr>
              <w:t>atdeves</w:t>
            </w:r>
            <w:proofErr w:type="spellEnd"/>
            <w:r w:rsidRPr="00BD0B72">
              <w:rPr>
                <w:sz w:val="28"/>
                <w:szCs w:val="28"/>
              </w:rPr>
              <w:t xml:space="preserve"> </w:t>
            </w:r>
            <w:proofErr w:type="spellStart"/>
            <w:r w:rsidRPr="00BD0B72">
              <w:rPr>
                <w:sz w:val="28"/>
                <w:szCs w:val="28"/>
              </w:rPr>
              <w:t>rādītājs</w:t>
            </w:r>
            <w:proofErr w:type="spellEnd"/>
            <w:r w:rsidRPr="00BD0B72">
              <w:rPr>
                <w:sz w:val="28"/>
                <w:szCs w:val="28"/>
              </w:rPr>
              <w:t xml:space="preserve"> </w:t>
            </w:r>
            <w:proofErr w:type="spellStart"/>
            <w:r w:rsidRPr="00BD0B72">
              <w:rPr>
                <w:sz w:val="28"/>
                <w:szCs w:val="28"/>
              </w:rPr>
              <w:t>ir</w:t>
            </w:r>
            <w:proofErr w:type="spellEnd"/>
            <w:r w:rsidRPr="00BD0B72">
              <w:rPr>
                <w:sz w:val="28"/>
                <w:szCs w:val="28"/>
              </w:rPr>
              <w:t xml:space="preserve"> </w:t>
            </w:r>
            <w:proofErr w:type="spellStart"/>
            <w:r w:rsidRPr="00BD0B72">
              <w:rPr>
                <w:sz w:val="28"/>
                <w:szCs w:val="28"/>
              </w:rPr>
              <w:t>komercsabiedrības</w:t>
            </w:r>
            <w:proofErr w:type="spellEnd"/>
            <w:r w:rsidRPr="00BD0B72">
              <w:rPr>
                <w:sz w:val="28"/>
                <w:szCs w:val="28"/>
              </w:rPr>
              <w:t xml:space="preserve"> </w:t>
            </w:r>
            <w:proofErr w:type="spellStart"/>
            <w:r w:rsidRPr="00BD0B72">
              <w:rPr>
                <w:sz w:val="28"/>
                <w:szCs w:val="28"/>
              </w:rPr>
              <w:t>iepriekšējā</w:t>
            </w:r>
            <w:proofErr w:type="spellEnd"/>
            <w:r w:rsidRPr="00BD0B72">
              <w:rPr>
                <w:sz w:val="28"/>
                <w:szCs w:val="28"/>
              </w:rPr>
              <w:t xml:space="preserve"> </w:t>
            </w:r>
            <w:proofErr w:type="spellStart"/>
            <w:r w:rsidRPr="00BD0B72">
              <w:rPr>
                <w:sz w:val="28"/>
                <w:szCs w:val="28"/>
              </w:rPr>
              <w:t>pārskata</w:t>
            </w:r>
            <w:proofErr w:type="spellEnd"/>
            <w:r w:rsidRPr="00BD0B72">
              <w:rPr>
                <w:rFonts w:eastAsia="Times New Roman"/>
                <w:sz w:val="28"/>
                <w:szCs w:val="28"/>
                <w:lang w:eastAsia="lv-LV"/>
              </w:rPr>
              <w:t xml:space="preserve"> </w:t>
            </w:r>
            <w:proofErr w:type="spellStart"/>
            <w:r w:rsidRPr="00BD0B72">
              <w:rPr>
                <w:rFonts w:eastAsia="Times New Roman"/>
                <w:sz w:val="28"/>
                <w:szCs w:val="28"/>
                <w:lang w:eastAsia="lv-LV"/>
              </w:rPr>
              <w:t>gada</w:t>
            </w:r>
            <w:proofErr w:type="spellEnd"/>
            <w:r w:rsidRPr="00BD0B72">
              <w:rPr>
                <w:rFonts w:eastAsia="Times New Roman"/>
                <w:sz w:val="28"/>
                <w:szCs w:val="28"/>
                <w:lang w:eastAsia="lv-LV"/>
              </w:rPr>
              <w:t xml:space="preserve"> </w:t>
            </w:r>
            <w:proofErr w:type="spellStart"/>
            <w:r w:rsidRPr="00BD0B72">
              <w:rPr>
                <w:rFonts w:eastAsia="Times New Roman"/>
                <w:sz w:val="28"/>
                <w:szCs w:val="28"/>
                <w:lang w:eastAsia="lv-LV"/>
              </w:rPr>
              <w:t>neto</w:t>
            </w:r>
            <w:proofErr w:type="spellEnd"/>
            <w:r w:rsidRPr="00BD0B72">
              <w:rPr>
                <w:rFonts w:eastAsia="Times New Roman"/>
                <w:sz w:val="28"/>
                <w:szCs w:val="28"/>
                <w:lang w:eastAsia="lv-LV"/>
              </w:rPr>
              <w:t xml:space="preserve"> </w:t>
            </w:r>
            <w:proofErr w:type="spellStart"/>
            <w:r w:rsidRPr="00BD0B72">
              <w:rPr>
                <w:rFonts w:eastAsia="Times New Roman"/>
                <w:sz w:val="28"/>
                <w:szCs w:val="28"/>
                <w:lang w:eastAsia="lv-LV"/>
              </w:rPr>
              <w:t>peļņas</w:t>
            </w:r>
            <w:proofErr w:type="spellEnd"/>
            <w:r w:rsidRPr="00BD0B72">
              <w:rPr>
                <w:rFonts w:eastAsia="Times New Roman"/>
                <w:sz w:val="28"/>
                <w:szCs w:val="28"/>
                <w:lang w:eastAsia="lv-LV"/>
              </w:rPr>
              <w:t xml:space="preserve"> </w:t>
            </w:r>
            <w:proofErr w:type="spellStart"/>
            <w:r w:rsidRPr="00BD0B72">
              <w:rPr>
                <w:rFonts w:eastAsia="Times New Roman"/>
                <w:sz w:val="28"/>
                <w:szCs w:val="28"/>
                <w:lang w:eastAsia="lv-LV"/>
              </w:rPr>
              <w:t>attiecība</w:t>
            </w:r>
            <w:proofErr w:type="spellEnd"/>
            <w:r w:rsidRPr="00BD0B72">
              <w:rPr>
                <w:rFonts w:eastAsia="Times New Roman"/>
                <w:sz w:val="28"/>
                <w:szCs w:val="28"/>
                <w:lang w:eastAsia="lv-LV"/>
              </w:rPr>
              <w:t xml:space="preserve"> </w:t>
            </w:r>
            <w:proofErr w:type="spellStart"/>
            <w:r w:rsidRPr="00BD0B72">
              <w:rPr>
                <w:rFonts w:eastAsia="Times New Roman"/>
                <w:sz w:val="28"/>
                <w:szCs w:val="28"/>
                <w:lang w:eastAsia="lv-LV"/>
              </w:rPr>
              <w:t>pret</w:t>
            </w:r>
            <w:proofErr w:type="spellEnd"/>
            <w:r w:rsidRPr="00BD0B72">
              <w:rPr>
                <w:rFonts w:eastAsia="Times New Roman"/>
                <w:sz w:val="28"/>
                <w:szCs w:val="28"/>
                <w:lang w:eastAsia="lv-LV"/>
              </w:rPr>
              <w:t xml:space="preserve"> </w:t>
            </w:r>
            <w:proofErr w:type="spellStart"/>
            <w:r w:rsidRPr="00BD0B72">
              <w:rPr>
                <w:rFonts w:eastAsia="Times New Roman"/>
                <w:sz w:val="28"/>
                <w:szCs w:val="28"/>
                <w:lang w:eastAsia="lv-LV"/>
              </w:rPr>
              <w:t>pamatkapitālu</w:t>
            </w:r>
            <w:proofErr w:type="spellEnd"/>
            <w:r w:rsidRPr="00BD0B72">
              <w:rPr>
                <w:rFonts w:eastAsia="Times New Roman"/>
                <w:sz w:val="28"/>
                <w:szCs w:val="28"/>
                <w:lang w:eastAsia="lv-LV"/>
              </w:rPr>
              <w:t xml:space="preserve">. </w:t>
            </w:r>
            <w:proofErr w:type="spellStart"/>
            <w:r w:rsidRPr="00BD0B72">
              <w:rPr>
                <w:rFonts w:eastAsia="Times New Roman"/>
                <w:sz w:val="28"/>
                <w:szCs w:val="28"/>
                <w:lang w:eastAsia="lv-LV"/>
              </w:rPr>
              <w:t>Finansējuma</w:t>
            </w:r>
            <w:proofErr w:type="spellEnd"/>
            <w:r w:rsidRPr="00BD0B72">
              <w:rPr>
                <w:rFonts w:eastAsia="Times New Roman"/>
                <w:sz w:val="28"/>
                <w:szCs w:val="28"/>
                <w:lang w:eastAsia="lv-LV"/>
              </w:rPr>
              <w:t xml:space="preserve"> </w:t>
            </w:r>
            <w:proofErr w:type="spellStart"/>
            <w:r w:rsidRPr="00BD0B72">
              <w:rPr>
                <w:rFonts w:eastAsia="Times New Roman"/>
                <w:sz w:val="28"/>
                <w:szCs w:val="28"/>
                <w:lang w:eastAsia="lv-LV"/>
              </w:rPr>
              <w:t>saņēmējam</w:t>
            </w:r>
            <w:proofErr w:type="spellEnd"/>
            <w:r w:rsidRPr="00BD0B72">
              <w:rPr>
                <w:rFonts w:eastAsia="Times New Roman"/>
                <w:sz w:val="28"/>
                <w:szCs w:val="28"/>
                <w:lang w:eastAsia="lv-LV"/>
              </w:rPr>
              <w:t xml:space="preserve"> </w:t>
            </w:r>
            <w:proofErr w:type="spellStart"/>
            <w:r w:rsidRPr="00BD0B72">
              <w:rPr>
                <w:rFonts w:eastAsia="Times New Roman"/>
                <w:sz w:val="28"/>
                <w:szCs w:val="28"/>
                <w:lang w:eastAsia="lv-LV"/>
              </w:rPr>
              <w:t>ir</w:t>
            </w:r>
            <w:proofErr w:type="spellEnd"/>
            <w:r w:rsidRPr="00BD0B72">
              <w:rPr>
                <w:rFonts w:eastAsia="Times New Roman"/>
                <w:sz w:val="28"/>
                <w:szCs w:val="28"/>
                <w:lang w:eastAsia="lv-LV"/>
              </w:rPr>
              <w:t xml:space="preserve"> </w:t>
            </w:r>
            <w:proofErr w:type="spellStart"/>
            <w:r w:rsidRPr="00BD0B72">
              <w:rPr>
                <w:rFonts w:eastAsia="Times New Roman"/>
                <w:sz w:val="28"/>
                <w:szCs w:val="28"/>
                <w:lang w:eastAsia="lv-LV"/>
              </w:rPr>
              <w:t>pienākums</w:t>
            </w:r>
            <w:proofErr w:type="spellEnd"/>
            <w:r w:rsidRPr="00BD0B72">
              <w:rPr>
                <w:rFonts w:eastAsia="Times New Roman"/>
                <w:sz w:val="28"/>
                <w:szCs w:val="28"/>
                <w:lang w:eastAsia="lv-LV"/>
              </w:rPr>
              <w:t xml:space="preserve"> </w:t>
            </w:r>
            <w:proofErr w:type="spellStart"/>
            <w:r w:rsidRPr="00BD0B72">
              <w:rPr>
                <w:rFonts w:eastAsia="Times New Roman"/>
                <w:sz w:val="28"/>
                <w:szCs w:val="28"/>
                <w:lang w:eastAsia="lv-LV"/>
              </w:rPr>
              <w:t>nodrošināt</w:t>
            </w:r>
            <w:proofErr w:type="spellEnd"/>
            <w:r w:rsidRPr="00BD0B72">
              <w:rPr>
                <w:rFonts w:eastAsia="Times New Roman"/>
                <w:sz w:val="28"/>
                <w:szCs w:val="28"/>
                <w:lang w:eastAsia="lv-LV"/>
              </w:rPr>
              <w:t xml:space="preserve">, </w:t>
            </w:r>
            <w:proofErr w:type="spellStart"/>
            <w:r w:rsidRPr="00BD0B72">
              <w:rPr>
                <w:rFonts w:eastAsia="Times New Roman"/>
                <w:sz w:val="28"/>
                <w:szCs w:val="28"/>
                <w:lang w:eastAsia="lv-LV"/>
              </w:rPr>
              <w:t>ka</w:t>
            </w:r>
            <w:proofErr w:type="spellEnd"/>
            <w:r w:rsidRPr="00BD0B72">
              <w:rPr>
                <w:rFonts w:eastAsia="Times New Roman"/>
                <w:sz w:val="28"/>
                <w:szCs w:val="28"/>
                <w:lang w:eastAsia="lv-LV"/>
              </w:rPr>
              <w:t xml:space="preserve"> </w:t>
            </w:r>
            <w:proofErr w:type="spellStart"/>
            <w:r w:rsidRPr="00BD0B72">
              <w:rPr>
                <w:rFonts w:eastAsia="Times New Roman"/>
                <w:sz w:val="28"/>
                <w:szCs w:val="28"/>
                <w:lang w:eastAsia="lv-LV"/>
              </w:rPr>
              <w:t>robežvērtība</w:t>
            </w:r>
            <w:proofErr w:type="spellEnd"/>
            <w:r w:rsidRPr="00BD0B72">
              <w:rPr>
                <w:rFonts w:eastAsia="Times New Roman"/>
                <w:sz w:val="28"/>
                <w:szCs w:val="28"/>
                <w:lang w:eastAsia="lv-LV"/>
              </w:rPr>
              <w:t xml:space="preserve"> </w:t>
            </w:r>
            <w:proofErr w:type="spellStart"/>
            <w:r w:rsidRPr="00BD0B72">
              <w:rPr>
                <w:sz w:val="28"/>
                <w:szCs w:val="28"/>
              </w:rPr>
              <w:t>nepārsniedz</w:t>
            </w:r>
            <w:proofErr w:type="spellEnd"/>
            <w:r w:rsidRPr="00BD0B72">
              <w:rPr>
                <w:rFonts w:eastAsia="Times New Roman"/>
                <w:sz w:val="28"/>
                <w:szCs w:val="28"/>
                <w:lang w:eastAsia="lv-LV"/>
              </w:rPr>
              <w:t xml:space="preserve"> </w:t>
            </w:r>
            <w:proofErr w:type="spellStart"/>
            <w:r w:rsidRPr="00BD0B72">
              <w:rPr>
                <w:sz w:val="28"/>
                <w:szCs w:val="28"/>
              </w:rPr>
              <w:t>vidējo</w:t>
            </w:r>
            <w:proofErr w:type="spellEnd"/>
            <w:r w:rsidRPr="00BD0B72">
              <w:rPr>
                <w:sz w:val="28"/>
                <w:szCs w:val="28"/>
              </w:rPr>
              <w:t xml:space="preserve"> </w:t>
            </w:r>
            <w:proofErr w:type="spellStart"/>
            <w:r w:rsidRPr="00BD0B72">
              <w:rPr>
                <w:sz w:val="28"/>
                <w:szCs w:val="28"/>
              </w:rPr>
              <w:t>svērto</w:t>
            </w:r>
            <w:proofErr w:type="spellEnd"/>
            <w:r w:rsidRPr="00BD0B72">
              <w:rPr>
                <w:sz w:val="28"/>
                <w:szCs w:val="28"/>
              </w:rPr>
              <w:t xml:space="preserve"> </w:t>
            </w:r>
            <w:proofErr w:type="spellStart"/>
            <w:r w:rsidRPr="00BD0B72">
              <w:rPr>
                <w:sz w:val="28"/>
                <w:szCs w:val="28"/>
              </w:rPr>
              <w:t>rādītāju</w:t>
            </w:r>
            <w:proofErr w:type="spellEnd"/>
            <w:r w:rsidRPr="00BD0B72">
              <w:rPr>
                <w:rFonts w:eastAsia="Times New Roman"/>
                <w:sz w:val="28"/>
                <w:szCs w:val="28"/>
                <w:lang w:val="lv-LV" w:eastAsia="lv-LV"/>
              </w:rPr>
              <w:t xml:space="preserve"> divu gadu periodā.</w:t>
            </w:r>
          </w:p>
          <w:p w:rsidR="002A58FD" w:rsidRPr="00BD0B72" w:rsidRDefault="002A58FD" w:rsidP="001E7BE3">
            <w:pPr>
              <w:pStyle w:val="ListParagraph"/>
              <w:numPr>
                <w:ilvl w:val="0"/>
                <w:numId w:val="7"/>
              </w:numPr>
              <w:jc w:val="both"/>
              <w:rPr>
                <w:rFonts w:eastAsia="Times New Roman"/>
                <w:sz w:val="28"/>
                <w:szCs w:val="28"/>
                <w:lang w:val="lv-LV" w:eastAsia="lv-LV"/>
              </w:rPr>
            </w:pPr>
            <w:r w:rsidRPr="00BD0B72">
              <w:rPr>
                <w:rFonts w:eastAsia="Times New Roman"/>
                <w:sz w:val="28"/>
                <w:szCs w:val="28"/>
                <w:lang w:val="lv-LV" w:eastAsia="lv-LV"/>
              </w:rPr>
              <w:t>Nosacījumus atbilstoši Komisijas lēmumam, lai uzskatītu par valsts atbalstu sabiedrisko pakalpojumu sniedzējiem ar vispārēju tautsaimniecisku nozīmi par saderīgu ar Eiropas Savienības iekšējo tirgu un atbrīvotu no paziņošanas.</w:t>
            </w:r>
          </w:p>
          <w:p w:rsidR="002A58FD" w:rsidRPr="00BD0B72" w:rsidRDefault="002A58FD" w:rsidP="001E7BE3">
            <w:pPr>
              <w:pStyle w:val="BodyText"/>
              <w:numPr>
                <w:ilvl w:val="0"/>
                <w:numId w:val="7"/>
              </w:numPr>
              <w:rPr>
                <w:szCs w:val="28"/>
              </w:rPr>
            </w:pPr>
            <w:r w:rsidRPr="00BD0B72">
              <w:rPr>
                <w:szCs w:val="28"/>
              </w:rPr>
              <w:t>Pienākumu finansējuma saņēmējam, kuram tiek piešķirts atbalsts kā sabiedrisko pakalpojumu sniedzējam ar vispārēju tautsaimniecisku nozīmi, 10 gadus uzglabāt dokumentus kas pierāda, ka piešķirtais valsts atbalsts atbilst MK noteikumu Nr.162 prasībām.</w:t>
            </w:r>
          </w:p>
        </w:tc>
      </w:tr>
      <w:tr w:rsidR="00A31FDC" w:rsidRPr="001E7BE3" w:rsidTr="00A31FDC">
        <w:trPr>
          <w:trHeight w:val="623"/>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1E7BE3" w:rsidRDefault="00A31FDC" w:rsidP="001E7BE3">
            <w:pPr>
              <w:jc w:val="both"/>
              <w:rPr>
                <w:rFonts w:eastAsia="Times New Roman"/>
                <w:sz w:val="28"/>
                <w:szCs w:val="28"/>
                <w:lang w:val="lv-LV" w:eastAsia="lv-LV"/>
              </w:rPr>
            </w:pPr>
            <w:r w:rsidRPr="001E7BE3">
              <w:rPr>
                <w:rFonts w:eastAsia="Times New Roman"/>
                <w:sz w:val="28"/>
                <w:szCs w:val="28"/>
                <w:lang w:val="lv-LV" w:eastAsia="lv-LV"/>
              </w:rPr>
              <w:lastRenderedPageBreak/>
              <w:t>5.</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1E7BE3" w:rsidRDefault="00A31FDC" w:rsidP="001E7BE3">
            <w:pPr>
              <w:jc w:val="both"/>
              <w:rPr>
                <w:rFonts w:eastAsia="Times New Roman"/>
                <w:sz w:val="28"/>
                <w:szCs w:val="28"/>
                <w:lang w:val="lv-LV" w:eastAsia="lv-LV"/>
              </w:rPr>
            </w:pPr>
            <w:r w:rsidRPr="001E7BE3">
              <w:rPr>
                <w:rFonts w:eastAsia="Times New Roman"/>
                <w:sz w:val="28"/>
                <w:szCs w:val="28"/>
                <w:lang w:val="lv-LV" w:eastAsia="lv-LV"/>
              </w:rPr>
              <w:t>Projekta izstrādē iesaistītās institūcijas</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BD0B72" w:rsidRDefault="00A31FDC" w:rsidP="001E7BE3">
            <w:pPr>
              <w:pStyle w:val="BodyText"/>
              <w:ind w:right="142" w:firstLine="720"/>
              <w:rPr>
                <w:szCs w:val="28"/>
              </w:rPr>
            </w:pPr>
            <w:r w:rsidRPr="00BD0B72">
              <w:rPr>
                <w:iCs/>
                <w:szCs w:val="28"/>
              </w:rPr>
              <w:t>Projekts šo jomu neskar</w:t>
            </w:r>
            <w:r w:rsidRPr="00BD0B72">
              <w:rPr>
                <w:szCs w:val="28"/>
              </w:rPr>
              <w:t>.</w:t>
            </w:r>
          </w:p>
        </w:tc>
      </w:tr>
      <w:tr w:rsidR="00A31FDC" w:rsidRPr="001E7BE3" w:rsidTr="00A31FDC">
        <w:trPr>
          <w:trHeight w:val="95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1E7BE3" w:rsidRDefault="00A31FDC" w:rsidP="001E7BE3">
            <w:pPr>
              <w:jc w:val="both"/>
              <w:rPr>
                <w:rFonts w:eastAsia="Times New Roman"/>
                <w:sz w:val="28"/>
                <w:szCs w:val="28"/>
                <w:lang w:val="lv-LV" w:eastAsia="lv-LV"/>
              </w:rPr>
            </w:pPr>
            <w:r w:rsidRPr="001E7BE3">
              <w:rPr>
                <w:rFonts w:eastAsia="Times New Roman"/>
                <w:sz w:val="28"/>
                <w:szCs w:val="28"/>
                <w:lang w:val="lv-LV" w:eastAsia="lv-LV"/>
              </w:rPr>
              <w:t>6.</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1E7BE3" w:rsidRDefault="00A31FDC" w:rsidP="001E7BE3">
            <w:pPr>
              <w:jc w:val="both"/>
              <w:rPr>
                <w:rFonts w:eastAsia="Times New Roman"/>
                <w:sz w:val="28"/>
                <w:szCs w:val="28"/>
                <w:lang w:val="lv-LV" w:eastAsia="lv-LV"/>
              </w:rPr>
            </w:pPr>
            <w:r w:rsidRPr="001E7BE3">
              <w:rPr>
                <w:rFonts w:eastAsia="Times New Roman"/>
                <w:sz w:val="28"/>
                <w:szCs w:val="28"/>
                <w:lang w:val="lv-LV" w:eastAsia="lv-LV"/>
              </w:rPr>
              <w:t>Iemesli, kādēļ netika nodrošināta sabiedrības līdzdalība</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BD0B72" w:rsidRDefault="00A31FDC" w:rsidP="001E7BE3">
            <w:pPr>
              <w:pStyle w:val="BodyText"/>
              <w:ind w:right="142" w:firstLine="720"/>
              <w:rPr>
                <w:szCs w:val="28"/>
              </w:rPr>
            </w:pPr>
            <w:r w:rsidRPr="00BD0B72">
              <w:rPr>
                <w:iCs/>
                <w:szCs w:val="28"/>
              </w:rPr>
              <w:t>Projekts šo jomu neskar</w:t>
            </w:r>
            <w:r w:rsidRPr="00BD0B72">
              <w:rPr>
                <w:szCs w:val="28"/>
              </w:rPr>
              <w:t>.</w:t>
            </w:r>
          </w:p>
        </w:tc>
      </w:tr>
      <w:tr w:rsidR="00A31FDC" w:rsidRPr="001E7BE3" w:rsidTr="00A31FDC">
        <w:trPr>
          <w:trHeight w:val="31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1E7BE3" w:rsidRDefault="00A31FDC" w:rsidP="001E7BE3">
            <w:pPr>
              <w:jc w:val="both"/>
              <w:rPr>
                <w:rFonts w:eastAsia="Times New Roman"/>
                <w:sz w:val="28"/>
                <w:szCs w:val="28"/>
                <w:lang w:val="lv-LV" w:eastAsia="lv-LV"/>
              </w:rPr>
            </w:pPr>
            <w:r w:rsidRPr="001E7BE3">
              <w:rPr>
                <w:rFonts w:eastAsia="Times New Roman"/>
                <w:sz w:val="28"/>
                <w:szCs w:val="28"/>
                <w:lang w:val="lv-LV" w:eastAsia="lv-LV"/>
              </w:rPr>
              <w:t>7.</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1E7BE3" w:rsidRDefault="00A31FDC" w:rsidP="001E7BE3">
            <w:pPr>
              <w:jc w:val="both"/>
              <w:rPr>
                <w:rFonts w:eastAsia="Times New Roman"/>
                <w:sz w:val="28"/>
                <w:szCs w:val="28"/>
                <w:lang w:val="lv-LV" w:eastAsia="lv-LV"/>
              </w:rPr>
            </w:pPr>
            <w:r w:rsidRPr="001E7BE3">
              <w:rPr>
                <w:rFonts w:eastAsia="Times New Roman"/>
                <w:sz w:val="28"/>
                <w:szCs w:val="28"/>
                <w:lang w:val="lv-LV" w:eastAsia="lv-LV"/>
              </w:rPr>
              <w:t>Cita informācija</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1E7BE3" w:rsidRDefault="00543052" w:rsidP="001E7BE3">
            <w:pPr>
              <w:ind w:left="142" w:firstLine="567"/>
              <w:jc w:val="both"/>
              <w:rPr>
                <w:sz w:val="28"/>
                <w:szCs w:val="28"/>
                <w:lang w:val="lv-LV"/>
              </w:rPr>
            </w:pPr>
            <w:r w:rsidRPr="001E7BE3">
              <w:rPr>
                <w:sz w:val="28"/>
                <w:szCs w:val="28"/>
                <w:lang w:val="lv-LV"/>
              </w:rPr>
              <w:t>Nav.</w:t>
            </w:r>
          </w:p>
        </w:tc>
      </w:tr>
    </w:tbl>
    <w:p w:rsidR="00E8006C" w:rsidRPr="001E7BE3" w:rsidRDefault="00E8006C" w:rsidP="001E7BE3">
      <w:pPr>
        <w:pStyle w:val="naisf"/>
        <w:spacing w:before="0" w:after="0"/>
        <w:rPr>
          <w:sz w:val="28"/>
          <w:szCs w:val="28"/>
        </w:rPr>
      </w:pPr>
    </w:p>
    <w:tbl>
      <w:tblPr>
        <w:tblW w:w="9072" w:type="dxa"/>
        <w:tblInd w:w="30"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84"/>
        <w:gridCol w:w="2977"/>
        <w:gridCol w:w="5811"/>
      </w:tblGrid>
      <w:tr w:rsidR="00F22471" w:rsidRPr="001E7BE3" w:rsidTr="00511ADB">
        <w:tc>
          <w:tcPr>
            <w:tcW w:w="9072"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F22471" w:rsidRPr="001E7BE3" w:rsidRDefault="00F22471" w:rsidP="001E7BE3">
            <w:pPr>
              <w:ind w:firstLine="720"/>
              <w:jc w:val="both"/>
              <w:rPr>
                <w:rFonts w:eastAsia="Times New Roman"/>
                <w:b/>
                <w:sz w:val="28"/>
                <w:szCs w:val="28"/>
                <w:lang w:val="lv-LV" w:eastAsia="lv-LV"/>
              </w:rPr>
            </w:pPr>
            <w:r w:rsidRPr="001E7BE3">
              <w:rPr>
                <w:rFonts w:eastAsia="Times New Roman"/>
                <w:b/>
                <w:sz w:val="28"/>
                <w:szCs w:val="28"/>
                <w:lang w:val="lv-LV" w:eastAsia="lv-LV"/>
              </w:rPr>
              <w:t>II. Tiesību akta projekta ietekme uz sabiedrību</w:t>
            </w:r>
          </w:p>
        </w:tc>
      </w:tr>
      <w:tr w:rsidR="00F22471" w:rsidRPr="001E7BE3"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1E7BE3" w:rsidRDefault="00F22471" w:rsidP="001E7BE3">
            <w:pPr>
              <w:jc w:val="both"/>
              <w:rPr>
                <w:rFonts w:eastAsia="Times New Roman"/>
                <w:sz w:val="28"/>
                <w:szCs w:val="28"/>
                <w:lang w:val="lv-LV" w:eastAsia="lv-LV"/>
              </w:rPr>
            </w:pPr>
            <w:r w:rsidRPr="001E7BE3">
              <w:rPr>
                <w:rFonts w:eastAsia="Times New Roman"/>
                <w:sz w:val="28"/>
                <w:szCs w:val="28"/>
                <w:lang w:val="lv-LV" w:eastAsia="lv-LV"/>
              </w:rPr>
              <w:t>1.</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rsidR="00F22471" w:rsidRPr="001E7BE3" w:rsidRDefault="00F22471" w:rsidP="001E7BE3">
            <w:pPr>
              <w:jc w:val="both"/>
              <w:rPr>
                <w:rFonts w:eastAsia="Times New Roman"/>
                <w:sz w:val="28"/>
                <w:szCs w:val="28"/>
                <w:lang w:val="lv-LV" w:eastAsia="lv-LV"/>
              </w:rPr>
            </w:pPr>
            <w:r w:rsidRPr="001E7BE3">
              <w:rPr>
                <w:rFonts w:eastAsia="Times New Roman"/>
                <w:sz w:val="28"/>
                <w:szCs w:val="28"/>
                <w:lang w:val="lv-LV" w:eastAsia="lv-LV"/>
              </w:rPr>
              <w:t>Sabiedrības mērķgrupa</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hideMark/>
          </w:tcPr>
          <w:p w:rsidR="00F22471" w:rsidRPr="001E7BE3" w:rsidRDefault="00F22471" w:rsidP="001E7BE3">
            <w:pPr>
              <w:ind w:firstLine="720"/>
              <w:jc w:val="both"/>
              <w:rPr>
                <w:rFonts w:eastAsia="Times New Roman"/>
                <w:iCs/>
                <w:sz w:val="28"/>
                <w:szCs w:val="28"/>
                <w:lang w:val="lv-LV" w:eastAsia="lv-LV"/>
              </w:rPr>
            </w:pPr>
            <w:r w:rsidRPr="001E7BE3">
              <w:rPr>
                <w:rFonts w:eastAsia="Times New Roman"/>
                <w:iCs/>
                <w:sz w:val="28"/>
                <w:szCs w:val="28"/>
                <w:lang w:val="lv-LV" w:eastAsia="lv-LV"/>
              </w:rPr>
              <w:t>Siltumenerģijas lietotāji, pašvaldības, komersanti.</w:t>
            </w:r>
          </w:p>
        </w:tc>
      </w:tr>
      <w:tr w:rsidR="00F22471" w:rsidRPr="001E7BE3"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1E7BE3" w:rsidRDefault="00F22471" w:rsidP="001E7BE3">
            <w:pPr>
              <w:jc w:val="both"/>
              <w:rPr>
                <w:rFonts w:eastAsia="Times New Roman"/>
                <w:sz w:val="28"/>
                <w:szCs w:val="28"/>
                <w:lang w:val="lv-LV" w:eastAsia="lv-LV"/>
              </w:rPr>
            </w:pPr>
            <w:r w:rsidRPr="001E7BE3">
              <w:rPr>
                <w:rFonts w:eastAsia="Times New Roman"/>
                <w:sz w:val="28"/>
                <w:szCs w:val="28"/>
                <w:lang w:val="lv-LV" w:eastAsia="lv-LV"/>
              </w:rPr>
              <w:t>2.</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rsidR="00F22471" w:rsidRPr="001E7BE3" w:rsidRDefault="00F22471" w:rsidP="001E7BE3">
            <w:pPr>
              <w:jc w:val="both"/>
              <w:rPr>
                <w:rFonts w:eastAsia="Times New Roman"/>
                <w:sz w:val="28"/>
                <w:szCs w:val="28"/>
                <w:lang w:val="lv-LV" w:eastAsia="lv-LV"/>
              </w:rPr>
            </w:pPr>
            <w:r w:rsidRPr="001E7BE3">
              <w:rPr>
                <w:rFonts w:eastAsia="Times New Roman"/>
                <w:sz w:val="28"/>
                <w:szCs w:val="28"/>
                <w:lang w:val="lv-LV" w:eastAsia="lv-LV"/>
              </w:rPr>
              <w:t xml:space="preserve">Citas sabiedrības grupas (bez mērķgrupas), kuras tiesiskais regulējums arī </w:t>
            </w:r>
            <w:r w:rsidRPr="001E7BE3">
              <w:rPr>
                <w:rFonts w:eastAsia="Times New Roman"/>
                <w:sz w:val="28"/>
                <w:szCs w:val="28"/>
                <w:lang w:val="lv-LV" w:eastAsia="lv-LV"/>
              </w:rPr>
              <w:lastRenderedPageBreak/>
              <w:t>ietekmē vai varētu ietekmēt</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hideMark/>
          </w:tcPr>
          <w:p w:rsidR="00F22471" w:rsidRPr="001E7BE3" w:rsidRDefault="00F22471" w:rsidP="001E7BE3">
            <w:pPr>
              <w:pStyle w:val="BodyText"/>
              <w:ind w:right="142" w:firstLine="720"/>
              <w:rPr>
                <w:szCs w:val="28"/>
              </w:rPr>
            </w:pPr>
            <w:r w:rsidRPr="001E7BE3">
              <w:rPr>
                <w:iCs/>
                <w:szCs w:val="28"/>
              </w:rPr>
              <w:lastRenderedPageBreak/>
              <w:t>Projekts šo jomu neskar</w:t>
            </w:r>
            <w:r w:rsidRPr="001E7BE3">
              <w:rPr>
                <w:szCs w:val="28"/>
              </w:rPr>
              <w:t>.</w:t>
            </w:r>
          </w:p>
        </w:tc>
      </w:tr>
      <w:tr w:rsidR="00F22471" w:rsidRPr="001E7BE3"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1E7BE3" w:rsidRDefault="00F22471" w:rsidP="001E7BE3">
            <w:pPr>
              <w:jc w:val="both"/>
              <w:rPr>
                <w:rFonts w:eastAsia="Times New Roman"/>
                <w:sz w:val="28"/>
                <w:szCs w:val="28"/>
                <w:lang w:val="lv-LV" w:eastAsia="lv-LV"/>
              </w:rPr>
            </w:pPr>
            <w:r w:rsidRPr="001E7BE3">
              <w:rPr>
                <w:rFonts w:eastAsia="Times New Roman"/>
                <w:sz w:val="28"/>
                <w:szCs w:val="28"/>
                <w:lang w:val="lv-LV" w:eastAsia="lv-LV"/>
              </w:rPr>
              <w:lastRenderedPageBreak/>
              <w:t>3.</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1E7BE3" w:rsidRDefault="00F22471" w:rsidP="001E7BE3">
            <w:pPr>
              <w:jc w:val="both"/>
              <w:rPr>
                <w:rFonts w:eastAsia="Times New Roman"/>
                <w:sz w:val="28"/>
                <w:szCs w:val="28"/>
                <w:lang w:val="lv-LV" w:eastAsia="lv-LV"/>
              </w:rPr>
            </w:pPr>
            <w:r w:rsidRPr="001E7BE3">
              <w:rPr>
                <w:rFonts w:eastAsia="Times New Roman"/>
                <w:sz w:val="28"/>
                <w:szCs w:val="28"/>
                <w:lang w:val="lv-LV" w:eastAsia="lv-LV"/>
              </w:rPr>
              <w:t>Tiesiskā regulējuma finansiālā ietekme</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1E7BE3" w:rsidRDefault="000A402E" w:rsidP="001E7BE3">
            <w:pPr>
              <w:pStyle w:val="BodyText"/>
              <w:ind w:right="142" w:firstLine="720"/>
              <w:rPr>
                <w:szCs w:val="28"/>
              </w:rPr>
            </w:pPr>
            <w:r w:rsidRPr="001E7BE3">
              <w:rPr>
                <w:szCs w:val="28"/>
              </w:rPr>
              <w:t xml:space="preserve">Tiesību akta projekts nosaka, ka </w:t>
            </w:r>
            <w:r w:rsidR="0073796D" w:rsidRPr="001E7BE3">
              <w:rPr>
                <w:szCs w:val="28"/>
              </w:rPr>
              <w:t>3.5.2.1.1.apakšaktivitātes projektu iesniegumu atlases pirmajā kārtā</w:t>
            </w:r>
            <w:r w:rsidRPr="001E7BE3">
              <w:rPr>
                <w:szCs w:val="28"/>
              </w:rPr>
              <w:t xml:space="preserve"> pieejamais KF finansējums ir </w:t>
            </w:r>
            <w:r w:rsidR="005740D7" w:rsidRPr="001E7BE3">
              <w:rPr>
                <w:szCs w:val="28"/>
              </w:rPr>
              <w:t>8 955 </w:t>
            </w:r>
            <w:r w:rsidR="005740D7" w:rsidRPr="00BD0B72">
              <w:rPr>
                <w:szCs w:val="28"/>
              </w:rPr>
              <w:t xml:space="preserve">796 </w:t>
            </w:r>
            <w:proofErr w:type="spellStart"/>
            <w:r w:rsidR="005740D7" w:rsidRPr="00BD0B72">
              <w:rPr>
                <w:i/>
                <w:szCs w:val="28"/>
              </w:rPr>
              <w:t>euro</w:t>
            </w:r>
            <w:proofErr w:type="spellEnd"/>
            <w:r w:rsidR="00C1739F" w:rsidRPr="00BD0B72">
              <w:rPr>
                <w:szCs w:val="28"/>
              </w:rPr>
              <w:t>.</w:t>
            </w:r>
            <w:r w:rsidR="002A58FD" w:rsidRPr="00BD0B72">
              <w:rPr>
                <w:szCs w:val="28"/>
              </w:rPr>
              <w:t xml:space="preserve"> Tiesību akta projektā paredzētie grozījumi veicinās ES fondu finansējuma apguv</w:t>
            </w:r>
            <w:r w:rsidR="00B706F6" w:rsidRPr="00BD0B72">
              <w:rPr>
                <w:szCs w:val="28"/>
              </w:rPr>
              <w:t>i</w:t>
            </w:r>
            <w:r w:rsidR="002A58FD" w:rsidRPr="00BD0B72">
              <w:rPr>
                <w:szCs w:val="28"/>
              </w:rPr>
              <w:t>, kā arī neradīs papildus slogu valsts budžetam.</w:t>
            </w:r>
          </w:p>
        </w:tc>
      </w:tr>
      <w:tr w:rsidR="00F22471" w:rsidRPr="001E7BE3"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1E7BE3" w:rsidRDefault="00F22471" w:rsidP="001E7BE3">
            <w:pPr>
              <w:jc w:val="both"/>
              <w:rPr>
                <w:rFonts w:eastAsia="Times New Roman"/>
                <w:sz w:val="28"/>
                <w:szCs w:val="28"/>
                <w:lang w:val="lv-LV" w:eastAsia="lv-LV"/>
              </w:rPr>
            </w:pPr>
            <w:r w:rsidRPr="001E7BE3">
              <w:rPr>
                <w:rFonts w:eastAsia="Times New Roman"/>
                <w:sz w:val="28"/>
                <w:szCs w:val="28"/>
                <w:lang w:val="lv-LV" w:eastAsia="lv-LV"/>
              </w:rPr>
              <w:t>4.</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1E7BE3" w:rsidRDefault="00F22471" w:rsidP="001E7BE3">
            <w:pPr>
              <w:jc w:val="both"/>
              <w:rPr>
                <w:rFonts w:eastAsia="Times New Roman"/>
                <w:sz w:val="28"/>
                <w:szCs w:val="28"/>
                <w:lang w:val="lv-LV" w:eastAsia="lv-LV"/>
              </w:rPr>
            </w:pPr>
            <w:r w:rsidRPr="001E7BE3">
              <w:rPr>
                <w:rFonts w:eastAsia="Times New Roman"/>
                <w:sz w:val="28"/>
                <w:szCs w:val="28"/>
                <w:lang w:val="lv-LV" w:eastAsia="lv-LV"/>
              </w:rPr>
              <w:t>Tiesiskā regulējuma nefinansiālā ietekme</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1E7BE3" w:rsidRDefault="00C1739F" w:rsidP="001E7BE3">
            <w:pPr>
              <w:pStyle w:val="BodyText"/>
              <w:ind w:right="142" w:firstLine="720"/>
              <w:rPr>
                <w:szCs w:val="28"/>
              </w:rPr>
            </w:pPr>
            <w:r w:rsidRPr="001E7BE3">
              <w:rPr>
                <w:iCs/>
                <w:szCs w:val="28"/>
              </w:rPr>
              <w:t>Projekts šo jomu neskar</w:t>
            </w:r>
            <w:r w:rsidRPr="001E7BE3">
              <w:rPr>
                <w:szCs w:val="28"/>
              </w:rPr>
              <w:t>.</w:t>
            </w:r>
          </w:p>
        </w:tc>
      </w:tr>
      <w:tr w:rsidR="00F22471" w:rsidRPr="001E7BE3"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1E7BE3" w:rsidRDefault="00F22471" w:rsidP="001E7BE3">
            <w:pPr>
              <w:jc w:val="both"/>
              <w:rPr>
                <w:rFonts w:eastAsia="Times New Roman"/>
                <w:sz w:val="28"/>
                <w:szCs w:val="28"/>
                <w:lang w:val="lv-LV" w:eastAsia="lv-LV"/>
              </w:rPr>
            </w:pPr>
            <w:r w:rsidRPr="001E7BE3">
              <w:rPr>
                <w:rFonts w:eastAsia="Times New Roman"/>
                <w:sz w:val="28"/>
                <w:szCs w:val="28"/>
                <w:lang w:val="lv-LV" w:eastAsia="lv-LV"/>
              </w:rPr>
              <w:t>5.</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1E7BE3" w:rsidRDefault="00F22471" w:rsidP="001E7BE3">
            <w:pPr>
              <w:jc w:val="both"/>
              <w:rPr>
                <w:rFonts w:eastAsia="Times New Roman"/>
                <w:sz w:val="28"/>
                <w:szCs w:val="28"/>
                <w:lang w:val="lv-LV" w:eastAsia="lv-LV"/>
              </w:rPr>
            </w:pPr>
            <w:r w:rsidRPr="001E7BE3">
              <w:rPr>
                <w:rFonts w:eastAsia="Times New Roman"/>
                <w:sz w:val="28"/>
                <w:szCs w:val="28"/>
                <w:lang w:val="lv-LV" w:eastAsia="lv-LV"/>
              </w:rPr>
              <w:t>Administratīvās procedūras raksturojums</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1E7BE3" w:rsidRDefault="00F22471" w:rsidP="001E7BE3">
            <w:pPr>
              <w:pStyle w:val="BodyText"/>
              <w:ind w:right="142" w:firstLine="720"/>
              <w:rPr>
                <w:szCs w:val="28"/>
              </w:rPr>
            </w:pPr>
            <w:r w:rsidRPr="001E7BE3">
              <w:rPr>
                <w:iCs/>
                <w:szCs w:val="28"/>
              </w:rPr>
              <w:t>Projekts šo jomu neskar</w:t>
            </w:r>
            <w:r w:rsidRPr="001E7BE3">
              <w:rPr>
                <w:szCs w:val="28"/>
              </w:rPr>
              <w:t>.</w:t>
            </w:r>
          </w:p>
        </w:tc>
      </w:tr>
      <w:tr w:rsidR="00F22471" w:rsidRPr="001E7BE3"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1E7BE3" w:rsidRDefault="00F22471" w:rsidP="001E7BE3">
            <w:pPr>
              <w:jc w:val="both"/>
              <w:rPr>
                <w:rFonts w:eastAsia="Times New Roman"/>
                <w:sz w:val="28"/>
                <w:szCs w:val="28"/>
                <w:lang w:val="lv-LV" w:eastAsia="lv-LV"/>
              </w:rPr>
            </w:pPr>
            <w:r w:rsidRPr="001E7BE3">
              <w:rPr>
                <w:rFonts w:eastAsia="Times New Roman"/>
                <w:sz w:val="28"/>
                <w:szCs w:val="28"/>
                <w:lang w:val="lv-LV" w:eastAsia="lv-LV"/>
              </w:rPr>
              <w:t>6.</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1E7BE3" w:rsidRDefault="00F22471" w:rsidP="001E7BE3">
            <w:pPr>
              <w:jc w:val="both"/>
              <w:rPr>
                <w:rFonts w:eastAsia="Times New Roman"/>
                <w:sz w:val="28"/>
                <w:szCs w:val="28"/>
                <w:lang w:val="lv-LV" w:eastAsia="lv-LV"/>
              </w:rPr>
            </w:pPr>
            <w:r w:rsidRPr="001E7BE3">
              <w:rPr>
                <w:rFonts w:eastAsia="Times New Roman"/>
                <w:sz w:val="28"/>
                <w:szCs w:val="28"/>
                <w:lang w:val="lv-LV" w:eastAsia="lv-LV"/>
              </w:rPr>
              <w:t>Administratīvo izmaksu monetārs novērtējums</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1E7BE3" w:rsidRDefault="00F22471" w:rsidP="001E7BE3">
            <w:pPr>
              <w:pStyle w:val="BodyText"/>
              <w:ind w:right="142" w:firstLine="720"/>
              <w:rPr>
                <w:szCs w:val="28"/>
              </w:rPr>
            </w:pPr>
            <w:r w:rsidRPr="001E7BE3">
              <w:rPr>
                <w:iCs/>
                <w:szCs w:val="28"/>
              </w:rPr>
              <w:t>Projekts šo jomu neskar</w:t>
            </w:r>
            <w:r w:rsidRPr="001E7BE3">
              <w:rPr>
                <w:szCs w:val="28"/>
              </w:rPr>
              <w:t>.</w:t>
            </w:r>
          </w:p>
        </w:tc>
      </w:tr>
      <w:tr w:rsidR="00F22471" w:rsidRPr="001E7BE3" w:rsidTr="003124BE">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1E7BE3" w:rsidRDefault="00F22471" w:rsidP="001E7BE3">
            <w:pPr>
              <w:jc w:val="both"/>
              <w:rPr>
                <w:rFonts w:eastAsia="Times New Roman"/>
                <w:sz w:val="28"/>
                <w:szCs w:val="28"/>
                <w:lang w:val="lv-LV" w:eastAsia="lv-LV"/>
              </w:rPr>
            </w:pPr>
            <w:r w:rsidRPr="001E7BE3">
              <w:rPr>
                <w:rFonts w:eastAsia="Times New Roman"/>
                <w:sz w:val="28"/>
                <w:szCs w:val="28"/>
                <w:lang w:val="lv-LV" w:eastAsia="lv-LV"/>
              </w:rPr>
              <w:t>7.</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1E7BE3" w:rsidRDefault="00F22471" w:rsidP="001E7BE3">
            <w:pPr>
              <w:jc w:val="both"/>
              <w:rPr>
                <w:rFonts w:eastAsia="Times New Roman"/>
                <w:sz w:val="28"/>
                <w:szCs w:val="28"/>
                <w:lang w:val="lv-LV" w:eastAsia="lv-LV"/>
              </w:rPr>
            </w:pPr>
            <w:r w:rsidRPr="001E7BE3">
              <w:rPr>
                <w:rFonts w:eastAsia="Times New Roman"/>
                <w:sz w:val="28"/>
                <w:szCs w:val="28"/>
                <w:lang w:val="lv-LV" w:eastAsia="lv-LV"/>
              </w:rPr>
              <w:t>Cita informācija</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F22471" w:rsidRPr="001E7BE3" w:rsidRDefault="00F22471" w:rsidP="001E7BE3">
            <w:pPr>
              <w:ind w:firstLine="720"/>
              <w:jc w:val="both"/>
              <w:rPr>
                <w:rFonts w:eastAsia="Times New Roman"/>
                <w:sz w:val="28"/>
                <w:szCs w:val="28"/>
                <w:lang w:val="lv-LV" w:eastAsia="lv-LV"/>
              </w:rPr>
            </w:pPr>
            <w:r w:rsidRPr="001E7BE3">
              <w:rPr>
                <w:rFonts w:eastAsia="Times New Roman"/>
                <w:sz w:val="28"/>
                <w:szCs w:val="28"/>
                <w:lang w:val="lv-LV" w:eastAsia="lv-LV"/>
              </w:rPr>
              <w:t>Nav.</w:t>
            </w:r>
          </w:p>
        </w:tc>
      </w:tr>
    </w:tbl>
    <w:p w:rsidR="00573C02" w:rsidRPr="001E7BE3" w:rsidRDefault="00573C02" w:rsidP="001E7BE3">
      <w:pPr>
        <w:jc w:val="both"/>
        <w:rPr>
          <w:rFonts w:eastAsia="Times New Roman"/>
          <w:sz w:val="28"/>
          <w:szCs w:val="28"/>
          <w:lang w:val="lv-LV" w:eastAsia="lv-LV"/>
        </w:rPr>
      </w:pPr>
    </w:p>
    <w:tbl>
      <w:tblPr>
        <w:tblW w:w="4887" w:type="pct"/>
        <w:tblInd w:w="105" w:type="dxa"/>
        <w:tblBorders>
          <w:top w:val="thickThinSmallGap" w:sz="12" w:space="0" w:color="BFBFBF"/>
          <w:left w:val="thickThinSmallGap" w:sz="12" w:space="0" w:color="BFBFBF"/>
          <w:bottom w:val="thickThinSmallGap" w:sz="12" w:space="0" w:color="BFBFBF"/>
          <w:right w:val="thickThinSmallGap" w:sz="12" w:space="0" w:color="BFBFBF"/>
          <w:insideH w:val="thickThinSmallGap" w:sz="12" w:space="0" w:color="BFBFBF"/>
          <w:insideV w:val="thickThinSmallGap" w:sz="12" w:space="0" w:color="BFBFBF"/>
        </w:tblBorders>
        <w:tblLayout w:type="fixed"/>
        <w:tblCellMar>
          <w:top w:w="105" w:type="dxa"/>
          <w:left w:w="105" w:type="dxa"/>
          <w:bottom w:w="105" w:type="dxa"/>
          <w:right w:w="105" w:type="dxa"/>
        </w:tblCellMar>
        <w:tblLook w:val="04A0" w:firstRow="1" w:lastRow="0" w:firstColumn="1" w:lastColumn="0" w:noHBand="0" w:noVBand="1"/>
      </w:tblPr>
      <w:tblGrid>
        <w:gridCol w:w="1702"/>
        <w:gridCol w:w="1607"/>
        <w:gridCol w:w="1466"/>
        <w:gridCol w:w="1466"/>
        <w:gridCol w:w="1466"/>
        <w:gridCol w:w="1364"/>
      </w:tblGrid>
      <w:tr w:rsidR="00573C02" w:rsidRPr="00BD0B72" w:rsidTr="00BD0B72">
        <w:trPr>
          <w:trHeight w:val="309"/>
        </w:trPr>
        <w:tc>
          <w:tcPr>
            <w:tcW w:w="5000" w:type="pct"/>
            <w:gridSpan w:val="6"/>
            <w:tcBorders>
              <w:top w:val="thickThinSmallGap" w:sz="12" w:space="0" w:color="BFBFBF"/>
              <w:left w:val="thickThinSmallGap" w:sz="12" w:space="0" w:color="BFBFBF"/>
              <w:bottom w:val="thickThinSmallGap" w:sz="12" w:space="0" w:color="BFBFBF"/>
              <w:right w:val="thickThinSmallGap" w:sz="12" w:space="0" w:color="BFBFBF"/>
            </w:tcBorders>
            <w:vAlign w:val="center"/>
            <w:hideMark/>
          </w:tcPr>
          <w:p w:rsidR="00573C02" w:rsidRPr="00BD0B72" w:rsidRDefault="00573C02" w:rsidP="00BD0B72">
            <w:pPr>
              <w:ind w:firstLine="746"/>
              <w:jc w:val="center"/>
              <w:rPr>
                <w:b/>
                <w:sz w:val="28"/>
                <w:szCs w:val="28"/>
                <w:lang w:val="lv-LV"/>
              </w:rPr>
            </w:pPr>
            <w:r w:rsidRPr="00BD0B72">
              <w:rPr>
                <w:b/>
                <w:sz w:val="28"/>
                <w:szCs w:val="28"/>
                <w:lang w:val="lv-LV"/>
              </w:rPr>
              <w:br w:type="page"/>
              <w:t>III. Tiesību akta projekta ietekme uz valsts budžetu un pašvaldību budžetiem</w:t>
            </w:r>
          </w:p>
        </w:tc>
      </w:tr>
      <w:tr w:rsidR="009F7B44" w:rsidRPr="00BD0B72" w:rsidTr="009F7B44">
        <w:trPr>
          <w:trHeight w:val="144"/>
        </w:trPr>
        <w:tc>
          <w:tcPr>
            <w:tcW w:w="938" w:type="pct"/>
            <w:vMerge w:val="restart"/>
            <w:tcBorders>
              <w:top w:val="thickThinSmallGap" w:sz="12" w:space="0" w:color="BFBFBF"/>
              <w:left w:val="thickThinSmallGap" w:sz="12" w:space="0" w:color="BFBFBF"/>
              <w:bottom w:val="thickThinSmallGap" w:sz="12" w:space="0" w:color="BFBFBF"/>
              <w:right w:val="thickThinSmallGap" w:sz="12" w:space="0" w:color="BFBFBF"/>
            </w:tcBorders>
            <w:tcMar>
              <w:top w:w="0" w:type="dxa"/>
              <w:left w:w="108" w:type="dxa"/>
              <w:bottom w:w="0" w:type="dxa"/>
              <w:right w:w="108" w:type="dxa"/>
            </w:tcMar>
            <w:vAlign w:val="center"/>
            <w:hideMark/>
          </w:tcPr>
          <w:p w:rsidR="00573C02" w:rsidRPr="00BD0B72" w:rsidRDefault="00573C02" w:rsidP="00BD0B72">
            <w:pPr>
              <w:pStyle w:val="naisf"/>
              <w:spacing w:before="0" w:after="0"/>
              <w:jc w:val="center"/>
              <w:rPr>
                <w:sz w:val="28"/>
                <w:szCs w:val="28"/>
              </w:rPr>
            </w:pPr>
            <w:r w:rsidRPr="00BD0B72">
              <w:rPr>
                <w:sz w:val="28"/>
                <w:szCs w:val="28"/>
              </w:rPr>
              <w:t>Rādītāji</w:t>
            </w:r>
          </w:p>
        </w:tc>
        <w:tc>
          <w:tcPr>
            <w:tcW w:w="1694" w:type="pct"/>
            <w:gridSpan w:val="2"/>
            <w:vMerge w:val="restart"/>
            <w:tcBorders>
              <w:top w:val="thickThinSmallGap" w:sz="12" w:space="0" w:color="BFBFBF"/>
              <w:left w:val="thickThinSmallGap" w:sz="12" w:space="0" w:color="BFBFBF"/>
              <w:bottom w:val="thickThinSmallGap" w:sz="12" w:space="0" w:color="BFBFBF"/>
              <w:right w:val="thickThinSmallGap" w:sz="12" w:space="0" w:color="BFBFBF"/>
            </w:tcBorders>
            <w:tcMar>
              <w:top w:w="0" w:type="dxa"/>
              <w:left w:w="108" w:type="dxa"/>
              <w:bottom w:w="0" w:type="dxa"/>
              <w:right w:w="108" w:type="dxa"/>
            </w:tcMar>
            <w:vAlign w:val="center"/>
            <w:hideMark/>
          </w:tcPr>
          <w:p w:rsidR="00573C02" w:rsidRPr="00BD0B72" w:rsidRDefault="00573C02" w:rsidP="00BD0B72">
            <w:pPr>
              <w:pStyle w:val="naisf"/>
              <w:spacing w:before="0" w:after="0"/>
              <w:jc w:val="center"/>
              <w:rPr>
                <w:sz w:val="28"/>
                <w:szCs w:val="28"/>
              </w:rPr>
            </w:pPr>
            <w:r w:rsidRPr="00BD0B72">
              <w:rPr>
                <w:sz w:val="28"/>
                <w:szCs w:val="28"/>
              </w:rPr>
              <w:t>2013.</w:t>
            </w:r>
          </w:p>
        </w:tc>
        <w:tc>
          <w:tcPr>
            <w:tcW w:w="2368" w:type="pct"/>
            <w:gridSpan w:val="3"/>
            <w:tcBorders>
              <w:top w:val="thickThinSmallGap" w:sz="12" w:space="0" w:color="BFBFBF"/>
              <w:left w:val="thickThinSmallGap" w:sz="12" w:space="0" w:color="BFBFBF"/>
              <w:bottom w:val="thickThinSmallGap" w:sz="12" w:space="0" w:color="BFBFBF"/>
              <w:right w:val="thickThinSmallGap" w:sz="12" w:space="0" w:color="BFBFBF"/>
            </w:tcBorders>
            <w:tcMar>
              <w:top w:w="0" w:type="dxa"/>
              <w:left w:w="108" w:type="dxa"/>
              <w:bottom w:w="0" w:type="dxa"/>
              <w:right w:w="108" w:type="dxa"/>
            </w:tcMar>
            <w:vAlign w:val="center"/>
            <w:hideMark/>
          </w:tcPr>
          <w:p w:rsidR="00573C02" w:rsidRPr="00BD0B72" w:rsidRDefault="00573C02" w:rsidP="00BD0B72">
            <w:pPr>
              <w:pStyle w:val="naisf"/>
              <w:spacing w:before="0" w:after="0"/>
              <w:jc w:val="center"/>
              <w:rPr>
                <w:i/>
                <w:sz w:val="28"/>
                <w:szCs w:val="28"/>
              </w:rPr>
            </w:pPr>
            <w:r w:rsidRPr="00BD0B72">
              <w:rPr>
                <w:sz w:val="28"/>
                <w:szCs w:val="28"/>
              </w:rPr>
              <w:t>Turpmākie trīs gadi (</w:t>
            </w:r>
            <w:proofErr w:type="spellStart"/>
            <w:r w:rsidRPr="00BD0B72">
              <w:rPr>
                <w:sz w:val="28"/>
                <w:szCs w:val="28"/>
              </w:rPr>
              <w:t>tūkst</w:t>
            </w:r>
            <w:proofErr w:type="spellEnd"/>
            <w:smartTag w:uri="schemas-tilde-lv/tildestengine" w:element="currency2">
              <w:smartTagPr>
                <w:attr w:name="currency_id" w:val="48"/>
                <w:attr w:name="currency_key" w:val="LVL"/>
                <w:attr w:name="currency_value" w:val="."/>
                <w:attr w:name="currency_text" w:val="latu"/>
              </w:smartTagPr>
              <w:r w:rsidRPr="00BD0B72">
                <w:rPr>
                  <w:sz w:val="28"/>
                  <w:szCs w:val="28"/>
                </w:rPr>
                <w:t>. latu</w:t>
              </w:r>
            </w:smartTag>
            <w:r w:rsidRPr="00BD0B72">
              <w:rPr>
                <w:sz w:val="28"/>
                <w:szCs w:val="28"/>
              </w:rPr>
              <w:t>)</w:t>
            </w:r>
          </w:p>
        </w:tc>
      </w:tr>
      <w:tr w:rsidR="009F7B44" w:rsidRPr="00BD0B72" w:rsidTr="009F7B44">
        <w:trPr>
          <w:trHeight w:val="144"/>
        </w:trPr>
        <w:tc>
          <w:tcPr>
            <w:tcW w:w="938" w:type="pct"/>
            <w:vMerge/>
            <w:tcBorders>
              <w:top w:val="thickThinSmallGap" w:sz="12" w:space="0" w:color="BFBFBF"/>
              <w:left w:val="thickThinSmallGap" w:sz="12" w:space="0" w:color="BFBFBF"/>
              <w:bottom w:val="thickThinSmallGap" w:sz="12" w:space="0" w:color="BFBFBF"/>
              <w:right w:val="thickThinSmallGap" w:sz="12" w:space="0" w:color="BFBFBF"/>
            </w:tcBorders>
            <w:vAlign w:val="center"/>
            <w:hideMark/>
          </w:tcPr>
          <w:p w:rsidR="00573C02" w:rsidRPr="00BD0B72" w:rsidRDefault="00573C02" w:rsidP="00BD0B72">
            <w:pPr>
              <w:rPr>
                <w:rFonts w:eastAsia="Times New Roman"/>
                <w:sz w:val="28"/>
                <w:szCs w:val="28"/>
                <w:lang w:val="lv-LV" w:eastAsia="lv-LV"/>
              </w:rPr>
            </w:pPr>
          </w:p>
        </w:tc>
        <w:tc>
          <w:tcPr>
            <w:tcW w:w="1694" w:type="pct"/>
            <w:gridSpan w:val="2"/>
            <w:vMerge/>
            <w:tcBorders>
              <w:top w:val="thickThinSmallGap" w:sz="12" w:space="0" w:color="BFBFBF"/>
              <w:left w:val="thickThinSmallGap" w:sz="12" w:space="0" w:color="BFBFBF"/>
              <w:bottom w:val="thickThinSmallGap" w:sz="12" w:space="0" w:color="BFBFBF"/>
              <w:right w:val="thickThinSmallGap" w:sz="12" w:space="0" w:color="BFBFBF"/>
            </w:tcBorders>
            <w:vAlign w:val="center"/>
            <w:hideMark/>
          </w:tcPr>
          <w:p w:rsidR="00573C02" w:rsidRPr="00BD0B72" w:rsidRDefault="00573C02" w:rsidP="00BD0B72">
            <w:pPr>
              <w:rPr>
                <w:rFonts w:eastAsia="Times New Roman"/>
                <w:sz w:val="28"/>
                <w:szCs w:val="28"/>
                <w:lang w:val="lv-LV" w:eastAsia="lv-LV"/>
              </w:rPr>
            </w:pP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573C02" w:rsidRPr="00BD0B72" w:rsidRDefault="00573C02" w:rsidP="00BD0B72">
            <w:pPr>
              <w:pStyle w:val="naisf"/>
              <w:spacing w:before="0" w:after="0"/>
              <w:jc w:val="center"/>
              <w:rPr>
                <w:i/>
                <w:sz w:val="28"/>
                <w:szCs w:val="28"/>
              </w:rPr>
            </w:pPr>
            <w:r w:rsidRPr="00BD0B72">
              <w:rPr>
                <w:bCs/>
                <w:sz w:val="28"/>
                <w:szCs w:val="28"/>
              </w:rPr>
              <w:t>2014.</w:t>
            </w: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573C02" w:rsidRPr="00BD0B72" w:rsidRDefault="00573C02" w:rsidP="00BD0B72">
            <w:pPr>
              <w:pStyle w:val="naisf"/>
              <w:spacing w:before="0" w:after="0"/>
              <w:rPr>
                <w:i/>
                <w:sz w:val="28"/>
                <w:szCs w:val="28"/>
              </w:rPr>
            </w:pPr>
            <w:r w:rsidRPr="00BD0B72">
              <w:rPr>
                <w:bCs/>
                <w:sz w:val="28"/>
                <w:szCs w:val="28"/>
              </w:rPr>
              <w:t>2015.</w:t>
            </w:r>
          </w:p>
        </w:tc>
        <w:tc>
          <w:tcPr>
            <w:tcW w:w="75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573C02" w:rsidRPr="00BD0B72" w:rsidRDefault="00573C02" w:rsidP="00BD0B72">
            <w:pPr>
              <w:pStyle w:val="naisf"/>
              <w:spacing w:before="0" w:after="0"/>
              <w:jc w:val="center"/>
              <w:rPr>
                <w:i/>
                <w:sz w:val="28"/>
                <w:szCs w:val="28"/>
              </w:rPr>
            </w:pPr>
            <w:r w:rsidRPr="00BD0B72">
              <w:rPr>
                <w:bCs/>
                <w:sz w:val="28"/>
                <w:szCs w:val="28"/>
              </w:rPr>
              <w:t>2016.</w:t>
            </w:r>
          </w:p>
        </w:tc>
      </w:tr>
      <w:tr w:rsidR="009F7B44" w:rsidRPr="00BD0B72" w:rsidTr="009F7B44">
        <w:trPr>
          <w:trHeight w:val="144"/>
        </w:trPr>
        <w:tc>
          <w:tcPr>
            <w:tcW w:w="938" w:type="pct"/>
            <w:vMerge/>
            <w:tcBorders>
              <w:top w:val="thickThinSmallGap" w:sz="12" w:space="0" w:color="BFBFBF"/>
              <w:left w:val="thickThinSmallGap" w:sz="12" w:space="0" w:color="BFBFBF"/>
              <w:bottom w:val="thickThinSmallGap" w:sz="12" w:space="0" w:color="BFBFBF"/>
              <w:right w:val="thickThinSmallGap" w:sz="12" w:space="0" w:color="BFBFBF"/>
            </w:tcBorders>
            <w:vAlign w:val="center"/>
            <w:hideMark/>
          </w:tcPr>
          <w:p w:rsidR="00573C02" w:rsidRPr="00BD0B72" w:rsidRDefault="00573C02" w:rsidP="00BD0B72">
            <w:pPr>
              <w:rPr>
                <w:rFonts w:eastAsia="Times New Roman"/>
                <w:sz w:val="28"/>
                <w:szCs w:val="28"/>
                <w:lang w:val="lv-LV" w:eastAsia="lv-LV"/>
              </w:rPr>
            </w:pPr>
          </w:p>
        </w:tc>
        <w:tc>
          <w:tcPr>
            <w:tcW w:w="886"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573C02" w:rsidRPr="00BD0B72" w:rsidRDefault="00573C02" w:rsidP="00BD0B72">
            <w:pPr>
              <w:pStyle w:val="naisf"/>
              <w:spacing w:before="0" w:after="0"/>
              <w:ind w:firstLine="0"/>
              <w:jc w:val="center"/>
              <w:rPr>
                <w:i/>
                <w:sz w:val="28"/>
                <w:szCs w:val="28"/>
              </w:rPr>
            </w:pPr>
            <w:r w:rsidRPr="00BD0B72">
              <w:rPr>
                <w:sz w:val="28"/>
                <w:szCs w:val="28"/>
              </w:rPr>
              <w:t>Saskaņā ar valsts budžetu kārtējam gadam</w:t>
            </w: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573C02" w:rsidRPr="00BD0B72" w:rsidRDefault="00573C02" w:rsidP="00BD0B72">
            <w:pPr>
              <w:pStyle w:val="naisf"/>
              <w:spacing w:before="0" w:after="0"/>
              <w:ind w:firstLine="0"/>
              <w:jc w:val="center"/>
              <w:rPr>
                <w:i/>
                <w:sz w:val="28"/>
                <w:szCs w:val="28"/>
              </w:rPr>
            </w:pPr>
            <w:r w:rsidRPr="00BD0B72">
              <w:rPr>
                <w:sz w:val="28"/>
                <w:szCs w:val="28"/>
              </w:rPr>
              <w:t>Izmaiņas kārtējā gadā, salīdzinot ar budžetu kārtējam gadam</w:t>
            </w: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573C02" w:rsidRPr="00BD0B72" w:rsidRDefault="00573C02" w:rsidP="00BD0B72">
            <w:pPr>
              <w:pStyle w:val="naisf"/>
              <w:spacing w:before="0" w:after="0"/>
              <w:ind w:firstLine="0"/>
              <w:jc w:val="center"/>
              <w:rPr>
                <w:i/>
                <w:sz w:val="28"/>
                <w:szCs w:val="28"/>
              </w:rPr>
            </w:pPr>
            <w:r w:rsidRPr="00BD0B72">
              <w:rPr>
                <w:sz w:val="28"/>
                <w:szCs w:val="28"/>
              </w:rPr>
              <w:t>Izmaiņas, salīdzinot ar kārtējo (n) gadu</w:t>
            </w: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573C02" w:rsidRPr="00BD0B72" w:rsidRDefault="00573C02" w:rsidP="00BD0B72">
            <w:pPr>
              <w:pStyle w:val="naisf"/>
              <w:spacing w:before="0" w:after="0"/>
              <w:ind w:firstLine="0"/>
              <w:jc w:val="center"/>
              <w:rPr>
                <w:i/>
                <w:sz w:val="28"/>
                <w:szCs w:val="28"/>
              </w:rPr>
            </w:pPr>
            <w:r w:rsidRPr="00BD0B72">
              <w:rPr>
                <w:sz w:val="28"/>
                <w:szCs w:val="28"/>
              </w:rPr>
              <w:t>Izmaiņas, salīdzinot ar kārtējo (n) gadu</w:t>
            </w:r>
          </w:p>
        </w:tc>
        <w:tc>
          <w:tcPr>
            <w:tcW w:w="75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573C02" w:rsidRPr="00BD0B72" w:rsidRDefault="00573C02" w:rsidP="00BD0B72">
            <w:pPr>
              <w:pStyle w:val="naisf"/>
              <w:spacing w:before="0" w:after="0"/>
              <w:ind w:firstLine="0"/>
              <w:jc w:val="center"/>
              <w:rPr>
                <w:i/>
                <w:sz w:val="28"/>
                <w:szCs w:val="28"/>
              </w:rPr>
            </w:pPr>
            <w:r w:rsidRPr="00BD0B72">
              <w:rPr>
                <w:sz w:val="28"/>
                <w:szCs w:val="28"/>
              </w:rPr>
              <w:t>Izmaiņas, salīdzinot ar kārtējo (n) gadu</w:t>
            </w:r>
          </w:p>
        </w:tc>
      </w:tr>
      <w:tr w:rsidR="009F7B44" w:rsidRPr="00BD0B72" w:rsidTr="009F7B44">
        <w:trPr>
          <w:trHeight w:val="23"/>
        </w:trPr>
        <w:tc>
          <w:tcPr>
            <w:tcW w:w="93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573C02" w:rsidRPr="00BD0B72" w:rsidRDefault="00573C02" w:rsidP="00BD0B72">
            <w:pPr>
              <w:pStyle w:val="naisf"/>
              <w:spacing w:before="0" w:after="0"/>
              <w:jc w:val="center"/>
              <w:rPr>
                <w:bCs/>
                <w:sz w:val="28"/>
                <w:szCs w:val="28"/>
              </w:rPr>
            </w:pPr>
            <w:r w:rsidRPr="00BD0B72">
              <w:rPr>
                <w:bCs/>
                <w:sz w:val="28"/>
                <w:szCs w:val="28"/>
              </w:rPr>
              <w:t>1</w:t>
            </w:r>
          </w:p>
        </w:tc>
        <w:tc>
          <w:tcPr>
            <w:tcW w:w="886"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573C02" w:rsidRPr="00BD0B72" w:rsidRDefault="00573C02" w:rsidP="00BD0B72">
            <w:pPr>
              <w:pStyle w:val="naisf"/>
              <w:spacing w:before="0" w:after="0"/>
              <w:jc w:val="center"/>
              <w:rPr>
                <w:bCs/>
                <w:sz w:val="28"/>
                <w:szCs w:val="28"/>
              </w:rPr>
            </w:pPr>
            <w:r w:rsidRPr="00BD0B72">
              <w:rPr>
                <w:bCs/>
                <w:sz w:val="28"/>
                <w:szCs w:val="28"/>
              </w:rPr>
              <w:t>2</w:t>
            </w: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573C02" w:rsidRPr="00BD0B72" w:rsidRDefault="00573C02" w:rsidP="00BD0B72">
            <w:pPr>
              <w:pStyle w:val="naisf"/>
              <w:spacing w:before="0" w:after="0"/>
              <w:jc w:val="center"/>
              <w:rPr>
                <w:bCs/>
                <w:sz w:val="28"/>
                <w:szCs w:val="28"/>
              </w:rPr>
            </w:pPr>
            <w:r w:rsidRPr="00BD0B72">
              <w:rPr>
                <w:bCs/>
                <w:sz w:val="28"/>
                <w:szCs w:val="28"/>
              </w:rPr>
              <w:t>3</w:t>
            </w: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573C02" w:rsidRPr="00BD0B72" w:rsidRDefault="00573C02" w:rsidP="00BD0B72">
            <w:pPr>
              <w:pStyle w:val="naisf"/>
              <w:spacing w:before="0" w:after="0"/>
              <w:jc w:val="center"/>
              <w:rPr>
                <w:bCs/>
                <w:sz w:val="28"/>
                <w:szCs w:val="28"/>
              </w:rPr>
            </w:pPr>
            <w:r w:rsidRPr="00BD0B72">
              <w:rPr>
                <w:bCs/>
                <w:sz w:val="28"/>
                <w:szCs w:val="28"/>
              </w:rPr>
              <w:t>4</w:t>
            </w: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573C02" w:rsidRPr="00BD0B72" w:rsidRDefault="00573C02" w:rsidP="00BD0B72">
            <w:pPr>
              <w:pStyle w:val="naisf"/>
              <w:spacing w:before="0" w:after="0"/>
              <w:jc w:val="center"/>
              <w:rPr>
                <w:bCs/>
                <w:sz w:val="28"/>
                <w:szCs w:val="28"/>
              </w:rPr>
            </w:pPr>
            <w:r w:rsidRPr="00BD0B72">
              <w:rPr>
                <w:bCs/>
                <w:sz w:val="28"/>
                <w:szCs w:val="28"/>
              </w:rPr>
              <w:t>5</w:t>
            </w:r>
          </w:p>
        </w:tc>
        <w:tc>
          <w:tcPr>
            <w:tcW w:w="75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573C02" w:rsidRPr="00BD0B72" w:rsidRDefault="00573C02" w:rsidP="00BD0B72">
            <w:pPr>
              <w:pStyle w:val="naisf"/>
              <w:spacing w:before="0" w:after="0"/>
              <w:jc w:val="center"/>
              <w:rPr>
                <w:bCs/>
                <w:sz w:val="28"/>
                <w:szCs w:val="28"/>
              </w:rPr>
            </w:pPr>
            <w:r w:rsidRPr="00BD0B72">
              <w:rPr>
                <w:bCs/>
                <w:sz w:val="28"/>
                <w:szCs w:val="28"/>
              </w:rPr>
              <w:t>6</w:t>
            </w:r>
          </w:p>
        </w:tc>
      </w:tr>
      <w:tr w:rsidR="009F7B44" w:rsidRPr="00BD0B72" w:rsidTr="00BD0B72">
        <w:trPr>
          <w:trHeight w:val="282"/>
        </w:trPr>
        <w:tc>
          <w:tcPr>
            <w:tcW w:w="93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573C02" w:rsidRPr="00BD0B72" w:rsidRDefault="00573C02" w:rsidP="00BD0B72">
            <w:pPr>
              <w:pStyle w:val="naisf"/>
              <w:spacing w:before="0" w:after="0"/>
              <w:ind w:left="-108" w:firstLine="0"/>
              <w:rPr>
                <w:i/>
                <w:sz w:val="28"/>
                <w:szCs w:val="28"/>
              </w:rPr>
            </w:pPr>
            <w:r w:rsidRPr="00BD0B72">
              <w:rPr>
                <w:sz w:val="28"/>
                <w:szCs w:val="28"/>
              </w:rPr>
              <w:t>1. Budžeta ieņēmumi:</w:t>
            </w:r>
          </w:p>
        </w:tc>
        <w:tc>
          <w:tcPr>
            <w:tcW w:w="886"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573C02" w:rsidRPr="00BD0B72" w:rsidRDefault="00573C02" w:rsidP="00BD0B72">
            <w:pPr>
              <w:pStyle w:val="naisf"/>
              <w:spacing w:before="0" w:after="0"/>
              <w:ind w:firstLine="0"/>
              <w:jc w:val="left"/>
              <w:rPr>
                <w:i/>
                <w:sz w:val="28"/>
                <w:szCs w:val="28"/>
              </w:rPr>
            </w:pP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573C02" w:rsidRPr="00BD0B72" w:rsidRDefault="00573C02" w:rsidP="00BD0B72">
            <w:pPr>
              <w:pStyle w:val="naisf"/>
              <w:spacing w:before="0" w:after="0"/>
              <w:ind w:firstLine="0"/>
              <w:jc w:val="left"/>
              <w:rPr>
                <w:i/>
                <w:sz w:val="28"/>
                <w:szCs w:val="28"/>
              </w:rPr>
            </w:pP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573C02" w:rsidRPr="00BD0B72" w:rsidRDefault="00573C02" w:rsidP="00BD0B72">
            <w:pPr>
              <w:pStyle w:val="naisf"/>
              <w:spacing w:before="0" w:after="0"/>
              <w:ind w:firstLine="0"/>
              <w:jc w:val="left"/>
              <w:rPr>
                <w:i/>
                <w:sz w:val="28"/>
                <w:szCs w:val="28"/>
              </w:rPr>
            </w:pP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573C02" w:rsidRPr="00BD0B72" w:rsidRDefault="00573C02" w:rsidP="00BD0B72">
            <w:pPr>
              <w:pStyle w:val="naisf"/>
              <w:spacing w:before="0" w:after="0"/>
              <w:ind w:firstLine="0"/>
              <w:jc w:val="left"/>
              <w:rPr>
                <w:i/>
                <w:sz w:val="28"/>
                <w:szCs w:val="28"/>
              </w:rPr>
            </w:pPr>
          </w:p>
        </w:tc>
        <w:tc>
          <w:tcPr>
            <w:tcW w:w="75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573C02" w:rsidRPr="00BD0B72" w:rsidRDefault="00573C02" w:rsidP="00BD0B72">
            <w:pPr>
              <w:pStyle w:val="naisf"/>
              <w:spacing w:before="0" w:after="0"/>
              <w:ind w:firstLine="0"/>
              <w:jc w:val="left"/>
              <w:rPr>
                <w:i/>
                <w:sz w:val="28"/>
                <w:szCs w:val="28"/>
              </w:rPr>
            </w:pPr>
          </w:p>
        </w:tc>
      </w:tr>
      <w:tr w:rsidR="009F7B44" w:rsidRPr="00BD0B72" w:rsidTr="009F7B44">
        <w:trPr>
          <w:trHeight w:val="144"/>
        </w:trPr>
        <w:tc>
          <w:tcPr>
            <w:tcW w:w="93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573C02" w:rsidRPr="00BD0B72" w:rsidRDefault="00573C02" w:rsidP="00BD0B72">
            <w:pPr>
              <w:pStyle w:val="naisf"/>
              <w:spacing w:before="0" w:after="0"/>
              <w:ind w:left="-108" w:firstLine="0"/>
              <w:rPr>
                <w:i/>
                <w:sz w:val="28"/>
                <w:szCs w:val="28"/>
              </w:rPr>
            </w:pPr>
            <w:r w:rsidRPr="00BD0B72">
              <w:rPr>
                <w:sz w:val="28"/>
                <w:szCs w:val="28"/>
              </w:rPr>
              <w:t xml:space="preserve">1.1. valsts pamatbudžets, tai skaitā </w:t>
            </w:r>
            <w:r w:rsidRPr="00BD0B72">
              <w:rPr>
                <w:sz w:val="28"/>
                <w:szCs w:val="28"/>
              </w:rPr>
              <w:lastRenderedPageBreak/>
              <w:t>ieņēmumi no maksas pakalpojumiem un citi pašu ieņēmumi</w:t>
            </w:r>
          </w:p>
        </w:tc>
        <w:tc>
          <w:tcPr>
            <w:tcW w:w="886"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573C02" w:rsidRPr="00BD0B72" w:rsidRDefault="00573C02" w:rsidP="00BD0B72">
            <w:pPr>
              <w:pStyle w:val="naisf"/>
              <w:spacing w:before="0" w:after="0"/>
              <w:ind w:firstLine="0"/>
              <w:jc w:val="left"/>
              <w:rPr>
                <w:sz w:val="28"/>
                <w:szCs w:val="28"/>
              </w:rPr>
            </w:pPr>
            <w:r w:rsidRPr="00BD0B72">
              <w:rPr>
                <w:sz w:val="28"/>
                <w:szCs w:val="28"/>
              </w:rPr>
              <w:lastRenderedPageBreak/>
              <w:t>Nav attiecināms</w:t>
            </w: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573C02" w:rsidRPr="00BD0B72" w:rsidRDefault="00573C02" w:rsidP="00BD0B72">
            <w:pPr>
              <w:pStyle w:val="naisf"/>
              <w:spacing w:before="0" w:after="0"/>
              <w:ind w:firstLine="0"/>
              <w:jc w:val="left"/>
              <w:rPr>
                <w:sz w:val="28"/>
                <w:szCs w:val="28"/>
              </w:rPr>
            </w:pPr>
            <w:r w:rsidRPr="00BD0B72">
              <w:rPr>
                <w:sz w:val="28"/>
                <w:szCs w:val="28"/>
              </w:rPr>
              <w:t>Nav attiecināms</w:t>
            </w: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573C02" w:rsidRPr="00BD0B72" w:rsidRDefault="00573C02" w:rsidP="00BD0B72">
            <w:pPr>
              <w:pStyle w:val="naisf"/>
              <w:spacing w:before="0" w:after="0"/>
              <w:ind w:firstLine="0"/>
              <w:jc w:val="left"/>
              <w:rPr>
                <w:sz w:val="28"/>
                <w:szCs w:val="28"/>
              </w:rPr>
            </w:pPr>
            <w:r w:rsidRPr="00BD0B72">
              <w:rPr>
                <w:sz w:val="28"/>
                <w:szCs w:val="28"/>
              </w:rPr>
              <w:t>Nav attiecināms</w:t>
            </w: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573C02" w:rsidRPr="00BD0B72" w:rsidRDefault="00573C02" w:rsidP="00BD0B72">
            <w:pPr>
              <w:pStyle w:val="naisf"/>
              <w:spacing w:before="0" w:after="0"/>
              <w:ind w:firstLine="0"/>
              <w:jc w:val="left"/>
              <w:rPr>
                <w:sz w:val="28"/>
                <w:szCs w:val="28"/>
              </w:rPr>
            </w:pPr>
            <w:r w:rsidRPr="00BD0B72">
              <w:rPr>
                <w:sz w:val="28"/>
                <w:szCs w:val="28"/>
              </w:rPr>
              <w:t>Nav attiecināms</w:t>
            </w:r>
          </w:p>
        </w:tc>
        <w:tc>
          <w:tcPr>
            <w:tcW w:w="75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573C02" w:rsidRPr="00BD0B72" w:rsidRDefault="00573C02" w:rsidP="00BD0B72">
            <w:pPr>
              <w:pStyle w:val="naisf"/>
              <w:spacing w:before="0" w:after="0"/>
              <w:ind w:firstLine="0"/>
              <w:jc w:val="left"/>
              <w:rPr>
                <w:sz w:val="28"/>
                <w:szCs w:val="28"/>
              </w:rPr>
            </w:pPr>
            <w:r w:rsidRPr="00BD0B72">
              <w:rPr>
                <w:sz w:val="28"/>
                <w:szCs w:val="28"/>
              </w:rPr>
              <w:t>Nav attiecināms</w:t>
            </w:r>
          </w:p>
        </w:tc>
      </w:tr>
      <w:tr w:rsidR="009F7B44" w:rsidRPr="00BD0B72" w:rsidTr="009F7B44">
        <w:trPr>
          <w:trHeight w:val="144"/>
        </w:trPr>
        <w:tc>
          <w:tcPr>
            <w:tcW w:w="93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573C02" w:rsidRPr="00BD0B72" w:rsidRDefault="00573C02" w:rsidP="00BD0B72">
            <w:pPr>
              <w:pStyle w:val="naisf"/>
              <w:spacing w:before="0" w:after="0"/>
              <w:ind w:left="-108" w:firstLine="0"/>
              <w:rPr>
                <w:i/>
                <w:sz w:val="28"/>
                <w:szCs w:val="28"/>
              </w:rPr>
            </w:pPr>
            <w:r w:rsidRPr="00BD0B72">
              <w:rPr>
                <w:sz w:val="28"/>
                <w:szCs w:val="28"/>
              </w:rPr>
              <w:lastRenderedPageBreak/>
              <w:t>1.2. valsts speciālais budžets</w:t>
            </w:r>
          </w:p>
        </w:tc>
        <w:tc>
          <w:tcPr>
            <w:tcW w:w="886"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573C02" w:rsidRPr="00BD0B72" w:rsidRDefault="00573C02" w:rsidP="00BD0B72">
            <w:pPr>
              <w:pStyle w:val="naisf"/>
              <w:spacing w:before="0" w:after="0"/>
              <w:ind w:firstLine="0"/>
              <w:jc w:val="left"/>
              <w:rPr>
                <w:i/>
                <w:sz w:val="28"/>
                <w:szCs w:val="28"/>
              </w:rPr>
            </w:pP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573C02" w:rsidRPr="00BD0B72" w:rsidRDefault="00573C02" w:rsidP="00BD0B72">
            <w:pPr>
              <w:pStyle w:val="naisf"/>
              <w:spacing w:before="0" w:after="0"/>
              <w:ind w:firstLine="0"/>
              <w:jc w:val="left"/>
              <w:rPr>
                <w:i/>
                <w:sz w:val="28"/>
                <w:szCs w:val="28"/>
              </w:rPr>
            </w:pP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573C02" w:rsidRPr="00BD0B72" w:rsidRDefault="00573C02" w:rsidP="00BD0B72">
            <w:pPr>
              <w:pStyle w:val="naisf"/>
              <w:spacing w:before="0" w:after="0"/>
              <w:ind w:firstLine="0"/>
              <w:jc w:val="left"/>
              <w:rPr>
                <w:i/>
                <w:sz w:val="28"/>
                <w:szCs w:val="28"/>
              </w:rPr>
            </w:pP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573C02" w:rsidRPr="00BD0B72" w:rsidRDefault="00573C02" w:rsidP="00BD0B72">
            <w:pPr>
              <w:pStyle w:val="naisf"/>
              <w:spacing w:before="0" w:after="0"/>
              <w:ind w:firstLine="0"/>
              <w:jc w:val="left"/>
              <w:rPr>
                <w:i/>
                <w:sz w:val="28"/>
                <w:szCs w:val="28"/>
              </w:rPr>
            </w:pPr>
          </w:p>
        </w:tc>
        <w:tc>
          <w:tcPr>
            <w:tcW w:w="75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573C02" w:rsidRPr="00BD0B72" w:rsidRDefault="00573C02" w:rsidP="00BD0B72">
            <w:pPr>
              <w:pStyle w:val="naisf"/>
              <w:spacing w:before="0" w:after="0"/>
              <w:ind w:firstLine="0"/>
              <w:jc w:val="left"/>
              <w:rPr>
                <w:i/>
                <w:sz w:val="28"/>
                <w:szCs w:val="28"/>
              </w:rPr>
            </w:pPr>
          </w:p>
        </w:tc>
      </w:tr>
      <w:tr w:rsidR="009F7B44" w:rsidRPr="00BD0B72" w:rsidTr="009F7B44">
        <w:trPr>
          <w:trHeight w:val="144"/>
        </w:trPr>
        <w:tc>
          <w:tcPr>
            <w:tcW w:w="93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573C02" w:rsidRPr="00BD0B72" w:rsidRDefault="00573C02" w:rsidP="00BD0B72">
            <w:pPr>
              <w:pStyle w:val="naisf"/>
              <w:spacing w:before="0" w:after="0"/>
              <w:ind w:left="-108" w:firstLine="0"/>
              <w:rPr>
                <w:i/>
                <w:sz w:val="28"/>
                <w:szCs w:val="28"/>
              </w:rPr>
            </w:pPr>
            <w:r w:rsidRPr="00BD0B72">
              <w:rPr>
                <w:sz w:val="28"/>
                <w:szCs w:val="28"/>
              </w:rPr>
              <w:t>1.3. pašvaldību budžets</w:t>
            </w:r>
          </w:p>
        </w:tc>
        <w:tc>
          <w:tcPr>
            <w:tcW w:w="886"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573C02" w:rsidRPr="00BD0B72" w:rsidRDefault="00573C02" w:rsidP="00BD0B72">
            <w:pPr>
              <w:pStyle w:val="naisf"/>
              <w:spacing w:before="0" w:after="0"/>
              <w:ind w:firstLine="0"/>
              <w:jc w:val="left"/>
              <w:rPr>
                <w:i/>
                <w:sz w:val="28"/>
                <w:szCs w:val="28"/>
              </w:rPr>
            </w:pP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573C02" w:rsidRPr="00BD0B72" w:rsidRDefault="00573C02" w:rsidP="00BD0B72">
            <w:pPr>
              <w:pStyle w:val="naisf"/>
              <w:spacing w:before="0" w:after="0"/>
              <w:ind w:firstLine="0"/>
              <w:jc w:val="left"/>
              <w:rPr>
                <w:i/>
                <w:sz w:val="28"/>
                <w:szCs w:val="28"/>
              </w:rPr>
            </w:pP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573C02" w:rsidRPr="00BD0B72" w:rsidRDefault="00573C02" w:rsidP="00BD0B72">
            <w:pPr>
              <w:pStyle w:val="naisf"/>
              <w:spacing w:before="0" w:after="0"/>
              <w:ind w:firstLine="0"/>
              <w:jc w:val="left"/>
              <w:rPr>
                <w:i/>
                <w:sz w:val="28"/>
                <w:szCs w:val="28"/>
              </w:rPr>
            </w:pP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573C02" w:rsidRPr="00BD0B72" w:rsidRDefault="00573C02" w:rsidP="00BD0B72">
            <w:pPr>
              <w:pStyle w:val="naisf"/>
              <w:spacing w:before="0" w:after="0"/>
              <w:ind w:firstLine="0"/>
              <w:jc w:val="left"/>
              <w:rPr>
                <w:i/>
                <w:sz w:val="28"/>
                <w:szCs w:val="28"/>
              </w:rPr>
            </w:pPr>
          </w:p>
        </w:tc>
        <w:tc>
          <w:tcPr>
            <w:tcW w:w="75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573C02" w:rsidRPr="00BD0B72" w:rsidRDefault="00573C02" w:rsidP="00BD0B72">
            <w:pPr>
              <w:pStyle w:val="naisf"/>
              <w:spacing w:before="0" w:after="0"/>
              <w:ind w:firstLine="0"/>
              <w:jc w:val="left"/>
              <w:rPr>
                <w:i/>
                <w:sz w:val="28"/>
                <w:szCs w:val="28"/>
              </w:rPr>
            </w:pPr>
          </w:p>
        </w:tc>
      </w:tr>
      <w:tr w:rsidR="009F7B44" w:rsidRPr="00BD0B72" w:rsidTr="009F7B44">
        <w:trPr>
          <w:trHeight w:val="144"/>
        </w:trPr>
        <w:tc>
          <w:tcPr>
            <w:tcW w:w="93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573C02" w:rsidRPr="00BD0B72" w:rsidRDefault="00573C02" w:rsidP="00BD0B72">
            <w:pPr>
              <w:ind w:left="-108"/>
              <w:jc w:val="both"/>
              <w:rPr>
                <w:sz w:val="28"/>
                <w:szCs w:val="28"/>
                <w:lang w:val="lv-LV"/>
              </w:rPr>
            </w:pPr>
            <w:r w:rsidRPr="00BD0B72">
              <w:rPr>
                <w:sz w:val="28"/>
                <w:szCs w:val="28"/>
                <w:lang w:val="lv-LV"/>
              </w:rPr>
              <w:t>2. Budžeta izdevumi:</w:t>
            </w:r>
          </w:p>
        </w:tc>
        <w:tc>
          <w:tcPr>
            <w:tcW w:w="886"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573C02" w:rsidRPr="00BD0B72" w:rsidRDefault="00573C02" w:rsidP="00BD0B72">
            <w:pPr>
              <w:pStyle w:val="naisf"/>
              <w:spacing w:before="0" w:after="0"/>
              <w:ind w:firstLine="0"/>
              <w:jc w:val="left"/>
              <w:rPr>
                <w:i/>
                <w:sz w:val="28"/>
                <w:szCs w:val="28"/>
              </w:rPr>
            </w:pP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573C02" w:rsidRPr="00BD0B72" w:rsidRDefault="00573C02" w:rsidP="00BD0B72">
            <w:pPr>
              <w:pStyle w:val="naisf"/>
              <w:spacing w:before="0" w:after="0"/>
              <w:ind w:firstLine="0"/>
              <w:jc w:val="left"/>
              <w:rPr>
                <w:i/>
                <w:sz w:val="28"/>
                <w:szCs w:val="28"/>
              </w:rPr>
            </w:pP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573C02" w:rsidRPr="00BD0B72" w:rsidRDefault="00573C02" w:rsidP="00BD0B72">
            <w:pPr>
              <w:pStyle w:val="naisf"/>
              <w:spacing w:before="0" w:after="0"/>
              <w:ind w:firstLine="0"/>
              <w:jc w:val="left"/>
              <w:rPr>
                <w:i/>
                <w:sz w:val="28"/>
                <w:szCs w:val="28"/>
              </w:rPr>
            </w:pP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573C02" w:rsidRPr="00BD0B72" w:rsidRDefault="00573C02" w:rsidP="00BD0B72">
            <w:pPr>
              <w:pStyle w:val="naisf"/>
              <w:spacing w:before="0" w:after="0"/>
              <w:ind w:firstLine="0"/>
              <w:jc w:val="left"/>
              <w:rPr>
                <w:i/>
                <w:sz w:val="28"/>
                <w:szCs w:val="28"/>
              </w:rPr>
            </w:pPr>
          </w:p>
        </w:tc>
        <w:tc>
          <w:tcPr>
            <w:tcW w:w="75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573C02" w:rsidRPr="00BD0B72" w:rsidRDefault="00573C02" w:rsidP="00BD0B72">
            <w:pPr>
              <w:pStyle w:val="naisf"/>
              <w:spacing w:before="0" w:after="0"/>
              <w:ind w:firstLine="0"/>
              <w:jc w:val="left"/>
              <w:rPr>
                <w:i/>
                <w:sz w:val="28"/>
                <w:szCs w:val="28"/>
              </w:rPr>
            </w:pPr>
          </w:p>
        </w:tc>
      </w:tr>
      <w:tr w:rsidR="009F7B44" w:rsidRPr="00BD0B72" w:rsidTr="009F7B44">
        <w:trPr>
          <w:trHeight w:val="144"/>
        </w:trPr>
        <w:tc>
          <w:tcPr>
            <w:tcW w:w="93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573C02" w:rsidRPr="00BD0B72" w:rsidRDefault="00573C02" w:rsidP="00BD0B72">
            <w:pPr>
              <w:ind w:left="-108"/>
              <w:jc w:val="both"/>
              <w:rPr>
                <w:sz w:val="28"/>
                <w:szCs w:val="28"/>
                <w:lang w:val="lv-LV"/>
              </w:rPr>
            </w:pPr>
            <w:r w:rsidRPr="00BD0B72">
              <w:rPr>
                <w:sz w:val="28"/>
                <w:szCs w:val="28"/>
                <w:lang w:val="lv-LV"/>
              </w:rPr>
              <w:t>2.1. valsts pamatbudžets</w:t>
            </w:r>
          </w:p>
        </w:tc>
        <w:tc>
          <w:tcPr>
            <w:tcW w:w="886"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573C02" w:rsidRPr="00BD0B72" w:rsidRDefault="00573C02" w:rsidP="00BD0B72">
            <w:pPr>
              <w:pStyle w:val="naisf"/>
              <w:spacing w:before="0" w:after="0"/>
              <w:ind w:firstLine="0"/>
              <w:jc w:val="left"/>
              <w:rPr>
                <w:sz w:val="28"/>
                <w:szCs w:val="28"/>
              </w:rPr>
            </w:pPr>
            <w:r w:rsidRPr="00BD0B72">
              <w:rPr>
                <w:sz w:val="28"/>
                <w:szCs w:val="28"/>
              </w:rPr>
              <w:t>Nav attiecināms</w:t>
            </w: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573C02" w:rsidRPr="00BD0B72" w:rsidRDefault="00573C02" w:rsidP="00BD0B72">
            <w:pPr>
              <w:pStyle w:val="naisf"/>
              <w:spacing w:before="0" w:after="0"/>
              <w:ind w:firstLine="0"/>
              <w:jc w:val="left"/>
              <w:rPr>
                <w:sz w:val="28"/>
                <w:szCs w:val="28"/>
              </w:rPr>
            </w:pPr>
            <w:r w:rsidRPr="00BD0B72">
              <w:rPr>
                <w:sz w:val="28"/>
                <w:szCs w:val="28"/>
              </w:rPr>
              <w:t>Nav attiecināms</w:t>
            </w: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573C02" w:rsidRPr="00BD0B72" w:rsidRDefault="00573C02" w:rsidP="00BD0B72">
            <w:pPr>
              <w:pStyle w:val="naisf"/>
              <w:spacing w:before="0" w:after="0"/>
              <w:ind w:firstLine="0"/>
              <w:jc w:val="left"/>
              <w:rPr>
                <w:sz w:val="28"/>
                <w:szCs w:val="28"/>
              </w:rPr>
            </w:pPr>
            <w:r w:rsidRPr="00BD0B72">
              <w:rPr>
                <w:sz w:val="28"/>
                <w:szCs w:val="28"/>
              </w:rPr>
              <w:t>Nav attiecināms</w:t>
            </w: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573C02" w:rsidRPr="00BD0B72" w:rsidRDefault="00573C02" w:rsidP="00BD0B72">
            <w:pPr>
              <w:pStyle w:val="naisf"/>
              <w:spacing w:before="0" w:after="0"/>
              <w:ind w:firstLine="0"/>
              <w:jc w:val="left"/>
              <w:rPr>
                <w:sz w:val="28"/>
                <w:szCs w:val="28"/>
              </w:rPr>
            </w:pPr>
            <w:r w:rsidRPr="00BD0B72">
              <w:rPr>
                <w:sz w:val="28"/>
                <w:szCs w:val="28"/>
              </w:rPr>
              <w:t>Nav attiecināms</w:t>
            </w:r>
          </w:p>
        </w:tc>
        <w:tc>
          <w:tcPr>
            <w:tcW w:w="75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573C02" w:rsidRPr="00BD0B72" w:rsidRDefault="00573C02" w:rsidP="00BD0B72">
            <w:pPr>
              <w:pStyle w:val="naisf"/>
              <w:spacing w:before="0" w:after="0"/>
              <w:ind w:firstLine="0"/>
              <w:jc w:val="left"/>
              <w:rPr>
                <w:sz w:val="28"/>
                <w:szCs w:val="28"/>
              </w:rPr>
            </w:pPr>
            <w:r w:rsidRPr="00BD0B72">
              <w:rPr>
                <w:sz w:val="28"/>
                <w:szCs w:val="28"/>
              </w:rPr>
              <w:t>Nav attiecināms</w:t>
            </w:r>
          </w:p>
        </w:tc>
      </w:tr>
      <w:tr w:rsidR="009F7B44" w:rsidRPr="00BD0B72" w:rsidTr="009F7B44">
        <w:trPr>
          <w:trHeight w:val="144"/>
        </w:trPr>
        <w:tc>
          <w:tcPr>
            <w:tcW w:w="93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573C02" w:rsidRPr="00BD0B72" w:rsidRDefault="00573C02" w:rsidP="00BD0B72">
            <w:pPr>
              <w:ind w:left="-108"/>
              <w:jc w:val="both"/>
              <w:rPr>
                <w:sz w:val="28"/>
                <w:szCs w:val="28"/>
                <w:lang w:val="lv-LV"/>
              </w:rPr>
            </w:pPr>
            <w:r w:rsidRPr="00BD0B72">
              <w:rPr>
                <w:sz w:val="28"/>
                <w:szCs w:val="28"/>
                <w:lang w:val="lv-LV"/>
              </w:rPr>
              <w:t>2.2. valsts speciālais budžets</w:t>
            </w:r>
          </w:p>
        </w:tc>
        <w:tc>
          <w:tcPr>
            <w:tcW w:w="886"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573C02" w:rsidRPr="00BD0B72" w:rsidRDefault="00573C02" w:rsidP="00BD0B72">
            <w:pPr>
              <w:pStyle w:val="naisf"/>
              <w:spacing w:before="0" w:after="0"/>
              <w:ind w:firstLine="0"/>
              <w:jc w:val="left"/>
              <w:rPr>
                <w:i/>
                <w:sz w:val="28"/>
                <w:szCs w:val="28"/>
              </w:rPr>
            </w:pP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573C02" w:rsidRPr="00BD0B72" w:rsidRDefault="00573C02" w:rsidP="00BD0B72">
            <w:pPr>
              <w:pStyle w:val="naisf"/>
              <w:spacing w:before="0" w:after="0"/>
              <w:ind w:firstLine="0"/>
              <w:jc w:val="left"/>
              <w:rPr>
                <w:i/>
                <w:sz w:val="28"/>
                <w:szCs w:val="28"/>
              </w:rPr>
            </w:pP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573C02" w:rsidRPr="00BD0B72" w:rsidRDefault="00573C02" w:rsidP="00BD0B72">
            <w:pPr>
              <w:pStyle w:val="naisf"/>
              <w:spacing w:before="0" w:after="0"/>
              <w:ind w:firstLine="0"/>
              <w:jc w:val="left"/>
              <w:rPr>
                <w:i/>
                <w:sz w:val="28"/>
                <w:szCs w:val="28"/>
              </w:rPr>
            </w:pP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573C02" w:rsidRPr="00BD0B72" w:rsidRDefault="00573C02" w:rsidP="00BD0B72">
            <w:pPr>
              <w:pStyle w:val="naisf"/>
              <w:spacing w:before="0" w:after="0"/>
              <w:ind w:firstLine="0"/>
              <w:jc w:val="left"/>
              <w:rPr>
                <w:i/>
                <w:sz w:val="28"/>
                <w:szCs w:val="28"/>
              </w:rPr>
            </w:pPr>
          </w:p>
        </w:tc>
        <w:tc>
          <w:tcPr>
            <w:tcW w:w="75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573C02" w:rsidRPr="00BD0B72" w:rsidRDefault="00573C02" w:rsidP="00BD0B72">
            <w:pPr>
              <w:pStyle w:val="naisf"/>
              <w:spacing w:before="0" w:after="0"/>
              <w:ind w:firstLine="0"/>
              <w:jc w:val="left"/>
              <w:rPr>
                <w:i/>
                <w:sz w:val="28"/>
                <w:szCs w:val="28"/>
              </w:rPr>
            </w:pPr>
          </w:p>
        </w:tc>
      </w:tr>
      <w:tr w:rsidR="009F7B44" w:rsidRPr="00BD0B72" w:rsidTr="009F7B44">
        <w:trPr>
          <w:trHeight w:val="144"/>
        </w:trPr>
        <w:tc>
          <w:tcPr>
            <w:tcW w:w="93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573C02" w:rsidRPr="00BD0B72" w:rsidRDefault="00573C02" w:rsidP="00BD0B72">
            <w:pPr>
              <w:ind w:left="-108"/>
              <w:jc w:val="both"/>
              <w:rPr>
                <w:sz w:val="28"/>
                <w:szCs w:val="28"/>
                <w:lang w:val="lv-LV"/>
              </w:rPr>
            </w:pPr>
            <w:r w:rsidRPr="00BD0B72">
              <w:rPr>
                <w:sz w:val="28"/>
                <w:szCs w:val="28"/>
                <w:lang w:val="lv-LV"/>
              </w:rPr>
              <w:t xml:space="preserve">2.3. pašvaldību budžets </w:t>
            </w:r>
          </w:p>
        </w:tc>
        <w:tc>
          <w:tcPr>
            <w:tcW w:w="886"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573C02" w:rsidRPr="00BD0B72" w:rsidRDefault="00573C02" w:rsidP="00BD0B72">
            <w:pPr>
              <w:pStyle w:val="naisf"/>
              <w:spacing w:before="0" w:after="0"/>
              <w:ind w:firstLine="0"/>
              <w:jc w:val="left"/>
              <w:rPr>
                <w:i/>
                <w:sz w:val="28"/>
                <w:szCs w:val="28"/>
              </w:rPr>
            </w:pP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573C02" w:rsidRPr="00BD0B72" w:rsidRDefault="00573C02" w:rsidP="00BD0B72">
            <w:pPr>
              <w:pStyle w:val="naisf"/>
              <w:spacing w:before="0" w:after="0"/>
              <w:ind w:firstLine="0"/>
              <w:jc w:val="left"/>
              <w:rPr>
                <w:i/>
                <w:sz w:val="28"/>
                <w:szCs w:val="28"/>
              </w:rPr>
            </w:pP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573C02" w:rsidRPr="00BD0B72" w:rsidRDefault="00573C02" w:rsidP="00BD0B72">
            <w:pPr>
              <w:pStyle w:val="naisf"/>
              <w:spacing w:before="0" w:after="0"/>
              <w:ind w:firstLine="0"/>
              <w:jc w:val="left"/>
              <w:rPr>
                <w:i/>
                <w:sz w:val="28"/>
                <w:szCs w:val="28"/>
              </w:rPr>
            </w:pP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573C02" w:rsidRPr="00BD0B72" w:rsidRDefault="00573C02" w:rsidP="00BD0B72">
            <w:pPr>
              <w:pStyle w:val="naisf"/>
              <w:spacing w:before="0" w:after="0"/>
              <w:ind w:firstLine="0"/>
              <w:jc w:val="left"/>
              <w:rPr>
                <w:i/>
                <w:sz w:val="28"/>
                <w:szCs w:val="28"/>
              </w:rPr>
            </w:pPr>
          </w:p>
        </w:tc>
        <w:tc>
          <w:tcPr>
            <w:tcW w:w="75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573C02" w:rsidRPr="00BD0B72" w:rsidRDefault="00573C02" w:rsidP="00BD0B72">
            <w:pPr>
              <w:pStyle w:val="naisf"/>
              <w:spacing w:before="0" w:after="0"/>
              <w:ind w:firstLine="0"/>
              <w:jc w:val="left"/>
              <w:rPr>
                <w:i/>
                <w:sz w:val="28"/>
                <w:szCs w:val="28"/>
              </w:rPr>
            </w:pPr>
          </w:p>
        </w:tc>
      </w:tr>
      <w:tr w:rsidR="009F7B44" w:rsidRPr="00BD0B72" w:rsidTr="009F7B44">
        <w:trPr>
          <w:trHeight w:val="144"/>
        </w:trPr>
        <w:tc>
          <w:tcPr>
            <w:tcW w:w="93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573C02" w:rsidRPr="00BD0B72" w:rsidRDefault="00573C02" w:rsidP="00BD0B72">
            <w:pPr>
              <w:ind w:left="-108"/>
              <w:jc w:val="both"/>
              <w:rPr>
                <w:sz w:val="28"/>
                <w:szCs w:val="28"/>
                <w:lang w:val="lv-LV"/>
              </w:rPr>
            </w:pPr>
            <w:r w:rsidRPr="00BD0B72">
              <w:rPr>
                <w:sz w:val="28"/>
                <w:szCs w:val="28"/>
                <w:lang w:val="lv-LV"/>
              </w:rPr>
              <w:t>3. Finansiālā ietekme:</w:t>
            </w:r>
          </w:p>
        </w:tc>
        <w:tc>
          <w:tcPr>
            <w:tcW w:w="886"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tcPr>
          <w:p w:rsidR="00573C02" w:rsidRPr="00BD0B72" w:rsidRDefault="00573C02" w:rsidP="00BD0B72">
            <w:pPr>
              <w:pStyle w:val="naisf"/>
              <w:spacing w:before="0" w:after="0"/>
              <w:ind w:firstLine="0"/>
              <w:jc w:val="left"/>
              <w:rPr>
                <w:sz w:val="28"/>
                <w:szCs w:val="28"/>
              </w:rPr>
            </w:pP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573C02" w:rsidRPr="00BD0B72" w:rsidRDefault="00573C02" w:rsidP="00BD0B72">
            <w:pPr>
              <w:pStyle w:val="naisf"/>
              <w:spacing w:before="0" w:after="0"/>
              <w:ind w:firstLine="0"/>
              <w:jc w:val="left"/>
              <w:rPr>
                <w:i/>
                <w:sz w:val="28"/>
                <w:szCs w:val="28"/>
              </w:rPr>
            </w:pP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573C02" w:rsidRPr="00BD0B72" w:rsidRDefault="00573C02" w:rsidP="00BD0B72">
            <w:pPr>
              <w:pStyle w:val="naisf"/>
              <w:spacing w:before="0" w:after="0"/>
              <w:ind w:firstLine="0"/>
              <w:jc w:val="left"/>
              <w:rPr>
                <w:i/>
                <w:sz w:val="28"/>
                <w:szCs w:val="28"/>
              </w:rPr>
            </w:pP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573C02" w:rsidRPr="00BD0B72" w:rsidRDefault="00573C02" w:rsidP="00BD0B72">
            <w:pPr>
              <w:pStyle w:val="naisf"/>
              <w:spacing w:before="0" w:after="0"/>
              <w:ind w:firstLine="0"/>
              <w:jc w:val="left"/>
              <w:rPr>
                <w:i/>
                <w:sz w:val="28"/>
                <w:szCs w:val="28"/>
              </w:rPr>
            </w:pPr>
          </w:p>
        </w:tc>
        <w:tc>
          <w:tcPr>
            <w:tcW w:w="75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573C02" w:rsidRPr="00BD0B72" w:rsidRDefault="00573C02" w:rsidP="00BD0B72">
            <w:pPr>
              <w:pStyle w:val="naisf"/>
              <w:spacing w:before="0" w:after="0"/>
              <w:ind w:firstLine="0"/>
              <w:jc w:val="left"/>
              <w:rPr>
                <w:i/>
                <w:sz w:val="28"/>
                <w:szCs w:val="28"/>
              </w:rPr>
            </w:pPr>
          </w:p>
        </w:tc>
      </w:tr>
      <w:tr w:rsidR="009F7B44" w:rsidRPr="00BD0B72" w:rsidTr="009F7B44">
        <w:trPr>
          <w:trHeight w:val="144"/>
        </w:trPr>
        <w:tc>
          <w:tcPr>
            <w:tcW w:w="93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573C02" w:rsidRPr="00BD0B72" w:rsidRDefault="00573C02" w:rsidP="00BD0B72">
            <w:pPr>
              <w:ind w:left="-108"/>
              <w:jc w:val="both"/>
              <w:rPr>
                <w:sz w:val="28"/>
                <w:szCs w:val="28"/>
                <w:lang w:val="lv-LV"/>
              </w:rPr>
            </w:pPr>
            <w:r w:rsidRPr="00BD0B72">
              <w:rPr>
                <w:sz w:val="28"/>
                <w:szCs w:val="28"/>
                <w:lang w:val="lv-LV"/>
              </w:rPr>
              <w:t>3.1. valsts pamatbudžets</w:t>
            </w:r>
          </w:p>
        </w:tc>
        <w:tc>
          <w:tcPr>
            <w:tcW w:w="886"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573C02" w:rsidRPr="00BD0B72" w:rsidRDefault="00573C02" w:rsidP="00BD0B72">
            <w:pPr>
              <w:pStyle w:val="naisf"/>
              <w:spacing w:before="0" w:after="0"/>
              <w:ind w:firstLine="0"/>
              <w:jc w:val="left"/>
              <w:rPr>
                <w:i/>
                <w:sz w:val="28"/>
                <w:szCs w:val="28"/>
              </w:rPr>
            </w:pPr>
            <w:r w:rsidRPr="00BD0B72">
              <w:rPr>
                <w:sz w:val="28"/>
                <w:szCs w:val="28"/>
              </w:rPr>
              <w:t>Nav attiecināms</w:t>
            </w: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573C02" w:rsidRPr="00BD0B72" w:rsidRDefault="00573C02" w:rsidP="00BD0B72">
            <w:pPr>
              <w:rPr>
                <w:sz w:val="28"/>
                <w:szCs w:val="28"/>
                <w:vertAlign w:val="subscript"/>
              </w:rPr>
            </w:pPr>
            <w:proofErr w:type="spellStart"/>
            <w:r w:rsidRPr="00BD0B72">
              <w:rPr>
                <w:sz w:val="28"/>
                <w:szCs w:val="28"/>
              </w:rPr>
              <w:t>Nav</w:t>
            </w:r>
            <w:proofErr w:type="spellEnd"/>
            <w:r w:rsidRPr="00BD0B72">
              <w:rPr>
                <w:sz w:val="28"/>
                <w:szCs w:val="28"/>
              </w:rPr>
              <w:t xml:space="preserve"> </w:t>
            </w:r>
            <w:proofErr w:type="spellStart"/>
            <w:r w:rsidRPr="00BD0B72">
              <w:rPr>
                <w:sz w:val="28"/>
                <w:szCs w:val="28"/>
              </w:rPr>
              <w:t>attiecināms</w:t>
            </w:r>
            <w:proofErr w:type="spellEnd"/>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573C02" w:rsidRPr="00BD0B72" w:rsidRDefault="00573C02" w:rsidP="00BD0B72">
            <w:pPr>
              <w:pStyle w:val="naisf"/>
              <w:spacing w:before="0" w:after="0"/>
              <w:ind w:firstLine="0"/>
              <w:jc w:val="left"/>
              <w:rPr>
                <w:sz w:val="28"/>
                <w:szCs w:val="28"/>
              </w:rPr>
            </w:pPr>
            <w:r w:rsidRPr="00BD0B72">
              <w:rPr>
                <w:sz w:val="28"/>
                <w:szCs w:val="28"/>
              </w:rPr>
              <w:t>Nav attiecināms</w:t>
            </w: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573C02" w:rsidRPr="00BD0B72" w:rsidRDefault="00573C02" w:rsidP="00BD0B72">
            <w:pPr>
              <w:pStyle w:val="naisf"/>
              <w:spacing w:before="0" w:after="0"/>
              <w:ind w:firstLine="0"/>
              <w:jc w:val="left"/>
              <w:rPr>
                <w:sz w:val="28"/>
                <w:szCs w:val="28"/>
              </w:rPr>
            </w:pPr>
            <w:r w:rsidRPr="00BD0B72">
              <w:rPr>
                <w:sz w:val="28"/>
                <w:szCs w:val="28"/>
              </w:rPr>
              <w:t>Nav attiecināms</w:t>
            </w:r>
          </w:p>
        </w:tc>
        <w:tc>
          <w:tcPr>
            <w:tcW w:w="75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573C02" w:rsidRPr="00BD0B72" w:rsidRDefault="00573C02" w:rsidP="00BD0B72">
            <w:pPr>
              <w:pStyle w:val="naisf"/>
              <w:spacing w:before="0" w:after="0"/>
              <w:ind w:firstLine="0"/>
              <w:jc w:val="left"/>
              <w:rPr>
                <w:sz w:val="28"/>
                <w:szCs w:val="28"/>
              </w:rPr>
            </w:pPr>
            <w:r w:rsidRPr="00BD0B72">
              <w:rPr>
                <w:sz w:val="28"/>
                <w:szCs w:val="28"/>
              </w:rPr>
              <w:t>Nav attiecināms</w:t>
            </w:r>
          </w:p>
        </w:tc>
      </w:tr>
      <w:tr w:rsidR="009F7B44" w:rsidRPr="00BD0B72" w:rsidTr="009F7B44">
        <w:trPr>
          <w:trHeight w:val="144"/>
        </w:trPr>
        <w:tc>
          <w:tcPr>
            <w:tcW w:w="93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573C02" w:rsidRPr="00BD0B72" w:rsidRDefault="00573C02" w:rsidP="00BD0B72">
            <w:pPr>
              <w:ind w:left="-108"/>
              <w:jc w:val="both"/>
              <w:rPr>
                <w:sz w:val="28"/>
                <w:szCs w:val="28"/>
                <w:lang w:val="lv-LV"/>
              </w:rPr>
            </w:pPr>
            <w:r w:rsidRPr="00BD0B72">
              <w:rPr>
                <w:sz w:val="28"/>
                <w:szCs w:val="28"/>
                <w:lang w:val="lv-LV"/>
              </w:rPr>
              <w:t>3.2. speciālais budžets</w:t>
            </w:r>
          </w:p>
        </w:tc>
        <w:tc>
          <w:tcPr>
            <w:tcW w:w="886"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573C02" w:rsidRPr="00BD0B72" w:rsidRDefault="00573C02" w:rsidP="00BD0B72">
            <w:pPr>
              <w:pStyle w:val="naisf"/>
              <w:spacing w:before="0" w:after="0"/>
              <w:ind w:firstLine="0"/>
              <w:jc w:val="left"/>
              <w:rPr>
                <w:i/>
                <w:sz w:val="28"/>
                <w:szCs w:val="28"/>
              </w:rPr>
            </w:pP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573C02" w:rsidRPr="00BD0B72" w:rsidRDefault="00573C02" w:rsidP="00BD0B72">
            <w:pPr>
              <w:pStyle w:val="naisf"/>
              <w:spacing w:before="0" w:after="0"/>
              <w:ind w:firstLine="0"/>
              <w:jc w:val="left"/>
              <w:rPr>
                <w:i/>
                <w:sz w:val="28"/>
                <w:szCs w:val="28"/>
              </w:rPr>
            </w:pP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573C02" w:rsidRPr="00BD0B72" w:rsidRDefault="00573C02" w:rsidP="00BD0B72">
            <w:pPr>
              <w:pStyle w:val="naisf"/>
              <w:spacing w:before="0" w:after="0"/>
              <w:ind w:firstLine="0"/>
              <w:jc w:val="left"/>
              <w:rPr>
                <w:i/>
                <w:sz w:val="28"/>
                <w:szCs w:val="28"/>
              </w:rPr>
            </w:pP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573C02" w:rsidRPr="00BD0B72" w:rsidRDefault="00573C02" w:rsidP="00BD0B72">
            <w:pPr>
              <w:pStyle w:val="naisf"/>
              <w:spacing w:before="0" w:after="0"/>
              <w:ind w:firstLine="0"/>
              <w:jc w:val="left"/>
              <w:rPr>
                <w:i/>
                <w:sz w:val="28"/>
                <w:szCs w:val="28"/>
              </w:rPr>
            </w:pPr>
          </w:p>
        </w:tc>
        <w:tc>
          <w:tcPr>
            <w:tcW w:w="75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573C02" w:rsidRPr="00BD0B72" w:rsidRDefault="00573C02" w:rsidP="00BD0B72">
            <w:pPr>
              <w:pStyle w:val="naisf"/>
              <w:spacing w:before="0" w:after="0"/>
              <w:ind w:firstLine="0"/>
              <w:jc w:val="left"/>
              <w:rPr>
                <w:i/>
                <w:sz w:val="28"/>
                <w:szCs w:val="28"/>
              </w:rPr>
            </w:pPr>
          </w:p>
        </w:tc>
      </w:tr>
      <w:tr w:rsidR="009F7B44" w:rsidRPr="00BD0B72" w:rsidTr="009F7B44">
        <w:trPr>
          <w:trHeight w:val="144"/>
        </w:trPr>
        <w:tc>
          <w:tcPr>
            <w:tcW w:w="93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573C02" w:rsidRPr="00BD0B72" w:rsidRDefault="00573C02" w:rsidP="00BD0B72">
            <w:pPr>
              <w:ind w:left="-108"/>
              <w:jc w:val="both"/>
              <w:rPr>
                <w:sz w:val="28"/>
                <w:szCs w:val="28"/>
                <w:lang w:val="lv-LV"/>
              </w:rPr>
            </w:pPr>
            <w:r w:rsidRPr="00BD0B72">
              <w:rPr>
                <w:sz w:val="28"/>
                <w:szCs w:val="28"/>
                <w:lang w:val="lv-LV"/>
              </w:rPr>
              <w:t xml:space="preserve">3.3. pašvaldību </w:t>
            </w:r>
            <w:r w:rsidRPr="00BD0B72">
              <w:rPr>
                <w:sz w:val="28"/>
                <w:szCs w:val="28"/>
                <w:lang w:val="lv-LV"/>
              </w:rPr>
              <w:lastRenderedPageBreak/>
              <w:t xml:space="preserve">budžets </w:t>
            </w:r>
          </w:p>
        </w:tc>
        <w:tc>
          <w:tcPr>
            <w:tcW w:w="886"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573C02" w:rsidRPr="00BD0B72" w:rsidRDefault="00573C02" w:rsidP="00BD0B72">
            <w:pPr>
              <w:pStyle w:val="naisf"/>
              <w:spacing w:before="0" w:after="0"/>
              <w:ind w:firstLine="0"/>
              <w:jc w:val="left"/>
              <w:rPr>
                <w:i/>
                <w:sz w:val="28"/>
                <w:szCs w:val="28"/>
              </w:rPr>
            </w:pP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573C02" w:rsidRPr="00BD0B72" w:rsidRDefault="00573C02" w:rsidP="00BD0B72">
            <w:pPr>
              <w:pStyle w:val="naisf"/>
              <w:spacing w:before="0" w:after="0"/>
              <w:ind w:firstLine="0"/>
              <w:jc w:val="left"/>
              <w:rPr>
                <w:i/>
                <w:sz w:val="28"/>
                <w:szCs w:val="28"/>
              </w:rPr>
            </w:pP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573C02" w:rsidRPr="00BD0B72" w:rsidRDefault="00573C02" w:rsidP="00BD0B72">
            <w:pPr>
              <w:pStyle w:val="naisf"/>
              <w:spacing w:before="0" w:after="0"/>
              <w:ind w:firstLine="0"/>
              <w:jc w:val="left"/>
              <w:rPr>
                <w:i/>
                <w:sz w:val="28"/>
                <w:szCs w:val="28"/>
              </w:rPr>
            </w:pP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573C02" w:rsidRPr="00BD0B72" w:rsidRDefault="00573C02" w:rsidP="00BD0B72">
            <w:pPr>
              <w:pStyle w:val="naisf"/>
              <w:spacing w:before="0" w:after="0"/>
              <w:ind w:firstLine="0"/>
              <w:jc w:val="left"/>
              <w:rPr>
                <w:i/>
                <w:sz w:val="28"/>
                <w:szCs w:val="28"/>
              </w:rPr>
            </w:pPr>
          </w:p>
        </w:tc>
        <w:tc>
          <w:tcPr>
            <w:tcW w:w="75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573C02" w:rsidRPr="00BD0B72" w:rsidRDefault="00573C02" w:rsidP="00BD0B72">
            <w:pPr>
              <w:pStyle w:val="naisf"/>
              <w:spacing w:before="0" w:after="0"/>
              <w:ind w:firstLine="0"/>
              <w:jc w:val="left"/>
              <w:rPr>
                <w:i/>
                <w:sz w:val="28"/>
                <w:szCs w:val="28"/>
              </w:rPr>
            </w:pPr>
          </w:p>
        </w:tc>
      </w:tr>
      <w:tr w:rsidR="009F7B44" w:rsidRPr="00BD0B72" w:rsidTr="009F7B44">
        <w:trPr>
          <w:trHeight w:val="144"/>
        </w:trPr>
        <w:tc>
          <w:tcPr>
            <w:tcW w:w="938" w:type="pct"/>
            <w:vMerge w:val="restar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573C02" w:rsidRPr="00BD0B72" w:rsidRDefault="00573C02" w:rsidP="00BD0B72">
            <w:pPr>
              <w:ind w:left="-108"/>
              <w:jc w:val="both"/>
              <w:rPr>
                <w:sz w:val="28"/>
                <w:szCs w:val="28"/>
                <w:lang w:val="lv-LV"/>
              </w:rPr>
            </w:pPr>
            <w:r w:rsidRPr="00BD0B72">
              <w:rPr>
                <w:sz w:val="28"/>
                <w:szCs w:val="28"/>
                <w:lang w:val="lv-LV"/>
              </w:rPr>
              <w:lastRenderedPageBreak/>
              <w:t>4. Finanšu līdzekļi papildu izde</w:t>
            </w:r>
            <w:r w:rsidRPr="00BD0B72">
              <w:rPr>
                <w:sz w:val="28"/>
                <w:szCs w:val="28"/>
                <w:lang w:val="lv-LV"/>
              </w:rPr>
              <w:softHyphen/>
              <w:t>vumu finansēšanai (kompensējošu izdevumu samazinājumu norāda ar "+" zīmi)</w:t>
            </w:r>
          </w:p>
        </w:tc>
        <w:tc>
          <w:tcPr>
            <w:tcW w:w="886" w:type="pct"/>
            <w:vMerge w:val="restar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tcPr>
          <w:p w:rsidR="00573C02" w:rsidRPr="00BD0B72" w:rsidRDefault="00573C02" w:rsidP="00BD0B72">
            <w:pPr>
              <w:pStyle w:val="naisf"/>
              <w:spacing w:before="0" w:after="0"/>
              <w:ind w:firstLine="0"/>
              <w:jc w:val="left"/>
              <w:rPr>
                <w:sz w:val="28"/>
                <w:szCs w:val="28"/>
              </w:rPr>
            </w:pPr>
            <w:r w:rsidRPr="00BD0B72">
              <w:rPr>
                <w:sz w:val="28"/>
                <w:szCs w:val="28"/>
              </w:rPr>
              <w:t>X</w:t>
            </w: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573C02" w:rsidRPr="00BD0B72" w:rsidRDefault="00573C02" w:rsidP="00BD0B72">
            <w:pPr>
              <w:pStyle w:val="naisf"/>
              <w:spacing w:before="0" w:after="0"/>
              <w:ind w:firstLine="0"/>
              <w:jc w:val="left"/>
              <w:rPr>
                <w:sz w:val="28"/>
                <w:szCs w:val="28"/>
              </w:rPr>
            </w:pPr>
            <w:r w:rsidRPr="00BD0B72">
              <w:rPr>
                <w:sz w:val="28"/>
                <w:szCs w:val="28"/>
              </w:rPr>
              <w:t>Nav attiecināms</w:t>
            </w: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573C02" w:rsidRPr="00BD0B72" w:rsidRDefault="00573C02" w:rsidP="00BD0B72">
            <w:pPr>
              <w:pStyle w:val="naisf"/>
              <w:spacing w:before="0" w:after="0"/>
              <w:ind w:firstLine="0"/>
              <w:jc w:val="left"/>
              <w:rPr>
                <w:sz w:val="28"/>
                <w:szCs w:val="28"/>
              </w:rPr>
            </w:pPr>
            <w:r w:rsidRPr="00BD0B72">
              <w:rPr>
                <w:sz w:val="28"/>
                <w:szCs w:val="28"/>
              </w:rPr>
              <w:t>Nav attiecināms</w:t>
            </w: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573C02" w:rsidRPr="00BD0B72" w:rsidRDefault="00573C02" w:rsidP="00BD0B72">
            <w:pPr>
              <w:pStyle w:val="naisf"/>
              <w:spacing w:before="0" w:after="0"/>
              <w:ind w:firstLine="0"/>
              <w:jc w:val="left"/>
              <w:rPr>
                <w:sz w:val="28"/>
                <w:szCs w:val="28"/>
              </w:rPr>
            </w:pPr>
            <w:r w:rsidRPr="00BD0B72">
              <w:rPr>
                <w:sz w:val="28"/>
                <w:szCs w:val="28"/>
              </w:rPr>
              <w:t>Nav attiecināms</w:t>
            </w:r>
          </w:p>
        </w:tc>
        <w:tc>
          <w:tcPr>
            <w:tcW w:w="75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573C02" w:rsidRPr="00BD0B72" w:rsidRDefault="00573C02" w:rsidP="00BD0B72">
            <w:pPr>
              <w:pStyle w:val="naisf"/>
              <w:spacing w:before="0" w:after="0"/>
              <w:ind w:firstLine="0"/>
              <w:jc w:val="left"/>
              <w:rPr>
                <w:sz w:val="28"/>
                <w:szCs w:val="28"/>
              </w:rPr>
            </w:pPr>
            <w:r w:rsidRPr="00BD0B72">
              <w:rPr>
                <w:sz w:val="28"/>
                <w:szCs w:val="28"/>
              </w:rPr>
              <w:t>Nav attiecināms</w:t>
            </w:r>
          </w:p>
        </w:tc>
      </w:tr>
      <w:tr w:rsidR="009F7B44" w:rsidRPr="00BD0B72" w:rsidTr="009F7B44">
        <w:trPr>
          <w:trHeight w:val="144"/>
        </w:trPr>
        <w:tc>
          <w:tcPr>
            <w:tcW w:w="938" w:type="pct"/>
            <w:vMerge/>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573C02" w:rsidRPr="00BD0B72" w:rsidRDefault="00573C02" w:rsidP="00BD0B72">
            <w:pPr>
              <w:ind w:left="-108"/>
              <w:jc w:val="both"/>
              <w:rPr>
                <w:sz w:val="28"/>
                <w:szCs w:val="28"/>
                <w:lang w:val="lv-LV"/>
              </w:rPr>
            </w:pPr>
          </w:p>
        </w:tc>
        <w:tc>
          <w:tcPr>
            <w:tcW w:w="886" w:type="pct"/>
            <w:vMerge/>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573C02" w:rsidRPr="00BD0B72" w:rsidRDefault="00573C02" w:rsidP="00BD0B72">
            <w:pPr>
              <w:rPr>
                <w:sz w:val="28"/>
                <w:szCs w:val="28"/>
              </w:rPr>
            </w:pP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573C02" w:rsidRPr="00BD0B72" w:rsidRDefault="00573C02" w:rsidP="00BD0B72">
            <w:pPr>
              <w:pStyle w:val="naisf"/>
              <w:spacing w:before="0" w:after="0"/>
              <w:ind w:firstLine="0"/>
              <w:jc w:val="left"/>
              <w:rPr>
                <w:sz w:val="28"/>
                <w:szCs w:val="28"/>
              </w:rPr>
            </w:pPr>
            <w:r w:rsidRPr="00BD0B72">
              <w:rPr>
                <w:sz w:val="28"/>
                <w:szCs w:val="28"/>
              </w:rPr>
              <w:t>Nav attiecināms</w:t>
            </w: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573C02" w:rsidRPr="00BD0B72" w:rsidRDefault="00573C02" w:rsidP="00BD0B72">
            <w:pPr>
              <w:pStyle w:val="naisf"/>
              <w:spacing w:before="0" w:after="0"/>
              <w:ind w:firstLine="0"/>
              <w:jc w:val="left"/>
              <w:rPr>
                <w:sz w:val="28"/>
                <w:szCs w:val="28"/>
              </w:rPr>
            </w:pPr>
            <w:r w:rsidRPr="00BD0B72">
              <w:rPr>
                <w:sz w:val="28"/>
                <w:szCs w:val="28"/>
              </w:rPr>
              <w:t>Nav attiecināms</w:t>
            </w: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573C02" w:rsidRPr="00BD0B72" w:rsidRDefault="00573C02" w:rsidP="00BD0B72">
            <w:pPr>
              <w:pStyle w:val="naisf"/>
              <w:spacing w:before="0" w:after="0"/>
              <w:ind w:firstLine="0"/>
              <w:jc w:val="left"/>
              <w:rPr>
                <w:sz w:val="28"/>
                <w:szCs w:val="28"/>
              </w:rPr>
            </w:pPr>
            <w:r w:rsidRPr="00BD0B72">
              <w:rPr>
                <w:sz w:val="28"/>
                <w:szCs w:val="28"/>
              </w:rPr>
              <w:t>Nav attiecināms</w:t>
            </w:r>
          </w:p>
        </w:tc>
        <w:tc>
          <w:tcPr>
            <w:tcW w:w="75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573C02" w:rsidRPr="00BD0B72" w:rsidRDefault="00573C02" w:rsidP="00BD0B72">
            <w:pPr>
              <w:pStyle w:val="naisf"/>
              <w:spacing w:before="0" w:after="0"/>
              <w:ind w:firstLine="0"/>
              <w:jc w:val="left"/>
              <w:rPr>
                <w:sz w:val="28"/>
                <w:szCs w:val="28"/>
              </w:rPr>
            </w:pPr>
            <w:r w:rsidRPr="00BD0B72">
              <w:rPr>
                <w:sz w:val="28"/>
                <w:szCs w:val="28"/>
              </w:rPr>
              <w:t>Nav attiecināms</w:t>
            </w:r>
          </w:p>
        </w:tc>
      </w:tr>
      <w:tr w:rsidR="009F7B44" w:rsidRPr="00BD0B72" w:rsidTr="009F7B44">
        <w:trPr>
          <w:trHeight w:val="144"/>
        </w:trPr>
        <w:tc>
          <w:tcPr>
            <w:tcW w:w="938" w:type="pct"/>
            <w:vMerge/>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573C02" w:rsidRPr="00BD0B72" w:rsidRDefault="00573C02" w:rsidP="00BD0B72">
            <w:pPr>
              <w:ind w:left="-108"/>
              <w:jc w:val="both"/>
              <w:rPr>
                <w:sz w:val="28"/>
                <w:szCs w:val="28"/>
                <w:lang w:val="lv-LV"/>
              </w:rPr>
            </w:pPr>
          </w:p>
        </w:tc>
        <w:tc>
          <w:tcPr>
            <w:tcW w:w="886" w:type="pct"/>
            <w:vMerge/>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573C02" w:rsidRPr="00BD0B72" w:rsidRDefault="00573C02" w:rsidP="00BD0B72">
            <w:pPr>
              <w:rPr>
                <w:sz w:val="28"/>
                <w:szCs w:val="28"/>
              </w:rPr>
            </w:pP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573C02" w:rsidRPr="00BD0B72" w:rsidRDefault="00573C02" w:rsidP="00BD0B72">
            <w:pPr>
              <w:pStyle w:val="naisf"/>
              <w:spacing w:before="0" w:after="0"/>
              <w:ind w:firstLine="0"/>
              <w:jc w:val="left"/>
              <w:rPr>
                <w:sz w:val="28"/>
                <w:szCs w:val="28"/>
              </w:rPr>
            </w:pPr>
            <w:r w:rsidRPr="00BD0B72">
              <w:rPr>
                <w:sz w:val="28"/>
                <w:szCs w:val="28"/>
              </w:rPr>
              <w:t>Nav attiecināms</w:t>
            </w: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573C02" w:rsidRPr="00BD0B72" w:rsidRDefault="00573C02" w:rsidP="00BD0B72">
            <w:pPr>
              <w:pStyle w:val="naisf"/>
              <w:spacing w:before="0" w:after="0"/>
              <w:ind w:firstLine="0"/>
              <w:jc w:val="left"/>
              <w:rPr>
                <w:sz w:val="28"/>
                <w:szCs w:val="28"/>
              </w:rPr>
            </w:pPr>
            <w:r w:rsidRPr="00BD0B72">
              <w:rPr>
                <w:sz w:val="28"/>
                <w:szCs w:val="28"/>
              </w:rPr>
              <w:t>Nav attiecināms</w:t>
            </w: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573C02" w:rsidRPr="00BD0B72" w:rsidRDefault="00573C02" w:rsidP="00BD0B72">
            <w:pPr>
              <w:pStyle w:val="naisf"/>
              <w:spacing w:before="0" w:after="0"/>
              <w:ind w:firstLine="0"/>
              <w:jc w:val="left"/>
              <w:rPr>
                <w:sz w:val="28"/>
                <w:szCs w:val="28"/>
              </w:rPr>
            </w:pPr>
            <w:r w:rsidRPr="00BD0B72">
              <w:rPr>
                <w:sz w:val="28"/>
                <w:szCs w:val="28"/>
              </w:rPr>
              <w:t>Nav attiecināms</w:t>
            </w:r>
          </w:p>
        </w:tc>
        <w:tc>
          <w:tcPr>
            <w:tcW w:w="75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573C02" w:rsidRPr="00BD0B72" w:rsidRDefault="00573C02" w:rsidP="00BD0B72">
            <w:pPr>
              <w:pStyle w:val="naisf"/>
              <w:spacing w:before="0" w:after="0"/>
              <w:ind w:firstLine="0"/>
              <w:jc w:val="left"/>
              <w:rPr>
                <w:sz w:val="28"/>
                <w:szCs w:val="28"/>
              </w:rPr>
            </w:pPr>
            <w:r w:rsidRPr="00BD0B72">
              <w:rPr>
                <w:sz w:val="28"/>
                <w:szCs w:val="28"/>
              </w:rPr>
              <w:t>Nav attiecināms</w:t>
            </w:r>
          </w:p>
        </w:tc>
      </w:tr>
      <w:tr w:rsidR="009F7B44" w:rsidRPr="00BD0B72" w:rsidTr="009F7B44">
        <w:trPr>
          <w:trHeight w:val="596"/>
        </w:trPr>
        <w:tc>
          <w:tcPr>
            <w:tcW w:w="93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573C02" w:rsidRPr="00BD0B72" w:rsidRDefault="00573C02" w:rsidP="00BD0B72">
            <w:pPr>
              <w:ind w:left="-108"/>
              <w:jc w:val="both"/>
              <w:rPr>
                <w:sz w:val="28"/>
                <w:szCs w:val="28"/>
                <w:lang w:val="lv-LV"/>
              </w:rPr>
            </w:pPr>
            <w:r w:rsidRPr="00BD0B72">
              <w:rPr>
                <w:sz w:val="28"/>
                <w:szCs w:val="28"/>
                <w:lang w:val="lv-LV"/>
              </w:rPr>
              <w:t>5. Precizēta finansiālā ietekme:</w:t>
            </w:r>
          </w:p>
        </w:tc>
        <w:tc>
          <w:tcPr>
            <w:tcW w:w="886" w:type="pct"/>
            <w:vMerge w:val="restar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tcPr>
          <w:p w:rsidR="00573C02" w:rsidRPr="00BD0B72" w:rsidRDefault="00573C02" w:rsidP="00BD0B72">
            <w:pPr>
              <w:pStyle w:val="naisf"/>
              <w:spacing w:before="0" w:after="0"/>
              <w:ind w:firstLine="0"/>
              <w:jc w:val="left"/>
              <w:rPr>
                <w:sz w:val="28"/>
                <w:szCs w:val="28"/>
              </w:rPr>
            </w:pPr>
            <w:r w:rsidRPr="00BD0B72">
              <w:rPr>
                <w:sz w:val="28"/>
                <w:szCs w:val="28"/>
              </w:rPr>
              <w:t>X</w:t>
            </w: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573C02" w:rsidRPr="00BD0B72" w:rsidRDefault="00573C02" w:rsidP="00BD0B72">
            <w:pPr>
              <w:pStyle w:val="naisf"/>
              <w:spacing w:before="0" w:after="0"/>
              <w:ind w:firstLine="0"/>
              <w:jc w:val="left"/>
              <w:rPr>
                <w:sz w:val="28"/>
                <w:szCs w:val="28"/>
              </w:rPr>
            </w:pP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573C02" w:rsidRPr="00BD0B72" w:rsidRDefault="00573C02" w:rsidP="00BD0B72">
            <w:pPr>
              <w:pStyle w:val="naisf"/>
              <w:spacing w:before="0" w:after="0"/>
              <w:ind w:firstLine="0"/>
              <w:jc w:val="left"/>
              <w:rPr>
                <w:sz w:val="28"/>
                <w:szCs w:val="28"/>
              </w:rPr>
            </w:pP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573C02" w:rsidRPr="00BD0B72" w:rsidRDefault="00573C02" w:rsidP="00BD0B72">
            <w:pPr>
              <w:pStyle w:val="naisf"/>
              <w:spacing w:before="0" w:after="0"/>
              <w:ind w:firstLine="0"/>
              <w:jc w:val="left"/>
              <w:rPr>
                <w:sz w:val="28"/>
                <w:szCs w:val="28"/>
              </w:rPr>
            </w:pPr>
          </w:p>
        </w:tc>
        <w:tc>
          <w:tcPr>
            <w:tcW w:w="75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573C02" w:rsidRPr="00BD0B72" w:rsidRDefault="00573C02" w:rsidP="00BD0B72">
            <w:pPr>
              <w:pStyle w:val="naisf"/>
              <w:spacing w:before="0" w:after="0"/>
              <w:ind w:firstLine="0"/>
              <w:jc w:val="left"/>
              <w:rPr>
                <w:sz w:val="28"/>
                <w:szCs w:val="28"/>
              </w:rPr>
            </w:pPr>
          </w:p>
        </w:tc>
      </w:tr>
      <w:tr w:rsidR="009F7B44" w:rsidRPr="00BD0B72" w:rsidTr="009F7B44">
        <w:trPr>
          <w:trHeight w:val="615"/>
        </w:trPr>
        <w:tc>
          <w:tcPr>
            <w:tcW w:w="93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573C02" w:rsidRPr="00BD0B72" w:rsidRDefault="00573C02" w:rsidP="00BD0B72">
            <w:pPr>
              <w:ind w:left="-108"/>
              <w:jc w:val="both"/>
              <w:rPr>
                <w:sz w:val="28"/>
                <w:szCs w:val="28"/>
                <w:lang w:val="lv-LV"/>
              </w:rPr>
            </w:pPr>
            <w:r w:rsidRPr="00BD0B72">
              <w:rPr>
                <w:sz w:val="28"/>
                <w:szCs w:val="28"/>
                <w:lang w:val="lv-LV"/>
              </w:rPr>
              <w:t>5.1. valsts pamatbudžets</w:t>
            </w:r>
          </w:p>
        </w:tc>
        <w:tc>
          <w:tcPr>
            <w:tcW w:w="886" w:type="pct"/>
            <w:vMerge/>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573C02" w:rsidRPr="00BD0B72" w:rsidRDefault="00573C02" w:rsidP="00BD0B72">
            <w:pPr>
              <w:rPr>
                <w:rFonts w:eastAsia="Times New Roman"/>
                <w:sz w:val="28"/>
                <w:szCs w:val="28"/>
                <w:lang w:val="lv-LV" w:eastAsia="lv-LV"/>
              </w:rPr>
            </w:pP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573C02" w:rsidRPr="00BD0B72" w:rsidRDefault="00573C02" w:rsidP="00BD0B72">
            <w:pPr>
              <w:rPr>
                <w:sz w:val="28"/>
                <w:szCs w:val="28"/>
                <w:vertAlign w:val="subscript"/>
                <w:lang w:val="lv-LV"/>
              </w:rPr>
            </w:pPr>
            <w:r w:rsidRPr="00BD0B72">
              <w:rPr>
                <w:sz w:val="28"/>
                <w:szCs w:val="28"/>
                <w:lang w:val="lv-LV"/>
              </w:rPr>
              <w:t>Nav attiecināms</w:t>
            </w: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573C02" w:rsidRPr="00BD0B72" w:rsidRDefault="00573C02" w:rsidP="00BD0B72">
            <w:pPr>
              <w:pStyle w:val="naisf"/>
              <w:spacing w:before="0" w:after="0"/>
              <w:ind w:firstLine="0"/>
              <w:jc w:val="left"/>
              <w:rPr>
                <w:sz w:val="28"/>
                <w:szCs w:val="28"/>
              </w:rPr>
            </w:pPr>
            <w:r w:rsidRPr="00BD0B72">
              <w:rPr>
                <w:sz w:val="28"/>
                <w:szCs w:val="28"/>
              </w:rPr>
              <w:t>Nav attiecināms</w:t>
            </w: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573C02" w:rsidRPr="00BD0B72" w:rsidRDefault="00573C02" w:rsidP="00BD0B72">
            <w:pPr>
              <w:pStyle w:val="naisf"/>
              <w:spacing w:before="0" w:after="0"/>
              <w:ind w:firstLine="0"/>
              <w:jc w:val="left"/>
              <w:rPr>
                <w:sz w:val="28"/>
                <w:szCs w:val="28"/>
              </w:rPr>
            </w:pPr>
            <w:r w:rsidRPr="00BD0B72">
              <w:rPr>
                <w:sz w:val="28"/>
                <w:szCs w:val="28"/>
              </w:rPr>
              <w:t>Nav attiecināms</w:t>
            </w:r>
          </w:p>
        </w:tc>
        <w:tc>
          <w:tcPr>
            <w:tcW w:w="75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573C02" w:rsidRPr="00BD0B72" w:rsidRDefault="00573C02" w:rsidP="00BD0B72">
            <w:pPr>
              <w:pStyle w:val="naisf"/>
              <w:spacing w:before="0" w:after="0"/>
              <w:ind w:firstLine="0"/>
              <w:jc w:val="left"/>
              <w:rPr>
                <w:sz w:val="28"/>
                <w:szCs w:val="28"/>
              </w:rPr>
            </w:pPr>
            <w:r w:rsidRPr="00BD0B72">
              <w:rPr>
                <w:sz w:val="28"/>
                <w:szCs w:val="28"/>
              </w:rPr>
              <w:t>Nav attiecināms</w:t>
            </w:r>
          </w:p>
        </w:tc>
      </w:tr>
      <w:tr w:rsidR="009F7B44" w:rsidRPr="00BD0B72" w:rsidTr="009F7B44">
        <w:trPr>
          <w:trHeight w:val="596"/>
        </w:trPr>
        <w:tc>
          <w:tcPr>
            <w:tcW w:w="93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573C02" w:rsidRPr="00BD0B72" w:rsidRDefault="00573C02" w:rsidP="00BD0B72">
            <w:pPr>
              <w:ind w:left="-108"/>
              <w:jc w:val="both"/>
              <w:rPr>
                <w:sz w:val="28"/>
                <w:szCs w:val="28"/>
                <w:lang w:val="lv-LV"/>
              </w:rPr>
            </w:pPr>
            <w:r w:rsidRPr="00BD0B72">
              <w:rPr>
                <w:sz w:val="28"/>
                <w:szCs w:val="28"/>
                <w:lang w:val="lv-LV"/>
              </w:rPr>
              <w:t>5.2. speciālais budžets</w:t>
            </w:r>
          </w:p>
        </w:tc>
        <w:tc>
          <w:tcPr>
            <w:tcW w:w="886" w:type="pct"/>
            <w:vMerge/>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573C02" w:rsidRPr="00BD0B72" w:rsidRDefault="00573C02" w:rsidP="00BD0B72">
            <w:pPr>
              <w:rPr>
                <w:rFonts w:eastAsia="Times New Roman"/>
                <w:sz w:val="28"/>
                <w:szCs w:val="28"/>
                <w:lang w:val="lv-LV" w:eastAsia="lv-LV"/>
              </w:rPr>
            </w:pP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573C02" w:rsidRPr="00BD0B72" w:rsidRDefault="00573C02" w:rsidP="00BD0B72">
            <w:pPr>
              <w:pStyle w:val="naisf"/>
              <w:spacing w:before="0" w:after="0"/>
              <w:ind w:firstLine="0"/>
              <w:jc w:val="left"/>
              <w:rPr>
                <w:sz w:val="28"/>
                <w:szCs w:val="28"/>
              </w:rPr>
            </w:pP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573C02" w:rsidRPr="00BD0B72" w:rsidRDefault="00573C02" w:rsidP="00BD0B72">
            <w:pPr>
              <w:pStyle w:val="naisf"/>
              <w:spacing w:before="0" w:after="0"/>
              <w:ind w:firstLine="0"/>
              <w:jc w:val="left"/>
              <w:rPr>
                <w:sz w:val="28"/>
                <w:szCs w:val="28"/>
              </w:rPr>
            </w:pP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573C02" w:rsidRPr="00BD0B72" w:rsidRDefault="00573C02" w:rsidP="00BD0B72">
            <w:pPr>
              <w:pStyle w:val="naisf"/>
              <w:spacing w:before="0" w:after="0"/>
              <w:ind w:firstLine="0"/>
              <w:jc w:val="left"/>
              <w:rPr>
                <w:sz w:val="28"/>
                <w:szCs w:val="28"/>
              </w:rPr>
            </w:pPr>
          </w:p>
        </w:tc>
        <w:tc>
          <w:tcPr>
            <w:tcW w:w="75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573C02" w:rsidRPr="00BD0B72" w:rsidRDefault="00573C02" w:rsidP="00BD0B72">
            <w:pPr>
              <w:pStyle w:val="naisf"/>
              <w:spacing w:before="0" w:after="0"/>
              <w:ind w:firstLine="0"/>
              <w:jc w:val="left"/>
              <w:rPr>
                <w:sz w:val="28"/>
                <w:szCs w:val="28"/>
              </w:rPr>
            </w:pPr>
          </w:p>
        </w:tc>
      </w:tr>
      <w:tr w:rsidR="009F7B44" w:rsidRPr="00BD0B72" w:rsidTr="009F7B44">
        <w:trPr>
          <w:trHeight w:val="596"/>
        </w:trPr>
        <w:tc>
          <w:tcPr>
            <w:tcW w:w="93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hideMark/>
          </w:tcPr>
          <w:p w:rsidR="00573C02" w:rsidRPr="00BD0B72" w:rsidRDefault="00573C02" w:rsidP="00BD0B72">
            <w:pPr>
              <w:ind w:left="-108"/>
              <w:jc w:val="both"/>
              <w:rPr>
                <w:sz w:val="28"/>
                <w:szCs w:val="28"/>
                <w:lang w:val="lv-LV"/>
              </w:rPr>
            </w:pPr>
            <w:r w:rsidRPr="00BD0B72">
              <w:rPr>
                <w:sz w:val="28"/>
                <w:szCs w:val="28"/>
                <w:lang w:val="lv-LV"/>
              </w:rPr>
              <w:t xml:space="preserve">5.3. pašvaldību budžets </w:t>
            </w:r>
          </w:p>
        </w:tc>
        <w:tc>
          <w:tcPr>
            <w:tcW w:w="886" w:type="pct"/>
            <w:vMerge/>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vAlign w:val="center"/>
            <w:hideMark/>
          </w:tcPr>
          <w:p w:rsidR="00573C02" w:rsidRPr="00BD0B72" w:rsidRDefault="00573C02" w:rsidP="00BD0B72">
            <w:pPr>
              <w:rPr>
                <w:rFonts w:eastAsia="Times New Roman"/>
                <w:sz w:val="28"/>
                <w:szCs w:val="28"/>
                <w:lang w:val="lv-LV" w:eastAsia="lv-LV"/>
              </w:rPr>
            </w:pP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573C02" w:rsidRPr="00BD0B72" w:rsidRDefault="00573C02" w:rsidP="00BD0B72">
            <w:pPr>
              <w:pStyle w:val="naisf"/>
              <w:spacing w:before="0" w:after="0"/>
              <w:ind w:firstLine="0"/>
              <w:jc w:val="left"/>
              <w:rPr>
                <w:sz w:val="28"/>
                <w:szCs w:val="28"/>
              </w:rPr>
            </w:pP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573C02" w:rsidRPr="00BD0B72" w:rsidRDefault="00573C02" w:rsidP="00BD0B72">
            <w:pPr>
              <w:pStyle w:val="naisf"/>
              <w:spacing w:before="0" w:after="0"/>
              <w:ind w:firstLine="0"/>
              <w:jc w:val="left"/>
              <w:rPr>
                <w:sz w:val="28"/>
                <w:szCs w:val="28"/>
              </w:rPr>
            </w:pPr>
          </w:p>
        </w:tc>
        <w:tc>
          <w:tcPr>
            <w:tcW w:w="808"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573C02" w:rsidRPr="00BD0B72" w:rsidRDefault="00573C02" w:rsidP="00BD0B72">
            <w:pPr>
              <w:pStyle w:val="naisf"/>
              <w:spacing w:before="0" w:after="0"/>
              <w:ind w:firstLine="0"/>
              <w:jc w:val="left"/>
              <w:rPr>
                <w:sz w:val="28"/>
                <w:szCs w:val="28"/>
              </w:rPr>
            </w:pPr>
          </w:p>
        </w:tc>
        <w:tc>
          <w:tcPr>
            <w:tcW w:w="752" w:type="pct"/>
            <w:tcBorders>
              <w:top w:val="thickThinSmallGap" w:sz="12" w:space="0" w:color="BFBFBF" w:themeColor="background1" w:themeShade="BF"/>
              <w:left w:val="thickThinSmallGap" w:sz="12" w:space="0" w:color="BFBFBF" w:themeColor="background1" w:themeShade="BF"/>
              <w:bottom w:val="thickThinSmallGap" w:sz="12" w:space="0" w:color="BFBFBF" w:themeColor="background1" w:themeShade="BF"/>
              <w:right w:val="thickThinSmallGap" w:sz="12" w:space="0" w:color="BFBFBF" w:themeColor="background1" w:themeShade="BF"/>
            </w:tcBorders>
          </w:tcPr>
          <w:p w:rsidR="00573C02" w:rsidRPr="00BD0B72" w:rsidRDefault="00573C02" w:rsidP="00BD0B72">
            <w:pPr>
              <w:pStyle w:val="naisf"/>
              <w:spacing w:before="0" w:after="0"/>
              <w:ind w:firstLine="0"/>
              <w:jc w:val="left"/>
              <w:rPr>
                <w:sz w:val="28"/>
                <w:szCs w:val="28"/>
              </w:rPr>
            </w:pPr>
          </w:p>
        </w:tc>
      </w:tr>
      <w:tr w:rsidR="009F7B44" w:rsidRPr="00BD0B72" w:rsidTr="009F7B44">
        <w:trPr>
          <w:trHeight w:val="502"/>
        </w:trPr>
        <w:tc>
          <w:tcPr>
            <w:tcW w:w="938" w:type="pct"/>
            <w:tcBorders>
              <w:top w:val="thickThinSmallGap" w:sz="12" w:space="0" w:color="BFBFBF"/>
              <w:left w:val="thickThinSmallGap" w:sz="12" w:space="0" w:color="BFBFBF"/>
              <w:bottom w:val="thickThinSmallGap" w:sz="12" w:space="0" w:color="BFBFBF"/>
              <w:right w:val="thickThinSmallGap" w:sz="12" w:space="0" w:color="BFBFBF"/>
            </w:tcBorders>
            <w:tcMar>
              <w:top w:w="0" w:type="dxa"/>
              <w:left w:w="108" w:type="dxa"/>
              <w:bottom w:w="0" w:type="dxa"/>
              <w:right w:w="108" w:type="dxa"/>
            </w:tcMar>
            <w:hideMark/>
          </w:tcPr>
          <w:p w:rsidR="00573C02" w:rsidRPr="00BD0B72" w:rsidRDefault="00573C02" w:rsidP="00BD0B72">
            <w:pPr>
              <w:ind w:left="-108"/>
              <w:jc w:val="both"/>
              <w:rPr>
                <w:sz w:val="28"/>
                <w:szCs w:val="28"/>
                <w:lang w:val="lv-LV"/>
              </w:rPr>
            </w:pPr>
            <w:r w:rsidRPr="00BD0B72">
              <w:rPr>
                <w:sz w:val="28"/>
                <w:szCs w:val="28"/>
                <w:lang w:val="lv-LV"/>
              </w:rPr>
              <w:t>6. Detalizēts ieņēmumu un izdevu</w:t>
            </w:r>
            <w:r w:rsidRPr="00BD0B72">
              <w:rPr>
                <w:sz w:val="28"/>
                <w:szCs w:val="28"/>
                <w:lang w:val="lv-LV"/>
              </w:rPr>
              <w:softHyphen/>
              <w:t>mu aprēķins (ja nepieciešams, detalizētu ieņēmumu un izdevumu aprēķinu var pievienot anotācijas pielikumā):</w:t>
            </w:r>
          </w:p>
        </w:tc>
        <w:tc>
          <w:tcPr>
            <w:tcW w:w="4062" w:type="pct"/>
            <w:gridSpan w:val="5"/>
            <w:vMerge w:val="restart"/>
            <w:tcBorders>
              <w:top w:val="thickThinSmallGap" w:sz="12" w:space="0" w:color="BFBFBF"/>
              <w:left w:val="thickThinSmallGap" w:sz="12" w:space="0" w:color="BFBFBF"/>
              <w:bottom w:val="thickThinSmallGap" w:sz="12" w:space="0" w:color="BFBFBF"/>
              <w:right w:val="thickThinSmallGap" w:sz="12" w:space="0" w:color="BFBFBF"/>
            </w:tcBorders>
            <w:tcMar>
              <w:top w:w="0" w:type="dxa"/>
              <w:left w:w="108" w:type="dxa"/>
              <w:bottom w:w="0" w:type="dxa"/>
              <w:right w:w="108" w:type="dxa"/>
            </w:tcMar>
            <w:vAlign w:val="center"/>
          </w:tcPr>
          <w:p w:rsidR="00573C02" w:rsidRPr="00BD0B72" w:rsidRDefault="00573C02" w:rsidP="00BD0B72">
            <w:pPr>
              <w:rPr>
                <w:sz w:val="28"/>
                <w:szCs w:val="28"/>
                <w:lang w:val="lv-LV"/>
              </w:rPr>
            </w:pPr>
          </w:p>
        </w:tc>
      </w:tr>
      <w:tr w:rsidR="009F7B44" w:rsidRPr="00BD0B72" w:rsidTr="009F7B44">
        <w:trPr>
          <w:trHeight w:val="248"/>
        </w:trPr>
        <w:tc>
          <w:tcPr>
            <w:tcW w:w="938" w:type="pct"/>
            <w:tcBorders>
              <w:top w:val="thickThinSmallGap" w:sz="12" w:space="0" w:color="BFBFBF"/>
              <w:left w:val="thickThinSmallGap" w:sz="12" w:space="0" w:color="BFBFBF"/>
              <w:bottom w:val="thickThinSmallGap" w:sz="12" w:space="0" w:color="BFBFBF"/>
              <w:right w:val="thickThinSmallGap" w:sz="12" w:space="0" w:color="BFBFBF"/>
            </w:tcBorders>
            <w:tcMar>
              <w:top w:w="0" w:type="dxa"/>
              <w:left w:w="108" w:type="dxa"/>
              <w:bottom w:w="0" w:type="dxa"/>
              <w:right w:w="108" w:type="dxa"/>
            </w:tcMar>
          </w:tcPr>
          <w:p w:rsidR="00573C02" w:rsidRPr="00BD0B72" w:rsidRDefault="00573C02" w:rsidP="00BD0B72">
            <w:pPr>
              <w:ind w:left="-108"/>
              <w:jc w:val="both"/>
              <w:rPr>
                <w:sz w:val="28"/>
                <w:szCs w:val="28"/>
                <w:lang w:val="lv-LV"/>
              </w:rPr>
            </w:pPr>
            <w:r w:rsidRPr="00BD0B72">
              <w:rPr>
                <w:sz w:val="28"/>
                <w:szCs w:val="28"/>
                <w:lang w:val="lv-LV"/>
              </w:rPr>
              <w:lastRenderedPageBreak/>
              <w:t>6.1. detalizēts ieņēmumu aprēķins</w:t>
            </w:r>
          </w:p>
        </w:tc>
        <w:tc>
          <w:tcPr>
            <w:tcW w:w="4062" w:type="pct"/>
            <w:gridSpan w:val="5"/>
            <w:vMerge/>
            <w:tcBorders>
              <w:top w:val="thickThinSmallGap" w:sz="12" w:space="0" w:color="BFBFBF"/>
              <w:left w:val="thickThinSmallGap" w:sz="12" w:space="0" w:color="BFBFBF"/>
              <w:bottom w:val="thickThinSmallGap" w:sz="12" w:space="0" w:color="BFBFBF"/>
              <w:right w:val="thickThinSmallGap" w:sz="12" w:space="0" w:color="BFBFBF"/>
            </w:tcBorders>
            <w:vAlign w:val="center"/>
          </w:tcPr>
          <w:p w:rsidR="00573C02" w:rsidRPr="00BD0B72" w:rsidRDefault="00573C02" w:rsidP="00BD0B72">
            <w:pPr>
              <w:rPr>
                <w:sz w:val="28"/>
                <w:szCs w:val="28"/>
                <w:lang w:val="lv-LV"/>
              </w:rPr>
            </w:pPr>
          </w:p>
        </w:tc>
      </w:tr>
      <w:tr w:rsidR="009F7B44" w:rsidRPr="00BD0B72" w:rsidTr="009F7B44">
        <w:trPr>
          <w:trHeight w:val="538"/>
        </w:trPr>
        <w:tc>
          <w:tcPr>
            <w:tcW w:w="938" w:type="pct"/>
            <w:tcBorders>
              <w:top w:val="thickThinSmallGap" w:sz="12" w:space="0" w:color="BFBFBF"/>
              <w:left w:val="thickThinSmallGap" w:sz="12" w:space="0" w:color="BFBFBF"/>
              <w:bottom w:val="thickThinSmallGap" w:sz="12" w:space="0" w:color="BFBFBF"/>
              <w:right w:val="thickThinSmallGap" w:sz="12" w:space="0" w:color="BFBFBF"/>
            </w:tcBorders>
            <w:tcMar>
              <w:top w:w="0" w:type="dxa"/>
              <w:left w:w="108" w:type="dxa"/>
              <w:bottom w:w="0" w:type="dxa"/>
              <w:right w:w="108" w:type="dxa"/>
            </w:tcMar>
            <w:hideMark/>
          </w:tcPr>
          <w:p w:rsidR="00573C02" w:rsidRPr="00BD0B72" w:rsidRDefault="00573C02" w:rsidP="00BD0B72">
            <w:pPr>
              <w:ind w:left="-108"/>
              <w:jc w:val="both"/>
              <w:rPr>
                <w:sz w:val="28"/>
                <w:szCs w:val="28"/>
                <w:lang w:val="lv-LV"/>
              </w:rPr>
            </w:pPr>
            <w:r w:rsidRPr="00BD0B72">
              <w:rPr>
                <w:sz w:val="28"/>
                <w:szCs w:val="28"/>
                <w:lang w:val="lv-LV"/>
              </w:rPr>
              <w:t>6.2. detalizēts izdevumu aprēķins</w:t>
            </w:r>
          </w:p>
        </w:tc>
        <w:tc>
          <w:tcPr>
            <w:tcW w:w="4062" w:type="pct"/>
            <w:gridSpan w:val="5"/>
            <w:vMerge/>
            <w:tcBorders>
              <w:top w:val="thickThinSmallGap" w:sz="12" w:space="0" w:color="BFBFBF"/>
              <w:left w:val="thickThinSmallGap" w:sz="12" w:space="0" w:color="BFBFBF"/>
              <w:bottom w:val="thickThinSmallGap" w:sz="12" w:space="0" w:color="BFBFBF"/>
              <w:right w:val="thickThinSmallGap" w:sz="12" w:space="0" w:color="BFBFBF"/>
            </w:tcBorders>
            <w:vAlign w:val="center"/>
          </w:tcPr>
          <w:p w:rsidR="00573C02" w:rsidRPr="00BD0B72" w:rsidRDefault="00573C02" w:rsidP="00BD0B72">
            <w:pPr>
              <w:rPr>
                <w:sz w:val="28"/>
                <w:szCs w:val="28"/>
                <w:lang w:val="lv-LV"/>
              </w:rPr>
            </w:pPr>
          </w:p>
        </w:tc>
      </w:tr>
      <w:tr w:rsidR="009F7B44" w:rsidRPr="00BD0B72" w:rsidTr="009F7B44">
        <w:trPr>
          <w:trHeight w:val="1623"/>
        </w:trPr>
        <w:tc>
          <w:tcPr>
            <w:tcW w:w="938" w:type="pct"/>
            <w:tcBorders>
              <w:top w:val="thickThinSmallGap" w:sz="12" w:space="0" w:color="BFBFBF"/>
              <w:left w:val="thickThinSmallGap" w:sz="12" w:space="0" w:color="BFBFBF"/>
              <w:bottom w:val="thickThinSmallGap" w:sz="12" w:space="0" w:color="BFBFBF"/>
              <w:right w:val="thickThinSmallGap" w:sz="12" w:space="0" w:color="BFBFBF"/>
            </w:tcBorders>
            <w:tcMar>
              <w:top w:w="0" w:type="dxa"/>
              <w:left w:w="108" w:type="dxa"/>
              <w:bottom w:w="0" w:type="dxa"/>
              <w:right w:w="108" w:type="dxa"/>
            </w:tcMar>
            <w:hideMark/>
          </w:tcPr>
          <w:p w:rsidR="00573C02" w:rsidRPr="00BD0B72" w:rsidRDefault="00573C02" w:rsidP="00BD0B72">
            <w:pPr>
              <w:ind w:left="-108"/>
              <w:jc w:val="both"/>
              <w:rPr>
                <w:sz w:val="28"/>
                <w:szCs w:val="28"/>
                <w:lang w:val="lv-LV"/>
              </w:rPr>
            </w:pPr>
            <w:r w:rsidRPr="00BD0B72">
              <w:rPr>
                <w:sz w:val="28"/>
                <w:szCs w:val="28"/>
                <w:lang w:val="lv-LV"/>
              </w:rPr>
              <w:t>7. Cita informācija</w:t>
            </w:r>
          </w:p>
        </w:tc>
        <w:tc>
          <w:tcPr>
            <w:tcW w:w="4062" w:type="pct"/>
            <w:gridSpan w:val="5"/>
            <w:tcBorders>
              <w:top w:val="thickThinSmallGap" w:sz="12" w:space="0" w:color="BFBFBF"/>
              <w:left w:val="thickThinSmallGap" w:sz="12" w:space="0" w:color="BFBFBF"/>
              <w:bottom w:val="thickThinSmallGap" w:sz="12" w:space="0" w:color="BFBFBF"/>
              <w:right w:val="thickThinSmallGap" w:sz="12" w:space="0" w:color="BFBFBF"/>
            </w:tcBorders>
            <w:tcMar>
              <w:top w:w="0" w:type="dxa"/>
              <w:left w:w="108" w:type="dxa"/>
              <w:bottom w:w="0" w:type="dxa"/>
              <w:right w:w="108" w:type="dxa"/>
            </w:tcMar>
          </w:tcPr>
          <w:p w:rsidR="00573C02" w:rsidRPr="00BD0B72" w:rsidRDefault="00573C02" w:rsidP="00BD0B72">
            <w:pPr>
              <w:rPr>
                <w:bCs/>
                <w:color w:val="000000"/>
                <w:sz w:val="28"/>
                <w:szCs w:val="28"/>
                <w:lang w:val="lv-LV"/>
              </w:rPr>
            </w:pPr>
            <w:r w:rsidRPr="00BD0B72">
              <w:rPr>
                <w:bCs/>
                <w:color w:val="000000"/>
                <w:sz w:val="28"/>
                <w:szCs w:val="28"/>
                <w:lang w:val="lv-LV"/>
              </w:rPr>
              <w:t xml:space="preserve">Grozījumu ietekmi saistībā ar pāreju uz </w:t>
            </w:r>
            <w:proofErr w:type="spellStart"/>
            <w:r w:rsidRPr="00BD0B72">
              <w:rPr>
                <w:bCs/>
                <w:i/>
                <w:color w:val="000000"/>
                <w:sz w:val="28"/>
                <w:szCs w:val="28"/>
                <w:lang w:val="lv-LV"/>
              </w:rPr>
              <w:t>euro</w:t>
            </w:r>
            <w:proofErr w:type="spellEnd"/>
            <w:r w:rsidRPr="00BD0B72">
              <w:rPr>
                <w:bCs/>
                <w:color w:val="000000"/>
                <w:sz w:val="28"/>
                <w:szCs w:val="28"/>
                <w:lang w:val="lv-LV"/>
              </w:rPr>
              <w:t xml:space="preserve"> (iespējamo ieņēmumu samazinājumu vai izdevumu palielinājumu) iespējams segt, nemainot attiecīgajās budžeta programmās vai apakšprogrammās finansējuma sadalījumu pa ieņēmumu, izdevumu vai finansēšanas klasifikācijas kodiem.</w:t>
            </w:r>
          </w:p>
        </w:tc>
      </w:tr>
    </w:tbl>
    <w:p w:rsidR="00573C02" w:rsidRPr="001E7BE3" w:rsidRDefault="00573C02" w:rsidP="001E7BE3">
      <w:pPr>
        <w:ind w:firstLine="720"/>
        <w:jc w:val="both"/>
        <w:rPr>
          <w:rFonts w:eastAsia="Times New Roman"/>
          <w:sz w:val="28"/>
          <w:szCs w:val="28"/>
          <w:lang w:val="lv-LV" w:eastAsia="lv-LV"/>
        </w:rPr>
      </w:pP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99"/>
        <w:gridCol w:w="2410"/>
        <w:gridCol w:w="6378"/>
      </w:tblGrid>
      <w:tr w:rsidR="003A7D89" w:rsidRPr="001E7BE3" w:rsidTr="00706EC2">
        <w:trPr>
          <w:trHeight w:val="623"/>
        </w:trPr>
        <w:tc>
          <w:tcPr>
            <w:tcW w:w="9087"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3A7D89" w:rsidRPr="001E7BE3" w:rsidRDefault="003A7D89" w:rsidP="001E7BE3">
            <w:pPr>
              <w:ind w:firstLine="720"/>
              <w:jc w:val="both"/>
              <w:rPr>
                <w:rFonts w:eastAsia="Times New Roman"/>
                <w:b/>
                <w:sz w:val="28"/>
                <w:szCs w:val="28"/>
                <w:lang w:val="lv-LV" w:eastAsia="lv-LV"/>
              </w:rPr>
            </w:pPr>
            <w:r w:rsidRPr="001E7BE3">
              <w:rPr>
                <w:rFonts w:eastAsia="Times New Roman"/>
                <w:b/>
                <w:sz w:val="28"/>
                <w:szCs w:val="28"/>
                <w:lang w:val="lv-LV" w:eastAsia="lv-LV"/>
              </w:rPr>
              <w:t>IV. Tiesību akta projekta ietekme uz spēkā esošo tiesību normu sistēmu</w:t>
            </w:r>
          </w:p>
        </w:tc>
      </w:tr>
      <w:tr w:rsidR="003A7D89" w:rsidRPr="001E7BE3" w:rsidTr="003124BE">
        <w:trPr>
          <w:trHeight w:val="366"/>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1E7BE3" w:rsidRDefault="003A7D89" w:rsidP="001E7BE3">
            <w:pPr>
              <w:jc w:val="both"/>
              <w:rPr>
                <w:rFonts w:eastAsia="Times New Roman"/>
                <w:sz w:val="28"/>
                <w:szCs w:val="28"/>
                <w:lang w:val="lv-LV" w:eastAsia="lv-LV"/>
              </w:rPr>
            </w:pPr>
            <w:r w:rsidRPr="001E7BE3">
              <w:rPr>
                <w:rFonts w:eastAsia="Times New Roman"/>
                <w:sz w:val="28"/>
                <w:szCs w:val="28"/>
                <w:lang w:val="lv-LV" w:eastAsia="lv-LV"/>
              </w:rPr>
              <w:t>1.</w:t>
            </w:r>
          </w:p>
        </w:tc>
        <w:tc>
          <w:tcPr>
            <w:tcW w:w="2410"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BD0B72" w:rsidRDefault="003A7D89" w:rsidP="001E7BE3">
            <w:pPr>
              <w:jc w:val="both"/>
              <w:rPr>
                <w:rFonts w:eastAsia="Times New Roman"/>
                <w:sz w:val="28"/>
                <w:szCs w:val="28"/>
                <w:lang w:val="lv-LV" w:eastAsia="lv-LV"/>
              </w:rPr>
            </w:pPr>
            <w:r w:rsidRPr="00BD0B72">
              <w:rPr>
                <w:rFonts w:eastAsia="Times New Roman"/>
                <w:sz w:val="28"/>
                <w:szCs w:val="28"/>
                <w:lang w:val="lv-LV" w:eastAsia="lv-LV"/>
              </w:rPr>
              <w:t>Nepieciešamie saistītie tiesību aktu projekti</w:t>
            </w:r>
          </w:p>
        </w:tc>
        <w:tc>
          <w:tcPr>
            <w:tcW w:w="6378" w:type="dxa"/>
            <w:tcBorders>
              <w:top w:val="thickThinLargeGap" w:sz="6" w:space="0" w:color="C0C0C0"/>
              <w:left w:val="thickThinLargeGap" w:sz="6" w:space="0" w:color="C0C0C0"/>
              <w:bottom w:val="thickThinLargeGap" w:sz="6" w:space="0" w:color="C0C0C0"/>
              <w:right w:val="thickThinLargeGap" w:sz="6" w:space="0" w:color="C0C0C0"/>
            </w:tcBorders>
            <w:hideMark/>
          </w:tcPr>
          <w:p w:rsidR="00767E0F" w:rsidRPr="00BD0B72" w:rsidRDefault="001C0861" w:rsidP="001E7BE3">
            <w:pPr>
              <w:pStyle w:val="BodyText"/>
              <w:ind w:right="142" w:firstLine="720"/>
              <w:rPr>
                <w:szCs w:val="28"/>
              </w:rPr>
            </w:pPr>
            <w:r w:rsidRPr="00BD0B72">
              <w:rPr>
                <w:szCs w:val="28"/>
              </w:rPr>
              <w:t>Ministru kabineta noteikumu projekts „Grozījumi Ministru kabineta 2010.gada 31.augusta noteikumos Nr.824 „Noteikumi par darbības programmas „Infrastruktūra un pakalpojumi” papildinājuma 3.5.2.1.1.apakšaktivitātes „Pasākumi centralizētās siltumapgādes sistēmu efektivitātes paaugstināšanai” projektu iesniegumu atlases otro kārtu un turpmākajām kārtām””</w:t>
            </w:r>
            <w:r w:rsidR="000A402E" w:rsidRPr="00BD0B72">
              <w:rPr>
                <w:szCs w:val="28"/>
              </w:rPr>
              <w:t>.</w:t>
            </w:r>
          </w:p>
        </w:tc>
      </w:tr>
      <w:tr w:rsidR="003A7D89" w:rsidRPr="001E7BE3" w:rsidTr="003124BE">
        <w:trPr>
          <w:trHeight w:val="14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1E7BE3" w:rsidRDefault="003A7D89" w:rsidP="001E7BE3">
            <w:pPr>
              <w:jc w:val="both"/>
              <w:rPr>
                <w:rFonts w:eastAsia="Times New Roman"/>
                <w:sz w:val="28"/>
                <w:szCs w:val="28"/>
                <w:lang w:val="lv-LV" w:eastAsia="lv-LV"/>
              </w:rPr>
            </w:pPr>
            <w:r w:rsidRPr="001E7BE3">
              <w:rPr>
                <w:rFonts w:eastAsia="Times New Roman"/>
                <w:sz w:val="28"/>
                <w:szCs w:val="28"/>
                <w:lang w:val="lv-LV" w:eastAsia="lv-LV"/>
              </w:rPr>
              <w:t>2.</w:t>
            </w:r>
          </w:p>
        </w:tc>
        <w:tc>
          <w:tcPr>
            <w:tcW w:w="2410"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1E7BE3" w:rsidRDefault="003A7D89" w:rsidP="001E7BE3">
            <w:pPr>
              <w:jc w:val="both"/>
              <w:rPr>
                <w:rFonts w:eastAsia="Times New Roman"/>
                <w:sz w:val="28"/>
                <w:szCs w:val="28"/>
                <w:lang w:val="lv-LV" w:eastAsia="lv-LV"/>
              </w:rPr>
            </w:pPr>
            <w:r w:rsidRPr="001E7BE3">
              <w:rPr>
                <w:rFonts w:eastAsia="Times New Roman"/>
                <w:sz w:val="28"/>
                <w:szCs w:val="28"/>
                <w:lang w:val="lv-LV" w:eastAsia="lv-LV"/>
              </w:rPr>
              <w:t>Cita informācija</w:t>
            </w:r>
          </w:p>
        </w:tc>
        <w:tc>
          <w:tcPr>
            <w:tcW w:w="637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1E7BE3" w:rsidRDefault="0073796D" w:rsidP="001E7BE3">
            <w:pPr>
              <w:ind w:firstLine="720"/>
              <w:jc w:val="both"/>
              <w:rPr>
                <w:rFonts w:eastAsia="Times New Roman"/>
                <w:sz w:val="28"/>
                <w:szCs w:val="28"/>
                <w:lang w:val="lv-LV" w:eastAsia="lv-LV"/>
              </w:rPr>
            </w:pPr>
            <w:r w:rsidRPr="001E7BE3">
              <w:rPr>
                <w:rFonts w:eastAsia="Times New Roman"/>
                <w:sz w:val="28"/>
                <w:szCs w:val="28"/>
                <w:lang w:val="lv-LV" w:eastAsia="lv-LV"/>
              </w:rPr>
              <w:t>Nav.</w:t>
            </w:r>
          </w:p>
        </w:tc>
      </w:tr>
    </w:tbl>
    <w:p w:rsidR="002A58FD" w:rsidRPr="001E7BE3" w:rsidRDefault="002A58FD" w:rsidP="001E7BE3">
      <w:pPr>
        <w:rPr>
          <w:sz w:val="28"/>
          <w:szCs w:val="28"/>
          <w:lang w:val="lv-LV"/>
        </w:rPr>
      </w:pPr>
    </w:p>
    <w:tbl>
      <w:tblPr>
        <w:tblW w:w="0" w:type="auto"/>
        <w:tblCellSpacing w:w="0" w:type="dxa"/>
        <w:tblBorders>
          <w:top w:val="thickThinLargeGap" w:sz="6" w:space="0" w:color="D9D9D9"/>
          <w:left w:val="thickThinLargeGap" w:sz="6" w:space="0" w:color="D9D9D9"/>
          <w:bottom w:val="thickThinLargeGap" w:sz="6" w:space="0" w:color="D9D9D9"/>
          <w:right w:val="thickThinLargeGap" w:sz="6" w:space="0" w:color="D9D9D9"/>
          <w:insideH w:val="thickThinLargeGap" w:sz="6" w:space="0" w:color="D9D9D9"/>
          <w:insideV w:val="thickThinLargeGap" w:sz="6" w:space="0" w:color="D9D9D9"/>
        </w:tblBorders>
        <w:tblCellMar>
          <w:left w:w="0" w:type="dxa"/>
          <w:right w:w="0" w:type="dxa"/>
        </w:tblCellMar>
        <w:tblLook w:val="04A0" w:firstRow="1" w:lastRow="0" w:firstColumn="1" w:lastColumn="0" w:noHBand="0" w:noVBand="1"/>
      </w:tblPr>
      <w:tblGrid>
        <w:gridCol w:w="400"/>
        <w:gridCol w:w="2495"/>
        <w:gridCol w:w="6296"/>
      </w:tblGrid>
      <w:tr w:rsidR="002A58FD" w:rsidRPr="001E7BE3" w:rsidTr="00D35D17">
        <w:trPr>
          <w:tblCellSpacing w:w="0" w:type="dxa"/>
        </w:trPr>
        <w:tc>
          <w:tcPr>
            <w:tcW w:w="9191" w:type="dxa"/>
            <w:gridSpan w:val="3"/>
            <w:hideMark/>
          </w:tcPr>
          <w:p w:rsidR="002A58FD" w:rsidRPr="001E7BE3" w:rsidRDefault="002A58FD" w:rsidP="001E7BE3">
            <w:pPr>
              <w:ind w:firstLine="709"/>
              <w:jc w:val="both"/>
              <w:rPr>
                <w:rFonts w:eastAsia="Times New Roman"/>
                <w:b/>
                <w:bCs/>
                <w:sz w:val="28"/>
                <w:szCs w:val="28"/>
                <w:lang w:val="lv-LV" w:eastAsia="lv-LV"/>
              </w:rPr>
            </w:pPr>
            <w:r w:rsidRPr="001E7BE3">
              <w:rPr>
                <w:rFonts w:eastAsia="Times New Roman"/>
                <w:b/>
                <w:bCs/>
                <w:sz w:val="28"/>
                <w:szCs w:val="28"/>
                <w:lang w:val="lv-LV" w:eastAsia="lv-LV"/>
              </w:rPr>
              <w:t>V. Tiesību akta projekta atbilstība Latvijas Republikas starptautiskajām saistībām</w:t>
            </w:r>
          </w:p>
        </w:tc>
      </w:tr>
      <w:tr w:rsidR="002A58FD" w:rsidRPr="001E7BE3" w:rsidTr="00D35D17">
        <w:trPr>
          <w:tblCellSpacing w:w="0" w:type="dxa"/>
        </w:trPr>
        <w:tc>
          <w:tcPr>
            <w:tcW w:w="400" w:type="dxa"/>
            <w:hideMark/>
          </w:tcPr>
          <w:p w:rsidR="002A58FD" w:rsidRPr="001E7BE3" w:rsidRDefault="002A58FD" w:rsidP="001E7BE3">
            <w:pPr>
              <w:jc w:val="both"/>
              <w:rPr>
                <w:rFonts w:eastAsia="Times New Roman"/>
                <w:sz w:val="28"/>
                <w:szCs w:val="28"/>
                <w:lang w:val="lv-LV" w:eastAsia="lv-LV"/>
              </w:rPr>
            </w:pPr>
            <w:r w:rsidRPr="001E7BE3">
              <w:rPr>
                <w:rFonts w:eastAsia="Times New Roman"/>
                <w:sz w:val="28"/>
                <w:szCs w:val="28"/>
                <w:lang w:val="lv-LV" w:eastAsia="lv-LV"/>
              </w:rPr>
              <w:t>1.</w:t>
            </w:r>
          </w:p>
        </w:tc>
        <w:tc>
          <w:tcPr>
            <w:tcW w:w="2495" w:type="dxa"/>
            <w:hideMark/>
          </w:tcPr>
          <w:p w:rsidR="002A58FD" w:rsidRPr="001E7BE3" w:rsidRDefault="002A58FD" w:rsidP="001E7BE3">
            <w:pPr>
              <w:rPr>
                <w:rFonts w:eastAsia="Times New Roman"/>
                <w:sz w:val="28"/>
                <w:szCs w:val="28"/>
                <w:lang w:val="lv-LV" w:eastAsia="lv-LV"/>
              </w:rPr>
            </w:pPr>
            <w:r w:rsidRPr="001E7BE3">
              <w:rPr>
                <w:rFonts w:eastAsia="Times New Roman"/>
                <w:sz w:val="28"/>
                <w:szCs w:val="28"/>
                <w:lang w:val="lv-LV" w:eastAsia="lv-LV"/>
              </w:rPr>
              <w:t>Saistības pret Eiropas Savienību</w:t>
            </w:r>
          </w:p>
        </w:tc>
        <w:tc>
          <w:tcPr>
            <w:tcW w:w="6296" w:type="dxa"/>
            <w:hideMark/>
          </w:tcPr>
          <w:p w:rsidR="002A58FD" w:rsidRPr="00BD0B72" w:rsidRDefault="002A58FD" w:rsidP="0041700D">
            <w:pPr>
              <w:ind w:firstLine="689"/>
              <w:jc w:val="both"/>
              <w:rPr>
                <w:rFonts w:eastAsia="Arial Unicode MS"/>
                <w:sz w:val="28"/>
                <w:szCs w:val="28"/>
              </w:rPr>
            </w:pPr>
            <w:r w:rsidRPr="00BD0B72">
              <w:rPr>
                <w:rFonts w:eastAsia="Times New Roman"/>
                <w:sz w:val="28"/>
                <w:szCs w:val="28"/>
                <w:lang w:val="lv-LV" w:eastAsia="lv-LV"/>
              </w:rPr>
              <w:t xml:space="preserve">Ar tiesību akta projektu </w:t>
            </w:r>
            <w:r w:rsidR="0041700D" w:rsidRPr="00BD0B72">
              <w:rPr>
                <w:rFonts w:eastAsia="Times New Roman"/>
                <w:sz w:val="28"/>
                <w:szCs w:val="28"/>
                <w:lang w:val="lv-LV" w:eastAsia="lv-LV"/>
              </w:rPr>
              <w:t>piemēro</w:t>
            </w:r>
            <w:r w:rsidRPr="00BD0B72">
              <w:rPr>
                <w:sz w:val="28"/>
                <w:szCs w:val="28"/>
                <w:lang w:val="lv-LV"/>
              </w:rPr>
              <w:t xml:space="preserve"> </w:t>
            </w:r>
            <w:proofErr w:type="spellStart"/>
            <w:r w:rsidRPr="00BD0B72">
              <w:rPr>
                <w:rFonts w:eastAsia="Arial Unicode MS"/>
                <w:sz w:val="28"/>
                <w:szCs w:val="28"/>
              </w:rPr>
              <w:t>Komisijas</w:t>
            </w:r>
            <w:proofErr w:type="spellEnd"/>
            <w:r w:rsidRPr="00BD0B72">
              <w:rPr>
                <w:rFonts w:eastAsia="Arial Unicode MS"/>
                <w:sz w:val="28"/>
                <w:szCs w:val="28"/>
              </w:rPr>
              <w:t xml:space="preserve"> </w:t>
            </w:r>
            <w:proofErr w:type="spellStart"/>
            <w:r w:rsidRPr="00BD0B72">
              <w:rPr>
                <w:rFonts w:eastAsia="Arial Unicode MS"/>
                <w:sz w:val="28"/>
                <w:szCs w:val="28"/>
              </w:rPr>
              <w:t>lēmum</w:t>
            </w:r>
            <w:r w:rsidR="00083873" w:rsidRPr="00BD0B72">
              <w:rPr>
                <w:rFonts w:eastAsia="Arial Unicode MS"/>
                <w:sz w:val="28"/>
                <w:szCs w:val="28"/>
              </w:rPr>
              <w:t>a</w:t>
            </w:r>
            <w:proofErr w:type="spellEnd"/>
            <w:r w:rsidR="00083873" w:rsidRPr="00BD0B72">
              <w:rPr>
                <w:rFonts w:eastAsia="Arial Unicode MS"/>
                <w:sz w:val="28"/>
                <w:szCs w:val="28"/>
              </w:rPr>
              <w:t xml:space="preserve"> </w:t>
            </w:r>
            <w:proofErr w:type="spellStart"/>
            <w:r w:rsidR="00083873" w:rsidRPr="00BD0B72">
              <w:rPr>
                <w:rFonts w:eastAsia="Arial Unicode MS"/>
                <w:sz w:val="28"/>
                <w:szCs w:val="28"/>
              </w:rPr>
              <w:t>prasības</w:t>
            </w:r>
            <w:proofErr w:type="spellEnd"/>
            <w:r w:rsidRPr="00BD0B72">
              <w:rPr>
                <w:sz w:val="28"/>
                <w:szCs w:val="28"/>
                <w:lang w:val="lv-LV"/>
              </w:rPr>
              <w:t>.</w:t>
            </w:r>
          </w:p>
        </w:tc>
      </w:tr>
      <w:tr w:rsidR="002A58FD" w:rsidRPr="001E7BE3" w:rsidTr="00D35D17">
        <w:trPr>
          <w:tblCellSpacing w:w="0" w:type="dxa"/>
        </w:trPr>
        <w:tc>
          <w:tcPr>
            <w:tcW w:w="400" w:type="dxa"/>
            <w:hideMark/>
          </w:tcPr>
          <w:p w:rsidR="002A58FD" w:rsidRPr="001E7BE3" w:rsidRDefault="002A58FD" w:rsidP="001E7BE3">
            <w:pPr>
              <w:jc w:val="both"/>
              <w:rPr>
                <w:rFonts w:eastAsia="Times New Roman"/>
                <w:sz w:val="28"/>
                <w:szCs w:val="28"/>
                <w:lang w:val="lv-LV" w:eastAsia="lv-LV"/>
              </w:rPr>
            </w:pPr>
            <w:r w:rsidRPr="001E7BE3">
              <w:rPr>
                <w:rFonts w:eastAsia="Times New Roman"/>
                <w:sz w:val="28"/>
                <w:szCs w:val="28"/>
                <w:lang w:val="lv-LV" w:eastAsia="lv-LV"/>
              </w:rPr>
              <w:t>2.</w:t>
            </w:r>
          </w:p>
        </w:tc>
        <w:tc>
          <w:tcPr>
            <w:tcW w:w="2495" w:type="dxa"/>
            <w:hideMark/>
          </w:tcPr>
          <w:p w:rsidR="002A58FD" w:rsidRPr="001E7BE3" w:rsidRDefault="002A58FD" w:rsidP="001E7BE3">
            <w:pPr>
              <w:rPr>
                <w:rFonts w:eastAsia="Times New Roman"/>
                <w:sz w:val="28"/>
                <w:szCs w:val="28"/>
                <w:lang w:val="lv-LV" w:eastAsia="lv-LV"/>
              </w:rPr>
            </w:pPr>
            <w:r w:rsidRPr="001E7BE3">
              <w:rPr>
                <w:rFonts w:eastAsia="Times New Roman"/>
                <w:sz w:val="28"/>
                <w:szCs w:val="28"/>
                <w:lang w:val="lv-LV" w:eastAsia="lv-LV"/>
              </w:rPr>
              <w:t>Citas starptautiskās saistības</w:t>
            </w:r>
          </w:p>
        </w:tc>
        <w:tc>
          <w:tcPr>
            <w:tcW w:w="6296" w:type="dxa"/>
            <w:hideMark/>
          </w:tcPr>
          <w:p w:rsidR="002A58FD" w:rsidRPr="00BD0B72" w:rsidRDefault="002A58FD" w:rsidP="001E7BE3">
            <w:pPr>
              <w:ind w:firstLine="689"/>
              <w:rPr>
                <w:rFonts w:eastAsia="Times New Roman"/>
                <w:sz w:val="28"/>
                <w:szCs w:val="28"/>
                <w:lang w:val="lv-LV" w:eastAsia="lv-LV"/>
              </w:rPr>
            </w:pPr>
            <w:r w:rsidRPr="00BD0B72">
              <w:rPr>
                <w:sz w:val="28"/>
                <w:szCs w:val="28"/>
                <w:lang w:val="lv-LV"/>
              </w:rPr>
              <w:t>Projekts šo jomu neskar.</w:t>
            </w:r>
          </w:p>
        </w:tc>
      </w:tr>
      <w:tr w:rsidR="002A58FD" w:rsidRPr="001E7BE3" w:rsidTr="00D35D17">
        <w:trPr>
          <w:tblCellSpacing w:w="0" w:type="dxa"/>
        </w:trPr>
        <w:tc>
          <w:tcPr>
            <w:tcW w:w="400" w:type="dxa"/>
            <w:hideMark/>
          </w:tcPr>
          <w:p w:rsidR="002A58FD" w:rsidRPr="001E7BE3" w:rsidRDefault="002A58FD" w:rsidP="001E7BE3">
            <w:pPr>
              <w:jc w:val="both"/>
              <w:rPr>
                <w:rFonts w:eastAsia="Times New Roman"/>
                <w:sz w:val="28"/>
                <w:szCs w:val="28"/>
                <w:lang w:val="lv-LV" w:eastAsia="lv-LV"/>
              </w:rPr>
            </w:pPr>
            <w:r w:rsidRPr="001E7BE3">
              <w:rPr>
                <w:rFonts w:eastAsia="Times New Roman"/>
                <w:sz w:val="28"/>
                <w:szCs w:val="28"/>
                <w:lang w:val="lv-LV" w:eastAsia="lv-LV"/>
              </w:rPr>
              <w:t>3.</w:t>
            </w:r>
          </w:p>
        </w:tc>
        <w:tc>
          <w:tcPr>
            <w:tcW w:w="2495" w:type="dxa"/>
            <w:hideMark/>
          </w:tcPr>
          <w:p w:rsidR="002A58FD" w:rsidRPr="001E7BE3" w:rsidRDefault="002A58FD" w:rsidP="001E7BE3">
            <w:pPr>
              <w:rPr>
                <w:sz w:val="28"/>
                <w:szCs w:val="28"/>
                <w:lang w:val="lv-LV"/>
              </w:rPr>
            </w:pPr>
            <w:r w:rsidRPr="001E7BE3">
              <w:rPr>
                <w:sz w:val="28"/>
                <w:szCs w:val="28"/>
                <w:lang w:val="lv-LV"/>
              </w:rPr>
              <w:t>Cita informācija</w:t>
            </w:r>
          </w:p>
        </w:tc>
        <w:tc>
          <w:tcPr>
            <w:tcW w:w="6296" w:type="dxa"/>
            <w:hideMark/>
          </w:tcPr>
          <w:p w:rsidR="00BC4C1A" w:rsidRPr="00BD0B72" w:rsidRDefault="002A58FD" w:rsidP="001E7BE3">
            <w:pPr>
              <w:autoSpaceDE w:val="0"/>
              <w:autoSpaceDN w:val="0"/>
              <w:adjustRightInd w:val="0"/>
              <w:ind w:firstLine="649"/>
              <w:jc w:val="both"/>
              <w:rPr>
                <w:sz w:val="28"/>
                <w:szCs w:val="28"/>
                <w:lang w:val="lv-LV"/>
              </w:rPr>
            </w:pPr>
            <w:r w:rsidRPr="001E7BE3">
              <w:rPr>
                <w:sz w:val="28"/>
                <w:szCs w:val="28"/>
                <w:lang w:val="lv-LV"/>
              </w:rPr>
              <w:t>Tiesību akta projektā paredzētās izmaiņas 3.5.2.1.1.apakšaktivitātes ietvaros netiek uzskatītas par esoša atbalsta izmaiņām (KF finansējuma palielinājums nepārsniedz 20</w:t>
            </w:r>
            <w:r w:rsidR="004E052E" w:rsidRPr="001E7BE3">
              <w:rPr>
                <w:sz w:val="28"/>
                <w:szCs w:val="28"/>
                <w:lang w:val="lv-LV"/>
              </w:rPr>
              <w:t> </w:t>
            </w:r>
            <w:r w:rsidRPr="001E7BE3">
              <w:rPr>
                <w:sz w:val="28"/>
                <w:szCs w:val="28"/>
                <w:lang w:val="lv-LV"/>
              </w:rPr>
              <w:t xml:space="preserve">% no apstiprinātā shēmas kopējā budžeta atbilstoši EK lēmumam SA.34681, neparedz </w:t>
            </w:r>
            <w:r w:rsidRPr="001E7BE3">
              <w:rPr>
                <w:rFonts w:eastAsia="Arial Unicode MS"/>
                <w:sz w:val="28"/>
                <w:szCs w:val="28"/>
                <w:lang w:val="lv-LV"/>
              </w:rPr>
              <w:t>esošas atļau</w:t>
            </w:r>
            <w:r w:rsidRPr="001E7BE3">
              <w:rPr>
                <w:sz w:val="28"/>
                <w:szCs w:val="28"/>
                <w:lang w:val="lv-LV"/>
              </w:rPr>
              <w:t xml:space="preserve">tas atbalsta shēmas </w:t>
            </w:r>
            <w:r w:rsidRPr="001E7BE3">
              <w:rPr>
                <w:sz w:val="28"/>
                <w:szCs w:val="28"/>
                <w:lang w:val="lv-LV"/>
              </w:rPr>
              <w:lastRenderedPageBreak/>
              <w:t>pagarinājumu</w:t>
            </w:r>
            <w:r w:rsidRPr="001E7BE3">
              <w:rPr>
                <w:rFonts w:eastAsia="Arial Unicode MS"/>
                <w:sz w:val="28"/>
                <w:szCs w:val="28"/>
                <w:lang w:val="lv-LV"/>
              </w:rPr>
              <w:t xml:space="preserve"> par laiku līdz sešiem gadiem ar budžeta palielinājumu vai bez tā, kā arī neparedz stingrāku kritēriju noteikšanu atļautas atbalsta shēmas </w:t>
            </w:r>
            <w:r w:rsidRPr="00BD0B72">
              <w:rPr>
                <w:rFonts w:eastAsia="Arial Unicode MS"/>
                <w:sz w:val="28"/>
                <w:szCs w:val="28"/>
                <w:lang w:val="lv-LV"/>
              </w:rPr>
              <w:t>piemērošanai, atbalsta intensitātes samazinājumu vai attaisnoto izdevumu samazinājumu</w:t>
            </w:r>
            <w:r w:rsidR="00EA28BA" w:rsidRPr="00BD0B72">
              <w:rPr>
                <w:sz w:val="28"/>
                <w:szCs w:val="28"/>
                <w:lang w:val="lv-LV"/>
              </w:rPr>
              <w:t xml:space="preserve">, kā arī ir saskaņā </w:t>
            </w:r>
            <w:r w:rsidR="00083873" w:rsidRPr="00BD0B72">
              <w:rPr>
                <w:sz w:val="28"/>
                <w:szCs w:val="28"/>
                <w:lang w:val="lv-LV"/>
              </w:rPr>
              <w:t xml:space="preserve">ar </w:t>
            </w:r>
            <w:r w:rsidR="00EA28BA" w:rsidRPr="00BD0B72">
              <w:rPr>
                <w:sz w:val="28"/>
                <w:szCs w:val="28"/>
                <w:lang w:val="lv-LV"/>
              </w:rPr>
              <w:t>EK lēmumu</w:t>
            </w:r>
            <w:r w:rsidR="000B102D" w:rsidRPr="00BD0B72">
              <w:rPr>
                <w:sz w:val="28"/>
                <w:szCs w:val="28"/>
                <w:lang w:val="lv-LV"/>
              </w:rPr>
              <w:t xml:space="preserve"> N </w:t>
            </w:r>
            <w:r w:rsidR="000B102D" w:rsidRPr="00BD0B72">
              <w:rPr>
                <w:bCs/>
                <w:sz w:val="28"/>
                <w:szCs w:val="28"/>
                <w:lang w:val="lv-LV"/>
              </w:rPr>
              <w:t>426/2008</w:t>
            </w:r>
            <w:r w:rsidR="00EA28BA" w:rsidRPr="00BD0B72">
              <w:rPr>
                <w:sz w:val="28"/>
                <w:szCs w:val="28"/>
                <w:lang w:val="lv-LV"/>
              </w:rPr>
              <w:t>,</w:t>
            </w:r>
            <w:r w:rsidRPr="00BD0B72">
              <w:rPr>
                <w:sz w:val="28"/>
                <w:szCs w:val="28"/>
                <w:lang w:val="lv-LV"/>
              </w:rPr>
              <w:t xml:space="preserve"> un par tām nav jāpaziņo Eiropas Komisijai saskaņā ar </w:t>
            </w:r>
            <w:r w:rsidR="001C3D8D" w:rsidRPr="00BD0B72">
              <w:rPr>
                <w:sz w:val="28"/>
                <w:szCs w:val="28"/>
                <w:lang w:val="lv-LV"/>
              </w:rPr>
              <w:t>Komisijas 2004.gada 21.aprīļa Regulas (EK) Nr.794/2004, ar ko īsteno Padomes Regulu (EK) Nr.659/1999, ar kuru nosaka sīki izstrādātus noteikumus EK līguma 93.panta piemērošanai,</w:t>
            </w:r>
            <w:r w:rsidRPr="00BD0B72">
              <w:rPr>
                <w:sz w:val="28"/>
                <w:szCs w:val="28"/>
                <w:lang w:val="lv-LV"/>
              </w:rPr>
              <w:t xml:space="preserve"> Nr.794/2004 4.panta 1. un 2.punktu. Iekļautie papildinājumi ir attiecināmi uz paralēlu atbalsta shēmu sabiedrisko pakalpojumu sniedzējiem, kas pakalpojumus ar vispārēju tautsaimniecisku nozīmi atbilstoši Komisijas lēmumam, kas nav paziņojams Eiropas Komisijai</w:t>
            </w:r>
            <w:r w:rsidR="00EA28BA" w:rsidRPr="00BD0B72">
              <w:rPr>
                <w:sz w:val="28"/>
                <w:szCs w:val="28"/>
                <w:lang w:val="lv-LV"/>
              </w:rPr>
              <w:t>.</w:t>
            </w:r>
          </w:p>
          <w:p w:rsidR="001C3D8D" w:rsidRPr="001E7BE3" w:rsidRDefault="001C3D8D" w:rsidP="001E7BE3">
            <w:pPr>
              <w:autoSpaceDE w:val="0"/>
              <w:autoSpaceDN w:val="0"/>
              <w:adjustRightInd w:val="0"/>
              <w:ind w:firstLine="649"/>
              <w:jc w:val="both"/>
              <w:rPr>
                <w:sz w:val="28"/>
                <w:szCs w:val="28"/>
                <w:lang w:val="lv-LV"/>
              </w:rPr>
            </w:pPr>
            <w:proofErr w:type="spellStart"/>
            <w:r w:rsidRPr="00BD0B72">
              <w:rPr>
                <w:sz w:val="28"/>
                <w:szCs w:val="28"/>
              </w:rPr>
              <w:t>Tiesību</w:t>
            </w:r>
            <w:proofErr w:type="spellEnd"/>
            <w:r w:rsidRPr="00BD0B72">
              <w:rPr>
                <w:sz w:val="28"/>
                <w:szCs w:val="28"/>
              </w:rPr>
              <w:t xml:space="preserve"> </w:t>
            </w:r>
            <w:proofErr w:type="spellStart"/>
            <w:r w:rsidRPr="00BD0B72">
              <w:rPr>
                <w:sz w:val="28"/>
                <w:szCs w:val="28"/>
              </w:rPr>
              <w:t>akta</w:t>
            </w:r>
            <w:proofErr w:type="spellEnd"/>
            <w:r w:rsidRPr="00BD0B72">
              <w:rPr>
                <w:sz w:val="28"/>
                <w:szCs w:val="28"/>
              </w:rPr>
              <w:t xml:space="preserve"> </w:t>
            </w:r>
            <w:proofErr w:type="spellStart"/>
            <w:r w:rsidRPr="00BD0B72">
              <w:rPr>
                <w:sz w:val="28"/>
                <w:szCs w:val="28"/>
              </w:rPr>
              <w:t>projektā</w:t>
            </w:r>
            <w:proofErr w:type="spellEnd"/>
            <w:r w:rsidRPr="00BD0B72">
              <w:rPr>
                <w:sz w:val="28"/>
                <w:szCs w:val="28"/>
              </w:rPr>
              <w:t xml:space="preserve"> </w:t>
            </w:r>
            <w:proofErr w:type="spellStart"/>
            <w:r w:rsidRPr="00BD0B72">
              <w:rPr>
                <w:sz w:val="28"/>
                <w:szCs w:val="28"/>
              </w:rPr>
              <w:t>ievēroti</w:t>
            </w:r>
            <w:proofErr w:type="spellEnd"/>
            <w:r w:rsidRPr="00BD0B72">
              <w:rPr>
                <w:sz w:val="28"/>
                <w:szCs w:val="28"/>
              </w:rPr>
              <w:t xml:space="preserve"> </w:t>
            </w:r>
            <w:proofErr w:type="spellStart"/>
            <w:r w:rsidRPr="00BD0B72">
              <w:rPr>
                <w:sz w:val="28"/>
                <w:szCs w:val="28"/>
              </w:rPr>
              <w:t>nosacījumi</w:t>
            </w:r>
            <w:proofErr w:type="spellEnd"/>
            <w:r w:rsidRPr="00BD0B72">
              <w:rPr>
                <w:sz w:val="28"/>
                <w:szCs w:val="28"/>
              </w:rPr>
              <w:t xml:space="preserve"> </w:t>
            </w:r>
            <w:proofErr w:type="spellStart"/>
            <w:r w:rsidRPr="00BD0B72">
              <w:rPr>
                <w:sz w:val="28"/>
                <w:szCs w:val="28"/>
              </w:rPr>
              <w:t>attiecībā</w:t>
            </w:r>
            <w:proofErr w:type="spellEnd"/>
            <w:r w:rsidRPr="00BD0B72">
              <w:rPr>
                <w:sz w:val="28"/>
                <w:szCs w:val="28"/>
              </w:rPr>
              <w:t xml:space="preserve"> </w:t>
            </w:r>
            <w:proofErr w:type="spellStart"/>
            <w:r w:rsidRPr="00BD0B72">
              <w:rPr>
                <w:sz w:val="28"/>
                <w:szCs w:val="28"/>
              </w:rPr>
              <w:t>uz</w:t>
            </w:r>
            <w:proofErr w:type="spellEnd"/>
            <w:r w:rsidRPr="00BD0B72">
              <w:rPr>
                <w:sz w:val="28"/>
                <w:szCs w:val="28"/>
              </w:rPr>
              <w:t xml:space="preserve"> </w:t>
            </w:r>
            <w:proofErr w:type="spellStart"/>
            <w:r w:rsidRPr="00BD0B72">
              <w:rPr>
                <w:sz w:val="28"/>
                <w:szCs w:val="28"/>
              </w:rPr>
              <w:t>atbalsta</w:t>
            </w:r>
            <w:proofErr w:type="spellEnd"/>
            <w:r w:rsidRPr="00BD0B72">
              <w:rPr>
                <w:sz w:val="28"/>
                <w:szCs w:val="28"/>
              </w:rPr>
              <w:t xml:space="preserve"> </w:t>
            </w:r>
            <w:proofErr w:type="spellStart"/>
            <w:r w:rsidRPr="00BD0B72">
              <w:rPr>
                <w:sz w:val="28"/>
                <w:szCs w:val="28"/>
              </w:rPr>
              <w:t>saderību</w:t>
            </w:r>
            <w:proofErr w:type="spellEnd"/>
            <w:r w:rsidRPr="00BD0B72">
              <w:rPr>
                <w:sz w:val="28"/>
                <w:szCs w:val="28"/>
              </w:rPr>
              <w:t xml:space="preserve"> </w:t>
            </w:r>
            <w:proofErr w:type="spellStart"/>
            <w:r w:rsidRPr="00BD0B72">
              <w:rPr>
                <w:sz w:val="28"/>
                <w:szCs w:val="28"/>
              </w:rPr>
              <w:t>ar</w:t>
            </w:r>
            <w:proofErr w:type="spellEnd"/>
            <w:r w:rsidRPr="00BD0B72">
              <w:rPr>
                <w:sz w:val="28"/>
                <w:szCs w:val="28"/>
              </w:rPr>
              <w:t xml:space="preserve"> ES </w:t>
            </w:r>
            <w:proofErr w:type="spellStart"/>
            <w:r w:rsidRPr="00BD0B72">
              <w:rPr>
                <w:sz w:val="28"/>
                <w:szCs w:val="28"/>
              </w:rPr>
              <w:t>iekšējo</w:t>
            </w:r>
            <w:proofErr w:type="spellEnd"/>
            <w:r w:rsidRPr="00BD0B72">
              <w:rPr>
                <w:sz w:val="28"/>
                <w:szCs w:val="28"/>
              </w:rPr>
              <w:t xml:space="preserve"> </w:t>
            </w:r>
            <w:proofErr w:type="spellStart"/>
            <w:r w:rsidRPr="00BD0B72">
              <w:rPr>
                <w:sz w:val="28"/>
                <w:szCs w:val="28"/>
              </w:rPr>
              <w:t>tirgu</w:t>
            </w:r>
            <w:proofErr w:type="spellEnd"/>
            <w:r w:rsidRPr="00BD0B72">
              <w:rPr>
                <w:sz w:val="28"/>
                <w:szCs w:val="28"/>
              </w:rPr>
              <w:t xml:space="preserve"> un </w:t>
            </w:r>
            <w:proofErr w:type="spellStart"/>
            <w:r w:rsidRPr="00BD0B72">
              <w:rPr>
                <w:sz w:val="28"/>
                <w:szCs w:val="28"/>
              </w:rPr>
              <w:t>atbrīvošanu</w:t>
            </w:r>
            <w:proofErr w:type="spellEnd"/>
            <w:r w:rsidRPr="00BD0B72">
              <w:rPr>
                <w:sz w:val="28"/>
                <w:szCs w:val="28"/>
              </w:rPr>
              <w:t xml:space="preserve"> no </w:t>
            </w:r>
            <w:proofErr w:type="spellStart"/>
            <w:r w:rsidRPr="00BD0B72">
              <w:rPr>
                <w:sz w:val="28"/>
                <w:szCs w:val="28"/>
              </w:rPr>
              <w:t>paziņošanas</w:t>
            </w:r>
            <w:proofErr w:type="spellEnd"/>
            <w:r w:rsidRPr="00BD0B72">
              <w:rPr>
                <w:sz w:val="28"/>
                <w:szCs w:val="28"/>
              </w:rPr>
              <w:t xml:space="preserve">, </w:t>
            </w:r>
            <w:proofErr w:type="spellStart"/>
            <w:r w:rsidRPr="00BD0B72">
              <w:rPr>
                <w:sz w:val="28"/>
                <w:szCs w:val="28"/>
              </w:rPr>
              <w:t>kas</w:t>
            </w:r>
            <w:proofErr w:type="spellEnd"/>
            <w:r w:rsidRPr="00BD0B72">
              <w:rPr>
                <w:sz w:val="28"/>
                <w:szCs w:val="28"/>
              </w:rPr>
              <w:t xml:space="preserve"> </w:t>
            </w:r>
            <w:proofErr w:type="spellStart"/>
            <w:r w:rsidRPr="00BD0B72">
              <w:rPr>
                <w:sz w:val="28"/>
                <w:szCs w:val="28"/>
              </w:rPr>
              <w:t>ir</w:t>
            </w:r>
            <w:proofErr w:type="spellEnd"/>
            <w:r w:rsidRPr="00BD0B72">
              <w:rPr>
                <w:sz w:val="28"/>
                <w:szCs w:val="28"/>
              </w:rPr>
              <w:t xml:space="preserve"> </w:t>
            </w:r>
            <w:proofErr w:type="spellStart"/>
            <w:r w:rsidRPr="00BD0B72">
              <w:rPr>
                <w:sz w:val="28"/>
                <w:szCs w:val="28"/>
              </w:rPr>
              <w:t>piemērojami</w:t>
            </w:r>
            <w:proofErr w:type="spellEnd"/>
            <w:r w:rsidRPr="00BD0B72">
              <w:rPr>
                <w:sz w:val="28"/>
                <w:szCs w:val="28"/>
              </w:rPr>
              <w:t xml:space="preserve"> </w:t>
            </w:r>
            <w:proofErr w:type="spellStart"/>
            <w:r w:rsidRPr="00BD0B72">
              <w:rPr>
                <w:sz w:val="28"/>
                <w:szCs w:val="28"/>
              </w:rPr>
              <w:t>saskaņā</w:t>
            </w:r>
            <w:proofErr w:type="spellEnd"/>
            <w:r w:rsidRPr="00BD0B72">
              <w:rPr>
                <w:sz w:val="28"/>
                <w:szCs w:val="28"/>
              </w:rPr>
              <w:t xml:space="preserve"> </w:t>
            </w:r>
            <w:proofErr w:type="spellStart"/>
            <w:r w:rsidRPr="00BD0B72">
              <w:rPr>
                <w:sz w:val="28"/>
                <w:szCs w:val="28"/>
              </w:rPr>
              <w:t>ar</w:t>
            </w:r>
            <w:proofErr w:type="spellEnd"/>
            <w:r w:rsidRPr="00BD0B72">
              <w:rPr>
                <w:sz w:val="28"/>
                <w:szCs w:val="28"/>
              </w:rPr>
              <w:t xml:space="preserve"> </w:t>
            </w:r>
            <w:r w:rsidRPr="00BD0B72">
              <w:rPr>
                <w:sz w:val="28"/>
                <w:szCs w:val="28"/>
                <w:lang w:val="lv-LV"/>
              </w:rPr>
              <w:t>Padomes Regulu (EK) Nr.659/1999</w:t>
            </w:r>
            <w:r w:rsidRPr="00BD0B72">
              <w:rPr>
                <w:sz w:val="28"/>
                <w:szCs w:val="28"/>
              </w:rPr>
              <w:t>.</w:t>
            </w:r>
          </w:p>
        </w:tc>
      </w:tr>
    </w:tbl>
    <w:p w:rsidR="002A58FD" w:rsidRPr="001E7BE3" w:rsidRDefault="002A58FD" w:rsidP="001E7BE3">
      <w:pPr>
        <w:jc w:val="both"/>
        <w:rPr>
          <w:rFonts w:eastAsia="Times New Roman"/>
          <w:sz w:val="28"/>
          <w:szCs w:val="28"/>
          <w:lang w:val="lv-LV" w:eastAsia="lv-LV"/>
        </w:rPr>
      </w:pPr>
    </w:p>
    <w:tbl>
      <w:tblPr>
        <w:tblW w:w="0" w:type="auto"/>
        <w:tblCellSpacing w:w="0" w:type="dxa"/>
        <w:tblBorders>
          <w:top w:val="thickThinLargeGap" w:sz="6" w:space="0" w:color="D9D9D9"/>
          <w:left w:val="thickThinLargeGap" w:sz="6" w:space="0" w:color="D9D9D9"/>
          <w:bottom w:val="thickThinLargeGap" w:sz="6" w:space="0" w:color="D9D9D9"/>
          <w:right w:val="thickThinLargeGap" w:sz="6" w:space="0" w:color="D9D9D9"/>
          <w:insideH w:val="thickThinLargeGap" w:sz="6" w:space="0" w:color="D9D9D9"/>
          <w:insideV w:val="thickThinLargeGap" w:sz="6" w:space="0" w:color="D9D9D9"/>
        </w:tblBorders>
        <w:tblLayout w:type="fixed"/>
        <w:tblCellMar>
          <w:left w:w="0" w:type="dxa"/>
          <w:right w:w="0" w:type="dxa"/>
        </w:tblCellMar>
        <w:tblLook w:val="04A0" w:firstRow="1" w:lastRow="0" w:firstColumn="1" w:lastColumn="0" w:noHBand="0" w:noVBand="1"/>
      </w:tblPr>
      <w:tblGrid>
        <w:gridCol w:w="2003"/>
        <w:gridCol w:w="2452"/>
        <w:gridCol w:w="2703"/>
        <w:gridCol w:w="2033"/>
      </w:tblGrid>
      <w:tr w:rsidR="002A58FD" w:rsidRPr="001E7BE3" w:rsidTr="00D35D17">
        <w:trPr>
          <w:trHeight w:val="525"/>
          <w:tblCellSpacing w:w="0" w:type="dxa"/>
        </w:trPr>
        <w:tc>
          <w:tcPr>
            <w:tcW w:w="9191" w:type="dxa"/>
            <w:gridSpan w:val="4"/>
            <w:vAlign w:val="center"/>
            <w:hideMark/>
          </w:tcPr>
          <w:p w:rsidR="002A58FD" w:rsidRPr="001E7BE3" w:rsidRDefault="002A58FD" w:rsidP="001E7BE3">
            <w:pPr>
              <w:jc w:val="center"/>
              <w:rPr>
                <w:rFonts w:eastAsia="Times New Roman"/>
                <w:bCs/>
                <w:sz w:val="28"/>
                <w:szCs w:val="28"/>
                <w:lang w:val="lv-LV" w:eastAsia="lv-LV"/>
              </w:rPr>
            </w:pPr>
            <w:r w:rsidRPr="001E7BE3">
              <w:rPr>
                <w:rFonts w:eastAsia="Times New Roman"/>
                <w:bCs/>
                <w:sz w:val="28"/>
                <w:szCs w:val="28"/>
                <w:lang w:val="lv-LV" w:eastAsia="lv-LV"/>
              </w:rPr>
              <w:t>1.tabula</w:t>
            </w:r>
          </w:p>
          <w:p w:rsidR="002A58FD" w:rsidRPr="001E7BE3" w:rsidRDefault="002A58FD" w:rsidP="001E7BE3">
            <w:pPr>
              <w:jc w:val="center"/>
              <w:rPr>
                <w:rFonts w:eastAsia="Times New Roman"/>
                <w:bCs/>
                <w:sz w:val="28"/>
                <w:szCs w:val="28"/>
                <w:lang w:val="lv-LV" w:eastAsia="lv-LV"/>
              </w:rPr>
            </w:pPr>
            <w:r w:rsidRPr="001E7BE3">
              <w:rPr>
                <w:rFonts w:eastAsia="Times New Roman"/>
                <w:bCs/>
                <w:sz w:val="28"/>
                <w:szCs w:val="28"/>
                <w:lang w:val="lv-LV" w:eastAsia="lv-LV"/>
              </w:rPr>
              <w:t>Tiesību akta projekta atbilstība ES tiesību aktiem</w:t>
            </w:r>
          </w:p>
        </w:tc>
      </w:tr>
      <w:tr w:rsidR="002A58FD" w:rsidRPr="001E7BE3" w:rsidTr="00D35D17">
        <w:trPr>
          <w:trHeight w:val="1256"/>
          <w:tblCellSpacing w:w="0" w:type="dxa"/>
        </w:trPr>
        <w:tc>
          <w:tcPr>
            <w:tcW w:w="2003" w:type="dxa"/>
            <w:vAlign w:val="center"/>
            <w:hideMark/>
          </w:tcPr>
          <w:p w:rsidR="002A58FD" w:rsidRPr="001E7BE3" w:rsidRDefault="002A58FD" w:rsidP="001E7BE3">
            <w:pPr>
              <w:jc w:val="center"/>
              <w:rPr>
                <w:rFonts w:eastAsia="Times New Roman"/>
                <w:sz w:val="28"/>
                <w:szCs w:val="28"/>
                <w:lang w:val="lv-LV" w:eastAsia="lv-LV"/>
              </w:rPr>
            </w:pPr>
            <w:r w:rsidRPr="001E7BE3">
              <w:rPr>
                <w:rFonts w:eastAsia="Times New Roman"/>
                <w:sz w:val="28"/>
                <w:szCs w:val="28"/>
                <w:lang w:val="lv-LV" w:eastAsia="lv-LV"/>
              </w:rPr>
              <w:t>Attiecīgā ES tiesību akta datums, numurs un nosaukums</w:t>
            </w:r>
          </w:p>
        </w:tc>
        <w:tc>
          <w:tcPr>
            <w:tcW w:w="7188" w:type="dxa"/>
            <w:gridSpan w:val="3"/>
            <w:vAlign w:val="center"/>
            <w:hideMark/>
          </w:tcPr>
          <w:p w:rsidR="002A58FD" w:rsidRPr="001E7BE3" w:rsidRDefault="002A58FD" w:rsidP="001E7BE3">
            <w:pPr>
              <w:jc w:val="center"/>
              <w:rPr>
                <w:rFonts w:eastAsia="Times New Roman"/>
                <w:sz w:val="28"/>
                <w:szCs w:val="28"/>
                <w:lang w:val="lv-LV" w:eastAsia="lv-LV"/>
              </w:rPr>
            </w:pPr>
            <w:r w:rsidRPr="001E7BE3">
              <w:rPr>
                <w:rFonts w:eastAsia="Times New Roman"/>
                <w:sz w:val="28"/>
                <w:szCs w:val="28"/>
                <w:lang w:val="lv-LV" w:eastAsia="lv-LV"/>
              </w:rPr>
              <w:t>Aizpilda, ja ar projektu tiek pārņemts vai ieviests vairāk nekā viens ES tiesību akts – jānorāda tā pati informācija, kas prasīta instrukcijas 55.1.apakšpunktā un jau tikusi norādīta arī V. sadaļas 1.punkta ietvaros</w:t>
            </w:r>
          </w:p>
        </w:tc>
      </w:tr>
      <w:tr w:rsidR="002A58FD" w:rsidRPr="001E7BE3" w:rsidTr="00D35D17">
        <w:trPr>
          <w:trHeight w:val="164"/>
          <w:tblCellSpacing w:w="0" w:type="dxa"/>
        </w:trPr>
        <w:tc>
          <w:tcPr>
            <w:tcW w:w="9191" w:type="dxa"/>
            <w:gridSpan w:val="4"/>
            <w:vAlign w:val="center"/>
            <w:hideMark/>
          </w:tcPr>
          <w:p w:rsidR="002A58FD" w:rsidRPr="001E7BE3" w:rsidRDefault="002A58FD" w:rsidP="001E7BE3">
            <w:pPr>
              <w:rPr>
                <w:rFonts w:eastAsia="Times New Roman"/>
                <w:sz w:val="28"/>
                <w:szCs w:val="28"/>
                <w:lang w:val="lv-LV" w:eastAsia="lv-LV"/>
              </w:rPr>
            </w:pPr>
          </w:p>
        </w:tc>
      </w:tr>
      <w:tr w:rsidR="002A58FD" w:rsidRPr="001E7BE3" w:rsidTr="00D35D17">
        <w:trPr>
          <w:trHeight w:val="253"/>
          <w:tblCellSpacing w:w="0" w:type="dxa"/>
        </w:trPr>
        <w:tc>
          <w:tcPr>
            <w:tcW w:w="2003" w:type="dxa"/>
            <w:vAlign w:val="center"/>
            <w:hideMark/>
          </w:tcPr>
          <w:p w:rsidR="002A58FD" w:rsidRPr="001E7BE3" w:rsidRDefault="002A58FD" w:rsidP="001E7BE3">
            <w:pPr>
              <w:jc w:val="center"/>
              <w:rPr>
                <w:rFonts w:eastAsia="Times New Roman"/>
                <w:sz w:val="28"/>
                <w:szCs w:val="28"/>
                <w:lang w:val="lv-LV" w:eastAsia="lv-LV"/>
              </w:rPr>
            </w:pPr>
            <w:r w:rsidRPr="001E7BE3">
              <w:rPr>
                <w:rFonts w:eastAsia="Times New Roman"/>
                <w:sz w:val="28"/>
                <w:szCs w:val="28"/>
                <w:lang w:val="lv-LV" w:eastAsia="lv-LV"/>
              </w:rPr>
              <w:t>A</w:t>
            </w:r>
          </w:p>
        </w:tc>
        <w:tc>
          <w:tcPr>
            <w:tcW w:w="2452" w:type="dxa"/>
            <w:vAlign w:val="center"/>
            <w:hideMark/>
          </w:tcPr>
          <w:p w:rsidR="002A58FD" w:rsidRPr="001E7BE3" w:rsidRDefault="002A58FD" w:rsidP="001E7BE3">
            <w:pPr>
              <w:jc w:val="center"/>
              <w:rPr>
                <w:rFonts w:eastAsia="Times New Roman"/>
                <w:sz w:val="28"/>
                <w:szCs w:val="28"/>
                <w:lang w:val="lv-LV" w:eastAsia="lv-LV"/>
              </w:rPr>
            </w:pPr>
            <w:r w:rsidRPr="001E7BE3">
              <w:rPr>
                <w:rFonts w:eastAsia="Times New Roman"/>
                <w:sz w:val="28"/>
                <w:szCs w:val="28"/>
                <w:lang w:val="lv-LV" w:eastAsia="lv-LV"/>
              </w:rPr>
              <w:t>B</w:t>
            </w:r>
          </w:p>
        </w:tc>
        <w:tc>
          <w:tcPr>
            <w:tcW w:w="2703" w:type="dxa"/>
            <w:vAlign w:val="center"/>
            <w:hideMark/>
          </w:tcPr>
          <w:p w:rsidR="002A58FD" w:rsidRPr="001E7BE3" w:rsidRDefault="002A58FD" w:rsidP="001E7BE3">
            <w:pPr>
              <w:jc w:val="center"/>
              <w:rPr>
                <w:rFonts w:eastAsia="Times New Roman"/>
                <w:sz w:val="28"/>
                <w:szCs w:val="28"/>
                <w:lang w:val="lv-LV" w:eastAsia="lv-LV"/>
              </w:rPr>
            </w:pPr>
            <w:r w:rsidRPr="001E7BE3">
              <w:rPr>
                <w:rFonts w:eastAsia="Times New Roman"/>
                <w:sz w:val="28"/>
                <w:szCs w:val="28"/>
                <w:lang w:val="lv-LV" w:eastAsia="lv-LV"/>
              </w:rPr>
              <w:t>C</w:t>
            </w:r>
          </w:p>
        </w:tc>
        <w:tc>
          <w:tcPr>
            <w:tcW w:w="2033" w:type="dxa"/>
            <w:vAlign w:val="center"/>
            <w:hideMark/>
          </w:tcPr>
          <w:p w:rsidR="002A58FD" w:rsidRPr="001E7BE3" w:rsidRDefault="002A58FD" w:rsidP="001E7BE3">
            <w:pPr>
              <w:jc w:val="center"/>
              <w:rPr>
                <w:rFonts w:eastAsia="Times New Roman"/>
                <w:sz w:val="28"/>
                <w:szCs w:val="28"/>
                <w:lang w:val="lv-LV" w:eastAsia="lv-LV"/>
              </w:rPr>
            </w:pPr>
            <w:r w:rsidRPr="001E7BE3">
              <w:rPr>
                <w:rFonts w:eastAsia="Times New Roman"/>
                <w:sz w:val="28"/>
                <w:szCs w:val="28"/>
                <w:lang w:val="lv-LV" w:eastAsia="lv-LV"/>
              </w:rPr>
              <w:t>D</w:t>
            </w:r>
          </w:p>
        </w:tc>
      </w:tr>
      <w:tr w:rsidR="002A58FD" w:rsidRPr="001E7BE3" w:rsidTr="00D35D17">
        <w:trPr>
          <w:trHeight w:val="1777"/>
          <w:tblCellSpacing w:w="0" w:type="dxa"/>
        </w:trPr>
        <w:tc>
          <w:tcPr>
            <w:tcW w:w="2003" w:type="dxa"/>
            <w:hideMark/>
          </w:tcPr>
          <w:p w:rsidR="002A58FD" w:rsidRPr="001E7BE3" w:rsidRDefault="002A58FD" w:rsidP="001E7BE3">
            <w:pPr>
              <w:rPr>
                <w:rFonts w:eastAsia="Times New Roman"/>
                <w:sz w:val="28"/>
                <w:szCs w:val="28"/>
                <w:lang w:val="lv-LV" w:eastAsia="lv-LV"/>
              </w:rPr>
            </w:pPr>
            <w:r w:rsidRPr="001E7BE3">
              <w:rPr>
                <w:rFonts w:eastAsia="Times New Roman"/>
                <w:sz w:val="28"/>
                <w:szCs w:val="28"/>
                <w:lang w:val="lv-LV" w:eastAsia="lv-LV"/>
              </w:rPr>
              <w:t>Attiecīgā ES tiesību akta panta numurs (uzskaitot katru tiesību akta</w:t>
            </w:r>
            <w:r w:rsidRPr="001E7BE3">
              <w:rPr>
                <w:rFonts w:eastAsia="Times New Roman"/>
                <w:sz w:val="28"/>
                <w:szCs w:val="28"/>
                <w:lang w:val="lv-LV" w:eastAsia="lv-LV"/>
              </w:rPr>
              <w:br/>
              <w:t>vienību – pantu, daļu, punktu, apakšpunktu)</w:t>
            </w:r>
          </w:p>
        </w:tc>
        <w:tc>
          <w:tcPr>
            <w:tcW w:w="2452" w:type="dxa"/>
            <w:hideMark/>
          </w:tcPr>
          <w:p w:rsidR="002A58FD" w:rsidRPr="001E7BE3" w:rsidRDefault="002A58FD" w:rsidP="001E7BE3">
            <w:pPr>
              <w:rPr>
                <w:rFonts w:eastAsia="Times New Roman"/>
                <w:sz w:val="28"/>
                <w:szCs w:val="28"/>
                <w:lang w:val="lv-LV" w:eastAsia="lv-LV"/>
              </w:rPr>
            </w:pPr>
            <w:r w:rsidRPr="001E7BE3">
              <w:rPr>
                <w:rFonts w:eastAsia="Times New Roman"/>
                <w:sz w:val="28"/>
                <w:szCs w:val="28"/>
                <w:lang w:val="lv-LV" w:eastAsia="lv-LV"/>
              </w:rPr>
              <w:t>Projekta vienība, kas pārņem vai ievieš katru šīs tabulas A ailē minēto ES tiesību akta vienību</w:t>
            </w:r>
          </w:p>
        </w:tc>
        <w:tc>
          <w:tcPr>
            <w:tcW w:w="2703" w:type="dxa"/>
            <w:hideMark/>
          </w:tcPr>
          <w:p w:rsidR="002A58FD" w:rsidRPr="001E7BE3" w:rsidRDefault="002A58FD" w:rsidP="001E7BE3">
            <w:pPr>
              <w:rPr>
                <w:rFonts w:eastAsia="Times New Roman"/>
                <w:sz w:val="28"/>
                <w:szCs w:val="28"/>
                <w:lang w:val="lv-LV" w:eastAsia="lv-LV"/>
              </w:rPr>
            </w:pPr>
            <w:r w:rsidRPr="001E7BE3">
              <w:rPr>
                <w:rFonts w:eastAsia="Times New Roman"/>
                <w:sz w:val="28"/>
                <w:szCs w:val="28"/>
                <w:lang w:val="lv-LV" w:eastAsia="lv-LV"/>
              </w:rPr>
              <w:t>Informācija par to, vai šīs tabulas A ailē minētās ES tiesību akta vienības tiek pārņemtas vai ieviestas pilnībā vai daļēji.</w:t>
            </w:r>
          </w:p>
          <w:p w:rsidR="002A58FD" w:rsidRPr="001E7BE3" w:rsidRDefault="002A58FD" w:rsidP="001E7BE3">
            <w:pPr>
              <w:rPr>
                <w:rFonts w:eastAsia="Times New Roman"/>
                <w:sz w:val="28"/>
                <w:szCs w:val="28"/>
                <w:lang w:val="lv-LV" w:eastAsia="lv-LV"/>
              </w:rPr>
            </w:pPr>
          </w:p>
          <w:p w:rsidR="002A58FD" w:rsidRPr="001E7BE3" w:rsidRDefault="002A58FD" w:rsidP="001E7BE3">
            <w:pPr>
              <w:rPr>
                <w:rFonts w:eastAsia="Times New Roman"/>
                <w:sz w:val="28"/>
                <w:szCs w:val="28"/>
                <w:lang w:val="lv-LV" w:eastAsia="lv-LV"/>
              </w:rPr>
            </w:pPr>
            <w:r w:rsidRPr="001E7BE3">
              <w:rPr>
                <w:rFonts w:eastAsia="Times New Roman"/>
                <w:sz w:val="28"/>
                <w:szCs w:val="28"/>
                <w:lang w:val="lv-LV" w:eastAsia="lv-LV"/>
              </w:rPr>
              <w:t xml:space="preserve">Ja attiecīgā ES tiesību </w:t>
            </w:r>
            <w:r w:rsidRPr="001E7BE3">
              <w:rPr>
                <w:rFonts w:eastAsia="Times New Roman"/>
                <w:sz w:val="28"/>
                <w:szCs w:val="28"/>
                <w:lang w:val="lv-LV" w:eastAsia="lv-LV"/>
              </w:rPr>
              <w:lastRenderedPageBreak/>
              <w:t>akta vienība tiek pārņemta vai ieviesta daļēji, – sniedz attiecīgu skaidrojumu, kā arī precīzi norāda, kad un kādā veidā ES tiesību akta vienība tiks pārņemta vai ieviesta pilnībā.</w:t>
            </w:r>
          </w:p>
          <w:p w:rsidR="002A58FD" w:rsidRPr="001E7BE3" w:rsidRDefault="002A58FD" w:rsidP="001E7BE3">
            <w:pPr>
              <w:rPr>
                <w:rFonts w:eastAsia="Times New Roman"/>
                <w:sz w:val="28"/>
                <w:szCs w:val="28"/>
                <w:lang w:val="lv-LV" w:eastAsia="lv-LV"/>
              </w:rPr>
            </w:pPr>
          </w:p>
          <w:p w:rsidR="002A58FD" w:rsidRPr="001E7BE3" w:rsidRDefault="002A58FD" w:rsidP="001E7BE3">
            <w:pPr>
              <w:rPr>
                <w:rFonts w:eastAsia="Times New Roman"/>
                <w:sz w:val="28"/>
                <w:szCs w:val="28"/>
                <w:lang w:val="lv-LV" w:eastAsia="lv-LV"/>
              </w:rPr>
            </w:pPr>
            <w:r w:rsidRPr="001E7BE3">
              <w:rPr>
                <w:rFonts w:eastAsia="Times New Roman"/>
                <w:sz w:val="28"/>
                <w:szCs w:val="28"/>
                <w:lang w:val="lv-LV" w:eastAsia="lv-LV"/>
              </w:rPr>
              <w:t>Norāda institūciju, kas ir atbildīga par šo saistību izpildi pilnībā</w:t>
            </w:r>
          </w:p>
        </w:tc>
        <w:tc>
          <w:tcPr>
            <w:tcW w:w="2033" w:type="dxa"/>
            <w:hideMark/>
          </w:tcPr>
          <w:p w:rsidR="002A58FD" w:rsidRPr="001E7BE3" w:rsidRDefault="002A58FD" w:rsidP="001E7BE3">
            <w:pPr>
              <w:rPr>
                <w:rFonts w:eastAsia="Times New Roman"/>
                <w:sz w:val="28"/>
                <w:szCs w:val="28"/>
                <w:lang w:val="lv-LV" w:eastAsia="lv-LV"/>
              </w:rPr>
            </w:pPr>
            <w:r w:rsidRPr="001E7BE3">
              <w:rPr>
                <w:rFonts w:eastAsia="Times New Roman"/>
                <w:sz w:val="28"/>
                <w:szCs w:val="28"/>
                <w:lang w:val="lv-LV" w:eastAsia="lv-LV"/>
              </w:rPr>
              <w:lastRenderedPageBreak/>
              <w:t xml:space="preserve">Informācija par to, vai šīs tabulas B ailē minētās projekta vienības paredz stingrākas prasības nekā šīs tabulas A ailē minētās ES </w:t>
            </w:r>
            <w:r w:rsidRPr="001E7BE3">
              <w:rPr>
                <w:rFonts w:eastAsia="Times New Roman"/>
                <w:sz w:val="28"/>
                <w:szCs w:val="28"/>
                <w:lang w:val="lv-LV" w:eastAsia="lv-LV"/>
              </w:rPr>
              <w:lastRenderedPageBreak/>
              <w:t>tiesību akta vienības.</w:t>
            </w:r>
          </w:p>
          <w:p w:rsidR="002A58FD" w:rsidRPr="001E7BE3" w:rsidRDefault="002A58FD" w:rsidP="001E7BE3">
            <w:pPr>
              <w:rPr>
                <w:rFonts w:eastAsia="Times New Roman"/>
                <w:sz w:val="28"/>
                <w:szCs w:val="28"/>
                <w:lang w:val="lv-LV" w:eastAsia="lv-LV"/>
              </w:rPr>
            </w:pPr>
          </w:p>
          <w:p w:rsidR="002A58FD" w:rsidRPr="001E7BE3" w:rsidRDefault="002A58FD" w:rsidP="001E7BE3">
            <w:pPr>
              <w:rPr>
                <w:rFonts w:eastAsia="Times New Roman"/>
                <w:sz w:val="28"/>
                <w:szCs w:val="28"/>
                <w:lang w:val="lv-LV" w:eastAsia="lv-LV"/>
              </w:rPr>
            </w:pPr>
            <w:r w:rsidRPr="001E7BE3">
              <w:rPr>
                <w:rFonts w:eastAsia="Times New Roman"/>
                <w:sz w:val="28"/>
                <w:szCs w:val="28"/>
                <w:lang w:val="lv-LV" w:eastAsia="lv-LV"/>
              </w:rPr>
              <w:t>Ja projekts satur stingrākas prasības nekā attiecīgais ES tiesību akts, – norāda pamatojumu un samērīgumu.</w:t>
            </w:r>
          </w:p>
          <w:p w:rsidR="002A58FD" w:rsidRPr="001E7BE3" w:rsidRDefault="002A58FD" w:rsidP="001E7BE3">
            <w:pPr>
              <w:rPr>
                <w:rFonts w:eastAsia="Times New Roman"/>
                <w:sz w:val="28"/>
                <w:szCs w:val="28"/>
                <w:lang w:val="lv-LV" w:eastAsia="lv-LV"/>
              </w:rPr>
            </w:pPr>
          </w:p>
          <w:p w:rsidR="002A58FD" w:rsidRPr="001E7BE3" w:rsidRDefault="002A58FD" w:rsidP="001E7BE3">
            <w:pPr>
              <w:rPr>
                <w:rFonts w:eastAsia="Times New Roman"/>
                <w:sz w:val="28"/>
                <w:szCs w:val="28"/>
                <w:lang w:val="lv-LV" w:eastAsia="lv-LV"/>
              </w:rPr>
            </w:pPr>
            <w:r w:rsidRPr="001E7BE3">
              <w:rPr>
                <w:rFonts w:eastAsia="Times New Roman"/>
                <w:sz w:val="28"/>
                <w:szCs w:val="28"/>
                <w:lang w:val="lv-LV" w:eastAsia="lv-LV"/>
              </w:rPr>
              <w:t>Norāda iespējamās alternatīvas (</w:t>
            </w:r>
            <w:proofErr w:type="spellStart"/>
            <w:r w:rsidRPr="001E7BE3">
              <w:rPr>
                <w:rFonts w:eastAsia="Times New Roman"/>
                <w:sz w:val="28"/>
                <w:szCs w:val="28"/>
                <w:lang w:val="lv-LV" w:eastAsia="lv-LV"/>
              </w:rPr>
              <w:t>t.sk</w:t>
            </w:r>
            <w:proofErr w:type="spellEnd"/>
            <w:r w:rsidRPr="001E7BE3">
              <w:rPr>
                <w:rFonts w:eastAsia="Times New Roman"/>
                <w:sz w:val="28"/>
                <w:szCs w:val="28"/>
                <w:lang w:val="lv-LV" w:eastAsia="lv-LV"/>
              </w:rPr>
              <w:t>. alternatīvas, kas neparedz tiesiskā regulējuma izstrādi) – kādos gadījumos būtu iespējams izvairīties no stingrāku prasību noteikšanas, nekā paredzēts attiecīgajos ES tiesību aktos</w:t>
            </w:r>
          </w:p>
        </w:tc>
      </w:tr>
      <w:tr w:rsidR="002A58FD" w:rsidRPr="001E7BE3" w:rsidTr="00D35D17">
        <w:trPr>
          <w:trHeight w:val="433"/>
          <w:tblCellSpacing w:w="0" w:type="dxa"/>
        </w:trPr>
        <w:tc>
          <w:tcPr>
            <w:tcW w:w="2003" w:type="dxa"/>
            <w:hideMark/>
          </w:tcPr>
          <w:p w:rsidR="002A58FD" w:rsidRPr="00BD0B72" w:rsidRDefault="002A58FD" w:rsidP="001E7BE3">
            <w:pPr>
              <w:rPr>
                <w:sz w:val="28"/>
                <w:szCs w:val="28"/>
                <w:lang w:val="lv-LV"/>
              </w:rPr>
            </w:pPr>
            <w:proofErr w:type="spellStart"/>
            <w:r w:rsidRPr="00BD0B72">
              <w:rPr>
                <w:rFonts w:eastAsia="Arial Unicode MS"/>
                <w:sz w:val="28"/>
                <w:szCs w:val="28"/>
              </w:rPr>
              <w:lastRenderedPageBreak/>
              <w:t>Komisijas</w:t>
            </w:r>
            <w:proofErr w:type="spellEnd"/>
            <w:r w:rsidRPr="00BD0B72">
              <w:rPr>
                <w:rFonts w:eastAsia="Arial Unicode MS"/>
                <w:sz w:val="28"/>
                <w:szCs w:val="28"/>
              </w:rPr>
              <w:t xml:space="preserve"> </w:t>
            </w:r>
            <w:proofErr w:type="spellStart"/>
            <w:r w:rsidRPr="00BD0B72">
              <w:rPr>
                <w:rFonts w:eastAsia="Arial Unicode MS"/>
                <w:sz w:val="28"/>
                <w:szCs w:val="28"/>
              </w:rPr>
              <w:t>lēmuma</w:t>
            </w:r>
            <w:proofErr w:type="spellEnd"/>
            <w:r w:rsidRPr="00BD0B72" w:rsidDel="0037568A">
              <w:rPr>
                <w:sz w:val="28"/>
                <w:szCs w:val="28"/>
                <w:lang w:val="lv-LV"/>
              </w:rPr>
              <w:t xml:space="preserve"> </w:t>
            </w:r>
            <w:r w:rsidRPr="00BD0B72">
              <w:rPr>
                <w:sz w:val="28"/>
                <w:szCs w:val="28"/>
                <w:lang w:val="lv-LV"/>
              </w:rPr>
              <w:t xml:space="preserve">2.panta 1.punkta </w:t>
            </w:r>
            <w:proofErr w:type="spellStart"/>
            <w:r w:rsidRPr="00BD0B72">
              <w:rPr>
                <w:sz w:val="28"/>
                <w:szCs w:val="28"/>
                <w:lang w:val="lv-LV"/>
              </w:rPr>
              <w:t>a)apakšpunkts</w:t>
            </w:r>
            <w:proofErr w:type="spellEnd"/>
            <w:r w:rsidRPr="00BD0B72">
              <w:rPr>
                <w:sz w:val="28"/>
                <w:szCs w:val="28"/>
                <w:lang w:val="lv-LV"/>
              </w:rPr>
              <w:t xml:space="preserve"> </w:t>
            </w:r>
          </w:p>
          <w:p w:rsidR="002A58FD" w:rsidRPr="00BD0B72" w:rsidRDefault="002A58FD" w:rsidP="001E7BE3">
            <w:pPr>
              <w:rPr>
                <w:sz w:val="28"/>
                <w:szCs w:val="28"/>
                <w:lang w:val="lv-LV"/>
              </w:rPr>
            </w:pPr>
          </w:p>
          <w:p w:rsidR="00083873" w:rsidRPr="00BD0B72" w:rsidRDefault="00083873" w:rsidP="001E7BE3">
            <w:pPr>
              <w:rPr>
                <w:sz w:val="28"/>
                <w:szCs w:val="28"/>
                <w:lang w:val="lv-LV"/>
              </w:rPr>
            </w:pPr>
          </w:p>
          <w:p w:rsidR="00083873" w:rsidRPr="00BD0B72" w:rsidRDefault="00083873" w:rsidP="001E7BE3">
            <w:pPr>
              <w:rPr>
                <w:sz w:val="28"/>
                <w:szCs w:val="28"/>
                <w:lang w:val="lv-LV"/>
              </w:rPr>
            </w:pPr>
          </w:p>
          <w:p w:rsidR="00083873" w:rsidRPr="00BD0B72" w:rsidRDefault="00083873" w:rsidP="001E7BE3">
            <w:pPr>
              <w:rPr>
                <w:sz w:val="28"/>
                <w:szCs w:val="28"/>
                <w:lang w:val="lv-LV"/>
              </w:rPr>
            </w:pPr>
          </w:p>
          <w:p w:rsidR="002A58FD" w:rsidRPr="00BD0B72" w:rsidRDefault="002A58FD" w:rsidP="001E7BE3">
            <w:pPr>
              <w:rPr>
                <w:sz w:val="28"/>
                <w:szCs w:val="28"/>
                <w:lang w:val="lv-LV"/>
              </w:rPr>
            </w:pPr>
            <w:proofErr w:type="spellStart"/>
            <w:r w:rsidRPr="00BD0B72">
              <w:rPr>
                <w:rFonts w:eastAsia="Arial Unicode MS"/>
                <w:sz w:val="28"/>
                <w:szCs w:val="28"/>
              </w:rPr>
              <w:t>Komisijas</w:t>
            </w:r>
            <w:proofErr w:type="spellEnd"/>
            <w:r w:rsidRPr="00BD0B72">
              <w:rPr>
                <w:rFonts w:eastAsia="Arial Unicode MS"/>
                <w:sz w:val="28"/>
                <w:szCs w:val="28"/>
              </w:rPr>
              <w:t xml:space="preserve"> </w:t>
            </w:r>
            <w:proofErr w:type="spellStart"/>
            <w:r w:rsidRPr="00BD0B72">
              <w:rPr>
                <w:rFonts w:eastAsia="Arial Unicode MS"/>
                <w:sz w:val="28"/>
                <w:szCs w:val="28"/>
              </w:rPr>
              <w:t>lēmuma</w:t>
            </w:r>
            <w:proofErr w:type="spellEnd"/>
            <w:r w:rsidRPr="00BD0B72">
              <w:rPr>
                <w:sz w:val="28"/>
                <w:szCs w:val="28"/>
                <w:lang w:val="lv-LV"/>
              </w:rPr>
              <w:t xml:space="preserve"> 2.panta </w:t>
            </w:r>
            <w:r w:rsidRPr="00BD0B72">
              <w:rPr>
                <w:sz w:val="28"/>
                <w:szCs w:val="28"/>
                <w:lang w:val="lv-LV"/>
              </w:rPr>
              <w:lastRenderedPageBreak/>
              <w:t>2.punkts</w:t>
            </w:r>
          </w:p>
          <w:p w:rsidR="002A58FD" w:rsidRPr="00BD0B72" w:rsidRDefault="002A58FD" w:rsidP="001E7BE3">
            <w:pPr>
              <w:rPr>
                <w:sz w:val="28"/>
                <w:szCs w:val="28"/>
                <w:lang w:val="lv-LV"/>
              </w:rPr>
            </w:pPr>
          </w:p>
          <w:p w:rsidR="002A58FD" w:rsidRPr="00BD0B72" w:rsidRDefault="002A58FD" w:rsidP="001E7BE3">
            <w:pPr>
              <w:rPr>
                <w:rFonts w:eastAsia="Arial Unicode MS"/>
                <w:sz w:val="28"/>
                <w:szCs w:val="28"/>
              </w:rPr>
            </w:pPr>
          </w:p>
          <w:p w:rsidR="002A58FD" w:rsidRPr="00BD0B72" w:rsidRDefault="002A58FD" w:rsidP="001E7BE3">
            <w:pPr>
              <w:rPr>
                <w:rFonts w:eastAsia="Arial Unicode MS"/>
                <w:sz w:val="28"/>
                <w:szCs w:val="28"/>
              </w:rPr>
            </w:pPr>
          </w:p>
          <w:p w:rsidR="00083873" w:rsidRPr="00BD0B72" w:rsidRDefault="00083873" w:rsidP="001E7BE3">
            <w:pPr>
              <w:rPr>
                <w:rFonts w:eastAsia="Arial Unicode MS"/>
                <w:sz w:val="28"/>
                <w:szCs w:val="28"/>
              </w:rPr>
            </w:pPr>
          </w:p>
          <w:p w:rsidR="00083873" w:rsidRPr="00BD0B72" w:rsidRDefault="00083873" w:rsidP="001E7BE3">
            <w:pPr>
              <w:rPr>
                <w:rFonts w:eastAsia="Arial Unicode MS"/>
                <w:sz w:val="28"/>
                <w:szCs w:val="28"/>
              </w:rPr>
            </w:pPr>
          </w:p>
          <w:p w:rsidR="002A58FD" w:rsidRPr="00BD0B72" w:rsidRDefault="002A58FD" w:rsidP="001E7BE3">
            <w:pPr>
              <w:rPr>
                <w:sz w:val="28"/>
                <w:szCs w:val="28"/>
                <w:lang w:val="lv-LV"/>
              </w:rPr>
            </w:pPr>
            <w:proofErr w:type="spellStart"/>
            <w:r w:rsidRPr="00BD0B72">
              <w:rPr>
                <w:rFonts w:eastAsia="Arial Unicode MS"/>
                <w:sz w:val="28"/>
                <w:szCs w:val="28"/>
              </w:rPr>
              <w:t>Komisijas</w:t>
            </w:r>
            <w:proofErr w:type="spellEnd"/>
            <w:r w:rsidRPr="00BD0B72">
              <w:rPr>
                <w:rFonts w:eastAsia="Arial Unicode MS"/>
                <w:sz w:val="28"/>
                <w:szCs w:val="28"/>
              </w:rPr>
              <w:t xml:space="preserve"> </w:t>
            </w:r>
            <w:proofErr w:type="spellStart"/>
            <w:r w:rsidRPr="00BD0B72">
              <w:rPr>
                <w:rFonts w:eastAsia="Arial Unicode MS"/>
                <w:sz w:val="28"/>
                <w:szCs w:val="28"/>
              </w:rPr>
              <w:t>lēmuma</w:t>
            </w:r>
            <w:proofErr w:type="spellEnd"/>
            <w:r w:rsidRPr="00BD0B72">
              <w:rPr>
                <w:rFonts w:eastAsia="Arial Unicode MS"/>
                <w:sz w:val="28"/>
                <w:szCs w:val="28"/>
              </w:rPr>
              <w:t xml:space="preserve"> </w:t>
            </w:r>
            <w:r w:rsidRPr="00BD0B72">
              <w:rPr>
                <w:sz w:val="28"/>
                <w:szCs w:val="28"/>
                <w:lang w:val="lv-LV"/>
              </w:rPr>
              <w:t xml:space="preserve">4.panta </w:t>
            </w:r>
            <w:proofErr w:type="spellStart"/>
            <w:r w:rsidRPr="00BD0B72">
              <w:rPr>
                <w:sz w:val="28"/>
                <w:szCs w:val="28"/>
                <w:lang w:val="lv-LV"/>
              </w:rPr>
              <w:t>a)apakšpunkts</w:t>
            </w:r>
            <w:proofErr w:type="spellEnd"/>
          </w:p>
          <w:p w:rsidR="002A58FD" w:rsidRPr="00BD0B72" w:rsidRDefault="002A58FD" w:rsidP="001E7BE3">
            <w:pPr>
              <w:rPr>
                <w:sz w:val="28"/>
                <w:szCs w:val="28"/>
                <w:lang w:val="lv-LV"/>
              </w:rPr>
            </w:pPr>
          </w:p>
          <w:p w:rsidR="002A58FD" w:rsidRPr="00BD0B72" w:rsidRDefault="002A58FD" w:rsidP="001E7BE3">
            <w:pPr>
              <w:rPr>
                <w:rFonts w:eastAsia="Arial Unicode MS"/>
                <w:sz w:val="28"/>
                <w:szCs w:val="28"/>
              </w:rPr>
            </w:pPr>
          </w:p>
          <w:p w:rsidR="002A58FD" w:rsidRPr="00BD0B72" w:rsidRDefault="002A58FD" w:rsidP="001E7BE3">
            <w:pPr>
              <w:rPr>
                <w:rFonts w:eastAsia="Arial Unicode MS"/>
                <w:sz w:val="28"/>
                <w:szCs w:val="28"/>
              </w:rPr>
            </w:pPr>
          </w:p>
          <w:p w:rsidR="00083873" w:rsidRPr="00BD0B72" w:rsidRDefault="00083873" w:rsidP="001E7BE3">
            <w:pPr>
              <w:rPr>
                <w:rFonts w:eastAsia="Arial Unicode MS"/>
                <w:sz w:val="28"/>
                <w:szCs w:val="28"/>
              </w:rPr>
            </w:pPr>
          </w:p>
          <w:p w:rsidR="00083873" w:rsidRPr="00BD0B72" w:rsidRDefault="00083873" w:rsidP="001E7BE3">
            <w:pPr>
              <w:rPr>
                <w:rFonts w:eastAsia="Arial Unicode MS"/>
                <w:sz w:val="28"/>
                <w:szCs w:val="28"/>
              </w:rPr>
            </w:pPr>
          </w:p>
          <w:p w:rsidR="002A58FD" w:rsidRPr="00BD0B72" w:rsidRDefault="002A58FD" w:rsidP="001E7BE3">
            <w:pPr>
              <w:rPr>
                <w:sz w:val="28"/>
                <w:szCs w:val="28"/>
                <w:lang w:val="lv-LV"/>
              </w:rPr>
            </w:pPr>
            <w:proofErr w:type="spellStart"/>
            <w:r w:rsidRPr="00BD0B72">
              <w:rPr>
                <w:rFonts w:eastAsia="Arial Unicode MS"/>
                <w:sz w:val="28"/>
                <w:szCs w:val="28"/>
              </w:rPr>
              <w:t>Komisijas</w:t>
            </w:r>
            <w:proofErr w:type="spellEnd"/>
            <w:r w:rsidRPr="00BD0B72">
              <w:rPr>
                <w:rFonts w:eastAsia="Arial Unicode MS"/>
                <w:sz w:val="28"/>
                <w:szCs w:val="28"/>
              </w:rPr>
              <w:t xml:space="preserve"> </w:t>
            </w:r>
            <w:proofErr w:type="spellStart"/>
            <w:r w:rsidRPr="00BD0B72">
              <w:rPr>
                <w:rFonts w:eastAsia="Arial Unicode MS"/>
                <w:sz w:val="28"/>
                <w:szCs w:val="28"/>
              </w:rPr>
              <w:t>lēmuma</w:t>
            </w:r>
            <w:proofErr w:type="spellEnd"/>
            <w:r w:rsidRPr="00BD0B72">
              <w:rPr>
                <w:rFonts w:eastAsia="Arial Unicode MS"/>
                <w:sz w:val="28"/>
                <w:szCs w:val="28"/>
              </w:rPr>
              <w:t xml:space="preserve"> </w:t>
            </w:r>
            <w:r w:rsidRPr="00BD0B72">
              <w:rPr>
                <w:sz w:val="28"/>
                <w:szCs w:val="28"/>
                <w:lang w:val="lv-LV"/>
              </w:rPr>
              <w:t xml:space="preserve">4.panta b) apakšpunkts </w:t>
            </w:r>
          </w:p>
          <w:p w:rsidR="002A58FD" w:rsidRPr="00BD0B72" w:rsidRDefault="002A58FD" w:rsidP="001E7BE3">
            <w:pPr>
              <w:rPr>
                <w:sz w:val="28"/>
                <w:szCs w:val="28"/>
                <w:lang w:val="lv-LV"/>
              </w:rPr>
            </w:pPr>
          </w:p>
          <w:p w:rsidR="002A58FD" w:rsidRPr="00BD0B72" w:rsidRDefault="002A58FD" w:rsidP="001E7BE3">
            <w:pPr>
              <w:rPr>
                <w:sz w:val="28"/>
                <w:szCs w:val="28"/>
                <w:lang w:val="lv-LV"/>
              </w:rPr>
            </w:pPr>
          </w:p>
          <w:p w:rsidR="002A58FD" w:rsidRPr="00BD0B72" w:rsidRDefault="002A58FD" w:rsidP="001E7BE3">
            <w:pPr>
              <w:rPr>
                <w:sz w:val="28"/>
                <w:szCs w:val="28"/>
                <w:lang w:val="lv-LV"/>
              </w:rPr>
            </w:pPr>
          </w:p>
          <w:p w:rsidR="00083873" w:rsidRPr="00BD0B72" w:rsidRDefault="00083873" w:rsidP="001E7BE3">
            <w:pPr>
              <w:rPr>
                <w:rFonts w:eastAsia="Arial Unicode MS"/>
                <w:sz w:val="28"/>
                <w:szCs w:val="28"/>
              </w:rPr>
            </w:pPr>
          </w:p>
          <w:p w:rsidR="00083873" w:rsidRPr="00BD0B72" w:rsidRDefault="00083873" w:rsidP="001E7BE3">
            <w:pPr>
              <w:rPr>
                <w:rFonts w:eastAsia="Arial Unicode MS"/>
                <w:sz w:val="28"/>
                <w:szCs w:val="28"/>
              </w:rPr>
            </w:pPr>
          </w:p>
          <w:p w:rsidR="00083873" w:rsidRPr="00BD0B72" w:rsidRDefault="002A58FD" w:rsidP="001E7BE3">
            <w:pPr>
              <w:rPr>
                <w:rFonts w:eastAsia="Arial Unicode MS"/>
                <w:sz w:val="28"/>
                <w:szCs w:val="28"/>
              </w:rPr>
            </w:pPr>
            <w:proofErr w:type="spellStart"/>
            <w:r w:rsidRPr="00BD0B72">
              <w:rPr>
                <w:rFonts w:eastAsia="Arial Unicode MS"/>
                <w:sz w:val="28"/>
                <w:szCs w:val="28"/>
              </w:rPr>
              <w:t>Komisijas</w:t>
            </w:r>
            <w:proofErr w:type="spellEnd"/>
            <w:r w:rsidRPr="00BD0B72">
              <w:rPr>
                <w:rFonts w:eastAsia="Arial Unicode MS"/>
                <w:sz w:val="28"/>
                <w:szCs w:val="28"/>
              </w:rPr>
              <w:t xml:space="preserve"> </w:t>
            </w:r>
          </w:p>
          <w:p w:rsidR="002A58FD" w:rsidRPr="00BD0B72" w:rsidRDefault="002A58FD" w:rsidP="001E7BE3">
            <w:pPr>
              <w:rPr>
                <w:sz w:val="28"/>
                <w:szCs w:val="28"/>
                <w:lang w:val="lv-LV"/>
              </w:rPr>
            </w:pPr>
            <w:proofErr w:type="spellStart"/>
            <w:r w:rsidRPr="00BD0B72">
              <w:rPr>
                <w:rFonts w:eastAsia="Arial Unicode MS"/>
                <w:sz w:val="28"/>
                <w:szCs w:val="28"/>
              </w:rPr>
              <w:t>lēmuma</w:t>
            </w:r>
            <w:proofErr w:type="spellEnd"/>
            <w:r w:rsidRPr="00BD0B72">
              <w:rPr>
                <w:rFonts w:eastAsia="Arial Unicode MS"/>
                <w:sz w:val="28"/>
                <w:szCs w:val="28"/>
              </w:rPr>
              <w:t xml:space="preserve"> </w:t>
            </w:r>
            <w:r w:rsidR="00083873" w:rsidRPr="00BD0B72">
              <w:rPr>
                <w:sz w:val="28"/>
                <w:szCs w:val="28"/>
                <w:lang w:val="lv-LV"/>
              </w:rPr>
              <w:t xml:space="preserve">4.panta </w:t>
            </w:r>
            <w:proofErr w:type="spellStart"/>
            <w:r w:rsidR="00083873" w:rsidRPr="00BD0B72">
              <w:rPr>
                <w:sz w:val="28"/>
                <w:szCs w:val="28"/>
                <w:lang w:val="lv-LV"/>
              </w:rPr>
              <w:t>c)apakšpunkts</w:t>
            </w:r>
            <w:proofErr w:type="spellEnd"/>
          </w:p>
          <w:p w:rsidR="002A58FD" w:rsidRPr="00BD0B72" w:rsidRDefault="002A58FD" w:rsidP="001E7BE3">
            <w:pPr>
              <w:rPr>
                <w:sz w:val="28"/>
                <w:szCs w:val="28"/>
                <w:lang w:val="lv-LV"/>
              </w:rPr>
            </w:pPr>
          </w:p>
          <w:p w:rsidR="002A58FD" w:rsidRPr="00BD0B72" w:rsidRDefault="002A58FD" w:rsidP="001E7BE3">
            <w:pPr>
              <w:rPr>
                <w:sz w:val="28"/>
                <w:szCs w:val="28"/>
                <w:lang w:val="lv-LV"/>
              </w:rPr>
            </w:pPr>
          </w:p>
          <w:p w:rsidR="002A58FD" w:rsidRPr="00BD0B72" w:rsidRDefault="002A58FD" w:rsidP="001E7BE3">
            <w:pPr>
              <w:rPr>
                <w:sz w:val="28"/>
                <w:szCs w:val="28"/>
                <w:lang w:val="lv-LV"/>
              </w:rPr>
            </w:pPr>
          </w:p>
          <w:p w:rsidR="00083873" w:rsidRPr="00BD0B72" w:rsidRDefault="00083873" w:rsidP="001E7BE3">
            <w:pPr>
              <w:rPr>
                <w:rFonts w:eastAsia="Arial Unicode MS"/>
                <w:sz w:val="28"/>
                <w:szCs w:val="28"/>
              </w:rPr>
            </w:pPr>
          </w:p>
          <w:p w:rsidR="00083873" w:rsidRPr="00BD0B72" w:rsidRDefault="00083873" w:rsidP="001E7BE3">
            <w:pPr>
              <w:rPr>
                <w:rFonts w:eastAsia="Arial Unicode MS"/>
                <w:sz w:val="28"/>
                <w:szCs w:val="28"/>
              </w:rPr>
            </w:pPr>
          </w:p>
          <w:p w:rsidR="00083873" w:rsidRPr="00BD0B72" w:rsidRDefault="002A58FD" w:rsidP="001E7BE3">
            <w:pPr>
              <w:rPr>
                <w:rFonts w:eastAsia="Arial Unicode MS"/>
                <w:sz w:val="28"/>
                <w:szCs w:val="28"/>
              </w:rPr>
            </w:pPr>
            <w:proofErr w:type="spellStart"/>
            <w:r w:rsidRPr="00BD0B72">
              <w:rPr>
                <w:rFonts w:eastAsia="Arial Unicode MS"/>
                <w:sz w:val="28"/>
                <w:szCs w:val="28"/>
              </w:rPr>
              <w:t>Komisijas</w:t>
            </w:r>
            <w:proofErr w:type="spellEnd"/>
            <w:r w:rsidRPr="00BD0B72">
              <w:rPr>
                <w:rFonts w:eastAsia="Arial Unicode MS"/>
                <w:sz w:val="28"/>
                <w:szCs w:val="28"/>
              </w:rPr>
              <w:t xml:space="preserve"> </w:t>
            </w:r>
          </w:p>
          <w:p w:rsidR="002A58FD" w:rsidRPr="00BD0B72" w:rsidRDefault="002A58FD" w:rsidP="001E7BE3">
            <w:pPr>
              <w:rPr>
                <w:sz w:val="28"/>
                <w:szCs w:val="28"/>
                <w:lang w:val="lv-LV"/>
              </w:rPr>
            </w:pPr>
            <w:proofErr w:type="spellStart"/>
            <w:r w:rsidRPr="00BD0B72">
              <w:rPr>
                <w:rFonts w:eastAsia="Arial Unicode MS"/>
                <w:sz w:val="28"/>
                <w:szCs w:val="28"/>
              </w:rPr>
              <w:t>lēmuma</w:t>
            </w:r>
            <w:proofErr w:type="spellEnd"/>
            <w:r w:rsidRPr="00BD0B72">
              <w:rPr>
                <w:sz w:val="28"/>
                <w:szCs w:val="28"/>
                <w:lang w:val="lv-LV"/>
              </w:rPr>
              <w:t xml:space="preserve"> 4.panta </w:t>
            </w:r>
            <w:proofErr w:type="spellStart"/>
            <w:r w:rsidRPr="00BD0B72">
              <w:rPr>
                <w:sz w:val="28"/>
                <w:szCs w:val="28"/>
                <w:lang w:val="lv-LV"/>
              </w:rPr>
              <w:t>d)apakšpunkts</w:t>
            </w:r>
            <w:proofErr w:type="spellEnd"/>
          </w:p>
          <w:p w:rsidR="002A58FD" w:rsidRPr="00BD0B72" w:rsidRDefault="002A58FD" w:rsidP="001E7BE3">
            <w:pPr>
              <w:rPr>
                <w:sz w:val="28"/>
                <w:szCs w:val="28"/>
                <w:lang w:val="lv-LV"/>
              </w:rPr>
            </w:pPr>
          </w:p>
          <w:p w:rsidR="002A58FD" w:rsidRPr="00BD0B72" w:rsidRDefault="002A58FD" w:rsidP="001E7BE3">
            <w:pPr>
              <w:rPr>
                <w:sz w:val="28"/>
                <w:szCs w:val="28"/>
                <w:lang w:val="lv-LV"/>
              </w:rPr>
            </w:pPr>
          </w:p>
          <w:p w:rsidR="002A58FD" w:rsidRPr="00BD0B72" w:rsidRDefault="002A58FD" w:rsidP="001E7BE3">
            <w:pPr>
              <w:rPr>
                <w:sz w:val="28"/>
                <w:szCs w:val="28"/>
                <w:lang w:val="lv-LV"/>
              </w:rPr>
            </w:pPr>
          </w:p>
          <w:p w:rsidR="00083873" w:rsidRPr="00BD0B72" w:rsidRDefault="00083873" w:rsidP="001E7BE3">
            <w:pPr>
              <w:rPr>
                <w:rFonts w:eastAsia="Arial Unicode MS"/>
                <w:sz w:val="28"/>
                <w:szCs w:val="28"/>
              </w:rPr>
            </w:pPr>
          </w:p>
          <w:p w:rsidR="00083873" w:rsidRPr="00BD0B72" w:rsidRDefault="00083873" w:rsidP="001E7BE3">
            <w:pPr>
              <w:rPr>
                <w:rFonts w:eastAsia="Arial Unicode MS"/>
                <w:sz w:val="28"/>
                <w:szCs w:val="28"/>
              </w:rPr>
            </w:pPr>
          </w:p>
          <w:p w:rsidR="00083873" w:rsidRPr="00BD0B72" w:rsidRDefault="002A58FD" w:rsidP="001E7BE3">
            <w:pPr>
              <w:rPr>
                <w:rFonts w:eastAsia="Arial Unicode MS"/>
                <w:sz w:val="28"/>
                <w:szCs w:val="28"/>
              </w:rPr>
            </w:pPr>
            <w:proofErr w:type="spellStart"/>
            <w:r w:rsidRPr="00BD0B72">
              <w:rPr>
                <w:rFonts w:eastAsia="Arial Unicode MS"/>
                <w:sz w:val="28"/>
                <w:szCs w:val="28"/>
              </w:rPr>
              <w:t>Komisijas</w:t>
            </w:r>
            <w:proofErr w:type="spellEnd"/>
            <w:r w:rsidRPr="00BD0B72">
              <w:rPr>
                <w:rFonts w:eastAsia="Arial Unicode MS"/>
                <w:sz w:val="28"/>
                <w:szCs w:val="28"/>
              </w:rPr>
              <w:t xml:space="preserve"> </w:t>
            </w:r>
          </w:p>
          <w:p w:rsidR="002A58FD" w:rsidRPr="00BD0B72" w:rsidRDefault="002A58FD" w:rsidP="001E7BE3">
            <w:pPr>
              <w:rPr>
                <w:sz w:val="28"/>
                <w:szCs w:val="28"/>
                <w:lang w:val="lv-LV"/>
              </w:rPr>
            </w:pPr>
            <w:proofErr w:type="spellStart"/>
            <w:r w:rsidRPr="00BD0B72">
              <w:rPr>
                <w:rFonts w:eastAsia="Arial Unicode MS"/>
                <w:sz w:val="28"/>
                <w:szCs w:val="28"/>
              </w:rPr>
              <w:t>lēmuma</w:t>
            </w:r>
            <w:proofErr w:type="spellEnd"/>
            <w:r w:rsidRPr="00BD0B72">
              <w:rPr>
                <w:sz w:val="28"/>
                <w:szCs w:val="28"/>
                <w:lang w:val="lv-LV"/>
              </w:rPr>
              <w:t xml:space="preserve"> 4.panta </w:t>
            </w:r>
            <w:proofErr w:type="spellStart"/>
            <w:r w:rsidRPr="00BD0B72">
              <w:rPr>
                <w:sz w:val="28"/>
                <w:szCs w:val="28"/>
                <w:lang w:val="lv-LV"/>
              </w:rPr>
              <w:lastRenderedPageBreak/>
              <w:t>e)apakšpunkts</w:t>
            </w:r>
            <w:proofErr w:type="spellEnd"/>
          </w:p>
          <w:p w:rsidR="002A58FD" w:rsidRPr="00BD0B72" w:rsidRDefault="002A58FD" w:rsidP="001E7BE3">
            <w:pPr>
              <w:rPr>
                <w:sz w:val="28"/>
                <w:szCs w:val="28"/>
                <w:lang w:val="lv-LV"/>
              </w:rPr>
            </w:pPr>
          </w:p>
          <w:p w:rsidR="002A58FD" w:rsidRPr="00BD0B72" w:rsidRDefault="002A58FD" w:rsidP="001E7BE3">
            <w:pPr>
              <w:rPr>
                <w:sz w:val="28"/>
                <w:szCs w:val="28"/>
                <w:lang w:val="lv-LV"/>
              </w:rPr>
            </w:pPr>
          </w:p>
          <w:p w:rsidR="002A58FD" w:rsidRPr="00BD0B72" w:rsidRDefault="002A58FD" w:rsidP="001E7BE3">
            <w:pPr>
              <w:rPr>
                <w:sz w:val="28"/>
                <w:szCs w:val="28"/>
                <w:lang w:val="lv-LV"/>
              </w:rPr>
            </w:pPr>
          </w:p>
          <w:p w:rsidR="00083873" w:rsidRPr="00BD0B72" w:rsidRDefault="00083873" w:rsidP="001E7BE3">
            <w:pPr>
              <w:rPr>
                <w:rFonts w:eastAsia="Arial Unicode MS"/>
                <w:sz w:val="28"/>
                <w:szCs w:val="28"/>
              </w:rPr>
            </w:pPr>
          </w:p>
          <w:p w:rsidR="00083873" w:rsidRPr="00BD0B72" w:rsidRDefault="00083873" w:rsidP="001E7BE3">
            <w:pPr>
              <w:rPr>
                <w:rFonts w:eastAsia="Arial Unicode MS"/>
                <w:sz w:val="28"/>
                <w:szCs w:val="28"/>
              </w:rPr>
            </w:pPr>
          </w:p>
          <w:p w:rsidR="00083873" w:rsidRPr="00BD0B72" w:rsidRDefault="002A58FD" w:rsidP="001E7BE3">
            <w:pPr>
              <w:rPr>
                <w:rFonts w:eastAsia="Arial Unicode MS"/>
                <w:sz w:val="28"/>
                <w:szCs w:val="28"/>
              </w:rPr>
            </w:pPr>
            <w:proofErr w:type="spellStart"/>
            <w:r w:rsidRPr="00BD0B72">
              <w:rPr>
                <w:rFonts w:eastAsia="Arial Unicode MS"/>
                <w:sz w:val="28"/>
                <w:szCs w:val="28"/>
              </w:rPr>
              <w:t>Komisijas</w:t>
            </w:r>
            <w:proofErr w:type="spellEnd"/>
            <w:r w:rsidRPr="00BD0B72">
              <w:rPr>
                <w:rFonts w:eastAsia="Arial Unicode MS"/>
                <w:sz w:val="28"/>
                <w:szCs w:val="28"/>
              </w:rPr>
              <w:t xml:space="preserve"> </w:t>
            </w:r>
          </w:p>
          <w:p w:rsidR="002A58FD" w:rsidRPr="00BD0B72" w:rsidRDefault="002A58FD" w:rsidP="001E7BE3">
            <w:pPr>
              <w:rPr>
                <w:sz w:val="28"/>
                <w:szCs w:val="28"/>
                <w:lang w:val="lv-LV"/>
              </w:rPr>
            </w:pPr>
            <w:proofErr w:type="spellStart"/>
            <w:r w:rsidRPr="00BD0B72">
              <w:rPr>
                <w:rFonts w:eastAsia="Arial Unicode MS"/>
                <w:sz w:val="28"/>
                <w:szCs w:val="28"/>
              </w:rPr>
              <w:t>lēmuma</w:t>
            </w:r>
            <w:proofErr w:type="spellEnd"/>
            <w:r w:rsidRPr="00BD0B72">
              <w:rPr>
                <w:sz w:val="28"/>
                <w:szCs w:val="28"/>
                <w:lang w:val="lv-LV"/>
              </w:rPr>
              <w:t xml:space="preserve"> 4.panta </w:t>
            </w:r>
            <w:proofErr w:type="spellStart"/>
            <w:r w:rsidRPr="00BD0B72">
              <w:rPr>
                <w:sz w:val="28"/>
                <w:szCs w:val="28"/>
                <w:lang w:val="lv-LV"/>
              </w:rPr>
              <w:t>f)apakšpunkts</w:t>
            </w:r>
            <w:proofErr w:type="spellEnd"/>
          </w:p>
          <w:p w:rsidR="002A58FD" w:rsidRPr="00BD0B72" w:rsidRDefault="002A58FD" w:rsidP="001E7BE3">
            <w:pPr>
              <w:rPr>
                <w:sz w:val="28"/>
                <w:szCs w:val="28"/>
                <w:lang w:val="lv-LV"/>
              </w:rPr>
            </w:pPr>
          </w:p>
          <w:p w:rsidR="002A58FD" w:rsidRPr="00BD0B72" w:rsidRDefault="002A58FD" w:rsidP="001E7BE3">
            <w:pPr>
              <w:rPr>
                <w:rFonts w:eastAsia="Arial Unicode MS"/>
                <w:sz w:val="28"/>
                <w:szCs w:val="28"/>
              </w:rPr>
            </w:pPr>
          </w:p>
          <w:p w:rsidR="002A58FD" w:rsidRPr="00BD0B72" w:rsidRDefault="002A58FD" w:rsidP="001E7BE3">
            <w:pPr>
              <w:rPr>
                <w:rFonts w:eastAsia="Arial Unicode MS"/>
                <w:sz w:val="28"/>
                <w:szCs w:val="28"/>
              </w:rPr>
            </w:pPr>
          </w:p>
          <w:p w:rsidR="00083873" w:rsidRPr="00BD0B72" w:rsidRDefault="00083873" w:rsidP="001E7BE3">
            <w:pPr>
              <w:rPr>
                <w:rFonts w:eastAsia="Arial Unicode MS"/>
                <w:sz w:val="28"/>
                <w:szCs w:val="28"/>
              </w:rPr>
            </w:pPr>
          </w:p>
          <w:p w:rsidR="00083873" w:rsidRPr="00BD0B72" w:rsidRDefault="00083873" w:rsidP="001E7BE3">
            <w:pPr>
              <w:rPr>
                <w:rFonts w:eastAsia="Arial Unicode MS"/>
                <w:sz w:val="28"/>
                <w:szCs w:val="28"/>
              </w:rPr>
            </w:pPr>
          </w:p>
          <w:p w:rsidR="00083873" w:rsidRPr="00BD0B72" w:rsidRDefault="002A58FD" w:rsidP="001E7BE3">
            <w:pPr>
              <w:rPr>
                <w:rFonts w:eastAsia="Arial Unicode MS"/>
                <w:sz w:val="28"/>
                <w:szCs w:val="28"/>
              </w:rPr>
            </w:pPr>
            <w:proofErr w:type="spellStart"/>
            <w:r w:rsidRPr="00BD0B72">
              <w:rPr>
                <w:rFonts w:eastAsia="Arial Unicode MS"/>
                <w:sz w:val="28"/>
                <w:szCs w:val="28"/>
              </w:rPr>
              <w:t>Komisijas</w:t>
            </w:r>
            <w:proofErr w:type="spellEnd"/>
            <w:r w:rsidRPr="00BD0B72">
              <w:rPr>
                <w:rFonts w:eastAsia="Arial Unicode MS"/>
                <w:sz w:val="28"/>
                <w:szCs w:val="28"/>
              </w:rPr>
              <w:t xml:space="preserve"> </w:t>
            </w:r>
          </w:p>
          <w:p w:rsidR="002A58FD" w:rsidRPr="00BD0B72" w:rsidRDefault="002A58FD" w:rsidP="001E7BE3">
            <w:pPr>
              <w:rPr>
                <w:sz w:val="28"/>
                <w:szCs w:val="28"/>
                <w:lang w:val="lv-LV"/>
              </w:rPr>
            </w:pPr>
            <w:proofErr w:type="spellStart"/>
            <w:r w:rsidRPr="00BD0B72">
              <w:rPr>
                <w:rFonts w:eastAsia="Arial Unicode MS"/>
                <w:sz w:val="28"/>
                <w:szCs w:val="28"/>
              </w:rPr>
              <w:t>lēmuma</w:t>
            </w:r>
            <w:proofErr w:type="spellEnd"/>
            <w:r w:rsidRPr="00BD0B72">
              <w:rPr>
                <w:sz w:val="28"/>
                <w:szCs w:val="28"/>
                <w:lang w:val="lv-LV"/>
              </w:rPr>
              <w:t xml:space="preserve"> 5.panta 5.punkts</w:t>
            </w:r>
          </w:p>
        </w:tc>
        <w:tc>
          <w:tcPr>
            <w:tcW w:w="2452" w:type="dxa"/>
            <w:hideMark/>
          </w:tcPr>
          <w:p w:rsidR="00F871BA" w:rsidRPr="00BD0B72" w:rsidRDefault="00F871BA" w:rsidP="001E7BE3">
            <w:pPr>
              <w:rPr>
                <w:rFonts w:eastAsia="Times New Roman"/>
                <w:sz w:val="28"/>
                <w:szCs w:val="28"/>
                <w:lang w:val="lv-LV"/>
              </w:rPr>
            </w:pPr>
            <w:r w:rsidRPr="00BD0B72">
              <w:rPr>
                <w:sz w:val="28"/>
                <w:szCs w:val="28"/>
                <w:lang w:val="lv-LV"/>
              </w:rPr>
              <w:lastRenderedPageBreak/>
              <w:t>Tiesību akta projekta 9.punktā izteiktais MK noteikumu Nr.162</w:t>
            </w:r>
            <w:r w:rsidR="00BE72A9" w:rsidRPr="00BD0B72">
              <w:rPr>
                <w:sz w:val="28"/>
                <w:szCs w:val="28"/>
                <w:lang w:val="lv-LV"/>
              </w:rPr>
              <w:t xml:space="preserve"> 68</w:t>
            </w:r>
            <w:r w:rsidRPr="00BD0B72">
              <w:rPr>
                <w:sz w:val="28"/>
                <w:szCs w:val="28"/>
                <w:lang w:val="lv-LV"/>
              </w:rPr>
              <w:t>.1.apakšpunkts</w:t>
            </w:r>
            <w:r w:rsidRPr="00BD0B72">
              <w:rPr>
                <w:rFonts w:eastAsia="Times New Roman"/>
                <w:sz w:val="28"/>
                <w:szCs w:val="28"/>
                <w:lang w:val="lv-LV"/>
              </w:rPr>
              <w:t>.</w:t>
            </w:r>
          </w:p>
          <w:p w:rsidR="00F871BA" w:rsidRPr="00BD0B72" w:rsidRDefault="00F871BA" w:rsidP="001E7BE3">
            <w:pPr>
              <w:rPr>
                <w:rFonts w:eastAsia="Times New Roman"/>
                <w:sz w:val="28"/>
                <w:szCs w:val="28"/>
                <w:lang w:val="lv-LV"/>
              </w:rPr>
            </w:pPr>
          </w:p>
          <w:p w:rsidR="00F871BA" w:rsidRPr="00BD0B72" w:rsidRDefault="00F871BA" w:rsidP="001E7BE3">
            <w:pPr>
              <w:rPr>
                <w:rFonts w:eastAsia="Times New Roman"/>
                <w:sz w:val="28"/>
                <w:szCs w:val="28"/>
                <w:lang w:val="lv-LV"/>
              </w:rPr>
            </w:pPr>
          </w:p>
          <w:p w:rsidR="00F871BA" w:rsidRPr="00BD0B72" w:rsidRDefault="00F871BA" w:rsidP="001E7BE3">
            <w:pPr>
              <w:rPr>
                <w:rFonts w:eastAsia="Times New Roman"/>
                <w:sz w:val="28"/>
                <w:szCs w:val="28"/>
                <w:lang w:val="lv-LV"/>
              </w:rPr>
            </w:pPr>
          </w:p>
          <w:p w:rsidR="00F871BA" w:rsidRPr="00BD0B72" w:rsidRDefault="00F871BA" w:rsidP="001E7BE3">
            <w:pPr>
              <w:rPr>
                <w:rFonts w:eastAsia="Times New Roman"/>
                <w:sz w:val="28"/>
                <w:szCs w:val="28"/>
                <w:lang w:val="lv-LV"/>
              </w:rPr>
            </w:pPr>
            <w:r w:rsidRPr="00BD0B72">
              <w:rPr>
                <w:sz w:val="28"/>
                <w:szCs w:val="28"/>
                <w:lang w:val="lv-LV"/>
              </w:rPr>
              <w:t>Tiesību akta projekta 9.punkt</w:t>
            </w:r>
            <w:r w:rsidR="00D56652" w:rsidRPr="00BD0B72">
              <w:rPr>
                <w:sz w:val="28"/>
                <w:szCs w:val="28"/>
                <w:lang w:val="lv-LV"/>
              </w:rPr>
              <w:t xml:space="preserve">ā </w:t>
            </w:r>
            <w:r w:rsidR="00D56652" w:rsidRPr="00BD0B72">
              <w:rPr>
                <w:sz w:val="28"/>
                <w:szCs w:val="28"/>
                <w:lang w:val="lv-LV"/>
              </w:rPr>
              <w:lastRenderedPageBreak/>
              <w:t>izteiktais MK noteikumu Nr.</w:t>
            </w:r>
            <w:r w:rsidRPr="00BD0B72">
              <w:rPr>
                <w:sz w:val="28"/>
                <w:szCs w:val="28"/>
                <w:lang w:val="lv-LV"/>
              </w:rPr>
              <w:t>162</w:t>
            </w:r>
            <w:r w:rsidR="00BE72A9" w:rsidRPr="00BD0B72">
              <w:rPr>
                <w:sz w:val="28"/>
                <w:szCs w:val="28"/>
                <w:lang w:val="lv-LV"/>
              </w:rPr>
              <w:t xml:space="preserve"> 68</w:t>
            </w:r>
            <w:r w:rsidRPr="00BD0B72">
              <w:rPr>
                <w:sz w:val="28"/>
                <w:szCs w:val="28"/>
                <w:lang w:val="lv-LV"/>
              </w:rPr>
              <w:t>.2.3.apakšpunkts</w:t>
            </w:r>
            <w:r w:rsidRPr="00BD0B72">
              <w:rPr>
                <w:rFonts w:eastAsia="Times New Roman"/>
                <w:sz w:val="28"/>
                <w:szCs w:val="28"/>
                <w:lang w:val="lv-LV"/>
              </w:rPr>
              <w:t>.</w:t>
            </w:r>
          </w:p>
          <w:p w:rsidR="00F871BA" w:rsidRPr="00BD0B72" w:rsidRDefault="00F871BA" w:rsidP="001E7BE3">
            <w:pPr>
              <w:rPr>
                <w:rFonts w:eastAsia="Times New Roman"/>
                <w:sz w:val="28"/>
                <w:szCs w:val="28"/>
                <w:lang w:val="lv-LV"/>
              </w:rPr>
            </w:pPr>
          </w:p>
          <w:p w:rsidR="00F871BA" w:rsidRPr="00BD0B72" w:rsidRDefault="00F871BA" w:rsidP="001E7BE3">
            <w:pPr>
              <w:rPr>
                <w:rFonts w:eastAsia="Times New Roman"/>
                <w:sz w:val="28"/>
                <w:szCs w:val="28"/>
                <w:lang w:val="lv-LV"/>
              </w:rPr>
            </w:pPr>
          </w:p>
          <w:p w:rsidR="00F871BA" w:rsidRPr="00BD0B72" w:rsidRDefault="00F871BA" w:rsidP="001E7BE3">
            <w:pPr>
              <w:rPr>
                <w:rFonts w:eastAsia="Times New Roman"/>
                <w:sz w:val="28"/>
                <w:szCs w:val="28"/>
                <w:lang w:val="lv-LV"/>
              </w:rPr>
            </w:pPr>
            <w:r w:rsidRPr="00BD0B72">
              <w:rPr>
                <w:sz w:val="28"/>
                <w:szCs w:val="28"/>
                <w:lang w:val="lv-LV"/>
              </w:rPr>
              <w:t>Tiesību akta projekta 9.punktā izteiktais MK noteikumu Nr.162</w:t>
            </w:r>
            <w:r w:rsidR="00BE72A9" w:rsidRPr="00BD0B72">
              <w:rPr>
                <w:sz w:val="28"/>
                <w:szCs w:val="28"/>
                <w:lang w:val="lv-LV"/>
              </w:rPr>
              <w:t xml:space="preserve"> 68</w:t>
            </w:r>
            <w:r w:rsidRPr="00BD0B72">
              <w:rPr>
                <w:sz w:val="28"/>
                <w:szCs w:val="28"/>
                <w:lang w:val="lv-LV"/>
              </w:rPr>
              <w:t>.2.1., 6</w:t>
            </w:r>
            <w:r w:rsidR="00BE72A9" w:rsidRPr="00BD0B72">
              <w:rPr>
                <w:sz w:val="28"/>
                <w:szCs w:val="28"/>
                <w:lang w:val="lv-LV"/>
              </w:rPr>
              <w:t>8</w:t>
            </w:r>
            <w:r w:rsidRPr="00BD0B72">
              <w:rPr>
                <w:sz w:val="28"/>
                <w:szCs w:val="28"/>
                <w:lang w:val="lv-LV"/>
              </w:rPr>
              <w:t>.2.2. un 6</w:t>
            </w:r>
            <w:r w:rsidR="00BE72A9" w:rsidRPr="00BD0B72">
              <w:rPr>
                <w:sz w:val="28"/>
                <w:szCs w:val="28"/>
                <w:lang w:val="lv-LV"/>
              </w:rPr>
              <w:t>8</w:t>
            </w:r>
            <w:r w:rsidRPr="00BD0B72">
              <w:rPr>
                <w:sz w:val="28"/>
                <w:szCs w:val="28"/>
                <w:lang w:val="lv-LV"/>
              </w:rPr>
              <w:t>.2.3.apakšpunkts</w:t>
            </w:r>
            <w:r w:rsidRPr="00BD0B72">
              <w:rPr>
                <w:rFonts w:eastAsia="Times New Roman"/>
                <w:sz w:val="28"/>
                <w:szCs w:val="28"/>
                <w:lang w:val="lv-LV"/>
              </w:rPr>
              <w:t>.</w:t>
            </w:r>
          </w:p>
          <w:p w:rsidR="00F871BA" w:rsidRPr="00BD0B72" w:rsidRDefault="00F871BA" w:rsidP="001E7BE3">
            <w:pPr>
              <w:rPr>
                <w:rFonts w:eastAsia="Times New Roman"/>
                <w:sz w:val="28"/>
                <w:szCs w:val="28"/>
                <w:lang w:val="lv-LV"/>
              </w:rPr>
            </w:pPr>
          </w:p>
          <w:p w:rsidR="00F871BA" w:rsidRPr="00BD0B72" w:rsidRDefault="00F871BA" w:rsidP="001E7BE3">
            <w:pPr>
              <w:rPr>
                <w:rFonts w:eastAsia="Times New Roman"/>
                <w:sz w:val="28"/>
                <w:szCs w:val="28"/>
                <w:lang w:val="lv-LV"/>
              </w:rPr>
            </w:pPr>
            <w:r w:rsidRPr="00BD0B72">
              <w:rPr>
                <w:sz w:val="28"/>
                <w:szCs w:val="28"/>
                <w:lang w:val="lv-LV"/>
              </w:rPr>
              <w:t>Tiesību akta projekta 9.punktā izteiktais MK noteikumu Nr.162</w:t>
            </w:r>
            <w:r w:rsidR="00BE72A9" w:rsidRPr="00BD0B72">
              <w:rPr>
                <w:sz w:val="28"/>
                <w:szCs w:val="28"/>
                <w:lang w:val="lv-LV"/>
              </w:rPr>
              <w:t xml:space="preserve"> 68</w:t>
            </w:r>
            <w:r w:rsidRPr="00BD0B72">
              <w:rPr>
                <w:sz w:val="28"/>
                <w:szCs w:val="28"/>
                <w:lang w:val="lv-LV"/>
              </w:rPr>
              <w:t>.2.5.apakšpunkts</w:t>
            </w:r>
            <w:r w:rsidRPr="00BD0B72">
              <w:rPr>
                <w:rFonts w:eastAsia="Times New Roman"/>
                <w:sz w:val="28"/>
                <w:szCs w:val="28"/>
                <w:lang w:val="lv-LV"/>
              </w:rPr>
              <w:t>.</w:t>
            </w:r>
          </w:p>
          <w:p w:rsidR="00F871BA" w:rsidRPr="00BD0B72" w:rsidRDefault="00F871BA" w:rsidP="001E7BE3">
            <w:pPr>
              <w:rPr>
                <w:rFonts w:eastAsia="Times New Roman"/>
                <w:sz w:val="28"/>
                <w:szCs w:val="28"/>
                <w:lang w:val="lv-LV"/>
              </w:rPr>
            </w:pPr>
          </w:p>
          <w:p w:rsidR="00F871BA" w:rsidRPr="00BD0B72" w:rsidRDefault="00F871BA" w:rsidP="001E7BE3">
            <w:pPr>
              <w:rPr>
                <w:rFonts w:eastAsia="Times New Roman"/>
                <w:sz w:val="28"/>
                <w:szCs w:val="28"/>
                <w:lang w:val="lv-LV"/>
              </w:rPr>
            </w:pPr>
          </w:p>
          <w:p w:rsidR="00F871BA" w:rsidRPr="00BD0B72" w:rsidRDefault="00F871BA" w:rsidP="001E7BE3">
            <w:pPr>
              <w:rPr>
                <w:rFonts w:eastAsia="Times New Roman"/>
                <w:sz w:val="28"/>
                <w:szCs w:val="28"/>
                <w:lang w:val="lv-LV"/>
              </w:rPr>
            </w:pPr>
            <w:r w:rsidRPr="00BD0B72">
              <w:rPr>
                <w:sz w:val="28"/>
                <w:szCs w:val="28"/>
                <w:lang w:val="lv-LV"/>
              </w:rPr>
              <w:t xml:space="preserve">Tiesību akta projekta 9.punktā </w:t>
            </w:r>
            <w:r w:rsidR="00D56652" w:rsidRPr="00BD0B72">
              <w:rPr>
                <w:sz w:val="28"/>
                <w:szCs w:val="28"/>
                <w:lang w:val="lv-LV"/>
              </w:rPr>
              <w:t>izteiktais MK noteikumu Nr.</w:t>
            </w:r>
            <w:r w:rsidRPr="00BD0B72">
              <w:rPr>
                <w:sz w:val="28"/>
                <w:szCs w:val="28"/>
                <w:lang w:val="lv-LV"/>
              </w:rPr>
              <w:t>162</w:t>
            </w:r>
            <w:r w:rsidR="00BE72A9" w:rsidRPr="00BD0B72">
              <w:rPr>
                <w:sz w:val="28"/>
                <w:szCs w:val="28"/>
                <w:lang w:val="lv-LV"/>
              </w:rPr>
              <w:t xml:space="preserve"> 68</w:t>
            </w:r>
            <w:r w:rsidRPr="00BD0B72">
              <w:rPr>
                <w:sz w:val="28"/>
                <w:szCs w:val="28"/>
                <w:lang w:val="lv-LV"/>
              </w:rPr>
              <w:t>.2.6.apakšpunkts</w:t>
            </w:r>
            <w:r w:rsidRPr="00BD0B72">
              <w:rPr>
                <w:rFonts w:eastAsia="Times New Roman"/>
                <w:sz w:val="28"/>
                <w:szCs w:val="28"/>
                <w:lang w:val="lv-LV"/>
              </w:rPr>
              <w:t>.</w:t>
            </w:r>
          </w:p>
          <w:p w:rsidR="00F871BA" w:rsidRPr="00BD0B72" w:rsidRDefault="00F871BA" w:rsidP="001E7BE3">
            <w:pPr>
              <w:rPr>
                <w:rFonts w:eastAsia="Times New Roman"/>
                <w:sz w:val="28"/>
                <w:szCs w:val="28"/>
                <w:lang w:val="lv-LV"/>
              </w:rPr>
            </w:pPr>
          </w:p>
          <w:p w:rsidR="00F871BA" w:rsidRPr="00BD0B72" w:rsidRDefault="00F871BA" w:rsidP="001E7BE3">
            <w:pPr>
              <w:rPr>
                <w:rFonts w:eastAsia="Times New Roman"/>
                <w:sz w:val="28"/>
                <w:szCs w:val="28"/>
                <w:lang w:val="lv-LV"/>
              </w:rPr>
            </w:pPr>
          </w:p>
          <w:p w:rsidR="00F871BA" w:rsidRPr="00BD0B72" w:rsidRDefault="00F871BA" w:rsidP="001E7BE3">
            <w:pPr>
              <w:rPr>
                <w:rFonts w:eastAsia="Times New Roman"/>
                <w:sz w:val="28"/>
                <w:szCs w:val="28"/>
                <w:lang w:val="lv-LV"/>
              </w:rPr>
            </w:pPr>
            <w:r w:rsidRPr="00BD0B72">
              <w:rPr>
                <w:sz w:val="28"/>
                <w:szCs w:val="28"/>
                <w:lang w:val="lv-LV"/>
              </w:rPr>
              <w:t>Tiesību akta projekta 9.punkt</w:t>
            </w:r>
            <w:r w:rsidR="00D56652" w:rsidRPr="00BD0B72">
              <w:rPr>
                <w:sz w:val="28"/>
                <w:szCs w:val="28"/>
                <w:lang w:val="lv-LV"/>
              </w:rPr>
              <w:t>ā izteiktais MK noteikumu Nr.</w:t>
            </w:r>
            <w:r w:rsidRPr="00BD0B72">
              <w:rPr>
                <w:sz w:val="28"/>
                <w:szCs w:val="28"/>
                <w:lang w:val="lv-LV"/>
              </w:rPr>
              <w:t>162</w:t>
            </w:r>
            <w:r w:rsidR="00BE72A9" w:rsidRPr="00BD0B72">
              <w:rPr>
                <w:sz w:val="28"/>
                <w:szCs w:val="28"/>
                <w:lang w:val="lv-LV"/>
              </w:rPr>
              <w:t xml:space="preserve"> 68</w:t>
            </w:r>
            <w:r w:rsidRPr="00BD0B72">
              <w:rPr>
                <w:sz w:val="28"/>
                <w:szCs w:val="28"/>
                <w:lang w:val="lv-LV"/>
              </w:rPr>
              <w:t>.2.4.apakšpunkts</w:t>
            </w:r>
            <w:r w:rsidRPr="00BD0B72">
              <w:rPr>
                <w:rFonts w:eastAsia="Times New Roman"/>
                <w:sz w:val="28"/>
                <w:szCs w:val="28"/>
                <w:lang w:val="lv-LV"/>
              </w:rPr>
              <w:t>.</w:t>
            </w:r>
          </w:p>
          <w:p w:rsidR="00F871BA" w:rsidRPr="00BD0B72" w:rsidRDefault="00F871BA" w:rsidP="001E7BE3">
            <w:pPr>
              <w:rPr>
                <w:rFonts w:eastAsia="Times New Roman"/>
                <w:sz w:val="28"/>
                <w:szCs w:val="28"/>
                <w:lang w:val="lv-LV"/>
              </w:rPr>
            </w:pPr>
          </w:p>
          <w:p w:rsidR="00F871BA" w:rsidRPr="00BD0B72" w:rsidRDefault="00F871BA" w:rsidP="001E7BE3">
            <w:pPr>
              <w:rPr>
                <w:rFonts w:eastAsia="Times New Roman"/>
                <w:sz w:val="28"/>
                <w:szCs w:val="28"/>
                <w:lang w:val="lv-LV"/>
              </w:rPr>
            </w:pPr>
          </w:p>
          <w:p w:rsidR="00F871BA" w:rsidRPr="00BD0B72" w:rsidRDefault="00F871BA" w:rsidP="001E7BE3">
            <w:pPr>
              <w:rPr>
                <w:rFonts w:eastAsia="Times New Roman"/>
                <w:sz w:val="28"/>
                <w:szCs w:val="28"/>
                <w:lang w:val="lv-LV"/>
              </w:rPr>
            </w:pPr>
            <w:r w:rsidRPr="00BD0B72">
              <w:rPr>
                <w:sz w:val="28"/>
                <w:szCs w:val="28"/>
                <w:lang w:val="lv-LV"/>
              </w:rPr>
              <w:t>Tiesību akta projekta 9.punktā izteiktais MK noteikumu Nr.162 6</w:t>
            </w:r>
            <w:r w:rsidR="00BE72A9" w:rsidRPr="00BD0B72">
              <w:rPr>
                <w:sz w:val="28"/>
                <w:szCs w:val="28"/>
                <w:lang w:val="lv-LV"/>
              </w:rPr>
              <w:t>8</w:t>
            </w:r>
            <w:r w:rsidRPr="00BD0B72">
              <w:rPr>
                <w:sz w:val="28"/>
                <w:szCs w:val="28"/>
                <w:lang w:val="lv-LV"/>
              </w:rPr>
              <w:t>.2.4.apakšpunkts</w:t>
            </w:r>
            <w:r w:rsidRPr="00BD0B72">
              <w:rPr>
                <w:rFonts w:eastAsia="Times New Roman"/>
                <w:sz w:val="28"/>
                <w:szCs w:val="28"/>
                <w:lang w:val="lv-LV"/>
              </w:rPr>
              <w:t>.</w:t>
            </w:r>
          </w:p>
          <w:p w:rsidR="00F871BA" w:rsidRPr="00BD0B72" w:rsidRDefault="00F871BA" w:rsidP="001E7BE3">
            <w:pPr>
              <w:rPr>
                <w:rFonts w:eastAsia="Times New Roman"/>
                <w:sz w:val="28"/>
                <w:szCs w:val="28"/>
                <w:lang w:val="lv-LV"/>
              </w:rPr>
            </w:pPr>
          </w:p>
          <w:p w:rsidR="00F871BA" w:rsidRPr="00BD0B72" w:rsidRDefault="00F871BA" w:rsidP="001E7BE3">
            <w:pPr>
              <w:rPr>
                <w:rFonts w:eastAsia="Times New Roman"/>
                <w:sz w:val="28"/>
                <w:szCs w:val="28"/>
                <w:lang w:val="lv-LV"/>
              </w:rPr>
            </w:pPr>
          </w:p>
          <w:p w:rsidR="00F871BA" w:rsidRPr="00BD0B72" w:rsidRDefault="00F871BA" w:rsidP="001E7BE3">
            <w:pPr>
              <w:rPr>
                <w:rFonts w:eastAsia="Times New Roman"/>
                <w:sz w:val="28"/>
                <w:szCs w:val="28"/>
                <w:lang w:val="lv-LV"/>
              </w:rPr>
            </w:pPr>
            <w:r w:rsidRPr="00BD0B72">
              <w:rPr>
                <w:sz w:val="28"/>
                <w:szCs w:val="28"/>
                <w:lang w:val="lv-LV"/>
              </w:rPr>
              <w:lastRenderedPageBreak/>
              <w:t>Tiesību akta projekta 9.punktā i</w:t>
            </w:r>
            <w:r w:rsidR="00D56652" w:rsidRPr="00BD0B72">
              <w:rPr>
                <w:sz w:val="28"/>
                <w:szCs w:val="28"/>
                <w:lang w:val="lv-LV"/>
              </w:rPr>
              <w:t>zteiktais MK noteikumu Nr.</w:t>
            </w:r>
            <w:r w:rsidRPr="00BD0B72">
              <w:rPr>
                <w:sz w:val="28"/>
                <w:szCs w:val="28"/>
                <w:lang w:val="lv-LV"/>
              </w:rPr>
              <w:t>162</w:t>
            </w:r>
            <w:r w:rsidR="00BE72A9" w:rsidRPr="00BD0B72">
              <w:rPr>
                <w:sz w:val="28"/>
                <w:szCs w:val="28"/>
                <w:lang w:val="lv-LV"/>
              </w:rPr>
              <w:t xml:space="preserve"> 68</w:t>
            </w:r>
            <w:r w:rsidRPr="00BD0B72">
              <w:rPr>
                <w:sz w:val="28"/>
                <w:szCs w:val="28"/>
                <w:lang w:val="lv-LV"/>
              </w:rPr>
              <w:t>.2.7.apakšpunkts</w:t>
            </w:r>
            <w:r w:rsidRPr="00BD0B72">
              <w:rPr>
                <w:rFonts w:eastAsia="Times New Roman"/>
                <w:sz w:val="28"/>
                <w:szCs w:val="28"/>
                <w:lang w:val="lv-LV"/>
              </w:rPr>
              <w:t>.</w:t>
            </w:r>
          </w:p>
          <w:p w:rsidR="00F871BA" w:rsidRPr="00BD0B72" w:rsidRDefault="00F871BA" w:rsidP="001E7BE3">
            <w:pPr>
              <w:rPr>
                <w:rFonts w:eastAsia="Times New Roman"/>
                <w:sz w:val="28"/>
                <w:szCs w:val="28"/>
                <w:lang w:val="lv-LV"/>
              </w:rPr>
            </w:pPr>
          </w:p>
          <w:p w:rsidR="00F871BA" w:rsidRPr="00BD0B72" w:rsidRDefault="00F871BA" w:rsidP="001E7BE3">
            <w:pPr>
              <w:rPr>
                <w:sz w:val="28"/>
                <w:szCs w:val="28"/>
                <w:lang w:val="lv-LV"/>
              </w:rPr>
            </w:pPr>
          </w:p>
          <w:p w:rsidR="002A58FD" w:rsidRPr="00BD0B72" w:rsidRDefault="00F871BA" w:rsidP="001E7BE3">
            <w:pPr>
              <w:rPr>
                <w:sz w:val="28"/>
                <w:szCs w:val="28"/>
                <w:lang w:val="lv-LV"/>
              </w:rPr>
            </w:pPr>
            <w:r w:rsidRPr="00BD0B72">
              <w:rPr>
                <w:sz w:val="28"/>
                <w:szCs w:val="28"/>
                <w:lang w:val="lv-LV"/>
              </w:rPr>
              <w:t>Tiesību akta projekta 9.punkt</w:t>
            </w:r>
            <w:r w:rsidR="00D56652" w:rsidRPr="00BD0B72">
              <w:rPr>
                <w:sz w:val="28"/>
                <w:szCs w:val="28"/>
                <w:lang w:val="lv-LV"/>
              </w:rPr>
              <w:t>ā izteiktais MK noteikumu Nr.</w:t>
            </w:r>
            <w:r w:rsidRPr="00BD0B72">
              <w:rPr>
                <w:sz w:val="28"/>
                <w:szCs w:val="28"/>
                <w:lang w:val="lv-LV"/>
              </w:rPr>
              <w:t>162</w:t>
            </w:r>
            <w:r w:rsidR="00BE72A9" w:rsidRPr="00BD0B72">
              <w:rPr>
                <w:sz w:val="28"/>
                <w:szCs w:val="28"/>
                <w:lang w:val="lv-LV"/>
              </w:rPr>
              <w:t xml:space="preserve"> 69</w:t>
            </w:r>
            <w:r w:rsidRPr="00BD0B72">
              <w:rPr>
                <w:sz w:val="28"/>
                <w:szCs w:val="28"/>
                <w:lang w:val="lv-LV"/>
              </w:rPr>
              <w:t>.punkts</w:t>
            </w:r>
            <w:r w:rsidRPr="00BD0B72">
              <w:rPr>
                <w:rFonts w:eastAsia="Times New Roman"/>
                <w:sz w:val="28"/>
                <w:szCs w:val="28"/>
                <w:lang w:val="lv-LV"/>
              </w:rPr>
              <w:t>.</w:t>
            </w:r>
          </w:p>
        </w:tc>
        <w:tc>
          <w:tcPr>
            <w:tcW w:w="2703" w:type="dxa"/>
            <w:hideMark/>
          </w:tcPr>
          <w:p w:rsidR="002A58FD" w:rsidRPr="00BD0B72" w:rsidRDefault="002A58FD" w:rsidP="001E7BE3">
            <w:pPr>
              <w:rPr>
                <w:sz w:val="28"/>
                <w:szCs w:val="28"/>
              </w:rPr>
            </w:pPr>
            <w:r w:rsidRPr="00BD0B72">
              <w:rPr>
                <w:sz w:val="28"/>
                <w:szCs w:val="28"/>
              </w:rPr>
              <w:lastRenderedPageBreak/>
              <w:t xml:space="preserve">ES </w:t>
            </w:r>
            <w:proofErr w:type="spellStart"/>
            <w:r w:rsidRPr="00BD0B72">
              <w:rPr>
                <w:sz w:val="28"/>
                <w:szCs w:val="28"/>
              </w:rPr>
              <w:t>tiesību</w:t>
            </w:r>
            <w:proofErr w:type="spellEnd"/>
            <w:r w:rsidRPr="00BD0B72">
              <w:rPr>
                <w:sz w:val="28"/>
                <w:szCs w:val="28"/>
              </w:rPr>
              <w:t xml:space="preserve"> </w:t>
            </w:r>
            <w:proofErr w:type="spellStart"/>
            <w:r w:rsidRPr="00BD0B72">
              <w:rPr>
                <w:sz w:val="28"/>
                <w:szCs w:val="28"/>
              </w:rPr>
              <w:t>akta</w:t>
            </w:r>
            <w:proofErr w:type="spellEnd"/>
            <w:r w:rsidRPr="00BD0B72">
              <w:rPr>
                <w:sz w:val="28"/>
                <w:szCs w:val="28"/>
              </w:rPr>
              <w:t xml:space="preserve"> </w:t>
            </w:r>
            <w:proofErr w:type="spellStart"/>
            <w:r w:rsidRPr="00BD0B72">
              <w:rPr>
                <w:sz w:val="28"/>
                <w:szCs w:val="28"/>
              </w:rPr>
              <w:t>vienības</w:t>
            </w:r>
            <w:proofErr w:type="spellEnd"/>
            <w:r w:rsidRPr="00BD0B72">
              <w:rPr>
                <w:sz w:val="28"/>
                <w:szCs w:val="28"/>
              </w:rPr>
              <w:t xml:space="preserve"> </w:t>
            </w:r>
            <w:proofErr w:type="spellStart"/>
            <w:r w:rsidRPr="00BD0B72">
              <w:rPr>
                <w:sz w:val="28"/>
                <w:szCs w:val="28"/>
              </w:rPr>
              <w:t>tiek</w:t>
            </w:r>
            <w:proofErr w:type="spellEnd"/>
            <w:r w:rsidRPr="00BD0B72">
              <w:rPr>
                <w:sz w:val="28"/>
                <w:szCs w:val="28"/>
              </w:rPr>
              <w:t xml:space="preserve"> </w:t>
            </w:r>
            <w:proofErr w:type="spellStart"/>
            <w:r w:rsidRPr="00BD0B72">
              <w:rPr>
                <w:sz w:val="28"/>
                <w:szCs w:val="28"/>
              </w:rPr>
              <w:t>ieviestas</w:t>
            </w:r>
            <w:proofErr w:type="spellEnd"/>
            <w:r w:rsidRPr="00BD0B72">
              <w:rPr>
                <w:sz w:val="28"/>
                <w:szCs w:val="28"/>
              </w:rPr>
              <w:t xml:space="preserve"> </w:t>
            </w:r>
            <w:proofErr w:type="spellStart"/>
            <w:r w:rsidRPr="00BD0B72">
              <w:rPr>
                <w:sz w:val="28"/>
                <w:szCs w:val="28"/>
              </w:rPr>
              <w:t>pilnībā</w:t>
            </w:r>
            <w:proofErr w:type="spellEnd"/>
            <w:r w:rsidRPr="00BD0B72">
              <w:rPr>
                <w:sz w:val="28"/>
                <w:szCs w:val="28"/>
              </w:rPr>
              <w:t>.</w:t>
            </w:r>
          </w:p>
          <w:p w:rsidR="002A58FD" w:rsidRPr="00BD0B72" w:rsidRDefault="002A58FD" w:rsidP="001E7BE3">
            <w:pPr>
              <w:rPr>
                <w:sz w:val="28"/>
                <w:szCs w:val="28"/>
              </w:rPr>
            </w:pPr>
          </w:p>
          <w:p w:rsidR="002A58FD" w:rsidRPr="00BD0B72" w:rsidRDefault="002A58FD" w:rsidP="001E7BE3">
            <w:pPr>
              <w:rPr>
                <w:sz w:val="28"/>
                <w:szCs w:val="28"/>
              </w:rPr>
            </w:pPr>
          </w:p>
          <w:p w:rsidR="002A58FD" w:rsidRPr="00BD0B72" w:rsidRDefault="002A58FD" w:rsidP="001E7BE3">
            <w:pPr>
              <w:rPr>
                <w:sz w:val="28"/>
                <w:szCs w:val="28"/>
              </w:rPr>
            </w:pPr>
          </w:p>
          <w:p w:rsidR="002A58FD" w:rsidRPr="00BD0B72" w:rsidRDefault="002A58FD" w:rsidP="001E7BE3">
            <w:pPr>
              <w:rPr>
                <w:sz w:val="28"/>
                <w:szCs w:val="28"/>
              </w:rPr>
            </w:pPr>
          </w:p>
          <w:p w:rsidR="002A58FD" w:rsidRPr="00BD0B72" w:rsidRDefault="002A58FD" w:rsidP="001E7BE3">
            <w:pPr>
              <w:rPr>
                <w:sz w:val="28"/>
                <w:szCs w:val="28"/>
              </w:rPr>
            </w:pPr>
          </w:p>
          <w:p w:rsidR="002A58FD" w:rsidRPr="00BD0B72" w:rsidRDefault="002A58FD" w:rsidP="001E7BE3">
            <w:pPr>
              <w:rPr>
                <w:sz w:val="28"/>
                <w:szCs w:val="28"/>
              </w:rPr>
            </w:pPr>
            <w:r w:rsidRPr="00BD0B72">
              <w:rPr>
                <w:sz w:val="28"/>
                <w:szCs w:val="28"/>
              </w:rPr>
              <w:t xml:space="preserve">ES </w:t>
            </w:r>
            <w:proofErr w:type="spellStart"/>
            <w:r w:rsidRPr="00BD0B72">
              <w:rPr>
                <w:sz w:val="28"/>
                <w:szCs w:val="28"/>
              </w:rPr>
              <w:t>tiesību</w:t>
            </w:r>
            <w:proofErr w:type="spellEnd"/>
            <w:r w:rsidRPr="00BD0B72">
              <w:rPr>
                <w:sz w:val="28"/>
                <w:szCs w:val="28"/>
              </w:rPr>
              <w:t xml:space="preserve"> </w:t>
            </w:r>
            <w:proofErr w:type="spellStart"/>
            <w:r w:rsidRPr="00BD0B72">
              <w:rPr>
                <w:sz w:val="28"/>
                <w:szCs w:val="28"/>
              </w:rPr>
              <w:t>akta</w:t>
            </w:r>
            <w:proofErr w:type="spellEnd"/>
            <w:r w:rsidRPr="00BD0B72">
              <w:rPr>
                <w:sz w:val="28"/>
                <w:szCs w:val="28"/>
              </w:rPr>
              <w:t xml:space="preserve"> </w:t>
            </w:r>
            <w:proofErr w:type="spellStart"/>
            <w:r w:rsidRPr="00BD0B72">
              <w:rPr>
                <w:sz w:val="28"/>
                <w:szCs w:val="28"/>
              </w:rPr>
              <w:t>vienības</w:t>
            </w:r>
            <w:proofErr w:type="spellEnd"/>
            <w:r w:rsidRPr="00BD0B72">
              <w:rPr>
                <w:sz w:val="28"/>
                <w:szCs w:val="28"/>
              </w:rPr>
              <w:t xml:space="preserve"> </w:t>
            </w:r>
            <w:proofErr w:type="spellStart"/>
            <w:r w:rsidRPr="00BD0B72">
              <w:rPr>
                <w:sz w:val="28"/>
                <w:szCs w:val="28"/>
              </w:rPr>
              <w:t>tiek</w:t>
            </w:r>
            <w:proofErr w:type="spellEnd"/>
            <w:r w:rsidRPr="00BD0B72">
              <w:rPr>
                <w:sz w:val="28"/>
                <w:szCs w:val="28"/>
              </w:rPr>
              <w:t xml:space="preserve"> </w:t>
            </w:r>
            <w:proofErr w:type="spellStart"/>
            <w:r w:rsidRPr="00BD0B72">
              <w:rPr>
                <w:sz w:val="28"/>
                <w:szCs w:val="28"/>
              </w:rPr>
              <w:t>ieviestas</w:t>
            </w:r>
            <w:proofErr w:type="spellEnd"/>
            <w:r w:rsidRPr="00BD0B72">
              <w:rPr>
                <w:sz w:val="28"/>
                <w:szCs w:val="28"/>
              </w:rPr>
              <w:t xml:space="preserve"> </w:t>
            </w:r>
            <w:proofErr w:type="spellStart"/>
            <w:r w:rsidRPr="00BD0B72">
              <w:rPr>
                <w:sz w:val="28"/>
                <w:szCs w:val="28"/>
              </w:rPr>
              <w:lastRenderedPageBreak/>
              <w:t>pilnībā</w:t>
            </w:r>
            <w:proofErr w:type="spellEnd"/>
            <w:r w:rsidRPr="00BD0B72">
              <w:rPr>
                <w:sz w:val="28"/>
                <w:szCs w:val="28"/>
              </w:rPr>
              <w:t>.</w:t>
            </w:r>
          </w:p>
          <w:p w:rsidR="002A58FD" w:rsidRPr="00BD0B72" w:rsidRDefault="002A58FD" w:rsidP="001E7BE3">
            <w:pPr>
              <w:rPr>
                <w:sz w:val="28"/>
                <w:szCs w:val="28"/>
              </w:rPr>
            </w:pPr>
          </w:p>
          <w:p w:rsidR="002A58FD" w:rsidRPr="00BD0B72" w:rsidRDefault="002A58FD" w:rsidP="001E7BE3">
            <w:pPr>
              <w:rPr>
                <w:sz w:val="28"/>
                <w:szCs w:val="28"/>
              </w:rPr>
            </w:pPr>
          </w:p>
          <w:p w:rsidR="002A58FD" w:rsidRPr="00BD0B72" w:rsidRDefault="002A58FD" w:rsidP="001E7BE3">
            <w:pPr>
              <w:rPr>
                <w:sz w:val="28"/>
                <w:szCs w:val="28"/>
              </w:rPr>
            </w:pPr>
          </w:p>
          <w:p w:rsidR="002A58FD" w:rsidRPr="00BD0B72" w:rsidRDefault="002A58FD" w:rsidP="001E7BE3">
            <w:pPr>
              <w:rPr>
                <w:sz w:val="28"/>
                <w:szCs w:val="28"/>
              </w:rPr>
            </w:pPr>
          </w:p>
          <w:p w:rsidR="002A58FD" w:rsidRPr="00BD0B72" w:rsidRDefault="002A58FD" w:rsidP="001E7BE3">
            <w:pPr>
              <w:rPr>
                <w:sz w:val="28"/>
                <w:szCs w:val="28"/>
              </w:rPr>
            </w:pPr>
          </w:p>
          <w:p w:rsidR="002A58FD" w:rsidRPr="00BD0B72" w:rsidRDefault="002A58FD" w:rsidP="001E7BE3">
            <w:pPr>
              <w:rPr>
                <w:sz w:val="28"/>
                <w:szCs w:val="28"/>
              </w:rPr>
            </w:pPr>
            <w:r w:rsidRPr="00BD0B72">
              <w:rPr>
                <w:sz w:val="28"/>
                <w:szCs w:val="28"/>
              </w:rPr>
              <w:t xml:space="preserve">ES </w:t>
            </w:r>
            <w:proofErr w:type="spellStart"/>
            <w:r w:rsidRPr="00BD0B72">
              <w:rPr>
                <w:sz w:val="28"/>
                <w:szCs w:val="28"/>
              </w:rPr>
              <w:t>tiesību</w:t>
            </w:r>
            <w:proofErr w:type="spellEnd"/>
            <w:r w:rsidRPr="00BD0B72">
              <w:rPr>
                <w:sz w:val="28"/>
                <w:szCs w:val="28"/>
              </w:rPr>
              <w:t xml:space="preserve"> </w:t>
            </w:r>
            <w:proofErr w:type="spellStart"/>
            <w:r w:rsidRPr="00BD0B72">
              <w:rPr>
                <w:sz w:val="28"/>
                <w:szCs w:val="28"/>
              </w:rPr>
              <w:t>akta</w:t>
            </w:r>
            <w:proofErr w:type="spellEnd"/>
            <w:r w:rsidRPr="00BD0B72">
              <w:rPr>
                <w:sz w:val="28"/>
                <w:szCs w:val="28"/>
              </w:rPr>
              <w:t xml:space="preserve"> </w:t>
            </w:r>
            <w:proofErr w:type="spellStart"/>
            <w:r w:rsidRPr="00BD0B72">
              <w:rPr>
                <w:sz w:val="28"/>
                <w:szCs w:val="28"/>
              </w:rPr>
              <w:t>vienības</w:t>
            </w:r>
            <w:proofErr w:type="spellEnd"/>
            <w:r w:rsidRPr="00BD0B72">
              <w:rPr>
                <w:sz w:val="28"/>
                <w:szCs w:val="28"/>
              </w:rPr>
              <w:t xml:space="preserve"> </w:t>
            </w:r>
            <w:proofErr w:type="spellStart"/>
            <w:r w:rsidRPr="00BD0B72">
              <w:rPr>
                <w:sz w:val="28"/>
                <w:szCs w:val="28"/>
              </w:rPr>
              <w:t>tiek</w:t>
            </w:r>
            <w:proofErr w:type="spellEnd"/>
            <w:r w:rsidRPr="00BD0B72">
              <w:rPr>
                <w:sz w:val="28"/>
                <w:szCs w:val="28"/>
              </w:rPr>
              <w:t xml:space="preserve"> </w:t>
            </w:r>
            <w:proofErr w:type="spellStart"/>
            <w:r w:rsidRPr="00BD0B72">
              <w:rPr>
                <w:sz w:val="28"/>
                <w:szCs w:val="28"/>
              </w:rPr>
              <w:t>ieviestas</w:t>
            </w:r>
            <w:proofErr w:type="spellEnd"/>
            <w:r w:rsidRPr="00BD0B72">
              <w:rPr>
                <w:sz w:val="28"/>
                <w:szCs w:val="28"/>
              </w:rPr>
              <w:t xml:space="preserve"> </w:t>
            </w:r>
            <w:proofErr w:type="spellStart"/>
            <w:r w:rsidRPr="00BD0B72">
              <w:rPr>
                <w:sz w:val="28"/>
                <w:szCs w:val="28"/>
              </w:rPr>
              <w:t>pilnībā</w:t>
            </w:r>
            <w:proofErr w:type="spellEnd"/>
            <w:r w:rsidRPr="00BD0B72">
              <w:rPr>
                <w:sz w:val="28"/>
                <w:szCs w:val="28"/>
              </w:rPr>
              <w:t>.</w:t>
            </w:r>
          </w:p>
          <w:p w:rsidR="002A58FD" w:rsidRPr="00BD0B72" w:rsidRDefault="002A58FD" w:rsidP="001E7BE3">
            <w:pPr>
              <w:rPr>
                <w:sz w:val="28"/>
                <w:szCs w:val="28"/>
              </w:rPr>
            </w:pPr>
          </w:p>
          <w:p w:rsidR="002A58FD" w:rsidRPr="00BD0B72" w:rsidRDefault="002A58FD" w:rsidP="001E7BE3">
            <w:pPr>
              <w:rPr>
                <w:sz w:val="28"/>
                <w:szCs w:val="28"/>
              </w:rPr>
            </w:pPr>
          </w:p>
          <w:p w:rsidR="002A58FD" w:rsidRPr="00BD0B72" w:rsidRDefault="002A58FD" w:rsidP="001E7BE3">
            <w:pPr>
              <w:rPr>
                <w:sz w:val="28"/>
                <w:szCs w:val="28"/>
              </w:rPr>
            </w:pPr>
          </w:p>
          <w:p w:rsidR="002A58FD" w:rsidRPr="00BD0B72" w:rsidRDefault="002A58FD" w:rsidP="001E7BE3">
            <w:pPr>
              <w:rPr>
                <w:sz w:val="28"/>
                <w:szCs w:val="28"/>
              </w:rPr>
            </w:pPr>
          </w:p>
          <w:p w:rsidR="002A58FD" w:rsidRPr="00BD0B72" w:rsidRDefault="002A58FD" w:rsidP="001E7BE3">
            <w:pPr>
              <w:rPr>
                <w:sz w:val="28"/>
                <w:szCs w:val="28"/>
              </w:rPr>
            </w:pPr>
          </w:p>
          <w:p w:rsidR="002A58FD" w:rsidRPr="00BD0B72" w:rsidRDefault="002A58FD" w:rsidP="001E7BE3">
            <w:pPr>
              <w:rPr>
                <w:sz w:val="28"/>
                <w:szCs w:val="28"/>
              </w:rPr>
            </w:pPr>
            <w:r w:rsidRPr="00BD0B72">
              <w:rPr>
                <w:sz w:val="28"/>
                <w:szCs w:val="28"/>
              </w:rPr>
              <w:t xml:space="preserve">ES </w:t>
            </w:r>
            <w:proofErr w:type="spellStart"/>
            <w:r w:rsidRPr="00BD0B72">
              <w:rPr>
                <w:sz w:val="28"/>
                <w:szCs w:val="28"/>
              </w:rPr>
              <w:t>tiesību</w:t>
            </w:r>
            <w:proofErr w:type="spellEnd"/>
            <w:r w:rsidRPr="00BD0B72">
              <w:rPr>
                <w:sz w:val="28"/>
                <w:szCs w:val="28"/>
              </w:rPr>
              <w:t xml:space="preserve"> </w:t>
            </w:r>
            <w:proofErr w:type="spellStart"/>
            <w:r w:rsidRPr="00BD0B72">
              <w:rPr>
                <w:sz w:val="28"/>
                <w:szCs w:val="28"/>
              </w:rPr>
              <w:t>akta</w:t>
            </w:r>
            <w:proofErr w:type="spellEnd"/>
            <w:r w:rsidRPr="00BD0B72">
              <w:rPr>
                <w:sz w:val="28"/>
                <w:szCs w:val="28"/>
              </w:rPr>
              <w:t xml:space="preserve"> </w:t>
            </w:r>
            <w:proofErr w:type="spellStart"/>
            <w:r w:rsidRPr="00BD0B72">
              <w:rPr>
                <w:sz w:val="28"/>
                <w:szCs w:val="28"/>
              </w:rPr>
              <w:t>vienības</w:t>
            </w:r>
            <w:proofErr w:type="spellEnd"/>
            <w:r w:rsidRPr="00BD0B72">
              <w:rPr>
                <w:sz w:val="28"/>
                <w:szCs w:val="28"/>
              </w:rPr>
              <w:t xml:space="preserve"> </w:t>
            </w:r>
            <w:proofErr w:type="spellStart"/>
            <w:r w:rsidRPr="00BD0B72">
              <w:rPr>
                <w:sz w:val="28"/>
                <w:szCs w:val="28"/>
              </w:rPr>
              <w:t>tiek</w:t>
            </w:r>
            <w:proofErr w:type="spellEnd"/>
            <w:r w:rsidRPr="00BD0B72">
              <w:rPr>
                <w:sz w:val="28"/>
                <w:szCs w:val="28"/>
              </w:rPr>
              <w:t xml:space="preserve"> </w:t>
            </w:r>
            <w:proofErr w:type="spellStart"/>
            <w:r w:rsidRPr="00BD0B72">
              <w:rPr>
                <w:sz w:val="28"/>
                <w:szCs w:val="28"/>
              </w:rPr>
              <w:t>ieviestas</w:t>
            </w:r>
            <w:proofErr w:type="spellEnd"/>
            <w:r w:rsidRPr="00BD0B72">
              <w:rPr>
                <w:sz w:val="28"/>
                <w:szCs w:val="28"/>
              </w:rPr>
              <w:t xml:space="preserve"> </w:t>
            </w:r>
            <w:proofErr w:type="spellStart"/>
            <w:r w:rsidRPr="00BD0B72">
              <w:rPr>
                <w:sz w:val="28"/>
                <w:szCs w:val="28"/>
              </w:rPr>
              <w:t>pilnībā</w:t>
            </w:r>
            <w:proofErr w:type="spellEnd"/>
            <w:r w:rsidRPr="00BD0B72">
              <w:rPr>
                <w:sz w:val="28"/>
                <w:szCs w:val="28"/>
              </w:rPr>
              <w:t>.</w:t>
            </w:r>
          </w:p>
          <w:p w:rsidR="002A58FD" w:rsidRPr="00BD0B72" w:rsidRDefault="002A58FD" w:rsidP="001E7BE3">
            <w:pPr>
              <w:rPr>
                <w:sz w:val="28"/>
                <w:szCs w:val="28"/>
              </w:rPr>
            </w:pPr>
          </w:p>
          <w:p w:rsidR="002A58FD" w:rsidRPr="00BD0B72" w:rsidRDefault="002A58FD" w:rsidP="001E7BE3">
            <w:pPr>
              <w:rPr>
                <w:sz w:val="28"/>
                <w:szCs w:val="28"/>
              </w:rPr>
            </w:pPr>
          </w:p>
          <w:p w:rsidR="002A58FD" w:rsidRPr="00BD0B72" w:rsidRDefault="002A58FD" w:rsidP="001E7BE3">
            <w:pPr>
              <w:rPr>
                <w:sz w:val="28"/>
                <w:szCs w:val="28"/>
              </w:rPr>
            </w:pPr>
          </w:p>
          <w:p w:rsidR="002A58FD" w:rsidRPr="00BD0B72" w:rsidRDefault="002A58FD" w:rsidP="001E7BE3">
            <w:pPr>
              <w:rPr>
                <w:sz w:val="28"/>
                <w:szCs w:val="28"/>
              </w:rPr>
            </w:pPr>
          </w:p>
          <w:p w:rsidR="002A58FD" w:rsidRPr="00BD0B72" w:rsidRDefault="002A58FD" w:rsidP="001E7BE3">
            <w:pPr>
              <w:rPr>
                <w:sz w:val="28"/>
                <w:szCs w:val="28"/>
              </w:rPr>
            </w:pPr>
          </w:p>
          <w:p w:rsidR="002A58FD" w:rsidRPr="00BD0B72" w:rsidRDefault="002A58FD" w:rsidP="001E7BE3">
            <w:pPr>
              <w:rPr>
                <w:sz w:val="28"/>
                <w:szCs w:val="28"/>
              </w:rPr>
            </w:pPr>
            <w:r w:rsidRPr="00BD0B72">
              <w:rPr>
                <w:sz w:val="28"/>
                <w:szCs w:val="28"/>
              </w:rPr>
              <w:t xml:space="preserve">ES </w:t>
            </w:r>
            <w:proofErr w:type="spellStart"/>
            <w:r w:rsidRPr="00BD0B72">
              <w:rPr>
                <w:sz w:val="28"/>
                <w:szCs w:val="28"/>
              </w:rPr>
              <w:t>tiesību</w:t>
            </w:r>
            <w:proofErr w:type="spellEnd"/>
            <w:r w:rsidRPr="00BD0B72">
              <w:rPr>
                <w:sz w:val="28"/>
                <w:szCs w:val="28"/>
              </w:rPr>
              <w:t xml:space="preserve"> </w:t>
            </w:r>
            <w:proofErr w:type="spellStart"/>
            <w:r w:rsidRPr="00BD0B72">
              <w:rPr>
                <w:sz w:val="28"/>
                <w:szCs w:val="28"/>
              </w:rPr>
              <w:t>akta</w:t>
            </w:r>
            <w:proofErr w:type="spellEnd"/>
            <w:r w:rsidRPr="00BD0B72">
              <w:rPr>
                <w:sz w:val="28"/>
                <w:szCs w:val="28"/>
              </w:rPr>
              <w:t xml:space="preserve"> </w:t>
            </w:r>
            <w:proofErr w:type="spellStart"/>
            <w:r w:rsidRPr="00BD0B72">
              <w:rPr>
                <w:sz w:val="28"/>
                <w:szCs w:val="28"/>
              </w:rPr>
              <w:t>vienības</w:t>
            </w:r>
            <w:proofErr w:type="spellEnd"/>
            <w:r w:rsidRPr="00BD0B72">
              <w:rPr>
                <w:sz w:val="28"/>
                <w:szCs w:val="28"/>
              </w:rPr>
              <w:t xml:space="preserve"> </w:t>
            </w:r>
            <w:proofErr w:type="spellStart"/>
            <w:r w:rsidRPr="00BD0B72">
              <w:rPr>
                <w:sz w:val="28"/>
                <w:szCs w:val="28"/>
              </w:rPr>
              <w:t>tiek</w:t>
            </w:r>
            <w:proofErr w:type="spellEnd"/>
            <w:r w:rsidRPr="00BD0B72">
              <w:rPr>
                <w:sz w:val="28"/>
                <w:szCs w:val="28"/>
              </w:rPr>
              <w:t xml:space="preserve"> </w:t>
            </w:r>
            <w:proofErr w:type="spellStart"/>
            <w:r w:rsidRPr="00BD0B72">
              <w:rPr>
                <w:sz w:val="28"/>
                <w:szCs w:val="28"/>
              </w:rPr>
              <w:t>ieviestas</w:t>
            </w:r>
            <w:proofErr w:type="spellEnd"/>
            <w:r w:rsidRPr="00BD0B72">
              <w:rPr>
                <w:sz w:val="28"/>
                <w:szCs w:val="28"/>
              </w:rPr>
              <w:t xml:space="preserve"> </w:t>
            </w:r>
            <w:proofErr w:type="spellStart"/>
            <w:r w:rsidRPr="00BD0B72">
              <w:rPr>
                <w:sz w:val="28"/>
                <w:szCs w:val="28"/>
              </w:rPr>
              <w:t>pilnībā</w:t>
            </w:r>
            <w:proofErr w:type="spellEnd"/>
            <w:r w:rsidRPr="00BD0B72">
              <w:rPr>
                <w:sz w:val="28"/>
                <w:szCs w:val="28"/>
              </w:rPr>
              <w:t>.</w:t>
            </w:r>
          </w:p>
          <w:p w:rsidR="002A58FD" w:rsidRPr="00BD0B72" w:rsidRDefault="002A58FD" w:rsidP="001E7BE3">
            <w:pPr>
              <w:rPr>
                <w:sz w:val="28"/>
                <w:szCs w:val="28"/>
              </w:rPr>
            </w:pPr>
          </w:p>
          <w:p w:rsidR="002A58FD" w:rsidRPr="00BD0B72" w:rsidRDefault="002A58FD" w:rsidP="001E7BE3">
            <w:pPr>
              <w:rPr>
                <w:sz w:val="28"/>
                <w:szCs w:val="28"/>
              </w:rPr>
            </w:pPr>
          </w:p>
          <w:p w:rsidR="002A58FD" w:rsidRPr="00BD0B72" w:rsidRDefault="002A58FD" w:rsidP="001E7BE3">
            <w:pPr>
              <w:rPr>
                <w:sz w:val="28"/>
                <w:szCs w:val="28"/>
              </w:rPr>
            </w:pPr>
          </w:p>
          <w:p w:rsidR="002A58FD" w:rsidRPr="00BD0B72" w:rsidRDefault="002A58FD" w:rsidP="001E7BE3">
            <w:pPr>
              <w:rPr>
                <w:sz w:val="28"/>
                <w:szCs w:val="28"/>
              </w:rPr>
            </w:pPr>
          </w:p>
          <w:p w:rsidR="002A58FD" w:rsidRPr="00BD0B72" w:rsidRDefault="002A58FD" w:rsidP="001E7BE3">
            <w:pPr>
              <w:rPr>
                <w:sz w:val="28"/>
                <w:szCs w:val="28"/>
              </w:rPr>
            </w:pPr>
          </w:p>
          <w:p w:rsidR="002A58FD" w:rsidRPr="00BD0B72" w:rsidRDefault="002A58FD" w:rsidP="001E7BE3">
            <w:pPr>
              <w:rPr>
                <w:sz w:val="28"/>
                <w:szCs w:val="28"/>
              </w:rPr>
            </w:pPr>
            <w:r w:rsidRPr="00BD0B72">
              <w:rPr>
                <w:sz w:val="28"/>
                <w:szCs w:val="28"/>
              </w:rPr>
              <w:t xml:space="preserve">ES </w:t>
            </w:r>
            <w:proofErr w:type="spellStart"/>
            <w:r w:rsidRPr="00BD0B72">
              <w:rPr>
                <w:sz w:val="28"/>
                <w:szCs w:val="28"/>
              </w:rPr>
              <w:t>tiesību</w:t>
            </w:r>
            <w:proofErr w:type="spellEnd"/>
            <w:r w:rsidRPr="00BD0B72">
              <w:rPr>
                <w:sz w:val="28"/>
                <w:szCs w:val="28"/>
              </w:rPr>
              <w:t xml:space="preserve"> </w:t>
            </w:r>
            <w:proofErr w:type="spellStart"/>
            <w:r w:rsidRPr="00BD0B72">
              <w:rPr>
                <w:sz w:val="28"/>
                <w:szCs w:val="28"/>
              </w:rPr>
              <w:t>akta</w:t>
            </w:r>
            <w:proofErr w:type="spellEnd"/>
            <w:r w:rsidRPr="00BD0B72">
              <w:rPr>
                <w:sz w:val="28"/>
                <w:szCs w:val="28"/>
              </w:rPr>
              <w:t xml:space="preserve"> </w:t>
            </w:r>
            <w:proofErr w:type="spellStart"/>
            <w:r w:rsidRPr="00BD0B72">
              <w:rPr>
                <w:sz w:val="28"/>
                <w:szCs w:val="28"/>
              </w:rPr>
              <w:t>vienības</w:t>
            </w:r>
            <w:proofErr w:type="spellEnd"/>
            <w:r w:rsidRPr="00BD0B72">
              <w:rPr>
                <w:sz w:val="28"/>
                <w:szCs w:val="28"/>
              </w:rPr>
              <w:t xml:space="preserve"> </w:t>
            </w:r>
            <w:proofErr w:type="spellStart"/>
            <w:r w:rsidRPr="00BD0B72">
              <w:rPr>
                <w:sz w:val="28"/>
                <w:szCs w:val="28"/>
              </w:rPr>
              <w:t>tiek</w:t>
            </w:r>
            <w:proofErr w:type="spellEnd"/>
            <w:r w:rsidRPr="00BD0B72">
              <w:rPr>
                <w:sz w:val="28"/>
                <w:szCs w:val="28"/>
              </w:rPr>
              <w:t xml:space="preserve"> </w:t>
            </w:r>
            <w:proofErr w:type="spellStart"/>
            <w:r w:rsidRPr="00BD0B72">
              <w:rPr>
                <w:sz w:val="28"/>
                <w:szCs w:val="28"/>
              </w:rPr>
              <w:t>ieviestas</w:t>
            </w:r>
            <w:proofErr w:type="spellEnd"/>
            <w:r w:rsidRPr="00BD0B72">
              <w:rPr>
                <w:sz w:val="28"/>
                <w:szCs w:val="28"/>
              </w:rPr>
              <w:t xml:space="preserve"> </w:t>
            </w:r>
            <w:proofErr w:type="spellStart"/>
            <w:r w:rsidRPr="00BD0B72">
              <w:rPr>
                <w:sz w:val="28"/>
                <w:szCs w:val="28"/>
              </w:rPr>
              <w:t>pilnībā</w:t>
            </w:r>
            <w:proofErr w:type="spellEnd"/>
            <w:r w:rsidRPr="00BD0B72">
              <w:rPr>
                <w:sz w:val="28"/>
                <w:szCs w:val="28"/>
              </w:rPr>
              <w:t>.</w:t>
            </w:r>
          </w:p>
          <w:p w:rsidR="002A58FD" w:rsidRPr="00BD0B72" w:rsidRDefault="002A58FD" w:rsidP="001E7BE3">
            <w:pPr>
              <w:rPr>
                <w:sz w:val="28"/>
                <w:szCs w:val="28"/>
              </w:rPr>
            </w:pPr>
          </w:p>
          <w:p w:rsidR="002A58FD" w:rsidRPr="00BD0B72" w:rsidRDefault="002A58FD" w:rsidP="001E7BE3">
            <w:pPr>
              <w:rPr>
                <w:sz w:val="28"/>
                <w:szCs w:val="28"/>
              </w:rPr>
            </w:pPr>
          </w:p>
          <w:p w:rsidR="002A58FD" w:rsidRPr="00BD0B72" w:rsidRDefault="002A58FD" w:rsidP="001E7BE3">
            <w:pPr>
              <w:rPr>
                <w:sz w:val="28"/>
                <w:szCs w:val="28"/>
              </w:rPr>
            </w:pPr>
          </w:p>
          <w:p w:rsidR="002A58FD" w:rsidRPr="00BD0B72" w:rsidRDefault="002A58FD" w:rsidP="001E7BE3">
            <w:pPr>
              <w:rPr>
                <w:sz w:val="28"/>
                <w:szCs w:val="28"/>
              </w:rPr>
            </w:pPr>
          </w:p>
          <w:p w:rsidR="002A58FD" w:rsidRPr="00BD0B72" w:rsidRDefault="002A58FD" w:rsidP="001E7BE3">
            <w:pPr>
              <w:rPr>
                <w:sz w:val="28"/>
                <w:szCs w:val="28"/>
              </w:rPr>
            </w:pPr>
          </w:p>
          <w:p w:rsidR="002A58FD" w:rsidRPr="00BD0B72" w:rsidRDefault="002A58FD" w:rsidP="001E7BE3">
            <w:pPr>
              <w:rPr>
                <w:sz w:val="28"/>
                <w:szCs w:val="28"/>
              </w:rPr>
            </w:pPr>
            <w:r w:rsidRPr="00BD0B72">
              <w:rPr>
                <w:sz w:val="28"/>
                <w:szCs w:val="28"/>
              </w:rPr>
              <w:t xml:space="preserve">ES </w:t>
            </w:r>
            <w:proofErr w:type="spellStart"/>
            <w:r w:rsidRPr="00BD0B72">
              <w:rPr>
                <w:sz w:val="28"/>
                <w:szCs w:val="28"/>
              </w:rPr>
              <w:t>tiesību</w:t>
            </w:r>
            <w:proofErr w:type="spellEnd"/>
            <w:r w:rsidRPr="00BD0B72">
              <w:rPr>
                <w:sz w:val="28"/>
                <w:szCs w:val="28"/>
              </w:rPr>
              <w:t xml:space="preserve"> </w:t>
            </w:r>
            <w:proofErr w:type="spellStart"/>
            <w:r w:rsidRPr="00BD0B72">
              <w:rPr>
                <w:sz w:val="28"/>
                <w:szCs w:val="28"/>
              </w:rPr>
              <w:t>akta</w:t>
            </w:r>
            <w:proofErr w:type="spellEnd"/>
            <w:r w:rsidRPr="00BD0B72">
              <w:rPr>
                <w:sz w:val="28"/>
                <w:szCs w:val="28"/>
              </w:rPr>
              <w:t xml:space="preserve"> </w:t>
            </w:r>
            <w:proofErr w:type="spellStart"/>
            <w:r w:rsidRPr="00BD0B72">
              <w:rPr>
                <w:sz w:val="28"/>
                <w:szCs w:val="28"/>
              </w:rPr>
              <w:t>vienības</w:t>
            </w:r>
            <w:proofErr w:type="spellEnd"/>
            <w:r w:rsidRPr="00BD0B72">
              <w:rPr>
                <w:sz w:val="28"/>
                <w:szCs w:val="28"/>
              </w:rPr>
              <w:t xml:space="preserve"> </w:t>
            </w:r>
            <w:proofErr w:type="spellStart"/>
            <w:r w:rsidRPr="00BD0B72">
              <w:rPr>
                <w:sz w:val="28"/>
                <w:szCs w:val="28"/>
              </w:rPr>
              <w:t>tiek</w:t>
            </w:r>
            <w:proofErr w:type="spellEnd"/>
            <w:r w:rsidRPr="00BD0B72">
              <w:rPr>
                <w:sz w:val="28"/>
                <w:szCs w:val="28"/>
              </w:rPr>
              <w:t xml:space="preserve"> </w:t>
            </w:r>
            <w:proofErr w:type="spellStart"/>
            <w:r w:rsidRPr="00BD0B72">
              <w:rPr>
                <w:sz w:val="28"/>
                <w:szCs w:val="28"/>
              </w:rPr>
              <w:t>ieviestas</w:t>
            </w:r>
            <w:proofErr w:type="spellEnd"/>
            <w:r w:rsidRPr="00BD0B72">
              <w:rPr>
                <w:sz w:val="28"/>
                <w:szCs w:val="28"/>
              </w:rPr>
              <w:t xml:space="preserve"> </w:t>
            </w:r>
            <w:proofErr w:type="spellStart"/>
            <w:r w:rsidRPr="00BD0B72">
              <w:rPr>
                <w:sz w:val="28"/>
                <w:szCs w:val="28"/>
              </w:rPr>
              <w:lastRenderedPageBreak/>
              <w:t>pilnībā</w:t>
            </w:r>
            <w:proofErr w:type="spellEnd"/>
            <w:r w:rsidRPr="00BD0B72">
              <w:rPr>
                <w:sz w:val="28"/>
                <w:szCs w:val="28"/>
              </w:rPr>
              <w:t>.</w:t>
            </w:r>
          </w:p>
          <w:p w:rsidR="002A58FD" w:rsidRPr="00BD0B72" w:rsidRDefault="002A58FD" w:rsidP="001E7BE3">
            <w:pPr>
              <w:rPr>
                <w:sz w:val="28"/>
                <w:szCs w:val="28"/>
              </w:rPr>
            </w:pPr>
          </w:p>
          <w:p w:rsidR="002A58FD" w:rsidRPr="00BD0B72" w:rsidRDefault="002A58FD" w:rsidP="001E7BE3">
            <w:pPr>
              <w:rPr>
                <w:sz w:val="28"/>
                <w:szCs w:val="28"/>
              </w:rPr>
            </w:pPr>
          </w:p>
          <w:p w:rsidR="002A58FD" w:rsidRPr="00BD0B72" w:rsidRDefault="002A58FD" w:rsidP="001E7BE3">
            <w:pPr>
              <w:rPr>
                <w:sz w:val="28"/>
                <w:szCs w:val="28"/>
              </w:rPr>
            </w:pPr>
          </w:p>
          <w:p w:rsidR="002A58FD" w:rsidRPr="00BD0B72" w:rsidRDefault="002A58FD" w:rsidP="001E7BE3">
            <w:pPr>
              <w:rPr>
                <w:sz w:val="28"/>
                <w:szCs w:val="28"/>
              </w:rPr>
            </w:pPr>
          </w:p>
          <w:p w:rsidR="002A58FD" w:rsidRPr="00BD0B72" w:rsidRDefault="002A58FD" w:rsidP="001E7BE3">
            <w:pPr>
              <w:rPr>
                <w:sz w:val="28"/>
                <w:szCs w:val="28"/>
              </w:rPr>
            </w:pPr>
          </w:p>
          <w:p w:rsidR="002A58FD" w:rsidRPr="00BD0B72" w:rsidRDefault="002A58FD" w:rsidP="001E7BE3">
            <w:pPr>
              <w:rPr>
                <w:sz w:val="28"/>
                <w:szCs w:val="28"/>
              </w:rPr>
            </w:pPr>
            <w:r w:rsidRPr="00BD0B72">
              <w:rPr>
                <w:sz w:val="28"/>
                <w:szCs w:val="28"/>
              </w:rPr>
              <w:t xml:space="preserve">ES </w:t>
            </w:r>
            <w:proofErr w:type="spellStart"/>
            <w:r w:rsidRPr="00BD0B72">
              <w:rPr>
                <w:sz w:val="28"/>
                <w:szCs w:val="28"/>
              </w:rPr>
              <w:t>tiesību</w:t>
            </w:r>
            <w:proofErr w:type="spellEnd"/>
            <w:r w:rsidRPr="00BD0B72">
              <w:rPr>
                <w:sz w:val="28"/>
                <w:szCs w:val="28"/>
              </w:rPr>
              <w:t xml:space="preserve"> </w:t>
            </w:r>
            <w:proofErr w:type="spellStart"/>
            <w:r w:rsidRPr="00BD0B72">
              <w:rPr>
                <w:sz w:val="28"/>
                <w:szCs w:val="28"/>
              </w:rPr>
              <w:t>akta</w:t>
            </w:r>
            <w:proofErr w:type="spellEnd"/>
            <w:r w:rsidRPr="00BD0B72">
              <w:rPr>
                <w:sz w:val="28"/>
                <w:szCs w:val="28"/>
              </w:rPr>
              <w:t xml:space="preserve"> </w:t>
            </w:r>
            <w:proofErr w:type="spellStart"/>
            <w:r w:rsidRPr="00BD0B72">
              <w:rPr>
                <w:sz w:val="28"/>
                <w:szCs w:val="28"/>
              </w:rPr>
              <w:t>vienības</w:t>
            </w:r>
            <w:proofErr w:type="spellEnd"/>
            <w:r w:rsidRPr="00BD0B72">
              <w:rPr>
                <w:sz w:val="28"/>
                <w:szCs w:val="28"/>
              </w:rPr>
              <w:t xml:space="preserve"> </w:t>
            </w:r>
            <w:proofErr w:type="spellStart"/>
            <w:r w:rsidRPr="00BD0B72">
              <w:rPr>
                <w:sz w:val="28"/>
                <w:szCs w:val="28"/>
              </w:rPr>
              <w:t>tiek</w:t>
            </w:r>
            <w:proofErr w:type="spellEnd"/>
            <w:r w:rsidRPr="00BD0B72">
              <w:rPr>
                <w:sz w:val="28"/>
                <w:szCs w:val="28"/>
              </w:rPr>
              <w:t xml:space="preserve"> </w:t>
            </w:r>
            <w:proofErr w:type="spellStart"/>
            <w:r w:rsidRPr="00BD0B72">
              <w:rPr>
                <w:sz w:val="28"/>
                <w:szCs w:val="28"/>
              </w:rPr>
              <w:t>ieviestas</w:t>
            </w:r>
            <w:proofErr w:type="spellEnd"/>
            <w:r w:rsidRPr="00BD0B72">
              <w:rPr>
                <w:sz w:val="28"/>
                <w:szCs w:val="28"/>
              </w:rPr>
              <w:t xml:space="preserve"> </w:t>
            </w:r>
            <w:proofErr w:type="spellStart"/>
            <w:r w:rsidRPr="00BD0B72">
              <w:rPr>
                <w:sz w:val="28"/>
                <w:szCs w:val="28"/>
              </w:rPr>
              <w:t>pilnībā</w:t>
            </w:r>
            <w:proofErr w:type="spellEnd"/>
            <w:r w:rsidRPr="00BD0B72">
              <w:rPr>
                <w:sz w:val="28"/>
                <w:szCs w:val="28"/>
              </w:rPr>
              <w:t>.</w:t>
            </w:r>
          </w:p>
          <w:p w:rsidR="002A58FD" w:rsidRPr="00BD0B72" w:rsidRDefault="002A58FD" w:rsidP="001E7BE3">
            <w:pPr>
              <w:rPr>
                <w:sz w:val="28"/>
                <w:szCs w:val="28"/>
              </w:rPr>
            </w:pPr>
          </w:p>
          <w:p w:rsidR="002A58FD" w:rsidRPr="00BD0B72" w:rsidRDefault="002A58FD" w:rsidP="001E7BE3">
            <w:pPr>
              <w:rPr>
                <w:sz w:val="28"/>
                <w:szCs w:val="28"/>
              </w:rPr>
            </w:pPr>
          </w:p>
          <w:p w:rsidR="002A58FD" w:rsidRPr="00BD0B72" w:rsidRDefault="002A58FD" w:rsidP="001E7BE3">
            <w:pPr>
              <w:rPr>
                <w:sz w:val="28"/>
                <w:szCs w:val="28"/>
              </w:rPr>
            </w:pPr>
          </w:p>
          <w:p w:rsidR="002A58FD" w:rsidRPr="00BD0B72" w:rsidRDefault="002A58FD" w:rsidP="001E7BE3">
            <w:pPr>
              <w:rPr>
                <w:sz w:val="28"/>
                <w:szCs w:val="28"/>
              </w:rPr>
            </w:pPr>
          </w:p>
          <w:p w:rsidR="002A58FD" w:rsidRPr="00BD0B72" w:rsidRDefault="002A58FD" w:rsidP="001E7BE3">
            <w:pPr>
              <w:rPr>
                <w:sz w:val="28"/>
                <w:szCs w:val="28"/>
              </w:rPr>
            </w:pPr>
          </w:p>
          <w:p w:rsidR="002A58FD" w:rsidRPr="00BD0B72" w:rsidRDefault="002A58FD" w:rsidP="001E7BE3">
            <w:pPr>
              <w:rPr>
                <w:sz w:val="28"/>
                <w:szCs w:val="28"/>
              </w:rPr>
            </w:pPr>
            <w:r w:rsidRPr="00BD0B72">
              <w:rPr>
                <w:sz w:val="28"/>
                <w:szCs w:val="28"/>
              </w:rPr>
              <w:t xml:space="preserve">ES </w:t>
            </w:r>
            <w:proofErr w:type="spellStart"/>
            <w:r w:rsidRPr="00BD0B72">
              <w:rPr>
                <w:sz w:val="28"/>
                <w:szCs w:val="28"/>
              </w:rPr>
              <w:t>tiesību</w:t>
            </w:r>
            <w:proofErr w:type="spellEnd"/>
            <w:r w:rsidRPr="00BD0B72">
              <w:rPr>
                <w:sz w:val="28"/>
                <w:szCs w:val="28"/>
              </w:rPr>
              <w:t xml:space="preserve"> </w:t>
            </w:r>
            <w:proofErr w:type="spellStart"/>
            <w:r w:rsidRPr="00BD0B72">
              <w:rPr>
                <w:sz w:val="28"/>
                <w:szCs w:val="28"/>
              </w:rPr>
              <w:t>akta</w:t>
            </w:r>
            <w:proofErr w:type="spellEnd"/>
            <w:r w:rsidRPr="00BD0B72">
              <w:rPr>
                <w:sz w:val="28"/>
                <w:szCs w:val="28"/>
              </w:rPr>
              <w:t xml:space="preserve"> </w:t>
            </w:r>
            <w:proofErr w:type="spellStart"/>
            <w:r w:rsidRPr="00BD0B72">
              <w:rPr>
                <w:sz w:val="28"/>
                <w:szCs w:val="28"/>
              </w:rPr>
              <w:t>vienības</w:t>
            </w:r>
            <w:proofErr w:type="spellEnd"/>
            <w:r w:rsidRPr="00BD0B72">
              <w:rPr>
                <w:sz w:val="28"/>
                <w:szCs w:val="28"/>
              </w:rPr>
              <w:t xml:space="preserve"> </w:t>
            </w:r>
            <w:proofErr w:type="spellStart"/>
            <w:r w:rsidRPr="00BD0B72">
              <w:rPr>
                <w:sz w:val="28"/>
                <w:szCs w:val="28"/>
              </w:rPr>
              <w:t>tiek</w:t>
            </w:r>
            <w:proofErr w:type="spellEnd"/>
            <w:r w:rsidRPr="00BD0B72">
              <w:rPr>
                <w:sz w:val="28"/>
                <w:szCs w:val="28"/>
              </w:rPr>
              <w:t xml:space="preserve"> </w:t>
            </w:r>
            <w:proofErr w:type="spellStart"/>
            <w:r w:rsidRPr="00BD0B72">
              <w:rPr>
                <w:sz w:val="28"/>
                <w:szCs w:val="28"/>
              </w:rPr>
              <w:t>ieviestas</w:t>
            </w:r>
            <w:proofErr w:type="spellEnd"/>
            <w:r w:rsidRPr="00BD0B72">
              <w:rPr>
                <w:sz w:val="28"/>
                <w:szCs w:val="28"/>
              </w:rPr>
              <w:t xml:space="preserve"> </w:t>
            </w:r>
            <w:proofErr w:type="spellStart"/>
            <w:r w:rsidRPr="00BD0B72">
              <w:rPr>
                <w:sz w:val="28"/>
                <w:szCs w:val="28"/>
              </w:rPr>
              <w:t>pilnībā</w:t>
            </w:r>
            <w:proofErr w:type="spellEnd"/>
            <w:r w:rsidRPr="00BD0B72">
              <w:rPr>
                <w:sz w:val="28"/>
                <w:szCs w:val="28"/>
              </w:rPr>
              <w:t>.</w:t>
            </w:r>
          </w:p>
        </w:tc>
        <w:tc>
          <w:tcPr>
            <w:tcW w:w="2033" w:type="dxa"/>
            <w:hideMark/>
          </w:tcPr>
          <w:p w:rsidR="002A58FD" w:rsidRPr="00BD0B72" w:rsidRDefault="002A58FD" w:rsidP="001E7BE3">
            <w:pPr>
              <w:rPr>
                <w:sz w:val="28"/>
                <w:szCs w:val="28"/>
              </w:rPr>
            </w:pPr>
            <w:proofErr w:type="spellStart"/>
            <w:r w:rsidRPr="00BD0B72">
              <w:rPr>
                <w:sz w:val="28"/>
                <w:szCs w:val="28"/>
              </w:rPr>
              <w:lastRenderedPageBreak/>
              <w:t>Minētās</w:t>
            </w:r>
            <w:proofErr w:type="spellEnd"/>
            <w:r w:rsidRPr="00BD0B72">
              <w:rPr>
                <w:sz w:val="28"/>
                <w:szCs w:val="28"/>
              </w:rPr>
              <w:t xml:space="preserve"> </w:t>
            </w:r>
            <w:proofErr w:type="spellStart"/>
            <w:r w:rsidRPr="00BD0B72">
              <w:rPr>
                <w:sz w:val="28"/>
                <w:szCs w:val="28"/>
              </w:rPr>
              <w:t>projekta</w:t>
            </w:r>
            <w:proofErr w:type="spellEnd"/>
            <w:r w:rsidRPr="00BD0B72">
              <w:rPr>
                <w:sz w:val="28"/>
                <w:szCs w:val="28"/>
              </w:rPr>
              <w:t xml:space="preserve"> </w:t>
            </w:r>
            <w:proofErr w:type="spellStart"/>
            <w:r w:rsidRPr="00BD0B72">
              <w:rPr>
                <w:sz w:val="28"/>
                <w:szCs w:val="28"/>
              </w:rPr>
              <w:t>vienības</w:t>
            </w:r>
            <w:proofErr w:type="spellEnd"/>
            <w:r w:rsidRPr="00BD0B72">
              <w:rPr>
                <w:sz w:val="28"/>
                <w:szCs w:val="28"/>
              </w:rPr>
              <w:t xml:space="preserve"> </w:t>
            </w:r>
            <w:proofErr w:type="spellStart"/>
            <w:r w:rsidRPr="00BD0B72">
              <w:rPr>
                <w:sz w:val="28"/>
                <w:szCs w:val="28"/>
              </w:rPr>
              <w:t>neparedz</w:t>
            </w:r>
            <w:proofErr w:type="spellEnd"/>
            <w:r w:rsidRPr="00BD0B72">
              <w:rPr>
                <w:sz w:val="28"/>
                <w:szCs w:val="28"/>
              </w:rPr>
              <w:t xml:space="preserve"> </w:t>
            </w:r>
            <w:proofErr w:type="spellStart"/>
            <w:r w:rsidRPr="00BD0B72">
              <w:rPr>
                <w:sz w:val="28"/>
                <w:szCs w:val="28"/>
              </w:rPr>
              <w:t>stingrākas</w:t>
            </w:r>
            <w:proofErr w:type="spellEnd"/>
            <w:r w:rsidRPr="00BD0B72">
              <w:rPr>
                <w:sz w:val="28"/>
                <w:szCs w:val="28"/>
              </w:rPr>
              <w:t xml:space="preserve"> </w:t>
            </w:r>
            <w:proofErr w:type="spellStart"/>
            <w:r w:rsidRPr="00BD0B72">
              <w:rPr>
                <w:sz w:val="28"/>
                <w:szCs w:val="28"/>
              </w:rPr>
              <w:t>prasības</w:t>
            </w:r>
            <w:proofErr w:type="spellEnd"/>
            <w:r w:rsidRPr="00BD0B72">
              <w:rPr>
                <w:sz w:val="28"/>
                <w:szCs w:val="28"/>
              </w:rPr>
              <w:t xml:space="preserve"> </w:t>
            </w:r>
            <w:proofErr w:type="spellStart"/>
            <w:r w:rsidRPr="00BD0B72">
              <w:rPr>
                <w:sz w:val="28"/>
                <w:szCs w:val="28"/>
              </w:rPr>
              <w:t>nekā</w:t>
            </w:r>
            <w:proofErr w:type="spellEnd"/>
            <w:r w:rsidRPr="00BD0B72">
              <w:rPr>
                <w:sz w:val="28"/>
                <w:szCs w:val="28"/>
              </w:rPr>
              <w:t xml:space="preserve"> ES </w:t>
            </w:r>
            <w:proofErr w:type="spellStart"/>
            <w:r w:rsidRPr="00BD0B72">
              <w:rPr>
                <w:sz w:val="28"/>
                <w:szCs w:val="28"/>
              </w:rPr>
              <w:t>tiesību</w:t>
            </w:r>
            <w:proofErr w:type="spellEnd"/>
            <w:r w:rsidRPr="00BD0B72">
              <w:rPr>
                <w:sz w:val="28"/>
                <w:szCs w:val="28"/>
              </w:rPr>
              <w:t xml:space="preserve"> </w:t>
            </w:r>
            <w:proofErr w:type="spellStart"/>
            <w:r w:rsidRPr="00BD0B72">
              <w:rPr>
                <w:sz w:val="28"/>
                <w:szCs w:val="28"/>
              </w:rPr>
              <w:t>akta</w:t>
            </w:r>
            <w:proofErr w:type="spellEnd"/>
            <w:r w:rsidRPr="00BD0B72">
              <w:rPr>
                <w:sz w:val="28"/>
                <w:szCs w:val="28"/>
              </w:rPr>
              <w:t xml:space="preserve"> </w:t>
            </w:r>
            <w:proofErr w:type="spellStart"/>
            <w:r w:rsidRPr="00BD0B72">
              <w:rPr>
                <w:sz w:val="28"/>
                <w:szCs w:val="28"/>
              </w:rPr>
              <w:t>vienības</w:t>
            </w:r>
            <w:proofErr w:type="spellEnd"/>
            <w:r w:rsidRPr="00BD0B72">
              <w:rPr>
                <w:sz w:val="28"/>
                <w:szCs w:val="28"/>
              </w:rPr>
              <w:t>.</w:t>
            </w:r>
          </w:p>
          <w:p w:rsidR="002A58FD" w:rsidRPr="00BD0B72" w:rsidRDefault="002A58FD" w:rsidP="001E7BE3">
            <w:pPr>
              <w:rPr>
                <w:sz w:val="28"/>
                <w:szCs w:val="28"/>
              </w:rPr>
            </w:pPr>
          </w:p>
          <w:p w:rsidR="002A58FD" w:rsidRPr="00BD0B72" w:rsidRDefault="002A58FD" w:rsidP="001E7BE3">
            <w:pPr>
              <w:rPr>
                <w:sz w:val="28"/>
                <w:szCs w:val="28"/>
              </w:rPr>
            </w:pPr>
            <w:proofErr w:type="spellStart"/>
            <w:r w:rsidRPr="00BD0B72">
              <w:rPr>
                <w:sz w:val="28"/>
                <w:szCs w:val="28"/>
              </w:rPr>
              <w:t>Minētās</w:t>
            </w:r>
            <w:proofErr w:type="spellEnd"/>
            <w:r w:rsidRPr="00BD0B72">
              <w:rPr>
                <w:sz w:val="28"/>
                <w:szCs w:val="28"/>
              </w:rPr>
              <w:t xml:space="preserve"> </w:t>
            </w:r>
            <w:proofErr w:type="spellStart"/>
            <w:r w:rsidRPr="00BD0B72">
              <w:rPr>
                <w:sz w:val="28"/>
                <w:szCs w:val="28"/>
              </w:rPr>
              <w:t>projekta</w:t>
            </w:r>
            <w:proofErr w:type="spellEnd"/>
            <w:r w:rsidRPr="00BD0B72">
              <w:rPr>
                <w:sz w:val="28"/>
                <w:szCs w:val="28"/>
              </w:rPr>
              <w:t xml:space="preserve"> </w:t>
            </w:r>
            <w:proofErr w:type="spellStart"/>
            <w:r w:rsidRPr="00BD0B72">
              <w:rPr>
                <w:sz w:val="28"/>
                <w:szCs w:val="28"/>
              </w:rPr>
              <w:t>vienības</w:t>
            </w:r>
            <w:proofErr w:type="spellEnd"/>
            <w:r w:rsidRPr="00BD0B72">
              <w:rPr>
                <w:sz w:val="28"/>
                <w:szCs w:val="28"/>
              </w:rPr>
              <w:t xml:space="preserve"> </w:t>
            </w:r>
            <w:proofErr w:type="spellStart"/>
            <w:r w:rsidRPr="00BD0B72">
              <w:rPr>
                <w:sz w:val="28"/>
                <w:szCs w:val="28"/>
              </w:rPr>
              <w:lastRenderedPageBreak/>
              <w:t>neparedz</w:t>
            </w:r>
            <w:proofErr w:type="spellEnd"/>
            <w:r w:rsidRPr="00BD0B72">
              <w:rPr>
                <w:sz w:val="28"/>
                <w:szCs w:val="28"/>
              </w:rPr>
              <w:t xml:space="preserve"> </w:t>
            </w:r>
            <w:proofErr w:type="spellStart"/>
            <w:r w:rsidRPr="00BD0B72">
              <w:rPr>
                <w:sz w:val="28"/>
                <w:szCs w:val="28"/>
              </w:rPr>
              <w:t>stingrākas</w:t>
            </w:r>
            <w:proofErr w:type="spellEnd"/>
            <w:r w:rsidRPr="00BD0B72">
              <w:rPr>
                <w:sz w:val="28"/>
                <w:szCs w:val="28"/>
              </w:rPr>
              <w:t xml:space="preserve"> </w:t>
            </w:r>
            <w:proofErr w:type="spellStart"/>
            <w:r w:rsidRPr="00BD0B72">
              <w:rPr>
                <w:sz w:val="28"/>
                <w:szCs w:val="28"/>
              </w:rPr>
              <w:t>prasības</w:t>
            </w:r>
            <w:proofErr w:type="spellEnd"/>
            <w:r w:rsidRPr="00BD0B72">
              <w:rPr>
                <w:sz w:val="28"/>
                <w:szCs w:val="28"/>
              </w:rPr>
              <w:t xml:space="preserve"> </w:t>
            </w:r>
            <w:proofErr w:type="spellStart"/>
            <w:r w:rsidRPr="00BD0B72">
              <w:rPr>
                <w:sz w:val="28"/>
                <w:szCs w:val="28"/>
              </w:rPr>
              <w:t>nekā</w:t>
            </w:r>
            <w:proofErr w:type="spellEnd"/>
            <w:r w:rsidRPr="00BD0B72">
              <w:rPr>
                <w:sz w:val="28"/>
                <w:szCs w:val="28"/>
              </w:rPr>
              <w:t xml:space="preserve"> ES </w:t>
            </w:r>
            <w:proofErr w:type="spellStart"/>
            <w:r w:rsidRPr="00BD0B72">
              <w:rPr>
                <w:sz w:val="28"/>
                <w:szCs w:val="28"/>
              </w:rPr>
              <w:t>tiesību</w:t>
            </w:r>
            <w:proofErr w:type="spellEnd"/>
            <w:r w:rsidRPr="00BD0B72">
              <w:rPr>
                <w:sz w:val="28"/>
                <w:szCs w:val="28"/>
              </w:rPr>
              <w:t xml:space="preserve"> </w:t>
            </w:r>
            <w:proofErr w:type="spellStart"/>
            <w:r w:rsidRPr="00BD0B72">
              <w:rPr>
                <w:sz w:val="28"/>
                <w:szCs w:val="28"/>
              </w:rPr>
              <w:t>akta</w:t>
            </w:r>
            <w:proofErr w:type="spellEnd"/>
            <w:r w:rsidRPr="00BD0B72">
              <w:rPr>
                <w:sz w:val="28"/>
                <w:szCs w:val="28"/>
              </w:rPr>
              <w:t xml:space="preserve"> </w:t>
            </w:r>
            <w:proofErr w:type="spellStart"/>
            <w:r w:rsidRPr="00BD0B72">
              <w:rPr>
                <w:sz w:val="28"/>
                <w:szCs w:val="28"/>
              </w:rPr>
              <w:t>vienības</w:t>
            </w:r>
            <w:proofErr w:type="spellEnd"/>
            <w:r w:rsidRPr="00BD0B72">
              <w:rPr>
                <w:sz w:val="28"/>
                <w:szCs w:val="28"/>
              </w:rPr>
              <w:t>.</w:t>
            </w:r>
          </w:p>
          <w:p w:rsidR="002A58FD" w:rsidRPr="00BD0B72" w:rsidRDefault="002A58FD" w:rsidP="001E7BE3">
            <w:pPr>
              <w:rPr>
                <w:sz w:val="28"/>
                <w:szCs w:val="28"/>
              </w:rPr>
            </w:pPr>
          </w:p>
          <w:p w:rsidR="002A58FD" w:rsidRPr="00BD0B72" w:rsidRDefault="002A58FD" w:rsidP="001E7BE3">
            <w:pPr>
              <w:rPr>
                <w:sz w:val="28"/>
                <w:szCs w:val="28"/>
              </w:rPr>
            </w:pPr>
            <w:proofErr w:type="spellStart"/>
            <w:r w:rsidRPr="00BD0B72">
              <w:rPr>
                <w:sz w:val="28"/>
                <w:szCs w:val="28"/>
              </w:rPr>
              <w:t>Minētās</w:t>
            </w:r>
            <w:proofErr w:type="spellEnd"/>
            <w:r w:rsidRPr="00BD0B72">
              <w:rPr>
                <w:sz w:val="28"/>
                <w:szCs w:val="28"/>
              </w:rPr>
              <w:t xml:space="preserve"> </w:t>
            </w:r>
            <w:proofErr w:type="spellStart"/>
            <w:r w:rsidRPr="00BD0B72">
              <w:rPr>
                <w:sz w:val="28"/>
                <w:szCs w:val="28"/>
              </w:rPr>
              <w:t>projekta</w:t>
            </w:r>
            <w:proofErr w:type="spellEnd"/>
            <w:r w:rsidRPr="00BD0B72">
              <w:rPr>
                <w:sz w:val="28"/>
                <w:szCs w:val="28"/>
              </w:rPr>
              <w:t xml:space="preserve"> </w:t>
            </w:r>
            <w:proofErr w:type="spellStart"/>
            <w:r w:rsidRPr="00BD0B72">
              <w:rPr>
                <w:sz w:val="28"/>
                <w:szCs w:val="28"/>
              </w:rPr>
              <w:t>vienības</w:t>
            </w:r>
            <w:proofErr w:type="spellEnd"/>
            <w:r w:rsidRPr="00BD0B72">
              <w:rPr>
                <w:sz w:val="28"/>
                <w:szCs w:val="28"/>
              </w:rPr>
              <w:t xml:space="preserve"> </w:t>
            </w:r>
            <w:proofErr w:type="spellStart"/>
            <w:r w:rsidRPr="00BD0B72">
              <w:rPr>
                <w:sz w:val="28"/>
                <w:szCs w:val="28"/>
              </w:rPr>
              <w:t>neparedz</w:t>
            </w:r>
            <w:proofErr w:type="spellEnd"/>
            <w:r w:rsidRPr="00BD0B72">
              <w:rPr>
                <w:sz w:val="28"/>
                <w:szCs w:val="28"/>
              </w:rPr>
              <w:t xml:space="preserve"> </w:t>
            </w:r>
            <w:proofErr w:type="spellStart"/>
            <w:r w:rsidRPr="00BD0B72">
              <w:rPr>
                <w:sz w:val="28"/>
                <w:szCs w:val="28"/>
              </w:rPr>
              <w:t>stingrākas</w:t>
            </w:r>
            <w:proofErr w:type="spellEnd"/>
            <w:r w:rsidRPr="00BD0B72">
              <w:rPr>
                <w:sz w:val="28"/>
                <w:szCs w:val="28"/>
              </w:rPr>
              <w:t xml:space="preserve"> </w:t>
            </w:r>
            <w:proofErr w:type="spellStart"/>
            <w:r w:rsidRPr="00BD0B72">
              <w:rPr>
                <w:sz w:val="28"/>
                <w:szCs w:val="28"/>
              </w:rPr>
              <w:t>prasības</w:t>
            </w:r>
            <w:proofErr w:type="spellEnd"/>
            <w:r w:rsidRPr="00BD0B72">
              <w:rPr>
                <w:sz w:val="28"/>
                <w:szCs w:val="28"/>
              </w:rPr>
              <w:t xml:space="preserve"> </w:t>
            </w:r>
            <w:proofErr w:type="spellStart"/>
            <w:r w:rsidRPr="00BD0B72">
              <w:rPr>
                <w:sz w:val="28"/>
                <w:szCs w:val="28"/>
              </w:rPr>
              <w:t>nekā</w:t>
            </w:r>
            <w:proofErr w:type="spellEnd"/>
            <w:r w:rsidRPr="00BD0B72">
              <w:rPr>
                <w:sz w:val="28"/>
                <w:szCs w:val="28"/>
              </w:rPr>
              <w:t xml:space="preserve"> ES </w:t>
            </w:r>
            <w:proofErr w:type="spellStart"/>
            <w:r w:rsidRPr="00BD0B72">
              <w:rPr>
                <w:sz w:val="28"/>
                <w:szCs w:val="28"/>
              </w:rPr>
              <w:t>tiesību</w:t>
            </w:r>
            <w:proofErr w:type="spellEnd"/>
            <w:r w:rsidRPr="00BD0B72">
              <w:rPr>
                <w:sz w:val="28"/>
                <w:szCs w:val="28"/>
              </w:rPr>
              <w:t xml:space="preserve"> </w:t>
            </w:r>
            <w:proofErr w:type="spellStart"/>
            <w:r w:rsidRPr="00BD0B72">
              <w:rPr>
                <w:sz w:val="28"/>
                <w:szCs w:val="28"/>
              </w:rPr>
              <w:t>akta</w:t>
            </w:r>
            <w:proofErr w:type="spellEnd"/>
            <w:r w:rsidRPr="00BD0B72">
              <w:rPr>
                <w:sz w:val="28"/>
                <w:szCs w:val="28"/>
              </w:rPr>
              <w:t xml:space="preserve"> </w:t>
            </w:r>
            <w:proofErr w:type="spellStart"/>
            <w:r w:rsidRPr="00BD0B72">
              <w:rPr>
                <w:sz w:val="28"/>
                <w:szCs w:val="28"/>
              </w:rPr>
              <w:t>vienības</w:t>
            </w:r>
            <w:proofErr w:type="spellEnd"/>
            <w:r w:rsidRPr="00BD0B72">
              <w:rPr>
                <w:sz w:val="28"/>
                <w:szCs w:val="28"/>
              </w:rPr>
              <w:t>.</w:t>
            </w:r>
          </w:p>
          <w:p w:rsidR="002A58FD" w:rsidRPr="00BD0B72" w:rsidRDefault="002A58FD" w:rsidP="001E7BE3">
            <w:pPr>
              <w:rPr>
                <w:sz w:val="28"/>
                <w:szCs w:val="28"/>
              </w:rPr>
            </w:pPr>
          </w:p>
          <w:p w:rsidR="002A58FD" w:rsidRPr="00BD0B72" w:rsidRDefault="002A58FD" w:rsidP="001E7BE3">
            <w:pPr>
              <w:rPr>
                <w:sz w:val="28"/>
                <w:szCs w:val="28"/>
              </w:rPr>
            </w:pPr>
            <w:proofErr w:type="spellStart"/>
            <w:r w:rsidRPr="00BD0B72">
              <w:rPr>
                <w:sz w:val="28"/>
                <w:szCs w:val="28"/>
              </w:rPr>
              <w:t>Minētās</w:t>
            </w:r>
            <w:proofErr w:type="spellEnd"/>
            <w:r w:rsidRPr="00BD0B72">
              <w:rPr>
                <w:sz w:val="28"/>
                <w:szCs w:val="28"/>
              </w:rPr>
              <w:t xml:space="preserve"> </w:t>
            </w:r>
            <w:proofErr w:type="spellStart"/>
            <w:r w:rsidRPr="00BD0B72">
              <w:rPr>
                <w:sz w:val="28"/>
                <w:szCs w:val="28"/>
              </w:rPr>
              <w:t>projekta</w:t>
            </w:r>
            <w:proofErr w:type="spellEnd"/>
            <w:r w:rsidRPr="00BD0B72">
              <w:rPr>
                <w:sz w:val="28"/>
                <w:szCs w:val="28"/>
              </w:rPr>
              <w:t xml:space="preserve"> </w:t>
            </w:r>
            <w:proofErr w:type="spellStart"/>
            <w:r w:rsidRPr="00BD0B72">
              <w:rPr>
                <w:sz w:val="28"/>
                <w:szCs w:val="28"/>
              </w:rPr>
              <w:t>vienības</w:t>
            </w:r>
            <w:proofErr w:type="spellEnd"/>
            <w:r w:rsidRPr="00BD0B72">
              <w:rPr>
                <w:sz w:val="28"/>
                <w:szCs w:val="28"/>
              </w:rPr>
              <w:t xml:space="preserve"> </w:t>
            </w:r>
            <w:proofErr w:type="spellStart"/>
            <w:r w:rsidRPr="00BD0B72">
              <w:rPr>
                <w:sz w:val="28"/>
                <w:szCs w:val="28"/>
              </w:rPr>
              <w:t>neparedz</w:t>
            </w:r>
            <w:proofErr w:type="spellEnd"/>
            <w:r w:rsidRPr="00BD0B72">
              <w:rPr>
                <w:sz w:val="28"/>
                <w:szCs w:val="28"/>
              </w:rPr>
              <w:t xml:space="preserve"> </w:t>
            </w:r>
            <w:proofErr w:type="spellStart"/>
            <w:r w:rsidRPr="00BD0B72">
              <w:rPr>
                <w:sz w:val="28"/>
                <w:szCs w:val="28"/>
              </w:rPr>
              <w:t>stingrākas</w:t>
            </w:r>
            <w:proofErr w:type="spellEnd"/>
            <w:r w:rsidRPr="00BD0B72">
              <w:rPr>
                <w:sz w:val="28"/>
                <w:szCs w:val="28"/>
              </w:rPr>
              <w:t xml:space="preserve"> </w:t>
            </w:r>
            <w:proofErr w:type="spellStart"/>
            <w:r w:rsidRPr="00BD0B72">
              <w:rPr>
                <w:sz w:val="28"/>
                <w:szCs w:val="28"/>
              </w:rPr>
              <w:t>prasības</w:t>
            </w:r>
            <w:proofErr w:type="spellEnd"/>
            <w:r w:rsidRPr="00BD0B72">
              <w:rPr>
                <w:sz w:val="28"/>
                <w:szCs w:val="28"/>
              </w:rPr>
              <w:t xml:space="preserve"> </w:t>
            </w:r>
            <w:proofErr w:type="spellStart"/>
            <w:r w:rsidRPr="00BD0B72">
              <w:rPr>
                <w:sz w:val="28"/>
                <w:szCs w:val="28"/>
              </w:rPr>
              <w:t>nekā</w:t>
            </w:r>
            <w:proofErr w:type="spellEnd"/>
            <w:r w:rsidRPr="00BD0B72">
              <w:rPr>
                <w:sz w:val="28"/>
                <w:szCs w:val="28"/>
              </w:rPr>
              <w:t xml:space="preserve"> ES </w:t>
            </w:r>
            <w:proofErr w:type="spellStart"/>
            <w:r w:rsidRPr="00BD0B72">
              <w:rPr>
                <w:sz w:val="28"/>
                <w:szCs w:val="28"/>
              </w:rPr>
              <w:t>tiesību</w:t>
            </w:r>
            <w:proofErr w:type="spellEnd"/>
            <w:r w:rsidRPr="00BD0B72">
              <w:rPr>
                <w:sz w:val="28"/>
                <w:szCs w:val="28"/>
              </w:rPr>
              <w:t xml:space="preserve"> </w:t>
            </w:r>
            <w:proofErr w:type="spellStart"/>
            <w:r w:rsidRPr="00BD0B72">
              <w:rPr>
                <w:sz w:val="28"/>
                <w:szCs w:val="28"/>
              </w:rPr>
              <w:t>akta</w:t>
            </w:r>
            <w:proofErr w:type="spellEnd"/>
            <w:r w:rsidRPr="00BD0B72">
              <w:rPr>
                <w:sz w:val="28"/>
                <w:szCs w:val="28"/>
              </w:rPr>
              <w:t xml:space="preserve"> </w:t>
            </w:r>
            <w:proofErr w:type="spellStart"/>
            <w:r w:rsidRPr="00BD0B72">
              <w:rPr>
                <w:sz w:val="28"/>
                <w:szCs w:val="28"/>
              </w:rPr>
              <w:t>vienības</w:t>
            </w:r>
            <w:proofErr w:type="spellEnd"/>
            <w:r w:rsidRPr="00BD0B72">
              <w:rPr>
                <w:sz w:val="28"/>
                <w:szCs w:val="28"/>
              </w:rPr>
              <w:t>.</w:t>
            </w:r>
          </w:p>
          <w:p w:rsidR="002A58FD" w:rsidRPr="00BD0B72" w:rsidRDefault="002A58FD" w:rsidP="001E7BE3">
            <w:pPr>
              <w:rPr>
                <w:sz w:val="28"/>
                <w:szCs w:val="28"/>
              </w:rPr>
            </w:pPr>
          </w:p>
          <w:p w:rsidR="002A58FD" w:rsidRPr="00BD0B72" w:rsidRDefault="002A58FD" w:rsidP="001E7BE3">
            <w:pPr>
              <w:rPr>
                <w:sz w:val="28"/>
                <w:szCs w:val="28"/>
              </w:rPr>
            </w:pPr>
            <w:proofErr w:type="spellStart"/>
            <w:r w:rsidRPr="00BD0B72">
              <w:rPr>
                <w:sz w:val="28"/>
                <w:szCs w:val="28"/>
              </w:rPr>
              <w:t>Minētās</w:t>
            </w:r>
            <w:proofErr w:type="spellEnd"/>
            <w:r w:rsidRPr="00BD0B72">
              <w:rPr>
                <w:sz w:val="28"/>
                <w:szCs w:val="28"/>
              </w:rPr>
              <w:t xml:space="preserve"> </w:t>
            </w:r>
            <w:proofErr w:type="spellStart"/>
            <w:r w:rsidRPr="00BD0B72">
              <w:rPr>
                <w:sz w:val="28"/>
                <w:szCs w:val="28"/>
              </w:rPr>
              <w:t>projekta</w:t>
            </w:r>
            <w:proofErr w:type="spellEnd"/>
            <w:r w:rsidRPr="00BD0B72">
              <w:rPr>
                <w:sz w:val="28"/>
                <w:szCs w:val="28"/>
              </w:rPr>
              <w:t xml:space="preserve"> </w:t>
            </w:r>
            <w:proofErr w:type="spellStart"/>
            <w:r w:rsidRPr="00BD0B72">
              <w:rPr>
                <w:sz w:val="28"/>
                <w:szCs w:val="28"/>
              </w:rPr>
              <w:t>vienības</w:t>
            </w:r>
            <w:proofErr w:type="spellEnd"/>
            <w:r w:rsidRPr="00BD0B72">
              <w:rPr>
                <w:sz w:val="28"/>
                <w:szCs w:val="28"/>
              </w:rPr>
              <w:t xml:space="preserve"> </w:t>
            </w:r>
            <w:proofErr w:type="spellStart"/>
            <w:r w:rsidRPr="00BD0B72">
              <w:rPr>
                <w:sz w:val="28"/>
                <w:szCs w:val="28"/>
              </w:rPr>
              <w:t>neparedz</w:t>
            </w:r>
            <w:proofErr w:type="spellEnd"/>
            <w:r w:rsidRPr="00BD0B72">
              <w:rPr>
                <w:sz w:val="28"/>
                <w:szCs w:val="28"/>
              </w:rPr>
              <w:t xml:space="preserve"> </w:t>
            </w:r>
            <w:proofErr w:type="spellStart"/>
            <w:r w:rsidRPr="00BD0B72">
              <w:rPr>
                <w:sz w:val="28"/>
                <w:szCs w:val="28"/>
              </w:rPr>
              <w:t>stingrākas</w:t>
            </w:r>
            <w:proofErr w:type="spellEnd"/>
            <w:r w:rsidRPr="00BD0B72">
              <w:rPr>
                <w:sz w:val="28"/>
                <w:szCs w:val="28"/>
              </w:rPr>
              <w:t xml:space="preserve"> </w:t>
            </w:r>
            <w:proofErr w:type="spellStart"/>
            <w:r w:rsidRPr="00BD0B72">
              <w:rPr>
                <w:sz w:val="28"/>
                <w:szCs w:val="28"/>
              </w:rPr>
              <w:t>prasības</w:t>
            </w:r>
            <w:proofErr w:type="spellEnd"/>
            <w:r w:rsidRPr="00BD0B72">
              <w:rPr>
                <w:sz w:val="28"/>
                <w:szCs w:val="28"/>
              </w:rPr>
              <w:t xml:space="preserve"> </w:t>
            </w:r>
            <w:proofErr w:type="spellStart"/>
            <w:r w:rsidRPr="00BD0B72">
              <w:rPr>
                <w:sz w:val="28"/>
                <w:szCs w:val="28"/>
              </w:rPr>
              <w:t>nekā</w:t>
            </w:r>
            <w:proofErr w:type="spellEnd"/>
            <w:r w:rsidRPr="00BD0B72">
              <w:rPr>
                <w:sz w:val="28"/>
                <w:szCs w:val="28"/>
              </w:rPr>
              <w:t xml:space="preserve"> ES </w:t>
            </w:r>
            <w:proofErr w:type="spellStart"/>
            <w:r w:rsidRPr="00BD0B72">
              <w:rPr>
                <w:sz w:val="28"/>
                <w:szCs w:val="28"/>
              </w:rPr>
              <w:t>tiesību</w:t>
            </w:r>
            <w:proofErr w:type="spellEnd"/>
            <w:r w:rsidRPr="00BD0B72">
              <w:rPr>
                <w:sz w:val="28"/>
                <w:szCs w:val="28"/>
              </w:rPr>
              <w:t xml:space="preserve"> </w:t>
            </w:r>
            <w:proofErr w:type="spellStart"/>
            <w:r w:rsidRPr="00BD0B72">
              <w:rPr>
                <w:sz w:val="28"/>
                <w:szCs w:val="28"/>
              </w:rPr>
              <w:t>akta</w:t>
            </w:r>
            <w:proofErr w:type="spellEnd"/>
            <w:r w:rsidRPr="00BD0B72">
              <w:rPr>
                <w:sz w:val="28"/>
                <w:szCs w:val="28"/>
              </w:rPr>
              <w:t xml:space="preserve"> </w:t>
            </w:r>
            <w:proofErr w:type="spellStart"/>
            <w:r w:rsidRPr="00BD0B72">
              <w:rPr>
                <w:sz w:val="28"/>
                <w:szCs w:val="28"/>
              </w:rPr>
              <w:t>vienības</w:t>
            </w:r>
            <w:proofErr w:type="spellEnd"/>
            <w:r w:rsidRPr="00BD0B72">
              <w:rPr>
                <w:sz w:val="28"/>
                <w:szCs w:val="28"/>
              </w:rPr>
              <w:t>.</w:t>
            </w:r>
          </w:p>
          <w:p w:rsidR="002A58FD" w:rsidRPr="00BD0B72" w:rsidRDefault="002A58FD" w:rsidP="001E7BE3">
            <w:pPr>
              <w:rPr>
                <w:sz w:val="28"/>
                <w:szCs w:val="28"/>
              </w:rPr>
            </w:pPr>
          </w:p>
          <w:p w:rsidR="002A58FD" w:rsidRPr="00BD0B72" w:rsidRDefault="002A58FD" w:rsidP="001E7BE3">
            <w:pPr>
              <w:rPr>
                <w:sz w:val="28"/>
                <w:szCs w:val="28"/>
              </w:rPr>
            </w:pPr>
            <w:proofErr w:type="spellStart"/>
            <w:r w:rsidRPr="00BD0B72">
              <w:rPr>
                <w:sz w:val="28"/>
                <w:szCs w:val="28"/>
              </w:rPr>
              <w:t>Minētās</w:t>
            </w:r>
            <w:proofErr w:type="spellEnd"/>
            <w:r w:rsidRPr="00BD0B72">
              <w:rPr>
                <w:sz w:val="28"/>
                <w:szCs w:val="28"/>
              </w:rPr>
              <w:t xml:space="preserve"> </w:t>
            </w:r>
            <w:proofErr w:type="spellStart"/>
            <w:r w:rsidRPr="00BD0B72">
              <w:rPr>
                <w:sz w:val="28"/>
                <w:szCs w:val="28"/>
              </w:rPr>
              <w:t>projekta</w:t>
            </w:r>
            <w:proofErr w:type="spellEnd"/>
            <w:r w:rsidRPr="00BD0B72">
              <w:rPr>
                <w:sz w:val="28"/>
                <w:szCs w:val="28"/>
              </w:rPr>
              <w:t xml:space="preserve"> </w:t>
            </w:r>
            <w:proofErr w:type="spellStart"/>
            <w:r w:rsidRPr="00BD0B72">
              <w:rPr>
                <w:sz w:val="28"/>
                <w:szCs w:val="28"/>
              </w:rPr>
              <w:t>vienības</w:t>
            </w:r>
            <w:proofErr w:type="spellEnd"/>
            <w:r w:rsidRPr="00BD0B72">
              <w:rPr>
                <w:sz w:val="28"/>
                <w:szCs w:val="28"/>
              </w:rPr>
              <w:t xml:space="preserve"> </w:t>
            </w:r>
            <w:proofErr w:type="spellStart"/>
            <w:r w:rsidRPr="00BD0B72">
              <w:rPr>
                <w:sz w:val="28"/>
                <w:szCs w:val="28"/>
              </w:rPr>
              <w:t>neparedz</w:t>
            </w:r>
            <w:proofErr w:type="spellEnd"/>
            <w:r w:rsidRPr="00BD0B72">
              <w:rPr>
                <w:sz w:val="28"/>
                <w:szCs w:val="28"/>
              </w:rPr>
              <w:t xml:space="preserve"> </w:t>
            </w:r>
            <w:proofErr w:type="spellStart"/>
            <w:r w:rsidRPr="00BD0B72">
              <w:rPr>
                <w:sz w:val="28"/>
                <w:szCs w:val="28"/>
              </w:rPr>
              <w:t>stingrākas</w:t>
            </w:r>
            <w:proofErr w:type="spellEnd"/>
            <w:r w:rsidRPr="00BD0B72">
              <w:rPr>
                <w:sz w:val="28"/>
                <w:szCs w:val="28"/>
              </w:rPr>
              <w:t xml:space="preserve"> </w:t>
            </w:r>
            <w:proofErr w:type="spellStart"/>
            <w:r w:rsidRPr="00BD0B72">
              <w:rPr>
                <w:sz w:val="28"/>
                <w:szCs w:val="28"/>
              </w:rPr>
              <w:t>prasības</w:t>
            </w:r>
            <w:proofErr w:type="spellEnd"/>
            <w:r w:rsidRPr="00BD0B72">
              <w:rPr>
                <w:sz w:val="28"/>
                <w:szCs w:val="28"/>
              </w:rPr>
              <w:t xml:space="preserve"> </w:t>
            </w:r>
            <w:proofErr w:type="spellStart"/>
            <w:r w:rsidRPr="00BD0B72">
              <w:rPr>
                <w:sz w:val="28"/>
                <w:szCs w:val="28"/>
              </w:rPr>
              <w:t>nekā</w:t>
            </w:r>
            <w:proofErr w:type="spellEnd"/>
            <w:r w:rsidRPr="00BD0B72">
              <w:rPr>
                <w:sz w:val="28"/>
                <w:szCs w:val="28"/>
              </w:rPr>
              <w:t xml:space="preserve"> ES </w:t>
            </w:r>
            <w:proofErr w:type="spellStart"/>
            <w:r w:rsidRPr="00BD0B72">
              <w:rPr>
                <w:sz w:val="28"/>
                <w:szCs w:val="28"/>
              </w:rPr>
              <w:t>tiesību</w:t>
            </w:r>
            <w:proofErr w:type="spellEnd"/>
            <w:r w:rsidRPr="00BD0B72">
              <w:rPr>
                <w:sz w:val="28"/>
                <w:szCs w:val="28"/>
              </w:rPr>
              <w:t xml:space="preserve"> </w:t>
            </w:r>
            <w:proofErr w:type="spellStart"/>
            <w:r w:rsidRPr="00BD0B72">
              <w:rPr>
                <w:sz w:val="28"/>
                <w:szCs w:val="28"/>
              </w:rPr>
              <w:t>akta</w:t>
            </w:r>
            <w:proofErr w:type="spellEnd"/>
            <w:r w:rsidRPr="00BD0B72">
              <w:rPr>
                <w:sz w:val="28"/>
                <w:szCs w:val="28"/>
              </w:rPr>
              <w:t xml:space="preserve"> </w:t>
            </w:r>
            <w:proofErr w:type="spellStart"/>
            <w:r w:rsidRPr="00BD0B72">
              <w:rPr>
                <w:sz w:val="28"/>
                <w:szCs w:val="28"/>
              </w:rPr>
              <w:t>vienības</w:t>
            </w:r>
            <w:proofErr w:type="spellEnd"/>
            <w:r w:rsidRPr="00BD0B72">
              <w:rPr>
                <w:sz w:val="28"/>
                <w:szCs w:val="28"/>
              </w:rPr>
              <w:t>.</w:t>
            </w:r>
          </w:p>
          <w:p w:rsidR="002A58FD" w:rsidRPr="00BD0B72" w:rsidRDefault="002A58FD" w:rsidP="001E7BE3">
            <w:pPr>
              <w:rPr>
                <w:sz w:val="28"/>
                <w:szCs w:val="28"/>
              </w:rPr>
            </w:pPr>
          </w:p>
          <w:p w:rsidR="002A58FD" w:rsidRPr="00BD0B72" w:rsidRDefault="002A58FD" w:rsidP="001E7BE3">
            <w:pPr>
              <w:rPr>
                <w:sz w:val="28"/>
                <w:szCs w:val="28"/>
              </w:rPr>
            </w:pPr>
            <w:proofErr w:type="spellStart"/>
            <w:r w:rsidRPr="00BD0B72">
              <w:rPr>
                <w:sz w:val="28"/>
                <w:szCs w:val="28"/>
              </w:rPr>
              <w:t>Minētās</w:t>
            </w:r>
            <w:proofErr w:type="spellEnd"/>
            <w:r w:rsidRPr="00BD0B72">
              <w:rPr>
                <w:sz w:val="28"/>
                <w:szCs w:val="28"/>
              </w:rPr>
              <w:t xml:space="preserve"> </w:t>
            </w:r>
            <w:proofErr w:type="spellStart"/>
            <w:r w:rsidRPr="00BD0B72">
              <w:rPr>
                <w:sz w:val="28"/>
                <w:szCs w:val="28"/>
              </w:rPr>
              <w:t>projekta</w:t>
            </w:r>
            <w:proofErr w:type="spellEnd"/>
            <w:r w:rsidRPr="00BD0B72">
              <w:rPr>
                <w:sz w:val="28"/>
                <w:szCs w:val="28"/>
              </w:rPr>
              <w:t xml:space="preserve"> </w:t>
            </w:r>
            <w:proofErr w:type="spellStart"/>
            <w:r w:rsidRPr="00BD0B72">
              <w:rPr>
                <w:sz w:val="28"/>
                <w:szCs w:val="28"/>
              </w:rPr>
              <w:t>vienības</w:t>
            </w:r>
            <w:proofErr w:type="spellEnd"/>
            <w:r w:rsidRPr="00BD0B72">
              <w:rPr>
                <w:sz w:val="28"/>
                <w:szCs w:val="28"/>
              </w:rPr>
              <w:t xml:space="preserve"> </w:t>
            </w:r>
            <w:proofErr w:type="spellStart"/>
            <w:r w:rsidRPr="00BD0B72">
              <w:rPr>
                <w:sz w:val="28"/>
                <w:szCs w:val="28"/>
              </w:rPr>
              <w:lastRenderedPageBreak/>
              <w:t>neparedz</w:t>
            </w:r>
            <w:proofErr w:type="spellEnd"/>
            <w:r w:rsidRPr="00BD0B72">
              <w:rPr>
                <w:sz w:val="28"/>
                <w:szCs w:val="28"/>
              </w:rPr>
              <w:t xml:space="preserve"> </w:t>
            </w:r>
            <w:proofErr w:type="spellStart"/>
            <w:r w:rsidRPr="00BD0B72">
              <w:rPr>
                <w:sz w:val="28"/>
                <w:szCs w:val="28"/>
              </w:rPr>
              <w:t>stingrākas</w:t>
            </w:r>
            <w:proofErr w:type="spellEnd"/>
            <w:r w:rsidRPr="00BD0B72">
              <w:rPr>
                <w:sz w:val="28"/>
                <w:szCs w:val="28"/>
              </w:rPr>
              <w:t xml:space="preserve"> </w:t>
            </w:r>
            <w:proofErr w:type="spellStart"/>
            <w:r w:rsidRPr="00BD0B72">
              <w:rPr>
                <w:sz w:val="28"/>
                <w:szCs w:val="28"/>
              </w:rPr>
              <w:t>prasības</w:t>
            </w:r>
            <w:proofErr w:type="spellEnd"/>
            <w:r w:rsidRPr="00BD0B72">
              <w:rPr>
                <w:sz w:val="28"/>
                <w:szCs w:val="28"/>
              </w:rPr>
              <w:t xml:space="preserve"> </w:t>
            </w:r>
            <w:proofErr w:type="spellStart"/>
            <w:r w:rsidRPr="00BD0B72">
              <w:rPr>
                <w:sz w:val="28"/>
                <w:szCs w:val="28"/>
              </w:rPr>
              <w:t>nekā</w:t>
            </w:r>
            <w:proofErr w:type="spellEnd"/>
            <w:r w:rsidRPr="00BD0B72">
              <w:rPr>
                <w:sz w:val="28"/>
                <w:szCs w:val="28"/>
              </w:rPr>
              <w:t xml:space="preserve"> ES </w:t>
            </w:r>
            <w:proofErr w:type="spellStart"/>
            <w:r w:rsidRPr="00BD0B72">
              <w:rPr>
                <w:sz w:val="28"/>
                <w:szCs w:val="28"/>
              </w:rPr>
              <w:t>tiesību</w:t>
            </w:r>
            <w:proofErr w:type="spellEnd"/>
            <w:r w:rsidRPr="00BD0B72">
              <w:rPr>
                <w:sz w:val="28"/>
                <w:szCs w:val="28"/>
              </w:rPr>
              <w:t xml:space="preserve"> </w:t>
            </w:r>
            <w:proofErr w:type="spellStart"/>
            <w:r w:rsidRPr="00BD0B72">
              <w:rPr>
                <w:sz w:val="28"/>
                <w:szCs w:val="28"/>
              </w:rPr>
              <w:t>akta</w:t>
            </w:r>
            <w:proofErr w:type="spellEnd"/>
            <w:r w:rsidRPr="00BD0B72">
              <w:rPr>
                <w:sz w:val="28"/>
                <w:szCs w:val="28"/>
              </w:rPr>
              <w:t xml:space="preserve"> </w:t>
            </w:r>
            <w:proofErr w:type="spellStart"/>
            <w:r w:rsidRPr="00BD0B72">
              <w:rPr>
                <w:sz w:val="28"/>
                <w:szCs w:val="28"/>
              </w:rPr>
              <w:t>vienības</w:t>
            </w:r>
            <w:proofErr w:type="spellEnd"/>
            <w:r w:rsidRPr="00BD0B72">
              <w:rPr>
                <w:sz w:val="28"/>
                <w:szCs w:val="28"/>
              </w:rPr>
              <w:t>.</w:t>
            </w:r>
          </w:p>
          <w:p w:rsidR="002A58FD" w:rsidRPr="00BD0B72" w:rsidRDefault="002A58FD" w:rsidP="001E7BE3">
            <w:pPr>
              <w:rPr>
                <w:sz w:val="28"/>
                <w:szCs w:val="28"/>
              </w:rPr>
            </w:pPr>
          </w:p>
          <w:p w:rsidR="002A58FD" w:rsidRPr="00BD0B72" w:rsidRDefault="002A58FD" w:rsidP="001E7BE3">
            <w:pPr>
              <w:rPr>
                <w:sz w:val="28"/>
                <w:szCs w:val="28"/>
              </w:rPr>
            </w:pPr>
            <w:proofErr w:type="spellStart"/>
            <w:r w:rsidRPr="00BD0B72">
              <w:rPr>
                <w:sz w:val="28"/>
                <w:szCs w:val="28"/>
              </w:rPr>
              <w:t>Minētās</w:t>
            </w:r>
            <w:proofErr w:type="spellEnd"/>
            <w:r w:rsidRPr="00BD0B72">
              <w:rPr>
                <w:sz w:val="28"/>
                <w:szCs w:val="28"/>
              </w:rPr>
              <w:t xml:space="preserve"> </w:t>
            </w:r>
            <w:proofErr w:type="spellStart"/>
            <w:r w:rsidRPr="00BD0B72">
              <w:rPr>
                <w:sz w:val="28"/>
                <w:szCs w:val="28"/>
              </w:rPr>
              <w:t>projekta</w:t>
            </w:r>
            <w:proofErr w:type="spellEnd"/>
            <w:r w:rsidRPr="00BD0B72">
              <w:rPr>
                <w:sz w:val="28"/>
                <w:szCs w:val="28"/>
              </w:rPr>
              <w:t xml:space="preserve"> </w:t>
            </w:r>
            <w:proofErr w:type="spellStart"/>
            <w:r w:rsidRPr="00BD0B72">
              <w:rPr>
                <w:sz w:val="28"/>
                <w:szCs w:val="28"/>
              </w:rPr>
              <w:t>vienības</w:t>
            </w:r>
            <w:proofErr w:type="spellEnd"/>
            <w:r w:rsidRPr="00BD0B72">
              <w:rPr>
                <w:sz w:val="28"/>
                <w:szCs w:val="28"/>
              </w:rPr>
              <w:t xml:space="preserve"> </w:t>
            </w:r>
            <w:proofErr w:type="spellStart"/>
            <w:r w:rsidRPr="00BD0B72">
              <w:rPr>
                <w:sz w:val="28"/>
                <w:szCs w:val="28"/>
              </w:rPr>
              <w:t>neparedz</w:t>
            </w:r>
            <w:proofErr w:type="spellEnd"/>
            <w:r w:rsidRPr="00BD0B72">
              <w:rPr>
                <w:sz w:val="28"/>
                <w:szCs w:val="28"/>
              </w:rPr>
              <w:t xml:space="preserve"> </w:t>
            </w:r>
            <w:proofErr w:type="spellStart"/>
            <w:r w:rsidRPr="00BD0B72">
              <w:rPr>
                <w:sz w:val="28"/>
                <w:szCs w:val="28"/>
              </w:rPr>
              <w:t>stingrākas</w:t>
            </w:r>
            <w:proofErr w:type="spellEnd"/>
            <w:r w:rsidRPr="00BD0B72">
              <w:rPr>
                <w:sz w:val="28"/>
                <w:szCs w:val="28"/>
              </w:rPr>
              <w:t xml:space="preserve"> </w:t>
            </w:r>
            <w:proofErr w:type="spellStart"/>
            <w:r w:rsidRPr="00BD0B72">
              <w:rPr>
                <w:sz w:val="28"/>
                <w:szCs w:val="28"/>
              </w:rPr>
              <w:t>prasības</w:t>
            </w:r>
            <w:proofErr w:type="spellEnd"/>
            <w:r w:rsidRPr="00BD0B72">
              <w:rPr>
                <w:sz w:val="28"/>
                <w:szCs w:val="28"/>
              </w:rPr>
              <w:t xml:space="preserve"> </w:t>
            </w:r>
            <w:proofErr w:type="spellStart"/>
            <w:r w:rsidRPr="00BD0B72">
              <w:rPr>
                <w:sz w:val="28"/>
                <w:szCs w:val="28"/>
              </w:rPr>
              <w:t>nekā</w:t>
            </w:r>
            <w:proofErr w:type="spellEnd"/>
            <w:r w:rsidRPr="00BD0B72">
              <w:rPr>
                <w:sz w:val="28"/>
                <w:szCs w:val="28"/>
              </w:rPr>
              <w:t xml:space="preserve"> ES </w:t>
            </w:r>
            <w:proofErr w:type="spellStart"/>
            <w:r w:rsidRPr="00BD0B72">
              <w:rPr>
                <w:sz w:val="28"/>
                <w:szCs w:val="28"/>
              </w:rPr>
              <w:t>tiesību</w:t>
            </w:r>
            <w:proofErr w:type="spellEnd"/>
            <w:r w:rsidRPr="00BD0B72">
              <w:rPr>
                <w:sz w:val="28"/>
                <w:szCs w:val="28"/>
              </w:rPr>
              <w:t xml:space="preserve"> </w:t>
            </w:r>
            <w:proofErr w:type="spellStart"/>
            <w:r w:rsidRPr="00BD0B72">
              <w:rPr>
                <w:sz w:val="28"/>
                <w:szCs w:val="28"/>
              </w:rPr>
              <w:t>akta</w:t>
            </w:r>
            <w:proofErr w:type="spellEnd"/>
            <w:r w:rsidRPr="00BD0B72">
              <w:rPr>
                <w:sz w:val="28"/>
                <w:szCs w:val="28"/>
              </w:rPr>
              <w:t xml:space="preserve"> </w:t>
            </w:r>
            <w:proofErr w:type="spellStart"/>
            <w:r w:rsidRPr="00BD0B72">
              <w:rPr>
                <w:sz w:val="28"/>
                <w:szCs w:val="28"/>
              </w:rPr>
              <w:t>vienības</w:t>
            </w:r>
            <w:proofErr w:type="spellEnd"/>
            <w:r w:rsidRPr="00BD0B72">
              <w:rPr>
                <w:sz w:val="28"/>
                <w:szCs w:val="28"/>
              </w:rPr>
              <w:t>.</w:t>
            </w:r>
          </w:p>
          <w:p w:rsidR="002A58FD" w:rsidRPr="00BD0B72" w:rsidRDefault="002A58FD" w:rsidP="001E7BE3">
            <w:pPr>
              <w:rPr>
                <w:sz w:val="28"/>
                <w:szCs w:val="28"/>
              </w:rPr>
            </w:pPr>
          </w:p>
          <w:p w:rsidR="002A58FD" w:rsidRPr="00BD0B72" w:rsidRDefault="002A58FD" w:rsidP="001E7BE3">
            <w:pPr>
              <w:rPr>
                <w:sz w:val="28"/>
                <w:szCs w:val="28"/>
              </w:rPr>
            </w:pPr>
            <w:proofErr w:type="spellStart"/>
            <w:r w:rsidRPr="00BD0B72">
              <w:rPr>
                <w:sz w:val="28"/>
                <w:szCs w:val="28"/>
              </w:rPr>
              <w:t>Minētās</w:t>
            </w:r>
            <w:proofErr w:type="spellEnd"/>
            <w:r w:rsidRPr="00BD0B72">
              <w:rPr>
                <w:sz w:val="28"/>
                <w:szCs w:val="28"/>
              </w:rPr>
              <w:t xml:space="preserve"> </w:t>
            </w:r>
            <w:proofErr w:type="spellStart"/>
            <w:r w:rsidRPr="00BD0B72">
              <w:rPr>
                <w:sz w:val="28"/>
                <w:szCs w:val="28"/>
              </w:rPr>
              <w:t>projekta</w:t>
            </w:r>
            <w:proofErr w:type="spellEnd"/>
            <w:r w:rsidRPr="00BD0B72">
              <w:rPr>
                <w:sz w:val="28"/>
                <w:szCs w:val="28"/>
              </w:rPr>
              <w:t xml:space="preserve"> </w:t>
            </w:r>
            <w:proofErr w:type="spellStart"/>
            <w:r w:rsidRPr="00BD0B72">
              <w:rPr>
                <w:sz w:val="28"/>
                <w:szCs w:val="28"/>
              </w:rPr>
              <w:t>vienības</w:t>
            </w:r>
            <w:proofErr w:type="spellEnd"/>
            <w:r w:rsidRPr="00BD0B72">
              <w:rPr>
                <w:sz w:val="28"/>
                <w:szCs w:val="28"/>
              </w:rPr>
              <w:t xml:space="preserve"> </w:t>
            </w:r>
            <w:proofErr w:type="spellStart"/>
            <w:r w:rsidRPr="00BD0B72">
              <w:rPr>
                <w:sz w:val="28"/>
                <w:szCs w:val="28"/>
              </w:rPr>
              <w:t>neparedz</w:t>
            </w:r>
            <w:proofErr w:type="spellEnd"/>
            <w:r w:rsidRPr="00BD0B72">
              <w:rPr>
                <w:sz w:val="28"/>
                <w:szCs w:val="28"/>
              </w:rPr>
              <w:t xml:space="preserve"> </w:t>
            </w:r>
            <w:proofErr w:type="spellStart"/>
            <w:r w:rsidRPr="00BD0B72">
              <w:rPr>
                <w:sz w:val="28"/>
                <w:szCs w:val="28"/>
              </w:rPr>
              <w:t>stingrākas</w:t>
            </w:r>
            <w:proofErr w:type="spellEnd"/>
            <w:r w:rsidRPr="00BD0B72">
              <w:rPr>
                <w:sz w:val="28"/>
                <w:szCs w:val="28"/>
              </w:rPr>
              <w:t xml:space="preserve"> </w:t>
            </w:r>
            <w:proofErr w:type="spellStart"/>
            <w:r w:rsidRPr="00BD0B72">
              <w:rPr>
                <w:sz w:val="28"/>
                <w:szCs w:val="28"/>
              </w:rPr>
              <w:t>prasības</w:t>
            </w:r>
            <w:proofErr w:type="spellEnd"/>
            <w:r w:rsidRPr="00BD0B72">
              <w:rPr>
                <w:sz w:val="28"/>
                <w:szCs w:val="28"/>
              </w:rPr>
              <w:t xml:space="preserve"> </w:t>
            </w:r>
            <w:proofErr w:type="spellStart"/>
            <w:r w:rsidRPr="00BD0B72">
              <w:rPr>
                <w:sz w:val="28"/>
                <w:szCs w:val="28"/>
              </w:rPr>
              <w:t>nekā</w:t>
            </w:r>
            <w:proofErr w:type="spellEnd"/>
            <w:r w:rsidRPr="00BD0B72">
              <w:rPr>
                <w:sz w:val="28"/>
                <w:szCs w:val="28"/>
              </w:rPr>
              <w:t xml:space="preserve"> ES </w:t>
            </w:r>
            <w:proofErr w:type="spellStart"/>
            <w:r w:rsidRPr="00BD0B72">
              <w:rPr>
                <w:sz w:val="28"/>
                <w:szCs w:val="28"/>
              </w:rPr>
              <w:t>tiesību</w:t>
            </w:r>
            <w:proofErr w:type="spellEnd"/>
            <w:r w:rsidRPr="00BD0B72">
              <w:rPr>
                <w:sz w:val="28"/>
                <w:szCs w:val="28"/>
              </w:rPr>
              <w:t xml:space="preserve"> </w:t>
            </w:r>
            <w:proofErr w:type="spellStart"/>
            <w:r w:rsidRPr="00BD0B72">
              <w:rPr>
                <w:sz w:val="28"/>
                <w:szCs w:val="28"/>
              </w:rPr>
              <w:t>akta</w:t>
            </w:r>
            <w:proofErr w:type="spellEnd"/>
            <w:r w:rsidRPr="00BD0B72">
              <w:rPr>
                <w:sz w:val="28"/>
                <w:szCs w:val="28"/>
              </w:rPr>
              <w:t xml:space="preserve"> </w:t>
            </w:r>
            <w:proofErr w:type="spellStart"/>
            <w:r w:rsidRPr="00BD0B72">
              <w:rPr>
                <w:sz w:val="28"/>
                <w:szCs w:val="28"/>
              </w:rPr>
              <w:t>vienības</w:t>
            </w:r>
            <w:proofErr w:type="spellEnd"/>
            <w:r w:rsidRPr="00BD0B72">
              <w:rPr>
                <w:sz w:val="28"/>
                <w:szCs w:val="28"/>
              </w:rPr>
              <w:t>.</w:t>
            </w:r>
          </w:p>
        </w:tc>
      </w:tr>
      <w:tr w:rsidR="002A58FD" w:rsidRPr="001E7BE3" w:rsidTr="00D35D17">
        <w:trPr>
          <w:trHeight w:val="282"/>
          <w:tblCellSpacing w:w="0" w:type="dxa"/>
        </w:trPr>
        <w:tc>
          <w:tcPr>
            <w:tcW w:w="2003" w:type="dxa"/>
            <w:vAlign w:val="center"/>
            <w:hideMark/>
          </w:tcPr>
          <w:p w:rsidR="002A58FD" w:rsidRPr="00BD0B72" w:rsidRDefault="002A58FD" w:rsidP="001E7BE3">
            <w:pPr>
              <w:rPr>
                <w:rFonts w:eastAsia="Times New Roman"/>
                <w:sz w:val="28"/>
                <w:szCs w:val="28"/>
                <w:lang w:val="lv-LV" w:eastAsia="lv-LV"/>
              </w:rPr>
            </w:pPr>
            <w:r w:rsidRPr="00BD0B72">
              <w:rPr>
                <w:rFonts w:eastAsia="Times New Roman"/>
                <w:sz w:val="28"/>
                <w:szCs w:val="28"/>
                <w:lang w:val="lv-LV" w:eastAsia="lv-LV"/>
              </w:rPr>
              <w:lastRenderedPageBreak/>
              <w:t>Kā ir izmantota ES tiesību aktā paredzētā rīcības brīvība dalībvalstij pārņemt vai ieviest noteiktas ES tiesību akta normas.</w:t>
            </w:r>
          </w:p>
          <w:p w:rsidR="002A58FD" w:rsidRPr="00BD0B72" w:rsidRDefault="002A58FD" w:rsidP="001E7BE3">
            <w:pPr>
              <w:rPr>
                <w:rFonts w:eastAsia="Times New Roman"/>
                <w:sz w:val="28"/>
                <w:szCs w:val="28"/>
                <w:lang w:val="lv-LV" w:eastAsia="lv-LV"/>
              </w:rPr>
            </w:pPr>
            <w:r w:rsidRPr="00BD0B72">
              <w:rPr>
                <w:rFonts w:eastAsia="Times New Roman"/>
                <w:sz w:val="28"/>
                <w:szCs w:val="28"/>
                <w:lang w:val="lv-LV" w:eastAsia="lv-LV"/>
              </w:rPr>
              <w:t>Kādēļ?</w:t>
            </w:r>
          </w:p>
        </w:tc>
        <w:tc>
          <w:tcPr>
            <w:tcW w:w="7188" w:type="dxa"/>
            <w:gridSpan w:val="3"/>
            <w:hideMark/>
          </w:tcPr>
          <w:p w:rsidR="002A58FD" w:rsidRPr="00BD0B72" w:rsidRDefault="002A58FD" w:rsidP="001E7BE3">
            <w:pPr>
              <w:rPr>
                <w:rFonts w:eastAsia="Times New Roman"/>
                <w:sz w:val="28"/>
                <w:szCs w:val="28"/>
                <w:lang w:val="lv-LV" w:eastAsia="lv-LV"/>
              </w:rPr>
            </w:pPr>
            <w:r w:rsidRPr="00BD0B72">
              <w:rPr>
                <w:rFonts w:eastAsia="Times New Roman"/>
                <w:sz w:val="28"/>
                <w:szCs w:val="28"/>
                <w:lang w:val="lv-LV" w:eastAsia="lv-LV"/>
              </w:rPr>
              <w:t>Projekts šo jomu neskar.</w:t>
            </w:r>
          </w:p>
        </w:tc>
      </w:tr>
      <w:tr w:rsidR="002A58FD" w:rsidRPr="001E7BE3" w:rsidTr="00D35D17">
        <w:trPr>
          <w:trHeight w:val="643"/>
          <w:tblCellSpacing w:w="0" w:type="dxa"/>
        </w:trPr>
        <w:tc>
          <w:tcPr>
            <w:tcW w:w="2003" w:type="dxa"/>
            <w:vAlign w:val="center"/>
            <w:hideMark/>
          </w:tcPr>
          <w:p w:rsidR="002A58FD" w:rsidRPr="00BD0B72" w:rsidRDefault="002A58FD" w:rsidP="001E7BE3">
            <w:pPr>
              <w:rPr>
                <w:rFonts w:eastAsia="Times New Roman"/>
                <w:sz w:val="28"/>
                <w:szCs w:val="28"/>
                <w:lang w:val="lv-LV" w:eastAsia="lv-LV"/>
              </w:rPr>
            </w:pPr>
            <w:r w:rsidRPr="00BD0B72">
              <w:rPr>
                <w:rFonts w:eastAsia="Times New Roman"/>
                <w:sz w:val="28"/>
                <w:szCs w:val="28"/>
                <w:lang w:val="lv-LV" w:eastAsia="lv-LV"/>
              </w:rPr>
              <w:t xml:space="preserve">Saistības sniegt paziņojumu ES institūcijām un ES dalībvalstīm atbilstoši normatīvajiem aktiem, kas regulē </w:t>
            </w:r>
            <w:r w:rsidRPr="00BD0B72">
              <w:rPr>
                <w:rFonts w:eastAsia="Times New Roman"/>
                <w:sz w:val="28"/>
                <w:szCs w:val="28"/>
                <w:lang w:val="lv-LV" w:eastAsia="lv-LV"/>
              </w:rPr>
              <w:lastRenderedPageBreak/>
              <w:t>informācijas sniegšanu par tehnisko noteikumu, valsts atbalsta piešķiršanas un finanšu noteikumu (attiecībā uz monetāro politiku) projektiem</w:t>
            </w:r>
          </w:p>
        </w:tc>
        <w:tc>
          <w:tcPr>
            <w:tcW w:w="7188" w:type="dxa"/>
            <w:gridSpan w:val="3"/>
            <w:hideMark/>
          </w:tcPr>
          <w:p w:rsidR="002A58FD" w:rsidRPr="00BD0B72" w:rsidRDefault="002A58FD" w:rsidP="001E7BE3">
            <w:pPr>
              <w:jc w:val="both"/>
              <w:rPr>
                <w:rFonts w:eastAsia="Times New Roman"/>
                <w:sz w:val="28"/>
                <w:szCs w:val="28"/>
                <w:lang w:val="lv-LV" w:eastAsia="lv-LV"/>
              </w:rPr>
            </w:pPr>
            <w:r w:rsidRPr="00BD0B72">
              <w:rPr>
                <w:sz w:val="28"/>
                <w:szCs w:val="28"/>
                <w:lang w:val="lv-LV"/>
              </w:rPr>
              <w:lastRenderedPageBreak/>
              <w:t>-</w:t>
            </w:r>
          </w:p>
        </w:tc>
      </w:tr>
      <w:tr w:rsidR="002A58FD" w:rsidRPr="001E7BE3" w:rsidTr="00D35D17">
        <w:trPr>
          <w:trHeight w:val="399"/>
          <w:tblCellSpacing w:w="0" w:type="dxa"/>
        </w:trPr>
        <w:tc>
          <w:tcPr>
            <w:tcW w:w="2003" w:type="dxa"/>
            <w:hideMark/>
          </w:tcPr>
          <w:p w:rsidR="002A58FD" w:rsidRPr="001E7BE3" w:rsidRDefault="002A58FD" w:rsidP="001E7BE3">
            <w:pPr>
              <w:rPr>
                <w:rFonts w:eastAsia="Times New Roman"/>
                <w:sz w:val="28"/>
                <w:szCs w:val="28"/>
                <w:lang w:val="lv-LV" w:eastAsia="lv-LV"/>
              </w:rPr>
            </w:pPr>
            <w:r w:rsidRPr="001E7BE3">
              <w:rPr>
                <w:rFonts w:eastAsia="Times New Roman"/>
                <w:sz w:val="28"/>
                <w:szCs w:val="28"/>
                <w:lang w:val="lv-LV" w:eastAsia="lv-LV"/>
              </w:rPr>
              <w:lastRenderedPageBreak/>
              <w:t>Cita informācija</w:t>
            </w:r>
          </w:p>
        </w:tc>
        <w:tc>
          <w:tcPr>
            <w:tcW w:w="7188" w:type="dxa"/>
            <w:gridSpan w:val="3"/>
            <w:hideMark/>
          </w:tcPr>
          <w:p w:rsidR="002A58FD" w:rsidRPr="001E7BE3" w:rsidRDefault="002A58FD" w:rsidP="001E7BE3">
            <w:pPr>
              <w:rPr>
                <w:rFonts w:eastAsia="Times New Roman"/>
                <w:sz w:val="28"/>
                <w:szCs w:val="28"/>
                <w:lang w:val="lv-LV" w:eastAsia="lv-LV"/>
              </w:rPr>
            </w:pPr>
            <w:r w:rsidRPr="001E7BE3">
              <w:rPr>
                <w:sz w:val="28"/>
                <w:szCs w:val="28"/>
                <w:lang w:val="lv-LV"/>
              </w:rPr>
              <w:t>Nav.</w:t>
            </w:r>
          </w:p>
        </w:tc>
      </w:tr>
    </w:tbl>
    <w:p w:rsidR="002A58FD" w:rsidRPr="001E7BE3" w:rsidRDefault="002A58FD" w:rsidP="001E7BE3">
      <w:pPr>
        <w:jc w:val="both"/>
        <w:rPr>
          <w:rFonts w:eastAsia="Times New Roman"/>
          <w:sz w:val="28"/>
          <w:szCs w:val="28"/>
          <w:lang w:val="lv-LV" w:eastAsia="lv-LV"/>
        </w:rPr>
      </w:pPr>
    </w:p>
    <w:tbl>
      <w:tblPr>
        <w:tblW w:w="0" w:type="auto"/>
        <w:tblCellSpacing w:w="0" w:type="dxa"/>
        <w:tblBorders>
          <w:top w:val="thickThinLargeGap" w:sz="2" w:space="0" w:color="C0C0C0"/>
          <w:left w:val="thickThinLargeGap" w:sz="2" w:space="0" w:color="C0C0C0"/>
          <w:bottom w:val="thickThinLargeGap" w:sz="2" w:space="0" w:color="C0C0C0"/>
          <w:right w:val="thickThinLargeGap" w:sz="2" w:space="0" w:color="C0C0C0"/>
          <w:insideH w:val="thickThinLargeGap" w:sz="2" w:space="0" w:color="C0C0C0"/>
          <w:insideV w:val="thickThinLargeGap" w:sz="2" w:space="0" w:color="C0C0C0"/>
        </w:tblBorders>
        <w:tblCellMar>
          <w:left w:w="0" w:type="dxa"/>
          <w:right w:w="0" w:type="dxa"/>
        </w:tblCellMar>
        <w:tblLook w:val="04A0" w:firstRow="1" w:lastRow="0" w:firstColumn="1" w:lastColumn="0" w:noHBand="0" w:noVBand="1"/>
      </w:tblPr>
      <w:tblGrid>
        <w:gridCol w:w="2602"/>
        <w:gridCol w:w="992"/>
        <w:gridCol w:w="1607"/>
        <w:gridCol w:w="3914"/>
      </w:tblGrid>
      <w:tr w:rsidR="002A58FD" w:rsidRPr="001E7BE3" w:rsidTr="00D35D17">
        <w:trPr>
          <w:trHeight w:val="178"/>
          <w:tblCellSpacing w:w="0" w:type="dxa"/>
        </w:trPr>
        <w:tc>
          <w:tcPr>
            <w:tcW w:w="9115" w:type="dxa"/>
            <w:gridSpan w:val="4"/>
            <w:vAlign w:val="center"/>
            <w:hideMark/>
          </w:tcPr>
          <w:p w:rsidR="002A58FD" w:rsidRPr="001E7BE3" w:rsidRDefault="002A58FD" w:rsidP="001E7BE3">
            <w:pPr>
              <w:jc w:val="center"/>
              <w:rPr>
                <w:rFonts w:eastAsia="Times New Roman"/>
                <w:bCs/>
                <w:sz w:val="28"/>
                <w:szCs w:val="28"/>
                <w:lang w:val="lv-LV"/>
              </w:rPr>
            </w:pPr>
            <w:r w:rsidRPr="001E7BE3">
              <w:rPr>
                <w:rFonts w:eastAsia="Times New Roman"/>
                <w:bCs/>
                <w:sz w:val="28"/>
                <w:szCs w:val="28"/>
                <w:lang w:val="lv-LV"/>
              </w:rPr>
              <w:t>2.tabula</w:t>
            </w:r>
          </w:p>
          <w:p w:rsidR="002A58FD" w:rsidRPr="001E7BE3" w:rsidRDefault="002A58FD" w:rsidP="001E7BE3">
            <w:pPr>
              <w:jc w:val="center"/>
              <w:rPr>
                <w:rFonts w:eastAsia="Times New Roman"/>
                <w:bCs/>
                <w:sz w:val="28"/>
                <w:szCs w:val="28"/>
                <w:lang w:val="lv-LV"/>
              </w:rPr>
            </w:pPr>
            <w:r w:rsidRPr="001E7BE3">
              <w:rPr>
                <w:rFonts w:eastAsia="Times New Roman"/>
                <w:bCs/>
                <w:sz w:val="28"/>
                <w:szCs w:val="28"/>
                <w:lang w:val="lv-LV"/>
              </w:rPr>
              <w:t>Ar tiesību akta projektu uzņemtās saistības, kas izriet no starptautiskajiem tiesību aktiem vai starptautiskas institūcijas vai organizācijas dokumentiem</w:t>
            </w:r>
          </w:p>
          <w:p w:rsidR="002A58FD" w:rsidRPr="001E7BE3" w:rsidRDefault="002A58FD" w:rsidP="001E7BE3">
            <w:pPr>
              <w:jc w:val="center"/>
              <w:rPr>
                <w:rFonts w:eastAsia="Times New Roman"/>
                <w:bCs/>
                <w:sz w:val="28"/>
                <w:szCs w:val="28"/>
                <w:lang w:val="lv-LV"/>
              </w:rPr>
            </w:pPr>
            <w:r w:rsidRPr="001E7BE3">
              <w:rPr>
                <w:rFonts w:eastAsia="Times New Roman"/>
                <w:bCs/>
                <w:sz w:val="28"/>
                <w:szCs w:val="28"/>
                <w:lang w:val="lv-LV"/>
              </w:rPr>
              <w:t>Pasākumi šo saistību izpildei</w:t>
            </w:r>
          </w:p>
        </w:tc>
      </w:tr>
      <w:tr w:rsidR="002A58FD" w:rsidRPr="001E7BE3" w:rsidTr="00D35D17">
        <w:trPr>
          <w:trHeight w:val="1845"/>
          <w:tblCellSpacing w:w="0" w:type="dxa"/>
        </w:trPr>
        <w:tc>
          <w:tcPr>
            <w:tcW w:w="3594" w:type="dxa"/>
            <w:gridSpan w:val="2"/>
            <w:vAlign w:val="center"/>
            <w:hideMark/>
          </w:tcPr>
          <w:p w:rsidR="002A58FD" w:rsidRPr="001E7BE3" w:rsidRDefault="002A58FD" w:rsidP="001E7BE3">
            <w:pPr>
              <w:rPr>
                <w:rFonts w:eastAsia="Times New Roman"/>
                <w:sz w:val="28"/>
                <w:szCs w:val="28"/>
                <w:lang w:val="lv-LV"/>
              </w:rPr>
            </w:pPr>
            <w:r w:rsidRPr="001E7BE3">
              <w:rPr>
                <w:rFonts w:eastAsia="Times New Roman"/>
                <w:sz w:val="28"/>
                <w:szCs w:val="28"/>
                <w:lang w:val="lv-LV"/>
              </w:rPr>
              <w:t>Attiecīgā starptautiskā tiesību akta vai starptautiskas institūcijas vai organizācijas dokumenta (turpmāk – starptautiskais dokuments) datums, numurs un nosaukums</w:t>
            </w:r>
          </w:p>
        </w:tc>
        <w:tc>
          <w:tcPr>
            <w:tcW w:w="5521" w:type="dxa"/>
            <w:gridSpan w:val="2"/>
            <w:hideMark/>
          </w:tcPr>
          <w:p w:rsidR="002A58FD" w:rsidRPr="001E7BE3" w:rsidRDefault="002A58FD" w:rsidP="001E7BE3">
            <w:pPr>
              <w:rPr>
                <w:rFonts w:eastAsia="Times New Roman"/>
                <w:sz w:val="28"/>
                <w:szCs w:val="28"/>
                <w:lang w:val="lv-LV"/>
              </w:rPr>
            </w:pPr>
            <w:r w:rsidRPr="001E7BE3">
              <w:rPr>
                <w:rFonts w:eastAsia="Times New Roman"/>
                <w:sz w:val="28"/>
                <w:szCs w:val="28"/>
                <w:lang w:val="lv-LV"/>
              </w:rPr>
              <w:t>Aizpilda, ja ar projektu izpildītas vai tiek uzņemtas saistības, kas izriet no vairāk nekā viena starptautiskā dokumenta, – jānorāda tā pati informācija, kas prasīta instrukcijas 57.1.apakšpunktā un jau tikusi norādīta arī V sadaļas 2.punkta ietvaros</w:t>
            </w:r>
          </w:p>
        </w:tc>
      </w:tr>
      <w:tr w:rsidR="002A58FD" w:rsidRPr="001E7BE3" w:rsidTr="00D35D17">
        <w:trPr>
          <w:trHeight w:val="219"/>
          <w:tblCellSpacing w:w="0" w:type="dxa"/>
        </w:trPr>
        <w:tc>
          <w:tcPr>
            <w:tcW w:w="9115" w:type="dxa"/>
            <w:gridSpan w:val="4"/>
            <w:vAlign w:val="center"/>
            <w:hideMark/>
          </w:tcPr>
          <w:p w:rsidR="002A58FD" w:rsidRPr="001E7BE3" w:rsidRDefault="002A58FD" w:rsidP="001E7BE3">
            <w:pPr>
              <w:rPr>
                <w:rFonts w:eastAsia="Times New Roman"/>
                <w:sz w:val="28"/>
                <w:szCs w:val="28"/>
                <w:lang w:val="lv-LV"/>
              </w:rPr>
            </w:pPr>
          </w:p>
        </w:tc>
      </w:tr>
      <w:tr w:rsidR="002A58FD" w:rsidRPr="001E7BE3" w:rsidTr="00D35D17">
        <w:trPr>
          <w:trHeight w:val="343"/>
          <w:tblCellSpacing w:w="0" w:type="dxa"/>
        </w:trPr>
        <w:tc>
          <w:tcPr>
            <w:tcW w:w="2602" w:type="dxa"/>
            <w:vAlign w:val="center"/>
            <w:hideMark/>
          </w:tcPr>
          <w:p w:rsidR="002A58FD" w:rsidRPr="001E7BE3" w:rsidRDefault="002A58FD" w:rsidP="001E7BE3">
            <w:pPr>
              <w:jc w:val="center"/>
              <w:rPr>
                <w:rFonts w:eastAsia="Times New Roman"/>
                <w:sz w:val="28"/>
                <w:szCs w:val="28"/>
                <w:lang w:val="lv-LV"/>
              </w:rPr>
            </w:pPr>
            <w:r w:rsidRPr="001E7BE3">
              <w:rPr>
                <w:rFonts w:eastAsia="Times New Roman"/>
                <w:sz w:val="28"/>
                <w:szCs w:val="28"/>
                <w:lang w:val="lv-LV"/>
              </w:rPr>
              <w:t>A</w:t>
            </w:r>
          </w:p>
        </w:tc>
        <w:tc>
          <w:tcPr>
            <w:tcW w:w="2599" w:type="dxa"/>
            <w:gridSpan w:val="2"/>
            <w:vAlign w:val="center"/>
            <w:hideMark/>
          </w:tcPr>
          <w:p w:rsidR="002A58FD" w:rsidRPr="001E7BE3" w:rsidRDefault="002A58FD" w:rsidP="001E7BE3">
            <w:pPr>
              <w:jc w:val="center"/>
              <w:rPr>
                <w:rFonts w:eastAsia="Times New Roman"/>
                <w:sz w:val="28"/>
                <w:szCs w:val="28"/>
                <w:lang w:val="lv-LV"/>
              </w:rPr>
            </w:pPr>
            <w:r w:rsidRPr="001E7BE3">
              <w:rPr>
                <w:rFonts w:eastAsia="Times New Roman"/>
                <w:sz w:val="28"/>
                <w:szCs w:val="28"/>
                <w:lang w:val="lv-LV"/>
              </w:rPr>
              <w:t>B</w:t>
            </w:r>
          </w:p>
        </w:tc>
        <w:tc>
          <w:tcPr>
            <w:tcW w:w="3914" w:type="dxa"/>
            <w:vAlign w:val="center"/>
            <w:hideMark/>
          </w:tcPr>
          <w:p w:rsidR="002A58FD" w:rsidRPr="001E7BE3" w:rsidRDefault="002A58FD" w:rsidP="001E7BE3">
            <w:pPr>
              <w:jc w:val="center"/>
              <w:rPr>
                <w:rFonts w:eastAsia="Times New Roman"/>
                <w:sz w:val="28"/>
                <w:szCs w:val="28"/>
                <w:lang w:val="lv-LV"/>
              </w:rPr>
            </w:pPr>
            <w:r w:rsidRPr="001E7BE3">
              <w:rPr>
                <w:rFonts w:eastAsia="Times New Roman"/>
                <w:sz w:val="28"/>
                <w:szCs w:val="28"/>
                <w:lang w:val="lv-LV"/>
              </w:rPr>
              <w:t>C</w:t>
            </w:r>
          </w:p>
        </w:tc>
      </w:tr>
      <w:tr w:rsidR="002A58FD" w:rsidRPr="001E7BE3" w:rsidTr="00083873">
        <w:trPr>
          <w:trHeight w:val="511"/>
          <w:tblCellSpacing w:w="0" w:type="dxa"/>
        </w:trPr>
        <w:tc>
          <w:tcPr>
            <w:tcW w:w="2602" w:type="dxa"/>
            <w:hideMark/>
          </w:tcPr>
          <w:p w:rsidR="002A58FD" w:rsidRPr="001E7BE3" w:rsidRDefault="002A58FD" w:rsidP="001E7BE3">
            <w:pPr>
              <w:rPr>
                <w:rFonts w:eastAsia="Times New Roman"/>
                <w:sz w:val="28"/>
                <w:szCs w:val="28"/>
                <w:lang w:val="lv-LV"/>
              </w:rPr>
            </w:pPr>
            <w:r w:rsidRPr="001E7BE3">
              <w:rPr>
                <w:rFonts w:eastAsia="Times New Roman"/>
                <w:sz w:val="28"/>
                <w:szCs w:val="28"/>
                <w:lang w:val="lv-LV"/>
              </w:rPr>
              <w:t>Starptautiskās saistības (pēc būtības), kas izriet no norādītā starptautiskā dokumenta.</w:t>
            </w:r>
          </w:p>
          <w:p w:rsidR="002A58FD" w:rsidRPr="001E7BE3" w:rsidRDefault="002A58FD" w:rsidP="001E7BE3">
            <w:pPr>
              <w:rPr>
                <w:rFonts w:eastAsia="Times New Roman"/>
                <w:sz w:val="28"/>
                <w:szCs w:val="28"/>
                <w:lang w:val="lv-LV"/>
              </w:rPr>
            </w:pPr>
          </w:p>
          <w:p w:rsidR="002A58FD" w:rsidRPr="001E7BE3" w:rsidRDefault="002A58FD" w:rsidP="001E7BE3">
            <w:pPr>
              <w:rPr>
                <w:rFonts w:eastAsia="Times New Roman"/>
                <w:sz w:val="28"/>
                <w:szCs w:val="28"/>
                <w:lang w:val="lv-LV"/>
              </w:rPr>
            </w:pPr>
            <w:r w:rsidRPr="001E7BE3">
              <w:rPr>
                <w:rFonts w:eastAsia="Times New Roman"/>
                <w:sz w:val="28"/>
                <w:szCs w:val="28"/>
                <w:lang w:val="lv-LV"/>
              </w:rPr>
              <w:t>Konkrēti veicamie pasākumi vai uzdevumi, kas nepieciešami šo starptautisko saistību izpildei</w:t>
            </w:r>
          </w:p>
        </w:tc>
        <w:tc>
          <w:tcPr>
            <w:tcW w:w="2599" w:type="dxa"/>
            <w:gridSpan w:val="2"/>
            <w:hideMark/>
          </w:tcPr>
          <w:p w:rsidR="002A58FD" w:rsidRPr="001E7BE3" w:rsidRDefault="002A58FD" w:rsidP="001E7BE3">
            <w:pPr>
              <w:rPr>
                <w:rFonts w:eastAsia="Times New Roman"/>
                <w:sz w:val="28"/>
                <w:szCs w:val="28"/>
                <w:lang w:val="lv-LV"/>
              </w:rPr>
            </w:pPr>
            <w:r w:rsidRPr="001E7BE3">
              <w:rPr>
                <w:rFonts w:eastAsia="Times New Roman"/>
                <w:sz w:val="28"/>
                <w:szCs w:val="28"/>
                <w:lang w:val="lv-LV"/>
              </w:rPr>
              <w:t>Ja pasākumi vai uzdevumi, ar ko tiks izpildītas starptautiskās saistības, tiek noteikti projektā, norāda attiecīgo projekta vienību.</w:t>
            </w:r>
          </w:p>
          <w:p w:rsidR="002A58FD" w:rsidRPr="001E7BE3" w:rsidRDefault="002A58FD" w:rsidP="001E7BE3">
            <w:pPr>
              <w:rPr>
                <w:rFonts w:eastAsia="Times New Roman"/>
                <w:sz w:val="28"/>
                <w:szCs w:val="28"/>
                <w:lang w:val="lv-LV"/>
              </w:rPr>
            </w:pPr>
          </w:p>
          <w:p w:rsidR="002A58FD" w:rsidRPr="001E7BE3" w:rsidRDefault="002A58FD" w:rsidP="001E7BE3">
            <w:pPr>
              <w:rPr>
                <w:rFonts w:eastAsia="Times New Roman"/>
                <w:sz w:val="28"/>
                <w:szCs w:val="28"/>
                <w:lang w:val="lv-LV"/>
              </w:rPr>
            </w:pPr>
            <w:r w:rsidRPr="001E7BE3">
              <w:rPr>
                <w:rFonts w:eastAsia="Times New Roman"/>
                <w:sz w:val="28"/>
                <w:szCs w:val="28"/>
                <w:lang w:val="lv-LV"/>
              </w:rPr>
              <w:t xml:space="preserve">Vai arī norāda dokumentu, kurā sniegts izvērsts </w:t>
            </w:r>
            <w:r w:rsidRPr="001E7BE3">
              <w:rPr>
                <w:rFonts w:eastAsia="Times New Roman"/>
                <w:sz w:val="28"/>
                <w:szCs w:val="28"/>
                <w:lang w:val="lv-LV"/>
              </w:rPr>
              <w:lastRenderedPageBreak/>
              <w:t>skaidrojums, kādā veidā tiks nodrošināta starptautisko saistību izpilde</w:t>
            </w:r>
          </w:p>
        </w:tc>
        <w:tc>
          <w:tcPr>
            <w:tcW w:w="3914" w:type="dxa"/>
            <w:hideMark/>
          </w:tcPr>
          <w:p w:rsidR="002A58FD" w:rsidRPr="001E7BE3" w:rsidRDefault="002A58FD" w:rsidP="001E7BE3">
            <w:pPr>
              <w:rPr>
                <w:rFonts w:eastAsia="Times New Roman"/>
                <w:sz w:val="28"/>
                <w:szCs w:val="28"/>
                <w:lang w:val="lv-LV"/>
              </w:rPr>
            </w:pPr>
            <w:r w:rsidRPr="001E7BE3">
              <w:rPr>
                <w:rFonts w:eastAsia="Times New Roman"/>
                <w:sz w:val="28"/>
                <w:szCs w:val="28"/>
                <w:lang w:val="lv-LV"/>
              </w:rPr>
              <w:lastRenderedPageBreak/>
              <w:t>Informācija par to, vai starptautiskās saistības, kas minētas šīs tabulas A ailē, tiek izpildītas pilnībā vai daļēji.</w:t>
            </w:r>
          </w:p>
          <w:p w:rsidR="002A58FD" w:rsidRPr="001E7BE3" w:rsidRDefault="002A58FD" w:rsidP="001E7BE3">
            <w:pPr>
              <w:rPr>
                <w:rFonts w:eastAsia="Times New Roman"/>
                <w:sz w:val="28"/>
                <w:szCs w:val="28"/>
                <w:lang w:val="lv-LV"/>
              </w:rPr>
            </w:pPr>
          </w:p>
          <w:p w:rsidR="002A58FD" w:rsidRPr="001E7BE3" w:rsidRDefault="002A58FD" w:rsidP="001E7BE3">
            <w:pPr>
              <w:rPr>
                <w:rFonts w:eastAsia="Times New Roman"/>
                <w:sz w:val="28"/>
                <w:szCs w:val="28"/>
                <w:lang w:val="lv-LV"/>
              </w:rPr>
            </w:pPr>
            <w:r w:rsidRPr="001E7BE3">
              <w:rPr>
                <w:rFonts w:eastAsia="Times New Roman"/>
                <w:sz w:val="28"/>
                <w:szCs w:val="28"/>
                <w:lang w:val="lv-LV"/>
              </w:rPr>
              <w:t>Ja attiecīgās starptautiskās saistības tiek izpildītas daļēji, sniedz attiecīgu skaidrojumu, kā arī precīzi norāda, kad un kādā veidā starptautiskās saistības tiks izpildītas pilnībā.</w:t>
            </w:r>
          </w:p>
          <w:p w:rsidR="002A58FD" w:rsidRPr="001E7BE3" w:rsidRDefault="002A58FD" w:rsidP="001E7BE3">
            <w:pPr>
              <w:rPr>
                <w:rFonts w:eastAsia="Times New Roman"/>
                <w:sz w:val="28"/>
                <w:szCs w:val="28"/>
                <w:lang w:val="lv-LV"/>
              </w:rPr>
            </w:pPr>
          </w:p>
          <w:p w:rsidR="002A58FD" w:rsidRPr="001E7BE3" w:rsidRDefault="002A58FD" w:rsidP="001E7BE3">
            <w:pPr>
              <w:rPr>
                <w:rFonts w:eastAsia="Times New Roman"/>
                <w:sz w:val="28"/>
                <w:szCs w:val="28"/>
                <w:lang w:val="lv-LV"/>
              </w:rPr>
            </w:pPr>
            <w:r w:rsidRPr="001E7BE3">
              <w:rPr>
                <w:rFonts w:eastAsia="Times New Roman"/>
                <w:sz w:val="28"/>
                <w:szCs w:val="28"/>
                <w:lang w:val="lv-LV"/>
              </w:rPr>
              <w:lastRenderedPageBreak/>
              <w:t>Norāda institūciju, kas ir atbildīga par šo saistību izpildi pilnībā</w:t>
            </w:r>
          </w:p>
        </w:tc>
      </w:tr>
      <w:tr w:rsidR="002A58FD" w:rsidRPr="001E7BE3" w:rsidTr="00D35D17">
        <w:trPr>
          <w:trHeight w:val="282"/>
          <w:tblCellSpacing w:w="0" w:type="dxa"/>
        </w:trPr>
        <w:tc>
          <w:tcPr>
            <w:tcW w:w="2602" w:type="dxa"/>
            <w:hideMark/>
          </w:tcPr>
          <w:p w:rsidR="002A58FD" w:rsidRPr="001E7BE3" w:rsidRDefault="002A58FD" w:rsidP="001E7BE3">
            <w:pPr>
              <w:rPr>
                <w:rFonts w:eastAsia="Times New Roman"/>
                <w:sz w:val="28"/>
                <w:szCs w:val="28"/>
                <w:lang w:val="lv-LV"/>
              </w:rPr>
            </w:pPr>
            <w:r w:rsidRPr="001E7BE3">
              <w:rPr>
                <w:rFonts w:eastAsia="Times New Roman"/>
                <w:sz w:val="28"/>
                <w:szCs w:val="28"/>
                <w:lang w:val="lv-LV"/>
              </w:rPr>
              <w:lastRenderedPageBreak/>
              <w:t>Projekts šo jomu neskar.</w:t>
            </w:r>
          </w:p>
        </w:tc>
        <w:tc>
          <w:tcPr>
            <w:tcW w:w="2599" w:type="dxa"/>
            <w:gridSpan w:val="2"/>
            <w:hideMark/>
          </w:tcPr>
          <w:p w:rsidR="002A58FD" w:rsidRPr="001E7BE3" w:rsidRDefault="002A58FD" w:rsidP="001E7BE3">
            <w:pPr>
              <w:rPr>
                <w:rFonts w:eastAsia="Times New Roman"/>
                <w:sz w:val="28"/>
                <w:szCs w:val="28"/>
                <w:lang w:val="lv-LV"/>
              </w:rPr>
            </w:pPr>
            <w:r w:rsidRPr="001E7BE3">
              <w:rPr>
                <w:rFonts w:eastAsia="Times New Roman"/>
                <w:sz w:val="28"/>
                <w:szCs w:val="28"/>
                <w:lang w:val="lv-LV"/>
              </w:rPr>
              <w:t>Projekts šo jomu neskar.</w:t>
            </w:r>
          </w:p>
        </w:tc>
        <w:tc>
          <w:tcPr>
            <w:tcW w:w="3914" w:type="dxa"/>
            <w:hideMark/>
          </w:tcPr>
          <w:p w:rsidR="002A58FD" w:rsidRPr="001E7BE3" w:rsidRDefault="002A58FD" w:rsidP="001E7BE3">
            <w:pPr>
              <w:rPr>
                <w:rFonts w:eastAsia="Times New Roman"/>
                <w:sz w:val="28"/>
                <w:szCs w:val="28"/>
                <w:lang w:val="lv-LV"/>
              </w:rPr>
            </w:pPr>
            <w:r w:rsidRPr="001E7BE3">
              <w:rPr>
                <w:rFonts w:eastAsia="Times New Roman"/>
                <w:sz w:val="28"/>
                <w:szCs w:val="28"/>
                <w:lang w:val="lv-LV"/>
              </w:rPr>
              <w:t>Projekts šo jomu neskar.</w:t>
            </w:r>
          </w:p>
        </w:tc>
      </w:tr>
      <w:tr w:rsidR="002A58FD" w:rsidRPr="001E7BE3" w:rsidTr="00D35D17">
        <w:trPr>
          <w:trHeight w:val="260"/>
          <w:tblCellSpacing w:w="0" w:type="dxa"/>
        </w:trPr>
        <w:tc>
          <w:tcPr>
            <w:tcW w:w="2602" w:type="dxa"/>
            <w:vAlign w:val="center"/>
            <w:hideMark/>
          </w:tcPr>
          <w:p w:rsidR="002A58FD" w:rsidRPr="001E7BE3" w:rsidRDefault="002A58FD" w:rsidP="001E7BE3">
            <w:pPr>
              <w:rPr>
                <w:rFonts w:eastAsia="Times New Roman"/>
                <w:sz w:val="28"/>
                <w:szCs w:val="28"/>
                <w:lang w:val="lv-LV"/>
              </w:rPr>
            </w:pPr>
          </w:p>
        </w:tc>
        <w:tc>
          <w:tcPr>
            <w:tcW w:w="2599" w:type="dxa"/>
            <w:gridSpan w:val="2"/>
            <w:vAlign w:val="center"/>
            <w:hideMark/>
          </w:tcPr>
          <w:p w:rsidR="002A58FD" w:rsidRPr="001E7BE3" w:rsidRDefault="002A58FD" w:rsidP="001E7BE3">
            <w:pPr>
              <w:rPr>
                <w:rFonts w:eastAsia="Times New Roman"/>
                <w:sz w:val="28"/>
                <w:szCs w:val="28"/>
                <w:lang w:val="lv-LV"/>
              </w:rPr>
            </w:pPr>
          </w:p>
        </w:tc>
        <w:tc>
          <w:tcPr>
            <w:tcW w:w="3914" w:type="dxa"/>
            <w:vAlign w:val="center"/>
            <w:hideMark/>
          </w:tcPr>
          <w:p w:rsidR="002A58FD" w:rsidRPr="001E7BE3" w:rsidRDefault="002A58FD" w:rsidP="001E7BE3">
            <w:pPr>
              <w:rPr>
                <w:rFonts w:eastAsia="Times New Roman"/>
                <w:sz w:val="28"/>
                <w:szCs w:val="28"/>
                <w:lang w:val="lv-LV"/>
              </w:rPr>
            </w:pPr>
          </w:p>
        </w:tc>
      </w:tr>
      <w:tr w:rsidR="002A58FD" w:rsidRPr="001E7BE3" w:rsidTr="00D35D17">
        <w:trPr>
          <w:trHeight w:val="1079"/>
          <w:tblCellSpacing w:w="0" w:type="dxa"/>
        </w:trPr>
        <w:tc>
          <w:tcPr>
            <w:tcW w:w="2602" w:type="dxa"/>
            <w:vAlign w:val="center"/>
            <w:hideMark/>
          </w:tcPr>
          <w:p w:rsidR="002A58FD" w:rsidRPr="001E7BE3" w:rsidRDefault="002A58FD" w:rsidP="001E7BE3">
            <w:pPr>
              <w:rPr>
                <w:rFonts w:eastAsia="Times New Roman"/>
                <w:sz w:val="28"/>
                <w:szCs w:val="28"/>
                <w:lang w:val="lv-LV"/>
              </w:rPr>
            </w:pPr>
            <w:r w:rsidRPr="001E7BE3">
              <w:rPr>
                <w:rFonts w:eastAsia="Times New Roman"/>
                <w:sz w:val="28"/>
                <w:szCs w:val="28"/>
                <w:lang w:val="lv-LV"/>
              </w:rPr>
              <w:t>Vai starptautiskajā dokumentā paredzētās saistības nav pretrunā ar jau esošajām Latvijas Republikas starptautiskajām saistībām</w:t>
            </w:r>
          </w:p>
        </w:tc>
        <w:tc>
          <w:tcPr>
            <w:tcW w:w="6513" w:type="dxa"/>
            <w:gridSpan w:val="3"/>
            <w:hideMark/>
          </w:tcPr>
          <w:p w:rsidR="002A58FD" w:rsidRPr="001E7BE3" w:rsidRDefault="002A58FD" w:rsidP="001E7BE3">
            <w:pPr>
              <w:rPr>
                <w:rFonts w:eastAsia="Times New Roman"/>
                <w:sz w:val="28"/>
                <w:szCs w:val="28"/>
                <w:lang w:val="lv-LV"/>
              </w:rPr>
            </w:pPr>
            <w:r w:rsidRPr="001E7BE3">
              <w:rPr>
                <w:rFonts w:eastAsia="Times New Roman"/>
                <w:sz w:val="28"/>
                <w:szCs w:val="28"/>
                <w:lang w:val="lv-LV"/>
              </w:rPr>
              <w:t>Projekts šo jomu neskar.</w:t>
            </w:r>
          </w:p>
        </w:tc>
      </w:tr>
      <w:tr w:rsidR="002A58FD" w:rsidRPr="001E7BE3" w:rsidTr="00D35D17">
        <w:trPr>
          <w:trHeight w:val="337"/>
          <w:tblCellSpacing w:w="0" w:type="dxa"/>
        </w:trPr>
        <w:tc>
          <w:tcPr>
            <w:tcW w:w="2602" w:type="dxa"/>
            <w:hideMark/>
          </w:tcPr>
          <w:p w:rsidR="002A58FD" w:rsidRPr="001E7BE3" w:rsidRDefault="002A58FD" w:rsidP="001E7BE3">
            <w:pPr>
              <w:rPr>
                <w:rFonts w:eastAsia="Times New Roman"/>
                <w:sz w:val="28"/>
                <w:szCs w:val="28"/>
                <w:lang w:val="lv-LV"/>
              </w:rPr>
            </w:pPr>
            <w:r w:rsidRPr="001E7BE3">
              <w:rPr>
                <w:rFonts w:eastAsia="Times New Roman"/>
                <w:sz w:val="28"/>
                <w:szCs w:val="28"/>
                <w:lang w:val="lv-LV"/>
              </w:rPr>
              <w:t>Cita informācija</w:t>
            </w:r>
          </w:p>
        </w:tc>
        <w:tc>
          <w:tcPr>
            <w:tcW w:w="6513" w:type="dxa"/>
            <w:gridSpan w:val="3"/>
            <w:hideMark/>
          </w:tcPr>
          <w:p w:rsidR="002A58FD" w:rsidRPr="001E7BE3" w:rsidRDefault="002A58FD" w:rsidP="001E7BE3">
            <w:pPr>
              <w:rPr>
                <w:rFonts w:eastAsia="Times New Roman"/>
                <w:sz w:val="28"/>
                <w:szCs w:val="28"/>
                <w:lang w:val="lv-LV"/>
              </w:rPr>
            </w:pPr>
            <w:r w:rsidRPr="001E7BE3">
              <w:rPr>
                <w:rFonts w:eastAsia="Times New Roman"/>
                <w:sz w:val="28"/>
                <w:szCs w:val="28"/>
                <w:lang w:val="lv-LV"/>
              </w:rPr>
              <w:t>Nav.</w:t>
            </w:r>
          </w:p>
        </w:tc>
      </w:tr>
    </w:tbl>
    <w:p w:rsidR="002A58FD" w:rsidRPr="001E7BE3" w:rsidRDefault="002A58FD" w:rsidP="001E7BE3">
      <w:pPr>
        <w:ind w:firstLine="720"/>
        <w:jc w:val="both"/>
        <w:rPr>
          <w:rFonts w:eastAsia="Times New Roman"/>
          <w:sz w:val="28"/>
          <w:szCs w:val="28"/>
          <w:lang w:val="lv-LV" w:eastAsia="lv-LV"/>
        </w:rPr>
      </w:pPr>
    </w:p>
    <w:tbl>
      <w:tblPr>
        <w:tblW w:w="904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705"/>
        <w:gridCol w:w="2854"/>
        <w:gridCol w:w="5488"/>
      </w:tblGrid>
      <w:tr w:rsidR="003A7D89" w:rsidRPr="001E7BE3" w:rsidTr="00F90307">
        <w:trPr>
          <w:trHeight w:val="304"/>
        </w:trPr>
        <w:tc>
          <w:tcPr>
            <w:tcW w:w="9047"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3A7D89" w:rsidRPr="001E7BE3" w:rsidRDefault="003A7D89" w:rsidP="001E7BE3">
            <w:pPr>
              <w:ind w:firstLine="720"/>
              <w:jc w:val="both"/>
              <w:rPr>
                <w:rFonts w:eastAsia="Times New Roman"/>
                <w:b/>
                <w:sz w:val="28"/>
                <w:szCs w:val="28"/>
                <w:lang w:val="lv-LV" w:eastAsia="lv-LV"/>
              </w:rPr>
            </w:pPr>
            <w:r w:rsidRPr="001E7BE3">
              <w:rPr>
                <w:rFonts w:eastAsia="Times New Roman"/>
                <w:b/>
                <w:sz w:val="28"/>
                <w:szCs w:val="28"/>
                <w:lang w:val="lv-LV" w:eastAsia="lv-LV"/>
              </w:rPr>
              <w:t>VII. Tiesību akta projekta izpildes nodrošināšana un tās ietekme uz institūcijām</w:t>
            </w:r>
          </w:p>
        </w:tc>
      </w:tr>
      <w:tr w:rsidR="003A7D89" w:rsidRPr="001E7BE3" w:rsidTr="006C15FA">
        <w:trPr>
          <w:trHeight w:val="347"/>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1E7BE3" w:rsidRDefault="003A7D89" w:rsidP="001E7BE3">
            <w:pPr>
              <w:jc w:val="both"/>
              <w:rPr>
                <w:rFonts w:eastAsia="Times New Roman"/>
                <w:sz w:val="28"/>
                <w:szCs w:val="28"/>
                <w:lang w:val="lv-LV" w:eastAsia="lv-LV"/>
              </w:rPr>
            </w:pPr>
            <w:r w:rsidRPr="001E7BE3">
              <w:rPr>
                <w:rFonts w:eastAsia="Times New Roman"/>
                <w:sz w:val="28"/>
                <w:szCs w:val="28"/>
                <w:lang w:val="lv-LV" w:eastAsia="lv-LV"/>
              </w:rPr>
              <w:t>1.</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1E7BE3" w:rsidRDefault="003A7D89" w:rsidP="001E7BE3">
            <w:pPr>
              <w:jc w:val="both"/>
              <w:rPr>
                <w:rFonts w:eastAsia="Times New Roman"/>
                <w:sz w:val="28"/>
                <w:szCs w:val="28"/>
                <w:lang w:val="lv-LV" w:eastAsia="lv-LV"/>
              </w:rPr>
            </w:pPr>
            <w:r w:rsidRPr="001E7BE3">
              <w:rPr>
                <w:rFonts w:eastAsia="Times New Roman"/>
                <w:sz w:val="28"/>
                <w:szCs w:val="28"/>
                <w:lang w:val="lv-LV" w:eastAsia="lv-LV"/>
              </w:rPr>
              <w:t>Projekta izpildē iesaistītās institūcijas</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1E7BE3" w:rsidRDefault="003A7D89" w:rsidP="001E7BE3">
            <w:pPr>
              <w:ind w:firstLine="720"/>
              <w:jc w:val="both"/>
              <w:rPr>
                <w:rFonts w:eastAsia="Times New Roman"/>
                <w:sz w:val="28"/>
                <w:szCs w:val="28"/>
                <w:lang w:val="lv-LV" w:eastAsia="lv-LV"/>
              </w:rPr>
            </w:pPr>
            <w:r w:rsidRPr="001E7BE3">
              <w:rPr>
                <w:rFonts w:eastAsia="Times New Roman"/>
                <w:sz w:val="28"/>
                <w:szCs w:val="28"/>
                <w:lang w:val="lv-LV" w:eastAsia="lv-LV"/>
              </w:rPr>
              <w:t xml:space="preserve">Ministru kabineta </w:t>
            </w:r>
            <w:r w:rsidR="00A46462" w:rsidRPr="001E7BE3">
              <w:rPr>
                <w:sz w:val="28"/>
                <w:szCs w:val="28"/>
                <w:lang w:val="lv-LV"/>
              </w:rPr>
              <w:t>noteikumu</w:t>
            </w:r>
            <w:r w:rsidRPr="001E7BE3">
              <w:rPr>
                <w:rFonts w:eastAsia="Times New Roman"/>
                <w:sz w:val="28"/>
                <w:szCs w:val="28"/>
                <w:lang w:val="lv-LV" w:eastAsia="lv-LV"/>
              </w:rPr>
              <w:t xml:space="preserve"> projekta izpildi nodrošinās valsts aģentūra „Latvijas Investīciju un attīstības aģentūra”.</w:t>
            </w:r>
          </w:p>
        </w:tc>
      </w:tr>
      <w:tr w:rsidR="003A7D89" w:rsidRPr="001E7BE3" w:rsidTr="00083873">
        <w:trPr>
          <w:trHeight w:val="218"/>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1E7BE3" w:rsidRDefault="003A7D89" w:rsidP="001E7BE3">
            <w:pPr>
              <w:jc w:val="both"/>
              <w:rPr>
                <w:rFonts w:eastAsia="Times New Roman"/>
                <w:sz w:val="28"/>
                <w:szCs w:val="28"/>
                <w:lang w:val="lv-LV" w:eastAsia="lv-LV"/>
              </w:rPr>
            </w:pPr>
            <w:r w:rsidRPr="001E7BE3">
              <w:rPr>
                <w:rFonts w:eastAsia="Times New Roman"/>
                <w:sz w:val="28"/>
                <w:szCs w:val="28"/>
                <w:lang w:val="lv-LV" w:eastAsia="lv-LV"/>
              </w:rPr>
              <w:t>2.</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1E7BE3" w:rsidRDefault="003A7D89" w:rsidP="001E7BE3">
            <w:pPr>
              <w:jc w:val="both"/>
              <w:rPr>
                <w:rFonts w:eastAsia="Times New Roman"/>
                <w:sz w:val="28"/>
                <w:szCs w:val="28"/>
                <w:lang w:val="lv-LV" w:eastAsia="lv-LV"/>
              </w:rPr>
            </w:pPr>
            <w:r w:rsidRPr="001E7BE3">
              <w:rPr>
                <w:rFonts w:eastAsia="Times New Roman"/>
                <w:sz w:val="28"/>
                <w:szCs w:val="28"/>
                <w:lang w:val="lv-LV" w:eastAsia="lv-LV"/>
              </w:rPr>
              <w:t>Projekta izpildes ietekme uz pārvaldes funkcijām</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1E7BE3" w:rsidRDefault="003A7D89" w:rsidP="001E7BE3">
            <w:pPr>
              <w:ind w:firstLine="720"/>
              <w:jc w:val="both"/>
              <w:rPr>
                <w:rFonts w:eastAsia="Times New Roman"/>
                <w:sz w:val="28"/>
                <w:szCs w:val="28"/>
                <w:lang w:val="lv-LV" w:eastAsia="lv-LV"/>
              </w:rPr>
            </w:pPr>
            <w:r w:rsidRPr="001E7BE3">
              <w:rPr>
                <w:rFonts w:eastAsia="Times New Roman"/>
                <w:sz w:val="28"/>
                <w:szCs w:val="28"/>
                <w:lang w:val="lv-LV" w:eastAsia="lv-LV"/>
              </w:rPr>
              <w:t xml:space="preserve">Ministru kabineta </w:t>
            </w:r>
            <w:r w:rsidR="00A46462" w:rsidRPr="001E7BE3">
              <w:rPr>
                <w:sz w:val="28"/>
                <w:szCs w:val="28"/>
                <w:lang w:val="lv-LV"/>
              </w:rPr>
              <w:t>noteikumu</w:t>
            </w:r>
            <w:r w:rsidRPr="001E7BE3">
              <w:rPr>
                <w:rFonts w:eastAsia="Times New Roman"/>
                <w:sz w:val="28"/>
                <w:szCs w:val="28"/>
                <w:lang w:val="lv-LV" w:eastAsia="lv-LV"/>
              </w:rPr>
              <w:t xml:space="preserve"> projekta izpilde tiks nodrošināta valsts aģentūras „Latvijas Investīciju un attīstības aģentūra” esošo funkciju ietvaros.</w:t>
            </w:r>
            <w:r w:rsidR="002A58FD" w:rsidRPr="001E7BE3">
              <w:rPr>
                <w:rFonts w:eastAsia="Times New Roman"/>
                <w:sz w:val="28"/>
                <w:szCs w:val="28"/>
                <w:lang w:val="lv-LV" w:eastAsia="lv-LV"/>
              </w:rPr>
              <w:t xml:space="preserve"> </w:t>
            </w:r>
            <w:r w:rsidR="002A58FD" w:rsidRPr="001E7BE3">
              <w:rPr>
                <w:bCs/>
                <w:sz w:val="28"/>
                <w:szCs w:val="28"/>
                <w:lang w:val="lv-LV"/>
              </w:rPr>
              <w:t xml:space="preserve">Ekonomikas ministrija vērš uzmanību, ka </w:t>
            </w:r>
            <w:r w:rsidR="002A58FD" w:rsidRPr="001E7BE3">
              <w:rPr>
                <w:rFonts w:eastAsia="Times New Roman"/>
                <w:sz w:val="28"/>
                <w:szCs w:val="28"/>
                <w:lang w:val="lv-LV" w:eastAsia="lv-LV"/>
              </w:rPr>
              <w:t xml:space="preserve">LIAA, ieviešot augstāk minēto atbalsta shēmu </w:t>
            </w:r>
            <w:r w:rsidR="002A58FD" w:rsidRPr="001E7BE3">
              <w:rPr>
                <w:sz w:val="28"/>
                <w:szCs w:val="28"/>
                <w:lang w:val="lv-LV"/>
              </w:rPr>
              <w:t>komersantam, kas sniedz pakalpojumus ar vispārēju tautsaimniecisku nozīmi</w:t>
            </w:r>
            <w:r w:rsidR="002A58FD" w:rsidRPr="001E7BE3">
              <w:rPr>
                <w:rFonts w:eastAsia="Times New Roman"/>
                <w:sz w:val="28"/>
                <w:szCs w:val="28"/>
                <w:lang w:val="lv-LV" w:eastAsia="lv-LV"/>
              </w:rPr>
              <w:t>, būs pienākums atbilstoši Komercdarbības atbalsta kontroles likuma 21.</w:t>
            </w:r>
            <w:r w:rsidR="002A58FD" w:rsidRPr="001E7BE3">
              <w:rPr>
                <w:rFonts w:eastAsia="Times New Roman"/>
                <w:sz w:val="28"/>
                <w:szCs w:val="28"/>
                <w:vertAlign w:val="superscript"/>
                <w:lang w:val="lv-LV" w:eastAsia="lv-LV"/>
              </w:rPr>
              <w:t>1</w:t>
            </w:r>
            <w:r w:rsidR="002A58FD" w:rsidRPr="001E7BE3">
              <w:rPr>
                <w:rFonts w:eastAsia="Times New Roman"/>
                <w:sz w:val="28"/>
                <w:szCs w:val="28"/>
                <w:lang w:val="lv-LV" w:eastAsia="lv-LV"/>
              </w:rPr>
              <w:t>pantam iesniegt informāciju Finanšu ministrijā par sniegto valsts atbalstu sabiedrisko pakalpojumu sniedzējam ar vispārēju tautsaimniecisku nozīmi. LIAA attiecīgo pienākumu būs iespējams izpildīt, ja tai būs nodrošināts finansējums attiecīgo funkciju īstenošanai, par ko ir jāpanāk vienošanās ar Finanšu ministriju.</w:t>
            </w:r>
          </w:p>
        </w:tc>
      </w:tr>
      <w:tr w:rsidR="003A7D89" w:rsidRPr="001E7BE3" w:rsidTr="006C15FA">
        <w:trPr>
          <w:trHeight w:val="976"/>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1E7BE3" w:rsidRDefault="003A7D89" w:rsidP="001E7BE3">
            <w:pPr>
              <w:jc w:val="both"/>
              <w:rPr>
                <w:rFonts w:eastAsia="Times New Roman"/>
                <w:sz w:val="28"/>
                <w:szCs w:val="28"/>
                <w:lang w:val="lv-LV" w:eastAsia="lv-LV"/>
              </w:rPr>
            </w:pPr>
            <w:r w:rsidRPr="001E7BE3">
              <w:rPr>
                <w:rFonts w:eastAsia="Times New Roman"/>
                <w:sz w:val="28"/>
                <w:szCs w:val="28"/>
                <w:lang w:val="lv-LV" w:eastAsia="lv-LV"/>
              </w:rPr>
              <w:lastRenderedPageBreak/>
              <w:t>3.</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1E7BE3" w:rsidRDefault="003A7D89" w:rsidP="001E7BE3">
            <w:pPr>
              <w:jc w:val="both"/>
              <w:rPr>
                <w:rFonts w:eastAsia="Times New Roman"/>
                <w:sz w:val="28"/>
                <w:szCs w:val="28"/>
                <w:lang w:val="lv-LV" w:eastAsia="lv-LV"/>
              </w:rPr>
            </w:pPr>
            <w:r w:rsidRPr="001E7BE3">
              <w:rPr>
                <w:rFonts w:eastAsia="Times New Roman"/>
                <w:sz w:val="28"/>
                <w:szCs w:val="28"/>
                <w:lang w:val="lv-LV" w:eastAsia="lv-LV"/>
              </w:rPr>
              <w:t>Projekta izpildes ietekme uz pārvaldes institucionālo struktūru. Jaunu institūciju izveide</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1E7BE3" w:rsidRDefault="003A7D89" w:rsidP="001E7BE3">
            <w:pPr>
              <w:ind w:firstLine="720"/>
              <w:jc w:val="both"/>
              <w:rPr>
                <w:rFonts w:eastAsia="Times New Roman"/>
                <w:sz w:val="28"/>
                <w:szCs w:val="28"/>
                <w:lang w:val="lv-LV" w:eastAsia="lv-LV"/>
              </w:rPr>
            </w:pPr>
            <w:r w:rsidRPr="001E7BE3">
              <w:rPr>
                <w:sz w:val="28"/>
                <w:szCs w:val="28"/>
                <w:lang w:val="lv-LV"/>
              </w:rPr>
              <w:t xml:space="preserve">Ministru kabineta </w:t>
            </w:r>
            <w:r w:rsidR="00A46462" w:rsidRPr="001E7BE3">
              <w:rPr>
                <w:sz w:val="28"/>
                <w:szCs w:val="28"/>
                <w:lang w:val="lv-LV"/>
              </w:rPr>
              <w:t>noteikumu</w:t>
            </w:r>
            <w:r w:rsidRPr="001E7BE3">
              <w:rPr>
                <w:sz w:val="28"/>
                <w:szCs w:val="28"/>
                <w:lang w:val="lv-LV"/>
              </w:rPr>
              <w:t xml:space="preserve"> projekta izpildei nav nepieciešams izveidot jaunas institūcijas</w:t>
            </w:r>
            <w:r w:rsidRPr="001E7BE3">
              <w:rPr>
                <w:rFonts w:eastAsia="Times New Roman"/>
                <w:sz w:val="28"/>
                <w:szCs w:val="28"/>
                <w:lang w:val="lv-LV" w:eastAsia="lv-LV"/>
              </w:rPr>
              <w:t>.</w:t>
            </w:r>
          </w:p>
        </w:tc>
      </w:tr>
      <w:tr w:rsidR="003A7D89" w:rsidRPr="001E7BE3" w:rsidTr="006C15FA">
        <w:trPr>
          <w:trHeight w:val="976"/>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1E7BE3" w:rsidRDefault="003A7D89" w:rsidP="001E7BE3">
            <w:pPr>
              <w:jc w:val="both"/>
              <w:rPr>
                <w:rFonts w:eastAsia="Times New Roman"/>
                <w:sz w:val="28"/>
                <w:szCs w:val="28"/>
                <w:lang w:val="lv-LV" w:eastAsia="lv-LV"/>
              </w:rPr>
            </w:pPr>
            <w:r w:rsidRPr="001E7BE3">
              <w:rPr>
                <w:rFonts w:eastAsia="Times New Roman"/>
                <w:sz w:val="28"/>
                <w:szCs w:val="28"/>
                <w:lang w:val="lv-LV" w:eastAsia="lv-LV"/>
              </w:rPr>
              <w:t>4.</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1E7BE3" w:rsidRDefault="003A7D89" w:rsidP="001E7BE3">
            <w:pPr>
              <w:jc w:val="both"/>
              <w:rPr>
                <w:rFonts w:eastAsia="Times New Roman"/>
                <w:sz w:val="28"/>
                <w:szCs w:val="28"/>
                <w:lang w:val="lv-LV" w:eastAsia="lv-LV"/>
              </w:rPr>
            </w:pPr>
            <w:r w:rsidRPr="001E7BE3">
              <w:rPr>
                <w:rFonts w:eastAsia="Times New Roman"/>
                <w:sz w:val="28"/>
                <w:szCs w:val="28"/>
                <w:lang w:val="lv-LV" w:eastAsia="lv-LV"/>
              </w:rPr>
              <w:t>Projekta izpildes ietekmes uz pārvaldes institucionālo struktūru. Esošu institūciju likvidācija</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1E7BE3" w:rsidRDefault="003A7D89" w:rsidP="001E7BE3">
            <w:pPr>
              <w:ind w:firstLine="720"/>
              <w:jc w:val="both"/>
              <w:rPr>
                <w:rFonts w:eastAsia="Times New Roman"/>
                <w:sz w:val="28"/>
                <w:szCs w:val="28"/>
                <w:lang w:val="lv-LV" w:eastAsia="lv-LV"/>
              </w:rPr>
            </w:pPr>
            <w:r w:rsidRPr="001E7BE3">
              <w:rPr>
                <w:sz w:val="28"/>
                <w:szCs w:val="28"/>
                <w:lang w:val="lv-LV"/>
              </w:rPr>
              <w:t xml:space="preserve">Ministru kabineta </w:t>
            </w:r>
            <w:r w:rsidR="00A46462" w:rsidRPr="001E7BE3">
              <w:rPr>
                <w:sz w:val="28"/>
                <w:szCs w:val="28"/>
                <w:lang w:val="lv-LV"/>
              </w:rPr>
              <w:t>noteikumu</w:t>
            </w:r>
            <w:r w:rsidRPr="001E7BE3">
              <w:rPr>
                <w:sz w:val="28"/>
                <w:szCs w:val="28"/>
                <w:lang w:val="lv-LV"/>
              </w:rPr>
              <w:t xml:space="preserve"> projekta izpildei nav nepieciešams likvidēt esošās institūcijas</w:t>
            </w:r>
            <w:r w:rsidRPr="001E7BE3">
              <w:rPr>
                <w:rFonts w:eastAsia="Times New Roman"/>
                <w:sz w:val="28"/>
                <w:szCs w:val="28"/>
                <w:lang w:val="lv-LV" w:eastAsia="lv-LV"/>
              </w:rPr>
              <w:t>.</w:t>
            </w:r>
          </w:p>
        </w:tc>
      </w:tr>
      <w:tr w:rsidR="003A7D89" w:rsidRPr="001E7BE3" w:rsidTr="004522D7">
        <w:trPr>
          <w:trHeight w:val="508"/>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1E7BE3" w:rsidRDefault="003A7D89" w:rsidP="001E7BE3">
            <w:pPr>
              <w:jc w:val="both"/>
              <w:rPr>
                <w:rFonts w:eastAsia="Times New Roman"/>
                <w:sz w:val="28"/>
                <w:szCs w:val="28"/>
                <w:lang w:val="lv-LV" w:eastAsia="lv-LV"/>
              </w:rPr>
            </w:pPr>
            <w:r w:rsidRPr="001E7BE3">
              <w:rPr>
                <w:rFonts w:eastAsia="Times New Roman"/>
                <w:sz w:val="28"/>
                <w:szCs w:val="28"/>
                <w:lang w:val="lv-LV" w:eastAsia="lv-LV"/>
              </w:rPr>
              <w:t>5.</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1E7BE3" w:rsidRDefault="003A7D89" w:rsidP="001E7BE3">
            <w:pPr>
              <w:jc w:val="both"/>
              <w:rPr>
                <w:rFonts w:eastAsia="Times New Roman"/>
                <w:sz w:val="28"/>
                <w:szCs w:val="28"/>
                <w:lang w:val="lv-LV" w:eastAsia="lv-LV"/>
              </w:rPr>
            </w:pPr>
            <w:r w:rsidRPr="001E7BE3">
              <w:rPr>
                <w:rFonts w:eastAsia="Times New Roman"/>
                <w:sz w:val="28"/>
                <w:szCs w:val="28"/>
                <w:lang w:val="lv-LV" w:eastAsia="lv-LV"/>
              </w:rPr>
              <w:t>Projekta izpildes ietekmes uz pārvaldes institucionālo struktūru. Esošu institūciju reorganizācija</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1E7BE3" w:rsidRDefault="003A7D89" w:rsidP="001E7BE3">
            <w:pPr>
              <w:ind w:firstLine="720"/>
              <w:jc w:val="both"/>
              <w:rPr>
                <w:rFonts w:eastAsia="Times New Roman"/>
                <w:sz w:val="28"/>
                <w:szCs w:val="28"/>
                <w:lang w:val="lv-LV" w:eastAsia="lv-LV"/>
              </w:rPr>
            </w:pPr>
            <w:r w:rsidRPr="001E7BE3">
              <w:rPr>
                <w:rFonts w:eastAsia="Times New Roman"/>
                <w:sz w:val="28"/>
                <w:szCs w:val="28"/>
                <w:lang w:val="lv-LV" w:eastAsia="lv-LV"/>
              </w:rPr>
              <w:t xml:space="preserve">Ministru kabineta </w:t>
            </w:r>
            <w:r w:rsidR="00A46462" w:rsidRPr="001E7BE3">
              <w:rPr>
                <w:sz w:val="28"/>
                <w:szCs w:val="28"/>
                <w:lang w:val="lv-LV"/>
              </w:rPr>
              <w:t>noteikumu</w:t>
            </w:r>
            <w:r w:rsidRPr="001E7BE3">
              <w:rPr>
                <w:sz w:val="28"/>
                <w:szCs w:val="28"/>
                <w:lang w:val="lv-LV"/>
              </w:rPr>
              <w:t xml:space="preserve"> projekta izpildei nav nepieciešams reorganizēt esošās institūcijas</w:t>
            </w:r>
            <w:r w:rsidRPr="001E7BE3">
              <w:rPr>
                <w:rFonts w:eastAsia="Times New Roman"/>
                <w:sz w:val="28"/>
                <w:szCs w:val="28"/>
                <w:lang w:val="lv-LV" w:eastAsia="lv-LV"/>
              </w:rPr>
              <w:t>.</w:t>
            </w:r>
          </w:p>
        </w:tc>
      </w:tr>
      <w:tr w:rsidR="003A7D89" w:rsidRPr="001E7BE3" w:rsidTr="004522D7">
        <w:trPr>
          <w:trHeight w:val="242"/>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1E7BE3" w:rsidRDefault="003A7D89" w:rsidP="001E7BE3">
            <w:pPr>
              <w:jc w:val="both"/>
              <w:rPr>
                <w:rFonts w:eastAsia="Times New Roman"/>
                <w:sz w:val="28"/>
                <w:szCs w:val="28"/>
                <w:lang w:val="lv-LV" w:eastAsia="lv-LV"/>
              </w:rPr>
            </w:pPr>
            <w:r w:rsidRPr="001E7BE3">
              <w:rPr>
                <w:rFonts w:eastAsia="Times New Roman"/>
                <w:sz w:val="28"/>
                <w:szCs w:val="28"/>
                <w:lang w:val="lv-LV" w:eastAsia="lv-LV"/>
              </w:rPr>
              <w:t>6.</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1E7BE3" w:rsidRDefault="003A7D89" w:rsidP="001E7BE3">
            <w:pPr>
              <w:jc w:val="both"/>
              <w:rPr>
                <w:rFonts w:eastAsia="Times New Roman"/>
                <w:sz w:val="28"/>
                <w:szCs w:val="28"/>
                <w:lang w:val="lv-LV" w:eastAsia="lv-LV"/>
              </w:rPr>
            </w:pPr>
            <w:r w:rsidRPr="001E7BE3">
              <w:rPr>
                <w:rFonts w:eastAsia="Times New Roman"/>
                <w:sz w:val="28"/>
                <w:szCs w:val="28"/>
                <w:lang w:val="lv-LV" w:eastAsia="lv-LV"/>
              </w:rPr>
              <w:t>Cita informācija</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1E7BE3" w:rsidRDefault="003A7D89" w:rsidP="001E7BE3">
            <w:pPr>
              <w:ind w:firstLine="720"/>
              <w:jc w:val="both"/>
              <w:rPr>
                <w:rFonts w:eastAsia="Times New Roman"/>
                <w:sz w:val="28"/>
                <w:szCs w:val="28"/>
                <w:lang w:val="lv-LV" w:eastAsia="lv-LV"/>
              </w:rPr>
            </w:pPr>
            <w:r w:rsidRPr="001E7BE3">
              <w:rPr>
                <w:rFonts w:eastAsia="Times New Roman"/>
                <w:sz w:val="28"/>
                <w:szCs w:val="28"/>
                <w:lang w:val="lv-LV" w:eastAsia="lv-LV"/>
              </w:rPr>
              <w:t>Nav.</w:t>
            </w:r>
          </w:p>
        </w:tc>
      </w:tr>
    </w:tbl>
    <w:p w:rsidR="0088512F" w:rsidRPr="001E7BE3" w:rsidRDefault="0088512F" w:rsidP="001E7BE3">
      <w:pPr>
        <w:tabs>
          <w:tab w:val="left" w:pos="7655"/>
        </w:tabs>
        <w:jc w:val="both"/>
        <w:rPr>
          <w:sz w:val="28"/>
          <w:szCs w:val="28"/>
          <w:lang w:val="lv-LV"/>
        </w:rPr>
      </w:pPr>
      <w:r w:rsidRPr="001E7BE3">
        <w:rPr>
          <w:sz w:val="28"/>
          <w:szCs w:val="28"/>
          <w:lang w:val="lv-LV"/>
        </w:rPr>
        <w:t xml:space="preserve">Anotācijas VI sadaļa – </w:t>
      </w:r>
      <w:r w:rsidRPr="001E7BE3">
        <w:rPr>
          <w:iCs/>
          <w:sz w:val="28"/>
          <w:szCs w:val="28"/>
          <w:lang w:val="lv-LV"/>
        </w:rPr>
        <w:t>projekts šīs jomas neskar</w:t>
      </w:r>
      <w:r w:rsidRPr="001E7BE3">
        <w:rPr>
          <w:sz w:val="28"/>
          <w:szCs w:val="28"/>
          <w:lang w:val="lv-LV"/>
        </w:rPr>
        <w:t>.</w:t>
      </w:r>
    </w:p>
    <w:p w:rsidR="009D5C1D" w:rsidRPr="001E7BE3" w:rsidRDefault="009D5C1D" w:rsidP="001E7BE3">
      <w:pPr>
        <w:tabs>
          <w:tab w:val="left" w:pos="7655"/>
        </w:tabs>
        <w:rPr>
          <w:sz w:val="28"/>
          <w:szCs w:val="28"/>
          <w:lang w:val="lv-LV"/>
        </w:rPr>
      </w:pPr>
    </w:p>
    <w:p w:rsidR="002C6E6D" w:rsidRPr="00333418" w:rsidRDefault="002C6E6D" w:rsidP="002C6E6D">
      <w:pPr>
        <w:tabs>
          <w:tab w:val="decimal" w:pos="9072"/>
        </w:tabs>
        <w:jc w:val="both"/>
        <w:rPr>
          <w:sz w:val="28"/>
          <w:szCs w:val="28"/>
          <w:lang w:val="sv-SE" w:bidi="lo-LA"/>
        </w:rPr>
      </w:pPr>
      <w:r>
        <w:rPr>
          <w:sz w:val="28"/>
          <w:szCs w:val="28"/>
          <w:lang w:val="sv-SE" w:bidi="lo-LA"/>
        </w:rPr>
        <w:t xml:space="preserve">Ekonomikas </w:t>
      </w:r>
      <w:proofErr w:type="spellStart"/>
      <w:r>
        <w:rPr>
          <w:bCs/>
          <w:sz w:val="28"/>
          <w:szCs w:val="28"/>
          <w:lang w:val="sv-SE" w:bidi="lo-LA"/>
        </w:rPr>
        <w:t>ministrs</w:t>
      </w:r>
      <w:proofErr w:type="spellEnd"/>
      <w:r>
        <w:rPr>
          <w:bCs/>
          <w:sz w:val="28"/>
          <w:szCs w:val="28"/>
          <w:lang w:val="sv-SE" w:bidi="lo-LA"/>
        </w:rPr>
        <w:tab/>
      </w:r>
      <w:proofErr w:type="spellStart"/>
      <w:r w:rsidR="007044D9">
        <w:rPr>
          <w:bCs/>
          <w:sz w:val="28"/>
          <w:szCs w:val="28"/>
          <w:lang w:val="sv-SE" w:bidi="lo-LA"/>
        </w:rPr>
        <w:t>D</w:t>
      </w:r>
      <w:proofErr w:type="gramStart"/>
      <w:r w:rsidR="007044D9">
        <w:rPr>
          <w:bCs/>
          <w:sz w:val="28"/>
          <w:szCs w:val="28"/>
          <w:lang w:val="sv-SE" w:bidi="lo-LA"/>
        </w:rPr>
        <w:t>.Pav</w:t>
      </w:r>
      <w:proofErr w:type="gramEnd"/>
      <w:r w:rsidR="007044D9">
        <w:rPr>
          <w:bCs/>
          <w:sz w:val="28"/>
          <w:szCs w:val="28"/>
          <w:lang w:val="sv-SE" w:bidi="lo-LA"/>
        </w:rPr>
        <w:t>ļuts</w:t>
      </w:r>
      <w:proofErr w:type="spellEnd"/>
    </w:p>
    <w:p w:rsidR="002C6E6D" w:rsidRDefault="002C6E6D" w:rsidP="002C6E6D">
      <w:pPr>
        <w:tabs>
          <w:tab w:val="left" w:pos="7513"/>
          <w:tab w:val="decimal" w:pos="10490"/>
        </w:tabs>
        <w:ind w:right="6236"/>
        <w:jc w:val="both"/>
        <w:rPr>
          <w:sz w:val="28"/>
          <w:szCs w:val="28"/>
          <w:lang w:val="sv-SE" w:bidi="lo-LA"/>
        </w:rPr>
      </w:pPr>
    </w:p>
    <w:p w:rsidR="002C6E6D" w:rsidRPr="00F13F59" w:rsidRDefault="002C6E6D" w:rsidP="007044D9">
      <w:pPr>
        <w:tabs>
          <w:tab w:val="left" w:pos="8222"/>
          <w:tab w:val="decimal" w:pos="10490"/>
        </w:tabs>
        <w:ind w:right="6236"/>
        <w:jc w:val="both"/>
        <w:rPr>
          <w:sz w:val="28"/>
          <w:szCs w:val="28"/>
        </w:rPr>
      </w:pPr>
      <w:proofErr w:type="spellStart"/>
      <w:r w:rsidRPr="00F13F59">
        <w:rPr>
          <w:sz w:val="28"/>
          <w:szCs w:val="28"/>
          <w:lang w:val="sv-SE" w:bidi="lo-LA"/>
        </w:rPr>
        <w:t>Vīza</w:t>
      </w:r>
      <w:proofErr w:type="spellEnd"/>
      <w:r w:rsidRPr="00F13F59">
        <w:rPr>
          <w:sz w:val="28"/>
          <w:szCs w:val="28"/>
          <w:lang w:val="sv-SE" w:bidi="lo-LA"/>
        </w:rPr>
        <w:t xml:space="preserve">: </w:t>
      </w:r>
      <w:proofErr w:type="spellStart"/>
      <w:r w:rsidRPr="00F13F59">
        <w:rPr>
          <w:sz w:val="28"/>
          <w:szCs w:val="28"/>
          <w:lang w:val="sv-SE" w:bidi="lo-LA"/>
        </w:rPr>
        <w:t>valsts</w:t>
      </w:r>
      <w:proofErr w:type="spellEnd"/>
      <w:r w:rsidRPr="00F13F59">
        <w:rPr>
          <w:sz w:val="28"/>
          <w:szCs w:val="28"/>
          <w:lang w:val="sv-SE" w:bidi="lo-LA"/>
        </w:rPr>
        <w:t xml:space="preserve"> </w:t>
      </w:r>
      <w:proofErr w:type="spellStart"/>
      <w:r w:rsidRPr="00F13F59">
        <w:rPr>
          <w:sz w:val="28"/>
          <w:szCs w:val="28"/>
          <w:lang w:val="sv-SE" w:bidi="lo-LA"/>
        </w:rPr>
        <w:t>sekretārs</w:t>
      </w:r>
      <w:proofErr w:type="spellEnd"/>
      <w:r w:rsidRPr="00F13F59">
        <w:rPr>
          <w:sz w:val="28"/>
          <w:szCs w:val="28"/>
          <w:lang w:val="sv-SE" w:bidi="lo-LA"/>
        </w:rPr>
        <w:tab/>
      </w:r>
      <w:proofErr w:type="spellStart"/>
      <w:r>
        <w:rPr>
          <w:sz w:val="28"/>
          <w:szCs w:val="28"/>
        </w:rPr>
        <w:t>J.</w:t>
      </w:r>
      <w:r w:rsidR="007044D9">
        <w:rPr>
          <w:sz w:val="28"/>
          <w:szCs w:val="28"/>
        </w:rPr>
        <w:t>Pūce</w:t>
      </w:r>
      <w:proofErr w:type="spellEnd"/>
    </w:p>
    <w:p w:rsidR="002C6E6D" w:rsidRDefault="002C6E6D" w:rsidP="001E7BE3">
      <w:pPr>
        <w:jc w:val="both"/>
        <w:rPr>
          <w:color w:val="000000"/>
          <w:sz w:val="28"/>
          <w:szCs w:val="28"/>
          <w:lang w:val="lv-LV"/>
        </w:rPr>
      </w:pPr>
    </w:p>
    <w:p w:rsidR="00BD0B72" w:rsidRDefault="00BD0B72" w:rsidP="001E7BE3">
      <w:pPr>
        <w:jc w:val="both"/>
        <w:rPr>
          <w:color w:val="000000"/>
          <w:sz w:val="28"/>
          <w:szCs w:val="28"/>
          <w:lang w:val="lv-LV"/>
        </w:rPr>
      </w:pPr>
    </w:p>
    <w:p w:rsidR="00BD0B72" w:rsidRDefault="00BD0B72" w:rsidP="001E7BE3">
      <w:pPr>
        <w:jc w:val="both"/>
        <w:rPr>
          <w:color w:val="000000"/>
          <w:sz w:val="28"/>
          <w:szCs w:val="28"/>
          <w:lang w:val="lv-LV"/>
        </w:rPr>
      </w:pPr>
    </w:p>
    <w:p w:rsidR="00BD0B72" w:rsidRDefault="00BD0B72" w:rsidP="001E7BE3">
      <w:pPr>
        <w:jc w:val="both"/>
        <w:rPr>
          <w:color w:val="000000"/>
          <w:sz w:val="28"/>
          <w:szCs w:val="28"/>
          <w:lang w:val="lv-LV"/>
        </w:rPr>
      </w:pPr>
    </w:p>
    <w:p w:rsidR="00BD0B72" w:rsidRDefault="00BD0B72" w:rsidP="001E7BE3">
      <w:pPr>
        <w:jc w:val="both"/>
        <w:rPr>
          <w:color w:val="000000"/>
          <w:sz w:val="28"/>
          <w:szCs w:val="28"/>
          <w:lang w:val="lv-LV"/>
        </w:rPr>
      </w:pPr>
    </w:p>
    <w:p w:rsidR="00BD0B72" w:rsidRDefault="00BD0B72" w:rsidP="001E7BE3">
      <w:pPr>
        <w:jc w:val="both"/>
        <w:rPr>
          <w:color w:val="000000"/>
          <w:sz w:val="28"/>
          <w:szCs w:val="28"/>
          <w:lang w:val="lv-LV"/>
        </w:rPr>
      </w:pPr>
    </w:p>
    <w:p w:rsidR="00BD0B72" w:rsidRDefault="00BD0B72" w:rsidP="001E7BE3">
      <w:pPr>
        <w:jc w:val="both"/>
        <w:rPr>
          <w:color w:val="000000"/>
          <w:sz w:val="28"/>
          <w:szCs w:val="28"/>
          <w:lang w:val="lv-LV"/>
        </w:rPr>
      </w:pPr>
    </w:p>
    <w:p w:rsidR="00BD0B72" w:rsidRDefault="00BD0B72" w:rsidP="001E7BE3">
      <w:pPr>
        <w:jc w:val="both"/>
        <w:rPr>
          <w:color w:val="000000"/>
          <w:sz w:val="28"/>
          <w:szCs w:val="28"/>
          <w:lang w:val="lv-LV"/>
        </w:rPr>
      </w:pPr>
    </w:p>
    <w:p w:rsidR="00BD0B72" w:rsidRDefault="00BD0B72" w:rsidP="001E7BE3">
      <w:pPr>
        <w:jc w:val="both"/>
        <w:rPr>
          <w:color w:val="000000"/>
          <w:sz w:val="28"/>
          <w:szCs w:val="28"/>
          <w:lang w:val="lv-LV"/>
        </w:rPr>
      </w:pPr>
    </w:p>
    <w:p w:rsidR="00BD0B72" w:rsidRDefault="00BD0B72" w:rsidP="001E7BE3">
      <w:pPr>
        <w:jc w:val="both"/>
        <w:rPr>
          <w:color w:val="000000"/>
          <w:sz w:val="28"/>
          <w:szCs w:val="28"/>
          <w:lang w:val="lv-LV"/>
        </w:rPr>
      </w:pPr>
    </w:p>
    <w:p w:rsidR="00BD0B72" w:rsidRDefault="00BD0B72" w:rsidP="001E7BE3">
      <w:pPr>
        <w:jc w:val="both"/>
        <w:rPr>
          <w:color w:val="000000"/>
          <w:sz w:val="28"/>
          <w:szCs w:val="28"/>
          <w:lang w:val="lv-LV"/>
        </w:rPr>
      </w:pPr>
    </w:p>
    <w:p w:rsidR="007044D9" w:rsidRDefault="007044D9" w:rsidP="001E7BE3">
      <w:pPr>
        <w:jc w:val="both"/>
        <w:rPr>
          <w:color w:val="000000"/>
          <w:sz w:val="28"/>
          <w:szCs w:val="28"/>
          <w:lang w:val="lv-LV"/>
        </w:rPr>
      </w:pPr>
    </w:p>
    <w:p w:rsidR="007044D9" w:rsidRDefault="007044D9" w:rsidP="001E7BE3">
      <w:pPr>
        <w:jc w:val="both"/>
        <w:rPr>
          <w:color w:val="000000"/>
          <w:sz w:val="28"/>
          <w:szCs w:val="28"/>
          <w:lang w:val="lv-LV"/>
        </w:rPr>
      </w:pPr>
    </w:p>
    <w:p w:rsidR="007044D9" w:rsidRDefault="007044D9" w:rsidP="001E7BE3">
      <w:pPr>
        <w:jc w:val="both"/>
        <w:rPr>
          <w:color w:val="000000"/>
          <w:sz w:val="28"/>
          <w:szCs w:val="28"/>
          <w:lang w:val="lv-LV"/>
        </w:rPr>
      </w:pPr>
      <w:bookmarkStart w:id="3" w:name="_GoBack"/>
      <w:bookmarkEnd w:id="3"/>
    </w:p>
    <w:p w:rsidR="007044D9" w:rsidRDefault="007044D9" w:rsidP="001E7BE3">
      <w:pPr>
        <w:jc w:val="both"/>
        <w:rPr>
          <w:color w:val="000000"/>
          <w:sz w:val="28"/>
          <w:szCs w:val="28"/>
          <w:lang w:val="lv-LV"/>
        </w:rPr>
      </w:pPr>
    </w:p>
    <w:p w:rsidR="007044D9" w:rsidRDefault="007044D9" w:rsidP="001E7BE3">
      <w:pPr>
        <w:jc w:val="both"/>
        <w:rPr>
          <w:color w:val="000000"/>
          <w:sz w:val="28"/>
          <w:szCs w:val="28"/>
          <w:lang w:val="lv-LV"/>
        </w:rPr>
      </w:pPr>
    </w:p>
    <w:p w:rsidR="007044D9" w:rsidRDefault="007044D9" w:rsidP="001E7BE3">
      <w:pPr>
        <w:jc w:val="both"/>
        <w:rPr>
          <w:color w:val="000000"/>
          <w:sz w:val="28"/>
          <w:szCs w:val="28"/>
          <w:lang w:val="lv-LV"/>
        </w:rPr>
      </w:pPr>
    </w:p>
    <w:p w:rsidR="00B74BCA" w:rsidRPr="001E7BE3" w:rsidRDefault="007044D9" w:rsidP="001E7BE3">
      <w:pPr>
        <w:jc w:val="both"/>
        <w:rPr>
          <w:color w:val="000000"/>
          <w:lang w:val="lv-LV"/>
        </w:rPr>
      </w:pPr>
      <w:r>
        <w:rPr>
          <w:color w:val="000000"/>
          <w:lang w:val="lv-LV"/>
        </w:rPr>
        <w:t>25.10.2013 16:14</w:t>
      </w:r>
    </w:p>
    <w:p w:rsidR="00B74BCA" w:rsidRPr="001E7BE3" w:rsidRDefault="00C17E88" w:rsidP="001E7BE3">
      <w:pPr>
        <w:jc w:val="both"/>
        <w:rPr>
          <w:color w:val="000000"/>
          <w:lang w:val="lv-LV"/>
        </w:rPr>
      </w:pPr>
      <w:fldSimple w:instr=" NUMWORDS   \* MERGEFORMAT ">
        <w:r w:rsidR="007044D9" w:rsidRPr="007044D9">
          <w:rPr>
            <w:noProof/>
            <w:color w:val="000000"/>
            <w:lang w:val="lv-LV"/>
          </w:rPr>
          <w:t>4001</w:t>
        </w:r>
      </w:fldSimple>
    </w:p>
    <w:p w:rsidR="00643B54" w:rsidRPr="001E7BE3" w:rsidRDefault="00B74BCA" w:rsidP="001E7BE3">
      <w:pPr>
        <w:jc w:val="both"/>
        <w:rPr>
          <w:color w:val="000000"/>
          <w:lang w:val="lv-LV"/>
        </w:rPr>
      </w:pPr>
      <w:r w:rsidRPr="001E7BE3">
        <w:rPr>
          <w:color w:val="000000"/>
          <w:lang w:val="lv-LV"/>
        </w:rPr>
        <w:t>L.Mičule</w:t>
      </w:r>
    </w:p>
    <w:p w:rsidR="00097583" w:rsidRPr="001E7BE3" w:rsidRDefault="00B74BCA" w:rsidP="001E7BE3">
      <w:pPr>
        <w:jc w:val="both"/>
        <w:rPr>
          <w:rStyle w:val="Hyperlink"/>
          <w:color w:val="auto"/>
          <w:u w:val="none"/>
          <w:lang w:val="lv-LV"/>
        </w:rPr>
      </w:pPr>
      <w:r w:rsidRPr="001E7BE3">
        <w:rPr>
          <w:lang w:val="lv-LV"/>
        </w:rPr>
        <w:t>67013</w:t>
      </w:r>
      <w:r w:rsidR="00864EFE" w:rsidRPr="001E7BE3">
        <w:rPr>
          <w:lang w:val="lv-LV"/>
        </w:rPr>
        <w:t>093</w:t>
      </w:r>
      <w:r w:rsidR="00386053" w:rsidRPr="001E7BE3">
        <w:rPr>
          <w:lang w:val="lv-LV"/>
        </w:rPr>
        <w:t>,</w:t>
      </w:r>
      <w:r w:rsidRPr="001E7BE3">
        <w:rPr>
          <w:lang w:val="lv-LV"/>
        </w:rPr>
        <w:t xml:space="preserve"> </w:t>
      </w:r>
      <w:hyperlink r:id="rId9" w:history="1">
        <w:r w:rsidRPr="001E7BE3">
          <w:rPr>
            <w:rStyle w:val="Hyperlink"/>
            <w:color w:val="auto"/>
            <w:u w:val="none"/>
            <w:lang w:val="lv-LV"/>
          </w:rPr>
          <w:t>Liga.Micule@em.gov.lv</w:t>
        </w:r>
      </w:hyperlink>
    </w:p>
    <w:sectPr w:rsidR="00097583" w:rsidRPr="001E7BE3" w:rsidSect="00B014C2">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A14" w:rsidRDefault="00DF1A14" w:rsidP="00B014C2">
      <w:r>
        <w:separator/>
      </w:r>
    </w:p>
  </w:endnote>
  <w:endnote w:type="continuationSeparator" w:id="0">
    <w:p w:rsidR="00DF1A14" w:rsidRDefault="00DF1A14" w:rsidP="00B01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1ED" w:rsidRPr="00DE6A71" w:rsidRDefault="00C17E88" w:rsidP="00DE6A71">
    <w:pPr>
      <w:pStyle w:val="BodyText"/>
      <w:rPr>
        <w:sz w:val="24"/>
        <w:szCs w:val="24"/>
      </w:rPr>
    </w:pPr>
    <w:fldSimple w:instr=" FILENAME   \* MERGEFORMAT ">
      <w:r w:rsidR="008A1712" w:rsidRPr="008A1712">
        <w:rPr>
          <w:noProof/>
          <w:sz w:val="24"/>
          <w:szCs w:val="24"/>
        </w:rPr>
        <w:t>EMAnot_251013_groz162</w:t>
      </w:r>
    </w:fldSimple>
    <w:r w:rsidR="00DE6A71" w:rsidRPr="00C33F2C">
      <w:rPr>
        <w:sz w:val="24"/>
        <w:szCs w:val="24"/>
      </w:rPr>
      <w:t xml:space="preserve">; </w:t>
    </w:r>
    <w:bookmarkStart w:id="4" w:name="OLE_LINK4"/>
    <w:bookmarkStart w:id="5" w:name="OLE_LINK5"/>
    <w:bookmarkStart w:id="6" w:name="_Hlk320181578"/>
    <w:r w:rsidR="00DE6A71" w:rsidRPr="00C33F2C">
      <w:rPr>
        <w:sz w:val="24"/>
        <w:szCs w:val="24"/>
      </w:rPr>
      <w:t xml:space="preserve">Ministru kabineta </w:t>
    </w:r>
    <w:r w:rsidR="00DE6A71">
      <w:rPr>
        <w:sz w:val="24"/>
        <w:szCs w:val="24"/>
      </w:rPr>
      <w:t>noteikumu</w:t>
    </w:r>
    <w:r w:rsidR="00DE6A71" w:rsidRPr="00C33F2C">
      <w:rPr>
        <w:sz w:val="24"/>
        <w:szCs w:val="24"/>
      </w:rPr>
      <w:t xml:space="preserve"> projekta </w:t>
    </w:r>
    <w:r w:rsidR="004F7117">
      <w:rPr>
        <w:sz w:val="24"/>
        <w:szCs w:val="24"/>
      </w:rPr>
      <w:t>„Grozījumi</w:t>
    </w:r>
    <w:r w:rsidR="00DE6A71" w:rsidRPr="00DE6A71">
      <w:rPr>
        <w:sz w:val="24"/>
        <w:szCs w:val="24"/>
      </w:rPr>
      <w:t xml:space="preserve"> Ministru kabineta 2009.gada 17.februāra noteikumos Nr.162 „Noteikumi par darbības programmas „Infrastruktūra un pakalpojumi” papildinājuma 3.5.2.1.1.apakšaktivitātes „Pasākumi centralizētās siltumapgādes sistēmu efektivitātes paaugstināšanai” projektu iesniegumu atlases pirmo kārtu””</w:t>
    </w:r>
    <w:r w:rsidR="00DE6A71" w:rsidRPr="00C33F2C">
      <w:rPr>
        <w:sz w:val="24"/>
        <w:szCs w:val="24"/>
      </w:rPr>
      <w:t xml:space="preserve"> sākotnējās ietekmes novērtējuma ziņojums (anotācija)</w:t>
    </w:r>
    <w:bookmarkEnd w:id="4"/>
    <w:bookmarkEnd w:id="5"/>
    <w:bookmarkEnd w:id="6"/>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1ED" w:rsidRPr="00C33F2C" w:rsidRDefault="00C17E88" w:rsidP="00D7256E">
    <w:pPr>
      <w:pStyle w:val="BodyText"/>
      <w:rPr>
        <w:sz w:val="24"/>
        <w:szCs w:val="24"/>
      </w:rPr>
    </w:pPr>
    <w:fldSimple w:instr=" FILENAME   \* MERGEFORMAT ">
      <w:r w:rsidR="008A1712" w:rsidRPr="008A1712">
        <w:rPr>
          <w:noProof/>
          <w:sz w:val="24"/>
          <w:szCs w:val="24"/>
        </w:rPr>
        <w:t>EMAnot_251013_groz162</w:t>
      </w:r>
    </w:fldSimple>
    <w:r w:rsidR="003611ED" w:rsidRPr="00C33F2C">
      <w:rPr>
        <w:sz w:val="24"/>
        <w:szCs w:val="24"/>
      </w:rPr>
      <w:t xml:space="preserve">; </w:t>
    </w:r>
    <w:bookmarkStart w:id="7" w:name="OLE_LINK12"/>
    <w:bookmarkStart w:id="8" w:name="OLE_LINK13"/>
    <w:bookmarkStart w:id="9" w:name="_Hlk259447629"/>
    <w:r w:rsidR="003611ED" w:rsidRPr="00C33F2C">
      <w:rPr>
        <w:sz w:val="24"/>
        <w:szCs w:val="24"/>
      </w:rPr>
      <w:t xml:space="preserve">Ministru kabineta </w:t>
    </w:r>
    <w:r w:rsidR="003611ED">
      <w:rPr>
        <w:sz w:val="24"/>
        <w:szCs w:val="24"/>
      </w:rPr>
      <w:t>noteikumu</w:t>
    </w:r>
    <w:r w:rsidR="003611ED" w:rsidRPr="00C33F2C">
      <w:rPr>
        <w:sz w:val="24"/>
        <w:szCs w:val="24"/>
      </w:rPr>
      <w:t xml:space="preserve"> projekta </w:t>
    </w:r>
    <w:r w:rsidR="004F7117">
      <w:rPr>
        <w:sz w:val="24"/>
        <w:szCs w:val="24"/>
      </w:rPr>
      <w:t>„Grozījumi</w:t>
    </w:r>
    <w:r w:rsidR="00DE6A71" w:rsidRPr="00DE6A71">
      <w:rPr>
        <w:sz w:val="24"/>
        <w:szCs w:val="24"/>
      </w:rPr>
      <w:t xml:space="preserve"> Ministru kabineta 2009.gada 17.februāra noteikumos Nr.162 „Noteikumi par darbības programmas „Infrastruktūra un pakalpojumi” papildinājuma 3.5.2.1.1.apakšaktivitātes „Pasākumi centralizētās siltumapgādes sistēmu efektivitātes paaugstināšanai” projektu iesniegumu atlases pirmo kārtu””</w:t>
    </w:r>
    <w:r w:rsidR="003611ED" w:rsidRPr="00C33F2C">
      <w:rPr>
        <w:sz w:val="24"/>
        <w:szCs w:val="24"/>
      </w:rPr>
      <w:t xml:space="preserve"> sākotnējās ietekmes novērtējuma ziņojums (anotācija)</w:t>
    </w:r>
    <w:bookmarkEnd w:id="7"/>
    <w:bookmarkEnd w:id="8"/>
    <w:bookmarkEnd w:id="9"/>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A14" w:rsidRDefault="00DF1A14" w:rsidP="00B014C2">
      <w:r>
        <w:separator/>
      </w:r>
    </w:p>
  </w:footnote>
  <w:footnote w:type="continuationSeparator" w:id="0">
    <w:p w:rsidR="00DF1A14" w:rsidRDefault="00DF1A14" w:rsidP="00B014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70797"/>
      <w:docPartObj>
        <w:docPartGallery w:val="Page Numbers (Top of Page)"/>
        <w:docPartUnique/>
      </w:docPartObj>
    </w:sdtPr>
    <w:sdtEndPr>
      <w:rPr>
        <w:sz w:val="24"/>
        <w:szCs w:val="24"/>
      </w:rPr>
    </w:sdtEndPr>
    <w:sdtContent>
      <w:p w:rsidR="003611ED" w:rsidRPr="00B014C2" w:rsidRDefault="007779FF">
        <w:pPr>
          <w:pStyle w:val="Header"/>
          <w:jc w:val="center"/>
          <w:rPr>
            <w:sz w:val="24"/>
            <w:szCs w:val="24"/>
          </w:rPr>
        </w:pPr>
        <w:r w:rsidRPr="00B014C2">
          <w:rPr>
            <w:sz w:val="24"/>
            <w:szCs w:val="24"/>
          </w:rPr>
          <w:fldChar w:fldCharType="begin"/>
        </w:r>
        <w:r w:rsidR="003611ED" w:rsidRPr="00B014C2">
          <w:rPr>
            <w:sz w:val="24"/>
            <w:szCs w:val="24"/>
          </w:rPr>
          <w:instrText xml:space="preserve"> PAGE   \* MERGEFORMAT </w:instrText>
        </w:r>
        <w:r w:rsidRPr="00B014C2">
          <w:rPr>
            <w:sz w:val="24"/>
            <w:szCs w:val="24"/>
          </w:rPr>
          <w:fldChar w:fldCharType="separate"/>
        </w:r>
        <w:r w:rsidR="007044D9">
          <w:rPr>
            <w:noProof/>
            <w:sz w:val="24"/>
            <w:szCs w:val="24"/>
          </w:rPr>
          <w:t>22</w:t>
        </w:r>
        <w:r w:rsidRPr="00B014C2">
          <w:rPr>
            <w:sz w:val="24"/>
            <w:szCs w:val="24"/>
          </w:rPr>
          <w:fldChar w:fldCharType="end"/>
        </w:r>
      </w:p>
    </w:sdtContent>
  </w:sdt>
  <w:p w:rsidR="003611ED" w:rsidRDefault="003611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4A574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75BC9"/>
    <w:multiLevelType w:val="hybridMultilevel"/>
    <w:tmpl w:val="3BA8FFEE"/>
    <w:lvl w:ilvl="0" w:tplc="80C816F0">
      <w:start w:val="1"/>
      <w:numFmt w:val="decimal"/>
      <w:lvlText w:val="%1)"/>
      <w:lvlJc w:val="left"/>
      <w:pPr>
        <w:ind w:left="1774" w:hanging="106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nsid w:val="0B020D22"/>
    <w:multiLevelType w:val="hybridMultilevel"/>
    <w:tmpl w:val="E7927C34"/>
    <w:lvl w:ilvl="0" w:tplc="658899F6">
      <w:start w:val="1"/>
      <w:numFmt w:val="bullet"/>
      <w:lvlText w:val="-"/>
      <w:lvlJc w:val="left"/>
      <w:pPr>
        <w:ind w:left="1069" w:hanging="360"/>
      </w:pPr>
      <w:rPr>
        <w:rFonts w:ascii="Times New Roman" w:eastAsia="Calibri" w:hAnsi="Times New Roman" w:cs="Times New Roman" w:hint="default"/>
        <w:sz w:val="24"/>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3">
    <w:nsid w:val="13A01F58"/>
    <w:multiLevelType w:val="hybridMultilevel"/>
    <w:tmpl w:val="A2482CEA"/>
    <w:lvl w:ilvl="0" w:tplc="33D271E4">
      <w:start w:val="1"/>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4">
    <w:nsid w:val="23E366A1"/>
    <w:multiLevelType w:val="hybridMultilevel"/>
    <w:tmpl w:val="5CF6E35E"/>
    <w:lvl w:ilvl="0" w:tplc="BBA2D6DC">
      <w:start w:val="2010"/>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nsid w:val="2C671895"/>
    <w:multiLevelType w:val="hybridMultilevel"/>
    <w:tmpl w:val="1764C178"/>
    <w:lvl w:ilvl="0" w:tplc="06AC410E">
      <w:start w:val="1"/>
      <w:numFmt w:val="decimal"/>
      <w:lvlText w:val="%1)"/>
      <w:lvlJc w:val="left"/>
      <w:pPr>
        <w:ind w:left="840" w:hanging="48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E610A12"/>
    <w:multiLevelType w:val="hybridMultilevel"/>
    <w:tmpl w:val="0082E656"/>
    <w:lvl w:ilvl="0" w:tplc="2820B69C">
      <w:start w:val="31"/>
      <w:numFmt w:val="bullet"/>
      <w:lvlText w:val="-"/>
      <w:lvlJc w:val="left"/>
      <w:pPr>
        <w:ind w:left="435" w:hanging="360"/>
      </w:pPr>
      <w:rPr>
        <w:rFonts w:ascii="Times New Roman" w:eastAsia="Calibri" w:hAnsi="Times New Roman" w:cs="Times New Roman" w:hint="default"/>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7">
    <w:nsid w:val="311B079D"/>
    <w:multiLevelType w:val="hybridMultilevel"/>
    <w:tmpl w:val="D5B64046"/>
    <w:lvl w:ilvl="0" w:tplc="F4BEA9B4">
      <w:start w:val="1"/>
      <w:numFmt w:val="lowerLetter"/>
      <w:lvlText w:val="%1)"/>
      <w:lvlJc w:val="left"/>
      <w:pPr>
        <w:ind w:left="795" w:hanging="360"/>
      </w:pPr>
      <w:rPr>
        <w:rFonts w:hint="default"/>
      </w:r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8">
    <w:nsid w:val="66756102"/>
    <w:multiLevelType w:val="hybridMultilevel"/>
    <w:tmpl w:val="A686F9D2"/>
    <w:lvl w:ilvl="0" w:tplc="F3FCCAE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nsid w:val="712C625F"/>
    <w:multiLevelType w:val="hybridMultilevel"/>
    <w:tmpl w:val="C55E3054"/>
    <w:lvl w:ilvl="0" w:tplc="EACE7FA0">
      <w:start w:val="1"/>
      <w:numFmt w:val="decimal"/>
      <w:lvlText w:val="%1)"/>
      <w:lvlJc w:val="left"/>
      <w:pPr>
        <w:ind w:left="1352" w:hanging="360"/>
      </w:pPr>
      <w:rPr>
        <w:rFonts w:hint="default"/>
      </w:rPr>
    </w:lvl>
    <w:lvl w:ilvl="1" w:tplc="04260019" w:tentative="1">
      <w:start w:val="1"/>
      <w:numFmt w:val="lowerLetter"/>
      <w:lvlText w:val="%2."/>
      <w:lvlJc w:val="left"/>
      <w:pPr>
        <w:ind w:left="2072" w:hanging="360"/>
      </w:pPr>
    </w:lvl>
    <w:lvl w:ilvl="2" w:tplc="0426001B" w:tentative="1">
      <w:start w:val="1"/>
      <w:numFmt w:val="lowerRoman"/>
      <w:lvlText w:val="%3."/>
      <w:lvlJc w:val="right"/>
      <w:pPr>
        <w:ind w:left="2792" w:hanging="180"/>
      </w:pPr>
    </w:lvl>
    <w:lvl w:ilvl="3" w:tplc="0426000F" w:tentative="1">
      <w:start w:val="1"/>
      <w:numFmt w:val="decimal"/>
      <w:lvlText w:val="%4."/>
      <w:lvlJc w:val="left"/>
      <w:pPr>
        <w:ind w:left="3512" w:hanging="360"/>
      </w:pPr>
    </w:lvl>
    <w:lvl w:ilvl="4" w:tplc="04260019" w:tentative="1">
      <w:start w:val="1"/>
      <w:numFmt w:val="lowerLetter"/>
      <w:lvlText w:val="%5."/>
      <w:lvlJc w:val="left"/>
      <w:pPr>
        <w:ind w:left="4232" w:hanging="360"/>
      </w:pPr>
    </w:lvl>
    <w:lvl w:ilvl="5" w:tplc="0426001B" w:tentative="1">
      <w:start w:val="1"/>
      <w:numFmt w:val="lowerRoman"/>
      <w:lvlText w:val="%6."/>
      <w:lvlJc w:val="right"/>
      <w:pPr>
        <w:ind w:left="4952" w:hanging="180"/>
      </w:pPr>
    </w:lvl>
    <w:lvl w:ilvl="6" w:tplc="0426000F" w:tentative="1">
      <w:start w:val="1"/>
      <w:numFmt w:val="decimal"/>
      <w:lvlText w:val="%7."/>
      <w:lvlJc w:val="left"/>
      <w:pPr>
        <w:ind w:left="5672" w:hanging="360"/>
      </w:pPr>
    </w:lvl>
    <w:lvl w:ilvl="7" w:tplc="04260019" w:tentative="1">
      <w:start w:val="1"/>
      <w:numFmt w:val="lowerLetter"/>
      <w:lvlText w:val="%8."/>
      <w:lvlJc w:val="left"/>
      <w:pPr>
        <w:ind w:left="6392" w:hanging="360"/>
      </w:pPr>
    </w:lvl>
    <w:lvl w:ilvl="8" w:tplc="0426001B" w:tentative="1">
      <w:start w:val="1"/>
      <w:numFmt w:val="lowerRoman"/>
      <w:lvlText w:val="%9."/>
      <w:lvlJc w:val="right"/>
      <w:pPr>
        <w:ind w:left="7112" w:hanging="180"/>
      </w:pPr>
    </w:lvl>
  </w:abstractNum>
  <w:abstractNum w:abstractNumId="10">
    <w:nsid w:val="73EE4F36"/>
    <w:multiLevelType w:val="hybridMultilevel"/>
    <w:tmpl w:val="4036D824"/>
    <w:lvl w:ilvl="0" w:tplc="8340A844">
      <w:start w:val="1"/>
      <w:numFmt w:val="decimal"/>
      <w:lvlText w:val="%1)"/>
      <w:lvlJc w:val="left"/>
      <w:pPr>
        <w:ind w:left="870" w:hanging="51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4"/>
  </w:num>
  <w:num w:numId="3">
    <w:abstractNumId w:val="8"/>
  </w:num>
  <w:num w:numId="4">
    <w:abstractNumId w:val="3"/>
  </w:num>
  <w:num w:numId="5">
    <w:abstractNumId w:val="2"/>
  </w:num>
  <w:num w:numId="6">
    <w:abstractNumId w:val="1"/>
  </w:num>
  <w:num w:numId="7">
    <w:abstractNumId w:val="5"/>
  </w:num>
  <w:num w:numId="8">
    <w:abstractNumId w:val="0"/>
  </w:num>
  <w:num w:numId="9">
    <w:abstractNumId w:val="6"/>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9C5"/>
    <w:rsid w:val="0000084E"/>
    <w:rsid w:val="000016AB"/>
    <w:rsid w:val="00004C45"/>
    <w:rsid w:val="0001186C"/>
    <w:rsid w:val="000120A0"/>
    <w:rsid w:val="00014006"/>
    <w:rsid w:val="0001626D"/>
    <w:rsid w:val="0001764D"/>
    <w:rsid w:val="00020A02"/>
    <w:rsid w:val="000214DF"/>
    <w:rsid w:val="00026BA7"/>
    <w:rsid w:val="00026C03"/>
    <w:rsid w:val="0002750B"/>
    <w:rsid w:val="0002762A"/>
    <w:rsid w:val="00031099"/>
    <w:rsid w:val="000320DD"/>
    <w:rsid w:val="0003693D"/>
    <w:rsid w:val="00036E03"/>
    <w:rsid w:val="0004167C"/>
    <w:rsid w:val="000445F3"/>
    <w:rsid w:val="00047EF5"/>
    <w:rsid w:val="00050184"/>
    <w:rsid w:val="00050EA4"/>
    <w:rsid w:val="00052380"/>
    <w:rsid w:val="000564DA"/>
    <w:rsid w:val="00060D39"/>
    <w:rsid w:val="00061AB3"/>
    <w:rsid w:val="000643D5"/>
    <w:rsid w:val="00071114"/>
    <w:rsid w:val="000729ED"/>
    <w:rsid w:val="00072ECD"/>
    <w:rsid w:val="00076421"/>
    <w:rsid w:val="00081C1D"/>
    <w:rsid w:val="00081F44"/>
    <w:rsid w:val="00083704"/>
    <w:rsid w:val="00083873"/>
    <w:rsid w:val="000847AE"/>
    <w:rsid w:val="0008486C"/>
    <w:rsid w:val="00086412"/>
    <w:rsid w:val="00087524"/>
    <w:rsid w:val="00091DBA"/>
    <w:rsid w:val="00097583"/>
    <w:rsid w:val="000A164A"/>
    <w:rsid w:val="000A402E"/>
    <w:rsid w:val="000A4AED"/>
    <w:rsid w:val="000A5FB9"/>
    <w:rsid w:val="000B0719"/>
    <w:rsid w:val="000B102D"/>
    <w:rsid w:val="000B2AE3"/>
    <w:rsid w:val="000D0388"/>
    <w:rsid w:val="000D19C8"/>
    <w:rsid w:val="000D2F05"/>
    <w:rsid w:val="000D4DC9"/>
    <w:rsid w:val="000D6D1C"/>
    <w:rsid w:val="000D6DF2"/>
    <w:rsid w:val="000D7B22"/>
    <w:rsid w:val="000E119B"/>
    <w:rsid w:val="000E409F"/>
    <w:rsid w:val="000E4277"/>
    <w:rsid w:val="000F0232"/>
    <w:rsid w:val="000F6C72"/>
    <w:rsid w:val="000F6E9E"/>
    <w:rsid w:val="001000B5"/>
    <w:rsid w:val="001002E4"/>
    <w:rsid w:val="0010079A"/>
    <w:rsid w:val="0010385C"/>
    <w:rsid w:val="00103FE1"/>
    <w:rsid w:val="0010410B"/>
    <w:rsid w:val="001047E8"/>
    <w:rsid w:val="00115E25"/>
    <w:rsid w:val="00120651"/>
    <w:rsid w:val="0012067B"/>
    <w:rsid w:val="001232D1"/>
    <w:rsid w:val="001254CC"/>
    <w:rsid w:val="001267F1"/>
    <w:rsid w:val="001305B3"/>
    <w:rsid w:val="00130D33"/>
    <w:rsid w:val="00131980"/>
    <w:rsid w:val="00131C62"/>
    <w:rsid w:val="00134E0F"/>
    <w:rsid w:val="001428EB"/>
    <w:rsid w:val="00142A69"/>
    <w:rsid w:val="00142AC2"/>
    <w:rsid w:val="00142CBB"/>
    <w:rsid w:val="00144D39"/>
    <w:rsid w:val="001453B6"/>
    <w:rsid w:val="00153C1A"/>
    <w:rsid w:val="001611D0"/>
    <w:rsid w:val="0017312C"/>
    <w:rsid w:val="001733BE"/>
    <w:rsid w:val="0017472D"/>
    <w:rsid w:val="001764E7"/>
    <w:rsid w:val="00182537"/>
    <w:rsid w:val="00182CC4"/>
    <w:rsid w:val="001831F7"/>
    <w:rsid w:val="00184C02"/>
    <w:rsid w:val="00184E37"/>
    <w:rsid w:val="001871BB"/>
    <w:rsid w:val="00190498"/>
    <w:rsid w:val="00191102"/>
    <w:rsid w:val="00191B2C"/>
    <w:rsid w:val="00194537"/>
    <w:rsid w:val="00194800"/>
    <w:rsid w:val="001971A4"/>
    <w:rsid w:val="001973A7"/>
    <w:rsid w:val="001A082F"/>
    <w:rsid w:val="001A2ABA"/>
    <w:rsid w:val="001A3B25"/>
    <w:rsid w:val="001A3C19"/>
    <w:rsid w:val="001B0C97"/>
    <w:rsid w:val="001B262F"/>
    <w:rsid w:val="001B28E7"/>
    <w:rsid w:val="001B3236"/>
    <w:rsid w:val="001B4EB9"/>
    <w:rsid w:val="001B5566"/>
    <w:rsid w:val="001B5F59"/>
    <w:rsid w:val="001B6F62"/>
    <w:rsid w:val="001B7875"/>
    <w:rsid w:val="001C0861"/>
    <w:rsid w:val="001C1BFF"/>
    <w:rsid w:val="001C2D96"/>
    <w:rsid w:val="001C3D8D"/>
    <w:rsid w:val="001C6A1F"/>
    <w:rsid w:val="001D02A2"/>
    <w:rsid w:val="001D39D9"/>
    <w:rsid w:val="001D416F"/>
    <w:rsid w:val="001D5E9C"/>
    <w:rsid w:val="001D6123"/>
    <w:rsid w:val="001D76FC"/>
    <w:rsid w:val="001E0DB1"/>
    <w:rsid w:val="001E3BD0"/>
    <w:rsid w:val="001E5031"/>
    <w:rsid w:val="001E6798"/>
    <w:rsid w:val="001E7BB7"/>
    <w:rsid w:val="001E7BE3"/>
    <w:rsid w:val="001F02C1"/>
    <w:rsid w:val="001F6151"/>
    <w:rsid w:val="001F7527"/>
    <w:rsid w:val="00200612"/>
    <w:rsid w:val="00205FEE"/>
    <w:rsid w:val="0021241F"/>
    <w:rsid w:val="00213D6A"/>
    <w:rsid w:val="002149CB"/>
    <w:rsid w:val="00216B96"/>
    <w:rsid w:val="0022056F"/>
    <w:rsid w:val="00221058"/>
    <w:rsid w:val="00221205"/>
    <w:rsid w:val="00221561"/>
    <w:rsid w:val="00221CAE"/>
    <w:rsid w:val="00224C7C"/>
    <w:rsid w:val="0023085A"/>
    <w:rsid w:val="00230FB6"/>
    <w:rsid w:val="00231EB0"/>
    <w:rsid w:val="00233657"/>
    <w:rsid w:val="00233F7A"/>
    <w:rsid w:val="0023462C"/>
    <w:rsid w:val="00234C58"/>
    <w:rsid w:val="00234DDC"/>
    <w:rsid w:val="00245D09"/>
    <w:rsid w:val="00247529"/>
    <w:rsid w:val="002507A0"/>
    <w:rsid w:val="002543B5"/>
    <w:rsid w:val="0025484B"/>
    <w:rsid w:val="00257EAE"/>
    <w:rsid w:val="00261333"/>
    <w:rsid w:val="00261B9F"/>
    <w:rsid w:val="0026446F"/>
    <w:rsid w:val="00265C1B"/>
    <w:rsid w:val="002701D0"/>
    <w:rsid w:val="002702EB"/>
    <w:rsid w:val="00271D35"/>
    <w:rsid w:val="00271EC3"/>
    <w:rsid w:val="00280A6B"/>
    <w:rsid w:val="00284232"/>
    <w:rsid w:val="00285613"/>
    <w:rsid w:val="00285CAB"/>
    <w:rsid w:val="0028698C"/>
    <w:rsid w:val="00287254"/>
    <w:rsid w:val="00290331"/>
    <w:rsid w:val="0029306A"/>
    <w:rsid w:val="00295C0F"/>
    <w:rsid w:val="002A0052"/>
    <w:rsid w:val="002A0CEE"/>
    <w:rsid w:val="002A58FD"/>
    <w:rsid w:val="002B30A6"/>
    <w:rsid w:val="002B34B0"/>
    <w:rsid w:val="002B4D01"/>
    <w:rsid w:val="002B667D"/>
    <w:rsid w:val="002B768A"/>
    <w:rsid w:val="002C0E0E"/>
    <w:rsid w:val="002C20C8"/>
    <w:rsid w:val="002C4039"/>
    <w:rsid w:val="002C6E6D"/>
    <w:rsid w:val="002D259E"/>
    <w:rsid w:val="002D3E95"/>
    <w:rsid w:val="002D43D4"/>
    <w:rsid w:val="002D7C26"/>
    <w:rsid w:val="002E1D56"/>
    <w:rsid w:val="002E3CFA"/>
    <w:rsid w:val="002E6122"/>
    <w:rsid w:val="002E7059"/>
    <w:rsid w:val="002E7530"/>
    <w:rsid w:val="002E7962"/>
    <w:rsid w:val="002E7BEF"/>
    <w:rsid w:val="002F063C"/>
    <w:rsid w:val="002F423D"/>
    <w:rsid w:val="002F4553"/>
    <w:rsid w:val="002F6D2C"/>
    <w:rsid w:val="003000F0"/>
    <w:rsid w:val="00311A86"/>
    <w:rsid w:val="003124BE"/>
    <w:rsid w:val="00312701"/>
    <w:rsid w:val="00313463"/>
    <w:rsid w:val="00314594"/>
    <w:rsid w:val="00320EB0"/>
    <w:rsid w:val="00322A15"/>
    <w:rsid w:val="00324F11"/>
    <w:rsid w:val="00330AF0"/>
    <w:rsid w:val="00335837"/>
    <w:rsid w:val="003365BB"/>
    <w:rsid w:val="003372CD"/>
    <w:rsid w:val="00341D01"/>
    <w:rsid w:val="0034284E"/>
    <w:rsid w:val="00344B27"/>
    <w:rsid w:val="003479DF"/>
    <w:rsid w:val="0035647E"/>
    <w:rsid w:val="00357B86"/>
    <w:rsid w:val="00360437"/>
    <w:rsid w:val="00360962"/>
    <w:rsid w:val="003611ED"/>
    <w:rsid w:val="00361DA6"/>
    <w:rsid w:val="00362D30"/>
    <w:rsid w:val="003707C8"/>
    <w:rsid w:val="0037466C"/>
    <w:rsid w:val="0038072F"/>
    <w:rsid w:val="00383500"/>
    <w:rsid w:val="00384799"/>
    <w:rsid w:val="00385DB0"/>
    <w:rsid w:val="00386053"/>
    <w:rsid w:val="00391942"/>
    <w:rsid w:val="00394FFC"/>
    <w:rsid w:val="00396D2E"/>
    <w:rsid w:val="003A3DE3"/>
    <w:rsid w:val="003A4886"/>
    <w:rsid w:val="003A5545"/>
    <w:rsid w:val="003A56E6"/>
    <w:rsid w:val="003A5F98"/>
    <w:rsid w:val="003A7D89"/>
    <w:rsid w:val="003B04FD"/>
    <w:rsid w:val="003B060D"/>
    <w:rsid w:val="003B3450"/>
    <w:rsid w:val="003B4994"/>
    <w:rsid w:val="003B5399"/>
    <w:rsid w:val="003B590B"/>
    <w:rsid w:val="003C015A"/>
    <w:rsid w:val="003C1C94"/>
    <w:rsid w:val="003C406A"/>
    <w:rsid w:val="003D342E"/>
    <w:rsid w:val="003D3A14"/>
    <w:rsid w:val="003E0167"/>
    <w:rsid w:val="003E0BD3"/>
    <w:rsid w:val="003E284A"/>
    <w:rsid w:val="003E2968"/>
    <w:rsid w:val="003E3604"/>
    <w:rsid w:val="003E6CB3"/>
    <w:rsid w:val="003F0C4F"/>
    <w:rsid w:val="003F17ED"/>
    <w:rsid w:val="003F25FF"/>
    <w:rsid w:val="003F4E09"/>
    <w:rsid w:val="00401C5F"/>
    <w:rsid w:val="00402B2B"/>
    <w:rsid w:val="00404C10"/>
    <w:rsid w:val="00404D4B"/>
    <w:rsid w:val="004074FD"/>
    <w:rsid w:val="00414492"/>
    <w:rsid w:val="00414CC7"/>
    <w:rsid w:val="00415C03"/>
    <w:rsid w:val="00416C3A"/>
    <w:rsid w:val="0041700D"/>
    <w:rsid w:val="00420FC8"/>
    <w:rsid w:val="0042129F"/>
    <w:rsid w:val="00422C48"/>
    <w:rsid w:val="004232D7"/>
    <w:rsid w:val="0042395B"/>
    <w:rsid w:val="0042472B"/>
    <w:rsid w:val="00431CB5"/>
    <w:rsid w:val="00434ACC"/>
    <w:rsid w:val="00436E46"/>
    <w:rsid w:val="00436E6A"/>
    <w:rsid w:val="004413C4"/>
    <w:rsid w:val="00442884"/>
    <w:rsid w:val="00443B04"/>
    <w:rsid w:val="0044567A"/>
    <w:rsid w:val="004465FC"/>
    <w:rsid w:val="004522D7"/>
    <w:rsid w:val="004527EA"/>
    <w:rsid w:val="00457B62"/>
    <w:rsid w:val="00460A29"/>
    <w:rsid w:val="00472EF3"/>
    <w:rsid w:val="00475A76"/>
    <w:rsid w:val="00477501"/>
    <w:rsid w:val="004775F4"/>
    <w:rsid w:val="00484C10"/>
    <w:rsid w:val="00485E0B"/>
    <w:rsid w:val="004863D6"/>
    <w:rsid w:val="00486BD6"/>
    <w:rsid w:val="00487753"/>
    <w:rsid w:val="0049013B"/>
    <w:rsid w:val="00491F0A"/>
    <w:rsid w:val="004960FB"/>
    <w:rsid w:val="00497086"/>
    <w:rsid w:val="004A22E5"/>
    <w:rsid w:val="004A554F"/>
    <w:rsid w:val="004B18A4"/>
    <w:rsid w:val="004B1FE7"/>
    <w:rsid w:val="004B77C0"/>
    <w:rsid w:val="004C1463"/>
    <w:rsid w:val="004D4997"/>
    <w:rsid w:val="004D54CD"/>
    <w:rsid w:val="004D6EBC"/>
    <w:rsid w:val="004D6EF0"/>
    <w:rsid w:val="004D790D"/>
    <w:rsid w:val="004E01F5"/>
    <w:rsid w:val="004E052E"/>
    <w:rsid w:val="004E3075"/>
    <w:rsid w:val="004E7B96"/>
    <w:rsid w:val="004F0E94"/>
    <w:rsid w:val="004F178A"/>
    <w:rsid w:val="004F2331"/>
    <w:rsid w:val="004F2B79"/>
    <w:rsid w:val="004F7117"/>
    <w:rsid w:val="00501F08"/>
    <w:rsid w:val="00502247"/>
    <w:rsid w:val="00502B0F"/>
    <w:rsid w:val="00503D5C"/>
    <w:rsid w:val="00505A0D"/>
    <w:rsid w:val="00505B7D"/>
    <w:rsid w:val="00506DDA"/>
    <w:rsid w:val="00510235"/>
    <w:rsid w:val="00510DC9"/>
    <w:rsid w:val="00511ADB"/>
    <w:rsid w:val="0051358D"/>
    <w:rsid w:val="00513AF6"/>
    <w:rsid w:val="00517C20"/>
    <w:rsid w:val="00522B62"/>
    <w:rsid w:val="00524D01"/>
    <w:rsid w:val="005254AB"/>
    <w:rsid w:val="00530C47"/>
    <w:rsid w:val="00530DE8"/>
    <w:rsid w:val="00531687"/>
    <w:rsid w:val="0053179E"/>
    <w:rsid w:val="00532532"/>
    <w:rsid w:val="00532EE4"/>
    <w:rsid w:val="005351BF"/>
    <w:rsid w:val="00537A29"/>
    <w:rsid w:val="005422C3"/>
    <w:rsid w:val="00542739"/>
    <w:rsid w:val="00542F49"/>
    <w:rsid w:val="00543052"/>
    <w:rsid w:val="00546E77"/>
    <w:rsid w:val="00554A7A"/>
    <w:rsid w:val="005663B6"/>
    <w:rsid w:val="0056795E"/>
    <w:rsid w:val="00570B3E"/>
    <w:rsid w:val="00573C02"/>
    <w:rsid w:val="005740D7"/>
    <w:rsid w:val="005747E7"/>
    <w:rsid w:val="0057501D"/>
    <w:rsid w:val="00576AEE"/>
    <w:rsid w:val="00576D8A"/>
    <w:rsid w:val="00580317"/>
    <w:rsid w:val="0058086F"/>
    <w:rsid w:val="0058249F"/>
    <w:rsid w:val="0058679B"/>
    <w:rsid w:val="005877DA"/>
    <w:rsid w:val="00595578"/>
    <w:rsid w:val="0059700D"/>
    <w:rsid w:val="00597137"/>
    <w:rsid w:val="00597231"/>
    <w:rsid w:val="005A1D6F"/>
    <w:rsid w:val="005A2A2D"/>
    <w:rsid w:val="005A37FF"/>
    <w:rsid w:val="005B29DE"/>
    <w:rsid w:val="005B4307"/>
    <w:rsid w:val="005C251D"/>
    <w:rsid w:val="005C6DDB"/>
    <w:rsid w:val="005D1220"/>
    <w:rsid w:val="005D3658"/>
    <w:rsid w:val="005D3C0C"/>
    <w:rsid w:val="005D4522"/>
    <w:rsid w:val="005D6171"/>
    <w:rsid w:val="005E4730"/>
    <w:rsid w:val="005E713D"/>
    <w:rsid w:val="005F07D8"/>
    <w:rsid w:val="005F09EC"/>
    <w:rsid w:val="00607722"/>
    <w:rsid w:val="00610DDF"/>
    <w:rsid w:val="00614602"/>
    <w:rsid w:val="006218A6"/>
    <w:rsid w:val="00625D54"/>
    <w:rsid w:val="00626F78"/>
    <w:rsid w:val="00630367"/>
    <w:rsid w:val="006309F5"/>
    <w:rsid w:val="00630BAA"/>
    <w:rsid w:val="00631039"/>
    <w:rsid w:val="00636440"/>
    <w:rsid w:val="00641379"/>
    <w:rsid w:val="00643B54"/>
    <w:rsid w:val="006456BB"/>
    <w:rsid w:val="00647402"/>
    <w:rsid w:val="00650716"/>
    <w:rsid w:val="006512F4"/>
    <w:rsid w:val="00651669"/>
    <w:rsid w:val="006543B3"/>
    <w:rsid w:val="00654C63"/>
    <w:rsid w:val="00664C33"/>
    <w:rsid w:val="00665020"/>
    <w:rsid w:val="00667BAB"/>
    <w:rsid w:val="006711E1"/>
    <w:rsid w:val="006722B5"/>
    <w:rsid w:val="00672A2F"/>
    <w:rsid w:val="00673175"/>
    <w:rsid w:val="00674BA7"/>
    <w:rsid w:val="00676770"/>
    <w:rsid w:val="0068051B"/>
    <w:rsid w:val="00681496"/>
    <w:rsid w:val="00682B64"/>
    <w:rsid w:val="0068409B"/>
    <w:rsid w:val="006910BE"/>
    <w:rsid w:val="006A3A28"/>
    <w:rsid w:val="006A6AD4"/>
    <w:rsid w:val="006A7488"/>
    <w:rsid w:val="006A7638"/>
    <w:rsid w:val="006B0E03"/>
    <w:rsid w:val="006B1779"/>
    <w:rsid w:val="006C114F"/>
    <w:rsid w:val="006C15FA"/>
    <w:rsid w:val="006D0B9B"/>
    <w:rsid w:val="006D1F62"/>
    <w:rsid w:val="006D30BF"/>
    <w:rsid w:val="006D662F"/>
    <w:rsid w:val="006D69A4"/>
    <w:rsid w:val="006E07AC"/>
    <w:rsid w:val="006E09B6"/>
    <w:rsid w:val="006E0ECB"/>
    <w:rsid w:val="006E1F97"/>
    <w:rsid w:val="006E3949"/>
    <w:rsid w:val="006F02CA"/>
    <w:rsid w:val="006F0C19"/>
    <w:rsid w:val="006F24A8"/>
    <w:rsid w:val="006F56C1"/>
    <w:rsid w:val="007044D9"/>
    <w:rsid w:val="007058E9"/>
    <w:rsid w:val="007060D7"/>
    <w:rsid w:val="007063E3"/>
    <w:rsid w:val="00706EC2"/>
    <w:rsid w:val="00714666"/>
    <w:rsid w:val="00720DC2"/>
    <w:rsid w:val="00720EE5"/>
    <w:rsid w:val="007217E4"/>
    <w:rsid w:val="00721E50"/>
    <w:rsid w:val="00725107"/>
    <w:rsid w:val="00725B16"/>
    <w:rsid w:val="007278CF"/>
    <w:rsid w:val="00732F77"/>
    <w:rsid w:val="007363F2"/>
    <w:rsid w:val="0073796D"/>
    <w:rsid w:val="00737AB8"/>
    <w:rsid w:val="00743E33"/>
    <w:rsid w:val="00744513"/>
    <w:rsid w:val="007449D3"/>
    <w:rsid w:val="0075648C"/>
    <w:rsid w:val="00767185"/>
    <w:rsid w:val="00767E0F"/>
    <w:rsid w:val="007715A2"/>
    <w:rsid w:val="00771E40"/>
    <w:rsid w:val="0077435A"/>
    <w:rsid w:val="00775467"/>
    <w:rsid w:val="007779FF"/>
    <w:rsid w:val="00781C31"/>
    <w:rsid w:val="00790E90"/>
    <w:rsid w:val="00791433"/>
    <w:rsid w:val="00793496"/>
    <w:rsid w:val="00793A6B"/>
    <w:rsid w:val="00794B98"/>
    <w:rsid w:val="007962E5"/>
    <w:rsid w:val="00797D6F"/>
    <w:rsid w:val="007A0D95"/>
    <w:rsid w:val="007A14D0"/>
    <w:rsid w:val="007A2498"/>
    <w:rsid w:val="007B0767"/>
    <w:rsid w:val="007B461A"/>
    <w:rsid w:val="007C1582"/>
    <w:rsid w:val="007C2960"/>
    <w:rsid w:val="007C2992"/>
    <w:rsid w:val="007C62F5"/>
    <w:rsid w:val="007C7357"/>
    <w:rsid w:val="007D054D"/>
    <w:rsid w:val="007D14B7"/>
    <w:rsid w:val="007D392C"/>
    <w:rsid w:val="007D45FD"/>
    <w:rsid w:val="007D6721"/>
    <w:rsid w:val="007D6900"/>
    <w:rsid w:val="007D7A8A"/>
    <w:rsid w:val="007E0403"/>
    <w:rsid w:val="007E0A01"/>
    <w:rsid w:val="007E1DC0"/>
    <w:rsid w:val="007E7623"/>
    <w:rsid w:val="007F0242"/>
    <w:rsid w:val="007F0C15"/>
    <w:rsid w:val="007F1BCD"/>
    <w:rsid w:val="007F2664"/>
    <w:rsid w:val="00810BB4"/>
    <w:rsid w:val="00812990"/>
    <w:rsid w:val="00814B24"/>
    <w:rsid w:val="00815CC0"/>
    <w:rsid w:val="008173C3"/>
    <w:rsid w:val="00817839"/>
    <w:rsid w:val="00823419"/>
    <w:rsid w:val="00823C4F"/>
    <w:rsid w:val="0082492B"/>
    <w:rsid w:val="008253A7"/>
    <w:rsid w:val="008265EF"/>
    <w:rsid w:val="00827407"/>
    <w:rsid w:val="00836318"/>
    <w:rsid w:val="00837E38"/>
    <w:rsid w:val="00841207"/>
    <w:rsid w:val="008444BD"/>
    <w:rsid w:val="00844DC6"/>
    <w:rsid w:val="00851D2A"/>
    <w:rsid w:val="00855B83"/>
    <w:rsid w:val="00860387"/>
    <w:rsid w:val="00861F33"/>
    <w:rsid w:val="008620C5"/>
    <w:rsid w:val="00864EFE"/>
    <w:rsid w:val="008657D2"/>
    <w:rsid w:val="00866076"/>
    <w:rsid w:val="00874C25"/>
    <w:rsid w:val="0087682B"/>
    <w:rsid w:val="00877FED"/>
    <w:rsid w:val="00880F80"/>
    <w:rsid w:val="008822A5"/>
    <w:rsid w:val="008833AC"/>
    <w:rsid w:val="0088512F"/>
    <w:rsid w:val="00885C85"/>
    <w:rsid w:val="00890CFA"/>
    <w:rsid w:val="00891DAA"/>
    <w:rsid w:val="00891EFC"/>
    <w:rsid w:val="0089622A"/>
    <w:rsid w:val="00897C16"/>
    <w:rsid w:val="008A1712"/>
    <w:rsid w:val="008A4831"/>
    <w:rsid w:val="008A492C"/>
    <w:rsid w:val="008A4C41"/>
    <w:rsid w:val="008A515D"/>
    <w:rsid w:val="008A615D"/>
    <w:rsid w:val="008A6918"/>
    <w:rsid w:val="008A69DC"/>
    <w:rsid w:val="008B4856"/>
    <w:rsid w:val="008B603A"/>
    <w:rsid w:val="008C2886"/>
    <w:rsid w:val="008D17E5"/>
    <w:rsid w:val="008D28C6"/>
    <w:rsid w:val="008D6725"/>
    <w:rsid w:val="008D78FF"/>
    <w:rsid w:val="008E476F"/>
    <w:rsid w:val="008E5F7D"/>
    <w:rsid w:val="008E6217"/>
    <w:rsid w:val="008F48C1"/>
    <w:rsid w:val="008F4C9D"/>
    <w:rsid w:val="008F5394"/>
    <w:rsid w:val="008F636C"/>
    <w:rsid w:val="008F6397"/>
    <w:rsid w:val="0090048A"/>
    <w:rsid w:val="009041C1"/>
    <w:rsid w:val="0090449A"/>
    <w:rsid w:val="00904A06"/>
    <w:rsid w:val="0090536A"/>
    <w:rsid w:val="00911D0C"/>
    <w:rsid w:val="00914CB3"/>
    <w:rsid w:val="00916328"/>
    <w:rsid w:val="00917324"/>
    <w:rsid w:val="00920CC5"/>
    <w:rsid w:val="009223E3"/>
    <w:rsid w:val="0092468A"/>
    <w:rsid w:val="009260C5"/>
    <w:rsid w:val="00930CFF"/>
    <w:rsid w:val="00932B78"/>
    <w:rsid w:val="00933744"/>
    <w:rsid w:val="0094012A"/>
    <w:rsid w:val="00940388"/>
    <w:rsid w:val="009429B7"/>
    <w:rsid w:val="00944903"/>
    <w:rsid w:val="00945AEE"/>
    <w:rsid w:val="0094732D"/>
    <w:rsid w:val="00947CF8"/>
    <w:rsid w:val="009520C3"/>
    <w:rsid w:val="0095680E"/>
    <w:rsid w:val="0095696B"/>
    <w:rsid w:val="00961186"/>
    <w:rsid w:val="00962693"/>
    <w:rsid w:val="00962CEA"/>
    <w:rsid w:val="00971B45"/>
    <w:rsid w:val="00977A1D"/>
    <w:rsid w:val="0098472B"/>
    <w:rsid w:val="0099344A"/>
    <w:rsid w:val="00994A10"/>
    <w:rsid w:val="00995388"/>
    <w:rsid w:val="00996D7F"/>
    <w:rsid w:val="009A164D"/>
    <w:rsid w:val="009A19C7"/>
    <w:rsid w:val="009A38AD"/>
    <w:rsid w:val="009A4558"/>
    <w:rsid w:val="009A6C4D"/>
    <w:rsid w:val="009A712C"/>
    <w:rsid w:val="009B0DB2"/>
    <w:rsid w:val="009B286E"/>
    <w:rsid w:val="009B2F66"/>
    <w:rsid w:val="009C1ADF"/>
    <w:rsid w:val="009C2CF9"/>
    <w:rsid w:val="009C5919"/>
    <w:rsid w:val="009C6996"/>
    <w:rsid w:val="009C7064"/>
    <w:rsid w:val="009C7B1F"/>
    <w:rsid w:val="009D10C0"/>
    <w:rsid w:val="009D46D6"/>
    <w:rsid w:val="009D5C1D"/>
    <w:rsid w:val="009D6B85"/>
    <w:rsid w:val="009E116E"/>
    <w:rsid w:val="009E182A"/>
    <w:rsid w:val="009E1AEA"/>
    <w:rsid w:val="009E2B24"/>
    <w:rsid w:val="009E388E"/>
    <w:rsid w:val="009E4C1F"/>
    <w:rsid w:val="009E532D"/>
    <w:rsid w:val="009E5351"/>
    <w:rsid w:val="009E604D"/>
    <w:rsid w:val="009F1B35"/>
    <w:rsid w:val="009F37B4"/>
    <w:rsid w:val="009F3B93"/>
    <w:rsid w:val="009F4D79"/>
    <w:rsid w:val="009F7B44"/>
    <w:rsid w:val="00A01864"/>
    <w:rsid w:val="00A045ED"/>
    <w:rsid w:val="00A14437"/>
    <w:rsid w:val="00A14502"/>
    <w:rsid w:val="00A15971"/>
    <w:rsid w:val="00A246DC"/>
    <w:rsid w:val="00A271B4"/>
    <w:rsid w:val="00A30576"/>
    <w:rsid w:val="00A30F97"/>
    <w:rsid w:val="00A31FDC"/>
    <w:rsid w:val="00A32343"/>
    <w:rsid w:val="00A326B1"/>
    <w:rsid w:val="00A3336D"/>
    <w:rsid w:val="00A34AC6"/>
    <w:rsid w:val="00A34F24"/>
    <w:rsid w:val="00A37DC3"/>
    <w:rsid w:val="00A425FC"/>
    <w:rsid w:val="00A43665"/>
    <w:rsid w:val="00A441B5"/>
    <w:rsid w:val="00A454E0"/>
    <w:rsid w:val="00A46462"/>
    <w:rsid w:val="00A47339"/>
    <w:rsid w:val="00A47536"/>
    <w:rsid w:val="00A51399"/>
    <w:rsid w:val="00A520CC"/>
    <w:rsid w:val="00A52BA6"/>
    <w:rsid w:val="00A5445A"/>
    <w:rsid w:val="00A552DA"/>
    <w:rsid w:val="00A6113D"/>
    <w:rsid w:val="00A6164F"/>
    <w:rsid w:val="00A6235A"/>
    <w:rsid w:val="00A62805"/>
    <w:rsid w:val="00A6716E"/>
    <w:rsid w:val="00A700D6"/>
    <w:rsid w:val="00A805C2"/>
    <w:rsid w:val="00A806F1"/>
    <w:rsid w:val="00A87BE9"/>
    <w:rsid w:val="00A9241A"/>
    <w:rsid w:val="00A95893"/>
    <w:rsid w:val="00A963C3"/>
    <w:rsid w:val="00A96F94"/>
    <w:rsid w:val="00AA127F"/>
    <w:rsid w:val="00AA230A"/>
    <w:rsid w:val="00AA5C4F"/>
    <w:rsid w:val="00AA712A"/>
    <w:rsid w:val="00AA7E8A"/>
    <w:rsid w:val="00AB248D"/>
    <w:rsid w:val="00AB2915"/>
    <w:rsid w:val="00AB2B24"/>
    <w:rsid w:val="00AB488D"/>
    <w:rsid w:val="00AB5B30"/>
    <w:rsid w:val="00AB5FC3"/>
    <w:rsid w:val="00AB6101"/>
    <w:rsid w:val="00AC0231"/>
    <w:rsid w:val="00AC07D2"/>
    <w:rsid w:val="00AC6009"/>
    <w:rsid w:val="00AD0DF6"/>
    <w:rsid w:val="00AD2826"/>
    <w:rsid w:val="00AD4944"/>
    <w:rsid w:val="00AD5849"/>
    <w:rsid w:val="00AD7CF0"/>
    <w:rsid w:val="00AE05F1"/>
    <w:rsid w:val="00AE1659"/>
    <w:rsid w:val="00AE4EB6"/>
    <w:rsid w:val="00AE51EC"/>
    <w:rsid w:val="00AE6E0C"/>
    <w:rsid w:val="00AF1E99"/>
    <w:rsid w:val="00B014C2"/>
    <w:rsid w:val="00B033B8"/>
    <w:rsid w:val="00B0347F"/>
    <w:rsid w:val="00B04FAA"/>
    <w:rsid w:val="00B121E8"/>
    <w:rsid w:val="00B13499"/>
    <w:rsid w:val="00B1662F"/>
    <w:rsid w:val="00B20342"/>
    <w:rsid w:val="00B221CA"/>
    <w:rsid w:val="00B274BB"/>
    <w:rsid w:val="00B30133"/>
    <w:rsid w:val="00B37577"/>
    <w:rsid w:val="00B45711"/>
    <w:rsid w:val="00B46B34"/>
    <w:rsid w:val="00B5655C"/>
    <w:rsid w:val="00B56EB8"/>
    <w:rsid w:val="00B57637"/>
    <w:rsid w:val="00B60083"/>
    <w:rsid w:val="00B60EEC"/>
    <w:rsid w:val="00B6151B"/>
    <w:rsid w:val="00B6163A"/>
    <w:rsid w:val="00B62197"/>
    <w:rsid w:val="00B63BE0"/>
    <w:rsid w:val="00B6474E"/>
    <w:rsid w:val="00B65CFA"/>
    <w:rsid w:val="00B706F6"/>
    <w:rsid w:val="00B70F42"/>
    <w:rsid w:val="00B74BCA"/>
    <w:rsid w:val="00B756EA"/>
    <w:rsid w:val="00B7774A"/>
    <w:rsid w:val="00B81E82"/>
    <w:rsid w:val="00B82402"/>
    <w:rsid w:val="00B82499"/>
    <w:rsid w:val="00B85C22"/>
    <w:rsid w:val="00B866E5"/>
    <w:rsid w:val="00B91EA5"/>
    <w:rsid w:val="00B931D1"/>
    <w:rsid w:val="00B943B1"/>
    <w:rsid w:val="00BA0A22"/>
    <w:rsid w:val="00BA14F4"/>
    <w:rsid w:val="00BA2E9B"/>
    <w:rsid w:val="00BA7189"/>
    <w:rsid w:val="00BB09C5"/>
    <w:rsid w:val="00BB1C9B"/>
    <w:rsid w:val="00BB2330"/>
    <w:rsid w:val="00BB4180"/>
    <w:rsid w:val="00BB6E67"/>
    <w:rsid w:val="00BB7960"/>
    <w:rsid w:val="00BC06E8"/>
    <w:rsid w:val="00BC335E"/>
    <w:rsid w:val="00BC4144"/>
    <w:rsid w:val="00BC4472"/>
    <w:rsid w:val="00BC4C1A"/>
    <w:rsid w:val="00BC51A3"/>
    <w:rsid w:val="00BC66EB"/>
    <w:rsid w:val="00BD0B72"/>
    <w:rsid w:val="00BD1934"/>
    <w:rsid w:val="00BD1A48"/>
    <w:rsid w:val="00BD4752"/>
    <w:rsid w:val="00BD63E9"/>
    <w:rsid w:val="00BE0EC8"/>
    <w:rsid w:val="00BE4892"/>
    <w:rsid w:val="00BE649D"/>
    <w:rsid w:val="00BE72A9"/>
    <w:rsid w:val="00BF13E2"/>
    <w:rsid w:val="00BF249C"/>
    <w:rsid w:val="00BF4361"/>
    <w:rsid w:val="00BF4852"/>
    <w:rsid w:val="00C02217"/>
    <w:rsid w:val="00C044F2"/>
    <w:rsid w:val="00C11C6A"/>
    <w:rsid w:val="00C16A63"/>
    <w:rsid w:val="00C16F7D"/>
    <w:rsid w:val="00C1739F"/>
    <w:rsid w:val="00C17E88"/>
    <w:rsid w:val="00C20A0F"/>
    <w:rsid w:val="00C20CB0"/>
    <w:rsid w:val="00C20EF9"/>
    <w:rsid w:val="00C24F0A"/>
    <w:rsid w:val="00C25337"/>
    <w:rsid w:val="00C307D2"/>
    <w:rsid w:val="00C31A26"/>
    <w:rsid w:val="00C327A5"/>
    <w:rsid w:val="00C32F05"/>
    <w:rsid w:val="00C33F2C"/>
    <w:rsid w:val="00C34377"/>
    <w:rsid w:val="00C34941"/>
    <w:rsid w:val="00C37B14"/>
    <w:rsid w:val="00C40FDA"/>
    <w:rsid w:val="00C44C95"/>
    <w:rsid w:val="00C44E80"/>
    <w:rsid w:val="00C4549D"/>
    <w:rsid w:val="00C45AB4"/>
    <w:rsid w:val="00C47CC8"/>
    <w:rsid w:val="00C5082A"/>
    <w:rsid w:val="00C52C5E"/>
    <w:rsid w:val="00C5549D"/>
    <w:rsid w:val="00C55C2C"/>
    <w:rsid w:val="00C61BDC"/>
    <w:rsid w:val="00C61FF9"/>
    <w:rsid w:val="00C627A2"/>
    <w:rsid w:val="00C65525"/>
    <w:rsid w:val="00C6637E"/>
    <w:rsid w:val="00C7152A"/>
    <w:rsid w:val="00C728A7"/>
    <w:rsid w:val="00C7500F"/>
    <w:rsid w:val="00C751EA"/>
    <w:rsid w:val="00C772EA"/>
    <w:rsid w:val="00C8212B"/>
    <w:rsid w:val="00C83591"/>
    <w:rsid w:val="00C83878"/>
    <w:rsid w:val="00C85068"/>
    <w:rsid w:val="00C86127"/>
    <w:rsid w:val="00C93C55"/>
    <w:rsid w:val="00C95CFC"/>
    <w:rsid w:val="00C97C3E"/>
    <w:rsid w:val="00CA0169"/>
    <w:rsid w:val="00CA0B16"/>
    <w:rsid w:val="00CA0E9F"/>
    <w:rsid w:val="00CA181C"/>
    <w:rsid w:val="00CA34C6"/>
    <w:rsid w:val="00CA4ADF"/>
    <w:rsid w:val="00CA6526"/>
    <w:rsid w:val="00CA7A9C"/>
    <w:rsid w:val="00CA7E59"/>
    <w:rsid w:val="00CB1829"/>
    <w:rsid w:val="00CB19CB"/>
    <w:rsid w:val="00CB204F"/>
    <w:rsid w:val="00CB45B6"/>
    <w:rsid w:val="00CB5D7B"/>
    <w:rsid w:val="00CB6882"/>
    <w:rsid w:val="00CB7A76"/>
    <w:rsid w:val="00CC1D41"/>
    <w:rsid w:val="00CC2408"/>
    <w:rsid w:val="00CC3082"/>
    <w:rsid w:val="00CC76C2"/>
    <w:rsid w:val="00CD40FD"/>
    <w:rsid w:val="00CD4E1C"/>
    <w:rsid w:val="00CE09F6"/>
    <w:rsid w:val="00CE128B"/>
    <w:rsid w:val="00CE46A5"/>
    <w:rsid w:val="00CF05DA"/>
    <w:rsid w:val="00CF370C"/>
    <w:rsid w:val="00CF4D9E"/>
    <w:rsid w:val="00CF50F6"/>
    <w:rsid w:val="00CF5C7C"/>
    <w:rsid w:val="00D0079F"/>
    <w:rsid w:val="00D03BE9"/>
    <w:rsid w:val="00D11E93"/>
    <w:rsid w:val="00D12D69"/>
    <w:rsid w:val="00D12F6E"/>
    <w:rsid w:val="00D215C9"/>
    <w:rsid w:val="00D23D51"/>
    <w:rsid w:val="00D23E53"/>
    <w:rsid w:val="00D24EDC"/>
    <w:rsid w:val="00D277E5"/>
    <w:rsid w:val="00D315BC"/>
    <w:rsid w:val="00D31657"/>
    <w:rsid w:val="00D31FAE"/>
    <w:rsid w:val="00D419F1"/>
    <w:rsid w:val="00D478F2"/>
    <w:rsid w:val="00D50452"/>
    <w:rsid w:val="00D56652"/>
    <w:rsid w:val="00D56DA8"/>
    <w:rsid w:val="00D62CCB"/>
    <w:rsid w:val="00D71175"/>
    <w:rsid w:val="00D7155A"/>
    <w:rsid w:val="00D71706"/>
    <w:rsid w:val="00D7256E"/>
    <w:rsid w:val="00D72F3D"/>
    <w:rsid w:val="00D74282"/>
    <w:rsid w:val="00D74D06"/>
    <w:rsid w:val="00D83021"/>
    <w:rsid w:val="00D94F4A"/>
    <w:rsid w:val="00DA0A55"/>
    <w:rsid w:val="00DA33A5"/>
    <w:rsid w:val="00DA3D82"/>
    <w:rsid w:val="00DA4F89"/>
    <w:rsid w:val="00DA61A3"/>
    <w:rsid w:val="00DA6973"/>
    <w:rsid w:val="00DA775F"/>
    <w:rsid w:val="00DB0477"/>
    <w:rsid w:val="00DB28DC"/>
    <w:rsid w:val="00DB35ED"/>
    <w:rsid w:val="00DB7168"/>
    <w:rsid w:val="00DC0A98"/>
    <w:rsid w:val="00DC1068"/>
    <w:rsid w:val="00DC2009"/>
    <w:rsid w:val="00DC27BB"/>
    <w:rsid w:val="00DC2AFF"/>
    <w:rsid w:val="00DC614F"/>
    <w:rsid w:val="00DD0266"/>
    <w:rsid w:val="00DD21C0"/>
    <w:rsid w:val="00DD42C2"/>
    <w:rsid w:val="00DE01CE"/>
    <w:rsid w:val="00DE0762"/>
    <w:rsid w:val="00DE59F4"/>
    <w:rsid w:val="00DE67FC"/>
    <w:rsid w:val="00DE6A71"/>
    <w:rsid w:val="00DF00C1"/>
    <w:rsid w:val="00DF0637"/>
    <w:rsid w:val="00DF0A7E"/>
    <w:rsid w:val="00DF1A14"/>
    <w:rsid w:val="00DF719B"/>
    <w:rsid w:val="00E03A78"/>
    <w:rsid w:val="00E05E10"/>
    <w:rsid w:val="00E07DF2"/>
    <w:rsid w:val="00E147E0"/>
    <w:rsid w:val="00E20BF7"/>
    <w:rsid w:val="00E22906"/>
    <w:rsid w:val="00E22D5A"/>
    <w:rsid w:val="00E22EBE"/>
    <w:rsid w:val="00E25884"/>
    <w:rsid w:val="00E26AAA"/>
    <w:rsid w:val="00E3385D"/>
    <w:rsid w:val="00E34156"/>
    <w:rsid w:val="00E43842"/>
    <w:rsid w:val="00E44062"/>
    <w:rsid w:val="00E4416C"/>
    <w:rsid w:val="00E51BA8"/>
    <w:rsid w:val="00E51BE9"/>
    <w:rsid w:val="00E52FCD"/>
    <w:rsid w:val="00E54741"/>
    <w:rsid w:val="00E56A1F"/>
    <w:rsid w:val="00E5743D"/>
    <w:rsid w:val="00E62150"/>
    <w:rsid w:val="00E630BE"/>
    <w:rsid w:val="00E6447F"/>
    <w:rsid w:val="00E65F36"/>
    <w:rsid w:val="00E65F64"/>
    <w:rsid w:val="00E671E2"/>
    <w:rsid w:val="00E70B81"/>
    <w:rsid w:val="00E73425"/>
    <w:rsid w:val="00E73C02"/>
    <w:rsid w:val="00E7628E"/>
    <w:rsid w:val="00E77577"/>
    <w:rsid w:val="00E8006C"/>
    <w:rsid w:val="00E90C7E"/>
    <w:rsid w:val="00E921F7"/>
    <w:rsid w:val="00EA2820"/>
    <w:rsid w:val="00EA28BA"/>
    <w:rsid w:val="00EA6137"/>
    <w:rsid w:val="00EB03F5"/>
    <w:rsid w:val="00EB263C"/>
    <w:rsid w:val="00EB3918"/>
    <w:rsid w:val="00EB4862"/>
    <w:rsid w:val="00EC09FD"/>
    <w:rsid w:val="00EC1C10"/>
    <w:rsid w:val="00EC1CD1"/>
    <w:rsid w:val="00EC4103"/>
    <w:rsid w:val="00ED175B"/>
    <w:rsid w:val="00ED29AD"/>
    <w:rsid w:val="00ED377B"/>
    <w:rsid w:val="00ED49F3"/>
    <w:rsid w:val="00ED7556"/>
    <w:rsid w:val="00EE35DE"/>
    <w:rsid w:val="00EE4E64"/>
    <w:rsid w:val="00EE4FC3"/>
    <w:rsid w:val="00EF26A5"/>
    <w:rsid w:val="00EF335B"/>
    <w:rsid w:val="00EF4B50"/>
    <w:rsid w:val="00EF662A"/>
    <w:rsid w:val="00EF6E5B"/>
    <w:rsid w:val="00EF7A99"/>
    <w:rsid w:val="00F017F1"/>
    <w:rsid w:val="00F02F53"/>
    <w:rsid w:val="00F10EB1"/>
    <w:rsid w:val="00F14553"/>
    <w:rsid w:val="00F154DF"/>
    <w:rsid w:val="00F15932"/>
    <w:rsid w:val="00F17FB6"/>
    <w:rsid w:val="00F210C4"/>
    <w:rsid w:val="00F213B5"/>
    <w:rsid w:val="00F22471"/>
    <w:rsid w:val="00F23AB0"/>
    <w:rsid w:val="00F24053"/>
    <w:rsid w:val="00F25271"/>
    <w:rsid w:val="00F25DD3"/>
    <w:rsid w:val="00F26C92"/>
    <w:rsid w:val="00F27161"/>
    <w:rsid w:val="00F33C48"/>
    <w:rsid w:val="00F33E2D"/>
    <w:rsid w:val="00F45FC6"/>
    <w:rsid w:val="00F506B4"/>
    <w:rsid w:val="00F53944"/>
    <w:rsid w:val="00F543D6"/>
    <w:rsid w:val="00F573E5"/>
    <w:rsid w:val="00F64547"/>
    <w:rsid w:val="00F65610"/>
    <w:rsid w:val="00F65DC0"/>
    <w:rsid w:val="00F65EC5"/>
    <w:rsid w:val="00F67545"/>
    <w:rsid w:val="00F73E4D"/>
    <w:rsid w:val="00F768B2"/>
    <w:rsid w:val="00F80221"/>
    <w:rsid w:val="00F81BA5"/>
    <w:rsid w:val="00F82D25"/>
    <w:rsid w:val="00F86F4B"/>
    <w:rsid w:val="00F871BA"/>
    <w:rsid w:val="00F90307"/>
    <w:rsid w:val="00F9294A"/>
    <w:rsid w:val="00F92A3D"/>
    <w:rsid w:val="00F941BC"/>
    <w:rsid w:val="00F97A74"/>
    <w:rsid w:val="00FA2DB4"/>
    <w:rsid w:val="00FA371D"/>
    <w:rsid w:val="00FA6053"/>
    <w:rsid w:val="00FA6507"/>
    <w:rsid w:val="00FA6DB0"/>
    <w:rsid w:val="00FB0E25"/>
    <w:rsid w:val="00FB4555"/>
    <w:rsid w:val="00FC02DA"/>
    <w:rsid w:val="00FC4CC7"/>
    <w:rsid w:val="00FD3BBA"/>
    <w:rsid w:val="00FD4326"/>
    <w:rsid w:val="00FD7D7A"/>
    <w:rsid w:val="00FE2734"/>
    <w:rsid w:val="00FF1D9A"/>
    <w:rsid w:val="00FF3E15"/>
    <w:rsid w:val="00FF4A85"/>
    <w:rsid w:val="00FF5C79"/>
    <w:rsid w:val="00FF7B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pPr>
      <w:spacing w:after="0" w:line="240" w:lineRule="auto"/>
    </w:pPr>
    <w:rPr>
      <w:rFonts w:eastAsia="Calibri"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rsid w:val="00B74BCA"/>
    <w:rPr>
      <w:color w:val="0000FF"/>
      <w:u w:val="single"/>
    </w:rPr>
  </w:style>
  <w:style w:type="paragraph" w:customStyle="1" w:styleId="Default">
    <w:name w:val="Default"/>
    <w:rsid w:val="00CA0169"/>
    <w:pPr>
      <w:autoSpaceDE w:val="0"/>
      <w:autoSpaceDN w:val="0"/>
      <w:adjustRightInd w:val="0"/>
      <w:spacing w:after="0" w:line="240" w:lineRule="auto"/>
    </w:pPr>
    <w:rPr>
      <w:rFonts w:cs="Times New Roman"/>
      <w:color w:val="000000"/>
      <w:szCs w:val="24"/>
    </w:rPr>
  </w:style>
  <w:style w:type="character" w:styleId="Emphasis">
    <w:name w:val="Emphasis"/>
    <w:basedOn w:val="DefaultParagraphFont"/>
    <w:uiPriority w:val="20"/>
    <w:qFormat/>
    <w:rsid w:val="00855B83"/>
    <w:rPr>
      <w:i/>
      <w:iCs/>
    </w:rPr>
  </w:style>
  <w:style w:type="paragraph" w:styleId="NormalWeb">
    <w:name w:val="Normal (Web)"/>
    <w:basedOn w:val="Normal"/>
    <w:rsid w:val="00DC2AFF"/>
    <w:pPr>
      <w:spacing w:before="100" w:beforeAutospacing="1" w:after="100" w:afterAutospacing="1"/>
    </w:pPr>
    <w:rPr>
      <w:rFonts w:eastAsia="Arial Unicode MS"/>
      <w:sz w:val="24"/>
      <w:szCs w:val="24"/>
      <w:lang w:val="en-GB"/>
    </w:rPr>
  </w:style>
  <w:style w:type="paragraph" w:customStyle="1" w:styleId="Vstulesdatumsunnumurs">
    <w:name w:val="Vçstules datums un numurs"/>
    <w:basedOn w:val="Normal"/>
    <w:next w:val="EnvelopeAddress"/>
    <w:rsid w:val="00E43842"/>
    <w:pPr>
      <w:keepNext/>
      <w:keepLines/>
      <w:widowControl w:val="0"/>
      <w:suppressAutoHyphens/>
      <w:spacing w:before="60" w:after="60"/>
      <w:ind w:right="4820"/>
    </w:pPr>
    <w:rPr>
      <w:rFonts w:eastAsia="Times New Roman"/>
      <w:sz w:val="26"/>
    </w:rPr>
  </w:style>
  <w:style w:type="paragraph" w:styleId="EnvelopeAddress">
    <w:name w:val="envelope address"/>
    <w:basedOn w:val="Normal"/>
    <w:uiPriority w:val="99"/>
    <w:semiHidden/>
    <w:unhideWhenUsed/>
    <w:rsid w:val="00E4384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vision">
    <w:name w:val="Revision"/>
    <w:hidden/>
    <w:uiPriority w:val="99"/>
    <w:semiHidden/>
    <w:rsid w:val="00131980"/>
    <w:pPr>
      <w:spacing w:after="0" w:line="240" w:lineRule="auto"/>
    </w:pPr>
    <w:rPr>
      <w:rFonts w:eastAsia="Calibri" w:cs="Times New Roman"/>
      <w:sz w:val="20"/>
      <w:szCs w:val="20"/>
      <w:lang w:val="en-AU"/>
    </w:rPr>
  </w:style>
  <w:style w:type="paragraph" w:styleId="ListBullet">
    <w:name w:val="List Bullet"/>
    <w:basedOn w:val="Normal"/>
    <w:uiPriority w:val="99"/>
    <w:unhideWhenUsed/>
    <w:rsid w:val="00530DE8"/>
    <w:pPr>
      <w:numPr>
        <w:numId w:val="8"/>
      </w:numPr>
      <w:contextualSpacing/>
    </w:pPr>
  </w:style>
  <w:style w:type="paragraph" w:styleId="BodyText2">
    <w:name w:val="Body Text 2"/>
    <w:basedOn w:val="Normal"/>
    <w:link w:val="BodyText2Char"/>
    <w:uiPriority w:val="99"/>
    <w:semiHidden/>
    <w:unhideWhenUsed/>
    <w:rsid w:val="002A58FD"/>
    <w:pPr>
      <w:spacing w:after="120" w:line="480" w:lineRule="auto"/>
    </w:pPr>
  </w:style>
  <w:style w:type="character" w:customStyle="1" w:styleId="BodyText2Char">
    <w:name w:val="Body Text 2 Char"/>
    <w:basedOn w:val="DefaultParagraphFont"/>
    <w:link w:val="BodyText2"/>
    <w:uiPriority w:val="99"/>
    <w:semiHidden/>
    <w:rsid w:val="002A58FD"/>
    <w:rPr>
      <w:rFonts w:eastAsia="Calibri" w:cs="Times New Roman"/>
      <w:sz w:val="20"/>
      <w:szCs w:val="20"/>
      <w:lang w:val="en-AU"/>
    </w:rPr>
  </w:style>
  <w:style w:type="character" w:styleId="CommentReference">
    <w:name w:val="annotation reference"/>
    <w:basedOn w:val="DefaultParagraphFont"/>
    <w:uiPriority w:val="99"/>
    <w:semiHidden/>
    <w:unhideWhenUsed/>
    <w:rsid w:val="00BC335E"/>
    <w:rPr>
      <w:sz w:val="16"/>
      <w:szCs w:val="16"/>
    </w:rPr>
  </w:style>
  <w:style w:type="paragraph" w:styleId="CommentText">
    <w:name w:val="annotation text"/>
    <w:basedOn w:val="Normal"/>
    <w:link w:val="CommentTextChar"/>
    <w:uiPriority w:val="99"/>
    <w:semiHidden/>
    <w:unhideWhenUsed/>
    <w:rsid w:val="00BC335E"/>
  </w:style>
  <w:style w:type="character" w:customStyle="1" w:styleId="CommentTextChar">
    <w:name w:val="Comment Text Char"/>
    <w:basedOn w:val="DefaultParagraphFont"/>
    <w:link w:val="CommentText"/>
    <w:uiPriority w:val="99"/>
    <w:semiHidden/>
    <w:rsid w:val="00BC335E"/>
    <w:rPr>
      <w:rFonts w:eastAsia="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BC335E"/>
    <w:rPr>
      <w:b/>
      <w:bCs/>
    </w:rPr>
  </w:style>
  <w:style w:type="character" w:customStyle="1" w:styleId="CommentSubjectChar">
    <w:name w:val="Comment Subject Char"/>
    <w:basedOn w:val="CommentTextChar"/>
    <w:link w:val="CommentSubject"/>
    <w:uiPriority w:val="99"/>
    <w:semiHidden/>
    <w:rsid w:val="00BC335E"/>
    <w:rPr>
      <w:rFonts w:eastAsia="Calibri" w:cs="Times New Roman"/>
      <w:b/>
      <w:bCs/>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pPr>
      <w:spacing w:after="0" w:line="240" w:lineRule="auto"/>
    </w:pPr>
    <w:rPr>
      <w:rFonts w:eastAsia="Calibri"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rsid w:val="00B74BCA"/>
    <w:rPr>
      <w:color w:val="0000FF"/>
      <w:u w:val="single"/>
    </w:rPr>
  </w:style>
  <w:style w:type="paragraph" w:customStyle="1" w:styleId="Default">
    <w:name w:val="Default"/>
    <w:rsid w:val="00CA0169"/>
    <w:pPr>
      <w:autoSpaceDE w:val="0"/>
      <w:autoSpaceDN w:val="0"/>
      <w:adjustRightInd w:val="0"/>
      <w:spacing w:after="0" w:line="240" w:lineRule="auto"/>
    </w:pPr>
    <w:rPr>
      <w:rFonts w:cs="Times New Roman"/>
      <w:color w:val="000000"/>
      <w:szCs w:val="24"/>
    </w:rPr>
  </w:style>
  <w:style w:type="character" w:styleId="Emphasis">
    <w:name w:val="Emphasis"/>
    <w:basedOn w:val="DefaultParagraphFont"/>
    <w:uiPriority w:val="20"/>
    <w:qFormat/>
    <w:rsid w:val="00855B83"/>
    <w:rPr>
      <w:i/>
      <w:iCs/>
    </w:rPr>
  </w:style>
  <w:style w:type="paragraph" w:styleId="NormalWeb">
    <w:name w:val="Normal (Web)"/>
    <w:basedOn w:val="Normal"/>
    <w:rsid w:val="00DC2AFF"/>
    <w:pPr>
      <w:spacing w:before="100" w:beforeAutospacing="1" w:after="100" w:afterAutospacing="1"/>
    </w:pPr>
    <w:rPr>
      <w:rFonts w:eastAsia="Arial Unicode MS"/>
      <w:sz w:val="24"/>
      <w:szCs w:val="24"/>
      <w:lang w:val="en-GB"/>
    </w:rPr>
  </w:style>
  <w:style w:type="paragraph" w:customStyle="1" w:styleId="Vstulesdatumsunnumurs">
    <w:name w:val="Vçstules datums un numurs"/>
    <w:basedOn w:val="Normal"/>
    <w:next w:val="EnvelopeAddress"/>
    <w:rsid w:val="00E43842"/>
    <w:pPr>
      <w:keepNext/>
      <w:keepLines/>
      <w:widowControl w:val="0"/>
      <w:suppressAutoHyphens/>
      <w:spacing w:before="60" w:after="60"/>
      <w:ind w:right="4820"/>
    </w:pPr>
    <w:rPr>
      <w:rFonts w:eastAsia="Times New Roman"/>
      <w:sz w:val="26"/>
    </w:rPr>
  </w:style>
  <w:style w:type="paragraph" w:styleId="EnvelopeAddress">
    <w:name w:val="envelope address"/>
    <w:basedOn w:val="Normal"/>
    <w:uiPriority w:val="99"/>
    <w:semiHidden/>
    <w:unhideWhenUsed/>
    <w:rsid w:val="00E4384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vision">
    <w:name w:val="Revision"/>
    <w:hidden/>
    <w:uiPriority w:val="99"/>
    <w:semiHidden/>
    <w:rsid w:val="00131980"/>
    <w:pPr>
      <w:spacing w:after="0" w:line="240" w:lineRule="auto"/>
    </w:pPr>
    <w:rPr>
      <w:rFonts w:eastAsia="Calibri" w:cs="Times New Roman"/>
      <w:sz w:val="20"/>
      <w:szCs w:val="20"/>
      <w:lang w:val="en-AU"/>
    </w:rPr>
  </w:style>
  <w:style w:type="paragraph" w:styleId="ListBullet">
    <w:name w:val="List Bullet"/>
    <w:basedOn w:val="Normal"/>
    <w:uiPriority w:val="99"/>
    <w:unhideWhenUsed/>
    <w:rsid w:val="00530DE8"/>
    <w:pPr>
      <w:numPr>
        <w:numId w:val="8"/>
      </w:numPr>
      <w:contextualSpacing/>
    </w:pPr>
  </w:style>
  <w:style w:type="paragraph" w:styleId="BodyText2">
    <w:name w:val="Body Text 2"/>
    <w:basedOn w:val="Normal"/>
    <w:link w:val="BodyText2Char"/>
    <w:uiPriority w:val="99"/>
    <w:semiHidden/>
    <w:unhideWhenUsed/>
    <w:rsid w:val="002A58FD"/>
    <w:pPr>
      <w:spacing w:after="120" w:line="480" w:lineRule="auto"/>
    </w:pPr>
  </w:style>
  <w:style w:type="character" w:customStyle="1" w:styleId="BodyText2Char">
    <w:name w:val="Body Text 2 Char"/>
    <w:basedOn w:val="DefaultParagraphFont"/>
    <w:link w:val="BodyText2"/>
    <w:uiPriority w:val="99"/>
    <w:semiHidden/>
    <w:rsid w:val="002A58FD"/>
    <w:rPr>
      <w:rFonts w:eastAsia="Calibri" w:cs="Times New Roman"/>
      <w:sz w:val="20"/>
      <w:szCs w:val="20"/>
      <w:lang w:val="en-AU"/>
    </w:rPr>
  </w:style>
  <w:style w:type="character" w:styleId="CommentReference">
    <w:name w:val="annotation reference"/>
    <w:basedOn w:val="DefaultParagraphFont"/>
    <w:uiPriority w:val="99"/>
    <w:semiHidden/>
    <w:unhideWhenUsed/>
    <w:rsid w:val="00BC335E"/>
    <w:rPr>
      <w:sz w:val="16"/>
      <w:szCs w:val="16"/>
    </w:rPr>
  </w:style>
  <w:style w:type="paragraph" w:styleId="CommentText">
    <w:name w:val="annotation text"/>
    <w:basedOn w:val="Normal"/>
    <w:link w:val="CommentTextChar"/>
    <w:uiPriority w:val="99"/>
    <w:semiHidden/>
    <w:unhideWhenUsed/>
    <w:rsid w:val="00BC335E"/>
  </w:style>
  <w:style w:type="character" w:customStyle="1" w:styleId="CommentTextChar">
    <w:name w:val="Comment Text Char"/>
    <w:basedOn w:val="DefaultParagraphFont"/>
    <w:link w:val="CommentText"/>
    <w:uiPriority w:val="99"/>
    <w:semiHidden/>
    <w:rsid w:val="00BC335E"/>
    <w:rPr>
      <w:rFonts w:eastAsia="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BC335E"/>
    <w:rPr>
      <w:b/>
      <w:bCs/>
    </w:rPr>
  </w:style>
  <w:style w:type="character" w:customStyle="1" w:styleId="CommentSubjectChar">
    <w:name w:val="Comment Subject Char"/>
    <w:basedOn w:val="CommentTextChar"/>
    <w:link w:val="CommentSubject"/>
    <w:uiPriority w:val="99"/>
    <w:semiHidden/>
    <w:rsid w:val="00BC335E"/>
    <w:rPr>
      <w:rFonts w:eastAsia="Calibri" w:cs="Times New Roman"/>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46769">
      <w:bodyDiv w:val="1"/>
      <w:marLeft w:val="0"/>
      <w:marRight w:val="0"/>
      <w:marTop w:val="0"/>
      <w:marBottom w:val="0"/>
      <w:divBdr>
        <w:top w:val="none" w:sz="0" w:space="0" w:color="auto"/>
        <w:left w:val="none" w:sz="0" w:space="0" w:color="auto"/>
        <w:bottom w:val="none" w:sz="0" w:space="0" w:color="auto"/>
        <w:right w:val="none" w:sz="0" w:space="0" w:color="auto"/>
      </w:divBdr>
    </w:div>
    <w:div w:id="203371814">
      <w:bodyDiv w:val="1"/>
      <w:marLeft w:val="0"/>
      <w:marRight w:val="0"/>
      <w:marTop w:val="0"/>
      <w:marBottom w:val="0"/>
      <w:divBdr>
        <w:top w:val="none" w:sz="0" w:space="0" w:color="auto"/>
        <w:left w:val="none" w:sz="0" w:space="0" w:color="auto"/>
        <w:bottom w:val="none" w:sz="0" w:space="0" w:color="auto"/>
        <w:right w:val="none" w:sz="0" w:space="0" w:color="auto"/>
      </w:divBdr>
    </w:div>
    <w:div w:id="570428983">
      <w:bodyDiv w:val="1"/>
      <w:marLeft w:val="0"/>
      <w:marRight w:val="0"/>
      <w:marTop w:val="0"/>
      <w:marBottom w:val="0"/>
      <w:divBdr>
        <w:top w:val="none" w:sz="0" w:space="0" w:color="auto"/>
        <w:left w:val="none" w:sz="0" w:space="0" w:color="auto"/>
        <w:bottom w:val="none" w:sz="0" w:space="0" w:color="auto"/>
        <w:right w:val="none" w:sz="0" w:space="0" w:color="auto"/>
      </w:divBdr>
    </w:div>
    <w:div w:id="1153327934">
      <w:bodyDiv w:val="1"/>
      <w:marLeft w:val="0"/>
      <w:marRight w:val="0"/>
      <w:marTop w:val="0"/>
      <w:marBottom w:val="0"/>
      <w:divBdr>
        <w:top w:val="none" w:sz="0" w:space="0" w:color="auto"/>
        <w:left w:val="none" w:sz="0" w:space="0" w:color="auto"/>
        <w:bottom w:val="none" w:sz="0" w:space="0" w:color="auto"/>
        <w:right w:val="none" w:sz="0" w:space="0" w:color="auto"/>
      </w:divBdr>
    </w:div>
    <w:div w:id="1220093701">
      <w:bodyDiv w:val="1"/>
      <w:marLeft w:val="0"/>
      <w:marRight w:val="0"/>
      <w:marTop w:val="0"/>
      <w:marBottom w:val="0"/>
      <w:divBdr>
        <w:top w:val="none" w:sz="0" w:space="0" w:color="auto"/>
        <w:left w:val="none" w:sz="0" w:space="0" w:color="auto"/>
        <w:bottom w:val="none" w:sz="0" w:space="0" w:color="auto"/>
        <w:right w:val="none" w:sz="0" w:space="0" w:color="auto"/>
      </w:divBdr>
    </w:div>
    <w:div w:id="1514033673">
      <w:bodyDiv w:val="1"/>
      <w:marLeft w:val="0"/>
      <w:marRight w:val="0"/>
      <w:marTop w:val="0"/>
      <w:marBottom w:val="0"/>
      <w:divBdr>
        <w:top w:val="none" w:sz="0" w:space="0" w:color="auto"/>
        <w:left w:val="none" w:sz="0" w:space="0" w:color="auto"/>
        <w:bottom w:val="none" w:sz="0" w:space="0" w:color="auto"/>
        <w:right w:val="none" w:sz="0" w:space="0" w:color="auto"/>
      </w:divBdr>
    </w:div>
    <w:div w:id="166192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ga.Micule@e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C29E1-3311-4BA4-A147-14E5AEE0A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22</Pages>
  <Words>4044</Words>
  <Characters>28962</Characters>
  <Application>Microsoft Office Word</Application>
  <DocSecurity>0</DocSecurity>
  <Lines>1448</Lines>
  <Paragraphs>333</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2009.gada 17.februāra noteikumos Nr.162 „Noteikumi par darbības programmas „Infrastruktūra un pakalpojumi” papildinājuma 3.5.2.1.1.apakšaktivitātes „Pasākumi centralizētās siltumapgādes sis</vt:lpstr>
    </vt:vector>
  </TitlesOfParts>
  <Company>LR Ekonomikas ministrija</Company>
  <LinksUpToDate>false</LinksUpToDate>
  <CharactersWithSpaces>32673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2009.gada 17.februāra noteikumos Nr.162 „Noteikumi par darbības programmas „Infrastruktūra un pakalpojumi” papildinājuma 3.5.2.1.1.apakšaktivitātes „Pasākumi centralizētās siltumapgādes sistēmu efektivitātes paaugstināšanai” projektu iesniegumu atlases pirmo kārtu”” sākotnējās ietekmes novērtējuma ziņojums (anotācija)</dc:title>
  <dc:subject>Ministru kabineta noteikumu projekta sākotnējās ietekmes novērtējuma ziņojums (anotācija)</dc:subject>
  <dc:creator>Līga Mičule</dc:creator>
  <dc:description>67013093, Liga.Micule@em.gov.lv</dc:description>
  <cp:lastModifiedBy>Līga Mičule</cp:lastModifiedBy>
  <cp:revision>26</cp:revision>
  <cp:lastPrinted>2011-09-08T09:07:00Z</cp:lastPrinted>
  <dcterms:created xsi:type="dcterms:W3CDTF">2013-10-20T13:12:00Z</dcterms:created>
  <dcterms:modified xsi:type="dcterms:W3CDTF">2013-10-25T13:14:00Z</dcterms:modified>
</cp:coreProperties>
</file>