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6CE" w:rsidRPr="003D12AB" w:rsidRDefault="005526CE" w:rsidP="00540F96">
      <w:pPr>
        <w:spacing w:after="0" w:line="240" w:lineRule="auto"/>
        <w:jc w:val="center"/>
        <w:rPr>
          <w:rFonts w:ascii="Times New Roman" w:hAnsi="Times New Roman"/>
          <w:b/>
          <w:sz w:val="24"/>
        </w:rPr>
      </w:pPr>
      <w:bookmarkStart w:id="0" w:name="OLE_LINK4"/>
      <w:bookmarkStart w:id="1" w:name="OLE_LINK5"/>
      <w:bookmarkStart w:id="2" w:name="OLE_LINK1"/>
      <w:bookmarkStart w:id="3" w:name="OLE_LINK2"/>
      <w:bookmarkStart w:id="4" w:name="_GoBack"/>
      <w:bookmarkEnd w:id="4"/>
      <w:r w:rsidRPr="003D12AB">
        <w:rPr>
          <w:rFonts w:ascii="Times New Roman" w:hAnsi="Times New Roman"/>
          <w:b/>
          <w:sz w:val="24"/>
        </w:rPr>
        <w:t>Likumprojekta „</w:t>
      </w:r>
      <w:r w:rsidR="004910CA">
        <w:rPr>
          <w:rFonts w:ascii="Times New Roman" w:hAnsi="Times New Roman"/>
          <w:b/>
          <w:sz w:val="24"/>
        </w:rPr>
        <w:t xml:space="preserve">Grozījumi Enerģētikas </w:t>
      </w:r>
      <w:r w:rsidR="00756762" w:rsidRPr="00756762">
        <w:rPr>
          <w:rFonts w:ascii="Times New Roman" w:hAnsi="Times New Roman"/>
          <w:b/>
          <w:sz w:val="24"/>
        </w:rPr>
        <w:t>likumā</w:t>
      </w:r>
      <w:r w:rsidRPr="003D12AB">
        <w:rPr>
          <w:rFonts w:ascii="Times New Roman" w:hAnsi="Times New Roman"/>
          <w:b/>
          <w:sz w:val="24"/>
        </w:rPr>
        <w:t>” sākotnējās ietekmes novērtējuma ziņojums (anotācija)</w:t>
      </w:r>
      <w:bookmarkEnd w:id="0"/>
      <w:bookmarkEnd w:id="1"/>
    </w:p>
    <w:tbl>
      <w:tblPr>
        <w:tblpPr w:leftFromText="180" w:rightFromText="180" w:vertAnchor="text" w:horzAnchor="margin" w:tblpXSpec="center" w:tblpY="14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141"/>
        <w:gridCol w:w="6379"/>
      </w:tblGrid>
      <w:tr w:rsidR="003D12AB" w:rsidRPr="003D12AB" w:rsidTr="00E4553F">
        <w:tc>
          <w:tcPr>
            <w:tcW w:w="10070" w:type="dxa"/>
            <w:gridSpan w:val="3"/>
            <w:vAlign w:val="center"/>
          </w:tcPr>
          <w:bookmarkEnd w:id="2"/>
          <w:bookmarkEnd w:id="3"/>
          <w:p w:rsidR="005526CE" w:rsidRPr="003D12AB" w:rsidRDefault="005526CE" w:rsidP="00A0154D">
            <w:pPr>
              <w:pStyle w:val="naisnod"/>
              <w:spacing w:before="0" w:after="0"/>
              <w:rPr>
                <w:sz w:val="22"/>
                <w:szCs w:val="22"/>
              </w:rPr>
            </w:pPr>
            <w:r w:rsidRPr="003D12AB">
              <w:rPr>
                <w:sz w:val="22"/>
                <w:szCs w:val="22"/>
              </w:rPr>
              <w:t>I. Tiesību akta projekta izstrādes nepieciešamība</w:t>
            </w:r>
          </w:p>
        </w:tc>
      </w:tr>
      <w:tr w:rsidR="003D12AB" w:rsidRPr="003D12AB" w:rsidTr="00A759FA">
        <w:trPr>
          <w:trHeight w:val="580"/>
        </w:trPr>
        <w:tc>
          <w:tcPr>
            <w:tcW w:w="550" w:type="dxa"/>
          </w:tcPr>
          <w:p w:rsidR="005526CE" w:rsidRPr="003D12AB" w:rsidRDefault="005526CE" w:rsidP="00A0154D">
            <w:pPr>
              <w:pStyle w:val="naiskr"/>
              <w:spacing w:before="0" w:after="0"/>
              <w:rPr>
                <w:sz w:val="22"/>
                <w:szCs w:val="22"/>
              </w:rPr>
            </w:pPr>
            <w:r w:rsidRPr="003D12AB">
              <w:rPr>
                <w:sz w:val="22"/>
                <w:szCs w:val="22"/>
              </w:rPr>
              <w:t>1.</w:t>
            </w:r>
          </w:p>
        </w:tc>
        <w:tc>
          <w:tcPr>
            <w:tcW w:w="3141" w:type="dxa"/>
          </w:tcPr>
          <w:p w:rsidR="005526CE" w:rsidRPr="003D12AB" w:rsidRDefault="005526CE" w:rsidP="00A0154D">
            <w:pPr>
              <w:pStyle w:val="naiskr"/>
              <w:spacing w:before="0" w:after="0"/>
              <w:ind w:hanging="10"/>
              <w:rPr>
                <w:sz w:val="22"/>
                <w:szCs w:val="22"/>
              </w:rPr>
            </w:pPr>
            <w:r w:rsidRPr="003D12AB">
              <w:rPr>
                <w:sz w:val="22"/>
                <w:szCs w:val="22"/>
              </w:rPr>
              <w:t>Pamatojums</w:t>
            </w:r>
          </w:p>
          <w:p w:rsidR="005526CE" w:rsidRPr="003D12AB" w:rsidRDefault="005526CE" w:rsidP="00E4553F">
            <w:pPr>
              <w:rPr>
                <w:lang w:eastAsia="lv-LV"/>
              </w:rPr>
            </w:pPr>
          </w:p>
        </w:tc>
        <w:tc>
          <w:tcPr>
            <w:tcW w:w="6379" w:type="dxa"/>
          </w:tcPr>
          <w:p w:rsidR="005526CE" w:rsidRDefault="00BE0668" w:rsidP="00641BF6">
            <w:pPr>
              <w:pStyle w:val="naiskr"/>
              <w:spacing w:before="0" w:after="120"/>
              <w:jc w:val="both"/>
              <w:rPr>
                <w:sz w:val="22"/>
                <w:szCs w:val="22"/>
              </w:rPr>
            </w:pPr>
            <w:r>
              <w:rPr>
                <w:sz w:val="22"/>
                <w:szCs w:val="22"/>
              </w:rPr>
              <w:t>Likumprojekts izstrādāts, pamatojoties uz Ministru kabineta 2013.gada 19.marta sēd</w:t>
            </w:r>
            <w:r w:rsidR="009B1BA9">
              <w:rPr>
                <w:sz w:val="22"/>
                <w:szCs w:val="22"/>
              </w:rPr>
              <w:t>ē</w:t>
            </w:r>
            <w:r>
              <w:rPr>
                <w:sz w:val="22"/>
                <w:szCs w:val="22"/>
              </w:rPr>
              <w:t xml:space="preserve"> lemto (protokols Nr.15, 60.§, 2.punkts)</w:t>
            </w:r>
            <w:r w:rsidR="00641BF6">
              <w:rPr>
                <w:sz w:val="22"/>
                <w:szCs w:val="22"/>
              </w:rPr>
              <w:t>.</w:t>
            </w:r>
          </w:p>
          <w:p w:rsidR="00BE0668" w:rsidRPr="00BE0668" w:rsidRDefault="00641BF6" w:rsidP="00641BF6">
            <w:pPr>
              <w:pStyle w:val="naiskr"/>
              <w:spacing w:before="0" w:after="0"/>
              <w:jc w:val="both"/>
              <w:rPr>
                <w:sz w:val="22"/>
                <w:szCs w:val="22"/>
              </w:rPr>
            </w:pPr>
            <w:r w:rsidRPr="00641BF6">
              <w:rPr>
                <w:sz w:val="22"/>
                <w:szCs w:val="22"/>
              </w:rPr>
              <w:t xml:space="preserve">Eiropas Parlamenta un Padomes regulas Nr.1227/2011 par enerģijas </w:t>
            </w:r>
            <w:proofErr w:type="spellStart"/>
            <w:r w:rsidRPr="00641BF6">
              <w:rPr>
                <w:sz w:val="22"/>
                <w:szCs w:val="22"/>
              </w:rPr>
              <w:t>vairumtirgus</w:t>
            </w:r>
            <w:proofErr w:type="spellEnd"/>
            <w:r w:rsidRPr="00641BF6">
              <w:rPr>
                <w:sz w:val="22"/>
                <w:szCs w:val="22"/>
              </w:rPr>
              <w:t xml:space="preserve"> integritāti un </w:t>
            </w:r>
            <w:proofErr w:type="spellStart"/>
            <w:r w:rsidRPr="00641BF6">
              <w:rPr>
                <w:sz w:val="22"/>
                <w:szCs w:val="22"/>
              </w:rPr>
              <w:t>pārredzamību</w:t>
            </w:r>
            <w:proofErr w:type="spellEnd"/>
            <w:r w:rsidRPr="00641BF6">
              <w:rPr>
                <w:sz w:val="22"/>
                <w:szCs w:val="22"/>
              </w:rPr>
              <w:t xml:space="preserve"> (turpmāk – REMIT) 18.pantā ir noteikts, ka dalībvalstis izstrādā noteikumus par sankcijām, ko piemēro par šīs regulas pārkāpumiem, un veic visus vajadzīgos pasākumus, lai nodrošinātu to īstenošanu. Paredzētajām sankcijām ir jābūt iedarbīgām, atturošām un samērīgām, atspoguļojot pārkāpuma veidu, ilgumu un smagumu, kaitējumu patērētājiem un iespējamos ieguvumus no tirdzniecības, kas veikta, pamatojoties uz iekšējo informāciju un tirgus manipulāciju. Ne vēlāk kā līdz 2013.gada 29.jūnijam dalībvalstīm ir jāinformē Eiropas Komisiju par minētajiem noteikumiem.</w:t>
            </w:r>
          </w:p>
        </w:tc>
      </w:tr>
      <w:tr w:rsidR="003D12AB" w:rsidRPr="003D12AB" w:rsidTr="00A759FA">
        <w:trPr>
          <w:trHeight w:val="1691"/>
        </w:trPr>
        <w:tc>
          <w:tcPr>
            <w:tcW w:w="550" w:type="dxa"/>
          </w:tcPr>
          <w:p w:rsidR="005526CE" w:rsidRPr="003D12AB" w:rsidRDefault="005526CE" w:rsidP="00A0154D">
            <w:pPr>
              <w:pStyle w:val="naiskr"/>
              <w:spacing w:before="0" w:after="0"/>
              <w:rPr>
                <w:sz w:val="22"/>
                <w:szCs w:val="22"/>
              </w:rPr>
            </w:pPr>
            <w:r w:rsidRPr="003D12AB">
              <w:rPr>
                <w:sz w:val="22"/>
                <w:szCs w:val="22"/>
              </w:rPr>
              <w:t>2.</w:t>
            </w:r>
          </w:p>
        </w:tc>
        <w:tc>
          <w:tcPr>
            <w:tcW w:w="3141" w:type="dxa"/>
          </w:tcPr>
          <w:p w:rsidR="005526CE" w:rsidRPr="00BE0668" w:rsidRDefault="005526CE" w:rsidP="00A0154D">
            <w:pPr>
              <w:pStyle w:val="naiskr"/>
              <w:tabs>
                <w:tab w:val="left" w:pos="170"/>
              </w:tabs>
              <w:spacing w:before="0" w:after="0"/>
              <w:rPr>
                <w:sz w:val="22"/>
                <w:szCs w:val="22"/>
              </w:rPr>
            </w:pPr>
            <w:r w:rsidRPr="00BE0668">
              <w:rPr>
                <w:sz w:val="22"/>
                <w:szCs w:val="22"/>
              </w:rPr>
              <w:t>Pašreizējā situācija un problēmas</w:t>
            </w:r>
          </w:p>
        </w:tc>
        <w:tc>
          <w:tcPr>
            <w:tcW w:w="6379" w:type="dxa"/>
          </w:tcPr>
          <w:p w:rsidR="00BE0668" w:rsidRPr="00BE0668" w:rsidRDefault="00BE0668" w:rsidP="00BE0668">
            <w:pPr>
              <w:suppressAutoHyphens/>
              <w:spacing w:after="0" w:line="240" w:lineRule="auto"/>
              <w:jc w:val="both"/>
              <w:rPr>
                <w:rFonts w:ascii="Times New Roman" w:hAnsi="Times New Roman"/>
              </w:rPr>
            </w:pPr>
            <w:r w:rsidRPr="00BE0668">
              <w:rPr>
                <w:rFonts w:ascii="Times New Roman" w:hAnsi="Times New Roman"/>
              </w:rPr>
              <w:t xml:space="preserve">Pašlaik Latvijas dabasgāzes tirgū darbojas viens vertikāli integrēts uzņēmums – AS „Latvijas Gāze“, kas nodrošina dabasgāzes iepirkšanu, uzglabāšanu, pārvadi, sadali un tirdzniecību. Latvijas dabasgāzes apgādes sistēma nav savienota ar citu ES dalībvalstu, izņemot Lietuvu un Igauniju, sistēmām, un Latvijai ir tikai viens dabasgāzes piegādātājs – Krievija. Pašreizējā infrastruktūra un dabasgāzes nozares darbības nosacījumi Krievijā izslēdz citas dabasgāzes piegādes iespējas Latvijai. </w:t>
            </w:r>
          </w:p>
          <w:p w:rsidR="00BE0668" w:rsidRPr="00BE0668" w:rsidRDefault="00BE0668" w:rsidP="00BE0668">
            <w:pPr>
              <w:suppressAutoHyphens/>
              <w:spacing w:after="0" w:line="240" w:lineRule="auto"/>
              <w:jc w:val="both"/>
              <w:rPr>
                <w:rFonts w:ascii="Times New Roman" w:hAnsi="Times New Roman"/>
              </w:rPr>
            </w:pPr>
          </w:p>
          <w:p w:rsidR="00BE0668" w:rsidRPr="00BE0668" w:rsidRDefault="00BE0668" w:rsidP="0034734D">
            <w:pPr>
              <w:autoSpaceDE w:val="0"/>
              <w:autoSpaceDN w:val="0"/>
              <w:adjustRightInd w:val="0"/>
              <w:spacing w:after="120" w:line="240" w:lineRule="auto"/>
              <w:jc w:val="both"/>
              <w:rPr>
                <w:rFonts w:ascii="EUAlbertina" w:hAnsi="EUAlbertina" w:cs="EUAlbertina"/>
                <w:color w:val="000000"/>
                <w:sz w:val="24"/>
                <w:szCs w:val="24"/>
              </w:rPr>
            </w:pPr>
            <w:r w:rsidRPr="00BE0668">
              <w:rPr>
                <w:rFonts w:ascii="Times New Roman" w:hAnsi="Times New Roman" w:cs="EUAlbertina"/>
                <w:color w:val="000000"/>
              </w:rPr>
              <w:t>Latvijai kā Eiropas Savienības dalībvalstij ir saistošas Eiropas Savienības normatīvo aktu prasības. Viena no prasībām ir izveidot vienotu enerģijas tirgu kopienas ietvaros. Lai sasniegtu šo mērķi, Eiropas Savienība (ES) ir pieņēmusi vairākas direktīvas funkcionēj</w:t>
            </w:r>
            <w:r w:rsidR="00853FD9">
              <w:rPr>
                <w:rFonts w:ascii="Times New Roman" w:hAnsi="Times New Roman" w:cs="EUAlbertina"/>
                <w:color w:val="000000"/>
              </w:rPr>
              <w:t>o</w:t>
            </w:r>
            <w:r w:rsidRPr="00BE0668">
              <w:rPr>
                <w:rFonts w:ascii="Times New Roman" w:hAnsi="Times New Roman" w:cs="EUAlbertina"/>
                <w:color w:val="000000"/>
              </w:rPr>
              <w:t xml:space="preserve">ša gāzes tirgus nodibināšanai. </w:t>
            </w:r>
          </w:p>
          <w:p w:rsidR="00950AE6" w:rsidRDefault="00950AE6" w:rsidP="00950AE6">
            <w:pPr>
              <w:suppressAutoHyphens/>
              <w:spacing w:after="0" w:line="240" w:lineRule="auto"/>
              <w:jc w:val="both"/>
              <w:rPr>
                <w:rFonts w:ascii="Times New Roman" w:hAnsi="Times New Roman"/>
              </w:rPr>
            </w:pPr>
            <w:r>
              <w:rPr>
                <w:rFonts w:ascii="Times New Roman" w:hAnsi="Times New Roman"/>
              </w:rPr>
              <w:t>2009.gadā</w:t>
            </w:r>
            <w:r w:rsidR="00BE0668" w:rsidRPr="00BE0668">
              <w:rPr>
                <w:rFonts w:ascii="Times New Roman" w:hAnsi="Times New Roman"/>
              </w:rPr>
              <w:t xml:space="preserve"> notika ES tiesiskā regulējuma maiņa, jo stājās spēkā Direktīva 2009/73/EK, kas atceļ Direktīvu 2003/55/EK par kopīgiem noteikumiem attiecībā uz dabasgāzes iekšējo tirgu</w:t>
            </w:r>
            <w:r>
              <w:rPr>
                <w:rFonts w:ascii="Times New Roman" w:hAnsi="Times New Roman"/>
              </w:rPr>
              <w:t xml:space="preserve"> </w:t>
            </w:r>
            <w:r w:rsidR="00BE0668" w:rsidRPr="00BE0668">
              <w:rPr>
                <w:rFonts w:ascii="Times New Roman" w:hAnsi="Times New Roman"/>
              </w:rPr>
              <w:t xml:space="preserve"> (turpmāk - Direktīva 2009/73/EK).</w:t>
            </w:r>
            <w:r w:rsidR="00BE0668" w:rsidRPr="00BE0668">
              <w:rPr>
                <w:rFonts w:ascii="Times New Roman" w:eastAsia="Calibri" w:hAnsi="Times New Roman"/>
              </w:rPr>
              <w:t xml:space="preserve"> Lēmums par jaunas Direktīvas izdošanu tika pieņemts, ņemot vērā </w:t>
            </w:r>
            <w:r w:rsidR="00BE0668" w:rsidRPr="00BE0668">
              <w:rPr>
                <w:rFonts w:ascii="Times New Roman" w:hAnsi="Times New Roman"/>
              </w:rPr>
              <w:t>Direktīvā 2003/55/EK izdarītos grozījumus</w:t>
            </w:r>
            <w:r>
              <w:rPr>
                <w:rFonts w:ascii="Times New Roman" w:hAnsi="Times New Roman"/>
              </w:rPr>
              <w:t>,</w:t>
            </w:r>
            <w:r w:rsidR="00BE0668" w:rsidRPr="00BE0668">
              <w:rPr>
                <w:rFonts w:ascii="Times New Roman" w:hAnsi="Times New Roman"/>
              </w:rPr>
              <w:t xml:space="preserve"> tos visus </w:t>
            </w:r>
            <w:r w:rsidR="00BE0668" w:rsidRPr="00BE0668">
              <w:rPr>
                <w:rFonts w:ascii="Times New Roman" w:eastAsia="Calibri" w:hAnsi="Times New Roman"/>
              </w:rPr>
              <w:t xml:space="preserve">skaidrības un racionalizācijas nolūkā  </w:t>
            </w:r>
            <w:r w:rsidR="00BE0668" w:rsidRPr="00BE0668">
              <w:rPr>
                <w:rFonts w:ascii="Times New Roman" w:hAnsi="Times New Roman"/>
              </w:rPr>
              <w:t>apvienojot vienā jaunas direktīvas tekstā.</w:t>
            </w:r>
            <w:r w:rsidRPr="00BE0668">
              <w:rPr>
                <w:rFonts w:ascii="Times New Roman" w:hAnsi="Times New Roman"/>
              </w:rPr>
              <w:t xml:space="preserve"> Līdz ar Direktīvas 2009/73/EK pieņemšanu tika </w:t>
            </w:r>
            <w:r>
              <w:rPr>
                <w:rFonts w:ascii="Times New Roman" w:hAnsi="Times New Roman"/>
              </w:rPr>
              <w:t>precizēts</w:t>
            </w:r>
            <w:r w:rsidRPr="00BE0668">
              <w:rPr>
                <w:rFonts w:ascii="Times New Roman" w:hAnsi="Times New Roman"/>
              </w:rPr>
              <w:t xml:space="preserve"> „izolēta tirgus” regulējums, attiecinot to arī uz Baltijas valstīm un Somiju un tā nosakot izmaiņas  atsevišķu direktīvu  prasību ieviešanas laika ietvarā, pagarinot prasību pārņemšanas pienākuma termiņu līdz izolācijas statusa pārtraukšanai.</w:t>
            </w:r>
          </w:p>
          <w:p w:rsidR="00950AE6" w:rsidRDefault="00950AE6" w:rsidP="00BE0668">
            <w:pPr>
              <w:suppressAutoHyphens/>
              <w:spacing w:after="0" w:line="240" w:lineRule="auto"/>
              <w:jc w:val="both"/>
              <w:rPr>
                <w:rFonts w:ascii="Times New Roman" w:hAnsi="Times New Roman"/>
              </w:rPr>
            </w:pPr>
          </w:p>
          <w:p w:rsidR="00BE0668" w:rsidRDefault="00950AE6" w:rsidP="00BE0668">
            <w:pPr>
              <w:suppressAutoHyphens/>
              <w:spacing w:after="0" w:line="240" w:lineRule="auto"/>
              <w:jc w:val="both"/>
              <w:rPr>
                <w:rFonts w:ascii="Times New Roman" w:hAnsi="Times New Roman"/>
              </w:rPr>
            </w:pPr>
            <w:r>
              <w:rPr>
                <w:rFonts w:ascii="Times New Roman" w:hAnsi="Times New Roman"/>
              </w:rPr>
              <w:t>2005.gada 26.maijā spēkā stājās likums</w:t>
            </w:r>
            <w:r w:rsidRPr="007F0D87">
              <w:rPr>
                <w:rFonts w:ascii="Times New Roman" w:hAnsi="Times New Roman"/>
              </w:rPr>
              <w:t xml:space="preserve"> „Grozījumi Enerģētikas likumā”</w:t>
            </w:r>
            <w:r>
              <w:rPr>
                <w:rFonts w:ascii="Times New Roman" w:hAnsi="Times New Roman"/>
              </w:rPr>
              <w:t>,  ar kuru</w:t>
            </w:r>
            <w:r w:rsidRPr="007F0D87">
              <w:rPr>
                <w:rFonts w:ascii="Times New Roman" w:hAnsi="Times New Roman"/>
              </w:rPr>
              <w:t xml:space="preserve"> nacionālajā regulējumā</w:t>
            </w:r>
            <w:r>
              <w:rPr>
                <w:rFonts w:ascii="Times New Roman" w:hAnsi="Times New Roman"/>
              </w:rPr>
              <w:t xml:space="preserve"> tika pārņemtas</w:t>
            </w:r>
            <w:r w:rsidRPr="00BE0668">
              <w:rPr>
                <w:rFonts w:ascii="Times New Roman" w:hAnsi="Times New Roman"/>
              </w:rPr>
              <w:t xml:space="preserve"> </w:t>
            </w:r>
            <w:r>
              <w:rPr>
                <w:rFonts w:ascii="Times New Roman" w:hAnsi="Times New Roman"/>
              </w:rPr>
              <w:t>Direktīvas</w:t>
            </w:r>
            <w:r w:rsidRPr="00BE0668">
              <w:rPr>
                <w:rFonts w:ascii="Times New Roman" w:hAnsi="Times New Roman"/>
              </w:rPr>
              <w:t xml:space="preserve"> 2003/55/EK</w:t>
            </w:r>
            <w:r>
              <w:rPr>
                <w:rFonts w:ascii="Times New Roman" w:hAnsi="Times New Roman"/>
              </w:rPr>
              <w:t xml:space="preserve"> prasības. Līdz ar to, t</w:t>
            </w:r>
            <w:r w:rsidR="007F0D87">
              <w:rPr>
                <w:rFonts w:ascii="Times New Roman" w:hAnsi="Times New Roman"/>
              </w:rPr>
              <w:t>ās</w:t>
            </w:r>
            <w:r w:rsidR="007F0D87" w:rsidRPr="007F0D87">
              <w:rPr>
                <w:rFonts w:ascii="Times New Roman" w:hAnsi="Times New Roman"/>
              </w:rPr>
              <w:t xml:space="preserve"> </w:t>
            </w:r>
            <w:r w:rsidRPr="00BE0668">
              <w:rPr>
                <w:rFonts w:ascii="Times New Roman" w:hAnsi="Times New Roman"/>
              </w:rPr>
              <w:t xml:space="preserve"> Direktīva</w:t>
            </w:r>
            <w:r>
              <w:rPr>
                <w:rFonts w:ascii="Times New Roman" w:hAnsi="Times New Roman"/>
              </w:rPr>
              <w:t>s</w:t>
            </w:r>
            <w:r w:rsidRPr="00BE0668">
              <w:rPr>
                <w:rFonts w:ascii="Times New Roman" w:hAnsi="Times New Roman"/>
              </w:rPr>
              <w:t xml:space="preserve"> 2009/73/EK</w:t>
            </w:r>
            <w:r>
              <w:rPr>
                <w:rFonts w:ascii="Times New Roman" w:hAnsi="Times New Roman"/>
              </w:rPr>
              <w:t xml:space="preserve"> </w:t>
            </w:r>
            <w:r w:rsidR="007F0D87">
              <w:rPr>
                <w:rFonts w:ascii="Times New Roman" w:hAnsi="Times New Roman"/>
              </w:rPr>
              <w:t xml:space="preserve">prasības, kas ir  </w:t>
            </w:r>
            <w:r w:rsidR="007F0D87" w:rsidRPr="007F0D87">
              <w:rPr>
                <w:rFonts w:ascii="Times New Roman" w:hAnsi="Times New Roman"/>
              </w:rPr>
              <w:t xml:space="preserve">identiskas Direktīvas 2003/55 nosacījumiem, </w:t>
            </w:r>
            <w:r w:rsidR="007F0D87">
              <w:rPr>
                <w:rFonts w:ascii="Times New Roman" w:hAnsi="Times New Roman"/>
              </w:rPr>
              <w:t>jau ir pārņemtas</w:t>
            </w:r>
            <w:r w:rsidR="007F0D87" w:rsidRPr="007F0D87">
              <w:rPr>
                <w:rFonts w:ascii="Times New Roman" w:hAnsi="Times New Roman"/>
              </w:rPr>
              <w:t xml:space="preserve"> nacionālajā regulējumā un Enerģētikas likuma atsev</w:t>
            </w:r>
            <w:r w:rsidR="007F0D87">
              <w:rPr>
                <w:rFonts w:ascii="Times New Roman" w:hAnsi="Times New Roman"/>
              </w:rPr>
              <w:t>išķu pantu spēkā stāšanās likuma pašreizējā redakcija paredz</w:t>
            </w:r>
            <w:r w:rsidR="007F0D87" w:rsidRPr="007F0D87">
              <w:rPr>
                <w:rFonts w:ascii="Times New Roman" w:hAnsi="Times New Roman"/>
              </w:rPr>
              <w:t>, ka šīs normas tiks piemērotas</w:t>
            </w:r>
            <w:r w:rsidR="005B29CC">
              <w:rPr>
                <w:rFonts w:ascii="Times New Roman" w:hAnsi="Times New Roman"/>
              </w:rPr>
              <w:t>,</w:t>
            </w:r>
            <w:r w:rsidR="007F0D87" w:rsidRPr="007F0D87">
              <w:rPr>
                <w:rFonts w:ascii="Times New Roman" w:hAnsi="Times New Roman"/>
              </w:rPr>
              <w:t xml:space="preserve"> sākot ar 2014.gada 4.aprīli. </w:t>
            </w:r>
          </w:p>
          <w:p w:rsidR="0034734D" w:rsidRPr="00BE0668" w:rsidRDefault="0034734D" w:rsidP="0034734D">
            <w:pPr>
              <w:suppressAutoHyphens/>
              <w:spacing w:after="0" w:line="240" w:lineRule="auto"/>
              <w:jc w:val="both"/>
              <w:rPr>
                <w:rFonts w:ascii="Times New Roman" w:hAnsi="Times New Roman"/>
              </w:rPr>
            </w:pPr>
          </w:p>
          <w:p w:rsidR="00AB7190" w:rsidRDefault="005B29CC" w:rsidP="0038416B">
            <w:pPr>
              <w:pStyle w:val="ListParagraph"/>
              <w:ind w:left="0" w:right="-2"/>
              <w:contextualSpacing/>
              <w:jc w:val="both"/>
              <w:rPr>
                <w:rFonts w:ascii="Times New Roman" w:hAnsi="Times New Roman"/>
              </w:rPr>
            </w:pPr>
            <w:r>
              <w:rPr>
                <w:rFonts w:ascii="Times New Roman" w:hAnsi="Times New Roman"/>
              </w:rPr>
              <w:t>Ņemot vērā, ka s</w:t>
            </w:r>
            <w:r w:rsidR="00BE0668" w:rsidRPr="00BE0668">
              <w:rPr>
                <w:rFonts w:ascii="Times New Roman" w:hAnsi="Times New Roman"/>
              </w:rPr>
              <w:t xml:space="preserve">askaņā ar Direktīvu 2009/73/EK situācijai Latvijā atbilst divas atsevišķas atkāpes no vairākām Direktīvas 2009/73/EK prasībām, kas piemērojamas atšķirīgos termiņos </w:t>
            </w:r>
            <w:r w:rsidR="008E2A3F" w:rsidRPr="00BE0668">
              <w:rPr>
                <w:rFonts w:ascii="Times New Roman" w:hAnsi="Times New Roman"/>
                <w:b/>
              </w:rPr>
              <w:t>„jauna tirgus”</w:t>
            </w:r>
            <w:r w:rsidR="008E2A3F" w:rsidRPr="00BE0668">
              <w:rPr>
                <w:rFonts w:ascii="Times New Roman" w:hAnsi="Times New Roman"/>
              </w:rPr>
              <w:t xml:space="preserve"> atkāpe, kas ir spēkā līdz 2014.gadam, kad būs apritējuši desmit gadi kopš pirmās komerciālā</w:t>
            </w:r>
            <w:r w:rsidR="008E2A3F">
              <w:rPr>
                <w:rFonts w:ascii="Times New Roman" w:hAnsi="Times New Roman"/>
              </w:rPr>
              <w:t>s</w:t>
            </w:r>
            <w:r w:rsidR="008E2A3F" w:rsidRPr="00BE0668">
              <w:rPr>
                <w:rFonts w:ascii="Times New Roman" w:hAnsi="Times New Roman"/>
              </w:rPr>
              <w:t xml:space="preserve"> dabasgāzes piegādes sas</w:t>
            </w:r>
            <w:r w:rsidR="008E2A3F">
              <w:rPr>
                <w:rFonts w:ascii="Times New Roman" w:hAnsi="Times New Roman"/>
              </w:rPr>
              <w:t xml:space="preserve">kaņā ar pirmo ilgtermiņa līgumu un </w:t>
            </w:r>
            <w:r w:rsidR="00BE0668" w:rsidRPr="00BE0668">
              <w:rPr>
                <w:rFonts w:ascii="Times New Roman" w:hAnsi="Times New Roman"/>
                <w:b/>
              </w:rPr>
              <w:t>„izolēta tirgus”</w:t>
            </w:r>
            <w:r w:rsidR="00BE0668" w:rsidRPr="00BE0668">
              <w:rPr>
                <w:rFonts w:ascii="Times New Roman" w:hAnsi="Times New Roman"/>
              </w:rPr>
              <w:t xml:space="preserve"> atkāpe, kas darbojās līdz brīdim, </w:t>
            </w:r>
            <w:r w:rsidR="00AB7190" w:rsidRPr="00727584">
              <w:rPr>
                <w:rFonts w:ascii="Times New Roman" w:hAnsi="Times New Roman"/>
              </w:rPr>
              <w:t xml:space="preserve"> kad </w:t>
            </w:r>
            <w:r w:rsidR="00AB7190" w:rsidRPr="00727584">
              <w:rPr>
                <w:rFonts w:ascii="Times New Roman" w:hAnsi="Times New Roman"/>
              </w:rPr>
              <w:lastRenderedPageBreak/>
              <w:t xml:space="preserve">Latvija būs tieši </w:t>
            </w:r>
            <w:proofErr w:type="spellStart"/>
            <w:r w:rsidR="00AB7190" w:rsidRPr="00727584">
              <w:rPr>
                <w:rFonts w:ascii="Times New Roman" w:hAnsi="Times New Roman"/>
              </w:rPr>
              <w:t>starpsavienota</w:t>
            </w:r>
            <w:proofErr w:type="spellEnd"/>
            <w:r w:rsidR="00AB7190" w:rsidRPr="00727584">
              <w:rPr>
                <w:rFonts w:ascii="Times New Roman" w:hAnsi="Times New Roman"/>
              </w:rPr>
              <w:t xml:space="preserve"> ar jebkuras Eiropas Savienības dalībvalsts, izņemot Igaunijas, Lietuvas un Somijas, dabasgāzes sistēmu vai dominējošā piegādātāja daļa kopējā Latvijas dabasgāzes patēriņā samazināsies zem 75%.</w:t>
            </w:r>
          </w:p>
          <w:p w:rsidR="00AB7190" w:rsidRDefault="0038416B" w:rsidP="005B29CC">
            <w:pPr>
              <w:suppressAutoHyphens/>
              <w:spacing w:after="0" w:line="240" w:lineRule="auto"/>
              <w:jc w:val="both"/>
              <w:rPr>
                <w:rFonts w:ascii="Times New Roman" w:hAnsi="Times New Roman"/>
              </w:rPr>
            </w:pPr>
            <w:r w:rsidRPr="00F65ACD">
              <w:rPr>
                <w:rFonts w:ascii="Times New Roman" w:hAnsi="Times New Roman"/>
                <w:b/>
              </w:rPr>
              <w:t>„Jauna tirgus”</w:t>
            </w:r>
            <w:r w:rsidRPr="00F65ACD">
              <w:rPr>
                <w:rFonts w:ascii="Times New Roman" w:hAnsi="Times New Roman"/>
              </w:rPr>
              <w:t xml:space="preserve"> atkāpe</w:t>
            </w:r>
            <w:r w:rsidRPr="00B52D5B">
              <w:rPr>
                <w:rFonts w:ascii="Times New Roman" w:hAnsi="Times New Roman"/>
                <w:u w:val="single"/>
              </w:rPr>
              <w:t xml:space="preserve"> </w:t>
            </w:r>
            <w:r w:rsidRPr="00F65ACD">
              <w:rPr>
                <w:rFonts w:ascii="Times New Roman" w:hAnsi="Times New Roman"/>
              </w:rPr>
              <w:t xml:space="preserve">paredz, ka </w:t>
            </w:r>
            <w:r w:rsidR="00B52D5B" w:rsidRPr="00F65ACD">
              <w:rPr>
                <w:rFonts w:ascii="Times New Roman" w:hAnsi="Times New Roman"/>
              </w:rPr>
              <w:t xml:space="preserve">ar </w:t>
            </w:r>
            <w:r w:rsidRPr="00F65ACD">
              <w:rPr>
                <w:rFonts w:ascii="Times New Roman" w:hAnsi="Times New Roman"/>
              </w:rPr>
              <w:t>2014.gada 4.aprīl</w:t>
            </w:r>
            <w:r w:rsidR="00B52D5B" w:rsidRPr="00F65ACD">
              <w:rPr>
                <w:rFonts w:ascii="Times New Roman" w:hAnsi="Times New Roman"/>
              </w:rPr>
              <w:t>i</w:t>
            </w:r>
            <w:r w:rsidRPr="00F65ACD">
              <w:rPr>
                <w:rFonts w:ascii="Times New Roman" w:hAnsi="Times New Roman"/>
              </w:rPr>
              <w:t xml:space="preserve"> Latvijai būtu jāpiemēro arī Direktīvas 2009/73/EK 14.pants „Neatkarīgs sistēmu operators”. Taču, ņemot vērā, „izolēta tir</w:t>
            </w:r>
            <w:r w:rsidR="00B52D5B" w:rsidRPr="00F65ACD">
              <w:rPr>
                <w:rFonts w:ascii="Times New Roman" w:hAnsi="Times New Roman"/>
              </w:rPr>
              <w:t>gu</w:t>
            </w:r>
            <w:r w:rsidRPr="00F65ACD">
              <w:rPr>
                <w:rFonts w:ascii="Times New Roman" w:hAnsi="Times New Roman"/>
              </w:rPr>
              <w:t xml:space="preserve">s” atkāpi, šis pants tiks piemērots brīdī, kad Latvijai beigsies atkāpe no 9.panta, kas paredz </w:t>
            </w:r>
            <w:r w:rsidR="00133999" w:rsidRPr="00F65ACD">
              <w:rPr>
                <w:rFonts w:ascii="Times New Roman" w:hAnsi="Times New Roman"/>
              </w:rPr>
              <w:t>pārvades sistēmas operatora</w:t>
            </w:r>
            <w:r w:rsidRPr="00F65ACD">
              <w:rPr>
                <w:rFonts w:ascii="Times New Roman" w:hAnsi="Times New Roman"/>
              </w:rPr>
              <w:t xml:space="preserve"> </w:t>
            </w:r>
            <w:r w:rsidR="00133999" w:rsidRPr="00F65ACD">
              <w:rPr>
                <w:rFonts w:ascii="Times New Roman" w:hAnsi="Times New Roman"/>
              </w:rPr>
              <w:t>(turpmāk –</w:t>
            </w:r>
            <w:r w:rsidR="0027415E" w:rsidRPr="00F65ACD">
              <w:rPr>
                <w:rFonts w:ascii="Times New Roman" w:hAnsi="Times New Roman"/>
              </w:rPr>
              <w:t xml:space="preserve"> </w:t>
            </w:r>
            <w:r w:rsidR="00133999" w:rsidRPr="00F65ACD">
              <w:rPr>
                <w:rFonts w:ascii="Times New Roman" w:hAnsi="Times New Roman"/>
              </w:rPr>
              <w:t xml:space="preserve">PSO) </w:t>
            </w:r>
            <w:r w:rsidRPr="00F65ACD">
              <w:rPr>
                <w:rFonts w:ascii="Times New Roman" w:hAnsi="Times New Roman"/>
              </w:rPr>
              <w:t xml:space="preserve">īpašumtiesību nodalīšanu. </w:t>
            </w:r>
            <w:r w:rsidR="00B52D5B" w:rsidRPr="00F65ACD">
              <w:rPr>
                <w:rFonts w:ascii="Times New Roman" w:hAnsi="Times New Roman"/>
              </w:rPr>
              <w:t xml:space="preserve">Direktīvas 2009/73/EK 14.pants </w:t>
            </w:r>
            <w:r w:rsidR="00D21227" w:rsidRPr="00F65ACD">
              <w:rPr>
                <w:rFonts w:ascii="Times New Roman" w:hAnsi="Times New Roman"/>
              </w:rPr>
              <w:t>nosaka</w:t>
            </w:r>
            <w:r w:rsidRPr="00F65ACD">
              <w:rPr>
                <w:rFonts w:ascii="Times New Roman" w:hAnsi="Times New Roman"/>
              </w:rPr>
              <w:t xml:space="preserve"> vienu alternatīvu risinājumu PSO īpašumtiesību nodalīšanai, kas paredzēta 9.pantā, no kura</w:t>
            </w:r>
            <w:r w:rsidRPr="00B52D5B">
              <w:rPr>
                <w:rFonts w:ascii="Times New Roman" w:hAnsi="Times New Roman"/>
                <w:u w:val="single"/>
              </w:rPr>
              <w:t xml:space="preserve"> </w:t>
            </w:r>
            <w:r w:rsidRPr="00F65ACD">
              <w:rPr>
                <w:rFonts w:ascii="Times New Roman" w:hAnsi="Times New Roman"/>
              </w:rPr>
              <w:t xml:space="preserve">ieviešanas Latvijai ir </w:t>
            </w:r>
            <w:proofErr w:type="spellStart"/>
            <w:r w:rsidRPr="00F65ACD">
              <w:rPr>
                <w:rFonts w:ascii="Times New Roman" w:hAnsi="Times New Roman"/>
              </w:rPr>
              <w:t>derogācija</w:t>
            </w:r>
            <w:proofErr w:type="spellEnd"/>
            <w:r w:rsidRPr="00F65ACD">
              <w:rPr>
                <w:rFonts w:ascii="Times New Roman" w:hAnsi="Times New Roman"/>
              </w:rPr>
              <w:t xml:space="preserve"> līdz brīdim, </w:t>
            </w:r>
            <w:r w:rsidR="00AB7190" w:rsidRPr="00727584">
              <w:rPr>
                <w:rFonts w:ascii="Times New Roman" w:hAnsi="Times New Roman"/>
              </w:rPr>
              <w:t xml:space="preserve"> kad Latvija būs tieši </w:t>
            </w:r>
            <w:proofErr w:type="spellStart"/>
            <w:r w:rsidR="00AB7190" w:rsidRPr="00727584">
              <w:rPr>
                <w:rFonts w:ascii="Times New Roman" w:hAnsi="Times New Roman"/>
              </w:rPr>
              <w:t>starpsavienota</w:t>
            </w:r>
            <w:proofErr w:type="spellEnd"/>
            <w:r w:rsidR="00AB7190" w:rsidRPr="00727584">
              <w:rPr>
                <w:rFonts w:ascii="Times New Roman" w:hAnsi="Times New Roman"/>
              </w:rPr>
              <w:t xml:space="preserve"> ar jebkuras Eiropas Savienības dalībvalsts, izņemot Igaunijas, Lietuvas un Somijas, dabasgāzes sistēmu. </w:t>
            </w:r>
          </w:p>
          <w:p w:rsidR="00AB7190" w:rsidRDefault="00AB7190" w:rsidP="005B29CC">
            <w:pPr>
              <w:suppressAutoHyphens/>
              <w:spacing w:after="0" w:line="240" w:lineRule="auto"/>
              <w:jc w:val="both"/>
              <w:rPr>
                <w:rFonts w:ascii="Times New Roman" w:hAnsi="Times New Roman"/>
              </w:rPr>
            </w:pPr>
            <w:r w:rsidRPr="00727584">
              <w:rPr>
                <w:rFonts w:ascii="Times New Roman" w:hAnsi="Times New Roman"/>
              </w:rPr>
              <w:t>Ministru kabinets ir konceptuāli atbalstījis Direktīvas 2009/73/EK prasību ieviešanu divās fāzēs:</w:t>
            </w:r>
          </w:p>
          <w:p w:rsidR="00AB7190" w:rsidRDefault="00AB7190" w:rsidP="005B29CC">
            <w:pPr>
              <w:suppressAutoHyphens/>
              <w:spacing w:after="0" w:line="240" w:lineRule="auto"/>
              <w:jc w:val="both"/>
              <w:rPr>
                <w:rFonts w:ascii="Times New Roman" w:hAnsi="Times New Roman"/>
              </w:rPr>
            </w:pPr>
          </w:p>
          <w:p w:rsidR="00CC29F5" w:rsidRDefault="00FE4862" w:rsidP="005B29CC">
            <w:pPr>
              <w:suppressAutoHyphens/>
              <w:spacing w:after="0" w:line="240" w:lineRule="auto"/>
              <w:jc w:val="both"/>
              <w:rPr>
                <w:rFonts w:ascii="Times New Roman" w:hAnsi="Times New Roman"/>
                <w:bCs/>
                <w:color w:val="000000"/>
              </w:rPr>
            </w:pPr>
            <w:r>
              <w:rPr>
                <w:rFonts w:ascii="Times New Roman" w:hAnsi="Times New Roman"/>
              </w:rPr>
              <w:t xml:space="preserve">1.fāze </w:t>
            </w:r>
            <w:r w:rsidR="00CC29F5">
              <w:rPr>
                <w:rFonts w:ascii="Times New Roman" w:hAnsi="Times New Roman"/>
              </w:rPr>
              <w:t>-</w:t>
            </w:r>
            <w:r w:rsidR="005B29CC">
              <w:rPr>
                <w:rFonts w:ascii="Times New Roman" w:hAnsi="Times New Roman"/>
              </w:rPr>
              <w:t xml:space="preserve"> prasības, kas  s</w:t>
            </w:r>
            <w:r w:rsidR="00BE0668" w:rsidRPr="00BE0668">
              <w:rPr>
                <w:rFonts w:ascii="Times New Roman" w:hAnsi="Times New Roman"/>
                <w:bCs/>
                <w:color w:val="000000"/>
              </w:rPr>
              <w:t>askaņā ar Direktīvas 2009/73/EK 49.panta 2.punktu, Latvijai</w:t>
            </w:r>
            <w:r w:rsidR="005B29CC">
              <w:rPr>
                <w:rFonts w:ascii="Times New Roman" w:hAnsi="Times New Roman"/>
                <w:bCs/>
                <w:color w:val="000000"/>
              </w:rPr>
              <w:t xml:space="preserve"> jāpārņem</w:t>
            </w:r>
            <w:r w:rsidR="00BE0668" w:rsidRPr="00BE0668">
              <w:rPr>
                <w:rFonts w:ascii="Times New Roman" w:hAnsi="Times New Roman"/>
                <w:bCs/>
                <w:color w:val="000000"/>
              </w:rPr>
              <w:t>, sākot ar brīdi, kad tā vairs neatbildīs „jauna tirgus” pazīmēm (2014.gada 4.aprīlī)</w:t>
            </w:r>
            <w:r>
              <w:rPr>
                <w:rFonts w:ascii="Times New Roman" w:hAnsi="Times New Roman"/>
                <w:bCs/>
                <w:color w:val="000000"/>
              </w:rPr>
              <w:t>;</w:t>
            </w:r>
            <w:r w:rsidR="000E4F90">
              <w:rPr>
                <w:rFonts w:ascii="Times New Roman" w:hAnsi="Times New Roman"/>
                <w:bCs/>
                <w:color w:val="000000"/>
              </w:rPr>
              <w:t xml:space="preserve"> </w:t>
            </w:r>
          </w:p>
          <w:p w:rsidR="002C73CC" w:rsidRPr="00CC29F5" w:rsidRDefault="00FE4862" w:rsidP="005B29CC">
            <w:pPr>
              <w:suppressAutoHyphens/>
              <w:spacing w:after="0" w:line="240" w:lineRule="auto"/>
              <w:jc w:val="both"/>
              <w:rPr>
                <w:rFonts w:ascii="Times New Roman" w:hAnsi="Times New Roman"/>
              </w:rPr>
            </w:pPr>
            <w:r>
              <w:rPr>
                <w:rFonts w:ascii="Times New Roman" w:hAnsi="Times New Roman"/>
                <w:bCs/>
                <w:color w:val="000000"/>
              </w:rPr>
              <w:t xml:space="preserve">2. fāze </w:t>
            </w:r>
            <w:r w:rsidR="00CC29F5">
              <w:rPr>
                <w:rFonts w:ascii="Times New Roman" w:hAnsi="Times New Roman"/>
                <w:bCs/>
                <w:color w:val="000000"/>
              </w:rPr>
              <w:t xml:space="preserve">- </w:t>
            </w:r>
            <w:r w:rsidR="002C73CC">
              <w:rPr>
                <w:rFonts w:ascii="Times New Roman" w:hAnsi="Times New Roman"/>
                <w:bCs/>
                <w:color w:val="000000"/>
              </w:rPr>
              <w:t xml:space="preserve">prasībām, kuras </w:t>
            </w:r>
            <w:r w:rsidR="002C73CC">
              <w:rPr>
                <w:rFonts w:ascii="Times New Roman" w:hAnsi="Times New Roman"/>
              </w:rPr>
              <w:t xml:space="preserve">jāpārņem brīdī, kad </w:t>
            </w:r>
            <w:r w:rsidR="002C73CC" w:rsidRPr="00BE0668">
              <w:rPr>
                <w:rFonts w:ascii="Times New Roman" w:hAnsi="Times New Roman"/>
              </w:rPr>
              <w:t>Latvija vairs neatbildīs „izolēta tirgus” pazīmēm</w:t>
            </w:r>
            <w:r w:rsidR="002C73CC">
              <w:rPr>
                <w:rFonts w:ascii="Times New Roman" w:hAnsi="Times New Roman"/>
              </w:rPr>
              <w:t xml:space="preserve"> Direktīvas 2009/73/EK izpratnē</w:t>
            </w:r>
            <w:r>
              <w:rPr>
                <w:rFonts w:ascii="Times New Roman" w:hAnsi="Times New Roman"/>
              </w:rPr>
              <w:t>.</w:t>
            </w:r>
          </w:p>
          <w:p w:rsidR="00374765" w:rsidRDefault="00374765" w:rsidP="008E2A3F">
            <w:pPr>
              <w:suppressAutoHyphens/>
              <w:spacing w:after="0" w:line="240" w:lineRule="auto"/>
              <w:jc w:val="both"/>
              <w:rPr>
                <w:rFonts w:ascii="Times New Roman" w:hAnsi="Times New Roman"/>
                <w:bCs/>
                <w:color w:val="000000"/>
                <w:u w:val="single"/>
              </w:rPr>
            </w:pPr>
          </w:p>
          <w:p w:rsidR="008E2A3F" w:rsidRPr="008E2A3F" w:rsidRDefault="00D21227" w:rsidP="008E2A3F">
            <w:pPr>
              <w:suppressAutoHyphens/>
              <w:spacing w:after="0" w:line="240" w:lineRule="auto"/>
              <w:jc w:val="both"/>
              <w:rPr>
                <w:rFonts w:ascii="Times New Roman" w:hAnsi="Times New Roman"/>
                <w:bCs/>
                <w:color w:val="000000"/>
                <w:u w:val="single"/>
              </w:rPr>
            </w:pPr>
            <w:r>
              <w:rPr>
                <w:rFonts w:ascii="Times New Roman" w:hAnsi="Times New Roman"/>
                <w:bCs/>
                <w:color w:val="000000"/>
                <w:u w:val="single"/>
              </w:rPr>
              <w:t>P</w:t>
            </w:r>
            <w:r w:rsidR="002C73CC" w:rsidRPr="008E2A3F">
              <w:rPr>
                <w:rFonts w:ascii="Times New Roman" w:hAnsi="Times New Roman"/>
                <w:bCs/>
                <w:color w:val="000000"/>
                <w:u w:val="single"/>
              </w:rPr>
              <w:t>rasīb</w:t>
            </w:r>
            <w:r w:rsidR="00133999">
              <w:rPr>
                <w:rFonts w:ascii="Times New Roman" w:hAnsi="Times New Roman"/>
                <w:bCs/>
                <w:color w:val="000000"/>
                <w:u w:val="single"/>
              </w:rPr>
              <w:t>as</w:t>
            </w:r>
            <w:r w:rsidR="002C73CC" w:rsidRPr="008E2A3F">
              <w:rPr>
                <w:rFonts w:ascii="Times New Roman" w:hAnsi="Times New Roman"/>
                <w:bCs/>
                <w:color w:val="000000"/>
                <w:u w:val="single"/>
              </w:rPr>
              <w:t>, kas jāievieš</w:t>
            </w:r>
            <w:r w:rsidR="00773315">
              <w:rPr>
                <w:rFonts w:ascii="Times New Roman" w:hAnsi="Times New Roman"/>
                <w:bCs/>
                <w:color w:val="000000"/>
                <w:u w:val="single"/>
              </w:rPr>
              <w:t xml:space="preserve"> 1.fāzē</w:t>
            </w:r>
            <w:r>
              <w:rPr>
                <w:rFonts w:ascii="Times New Roman" w:hAnsi="Times New Roman"/>
                <w:bCs/>
                <w:color w:val="000000"/>
                <w:u w:val="single"/>
              </w:rPr>
              <w:t>:</w:t>
            </w:r>
          </w:p>
          <w:p w:rsidR="00C32959" w:rsidRPr="008E2A3F" w:rsidRDefault="00D21227" w:rsidP="008E2A3F">
            <w:pPr>
              <w:suppressAutoHyphens/>
              <w:spacing w:after="0" w:line="240" w:lineRule="auto"/>
              <w:jc w:val="both"/>
              <w:rPr>
                <w:rFonts w:ascii="Times New Roman" w:hAnsi="Times New Roman"/>
                <w:bCs/>
                <w:color w:val="000000"/>
              </w:rPr>
            </w:pPr>
            <w:r w:rsidRPr="00F65ACD">
              <w:rPr>
                <w:rFonts w:ascii="Times New Roman" w:hAnsi="Times New Roman"/>
                <w:bCs/>
                <w:color w:val="000000"/>
                <w:u w:val="single"/>
              </w:rPr>
              <w:t xml:space="preserve">1. </w:t>
            </w:r>
            <w:r w:rsidR="00BE0668" w:rsidRPr="00F65ACD">
              <w:rPr>
                <w:rFonts w:ascii="Times New Roman" w:hAnsi="Times New Roman"/>
                <w:i/>
                <w:color w:val="000000"/>
                <w:u w:val="single"/>
              </w:rPr>
              <w:t>trešo personu piekļuve</w:t>
            </w:r>
            <w:r w:rsidR="00BE0668" w:rsidRPr="00BE0668">
              <w:rPr>
                <w:rFonts w:ascii="Times New Roman" w:hAnsi="Times New Roman"/>
                <w:b/>
                <w:i/>
                <w:color w:val="000000"/>
              </w:rPr>
              <w:t xml:space="preserve"> </w:t>
            </w:r>
            <w:r w:rsidR="00BE0668" w:rsidRPr="00BE0668">
              <w:rPr>
                <w:rFonts w:ascii="Times New Roman" w:hAnsi="Times New Roman"/>
                <w:color w:val="000000"/>
              </w:rPr>
              <w:t>(Direktīvas 2009/73/EK 32.pants),</w:t>
            </w:r>
            <w:r w:rsidR="00BE0668" w:rsidRPr="00BE0668">
              <w:rPr>
                <w:rFonts w:ascii="Times New Roman" w:hAnsi="Times New Roman"/>
                <w:bCs/>
                <w:color w:val="000000"/>
              </w:rPr>
              <w:t xml:space="preserve"> paredzot nosacījumu nodrošināt trešo perso</w:t>
            </w:r>
            <w:r w:rsidR="00C32959">
              <w:rPr>
                <w:rFonts w:ascii="Times New Roman" w:hAnsi="Times New Roman"/>
                <w:bCs/>
                <w:color w:val="000000"/>
              </w:rPr>
              <w:t>nu piekļuvi dabasgāzes sistēmai.</w:t>
            </w:r>
          </w:p>
          <w:p w:rsidR="00BE0668" w:rsidRPr="00BF0328" w:rsidRDefault="00D21227" w:rsidP="00BF0328">
            <w:pPr>
              <w:pStyle w:val="naisc"/>
              <w:spacing w:before="0" w:after="0"/>
              <w:ind w:firstLine="21"/>
              <w:jc w:val="both"/>
              <w:rPr>
                <w:color w:val="000000"/>
                <w:sz w:val="22"/>
                <w:szCs w:val="22"/>
              </w:rPr>
            </w:pPr>
            <w:r w:rsidRPr="00F65ACD">
              <w:rPr>
                <w:bCs/>
                <w:i/>
                <w:color w:val="000000"/>
                <w:u w:val="single"/>
              </w:rPr>
              <w:t>2.</w:t>
            </w:r>
            <w:r w:rsidR="008E2A3F" w:rsidRPr="00F65ACD">
              <w:rPr>
                <w:bCs/>
                <w:i/>
                <w:color w:val="000000"/>
                <w:u w:val="single"/>
              </w:rPr>
              <w:t xml:space="preserve"> </w:t>
            </w:r>
            <w:r w:rsidR="00BE0668" w:rsidRPr="00F65ACD">
              <w:rPr>
                <w:bCs/>
                <w:i/>
                <w:color w:val="000000"/>
                <w:u w:val="single"/>
              </w:rPr>
              <w:t>sadales sistēmu operatoru nodalīšana</w:t>
            </w:r>
            <w:r w:rsidR="00BE0668" w:rsidRPr="00BE0668">
              <w:rPr>
                <w:bCs/>
                <w:color w:val="000000"/>
              </w:rPr>
              <w:t xml:space="preserve"> (Direktīvas 2009/73/EK 26.pants), kas nozīme, ka, j</w:t>
            </w:r>
            <w:r w:rsidR="00BE0668" w:rsidRPr="00BE0668">
              <w:rPr>
                <w:color w:val="000000"/>
              </w:rPr>
              <w:t>a sadales sistēmas operators ir daļa no vertikāli integrēta uzņēmuma, tam jābūt neatkarīgam no pārējām darbībām, kas neattiecas uz sadali, vismaz tiktāl, ciktāl tas skar viņa juridisko statusu, organizāciju un lēmumu pieņemšanu. Šie noteikumi nerada pienākumu no vertikāli integrētā uzņēmuma nodalīt īpašumtiesības uz sadales sistēmas aktīviem</w:t>
            </w:r>
            <w:r w:rsidR="00BF0328" w:rsidRPr="00BF0328">
              <w:rPr>
                <w:color w:val="000000"/>
              </w:rPr>
              <w:t>, taču</w:t>
            </w:r>
            <w:r w:rsidR="00BF0328">
              <w:rPr>
                <w:color w:val="000000"/>
                <w:sz w:val="22"/>
                <w:szCs w:val="22"/>
              </w:rPr>
              <w:t xml:space="preserve"> kā obligāts kritērijs</w:t>
            </w:r>
            <w:r w:rsidR="00BF0328" w:rsidRPr="00AF0847">
              <w:rPr>
                <w:color w:val="000000"/>
                <w:sz w:val="22"/>
                <w:szCs w:val="22"/>
              </w:rPr>
              <w:t xml:space="preserve"> </w:t>
            </w:r>
            <w:r w:rsidR="00BF0328">
              <w:rPr>
                <w:color w:val="000000"/>
                <w:sz w:val="22"/>
                <w:szCs w:val="22"/>
              </w:rPr>
              <w:t>neatkarīgiem sistēmu operatoriem ir spēja apliecināt, ka to rīcībā, darbības nodrošināšanai, ir nepieciešamie cilvēkresursi, tehniskie, fiziskie un finanšu resursi.</w:t>
            </w:r>
            <w:r w:rsidR="00A912D0">
              <w:rPr>
                <w:color w:val="000000"/>
                <w:sz w:val="22"/>
                <w:szCs w:val="22"/>
              </w:rPr>
              <w:t xml:space="preserve"> </w:t>
            </w:r>
            <w:r w:rsidR="00BE0668" w:rsidRPr="00BE0668">
              <w:rPr>
                <w:color w:val="000000"/>
              </w:rPr>
              <w:t>Tāpat pants paredz regulatīvo iestāžu vai citu kompetentu struktūru veiktu sadales sistēmas operatora uzraudzību, lai tas nevarētu ļaunprātīgi izmantot vertikālo integrāciju, kropļojot konkurenci.</w:t>
            </w:r>
          </w:p>
          <w:p w:rsidR="00D21227" w:rsidRPr="00BE0668" w:rsidRDefault="00D21227" w:rsidP="008E2A3F">
            <w:pPr>
              <w:autoSpaceDE w:val="0"/>
              <w:autoSpaceDN w:val="0"/>
              <w:adjustRightInd w:val="0"/>
              <w:spacing w:after="0" w:line="240" w:lineRule="auto"/>
              <w:ind w:left="60"/>
              <w:jc w:val="both"/>
              <w:rPr>
                <w:rFonts w:ascii="Times New Roman" w:hAnsi="Times New Roman"/>
                <w:bCs/>
                <w:color w:val="000000"/>
              </w:rPr>
            </w:pPr>
            <w:r w:rsidRPr="00F65ACD">
              <w:rPr>
                <w:rFonts w:ascii="Times New Roman" w:hAnsi="Times New Roman"/>
                <w:bCs/>
                <w:i/>
                <w:color w:val="000000"/>
                <w:u w:val="single"/>
              </w:rPr>
              <w:t>3.</w:t>
            </w:r>
            <w:r w:rsidR="008E2A3F" w:rsidRPr="00F65ACD">
              <w:rPr>
                <w:rFonts w:ascii="Times New Roman" w:hAnsi="Times New Roman"/>
                <w:bCs/>
                <w:i/>
                <w:color w:val="000000"/>
                <w:u w:val="single"/>
              </w:rPr>
              <w:t xml:space="preserve"> </w:t>
            </w:r>
            <w:r w:rsidR="00BE0668" w:rsidRPr="00F65ACD">
              <w:rPr>
                <w:rFonts w:ascii="Times New Roman" w:hAnsi="Times New Roman"/>
                <w:bCs/>
                <w:i/>
                <w:color w:val="000000"/>
                <w:u w:val="single"/>
              </w:rPr>
              <w:t>grāmatvedības nodalīšana</w:t>
            </w:r>
            <w:r w:rsidR="00BE0668" w:rsidRPr="00BE0668">
              <w:rPr>
                <w:rFonts w:ascii="Times New Roman" w:hAnsi="Times New Roman"/>
                <w:bCs/>
                <w:color w:val="000000"/>
              </w:rPr>
              <w:t xml:space="preserve"> (Direktīvas 2009/73/EK 31.pants, proti, jānodrošina, ka dabasgāzes uzņēmumi neatkarīgi no īpašumtiesību sistēmas vai juridiskās formas sagatavo un publicē savus gada pārskatus, iekšējā grāmatvedībā atsevišķā grāmatvedībā atsevišķi uzskaita dabasgāzes pārvadi, veic konsolidējamu uzskaiti par citām ar gāzi saistītām darbībām, kas neattiecas uz pārvadi, sadali, uzglabāšanu, kā arī iekšējā grāmatvedībā precizē noteikumus par aktīvu un pasīvu, izdevumu un ieņēmumu sadali, kā arī par amortizāciju. Šo gada pārskatu piezīmēs jānorāda visus konkrēta apjoma darījumus, kas veikti ar saistītiem uzņēmumiem.</w:t>
            </w:r>
          </w:p>
          <w:p w:rsidR="00B51BC1" w:rsidRPr="00F65ACD" w:rsidRDefault="00203042" w:rsidP="00F2350F">
            <w:pPr>
              <w:pStyle w:val="naisf"/>
              <w:spacing w:after="120"/>
              <w:ind w:firstLine="0"/>
              <w:rPr>
                <w:bCs/>
                <w:color w:val="000000"/>
                <w:sz w:val="22"/>
                <w:szCs w:val="22"/>
              </w:rPr>
            </w:pPr>
            <w:r w:rsidRPr="00203042">
              <w:rPr>
                <w:bCs/>
                <w:i/>
                <w:color w:val="000000"/>
                <w:sz w:val="22"/>
                <w:szCs w:val="22"/>
                <w:u w:val="single"/>
              </w:rPr>
              <w:t>4.</w:t>
            </w:r>
            <w:r>
              <w:rPr>
                <w:bCs/>
                <w:color w:val="000000"/>
                <w:sz w:val="22"/>
                <w:szCs w:val="22"/>
                <w:u w:val="single"/>
              </w:rPr>
              <w:t xml:space="preserve"> </w:t>
            </w:r>
            <w:r w:rsidRPr="00203042">
              <w:rPr>
                <w:bCs/>
                <w:i/>
                <w:color w:val="000000"/>
                <w:sz w:val="22"/>
                <w:szCs w:val="22"/>
                <w:u w:val="single"/>
              </w:rPr>
              <w:t>sašķidrinātas dabasgāzes</w:t>
            </w:r>
            <w:r w:rsidRPr="00B51BC1">
              <w:rPr>
                <w:bCs/>
                <w:color w:val="000000"/>
                <w:sz w:val="22"/>
                <w:szCs w:val="22"/>
                <w:u w:val="single"/>
              </w:rPr>
              <w:t xml:space="preserve"> </w:t>
            </w:r>
            <w:r w:rsidRPr="00203042">
              <w:rPr>
                <w:bCs/>
                <w:i/>
                <w:color w:val="000000"/>
                <w:sz w:val="22"/>
                <w:szCs w:val="22"/>
                <w:u w:val="single"/>
              </w:rPr>
              <w:t>(turpmāk – SDG)</w:t>
            </w:r>
            <w:r w:rsidR="00374765">
              <w:rPr>
                <w:bCs/>
                <w:i/>
                <w:color w:val="000000"/>
                <w:sz w:val="22"/>
                <w:szCs w:val="22"/>
                <w:u w:val="single"/>
              </w:rPr>
              <w:t xml:space="preserve"> sistēmas funkcionēšana</w:t>
            </w:r>
            <w:r>
              <w:rPr>
                <w:bCs/>
                <w:color w:val="000000"/>
                <w:sz w:val="22"/>
                <w:szCs w:val="22"/>
                <w:u w:val="single"/>
              </w:rPr>
              <w:t>.</w:t>
            </w:r>
            <w:r w:rsidRPr="00B51BC1">
              <w:rPr>
                <w:bCs/>
                <w:color w:val="000000"/>
                <w:sz w:val="22"/>
                <w:szCs w:val="22"/>
                <w:u w:val="single"/>
              </w:rPr>
              <w:t xml:space="preserve"> </w:t>
            </w:r>
            <w:r w:rsidR="00B51BC1" w:rsidRPr="00F65ACD">
              <w:rPr>
                <w:bCs/>
                <w:color w:val="000000"/>
                <w:sz w:val="22"/>
                <w:szCs w:val="22"/>
              </w:rPr>
              <w:t>Ņemot vērā to, ka sašķidrināt</w:t>
            </w:r>
            <w:r w:rsidR="0023612A" w:rsidRPr="00F65ACD">
              <w:rPr>
                <w:bCs/>
                <w:color w:val="000000"/>
                <w:sz w:val="22"/>
                <w:szCs w:val="22"/>
              </w:rPr>
              <w:t xml:space="preserve">as dabasgāzes (turpmāk – SDG) </w:t>
            </w:r>
            <w:r w:rsidR="00F2350F" w:rsidRPr="00F65ACD">
              <w:rPr>
                <w:bCs/>
                <w:color w:val="000000"/>
                <w:sz w:val="22"/>
                <w:szCs w:val="22"/>
              </w:rPr>
              <w:t xml:space="preserve">tirgus attīstās un </w:t>
            </w:r>
            <w:r w:rsidR="00B51BC1" w:rsidRPr="00F65ACD">
              <w:rPr>
                <w:bCs/>
                <w:color w:val="000000"/>
                <w:sz w:val="22"/>
                <w:szCs w:val="22"/>
              </w:rPr>
              <w:t>nākamo dekāžu laikā lielākā daļa no pieaugošā dabas gāzes tirdzniecības apjoma būs atvēlēta tieši SDG</w:t>
            </w:r>
            <w:r w:rsidR="0023612A" w:rsidRPr="00F65ACD">
              <w:rPr>
                <w:bCs/>
                <w:color w:val="000000"/>
                <w:sz w:val="22"/>
                <w:szCs w:val="22"/>
              </w:rPr>
              <w:t>,</w:t>
            </w:r>
            <w:r w:rsidR="00F2350F" w:rsidRPr="00F65ACD">
              <w:rPr>
                <w:bCs/>
                <w:color w:val="000000"/>
                <w:sz w:val="22"/>
                <w:szCs w:val="22"/>
              </w:rPr>
              <w:t xml:space="preserve"> </w:t>
            </w:r>
            <w:r w:rsidR="00B51BC1" w:rsidRPr="00F65ACD">
              <w:rPr>
                <w:bCs/>
                <w:color w:val="000000"/>
                <w:sz w:val="22"/>
                <w:szCs w:val="22"/>
              </w:rPr>
              <w:t xml:space="preserve">Direktīva 2009/73/EK </w:t>
            </w:r>
            <w:r w:rsidR="00B51BC1" w:rsidRPr="00F65ACD">
              <w:rPr>
                <w:bCs/>
                <w:color w:val="000000"/>
                <w:sz w:val="22"/>
                <w:szCs w:val="22"/>
              </w:rPr>
              <w:lastRenderedPageBreak/>
              <w:t>paredz, ka nacionālajā likumdošanā tiek atrunāti arī nosacījumi, kas attiecās u</w:t>
            </w:r>
            <w:r w:rsidR="00F2350F" w:rsidRPr="00F65ACD">
              <w:rPr>
                <w:bCs/>
                <w:color w:val="000000"/>
                <w:sz w:val="22"/>
                <w:szCs w:val="22"/>
              </w:rPr>
              <w:t xml:space="preserve">z  SDG sistēmas funkcionēšanu. </w:t>
            </w:r>
            <w:r w:rsidR="00B51BC1" w:rsidRPr="00F65ACD">
              <w:rPr>
                <w:bCs/>
                <w:color w:val="000000"/>
                <w:sz w:val="22"/>
                <w:szCs w:val="22"/>
              </w:rPr>
              <w:t>Prasības, kas Latvijai ir jāievieš, ir saistītas ar SDG iekļaušanu visos attiecīgajos Enerģētikas likuma pantos, lai paredzētu SDG sistēmas funkcionēšanu kopā ar citiem energoapgādes veidiem.</w:t>
            </w:r>
            <w:r w:rsidR="00F2350F" w:rsidRPr="00F65ACD">
              <w:rPr>
                <w:bCs/>
                <w:color w:val="000000"/>
                <w:sz w:val="22"/>
                <w:szCs w:val="22"/>
              </w:rPr>
              <w:t xml:space="preserve"> </w:t>
            </w:r>
            <w:r w:rsidR="00B51BC1" w:rsidRPr="00F65ACD">
              <w:rPr>
                <w:bCs/>
                <w:color w:val="000000"/>
                <w:sz w:val="22"/>
                <w:szCs w:val="22"/>
              </w:rPr>
              <w:t xml:space="preserve">Piemērām, Enerģētikas likums nosaka, ka </w:t>
            </w:r>
            <w:r w:rsidR="00F2350F" w:rsidRPr="00F65ACD">
              <w:rPr>
                <w:bCs/>
                <w:color w:val="000000"/>
                <w:sz w:val="22"/>
                <w:szCs w:val="22"/>
              </w:rPr>
              <w:t xml:space="preserve">energoapgāde, kas cita starpā, </w:t>
            </w:r>
            <w:r w:rsidR="00B51BC1" w:rsidRPr="00F65ACD">
              <w:rPr>
                <w:bCs/>
                <w:color w:val="000000"/>
                <w:sz w:val="22"/>
                <w:szCs w:val="22"/>
              </w:rPr>
              <w:t>ietver dabasgāzes iepirkšanu, pārveidi, uzglabāšanu, pā</w:t>
            </w:r>
            <w:r w:rsidR="00F2350F" w:rsidRPr="00F65ACD">
              <w:rPr>
                <w:bCs/>
                <w:color w:val="000000"/>
                <w:sz w:val="22"/>
                <w:szCs w:val="22"/>
              </w:rPr>
              <w:t>rvadi, sadali vai tirdzniecību,</w:t>
            </w:r>
            <w:r w:rsidR="00B51BC1" w:rsidRPr="00F65ACD">
              <w:rPr>
                <w:bCs/>
                <w:color w:val="000000"/>
                <w:sz w:val="22"/>
                <w:szCs w:val="22"/>
              </w:rPr>
              <w:t xml:space="preserve"> ir enerģētikas jomā veicama komercdarbība, kuru ir nepieciešams licencēt vai reģistrēt. Enerģētikas likums paredz li</w:t>
            </w:r>
            <w:r w:rsidR="00F2350F" w:rsidRPr="00F65ACD">
              <w:rPr>
                <w:bCs/>
                <w:color w:val="000000"/>
                <w:sz w:val="22"/>
                <w:szCs w:val="22"/>
              </w:rPr>
              <w:t>cencēšanas kārtību attiecībā uz dabasgāzes pārvadi, sadali,</w:t>
            </w:r>
            <w:r w:rsidR="00B51BC1" w:rsidRPr="00F65ACD">
              <w:rPr>
                <w:bCs/>
                <w:color w:val="000000"/>
                <w:sz w:val="22"/>
                <w:szCs w:val="22"/>
              </w:rPr>
              <w:t xml:space="preserve"> uzgl</w:t>
            </w:r>
            <w:r w:rsidR="00F2350F" w:rsidRPr="00F65ACD">
              <w:rPr>
                <w:bCs/>
                <w:color w:val="000000"/>
                <w:sz w:val="22"/>
                <w:szCs w:val="22"/>
              </w:rPr>
              <w:t>abāšanu (licence tiek izdota uz</w:t>
            </w:r>
            <w:r w:rsidR="00B51BC1" w:rsidRPr="00F65ACD">
              <w:rPr>
                <w:bCs/>
                <w:color w:val="000000"/>
                <w:sz w:val="22"/>
                <w:szCs w:val="22"/>
              </w:rPr>
              <w:t xml:space="preserve"> 20 gadiem) un dabasgāzes tirdzniecību (licence tiek izdota uz 5 gadiem ). Lai izpildītu Direktīvas 2009/73/EK noteikumus, kas ir saistītas ar SDG, pastāv nepieciešamība atrunāt </w:t>
            </w:r>
            <w:r w:rsidR="00F2350F" w:rsidRPr="00F65ACD">
              <w:rPr>
                <w:bCs/>
                <w:color w:val="000000"/>
                <w:sz w:val="22"/>
                <w:szCs w:val="22"/>
              </w:rPr>
              <w:t>licences piešķiršanas laiku arī SDG sistēmas operatoram.</w:t>
            </w:r>
            <w:r w:rsidR="00B51BC1" w:rsidRPr="00F65ACD">
              <w:rPr>
                <w:bCs/>
                <w:color w:val="000000"/>
                <w:sz w:val="22"/>
                <w:szCs w:val="22"/>
              </w:rPr>
              <w:t xml:space="preserve"> </w:t>
            </w:r>
          </w:p>
          <w:p w:rsidR="00EA7FEC" w:rsidRPr="00F65ACD" w:rsidRDefault="00EA7FEC" w:rsidP="00EA7FEC">
            <w:pPr>
              <w:pStyle w:val="naisf"/>
              <w:spacing w:before="0" w:after="0"/>
              <w:ind w:firstLine="0"/>
              <w:rPr>
                <w:bCs/>
                <w:i/>
                <w:color w:val="000000"/>
                <w:sz w:val="22"/>
                <w:szCs w:val="22"/>
              </w:rPr>
            </w:pPr>
            <w:r w:rsidRPr="00EA7FEC">
              <w:rPr>
                <w:bCs/>
                <w:i/>
                <w:color w:val="000000"/>
                <w:sz w:val="22"/>
                <w:szCs w:val="22"/>
                <w:u w:val="single"/>
              </w:rPr>
              <w:t xml:space="preserve">5. </w:t>
            </w:r>
            <w:r w:rsidRPr="00EA7FEC">
              <w:rPr>
                <w:i/>
                <w:sz w:val="22"/>
                <w:szCs w:val="22"/>
                <w:u w:val="single"/>
              </w:rPr>
              <w:t xml:space="preserve">papildinājumi </w:t>
            </w:r>
            <w:r w:rsidR="00374765">
              <w:rPr>
                <w:i/>
                <w:sz w:val="22"/>
                <w:szCs w:val="22"/>
                <w:u w:val="single"/>
              </w:rPr>
              <w:t xml:space="preserve">Likuma </w:t>
            </w:r>
            <w:r w:rsidRPr="00EA7FEC">
              <w:rPr>
                <w:i/>
                <w:sz w:val="22"/>
                <w:szCs w:val="22"/>
                <w:u w:val="single"/>
              </w:rPr>
              <w:t xml:space="preserve">definīciju daļā </w:t>
            </w:r>
            <w:r w:rsidR="00916AAA">
              <w:rPr>
                <w:i/>
                <w:sz w:val="22"/>
                <w:szCs w:val="22"/>
                <w:u w:val="single"/>
              </w:rPr>
              <w:t>saskaņā ar Direktīvu 2009/73/EK</w:t>
            </w:r>
            <w:r>
              <w:rPr>
                <w:i/>
                <w:sz w:val="22"/>
                <w:szCs w:val="22"/>
                <w:u w:val="single"/>
              </w:rPr>
              <w:t xml:space="preserve"> </w:t>
            </w:r>
            <w:r w:rsidR="00916AAA" w:rsidRPr="00F65ACD">
              <w:rPr>
                <w:sz w:val="22"/>
                <w:szCs w:val="22"/>
              </w:rPr>
              <w:t xml:space="preserve">saistībā ar </w:t>
            </w:r>
            <w:r w:rsidRPr="00F65ACD">
              <w:rPr>
                <w:sz w:val="22"/>
                <w:szCs w:val="22"/>
              </w:rPr>
              <w:t xml:space="preserve">jauniem kopīgiem noteikumiem attiecībā uz dabasgāzes iekšējo tirgu, tai skaitā </w:t>
            </w:r>
            <w:r w:rsidR="00916AAA" w:rsidRPr="00F65ACD">
              <w:rPr>
                <w:sz w:val="22"/>
                <w:szCs w:val="22"/>
              </w:rPr>
              <w:t>SDG</w:t>
            </w:r>
            <w:r w:rsidRPr="00F65ACD">
              <w:rPr>
                <w:sz w:val="22"/>
                <w:szCs w:val="22"/>
              </w:rPr>
              <w:t>, un drošības jēdziena skaidrojumu.</w:t>
            </w:r>
          </w:p>
          <w:p w:rsidR="0034408F" w:rsidRDefault="0034408F" w:rsidP="00B14BE1">
            <w:pPr>
              <w:suppressAutoHyphens/>
              <w:spacing w:after="0" w:line="240" w:lineRule="auto"/>
              <w:jc w:val="both"/>
              <w:rPr>
                <w:rFonts w:ascii="Times New Roman" w:hAnsi="Times New Roman"/>
              </w:rPr>
            </w:pPr>
          </w:p>
          <w:p w:rsidR="005526CE" w:rsidRDefault="00B14BE1" w:rsidP="00FA51A5">
            <w:pPr>
              <w:suppressAutoHyphens/>
              <w:spacing w:after="0" w:line="240" w:lineRule="auto"/>
              <w:jc w:val="both"/>
              <w:rPr>
                <w:rFonts w:ascii="Times New Roman" w:hAnsi="Times New Roman"/>
              </w:rPr>
            </w:pPr>
            <w:r>
              <w:rPr>
                <w:rFonts w:ascii="Times New Roman" w:hAnsi="Times New Roman"/>
              </w:rPr>
              <w:t>Pamatojoties uz iepriekšminēto, Ekonomikas ministrija ir izstrādājusi likumprojektu „</w:t>
            </w:r>
            <w:r w:rsidR="004910CA">
              <w:rPr>
                <w:rFonts w:ascii="Times New Roman" w:hAnsi="Times New Roman"/>
              </w:rPr>
              <w:t>Grozījumi Enerģētikas likumā”, papildinot Enerģ</w:t>
            </w:r>
            <w:r w:rsidR="006A59A8">
              <w:rPr>
                <w:rFonts w:ascii="Times New Roman" w:hAnsi="Times New Roman"/>
              </w:rPr>
              <w:t>ētikas likuma</w:t>
            </w:r>
            <w:r w:rsidR="00F2350F">
              <w:rPr>
                <w:rFonts w:ascii="Times New Roman" w:hAnsi="Times New Roman"/>
              </w:rPr>
              <w:t xml:space="preserve"> definīciju daļu atbilstoši</w:t>
            </w:r>
            <w:r w:rsidR="004910CA">
              <w:t xml:space="preserve"> </w:t>
            </w:r>
            <w:r w:rsidR="004910CA">
              <w:rPr>
                <w:rFonts w:ascii="Times New Roman" w:hAnsi="Times New Roman"/>
              </w:rPr>
              <w:t>Direktīvai</w:t>
            </w:r>
            <w:r w:rsidR="004910CA" w:rsidRPr="004910CA">
              <w:rPr>
                <w:rFonts w:ascii="Times New Roman" w:hAnsi="Times New Roman"/>
              </w:rPr>
              <w:t xml:space="preserve"> 2009/73/EK</w:t>
            </w:r>
            <w:r w:rsidR="004910CA">
              <w:rPr>
                <w:rFonts w:ascii="Times New Roman" w:hAnsi="Times New Roman"/>
              </w:rPr>
              <w:t>, kā arī precizējot</w:t>
            </w:r>
            <w:r w:rsidR="004910CA" w:rsidRPr="004910CA">
              <w:rPr>
                <w:rFonts w:ascii="Times New Roman" w:hAnsi="Times New Roman"/>
              </w:rPr>
              <w:t xml:space="preserve"> </w:t>
            </w:r>
            <w:r w:rsidR="006A59A8">
              <w:rPr>
                <w:rFonts w:ascii="Times New Roman" w:hAnsi="Times New Roman"/>
              </w:rPr>
              <w:t xml:space="preserve">un aktualizējot regulējumu, </w:t>
            </w:r>
            <w:r w:rsidR="000E4F90">
              <w:rPr>
                <w:rFonts w:ascii="Times New Roman" w:hAnsi="Times New Roman"/>
              </w:rPr>
              <w:t>kurš</w:t>
            </w:r>
            <w:r w:rsidR="000E4F90" w:rsidRPr="000E4F90">
              <w:rPr>
                <w:rFonts w:ascii="Times New Roman" w:hAnsi="Times New Roman"/>
              </w:rPr>
              <w:t xml:space="preserve"> tiks piemērotas, sākot ar 2014.gada 4.aprīli. </w:t>
            </w:r>
          </w:p>
          <w:p w:rsidR="00641BF6" w:rsidRDefault="00641BF6" w:rsidP="00FA51A5">
            <w:pPr>
              <w:suppressAutoHyphens/>
              <w:spacing w:after="0" w:line="240" w:lineRule="auto"/>
              <w:jc w:val="both"/>
              <w:rPr>
                <w:rFonts w:ascii="Times New Roman" w:hAnsi="Times New Roman"/>
              </w:rPr>
            </w:pPr>
          </w:p>
          <w:p w:rsidR="00641BF6" w:rsidRPr="00FA51A5" w:rsidRDefault="00641BF6" w:rsidP="00385472">
            <w:pPr>
              <w:suppressAutoHyphens/>
              <w:spacing w:after="0" w:line="240" w:lineRule="auto"/>
              <w:jc w:val="both"/>
              <w:rPr>
                <w:rFonts w:ascii="Times New Roman" w:hAnsi="Times New Roman"/>
              </w:rPr>
            </w:pPr>
            <w:r w:rsidRPr="00641BF6">
              <w:rPr>
                <w:rFonts w:ascii="Times New Roman" w:hAnsi="Times New Roman"/>
              </w:rPr>
              <w:t xml:space="preserve">REMIT prasības par iedarbīgu, atturošu un samērīgu sankciju ieviešanu attiecas uz </w:t>
            </w:r>
            <w:proofErr w:type="spellStart"/>
            <w:r w:rsidRPr="00641BF6">
              <w:rPr>
                <w:rFonts w:ascii="Times New Roman" w:hAnsi="Times New Roman"/>
              </w:rPr>
              <w:t>vairumtirgus</w:t>
            </w:r>
            <w:proofErr w:type="spellEnd"/>
            <w:r w:rsidRPr="00641BF6">
              <w:rPr>
                <w:rFonts w:ascii="Times New Roman" w:hAnsi="Times New Roman"/>
              </w:rPr>
              <w:t xml:space="preserve"> dalībniekiem REMIT izpratnē, tātad - sistēmu operatoriem un </w:t>
            </w:r>
            <w:r w:rsidR="00385472">
              <w:rPr>
                <w:rFonts w:ascii="Times New Roman" w:hAnsi="Times New Roman"/>
              </w:rPr>
              <w:t>tirgotājiem</w:t>
            </w:r>
            <w:r w:rsidRPr="00641BF6">
              <w:rPr>
                <w:rFonts w:ascii="Times New Roman" w:hAnsi="Times New Roman"/>
              </w:rPr>
              <w:t xml:space="preserve">. REMIT paredz, ka dalībvalstis izstrādā sankcijas, ko piemēro par šīs regulas pārkāpumiem, un veic visus vajadzīgos pasākumus, lai nodrošinātu to īstenošanu. REMIT pārkāpumi aptver ne tikai tieši regulā paredzētos pārkāpumus (aizliegums izmantot iekšējo informāciju un tirgus manipulāciju aizliegums), bet arī pārkāpumus, kas saistīti ar informācijas nesniegšanu regulatoram vai ACER, reģistrēšanos </w:t>
            </w:r>
            <w:proofErr w:type="spellStart"/>
            <w:r w:rsidRPr="00641BF6">
              <w:rPr>
                <w:rFonts w:ascii="Times New Roman" w:hAnsi="Times New Roman"/>
              </w:rPr>
              <w:t>u.c</w:t>
            </w:r>
            <w:proofErr w:type="spellEnd"/>
            <w:r w:rsidRPr="00641BF6">
              <w:rPr>
                <w:rFonts w:ascii="Times New Roman" w:hAnsi="Times New Roman"/>
              </w:rPr>
              <w:t xml:space="preserve">. (ACER </w:t>
            </w:r>
            <w:proofErr w:type="spellStart"/>
            <w:r w:rsidRPr="00641BF6">
              <w:rPr>
                <w:rFonts w:ascii="Times New Roman" w:hAnsi="Times New Roman"/>
              </w:rPr>
              <w:t>Guidance</w:t>
            </w:r>
            <w:proofErr w:type="spellEnd"/>
            <w:r w:rsidRPr="00641BF6">
              <w:rPr>
                <w:rFonts w:ascii="Times New Roman" w:hAnsi="Times New Roman"/>
              </w:rPr>
              <w:t xml:space="preserve"> </w:t>
            </w:r>
            <w:proofErr w:type="spellStart"/>
            <w:r w:rsidRPr="00641BF6">
              <w:rPr>
                <w:rFonts w:ascii="Times New Roman" w:hAnsi="Times New Roman"/>
              </w:rPr>
              <w:t>on</w:t>
            </w:r>
            <w:proofErr w:type="spellEnd"/>
            <w:r w:rsidRPr="00641BF6">
              <w:rPr>
                <w:rFonts w:ascii="Times New Roman" w:hAnsi="Times New Roman"/>
              </w:rPr>
              <w:t xml:space="preserve"> </w:t>
            </w:r>
            <w:proofErr w:type="spellStart"/>
            <w:r w:rsidRPr="00641BF6">
              <w:rPr>
                <w:rFonts w:ascii="Times New Roman" w:hAnsi="Times New Roman"/>
              </w:rPr>
              <w:t>the</w:t>
            </w:r>
            <w:proofErr w:type="spellEnd"/>
            <w:r w:rsidRPr="00641BF6">
              <w:rPr>
                <w:rFonts w:ascii="Times New Roman" w:hAnsi="Times New Roman"/>
              </w:rPr>
              <w:t xml:space="preserve"> </w:t>
            </w:r>
            <w:proofErr w:type="spellStart"/>
            <w:r w:rsidRPr="00641BF6">
              <w:rPr>
                <w:rFonts w:ascii="Times New Roman" w:hAnsi="Times New Roman"/>
              </w:rPr>
              <w:t>application</w:t>
            </w:r>
            <w:proofErr w:type="spellEnd"/>
            <w:r w:rsidRPr="00641BF6">
              <w:rPr>
                <w:rFonts w:ascii="Times New Roman" w:hAnsi="Times New Roman"/>
              </w:rPr>
              <w:t xml:space="preserve"> </w:t>
            </w:r>
            <w:proofErr w:type="spellStart"/>
            <w:r w:rsidRPr="00641BF6">
              <w:rPr>
                <w:rFonts w:ascii="Times New Roman" w:hAnsi="Times New Roman"/>
              </w:rPr>
              <w:t>of</w:t>
            </w:r>
            <w:proofErr w:type="spellEnd"/>
            <w:r w:rsidRPr="00641BF6">
              <w:rPr>
                <w:rFonts w:ascii="Times New Roman" w:hAnsi="Times New Roman"/>
              </w:rPr>
              <w:t xml:space="preserve"> </w:t>
            </w:r>
            <w:proofErr w:type="spellStart"/>
            <w:r w:rsidRPr="00641BF6">
              <w:rPr>
                <w:rFonts w:ascii="Times New Roman" w:hAnsi="Times New Roman"/>
              </w:rPr>
              <w:t>Regulation</w:t>
            </w:r>
            <w:proofErr w:type="spellEnd"/>
            <w:r w:rsidRPr="00641BF6">
              <w:rPr>
                <w:rFonts w:ascii="Times New Roman" w:hAnsi="Times New Roman"/>
              </w:rPr>
              <w:t xml:space="preserve"> (EU) No 1227/2011, 2nd </w:t>
            </w:r>
            <w:proofErr w:type="spellStart"/>
            <w:r w:rsidRPr="00641BF6">
              <w:rPr>
                <w:rFonts w:ascii="Times New Roman" w:hAnsi="Times New Roman"/>
              </w:rPr>
              <w:t>edition</w:t>
            </w:r>
            <w:proofErr w:type="spellEnd"/>
            <w:r w:rsidRPr="00641BF6">
              <w:rPr>
                <w:rFonts w:ascii="Times New Roman" w:hAnsi="Times New Roman"/>
              </w:rPr>
              <w:t>). REMIT preambulas 31.punktā ir ietverta norāde uz iespējamo sankciju apmēru, proti, „atzīstot mijiedarbību starp tirdzniecību ar elektroenerģijas un dabasgāzes atvasinātajiem produktiem un tirdzniecību ar faktisko elektroenerģiju un gāzi, sankcijām par šīs regulas pārkāpumiem būtu jāatbilst tām sankcijām, ko dalībvalstis noteikušas, ieviešot Direktīvu 2003/6/EK”. Minētais nozīmē, ka sankcijām par REMIT pārkāpumiem jāatbilst sankcijām, kas paredzētas par pārkāpumiem saistībā ar finanšu instrumentiem. Vienlaikus REMIT paredz, ka, veicot tirgus uzraudzību, valstu regulatīvās iestādes sadarbojas ar attiecīgajām dalībvalsts izveidotajām tirgus uzraudzības struktūrām (Latvijas gadījumā – Finanšu un kapitāla tirgus komisija).</w:t>
            </w:r>
          </w:p>
        </w:tc>
      </w:tr>
      <w:tr w:rsidR="003D12AB" w:rsidRPr="003D12AB" w:rsidTr="00A759FA">
        <w:trPr>
          <w:trHeight w:val="554"/>
        </w:trPr>
        <w:tc>
          <w:tcPr>
            <w:tcW w:w="550" w:type="dxa"/>
          </w:tcPr>
          <w:p w:rsidR="005526CE" w:rsidRPr="003D12AB" w:rsidRDefault="005526CE" w:rsidP="00A0154D">
            <w:pPr>
              <w:pStyle w:val="naiskr"/>
              <w:spacing w:before="0" w:after="0"/>
              <w:rPr>
                <w:sz w:val="22"/>
                <w:szCs w:val="22"/>
              </w:rPr>
            </w:pPr>
            <w:r w:rsidRPr="003D12AB">
              <w:rPr>
                <w:sz w:val="22"/>
                <w:szCs w:val="22"/>
              </w:rPr>
              <w:lastRenderedPageBreak/>
              <w:t>3.</w:t>
            </w:r>
          </w:p>
        </w:tc>
        <w:tc>
          <w:tcPr>
            <w:tcW w:w="3141" w:type="dxa"/>
          </w:tcPr>
          <w:p w:rsidR="005526CE" w:rsidRPr="003D12AB" w:rsidRDefault="005526CE" w:rsidP="00A0154D">
            <w:pPr>
              <w:pStyle w:val="naiskr"/>
              <w:spacing w:before="0" w:after="0"/>
              <w:rPr>
                <w:sz w:val="22"/>
                <w:szCs w:val="22"/>
              </w:rPr>
            </w:pPr>
            <w:r w:rsidRPr="003D12AB">
              <w:rPr>
                <w:sz w:val="22"/>
                <w:szCs w:val="22"/>
              </w:rPr>
              <w:t>Saistītie politikas ietekmes novērtējumi un pētījumi</w:t>
            </w:r>
          </w:p>
        </w:tc>
        <w:tc>
          <w:tcPr>
            <w:tcW w:w="6379" w:type="dxa"/>
          </w:tcPr>
          <w:p w:rsidR="005526CE" w:rsidRPr="003D12AB" w:rsidRDefault="005526CE" w:rsidP="00A0154D">
            <w:pPr>
              <w:pStyle w:val="FootnoteText"/>
              <w:contextualSpacing/>
              <w:jc w:val="both"/>
              <w:rPr>
                <w:sz w:val="22"/>
                <w:lang w:eastAsia="en-US"/>
              </w:rPr>
            </w:pPr>
            <w:r w:rsidRPr="003D12AB">
              <w:rPr>
                <w:sz w:val="22"/>
                <w:lang w:eastAsia="en-US"/>
              </w:rPr>
              <w:t>Projekts šo jomu neskar.</w:t>
            </w:r>
          </w:p>
        </w:tc>
      </w:tr>
      <w:tr w:rsidR="003D12AB" w:rsidRPr="003D12AB" w:rsidTr="00A759FA">
        <w:trPr>
          <w:trHeight w:val="1550"/>
        </w:trPr>
        <w:tc>
          <w:tcPr>
            <w:tcW w:w="550" w:type="dxa"/>
          </w:tcPr>
          <w:p w:rsidR="005526CE" w:rsidRPr="003D12AB" w:rsidRDefault="005526CE" w:rsidP="00A0154D">
            <w:pPr>
              <w:pStyle w:val="naiskr"/>
              <w:spacing w:before="0" w:after="0"/>
              <w:rPr>
                <w:sz w:val="22"/>
                <w:szCs w:val="22"/>
              </w:rPr>
            </w:pPr>
            <w:r w:rsidRPr="003D12AB">
              <w:rPr>
                <w:sz w:val="22"/>
                <w:szCs w:val="22"/>
              </w:rPr>
              <w:t>4.</w:t>
            </w:r>
          </w:p>
        </w:tc>
        <w:tc>
          <w:tcPr>
            <w:tcW w:w="3141" w:type="dxa"/>
          </w:tcPr>
          <w:p w:rsidR="005526CE" w:rsidRPr="003D12AB" w:rsidRDefault="005526CE" w:rsidP="00A0154D">
            <w:pPr>
              <w:pStyle w:val="naiskr"/>
              <w:spacing w:before="0" w:after="0"/>
              <w:rPr>
                <w:sz w:val="22"/>
                <w:szCs w:val="22"/>
              </w:rPr>
            </w:pPr>
            <w:r w:rsidRPr="003D12AB">
              <w:rPr>
                <w:sz w:val="22"/>
                <w:szCs w:val="22"/>
              </w:rPr>
              <w:t>Tiesiskā regulējuma mērķis un būtība</w:t>
            </w:r>
          </w:p>
        </w:tc>
        <w:tc>
          <w:tcPr>
            <w:tcW w:w="6379" w:type="dxa"/>
          </w:tcPr>
          <w:p w:rsidR="000E4F90" w:rsidRDefault="007F0D87" w:rsidP="002C73CC">
            <w:pPr>
              <w:pStyle w:val="naislab"/>
              <w:spacing w:before="0" w:after="0"/>
              <w:jc w:val="both"/>
              <w:rPr>
                <w:sz w:val="22"/>
                <w:szCs w:val="22"/>
                <w:lang w:eastAsia="en-US"/>
              </w:rPr>
            </w:pPr>
            <w:r w:rsidRPr="002C73CC">
              <w:rPr>
                <w:sz w:val="22"/>
                <w:szCs w:val="22"/>
                <w:lang w:eastAsia="en-US"/>
              </w:rPr>
              <w:t xml:space="preserve">Likumprojekta mērķis ir </w:t>
            </w:r>
            <w:r w:rsidR="002C73CC">
              <w:rPr>
                <w:sz w:val="22"/>
                <w:szCs w:val="22"/>
                <w:lang w:eastAsia="en-US"/>
              </w:rPr>
              <w:t>precizēt u</w:t>
            </w:r>
            <w:r w:rsidR="00F2350F">
              <w:rPr>
                <w:sz w:val="22"/>
                <w:szCs w:val="22"/>
                <w:lang w:eastAsia="en-US"/>
              </w:rPr>
              <w:t>n papildināt Enerģētikas likuma</w:t>
            </w:r>
            <w:r w:rsidR="002C73CC">
              <w:rPr>
                <w:sz w:val="22"/>
                <w:szCs w:val="22"/>
                <w:lang w:eastAsia="en-US"/>
              </w:rPr>
              <w:t xml:space="preserve"> normas, kurām spēkā jāstājas </w:t>
            </w:r>
            <w:r w:rsidR="000E4F90">
              <w:rPr>
                <w:sz w:val="22"/>
                <w:szCs w:val="22"/>
                <w:lang w:eastAsia="en-US"/>
              </w:rPr>
              <w:t>ar 2014.gada 4.aprīli</w:t>
            </w:r>
            <w:r w:rsidR="002C73CC">
              <w:rPr>
                <w:sz w:val="22"/>
                <w:szCs w:val="22"/>
                <w:lang w:eastAsia="en-US"/>
              </w:rPr>
              <w:t>,</w:t>
            </w:r>
            <w:r w:rsidR="000E4F90">
              <w:rPr>
                <w:sz w:val="22"/>
                <w:szCs w:val="22"/>
                <w:lang w:eastAsia="en-US"/>
              </w:rPr>
              <w:t xml:space="preserve"> </w:t>
            </w:r>
            <w:r w:rsidR="00F2350F">
              <w:rPr>
                <w:sz w:val="22"/>
                <w:szCs w:val="22"/>
                <w:lang w:eastAsia="en-US"/>
              </w:rPr>
              <w:t>atbilstoši</w:t>
            </w:r>
            <w:r w:rsidR="002C73CC">
              <w:t xml:space="preserve"> </w:t>
            </w:r>
            <w:r w:rsidR="002C73CC" w:rsidRPr="002C73CC">
              <w:rPr>
                <w:sz w:val="22"/>
                <w:szCs w:val="22"/>
                <w:lang w:eastAsia="en-US"/>
              </w:rPr>
              <w:t>Direktīvai 2009/73/EK</w:t>
            </w:r>
            <w:r w:rsidR="002C73CC">
              <w:rPr>
                <w:sz w:val="22"/>
                <w:szCs w:val="22"/>
                <w:lang w:eastAsia="en-US"/>
              </w:rPr>
              <w:t>, ņem</w:t>
            </w:r>
            <w:r w:rsidR="00031154">
              <w:rPr>
                <w:sz w:val="22"/>
                <w:szCs w:val="22"/>
                <w:lang w:eastAsia="en-US"/>
              </w:rPr>
              <w:t>ot</w:t>
            </w:r>
            <w:r w:rsidR="002C73CC">
              <w:rPr>
                <w:sz w:val="22"/>
                <w:szCs w:val="22"/>
                <w:lang w:eastAsia="en-US"/>
              </w:rPr>
              <w:t xml:space="preserve"> vērā, ka pašreizējā Enerģētikas likumā iestrādātas normas atbilst </w:t>
            </w:r>
            <w:r w:rsidR="002C73CC">
              <w:t xml:space="preserve"> </w:t>
            </w:r>
            <w:r w:rsidR="002C73CC">
              <w:rPr>
                <w:sz w:val="22"/>
                <w:szCs w:val="22"/>
                <w:lang w:eastAsia="en-US"/>
              </w:rPr>
              <w:t>Direktīvas</w:t>
            </w:r>
            <w:r w:rsidR="00F2350F">
              <w:rPr>
                <w:sz w:val="22"/>
                <w:szCs w:val="22"/>
                <w:lang w:eastAsia="en-US"/>
              </w:rPr>
              <w:t xml:space="preserve"> 2003/55/EK</w:t>
            </w:r>
            <w:r w:rsidR="002C73CC">
              <w:rPr>
                <w:sz w:val="22"/>
                <w:szCs w:val="22"/>
                <w:lang w:eastAsia="en-US"/>
              </w:rPr>
              <w:t xml:space="preserve"> prasībām, bet kopš</w:t>
            </w:r>
            <w:r w:rsidR="002C73CC" w:rsidRPr="002C73CC">
              <w:rPr>
                <w:sz w:val="22"/>
                <w:szCs w:val="22"/>
                <w:lang w:eastAsia="en-US"/>
              </w:rPr>
              <w:t xml:space="preserve"> 2</w:t>
            </w:r>
            <w:r w:rsidR="002C73CC">
              <w:rPr>
                <w:sz w:val="22"/>
                <w:szCs w:val="22"/>
                <w:lang w:eastAsia="en-US"/>
              </w:rPr>
              <w:t xml:space="preserve">009.gadā </w:t>
            </w:r>
            <w:r w:rsidR="002C73CC" w:rsidRPr="002C73CC">
              <w:rPr>
                <w:sz w:val="22"/>
                <w:szCs w:val="22"/>
                <w:lang w:eastAsia="en-US"/>
              </w:rPr>
              <w:t>spēkā</w:t>
            </w:r>
            <w:r w:rsidR="00A90456">
              <w:rPr>
                <w:sz w:val="22"/>
                <w:szCs w:val="22"/>
                <w:lang w:eastAsia="en-US"/>
              </w:rPr>
              <w:t xml:space="preserve"> ir </w:t>
            </w:r>
            <w:r w:rsidR="002C73CC" w:rsidRPr="002C73CC">
              <w:rPr>
                <w:sz w:val="22"/>
                <w:szCs w:val="22"/>
                <w:lang w:eastAsia="en-US"/>
              </w:rPr>
              <w:t>Direktīva 2009/73/EK, kas atceļ Direktīvu 2003/55/EK par kopīgiem noteikumiem attiec</w:t>
            </w:r>
            <w:r w:rsidR="002C73CC">
              <w:rPr>
                <w:sz w:val="22"/>
                <w:szCs w:val="22"/>
                <w:lang w:eastAsia="en-US"/>
              </w:rPr>
              <w:t>ībā uz dabasgāzes iekšējo tirgu.</w:t>
            </w:r>
          </w:p>
          <w:p w:rsidR="00182EBD" w:rsidRDefault="00182EBD" w:rsidP="00182EBD">
            <w:pPr>
              <w:suppressAutoHyphens/>
              <w:spacing w:after="0" w:line="240" w:lineRule="auto"/>
              <w:jc w:val="both"/>
              <w:rPr>
                <w:rFonts w:ascii="Times New Roman" w:hAnsi="Times New Roman"/>
                <w:bCs/>
                <w:color w:val="000000"/>
              </w:rPr>
            </w:pPr>
            <w:r>
              <w:rPr>
                <w:rFonts w:ascii="Times New Roman" w:hAnsi="Times New Roman"/>
              </w:rPr>
              <w:lastRenderedPageBreak/>
              <w:t>Likumprojekts nodrošina 1.fāzes prasības, kas  s</w:t>
            </w:r>
            <w:r w:rsidRPr="00BE0668">
              <w:rPr>
                <w:rFonts w:ascii="Times New Roman" w:hAnsi="Times New Roman"/>
                <w:bCs/>
                <w:color w:val="000000"/>
              </w:rPr>
              <w:t>askaņā ar Direktīvas 2009/73/EK 49.panta 2.punktu, Latvijai</w:t>
            </w:r>
            <w:r>
              <w:rPr>
                <w:rFonts w:ascii="Times New Roman" w:hAnsi="Times New Roman"/>
                <w:bCs/>
                <w:color w:val="000000"/>
              </w:rPr>
              <w:t xml:space="preserve"> jāpārņem</w:t>
            </w:r>
            <w:r w:rsidRPr="00BE0668">
              <w:rPr>
                <w:rFonts w:ascii="Times New Roman" w:hAnsi="Times New Roman"/>
                <w:bCs/>
                <w:color w:val="000000"/>
              </w:rPr>
              <w:t>, sākot ar brīdi, kad tā vairs neatbildīs „jauna tirgus” pazīmēm</w:t>
            </w:r>
            <w:r>
              <w:rPr>
                <w:rFonts w:ascii="Times New Roman" w:hAnsi="Times New Roman"/>
                <w:bCs/>
                <w:color w:val="000000"/>
              </w:rPr>
              <w:t xml:space="preserve">. </w:t>
            </w:r>
          </w:p>
          <w:p w:rsidR="00D84391" w:rsidRPr="00F65ACD" w:rsidRDefault="00031154" w:rsidP="00031154">
            <w:pPr>
              <w:pStyle w:val="naislab"/>
              <w:spacing w:before="0" w:after="0"/>
              <w:jc w:val="both"/>
              <w:rPr>
                <w:sz w:val="22"/>
                <w:szCs w:val="22"/>
                <w:lang w:eastAsia="en-US"/>
              </w:rPr>
            </w:pPr>
            <w:r w:rsidRPr="00F65ACD">
              <w:rPr>
                <w:sz w:val="22"/>
                <w:szCs w:val="22"/>
              </w:rPr>
              <w:t>S</w:t>
            </w:r>
            <w:r w:rsidR="00D84391" w:rsidRPr="00F65ACD">
              <w:rPr>
                <w:sz w:val="22"/>
                <w:szCs w:val="22"/>
              </w:rPr>
              <w:t xml:space="preserve">alīdzinājumā ar </w:t>
            </w:r>
            <w:r w:rsidRPr="00F65ACD">
              <w:rPr>
                <w:sz w:val="22"/>
                <w:szCs w:val="22"/>
                <w:lang w:eastAsia="en-US"/>
              </w:rPr>
              <w:t xml:space="preserve">Enerģētikas likuma </w:t>
            </w:r>
            <w:r w:rsidR="00D84391" w:rsidRPr="00F65ACD">
              <w:rPr>
                <w:sz w:val="22"/>
                <w:szCs w:val="22"/>
              </w:rPr>
              <w:t>spēkā esošo reda</w:t>
            </w:r>
            <w:r w:rsidR="00F2350F" w:rsidRPr="00F65ACD">
              <w:rPr>
                <w:sz w:val="22"/>
                <w:szCs w:val="22"/>
              </w:rPr>
              <w:t>kciju, likumprojektā ietvertais</w:t>
            </w:r>
            <w:r w:rsidR="00D84391" w:rsidRPr="00F65ACD">
              <w:rPr>
                <w:sz w:val="22"/>
                <w:szCs w:val="22"/>
              </w:rPr>
              <w:t xml:space="preserve"> </w:t>
            </w:r>
            <w:r w:rsidR="00F2350F" w:rsidRPr="00F65ACD">
              <w:rPr>
                <w:sz w:val="22"/>
                <w:szCs w:val="22"/>
              </w:rPr>
              <w:t>regulējums ir tikai saistībā ar</w:t>
            </w:r>
            <w:r w:rsidRPr="00F65ACD">
              <w:rPr>
                <w:sz w:val="22"/>
                <w:szCs w:val="22"/>
                <w:lang w:eastAsia="en-US"/>
              </w:rPr>
              <w:t xml:space="preserve"> </w:t>
            </w:r>
            <w:r w:rsidR="00E745AC" w:rsidRPr="00F65ACD">
              <w:rPr>
                <w:sz w:val="22"/>
                <w:szCs w:val="22"/>
                <w:lang w:eastAsia="en-US"/>
              </w:rPr>
              <w:t xml:space="preserve">jauniem </w:t>
            </w:r>
            <w:r w:rsidRPr="00F65ACD">
              <w:rPr>
                <w:sz w:val="22"/>
                <w:szCs w:val="22"/>
                <w:lang w:eastAsia="en-US"/>
              </w:rPr>
              <w:t xml:space="preserve">kopīgiem noteikumiem attiecībā uz dabasgāzes iekšējo tirgu, tai skaitā </w:t>
            </w:r>
            <w:r w:rsidR="0023612A" w:rsidRPr="00F65ACD">
              <w:rPr>
                <w:sz w:val="22"/>
                <w:szCs w:val="22"/>
              </w:rPr>
              <w:t>SDG</w:t>
            </w:r>
            <w:r w:rsidR="00D22DC9" w:rsidRPr="00F65ACD">
              <w:rPr>
                <w:sz w:val="22"/>
                <w:szCs w:val="22"/>
              </w:rPr>
              <w:t xml:space="preserve">, </w:t>
            </w:r>
            <w:r w:rsidR="00D84391" w:rsidRPr="00F65ACD">
              <w:rPr>
                <w:sz w:val="22"/>
                <w:szCs w:val="22"/>
              </w:rPr>
              <w:t>un drošības jēdziena skaidrojumu</w:t>
            </w:r>
            <w:r w:rsidRPr="00F65ACD">
              <w:rPr>
                <w:sz w:val="22"/>
                <w:szCs w:val="22"/>
              </w:rPr>
              <w:t>.</w:t>
            </w:r>
          </w:p>
          <w:p w:rsidR="00F50282" w:rsidRPr="00F65ACD" w:rsidRDefault="00916AAA" w:rsidP="00F50282">
            <w:pPr>
              <w:pStyle w:val="Default"/>
              <w:jc w:val="both"/>
              <w:rPr>
                <w:rFonts w:ascii="Times New Roman" w:hAnsi="Times New Roman" w:cs="Times New Roman"/>
                <w:color w:val="auto"/>
                <w:sz w:val="22"/>
                <w:szCs w:val="22"/>
              </w:rPr>
            </w:pPr>
            <w:r w:rsidRPr="00F65ACD">
              <w:rPr>
                <w:rFonts w:ascii="Times New Roman" w:hAnsi="Times New Roman" w:cs="Times New Roman"/>
                <w:color w:val="auto"/>
                <w:sz w:val="22"/>
                <w:szCs w:val="22"/>
              </w:rPr>
              <w:t>G</w:t>
            </w:r>
            <w:r w:rsidR="000E4F90" w:rsidRPr="00F65ACD">
              <w:rPr>
                <w:rFonts w:ascii="Times New Roman" w:hAnsi="Times New Roman" w:cs="Times New Roman"/>
                <w:color w:val="auto"/>
                <w:sz w:val="22"/>
                <w:szCs w:val="22"/>
              </w:rPr>
              <w:t>rozījumi Enerģētikas likum</w:t>
            </w:r>
            <w:r w:rsidRPr="00F65ACD">
              <w:rPr>
                <w:rFonts w:ascii="Times New Roman" w:hAnsi="Times New Roman" w:cs="Times New Roman"/>
                <w:color w:val="auto"/>
                <w:sz w:val="22"/>
                <w:szCs w:val="22"/>
              </w:rPr>
              <w:t xml:space="preserve">a definīciju daļā </w:t>
            </w:r>
            <w:r w:rsidR="000E4F90" w:rsidRPr="00F65ACD">
              <w:rPr>
                <w:rFonts w:ascii="Times New Roman" w:hAnsi="Times New Roman" w:cs="Times New Roman"/>
                <w:color w:val="auto"/>
                <w:sz w:val="22"/>
                <w:szCs w:val="22"/>
              </w:rPr>
              <w:t>paredz virkni papildinājumu saskaņā ar Direktīvu 2009/73/EK</w:t>
            </w:r>
            <w:r w:rsidR="00F50282" w:rsidRPr="00F65ACD">
              <w:rPr>
                <w:rFonts w:ascii="Times New Roman" w:hAnsi="Times New Roman" w:cs="Times New Roman"/>
                <w:color w:val="auto"/>
                <w:sz w:val="22"/>
                <w:szCs w:val="22"/>
              </w:rPr>
              <w:t>.</w:t>
            </w:r>
          </w:p>
          <w:p w:rsidR="00F50282" w:rsidRPr="00F65ACD" w:rsidRDefault="00F50282" w:rsidP="00F50282">
            <w:pPr>
              <w:pStyle w:val="Default"/>
              <w:jc w:val="both"/>
              <w:rPr>
                <w:rFonts w:ascii="Times New Roman" w:hAnsi="Times New Roman" w:cs="Times New Roman"/>
                <w:color w:val="auto"/>
                <w:sz w:val="22"/>
                <w:szCs w:val="22"/>
              </w:rPr>
            </w:pPr>
            <w:r w:rsidRPr="00F65ACD">
              <w:rPr>
                <w:rFonts w:ascii="Times New Roman" w:hAnsi="Times New Roman" w:cs="Times New Roman"/>
                <w:color w:val="auto"/>
                <w:sz w:val="22"/>
                <w:szCs w:val="22"/>
              </w:rPr>
              <w:t xml:space="preserve">Precizējumi </w:t>
            </w:r>
            <w:r w:rsidR="007861A3" w:rsidRPr="00F65ACD">
              <w:rPr>
                <w:rFonts w:ascii="Times New Roman" w:hAnsi="Times New Roman" w:cs="Times New Roman"/>
                <w:color w:val="auto"/>
                <w:sz w:val="22"/>
                <w:szCs w:val="22"/>
              </w:rPr>
              <w:t xml:space="preserve">likuma </w:t>
            </w:r>
            <w:r w:rsidRPr="00F65ACD">
              <w:rPr>
                <w:rFonts w:ascii="Times New Roman" w:hAnsi="Times New Roman" w:cs="Times New Roman"/>
                <w:color w:val="auto"/>
                <w:sz w:val="22"/>
                <w:szCs w:val="22"/>
              </w:rPr>
              <w:t>6., 15. un 42.</w:t>
            </w:r>
            <w:r w:rsidRPr="00F65ACD">
              <w:rPr>
                <w:rFonts w:ascii="Times New Roman" w:hAnsi="Times New Roman" w:cs="Times New Roman"/>
                <w:color w:val="auto"/>
                <w:sz w:val="22"/>
                <w:szCs w:val="22"/>
                <w:vertAlign w:val="superscript"/>
              </w:rPr>
              <w:t>1</w:t>
            </w:r>
            <w:r w:rsidRPr="00F65ACD">
              <w:rPr>
                <w:rFonts w:ascii="Times New Roman" w:hAnsi="Times New Roman" w:cs="Times New Roman"/>
                <w:color w:val="auto"/>
                <w:sz w:val="22"/>
                <w:szCs w:val="22"/>
              </w:rPr>
              <w:t xml:space="preserve"> pantā attiecas uz </w:t>
            </w:r>
            <w:r w:rsidR="002001EF" w:rsidRPr="00F65ACD">
              <w:rPr>
                <w:rFonts w:ascii="Times New Roman" w:hAnsi="Times New Roman" w:cs="Times New Roman"/>
                <w:color w:val="auto"/>
                <w:sz w:val="22"/>
                <w:szCs w:val="22"/>
              </w:rPr>
              <w:t>t</w:t>
            </w:r>
            <w:r w:rsidRPr="00F65ACD">
              <w:rPr>
                <w:rFonts w:ascii="Times New Roman" w:hAnsi="Times New Roman" w:cs="Times New Roman"/>
                <w:color w:val="auto"/>
                <w:sz w:val="22"/>
                <w:szCs w:val="22"/>
              </w:rPr>
              <w:t>rešās puses piekļuves nodrošināšanu dabasgāzes sistēmai.</w:t>
            </w:r>
          </w:p>
          <w:p w:rsidR="00833019" w:rsidRPr="00F65ACD" w:rsidRDefault="00F50282" w:rsidP="00F1473B">
            <w:pPr>
              <w:pStyle w:val="Default"/>
              <w:jc w:val="both"/>
              <w:rPr>
                <w:sz w:val="22"/>
                <w:szCs w:val="22"/>
                <w:lang w:eastAsia="en-US"/>
              </w:rPr>
            </w:pPr>
            <w:r w:rsidRPr="00F65ACD">
              <w:rPr>
                <w:rFonts w:ascii="Times New Roman" w:hAnsi="Times New Roman" w:cs="Times New Roman"/>
                <w:color w:val="auto"/>
                <w:sz w:val="22"/>
                <w:szCs w:val="22"/>
              </w:rPr>
              <w:t xml:space="preserve">Izmaiņas </w:t>
            </w:r>
            <w:r w:rsidR="007861A3" w:rsidRPr="00F65ACD">
              <w:rPr>
                <w:rFonts w:ascii="Times New Roman" w:hAnsi="Times New Roman" w:cs="Times New Roman"/>
                <w:color w:val="auto"/>
                <w:sz w:val="22"/>
                <w:szCs w:val="22"/>
              </w:rPr>
              <w:t xml:space="preserve">likuma </w:t>
            </w:r>
            <w:r w:rsidRPr="00F65ACD">
              <w:rPr>
                <w:rFonts w:ascii="Times New Roman" w:hAnsi="Times New Roman" w:cs="Times New Roman"/>
                <w:color w:val="auto"/>
                <w:sz w:val="22"/>
                <w:szCs w:val="22"/>
              </w:rPr>
              <w:t>7., 15.un 44.pantā, paredz</w:t>
            </w:r>
            <w:r w:rsidR="00445B1D" w:rsidRPr="00F65ACD">
              <w:rPr>
                <w:rFonts w:ascii="Times New Roman" w:hAnsi="Times New Roman" w:cs="Times New Roman"/>
                <w:color w:val="auto"/>
                <w:sz w:val="22"/>
                <w:szCs w:val="22"/>
              </w:rPr>
              <w:t xml:space="preserve"> </w:t>
            </w:r>
            <w:r w:rsidRPr="00F65ACD">
              <w:rPr>
                <w:rFonts w:ascii="Times New Roman" w:hAnsi="Times New Roman" w:cs="Times New Roman"/>
                <w:color w:val="auto"/>
                <w:sz w:val="22"/>
                <w:szCs w:val="22"/>
              </w:rPr>
              <w:t xml:space="preserve">iespējamu </w:t>
            </w:r>
            <w:r w:rsidR="0023612A" w:rsidRPr="00F65ACD">
              <w:rPr>
                <w:rFonts w:ascii="Times New Roman" w:hAnsi="Times New Roman" w:cs="Times New Roman"/>
                <w:color w:val="auto"/>
                <w:sz w:val="22"/>
                <w:szCs w:val="22"/>
              </w:rPr>
              <w:t>SDG</w:t>
            </w:r>
            <w:r w:rsidRPr="00F65ACD">
              <w:rPr>
                <w:rFonts w:ascii="Times New Roman" w:hAnsi="Times New Roman" w:cs="Times New Roman"/>
                <w:color w:val="auto"/>
                <w:sz w:val="22"/>
                <w:szCs w:val="22"/>
              </w:rPr>
              <w:t xml:space="preserve"> termināļa darbību. </w:t>
            </w:r>
            <w:r w:rsidR="00B51BC1" w:rsidRPr="00F65ACD">
              <w:rPr>
                <w:bCs/>
                <w:sz w:val="22"/>
                <w:szCs w:val="22"/>
              </w:rPr>
              <w:t xml:space="preserve">Lai izpildītu Direktīvas 2009/73/EK noteikumus, kas ir saistītas ar SDG, pastāv nepieciešamība atrunāt licences piešķiršanas laiku arī  SDG sistēmas operatoram, tādēļ </w:t>
            </w:r>
            <w:r w:rsidR="00F1473B" w:rsidRPr="00F65ACD">
              <w:rPr>
                <w:sz w:val="22"/>
                <w:szCs w:val="22"/>
                <w:lang w:eastAsia="en-US"/>
              </w:rPr>
              <w:t>l</w:t>
            </w:r>
            <w:r w:rsidR="00F2350F" w:rsidRPr="00F65ACD">
              <w:rPr>
                <w:sz w:val="22"/>
                <w:szCs w:val="22"/>
                <w:lang w:eastAsia="en-US"/>
              </w:rPr>
              <w:t>ikumprojekts</w:t>
            </w:r>
            <w:r w:rsidR="00F1473B" w:rsidRPr="00F65ACD">
              <w:rPr>
                <w:sz w:val="22"/>
                <w:szCs w:val="22"/>
                <w:lang w:eastAsia="en-US"/>
              </w:rPr>
              <w:t xml:space="preserve"> papildina </w:t>
            </w:r>
            <w:r w:rsidR="007861A3" w:rsidRPr="00F65ACD">
              <w:rPr>
                <w:sz w:val="22"/>
                <w:szCs w:val="22"/>
                <w:lang w:eastAsia="en-US"/>
              </w:rPr>
              <w:t xml:space="preserve">likuma </w:t>
            </w:r>
            <w:r w:rsidR="00F1473B" w:rsidRPr="00F65ACD">
              <w:rPr>
                <w:sz w:val="22"/>
                <w:szCs w:val="22"/>
                <w:lang w:eastAsia="en-US"/>
              </w:rPr>
              <w:t xml:space="preserve">7.panta otro daļu ar nosacījumu </w:t>
            </w:r>
            <w:r w:rsidR="003D7E85" w:rsidRPr="00F65ACD">
              <w:rPr>
                <w:sz w:val="22"/>
                <w:szCs w:val="22"/>
                <w:lang w:eastAsia="en-US"/>
              </w:rPr>
              <w:t xml:space="preserve">par licences izsniegšanu </w:t>
            </w:r>
            <w:r w:rsidR="00F1473B" w:rsidRPr="00F65ACD">
              <w:rPr>
                <w:sz w:val="22"/>
                <w:szCs w:val="22"/>
                <w:lang w:eastAsia="en-US"/>
              </w:rPr>
              <w:t xml:space="preserve">arī </w:t>
            </w:r>
            <w:r w:rsidR="0023612A" w:rsidRPr="00F65ACD">
              <w:rPr>
                <w:sz w:val="22"/>
                <w:szCs w:val="22"/>
                <w:lang w:eastAsia="en-US"/>
              </w:rPr>
              <w:t>SDG</w:t>
            </w:r>
            <w:r w:rsidR="00F1473B" w:rsidRPr="00F65ACD">
              <w:rPr>
                <w:sz w:val="22"/>
                <w:szCs w:val="22"/>
                <w:lang w:eastAsia="en-US"/>
              </w:rPr>
              <w:t xml:space="preserve"> sistēmas operatoram </w:t>
            </w:r>
            <w:r w:rsidR="0023612A" w:rsidRPr="00F65ACD">
              <w:rPr>
                <w:sz w:val="22"/>
                <w:szCs w:val="22"/>
                <w:lang w:eastAsia="en-US"/>
              </w:rPr>
              <w:t xml:space="preserve">tieši </w:t>
            </w:r>
            <w:r w:rsidR="00F1473B" w:rsidRPr="00F65ACD">
              <w:rPr>
                <w:sz w:val="22"/>
                <w:szCs w:val="22"/>
                <w:lang w:eastAsia="en-US"/>
              </w:rPr>
              <w:t>tāpat kā tas ir attiecībā uz</w:t>
            </w:r>
            <w:r w:rsidR="003D7E85" w:rsidRPr="00F65ACD">
              <w:rPr>
                <w:sz w:val="22"/>
                <w:szCs w:val="22"/>
                <w:lang w:eastAsia="en-US"/>
              </w:rPr>
              <w:t xml:space="preserve"> elektroenerģijas, </w:t>
            </w:r>
            <w:r w:rsidR="00F1473B" w:rsidRPr="00F65ACD">
              <w:rPr>
                <w:sz w:val="22"/>
                <w:szCs w:val="22"/>
                <w:lang w:eastAsia="en-US"/>
              </w:rPr>
              <w:t>dabasgāzes un siltumenerģijas pārvadi, s</w:t>
            </w:r>
            <w:r w:rsidR="003D7E85" w:rsidRPr="00F65ACD">
              <w:rPr>
                <w:sz w:val="22"/>
                <w:szCs w:val="22"/>
                <w:lang w:eastAsia="en-US"/>
              </w:rPr>
              <w:t xml:space="preserve">adali un dabasgāzes uzglabāšanu. </w:t>
            </w:r>
            <w:r w:rsidR="00F1473B" w:rsidRPr="00F65ACD">
              <w:rPr>
                <w:sz w:val="22"/>
                <w:szCs w:val="22"/>
                <w:lang w:eastAsia="en-US"/>
              </w:rPr>
              <w:t>Licences piešķiršanas procedūr</w:t>
            </w:r>
            <w:r w:rsidR="003D7E85" w:rsidRPr="00F65ACD">
              <w:rPr>
                <w:sz w:val="22"/>
                <w:szCs w:val="22"/>
                <w:lang w:eastAsia="en-US"/>
              </w:rPr>
              <w:t>ā</w:t>
            </w:r>
            <w:r w:rsidR="00F1473B" w:rsidRPr="00F65ACD">
              <w:rPr>
                <w:sz w:val="22"/>
                <w:szCs w:val="22"/>
                <w:lang w:eastAsia="en-US"/>
              </w:rPr>
              <w:t>s</w:t>
            </w:r>
            <w:r w:rsidR="003D7E85" w:rsidRPr="00F65ACD">
              <w:rPr>
                <w:sz w:val="22"/>
                <w:szCs w:val="22"/>
                <w:lang w:eastAsia="en-US"/>
              </w:rPr>
              <w:t xml:space="preserve">, tai skaitā uz izsniegšanas termiņu, </w:t>
            </w:r>
            <w:r w:rsidR="00F1473B" w:rsidRPr="00F65ACD">
              <w:rPr>
                <w:sz w:val="22"/>
                <w:szCs w:val="22"/>
                <w:lang w:eastAsia="en-US"/>
              </w:rPr>
              <w:t>tiek ņemta vēr</w:t>
            </w:r>
            <w:r w:rsidR="003D7E85" w:rsidRPr="00F65ACD">
              <w:rPr>
                <w:sz w:val="22"/>
                <w:szCs w:val="22"/>
                <w:lang w:eastAsia="en-US"/>
              </w:rPr>
              <w:t>ā projekta nozīme iekšējā tirgū, turklāt,</w:t>
            </w:r>
            <w:r w:rsidR="00F1473B" w:rsidRPr="00F65ACD">
              <w:rPr>
                <w:sz w:val="22"/>
                <w:szCs w:val="22"/>
                <w:lang w:eastAsia="en-US"/>
              </w:rPr>
              <w:t xml:space="preserve"> </w:t>
            </w:r>
            <w:r w:rsidR="003D7E85" w:rsidRPr="00F65ACD">
              <w:rPr>
                <w:sz w:val="22"/>
                <w:szCs w:val="22"/>
                <w:lang w:eastAsia="en-US"/>
              </w:rPr>
              <w:t>l</w:t>
            </w:r>
            <w:r w:rsidR="00F1473B" w:rsidRPr="00F65ACD">
              <w:rPr>
                <w:sz w:val="22"/>
                <w:szCs w:val="22"/>
                <w:lang w:eastAsia="en-US"/>
              </w:rPr>
              <w:t xml:space="preserve">icenču piešķiršanas procedūras </w:t>
            </w:r>
            <w:r w:rsidR="003D7E85" w:rsidRPr="00F65ACD">
              <w:rPr>
                <w:sz w:val="22"/>
                <w:szCs w:val="22"/>
                <w:lang w:eastAsia="en-US"/>
              </w:rPr>
              <w:t xml:space="preserve">tiek </w:t>
            </w:r>
            <w:r w:rsidR="00F1473B" w:rsidRPr="00F65ACD">
              <w:rPr>
                <w:sz w:val="22"/>
                <w:szCs w:val="22"/>
                <w:lang w:eastAsia="en-US"/>
              </w:rPr>
              <w:t>publisko</w:t>
            </w:r>
            <w:r w:rsidR="003D7E85" w:rsidRPr="00F65ACD">
              <w:rPr>
                <w:sz w:val="22"/>
                <w:szCs w:val="22"/>
                <w:lang w:eastAsia="en-US"/>
              </w:rPr>
              <w:t>tas.</w:t>
            </w:r>
          </w:p>
          <w:p w:rsidR="000E4F90" w:rsidRDefault="00833019" w:rsidP="004874C6">
            <w:pPr>
              <w:pStyle w:val="naisf"/>
              <w:spacing w:before="0" w:after="120"/>
              <w:ind w:firstLine="0"/>
              <w:rPr>
                <w:sz w:val="22"/>
                <w:szCs w:val="22"/>
                <w:lang w:val="lv-LV" w:eastAsia="lv-LV"/>
              </w:rPr>
            </w:pPr>
            <w:r w:rsidRPr="00F65ACD">
              <w:rPr>
                <w:sz w:val="22"/>
                <w:szCs w:val="22"/>
                <w:lang w:eastAsia="lv-LV"/>
              </w:rPr>
              <w:t xml:space="preserve">Likums tiek papildināts ar jaunu </w:t>
            </w:r>
            <w:r w:rsidRPr="00F65ACD">
              <w:rPr>
                <w:sz w:val="22"/>
                <w:szCs w:val="22"/>
              </w:rPr>
              <w:t>44.</w:t>
            </w:r>
            <w:r w:rsidRPr="00F65ACD">
              <w:rPr>
                <w:sz w:val="22"/>
                <w:szCs w:val="22"/>
                <w:vertAlign w:val="superscript"/>
              </w:rPr>
              <w:t>1</w:t>
            </w:r>
            <w:r w:rsidRPr="00F65ACD">
              <w:rPr>
                <w:sz w:val="22"/>
                <w:szCs w:val="22"/>
              </w:rPr>
              <w:t xml:space="preserve">punktu, lai pārņemtu </w:t>
            </w:r>
            <w:r w:rsidR="00DC4ED6" w:rsidRPr="00F65ACD">
              <w:rPr>
                <w:sz w:val="22"/>
                <w:szCs w:val="22"/>
                <w:lang w:eastAsia="lv-LV"/>
              </w:rPr>
              <w:t>Direktīvas 2009/73/EK 34</w:t>
            </w:r>
            <w:r w:rsidR="00F2350F" w:rsidRPr="00F65ACD">
              <w:rPr>
                <w:sz w:val="22"/>
                <w:szCs w:val="22"/>
                <w:lang w:eastAsia="lv-LV"/>
              </w:rPr>
              <w:t>.panta 3.punktu, kas nosaka, ka</w:t>
            </w:r>
            <w:r w:rsidR="00DC4ED6" w:rsidRPr="00F65ACD">
              <w:rPr>
                <w:sz w:val="22"/>
                <w:szCs w:val="22"/>
                <w:lang w:eastAsia="lv-LV"/>
              </w:rPr>
              <w:t xml:space="preserve"> dalībvalstis nodrošina, ka</w:t>
            </w:r>
            <w:r w:rsidRPr="00F65ACD">
              <w:rPr>
                <w:sz w:val="22"/>
                <w:szCs w:val="22"/>
                <w:lang w:eastAsia="lv-LV"/>
              </w:rPr>
              <w:t xml:space="preserve"> attiecībā uz piekļuvi </w:t>
            </w:r>
            <w:r w:rsidR="00DC4ED6" w:rsidRPr="00F65ACD">
              <w:rPr>
                <w:sz w:val="22"/>
                <w:szCs w:val="22"/>
                <w:lang w:eastAsia="lv-LV"/>
              </w:rPr>
              <w:t>sākumposma pārvades cauruļvadu tīkliem, darbojas domstarpību izšķiršanas sistēma, tostarp iestāde, kas nav atkarīga no iesaistītajām pusēm un kam ir pieejama visa attiecīgā informācija, lai varētu paātrināti izšķirt domstarpības, kas attiecas uz piekļuvi sākumposma pārvades tīkliem, līdz ar to pastāv nepieciešamība pēc ārpustiesas instances, kas izskata strīdus. Latvijas gadījumā šāda instance varētu būt regulators, kas rīkoj</w:t>
            </w:r>
            <w:r w:rsidR="0023612A" w:rsidRPr="00F65ACD">
              <w:rPr>
                <w:sz w:val="22"/>
                <w:szCs w:val="22"/>
                <w:lang w:eastAsia="lv-LV"/>
              </w:rPr>
              <w:t>a</w:t>
            </w:r>
            <w:r w:rsidR="00DC4ED6" w:rsidRPr="00F65ACD">
              <w:rPr>
                <w:sz w:val="22"/>
                <w:szCs w:val="22"/>
                <w:lang w:eastAsia="lv-LV"/>
              </w:rPr>
              <w:t>s likumā „Par sabiedrisko pakalpojumu regulatoriem” noteiktajā kārtībā.</w:t>
            </w:r>
            <w:r w:rsidRPr="00F65ACD">
              <w:rPr>
                <w:sz w:val="22"/>
                <w:szCs w:val="22"/>
                <w:lang w:eastAsia="lv-LV"/>
              </w:rPr>
              <w:t xml:space="preserve"> </w:t>
            </w:r>
            <w:r w:rsidR="0023612A" w:rsidRPr="00F65ACD">
              <w:rPr>
                <w:sz w:val="22"/>
                <w:szCs w:val="22"/>
                <w:lang w:eastAsia="lv-LV"/>
              </w:rPr>
              <w:t>Vēršam uzmanību</w:t>
            </w:r>
            <w:r w:rsidRPr="00F65ACD">
              <w:rPr>
                <w:sz w:val="22"/>
                <w:szCs w:val="22"/>
                <w:lang w:eastAsia="lv-LV"/>
              </w:rPr>
              <w:t>,</w:t>
            </w:r>
            <w:r w:rsidR="0023612A" w:rsidRPr="00F65ACD">
              <w:rPr>
                <w:sz w:val="22"/>
                <w:szCs w:val="22"/>
                <w:lang w:eastAsia="lv-LV"/>
              </w:rPr>
              <w:t xml:space="preserve"> ka</w:t>
            </w:r>
            <w:r w:rsidRPr="00F65ACD">
              <w:rPr>
                <w:sz w:val="22"/>
                <w:szCs w:val="22"/>
                <w:lang w:eastAsia="lv-LV"/>
              </w:rPr>
              <w:t xml:space="preserve"> jaunā </w:t>
            </w:r>
            <w:r w:rsidRPr="00F65ACD">
              <w:rPr>
                <w:sz w:val="22"/>
                <w:szCs w:val="22"/>
              </w:rPr>
              <w:t>44.</w:t>
            </w:r>
            <w:r w:rsidRPr="00F65ACD">
              <w:rPr>
                <w:sz w:val="22"/>
                <w:szCs w:val="22"/>
                <w:vertAlign w:val="superscript"/>
              </w:rPr>
              <w:t>1</w:t>
            </w:r>
            <w:r w:rsidRPr="00F65ACD">
              <w:rPr>
                <w:sz w:val="22"/>
                <w:szCs w:val="22"/>
              </w:rPr>
              <w:t xml:space="preserve">punkta trešās daļas nepieciešamība noteikta </w:t>
            </w:r>
            <w:r w:rsidR="00DC4ED6" w:rsidRPr="00F65ACD">
              <w:rPr>
                <w:sz w:val="22"/>
                <w:szCs w:val="22"/>
                <w:lang w:eastAsia="lv-LV"/>
              </w:rPr>
              <w:t>Direktīvas 2009/73/EK</w:t>
            </w:r>
            <w:r w:rsidRPr="00F65ACD">
              <w:rPr>
                <w:sz w:val="22"/>
                <w:szCs w:val="22"/>
                <w:lang w:eastAsia="lv-LV"/>
              </w:rPr>
              <w:t xml:space="preserve"> </w:t>
            </w:r>
            <w:r w:rsidR="00DC4ED6" w:rsidRPr="00F65ACD">
              <w:rPr>
                <w:sz w:val="22"/>
                <w:szCs w:val="22"/>
                <w:lang w:eastAsia="lv-LV"/>
              </w:rPr>
              <w:t>1.pielikum</w:t>
            </w:r>
            <w:r w:rsidRPr="00F65ACD">
              <w:rPr>
                <w:sz w:val="22"/>
                <w:szCs w:val="22"/>
                <w:lang w:eastAsia="lv-LV"/>
              </w:rPr>
              <w:t xml:space="preserve">ā </w:t>
            </w:r>
            <w:r w:rsidR="00DC4ED6" w:rsidRPr="00F65ACD">
              <w:rPr>
                <w:sz w:val="22"/>
                <w:szCs w:val="22"/>
                <w:lang w:eastAsia="lv-LV"/>
              </w:rPr>
              <w:t>„Patērētāju aizsardzības pasākumi”</w:t>
            </w:r>
            <w:r w:rsidRPr="00F65ACD">
              <w:rPr>
                <w:sz w:val="22"/>
                <w:szCs w:val="22"/>
                <w:lang w:eastAsia="lv-LV"/>
              </w:rPr>
              <w:t>.</w:t>
            </w:r>
          </w:p>
          <w:p w:rsidR="00385472" w:rsidRPr="00385472" w:rsidRDefault="00385472" w:rsidP="00385472">
            <w:pPr>
              <w:pStyle w:val="naisf"/>
              <w:spacing w:after="120"/>
              <w:rPr>
                <w:sz w:val="22"/>
                <w:szCs w:val="22"/>
                <w:lang w:val="lv-LV" w:eastAsia="lv-LV"/>
              </w:rPr>
            </w:pPr>
            <w:r w:rsidRPr="00385472">
              <w:rPr>
                <w:sz w:val="22"/>
                <w:szCs w:val="22"/>
                <w:lang w:val="lv-LV" w:eastAsia="lv-LV"/>
              </w:rPr>
              <w:t>Papildus iepriekšminētajam likumproj</w:t>
            </w:r>
            <w:r>
              <w:rPr>
                <w:sz w:val="22"/>
                <w:szCs w:val="22"/>
                <w:lang w:val="lv-LV" w:eastAsia="lv-LV"/>
              </w:rPr>
              <w:t xml:space="preserve">ekts nosaka sistēmas operatoru un </w:t>
            </w:r>
            <w:r w:rsidRPr="00385472">
              <w:rPr>
                <w:sz w:val="22"/>
                <w:szCs w:val="22"/>
                <w:lang w:val="lv-LV" w:eastAsia="lv-LV"/>
              </w:rPr>
              <w:t>tirgotāj</w:t>
            </w:r>
            <w:r>
              <w:rPr>
                <w:sz w:val="22"/>
                <w:szCs w:val="22"/>
                <w:lang w:val="lv-LV" w:eastAsia="lv-LV"/>
              </w:rPr>
              <w:t>u</w:t>
            </w:r>
            <w:r w:rsidRPr="00385472">
              <w:rPr>
                <w:sz w:val="22"/>
                <w:szCs w:val="22"/>
                <w:lang w:val="lv-LV" w:eastAsia="lv-LV"/>
              </w:rPr>
              <w:t xml:space="preserve"> atbildību par noteiktu </w:t>
            </w:r>
            <w:r>
              <w:rPr>
                <w:sz w:val="22"/>
                <w:szCs w:val="22"/>
                <w:lang w:val="lv-LV" w:eastAsia="lv-LV"/>
              </w:rPr>
              <w:t>Enerģētikas</w:t>
            </w:r>
            <w:r w:rsidRPr="00385472">
              <w:rPr>
                <w:sz w:val="22"/>
                <w:szCs w:val="22"/>
                <w:lang w:val="lv-LV" w:eastAsia="lv-LV"/>
              </w:rPr>
              <w:t xml:space="preserve"> likuma un REMIT prasību neievērošanu, paredzot iedarbīgas, samērīgas un atturošas sankcijas. Konstatējot šādus pārkāpumus, regulators būs tiesīgs uzlikt pienākumu nodrošināt attiecīgo prasību ievērošanu, izteikt komersantam brīdinājumu vai uzlikt soda naudu līdz 10 % apmērā no attiecīgā </w:t>
            </w:r>
            <w:r>
              <w:rPr>
                <w:sz w:val="22"/>
                <w:szCs w:val="22"/>
                <w:lang w:val="lv-LV" w:eastAsia="lv-LV"/>
              </w:rPr>
              <w:t>energoapgādes</w:t>
            </w:r>
            <w:r w:rsidRPr="00385472">
              <w:rPr>
                <w:sz w:val="22"/>
                <w:szCs w:val="22"/>
                <w:lang w:val="lv-LV" w:eastAsia="lv-LV"/>
              </w:rPr>
              <w:t xml:space="preserve"> komersanta iepriekšējā finanšu gada neto apgrozījuma, katrā gadījumā izvērtējot, vai attiecīgais ietekmēšanas līdzeklis būs iedarbīgs, samērīgs un atturošs.</w:t>
            </w:r>
          </w:p>
          <w:p w:rsidR="00385472" w:rsidRPr="00385472" w:rsidRDefault="00385472" w:rsidP="00385472">
            <w:pPr>
              <w:pStyle w:val="naisf"/>
              <w:spacing w:before="0" w:after="120"/>
              <w:ind w:firstLine="0"/>
              <w:rPr>
                <w:sz w:val="22"/>
                <w:szCs w:val="22"/>
                <w:lang w:val="lv-LV" w:eastAsia="lv-LV"/>
              </w:rPr>
            </w:pPr>
            <w:r w:rsidRPr="00385472">
              <w:rPr>
                <w:sz w:val="22"/>
                <w:szCs w:val="22"/>
                <w:lang w:val="lv-LV" w:eastAsia="lv-LV"/>
              </w:rPr>
              <w:t xml:space="preserve">Šo grozījumu mērķis ir radīt tādu regulējumu, kas atturētu </w:t>
            </w:r>
            <w:r>
              <w:rPr>
                <w:sz w:val="22"/>
                <w:szCs w:val="22"/>
                <w:lang w:val="lv-LV" w:eastAsia="lv-LV"/>
              </w:rPr>
              <w:t>energoapgādes komersantus</w:t>
            </w:r>
            <w:r w:rsidRPr="00385472">
              <w:rPr>
                <w:sz w:val="22"/>
                <w:szCs w:val="22"/>
                <w:lang w:val="lv-LV" w:eastAsia="lv-LV"/>
              </w:rPr>
              <w:t xml:space="preserve"> no </w:t>
            </w:r>
            <w:r>
              <w:rPr>
                <w:sz w:val="22"/>
                <w:szCs w:val="22"/>
                <w:lang w:val="lv-LV" w:eastAsia="lv-LV"/>
              </w:rPr>
              <w:t>Enerģētikas</w:t>
            </w:r>
            <w:r w:rsidRPr="00385472">
              <w:rPr>
                <w:sz w:val="22"/>
                <w:szCs w:val="22"/>
                <w:lang w:val="lv-LV" w:eastAsia="lv-LV"/>
              </w:rPr>
              <w:t xml:space="preserve"> likumā un REMIT noteikto prasību neizpildes, un būtu samērīgs ar ieguvumu, kādu </w:t>
            </w:r>
            <w:r>
              <w:rPr>
                <w:sz w:val="22"/>
                <w:szCs w:val="22"/>
                <w:lang w:val="lv-LV" w:eastAsia="lv-LV"/>
              </w:rPr>
              <w:t>energoapgādes komersants</w:t>
            </w:r>
            <w:r w:rsidRPr="00385472">
              <w:rPr>
                <w:sz w:val="22"/>
                <w:szCs w:val="22"/>
                <w:lang w:val="lv-LV" w:eastAsia="lv-LV"/>
              </w:rPr>
              <w:t xml:space="preserve"> varētu gūt vai ir ieguvis, pārkāpjot minētās prasības. Tāpēc ir paredzēts soda naudu noteikt procentuāli no komersanta finanšu gada neto apgrozījuma.</w:t>
            </w:r>
          </w:p>
          <w:p w:rsidR="00F2350F" w:rsidRPr="00F65ACD" w:rsidRDefault="007861A3" w:rsidP="00F2350F">
            <w:pPr>
              <w:suppressAutoHyphens/>
              <w:spacing w:after="0" w:line="240" w:lineRule="auto"/>
              <w:jc w:val="both"/>
              <w:rPr>
                <w:rFonts w:ascii="Times New Roman" w:hAnsi="Times New Roman"/>
                <w:lang w:eastAsia="lv-LV"/>
              </w:rPr>
            </w:pPr>
            <w:r w:rsidRPr="00F65ACD">
              <w:rPr>
                <w:rFonts w:ascii="Times New Roman" w:hAnsi="Times New Roman"/>
                <w:lang w:eastAsia="lv-LV"/>
              </w:rPr>
              <w:t>Likum</w:t>
            </w:r>
            <w:r w:rsidR="001F2941" w:rsidRPr="00F65ACD">
              <w:rPr>
                <w:rFonts w:ascii="Times New Roman" w:hAnsi="Times New Roman"/>
                <w:lang w:eastAsia="lv-LV"/>
              </w:rPr>
              <w:t xml:space="preserve">a </w:t>
            </w:r>
            <w:r w:rsidR="00203042" w:rsidRPr="00F65ACD">
              <w:rPr>
                <w:rFonts w:ascii="Times New Roman" w:hAnsi="Times New Roman"/>
                <w:lang w:eastAsia="lv-LV"/>
              </w:rPr>
              <w:t>Pārejas noteikumi</w:t>
            </w:r>
            <w:r w:rsidR="0023612A" w:rsidRPr="00F65ACD">
              <w:rPr>
                <w:rFonts w:ascii="Times New Roman" w:hAnsi="Times New Roman"/>
                <w:lang w:eastAsia="lv-LV"/>
              </w:rPr>
              <w:t xml:space="preserve"> </w:t>
            </w:r>
            <w:r w:rsidR="00203042" w:rsidRPr="00F65ACD">
              <w:rPr>
                <w:rFonts w:ascii="Times New Roman" w:hAnsi="Times New Roman"/>
                <w:lang w:eastAsia="lv-LV"/>
              </w:rPr>
              <w:t>tiek papildināti ar 31.punktu, kas</w:t>
            </w:r>
            <w:r w:rsidRPr="00F65ACD">
              <w:rPr>
                <w:rFonts w:ascii="Times New Roman" w:hAnsi="Times New Roman"/>
                <w:lang w:eastAsia="lv-LV"/>
              </w:rPr>
              <w:t xml:space="preserve"> paredz pārejas periodu sadales sistēmas nodalīšanas prasībai līdz 2015.gada 1.janvārim, kurā esošajam sadales sistēmas operatoram ir jāpārkārto sava darbība atbilstoši noteiktajām sadales sistēmas operatora neatkarības prasībām. Šāds pārejas periods ir noteikts, lai patērētāji </w:t>
            </w:r>
            <w:r w:rsidRPr="00F65ACD">
              <w:rPr>
                <w:rFonts w:ascii="Times New Roman" w:hAnsi="Times New Roman"/>
                <w:lang w:eastAsia="lv-LV"/>
              </w:rPr>
              <w:lastRenderedPageBreak/>
              <w:t>nenestu papildus slogu, kas izrietēs no izdevumiem saistībā ar ātru komersanta pārkārtošanas laiku.</w:t>
            </w:r>
            <w:r w:rsidR="00451C29" w:rsidRPr="00F65ACD">
              <w:rPr>
                <w:rFonts w:ascii="Times New Roman" w:hAnsi="Times New Roman"/>
                <w:lang w:eastAsia="lv-LV"/>
              </w:rPr>
              <w:t xml:space="preserve"> </w:t>
            </w:r>
          </w:p>
          <w:p w:rsidR="00451C29" w:rsidRPr="00F65ACD" w:rsidRDefault="00451C29" w:rsidP="00FA51A5">
            <w:pPr>
              <w:suppressAutoHyphens/>
              <w:spacing w:after="0" w:line="240" w:lineRule="auto"/>
              <w:jc w:val="both"/>
              <w:rPr>
                <w:rFonts w:ascii="Times New Roman" w:hAnsi="Times New Roman"/>
                <w:lang w:eastAsia="lv-LV"/>
              </w:rPr>
            </w:pPr>
            <w:r w:rsidRPr="00F65ACD">
              <w:rPr>
                <w:rFonts w:ascii="Times New Roman" w:hAnsi="Times New Roman"/>
                <w:lang w:eastAsia="lv-LV"/>
              </w:rPr>
              <w:t>Saskaņā ar Eiropas Parlamenta</w:t>
            </w:r>
            <w:r w:rsidR="00BD0F8F" w:rsidRPr="00F65ACD">
              <w:rPr>
                <w:rFonts w:ascii="Times New Roman" w:hAnsi="Times New Roman"/>
                <w:lang w:eastAsia="lv-LV"/>
              </w:rPr>
              <w:t xml:space="preserve"> un Padomes </w:t>
            </w:r>
            <w:r w:rsidR="00F2350F" w:rsidRPr="00F65ACD">
              <w:rPr>
                <w:rFonts w:ascii="Times New Roman" w:hAnsi="Times New Roman"/>
                <w:lang w:eastAsia="lv-LV"/>
              </w:rPr>
              <w:t>Regulas</w:t>
            </w:r>
            <w:r w:rsidR="00BD0F8F" w:rsidRPr="00F65ACD">
              <w:rPr>
                <w:rFonts w:ascii="Times New Roman" w:hAnsi="Times New Roman"/>
                <w:lang w:eastAsia="lv-LV"/>
              </w:rPr>
              <w:t xml:space="preserve"> (EK) </w:t>
            </w:r>
            <w:proofErr w:type="spellStart"/>
            <w:r w:rsidR="00BD0F8F" w:rsidRPr="00F65ACD">
              <w:rPr>
                <w:rFonts w:ascii="Times New Roman" w:hAnsi="Times New Roman"/>
                <w:lang w:eastAsia="lv-LV"/>
              </w:rPr>
              <w:t>Nr</w:t>
            </w:r>
            <w:proofErr w:type="spellEnd"/>
            <w:r w:rsidR="00BD0F8F" w:rsidRPr="00F65ACD">
              <w:rPr>
                <w:rFonts w:ascii="Times New Roman" w:hAnsi="Times New Roman"/>
                <w:lang w:eastAsia="lv-LV"/>
              </w:rPr>
              <w:t xml:space="preserve">. 715/200 </w:t>
            </w:r>
            <w:r w:rsidRPr="00F65ACD">
              <w:rPr>
                <w:rFonts w:ascii="Times New Roman" w:hAnsi="Times New Roman"/>
                <w:lang w:eastAsia="lv-LV"/>
              </w:rPr>
              <w:t xml:space="preserve">par nosacījumiem attiecībā uz piekļuvi dabasgāzes pārvades tīkliem un par Regulas (EK) </w:t>
            </w:r>
            <w:proofErr w:type="spellStart"/>
            <w:r w:rsidRPr="00F65ACD">
              <w:rPr>
                <w:rFonts w:ascii="Times New Roman" w:hAnsi="Times New Roman"/>
                <w:lang w:eastAsia="lv-LV"/>
              </w:rPr>
              <w:t>Nr</w:t>
            </w:r>
            <w:proofErr w:type="spellEnd"/>
            <w:r w:rsidRPr="00F65ACD">
              <w:rPr>
                <w:rFonts w:ascii="Times New Roman" w:hAnsi="Times New Roman"/>
                <w:lang w:eastAsia="lv-LV"/>
              </w:rPr>
              <w:t>. 1775/2005 atcelšanu</w:t>
            </w:r>
            <w:r w:rsidR="00BD0F8F" w:rsidRPr="00F65ACD">
              <w:rPr>
                <w:rFonts w:ascii="Times New Roman" w:hAnsi="Times New Roman"/>
                <w:lang w:eastAsia="lv-LV"/>
              </w:rPr>
              <w:t xml:space="preserve"> </w:t>
            </w:r>
            <w:r w:rsidRPr="00F65ACD">
              <w:rPr>
                <w:rFonts w:ascii="Times New Roman" w:hAnsi="Times New Roman"/>
                <w:lang w:eastAsia="lv-LV"/>
              </w:rPr>
              <w:t xml:space="preserve">30. </w:t>
            </w:r>
            <w:r w:rsidR="00BD0F8F" w:rsidRPr="00F65ACD">
              <w:rPr>
                <w:rFonts w:ascii="Times New Roman" w:hAnsi="Times New Roman"/>
                <w:lang w:eastAsia="lv-LV"/>
              </w:rPr>
              <w:t>p</w:t>
            </w:r>
            <w:r w:rsidRPr="00F65ACD">
              <w:rPr>
                <w:rFonts w:ascii="Times New Roman" w:hAnsi="Times New Roman"/>
                <w:lang w:eastAsia="lv-LV"/>
              </w:rPr>
              <w:t>ant</w:t>
            </w:r>
            <w:r w:rsidR="00BD0F8F" w:rsidRPr="00F65ACD">
              <w:rPr>
                <w:rFonts w:ascii="Times New Roman" w:hAnsi="Times New Roman"/>
                <w:lang w:eastAsia="lv-LV"/>
              </w:rPr>
              <w:t>ā „</w:t>
            </w:r>
            <w:r w:rsidRPr="00F65ACD">
              <w:rPr>
                <w:rFonts w:ascii="Times New Roman" w:hAnsi="Times New Roman"/>
                <w:lang w:eastAsia="lv-LV"/>
              </w:rPr>
              <w:t>Atkāpes un atbrīvojumi</w:t>
            </w:r>
            <w:r w:rsidR="00BD0F8F" w:rsidRPr="00F65ACD">
              <w:rPr>
                <w:rFonts w:ascii="Times New Roman" w:hAnsi="Times New Roman"/>
                <w:lang w:eastAsia="lv-LV"/>
              </w:rPr>
              <w:t xml:space="preserve">” noteikto, </w:t>
            </w:r>
            <w:r w:rsidRPr="00F65ACD">
              <w:rPr>
                <w:rFonts w:ascii="Times New Roman" w:hAnsi="Times New Roman"/>
              </w:rPr>
              <w:t>dalībvalstis, kurām</w:t>
            </w:r>
            <w:r w:rsidR="00BD0F8F" w:rsidRPr="00F65ACD">
              <w:rPr>
                <w:rFonts w:ascii="Times New Roman" w:hAnsi="Times New Roman"/>
              </w:rPr>
              <w:t xml:space="preserve"> </w:t>
            </w:r>
            <w:r w:rsidRPr="00F65ACD">
              <w:rPr>
                <w:rFonts w:ascii="Times New Roman" w:hAnsi="Times New Roman"/>
              </w:rPr>
              <w:t xml:space="preserve">saskaņā ar Direktīvas 2009/73/EK 49. pantu piešķirta atkāpe, </w:t>
            </w:r>
            <w:r w:rsidR="00203042" w:rsidRPr="00F65ACD">
              <w:rPr>
                <w:rFonts w:ascii="Times New Roman" w:hAnsi="Times New Roman"/>
              </w:rPr>
              <w:t xml:space="preserve">pēc šīs atkāpes izbeigšanās, </w:t>
            </w:r>
            <w:r w:rsidRPr="00F65ACD">
              <w:rPr>
                <w:rFonts w:ascii="Times New Roman" w:hAnsi="Times New Roman"/>
              </w:rPr>
              <w:t>var</w:t>
            </w:r>
            <w:r w:rsidR="00BD0F8F" w:rsidRPr="00F65ACD">
              <w:rPr>
                <w:rFonts w:ascii="Times New Roman" w:hAnsi="Times New Roman"/>
              </w:rPr>
              <w:t xml:space="preserve"> </w:t>
            </w:r>
            <w:r w:rsidRPr="00F65ACD">
              <w:rPr>
                <w:rFonts w:ascii="Times New Roman" w:hAnsi="Times New Roman"/>
              </w:rPr>
              <w:t>Komisijai lūgt pagaidu atkāpi no šīs regulas piemērošanas uz laiku, kas nepārsniedz divus gadus no dienas, kad zaudē spēku minētajā punktā paredzētā atkā</w:t>
            </w:r>
            <w:r w:rsidR="00BD0F8F" w:rsidRPr="00F65ACD">
              <w:rPr>
                <w:rFonts w:ascii="Times New Roman" w:hAnsi="Times New Roman"/>
              </w:rPr>
              <w:t>pe.</w:t>
            </w:r>
            <w:r w:rsidR="00F2350F" w:rsidRPr="00F65ACD">
              <w:rPr>
                <w:rFonts w:ascii="Times New Roman" w:hAnsi="Times New Roman"/>
              </w:rPr>
              <w:t xml:space="preserve"> Latvija pagaidām nav lūgusi Komisijai šo atļauju.</w:t>
            </w:r>
          </w:p>
          <w:p w:rsidR="00CD5EE7" w:rsidRPr="00374765" w:rsidRDefault="0023612A" w:rsidP="00133999">
            <w:pPr>
              <w:suppressAutoHyphens/>
              <w:spacing w:after="0" w:line="240" w:lineRule="auto"/>
              <w:jc w:val="both"/>
              <w:rPr>
                <w:rFonts w:ascii="Times New Roman" w:hAnsi="Times New Roman"/>
                <w:u w:val="single"/>
                <w:lang w:eastAsia="lv-LV"/>
              </w:rPr>
            </w:pPr>
            <w:r w:rsidRPr="00F65ACD">
              <w:rPr>
                <w:rFonts w:ascii="Times New Roman" w:hAnsi="Times New Roman"/>
                <w:color w:val="000000"/>
              </w:rPr>
              <w:t>Direktīvas 2009/73/EK 26., 31. un 32.pant</w:t>
            </w:r>
            <w:r w:rsidR="00133999" w:rsidRPr="00F65ACD">
              <w:rPr>
                <w:rFonts w:ascii="Times New Roman" w:hAnsi="Times New Roman"/>
                <w:color w:val="000000"/>
              </w:rPr>
              <w:t>a</w:t>
            </w:r>
            <w:r w:rsidRPr="00F65ACD">
              <w:rPr>
                <w:rFonts w:ascii="Times New Roman" w:hAnsi="Times New Roman"/>
                <w:color w:val="000000"/>
              </w:rPr>
              <w:t xml:space="preserve"> pārņemšana norādīta Anotācijas V.</w:t>
            </w:r>
            <w:r w:rsidR="00C50847">
              <w:rPr>
                <w:rFonts w:ascii="Times New Roman" w:hAnsi="Times New Roman"/>
                <w:color w:val="000000"/>
              </w:rPr>
              <w:t xml:space="preserve"> </w:t>
            </w:r>
            <w:r w:rsidRPr="00F65ACD">
              <w:rPr>
                <w:rFonts w:ascii="Times New Roman" w:hAnsi="Times New Roman"/>
                <w:color w:val="000000"/>
              </w:rPr>
              <w:t>sadaļā.</w:t>
            </w:r>
          </w:p>
        </w:tc>
      </w:tr>
      <w:tr w:rsidR="003D12AB" w:rsidRPr="003D12AB" w:rsidTr="00A759FA">
        <w:trPr>
          <w:trHeight w:val="476"/>
        </w:trPr>
        <w:tc>
          <w:tcPr>
            <w:tcW w:w="550" w:type="dxa"/>
          </w:tcPr>
          <w:p w:rsidR="005526CE" w:rsidRPr="003D12AB" w:rsidRDefault="005526CE" w:rsidP="00A0154D">
            <w:pPr>
              <w:pStyle w:val="naiskr"/>
              <w:spacing w:before="0" w:after="0"/>
              <w:rPr>
                <w:sz w:val="22"/>
                <w:szCs w:val="22"/>
              </w:rPr>
            </w:pPr>
            <w:r w:rsidRPr="003D12AB">
              <w:rPr>
                <w:sz w:val="22"/>
                <w:szCs w:val="22"/>
              </w:rPr>
              <w:lastRenderedPageBreak/>
              <w:t>5.</w:t>
            </w:r>
          </w:p>
        </w:tc>
        <w:tc>
          <w:tcPr>
            <w:tcW w:w="3141" w:type="dxa"/>
          </w:tcPr>
          <w:p w:rsidR="005526CE" w:rsidRPr="003D12AB" w:rsidRDefault="005526CE" w:rsidP="00A0154D">
            <w:pPr>
              <w:pStyle w:val="naiskr"/>
              <w:spacing w:before="0" w:after="0"/>
              <w:rPr>
                <w:sz w:val="22"/>
                <w:szCs w:val="22"/>
              </w:rPr>
            </w:pPr>
            <w:r w:rsidRPr="003D12AB">
              <w:rPr>
                <w:sz w:val="22"/>
                <w:szCs w:val="22"/>
              </w:rPr>
              <w:t>Projekta izstrādē iesaistītās institūcijas</w:t>
            </w:r>
          </w:p>
        </w:tc>
        <w:tc>
          <w:tcPr>
            <w:tcW w:w="6379" w:type="dxa"/>
          </w:tcPr>
          <w:p w:rsidR="009F3357" w:rsidRDefault="005526CE" w:rsidP="0024490A">
            <w:pPr>
              <w:spacing w:after="0" w:line="240" w:lineRule="auto"/>
              <w:jc w:val="both"/>
              <w:rPr>
                <w:rFonts w:ascii="Times New Roman" w:hAnsi="Times New Roman"/>
              </w:rPr>
            </w:pPr>
            <w:r w:rsidRPr="003D12AB">
              <w:rPr>
                <w:rFonts w:ascii="Times New Roman" w:hAnsi="Times New Roman"/>
              </w:rPr>
              <w:t>Ekonomikas ministrija</w:t>
            </w:r>
            <w:r w:rsidR="009F3357">
              <w:rPr>
                <w:rFonts w:ascii="Times New Roman" w:hAnsi="Times New Roman"/>
              </w:rPr>
              <w:t xml:space="preserve">. </w:t>
            </w:r>
          </w:p>
          <w:p w:rsidR="005526CE" w:rsidRPr="003D12AB" w:rsidRDefault="009F3357" w:rsidP="0024490A">
            <w:pPr>
              <w:spacing w:after="0" w:line="240" w:lineRule="auto"/>
              <w:jc w:val="both"/>
              <w:rPr>
                <w:rFonts w:ascii="Times New Roman" w:hAnsi="Times New Roman"/>
              </w:rPr>
            </w:pPr>
            <w:r>
              <w:rPr>
                <w:rFonts w:ascii="Times New Roman" w:hAnsi="Times New Roman"/>
              </w:rPr>
              <w:t>Projekts apspriests ar Ministru kabineta 2012.gada 23.augusta rīkojumu  Nr.409-k izveidotajā darba grupā</w:t>
            </w:r>
            <w:r w:rsidR="002A31CB">
              <w:rPr>
                <w:rFonts w:ascii="Times New Roman" w:hAnsi="Times New Roman"/>
              </w:rPr>
              <w:t>.</w:t>
            </w:r>
          </w:p>
        </w:tc>
      </w:tr>
      <w:tr w:rsidR="003D12AB" w:rsidRPr="003D12AB" w:rsidTr="00A759FA">
        <w:trPr>
          <w:trHeight w:val="410"/>
        </w:trPr>
        <w:tc>
          <w:tcPr>
            <w:tcW w:w="550" w:type="dxa"/>
          </w:tcPr>
          <w:p w:rsidR="005526CE" w:rsidRPr="003D12AB" w:rsidRDefault="005526CE" w:rsidP="00A0154D">
            <w:pPr>
              <w:pStyle w:val="naiskr"/>
              <w:spacing w:before="0" w:after="0"/>
              <w:rPr>
                <w:sz w:val="22"/>
                <w:szCs w:val="22"/>
              </w:rPr>
            </w:pPr>
            <w:r w:rsidRPr="003D12AB">
              <w:rPr>
                <w:sz w:val="22"/>
                <w:szCs w:val="22"/>
              </w:rPr>
              <w:t>6.</w:t>
            </w:r>
          </w:p>
        </w:tc>
        <w:tc>
          <w:tcPr>
            <w:tcW w:w="3141" w:type="dxa"/>
          </w:tcPr>
          <w:p w:rsidR="005526CE" w:rsidRPr="003D12AB" w:rsidRDefault="005526CE" w:rsidP="00A0154D">
            <w:pPr>
              <w:pStyle w:val="naiskr"/>
              <w:spacing w:before="0" w:after="0"/>
              <w:rPr>
                <w:i/>
                <w:sz w:val="22"/>
                <w:szCs w:val="22"/>
                <w:highlight w:val="yellow"/>
              </w:rPr>
            </w:pPr>
            <w:r w:rsidRPr="003D12AB">
              <w:rPr>
                <w:sz w:val="22"/>
                <w:szCs w:val="22"/>
              </w:rPr>
              <w:t>Iemesli, kādēļ netika nodrošināta sabiedrības līdzdalība</w:t>
            </w:r>
          </w:p>
        </w:tc>
        <w:tc>
          <w:tcPr>
            <w:tcW w:w="6379" w:type="dxa"/>
          </w:tcPr>
          <w:p w:rsidR="005526CE" w:rsidRDefault="00182EBD" w:rsidP="00DE65F6">
            <w:pPr>
              <w:spacing w:after="0" w:line="240" w:lineRule="auto"/>
              <w:ind w:right="81"/>
              <w:jc w:val="both"/>
              <w:rPr>
                <w:rFonts w:ascii="Times New Roman" w:hAnsi="Times New Roman"/>
                <w:color w:val="000000" w:themeColor="text1"/>
                <w:sz w:val="24"/>
                <w:szCs w:val="24"/>
              </w:rPr>
            </w:pPr>
            <w:r w:rsidRPr="00CB4A18">
              <w:rPr>
                <w:rFonts w:ascii="Times New Roman" w:hAnsi="Times New Roman"/>
                <w:color w:val="000000" w:themeColor="text1"/>
                <w:sz w:val="24"/>
                <w:szCs w:val="24"/>
              </w:rPr>
              <w:t>Sabiedrība savu viedokli var</w:t>
            </w:r>
            <w:r w:rsidR="00DE65F6">
              <w:rPr>
                <w:rFonts w:ascii="Times New Roman" w:hAnsi="Times New Roman"/>
                <w:color w:val="000000" w:themeColor="text1"/>
                <w:sz w:val="24"/>
                <w:szCs w:val="24"/>
              </w:rPr>
              <w:t>ēja</w:t>
            </w:r>
            <w:r w:rsidRPr="00CB4A18">
              <w:rPr>
                <w:rFonts w:ascii="Times New Roman" w:hAnsi="Times New Roman"/>
                <w:color w:val="000000" w:themeColor="text1"/>
                <w:sz w:val="24"/>
                <w:szCs w:val="24"/>
              </w:rPr>
              <w:t xml:space="preserve"> izteikt pēc </w:t>
            </w:r>
            <w:r>
              <w:rPr>
                <w:rFonts w:ascii="Times New Roman" w:hAnsi="Times New Roman"/>
                <w:color w:val="000000" w:themeColor="text1"/>
                <w:sz w:val="24"/>
                <w:szCs w:val="24"/>
              </w:rPr>
              <w:t xml:space="preserve">noteikumu </w:t>
            </w:r>
            <w:r w:rsidRPr="00CB4A18">
              <w:rPr>
                <w:rFonts w:ascii="Times New Roman" w:hAnsi="Times New Roman"/>
                <w:color w:val="000000" w:themeColor="text1"/>
                <w:sz w:val="24"/>
                <w:szCs w:val="24"/>
              </w:rPr>
              <w:t xml:space="preserve">projekta izsludināšanas 2013. gada </w:t>
            </w:r>
            <w:r w:rsidR="00DE65F6">
              <w:rPr>
                <w:rFonts w:ascii="Times New Roman" w:hAnsi="Times New Roman"/>
                <w:color w:val="000000" w:themeColor="text1"/>
                <w:sz w:val="24"/>
                <w:szCs w:val="24"/>
              </w:rPr>
              <w:t xml:space="preserve">4.jūlijā. </w:t>
            </w:r>
          </w:p>
          <w:p w:rsidR="00DE65F6" w:rsidRPr="003D12AB" w:rsidRDefault="00DE65F6" w:rsidP="00DE65F6">
            <w:pPr>
              <w:spacing w:after="0" w:line="240" w:lineRule="auto"/>
              <w:ind w:right="81"/>
              <w:jc w:val="both"/>
              <w:rPr>
                <w:rFonts w:ascii="Times New Roman" w:hAnsi="Times New Roman"/>
              </w:rPr>
            </w:pPr>
            <w:r>
              <w:rPr>
                <w:rFonts w:ascii="Times New Roman" w:hAnsi="Times New Roman"/>
                <w:color w:val="000000" w:themeColor="text1"/>
                <w:sz w:val="24"/>
                <w:szCs w:val="24"/>
              </w:rPr>
              <w:t xml:space="preserve">Attiecīgi 2013.gada 15.novembrī tika rīkota starpinstitūciju saskaņošanas sanāksme, kurā piedalījās arī AS „Latvijas gāze” un citi nevalstiskā sektora pārstāvji.  </w:t>
            </w:r>
          </w:p>
        </w:tc>
      </w:tr>
      <w:tr w:rsidR="003D12AB" w:rsidRPr="003D12AB" w:rsidTr="00A759FA">
        <w:tc>
          <w:tcPr>
            <w:tcW w:w="550" w:type="dxa"/>
          </w:tcPr>
          <w:p w:rsidR="005526CE" w:rsidRPr="003D12AB" w:rsidRDefault="005526CE" w:rsidP="00A0154D">
            <w:pPr>
              <w:pStyle w:val="naiskr"/>
              <w:spacing w:before="0" w:after="0"/>
              <w:rPr>
                <w:sz w:val="22"/>
                <w:szCs w:val="22"/>
              </w:rPr>
            </w:pPr>
            <w:r w:rsidRPr="003D12AB">
              <w:rPr>
                <w:sz w:val="22"/>
                <w:szCs w:val="22"/>
              </w:rPr>
              <w:t>7.</w:t>
            </w:r>
          </w:p>
        </w:tc>
        <w:tc>
          <w:tcPr>
            <w:tcW w:w="3141" w:type="dxa"/>
          </w:tcPr>
          <w:p w:rsidR="005526CE" w:rsidRPr="003D12AB" w:rsidRDefault="005526CE" w:rsidP="00A0154D">
            <w:pPr>
              <w:pStyle w:val="naiskr"/>
              <w:spacing w:before="0" w:after="0"/>
              <w:rPr>
                <w:sz w:val="22"/>
                <w:szCs w:val="22"/>
              </w:rPr>
            </w:pPr>
            <w:r w:rsidRPr="003D12AB">
              <w:rPr>
                <w:sz w:val="22"/>
                <w:szCs w:val="22"/>
              </w:rPr>
              <w:t>Cita informācija</w:t>
            </w:r>
          </w:p>
        </w:tc>
        <w:tc>
          <w:tcPr>
            <w:tcW w:w="6379" w:type="dxa"/>
          </w:tcPr>
          <w:p w:rsidR="005526CE" w:rsidRPr="003D12AB" w:rsidRDefault="005526CE" w:rsidP="00A0154D">
            <w:pPr>
              <w:pStyle w:val="naiskr"/>
              <w:spacing w:before="0" w:after="0"/>
              <w:jc w:val="both"/>
              <w:rPr>
                <w:sz w:val="22"/>
                <w:szCs w:val="22"/>
              </w:rPr>
            </w:pPr>
            <w:r w:rsidRPr="003D12AB">
              <w:rPr>
                <w:sz w:val="22"/>
                <w:szCs w:val="22"/>
              </w:rPr>
              <w:t>Nav.</w:t>
            </w:r>
          </w:p>
        </w:tc>
      </w:tr>
    </w:tbl>
    <w:p w:rsidR="005526CE" w:rsidRPr="003D12AB" w:rsidRDefault="005526CE" w:rsidP="00A0154D">
      <w:pPr>
        <w:pStyle w:val="naisf"/>
        <w:tabs>
          <w:tab w:val="left" w:pos="5760"/>
        </w:tabs>
        <w:spacing w:before="0" w:after="0"/>
        <w:ind w:firstLine="0"/>
        <w:rPr>
          <w:sz w:val="22"/>
        </w:rPr>
      </w:pPr>
    </w:p>
    <w:tbl>
      <w:tblPr>
        <w:tblpPr w:leftFromText="180" w:rightFromText="180" w:vertAnchor="text" w:horzAnchor="margin" w:tblpXSpec="center" w:tblpY="14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141"/>
        <w:gridCol w:w="6379"/>
      </w:tblGrid>
      <w:tr w:rsidR="003D12AB" w:rsidRPr="003D12AB" w:rsidTr="00F65ACD">
        <w:tc>
          <w:tcPr>
            <w:tcW w:w="10070" w:type="dxa"/>
            <w:gridSpan w:val="3"/>
            <w:vAlign w:val="center"/>
          </w:tcPr>
          <w:p w:rsidR="005526CE" w:rsidRPr="003D12AB" w:rsidRDefault="005526CE" w:rsidP="00A0154D">
            <w:pPr>
              <w:pStyle w:val="naisnod"/>
              <w:spacing w:before="0" w:after="0"/>
              <w:rPr>
                <w:sz w:val="22"/>
                <w:szCs w:val="22"/>
              </w:rPr>
            </w:pPr>
            <w:r w:rsidRPr="003D12AB">
              <w:rPr>
                <w:sz w:val="22"/>
                <w:szCs w:val="22"/>
              </w:rPr>
              <w:t>II. Tiesību akta projekta ietekme uz sabiedrību</w:t>
            </w:r>
          </w:p>
        </w:tc>
      </w:tr>
      <w:tr w:rsidR="003D12AB" w:rsidRPr="003D12AB" w:rsidTr="00F65ACD">
        <w:trPr>
          <w:trHeight w:val="835"/>
        </w:trPr>
        <w:tc>
          <w:tcPr>
            <w:tcW w:w="550" w:type="dxa"/>
          </w:tcPr>
          <w:p w:rsidR="005526CE" w:rsidRPr="003D12AB" w:rsidRDefault="005526CE" w:rsidP="00A0154D">
            <w:pPr>
              <w:pStyle w:val="naiskr"/>
              <w:spacing w:before="0" w:after="0"/>
              <w:rPr>
                <w:sz w:val="22"/>
                <w:szCs w:val="22"/>
              </w:rPr>
            </w:pPr>
            <w:r w:rsidRPr="003D12AB">
              <w:rPr>
                <w:sz w:val="22"/>
                <w:szCs w:val="22"/>
              </w:rPr>
              <w:t>1.</w:t>
            </w:r>
          </w:p>
        </w:tc>
        <w:tc>
          <w:tcPr>
            <w:tcW w:w="3141" w:type="dxa"/>
          </w:tcPr>
          <w:p w:rsidR="005526CE" w:rsidRPr="003D12AB" w:rsidRDefault="005526CE" w:rsidP="00A0154D">
            <w:pPr>
              <w:pStyle w:val="naiskr"/>
              <w:spacing w:before="0" w:after="0"/>
              <w:ind w:hanging="10"/>
              <w:rPr>
                <w:sz w:val="22"/>
                <w:szCs w:val="22"/>
              </w:rPr>
            </w:pPr>
            <w:r w:rsidRPr="003D12AB">
              <w:rPr>
                <w:sz w:val="22"/>
                <w:szCs w:val="22"/>
              </w:rPr>
              <w:t xml:space="preserve">Sabiedrības </w:t>
            </w:r>
            <w:proofErr w:type="spellStart"/>
            <w:r w:rsidRPr="003D12AB">
              <w:rPr>
                <w:sz w:val="22"/>
                <w:szCs w:val="22"/>
              </w:rPr>
              <w:t>mērķgrupa</w:t>
            </w:r>
            <w:proofErr w:type="spellEnd"/>
          </w:p>
        </w:tc>
        <w:tc>
          <w:tcPr>
            <w:tcW w:w="6379" w:type="dxa"/>
          </w:tcPr>
          <w:p w:rsidR="005526CE" w:rsidRPr="003D12AB" w:rsidRDefault="007F0D87" w:rsidP="007861A3">
            <w:pPr>
              <w:spacing w:after="0" w:line="240" w:lineRule="auto"/>
              <w:jc w:val="both"/>
              <w:rPr>
                <w:rFonts w:ascii="Times New Roman" w:hAnsi="Times New Roman"/>
                <w:bCs/>
              </w:rPr>
            </w:pPr>
            <w:r>
              <w:rPr>
                <w:rFonts w:ascii="Times New Roman" w:hAnsi="Times New Roman"/>
                <w:bCs/>
              </w:rPr>
              <w:t xml:space="preserve">AS „Latvijas </w:t>
            </w:r>
            <w:r w:rsidRPr="00F65ACD">
              <w:rPr>
                <w:rFonts w:ascii="Times New Roman" w:hAnsi="Times New Roman"/>
                <w:bCs/>
              </w:rPr>
              <w:t>gāze”</w:t>
            </w:r>
            <w:r w:rsidR="007861A3" w:rsidRPr="00F65ACD">
              <w:rPr>
                <w:rFonts w:ascii="Times New Roman" w:hAnsi="Times New Roman"/>
              </w:rPr>
              <w:t>,</w:t>
            </w:r>
            <w:r w:rsidR="00374765" w:rsidRPr="00F65ACD">
              <w:rPr>
                <w:rFonts w:ascii="Times New Roman" w:hAnsi="Times New Roman"/>
              </w:rPr>
              <w:t xml:space="preserve"> </w:t>
            </w:r>
            <w:r w:rsidR="007861A3" w:rsidRPr="00F65ACD">
              <w:rPr>
                <w:rFonts w:ascii="Times New Roman" w:hAnsi="Times New Roman"/>
              </w:rPr>
              <w:t>enerģijas lietotāji, (tai skaitā tiesīgie lietotāji), un citi enerģijas tirgus dalībnieki.</w:t>
            </w:r>
          </w:p>
        </w:tc>
      </w:tr>
      <w:tr w:rsidR="003D12AB" w:rsidRPr="003D12AB" w:rsidTr="00F65ACD">
        <w:trPr>
          <w:trHeight w:val="472"/>
        </w:trPr>
        <w:tc>
          <w:tcPr>
            <w:tcW w:w="550" w:type="dxa"/>
          </w:tcPr>
          <w:p w:rsidR="005526CE" w:rsidRPr="003D12AB" w:rsidRDefault="005526CE" w:rsidP="00A0154D">
            <w:pPr>
              <w:pStyle w:val="naiskr"/>
              <w:spacing w:before="0" w:after="0"/>
              <w:rPr>
                <w:sz w:val="22"/>
                <w:szCs w:val="22"/>
              </w:rPr>
            </w:pPr>
            <w:r w:rsidRPr="003D12AB">
              <w:rPr>
                <w:sz w:val="22"/>
                <w:szCs w:val="22"/>
              </w:rPr>
              <w:t>2.</w:t>
            </w:r>
          </w:p>
        </w:tc>
        <w:tc>
          <w:tcPr>
            <w:tcW w:w="3141" w:type="dxa"/>
          </w:tcPr>
          <w:p w:rsidR="005526CE" w:rsidRPr="003D12AB" w:rsidRDefault="005526CE" w:rsidP="00A0154D">
            <w:pPr>
              <w:pStyle w:val="naiskr"/>
              <w:tabs>
                <w:tab w:val="left" w:pos="170"/>
              </w:tabs>
              <w:spacing w:before="0" w:after="0"/>
              <w:rPr>
                <w:sz w:val="22"/>
                <w:szCs w:val="22"/>
              </w:rPr>
            </w:pPr>
            <w:r w:rsidRPr="003D12AB">
              <w:rPr>
                <w:sz w:val="22"/>
                <w:szCs w:val="22"/>
              </w:rPr>
              <w:t xml:space="preserve">Citas sabiedrības grupas (bez </w:t>
            </w:r>
            <w:proofErr w:type="spellStart"/>
            <w:r w:rsidRPr="003D12AB">
              <w:rPr>
                <w:sz w:val="22"/>
                <w:szCs w:val="22"/>
              </w:rPr>
              <w:t>mērķgrupas</w:t>
            </w:r>
            <w:proofErr w:type="spellEnd"/>
            <w:r w:rsidRPr="003D12AB">
              <w:rPr>
                <w:sz w:val="22"/>
                <w:szCs w:val="22"/>
              </w:rPr>
              <w:t>), kuras tiesiskais regulējums arī ietekmē vai varētu ietekmēt</w:t>
            </w:r>
          </w:p>
        </w:tc>
        <w:tc>
          <w:tcPr>
            <w:tcW w:w="6379" w:type="dxa"/>
          </w:tcPr>
          <w:p w:rsidR="005526CE" w:rsidRPr="003D12AB" w:rsidRDefault="005526CE" w:rsidP="00A0154D">
            <w:pPr>
              <w:spacing w:after="0" w:line="240" w:lineRule="auto"/>
              <w:jc w:val="both"/>
              <w:rPr>
                <w:rFonts w:ascii="Times New Roman" w:hAnsi="Times New Roman"/>
              </w:rPr>
            </w:pPr>
            <w:r w:rsidRPr="003D12AB">
              <w:rPr>
                <w:rFonts w:ascii="Times New Roman" w:hAnsi="Times New Roman"/>
              </w:rPr>
              <w:t>Nav.</w:t>
            </w:r>
          </w:p>
        </w:tc>
      </w:tr>
      <w:tr w:rsidR="003D12AB" w:rsidRPr="003D12AB" w:rsidTr="00F65ACD">
        <w:trPr>
          <w:trHeight w:val="386"/>
        </w:trPr>
        <w:tc>
          <w:tcPr>
            <w:tcW w:w="550" w:type="dxa"/>
          </w:tcPr>
          <w:p w:rsidR="005526CE" w:rsidRPr="003D12AB" w:rsidRDefault="005526CE" w:rsidP="00A0154D">
            <w:pPr>
              <w:pStyle w:val="naiskr"/>
              <w:spacing w:before="0" w:after="0"/>
              <w:rPr>
                <w:sz w:val="22"/>
                <w:szCs w:val="22"/>
              </w:rPr>
            </w:pPr>
            <w:r w:rsidRPr="003D12AB">
              <w:rPr>
                <w:sz w:val="22"/>
                <w:szCs w:val="22"/>
              </w:rPr>
              <w:t>3.</w:t>
            </w:r>
          </w:p>
        </w:tc>
        <w:tc>
          <w:tcPr>
            <w:tcW w:w="3141"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Tiesiskā regulējuma finansiālā ietekme</w:t>
            </w:r>
          </w:p>
        </w:tc>
        <w:tc>
          <w:tcPr>
            <w:tcW w:w="6379" w:type="dxa"/>
          </w:tcPr>
          <w:p w:rsidR="005526CE" w:rsidRPr="003D12AB" w:rsidRDefault="007F0D87" w:rsidP="00F65AC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Nav</w:t>
            </w:r>
            <w:r w:rsidR="00F65ACD">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p>
        </w:tc>
      </w:tr>
      <w:tr w:rsidR="003D12AB" w:rsidRPr="003D12AB" w:rsidTr="00F65ACD">
        <w:trPr>
          <w:trHeight w:val="557"/>
        </w:trPr>
        <w:tc>
          <w:tcPr>
            <w:tcW w:w="550" w:type="dxa"/>
          </w:tcPr>
          <w:p w:rsidR="005526CE" w:rsidRPr="003D12AB" w:rsidRDefault="005526CE" w:rsidP="00A0154D">
            <w:pPr>
              <w:pStyle w:val="naiskr"/>
              <w:spacing w:before="0" w:after="0"/>
              <w:rPr>
                <w:sz w:val="22"/>
                <w:szCs w:val="22"/>
              </w:rPr>
            </w:pPr>
            <w:r w:rsidRPr="003D12AB">
              <w:rPr>
                <w:sz w:val="22"/>
                <w:szCs w:val="22"/>
              </w:rPr>
              <w:t>4.</w:t>
            </w:r>
          </w:p>
        </w:tc>
        <w:tc>
          <w:tcPr>
            <w:tcW w:w="3141"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Tiesiskā regulējuma nefinansiālā ietekme</w:t>
            </w:r>
          </w:p>
        </w:tc>
        <w:tc>
          <w:tcPr>
            <w:tcW w:w="6379" w:type="dxa"/>
          </w:tcPr>
          <w:p w:rsidR="00AA023F" w:rsidRDefault="007F0D87" w:rsidP="007F0D87">
            <w:pPr>
              <w:spacing w:after="0" w:line="240" w:lineRule="auto"/>
              <w:jc w:val="both"/>
              <w:rPr>
                <w:rFonts w:ascii="Times New Roman" w:hAnsi="Times New Roman"/>
                <w:lang w:eastAsia="lv-LV"/>
              </w:rPr>
            </w:pPr>
            <w:r>
              <w:rPr>
                <w:rFonts w:ascii="Times New Roman" w:hAnsi="Times New Roman"/>
                <w:lang w:eastAsia="lv-LV"/>
              </w:rPr>
              <w:t xml:space="preserve">Latvijas nacionālais tiesiskais regulējums tiek salāgots ar spēkā esošo ES regulējumu. </w:t>
            </w:r>
          </w:p>
          <w:p w:rsidR="005526CE" w:rsidRPr="003D12AB" w:rsidRDefault="00AA023F" w:rsidP="00C50847">
            <w:pPr>
              <w:suppressAutoHyphens/>
              <w:spacing w:after="0" w:line="240" w:lineRule="auto"/>
              <w:jc w:val="both"/>
              <w:rPr>
                <w:rFonts w:ascii="Times New Roman" w:hAnsi="Times New Roman"/>
              </w:rPr>
            </w:pPr>
            <w:r w:rsidRPr="00F65ACD">
              <w:rPr>
                <w:rFonts w:ascii="Times New Roman" w:hAnsi="Times New Roman"/>
              </w:rPr>
              <w:t>Vienlaikus, izvērtējot atsevišķa tiesību akta lietderību saistībā ar direktīvā noteikto termiņu spēkā stāšanos, Ekonomikas ministrija papildināja šo likumprojektu ar regulējumu, kas atcels  Enerģētikas likuma atsevišķu pantu spēkā stāšanās kārtības likumu, tādējādi samazinot normatīvo aktu skaitu, kas regulē attiecīgu jomu.</w:t>
            </w:r>
          </w:p>
        </w:tc>
      </w:tr>
      <w:tr w:rsidR="003D12AB" w:rsidRPr="003D12AB" w:rsidTr="00F65ACD">
        <w:trPr>
          <w:trHeight w:val="476"/>
        </w:trPr>
        <w:tc>
          <w:tcPr>
            <w:tcW w:w="550" w:type="dxa"/>
          </w:tcPr>
          <w:p w:rsidR="005526CE" w:rsidRPr="003D12AB" w:rsidRDefault="005526CE" w:rsidP="00A0154D">
            <w:pPr>
              <w:pStyle w:val="naiskr"/>
              <w:spacing w:before="0" w:after="0"/>
              <w:rPr>
                <w:sz w:val="22"/>
                <w:szCs w:val="22"/>
              </w:rPr>
            </w:pPr>
            <w:r w:rsidRPr="003D12AB">
              <w:rPr>
                <w:sz w:val="22"/>
                <w:szCs w:val="22"/>
              </w:rPr>
              <w:t>5.</w:t>
            </w:r>
          </w:p>
        </w:tc>
        <w:tc>
          <w:tcPr>
            <w:tcW w:w="3141"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Administratīvās procedūras raksturojums</w:t>
            </w:r>
          </w:p>
        </w:tc>
        <w:tc>
          <w:tcPr>
            <w:tcW w:w="6379" w:type="dxa"/>
          </w:tcPr>
          <w:p w:rsidR="00C50847" w:rsidRPr="00F65ACD" w:rsidRDefault="007861A3" w:rsidP="00C50847">
            <w:pPr>
              <w:spacing w:after="0" w:line="240" w:lineRule="auto"/>
              <w:jc w:val="both"/>
              <w:rPr>
                <w:rFonts w:ascii="Times New Roman" w:hAnsi="Times New Roman"/>
              </w:rPr>
            </w:pPr>
            <w:r w:rsidRPr="00F65ACD">
              <w:rPr>
                <w:rFonts w:ascii="Times New Roman" w:hAnsi="Times New Roman"/>
              </w:rPr>
              <w:t xml:space="preserve">Tiek ieviestas jauna administratīvā procedūra - pārrobežu </w:t>
            </w:r>
            <w:r w:rsidR="00F2350F" w:rsidRPr="00F65ACD">
              <w:rPr>
                <w:rFonts w:ascii="Times New Roman" w:hAnsi="Times New Roman"/>
              </w:rPr>
              <w:t>strīdu izskatīšana attiecībā uz</w:t>
            </w:r>
            <w:r w:rsidRPr="00F65ACD">
              <w:rPr>
                <w:rFonts w:ascii="Times New Roman" w:hAnsi="Times New Roman"/>
              </w:rPr>
              <w:t xml:space="preserve"> piekļuvi sākumposma pārvades caur</w:t>
            </w:r>
            <w:r w:rsidR="00F2350F" w:rsidRPr="00F65ACD">
              <w:rPr>
                <w:rFonts w:ascii="Times New Roman" w:hAnsi="Times New Roman"/>
              </w:rPr>
              <w:t>uļvadu tīkliem, kuras veic SPRK</w:t>
            </w:r>
            <w:r w:rsidRPr="00F65ACD">
              <w:rPr>
                <w:rFonts w:ascii="Times New Roman" w:hAnsi="Times New Roman"/>
              </w:rPr>
              <w:t xml:space="preserve"> likumā „Par sabiedrisko pakalpojumu regulatoriem” noteiktajā kārtībā.</w:t>
            </w:r>
            <w:r w:rsidR="00C50847">
              <w:rPr>
                <w:rFonts w:ascii="Times New Roman" w:hAnsi="Times New Roman"/>
              </w:rPr>
              <w:t xml:space="preserve"> Procedūras ieviešanai tiek noteikts </w:t>
            </w:r>
            <w:r w:rsidR="00C50847" w:rsidRPr="00C50847">
              <w:rPr>
                <w:rFonts w:ascii="Times New Roman" w:hAnsi="Times New Roman"/>
                <w:color w:val="000000"/>
              </w:rPr>
              <w:t>pārejas periods</w:t>
            </w:r>
            <w:r w:rsidR="00C50847">
              <w:rPr>
                <w:rFonts w:ascii="Times New Roman" w:hAnsi="Times New Roman"/>
                <w:color w:val="000000"/>
              </w:rPr>
              <w:t>.</w:t>
            </w:r>
          </w:p>
        </w:tc>
      </w:tr>
      <w:tr w:rsidR="003D12AB" w:rsidRPr="003D12AB" w:rsidTr="00F65ACD">
        <w:trPr>
          <w:trHeight w:val="469"/>
        </w:trPr>
        <w:tc>
          <w:tcPr>
            <w:tcW w:w="550" w:type="dxa"/>
          </w:tcPr>
          <w:p w:rsidR="005526CE" w:rsidRPr="003D12AB" w:rsidRDefault="005526CE" w:rsidP="00A0154D">
            <w:pPr>
              <w:pStyle w:val="naiskr"/>
              <w:spacing w:before="0" w:after="0"/>
              <w:rPr>
                <w:sz w:val="22"/>
                <w:szCs w:val="22"/>
              </w:rPr>
            </w:pPr>
            <w:r w:rsidRPr="003D12AB">
              <w:rPr>
                <w:sz w:val="22"/>
                <w:szCs w:val="22"/>
              </w:rPr>
              <w:t>6.</w:t>
            </w:r>
          </w:p>
        </w:tc>
        <w:tc>
          <w:tcPr>
            <w:tcW w:w="3141" w:type="dxa"/>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Administratīvo izmaksu monetārs novērtējums</w:t>
            </w:r>
          </w:p>
        </w:tc>
        <w:tc>
          <w:tcPr>
            <w:tcW w:w="6379" w:type="dxa"/>
          </w:tcPr>
          <w:p w:rsidR="005526CE" w:rsidRPr="003D12AB" w:rsidRDefault="005526CE" w:rsidP="00A0154D">
            <w:pPr>
              <w:spacing w:after="0" w:line="240" w:lineRule="auto"/>
              <w:jc w:val="both"/>
              <w:rPr>
                <w:rFonts w:ascii="Times New Roman" w:hAnsi="Times New Roman"/>
                <w:lang w:eastAsia="lv-LV"/>
              </w:rPr>
            </w:pPr>
            <w:r w:rsidRPr="003D12AB">
              <w:rPr>
                <w:rFonts w:ascii="Times New Roman" w:hAnsi="Times New Roman"/>
                <w:iCs/>
              </w:rPr>
              <w:t>Projekts šo jomu neskar.</w:t>
            </w:r>
          </w:p>
        </w:tc>
      </w:tr>
      <w:tr w:rsidR="003D12AB" w:rsidRPr="003D12AB" w:rsidTr="00F65ACD">
        <w:trPr>
          <w:trHeight w:val="324"/>
        </w:trPr>
        <w:tc>
          <w:tcPr>
            <w:tcW w:w="550" w:type="dxa"/>
            <w:tcBorders>
              <w:bottom w:val="single" w:sz="4" w:space="0" w:color="auto"/>
            </w:tcBorders>
          </w:tcPr>
          <w:p w:rsidR="005526CE" w:rsidRPr="003D12AB" w:rsidRDefault="005526CE" w:rsidP="00A0154D">
            <w:pPr>
              <w:pStyle w:val="naiskr"/>
              <w:spacing w:before="0" w:after="0"/>
              <w:rPr>
                <w:sz w:val="22"/>
                <w:szCs w:val="22"/>
              </w:rPr>
            </w:pPr>
            <w:r w:rsidRPr="003D12AB">
              <w:rPr>
                <w:sz w:val="22"/>
                <w:szCs w:val="22"/>
              </w:rPr>
              <w:t>7.</w:t>
            </w:r>
          </w:p>
        </w:tc>
        <w:tc>
          <w:tcPr>
            <w:tcW w:w="3141" w:type="dxa"/>
            <w:tcBorders>
              <w:bottom w:val="single" w:sz="4" w:space="0" w:color="auto"/>
            </w:tcBorders>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Cita informācija</w:t>
            </w:r>
          </w:p>
        </w:tc>
        <w:tc>
          <w:tcPr>
            <w:tcW w:w="6379" w:type="dxa"/>
            <w:tcBorders>
              <w:bottom w:val="single" w:sz="4" w:space="0" w:color="auto"/>
            </w:tcBorders>
          </w:tcPr>
          <w:p w:rsidR="005526CE" w:rsidRPr="003D12AB" w:rsidRDefault="005526CE" w:rsidP="00A0154D">
            <w:pPr>
              <w:spacing w:after="0" w:line="240" w:lineRule="auto"/>
              <w:rPr>
                <w:rFonts w:ascii="Times New Roman" w:hAnsi="Times New Roman"/>
                <w:lang w:eastAsia="lv-LV"/>
              </w:rPr>
            </w:pPr>
            <w:r w:rsidRPr="003D12AB">
              <w:rPr>
                <w:rFonts w:ascii="Times New Roman" w:hAnsi="Times New Roman"/>
                <w:lang w:eastAsia="lv-LV"/>
              </w:rPr>
              <w:t>Nav.</w:t>
            </w:r>
          </w:p>
        </w:tc>
      </w:tr>
      <w:tr w:rsidR="003D12AB" w:rsidRPr="003D12AB" w:rsidTr="00F65ACD">
        <w:trPr>
          <w:trHeight w:val="324"/>
        </w:trPr>
        <w:tc>
          <w:tcPr>
            <w:tcW w:w="550" w:type="dxa"/>
            <w:tcBorders>
              <w:left w:val="single" w:sz="4" w:space="0" w:color="FFFFFF"/>
              <w:bottom w:val="nil"/>
              <w:right w:val="single" w:sz="4" w:space="0" w:color="FFFFFF"/>
            </w:tcBorders>
          </w:tcPr>
          <w:p w:rsidR="005526CE" w:rsidRPr="003D12AB" w:rsidRDefault="005526CE" w:rsidP="00A0154D">
            <w:pPr>
              <w:pStyle w:val="naiskr"/>
              <w:spacing w:before="0" w:after="0"/>
              <w:rPr>
                <w:sz w:val="22"/>
                <w:szCs w:val="22"/>
              </w:rPr>
            </w:pPr>
          </w:p>
        </w:tc>
        <w:tc>
          <w:tcPr>
            <w:tcW w:w="3141" w:type="dxa"/>
            <w:tcBorders>
              <w:left w:val="single" w:sz="4" w:space="0" w:color="FFFFFF"/>
              <w:bottom w:val="nil"/>
              <w:right w:val="single" w:sz="4" w:space="0" w:color="FFFFFF"/>
            </w:tcBorders>
          </w:tcPr>
          <w:p w:rsidR="005526CE" w:rsidRPr="003D12AB" w:rsidRDefault="005526CE" w:rsidP="00A0154D">
            <w:pPr>
              <w:spacing w:after="0" w:line="240" w:lineRule="auto"/>
              <w:rPr>
                <w:rFonts w:ascii="Times New Roman" w:hAnsi="Times New Roman"/>
                <w:lang w:eastAsia="lv-LV"/>
              </w:rPr>
            </w:pPr>
          </w:p>
        </w:tc>
        <w:tc>
          <w:tcPr>
            <w:tcW w:w="6379" w:type="dxa"/>
            <w:tcBorders>
              <w:left w:val="single" w:sz="4" w:space="0" w:color="FFFFFF"/>
              <w:bottom w:val="nil"/>
              <w:right w:val="single" w:sz="4" w:space="0" w:color="FFFFFF"/>
            </w:tcBorders>
          </w:tcPr>
          <w:p w:rsidR="0052290A" w:rsidRPr="003D12AB" w:rsidRDefault="0052290A" w:rsidP="00A0154D">
            <w:pPr>
              <w:spacing w:after="0" w:line="240" w:lineRule="auto"/>
              <w:rPr>
                <w:rFonts w:ascii="Times New Roman" w:hAnsi="Times New Roman"/>
                <w:lang w:eastAsia="lv-LV"/>
              </w:rPr>
            </w:pPr>
          </w:p>
        </w:tc>
      </w:tr>
    </w:tbl>
    <w:tbl>
      <w:tblPr>
        <w:tblW w:w="5512"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66"/>
        <w:gridCol w:w="3022"/>
        <w:gridCol w:w="6378"/>
      </w:tblGrid>
      <w:tr w:rsidR="003D12AB" w:rsidRPr="003D12AB" w:rsidTr="00374765">
        <w:tc>
          <w:tcPr>
            <w:tcW w:w="5000" w:type="pct"/>
            <w:gridSpan w:val="3"/>
            <w:tcBorders>
              <w:top w:val="single" w:sz="6" w:space="0" w:color="000000"/>
              <w:left w:val="single" w:sz="6" w:space="0" w:color="000000"/>
              <w:bottom w:val="outset" w:sz="6" w:space="0" w:color="000000"/>
              <w:right w:val="single" w:sz="6" w:space="0" w:color="000000"/>
            </w:tcBorders>
          </w:tcPr>
          <w:p w:rsidR="005526CE" w:rsidRPr="003D12AB" w:rsidRDefault="005526CE">
            <w:pPr>
              <w:pStyle w:val="NormalWeb"/>
              <w:spacing w:before="0" w:beforeAutospacing="0" w:after="0" w:afterAutospacing="0"/>
              <w:jc w:val="center"/>
              <w:rPr>
                <w:b/>
                <w:bCs/>
                <w:sz w:val="22"/>
                <w:szCs w:val="22"/>
                <w:lang w:eastAsia="lv-LV"/>
              </w:rPr>
            </w:pPr>
            <w:r w:rsidRPr="003D12AB">
              <w:rPr>
                <w:b/>
                <w:bCs/>
                <w:sz w:val="22"/>
                <w:szCs w:val="22"/>
                <w:lang w:eastAsia="lv-LV"/>
              </w:rPr>
              <w:t>IV. Tiesību akta projekta ietekme uz spēkā esošo tiesību normu sistēmu</w:t>
            </w:r>
          </w:p>
        </w:tc>
      </w:tr>
      <w:tr w:rsidR="003D12AB" w:rsidRPr="003D12AB" w:rsidTr="00F65ACD">
        <w:tc>
          <w:tcPr>
            <w:tcW w:w="331"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eastAsia="lv-LV"/>
              </w:rPr>
            </w:pPr>
            <w:r w:rsidRPr="003D12AB">
              <w:rPr>
                <w:sz w:val="22"/>
                <w:szCs w:val="22"/>
                <w:lang w:eastAsia="lv-LV"/>
              </w:rPr>
              <w:t>1.</w:t>
            </w:r>
          </w:p>
        </w:tc>
        <w:tc>
          <w:tcPr>
            <w:tcW w:w="1501" w:type="pct"/>
            <w:tcBorders>
              <w:top w:val="outset" w:sz="6" w:space="0" w:color="000000"/>
              <w:left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eastAsia="lv-LV"/>
              </w:rPr>
            </w:pPr>
            <w:r w:rsidRPr="003D12AB">
              <w:rPr>
                <w:sz w:val="22"/>
                <w:szCs w:val="22"/>
                <w:lang w:eastAsia="lv-LV"/>
              </w:rPr>
              <w:t>Nepieciešamie saistītie tiesību aktu projekti</w:t>
            </w:r>
          </w:p>
        </w:tc>
        <w:tc>
          <w:tcPr>
            <w:tcW w:w="3168" w:type="pct"/>
            <w:tcBorders>
              <w:top w:val="outset" w:sz="6" w:space="0" w:color="000000"/>
              <w:left w:val="outset" w:sz="6" w:space="0" w:color="000000"/>
              <w:bottom w:val="outset" w:sz="6" w:space="0" w:color="000000"/>
            </w:tcBorders>
          </w:tcPr>
          <w:p w:rsidR="0073697B" w:rsidRPr="00F65ACD" w:rsidRDefault="008D052F" w:rsidP="00142C73">
            <w:pPr>
              <w:pStyle w:val="naisc"/>
              <w:spacing w:before="0" w:after="0"/>
              <w:ind w:firstLine="21"/>
              <w:jc w:val="both"/>
              <w:rPr>
                <w:sz w:val="22"/>
                <w:szCs w:val="22"/>
              </w:rPr>
            </w:pPr>
            <w:r w:rsidRPr="00F65ACD">
              <w:rPr>
                <w:sz w:val="22"/>
                <w:szCs w:val="22"/>
              </w:rPr>
              <w:t xml:space="preserve">Likumprojektā paredzēts regulējums, kas aizstāj Enerģētikas likuma atsevišķu pantu spēkā stāšanās kārtības likumā noteiktās normas, izrietoši, ar 2014.gada 4.aprīli spēku zaudē Enerģētikas likuma </w:t>
            </w:r>
            <w:r w:rsidRPr="00F65ACD">
              <w:rPr>
                <w:sz w:val="22"/>
                <w:szCs w:val="22"/>
              </w:rPr>
              <w:lastRenderedPageBreak/>
              <w:t>atsevišķu pantu spēkā stāšanās kārtības likums (Latvijas Republikas Saeimas un Ministru Kabineta Ziņotājs, 2005, 14.nr., Latvijas Vēstnesis, 2009, 194.nr.)</w:t>
            </w:r>
            <w:r w:rsidR="002A31CB" w:rsidRPr="00F65ACD">
              <w:rPr>
                <w:sz w:val="22"/>
                <w:szCs w:val="22"/>
              </w:rPr>
              <w:t xml:space="preserve">. </w:t>
            </w:r>
            <w:r w:rsidR="00A67BC7" w:rsidRPr="00F65ACD">
              <w:rPr>
                <w:sz w:val="22"/>
                <w:szCs w:val="22"/>
              </w:rPr>
              <w:t>Pēc likumprojekta pieņemšanas</w:t>
            </w:r>
            <w:r w:rsidR="004874C6" w:rsidRPr="00F65ACD">
              <w:rPr>
                <w:sz w:val="22"/>
                <w:szCs w:val="22"/>
              </w:rPr>
              <w:t xml:space="preserve"> </w:t>
            </w:r>
            <w:r w:rsidR="001F2941" w:rsidRPr="00F65ACD">
              <w:rPr>
                <w:sz w:val="22"/>
                <w:szCs w:val="22"/>
              </w:rPr>
              <w:t>būs nepieciešams veikt</w:t>
            </w:r>
            <w:r w:rsidR="004874C6" w:rsidRPr="00F65ACD">
              <w:rPr>
                <w:sz w:val="22"/>
                <w:szCs w:val="22"/>
              </w:rPr>
              <w:t xml:space="preserve"> grozījum</w:t>
            </w:r>
            <w:r w:rsidR="001F2941" w:rsidRPr="00F65ACD">
              <w:rPr>
                <w:sz w:val="22"/>
                <w:szCs w:val="22"/>
              </w:rPr>
              <w:t xml:space="preserve">us </w:t>
            </w:r>
            <w:r w:rsidR="004874C6" w:rsidRPr="00F65ACD">
              <w:rPr>
                <w:sz w:val="22"/>
                <w:szCs w:val="22"/>
              </w:rPr>
              <w:t>Ministru kabineta 2009.gada 27.oktobra noteikumos Nr.1227 „Noteikumi par regulējamiem sabiedrisko pakalpojumu veidiem”, ja sistēmas operatora funkcijās būs SDG pakalpojumi</w:t>
            </w:r>
            <w:r w:rsidR="00CB7F34" w:rsidRPr="00F65ACD">
              <w:rPr>
                <w:sz w:val="22"/>
                <w:szCs w:val="22"/>
              </w:rPr>
              <w:t xml:space="preserve"> līdz</w:t>
            </w:r>
            <w:r w:rsidR="004874C6" w:rsidRPr="00F65ACD">
              <w:rPr>
                <w:sz w:val="22"/>
                <w:szCs w:val="22"/>
              </w:rPr>
              <w:t xml:space="preserve"> ar SDG termināļa darbības uzsākšanu Latvijā</w:t>
            </w:r>
            <w:r w:rsidR="00E760A2" w:rsidRPr="00F65ACD">
              <w:rPr>
                <w:sz w:val="22"/>
                <w:szCs w:val="22"/>
              </w:rPr>
              <w:t>.</w:t>
            </w:r>
            <w:r w:rsidR="00896761" w:rsidRPr="00F65ACD">
              <w:rPr>
                <w:sz w:val="22"/>
                <w:szCs w:val="22"/>
              </w:rPr>
              <w:t xml:space="preserve"> </w:t>
            </w:r>
            <w:r w:rsidR="00F25CE1" w:rsidRPr="00F65ACD">
              <w:rPr>
                <w:sz w:val="22"/>
                <w:szCs w:val="22"/>
              </w:rPr>
              <w:t>L</w:t>
            </w:r>
            <w:r w:rsidR="00E760A2" w:rsidRPr="00F65ACD">
              <w:rPr>
                <w:sz w:val="22"/>
                <w:szCs w:val="22"/>
              </w:rPr>
              <w:t xml:space="preserve">īdz ar </w:t>
            </w:r>
            <w:r w:rsidR="00F25CE1" w:rsidRPr="00F65ACD">
              <w:rPr>
                <w:sz w:val="22"/>
                <w:szCs w:val="22"/>
              </w:rPr>
              <w:t xml:space="preserve">likuma </w:t>
            </w:r>
            <w:r w:rsidR="00142C73" w:rsidRPr="00F65ACD">
              <w:rPr>
                <w:sz w:val="22"/>
                <w:szCs w:val="22"/>
              </w:rPr>
              <w:t>atsevišķu pantu stāšanos spēkā</w:t>
            </w:r>
            <w:r w:rsidR="00F25CE1" w:rsidRPr="00F65ACD">
              <w:rPr>
                <w:sz w:val="22"/>
                <w:szCs w:val="22"/>
              </w:rPr>
              <w:t>,</w:t>
            </w:r>
            <w:r w:rsidR="00E760A2" w:rsidRPr="00F65ACD">
              <w:rPr>
                <w:sz w:val="22"/>
                <w:szCs w:val="22"/>
              </w:rPr>
              <w:t xml:space="preserve"> tiks pārskatīta </w:t>
            </w:r>
            <w:r w:rsidR="00F25CE1" w:rsidRPr="00F65ACD">
              <w:rPr>
                <w:sz w:val="22"/>
                <w:szCs w:val="22"/>
              </w:rPr>
              <w:t xml:space="preserve">arī </w:t>
            </w:r>
            <w:r w:rsidR="00E760A2" w:rsidRPr="00F65ACD">
              <w:rPr>
                <w:sz w:val="22"/>
                <w:szCs w:val="22"/>
              </w:rPr>
              <w:t xml:space="preserve">virkne </w:t>
            </w:r>
            <w:r w:rsidR="00F25CE1" w:rsidRPr="00F65ACD">
              <w:rPr>
                <w:sz w:val="22"/>
                <w:szCs w:val="22"/>
              </w:rPr>
              <w:t xml:space="preserve">Sabiedrisko pakalpojumu regulēšanas komisijas pieņemto </w:t>
            </w:r>
            <w:r w:rsidR="00E760A2" w:rsidRPr="00F65ACD">
              <w:rPr>
                <w:sz w:val="22"/>
                <w:szCs w:val="22"/>
              </w:rPr>
              <w:t>lēmum</w:t>
            </w:r>
            <w:r w:rsidR="00F25CE1" w:rsidRPr="00F65ACD">
              <w:rPr>
                <w:sz w:val="22"/>
                <w:szCs w:val="22"/>
              </w:rPr>
              <w:t>u</w:t>
            </w:r>
            <w:r w:rsidR="00142C73" w:rsidRPr="00F65ACD">
              <w:rPr>
                <w:sz w:val="22"/>
                <w:szCs w:val="22"/>
              </w:rPr>
              <w:t xml:space="preserve">, piemēram, </w:t>
            </w:r>
            <w:r w:rsidR="00513317" w:rsidRPr="00F65ACD">
              <w:rPr>
                <w:sz w:val="22"/>
                <w:szCs w:val="22"/>
              </w:rPr>
              <w:t xml:space="preserve"> </w:t>
            </w:r>
            <w:proofErr w:type="spellStart"/>
            <w:r w:rsidR="00513317" w:rsidRPr="00F65ACD">
              <w:rPr>
                <w:sz w:val="22"/>
                <w:szCs w:val="22"/>
              </w:rPr>
              <w:t>Nr</w:t>
            </w:r>
            <w:proofErr w:type="spellEnd"/>
            <w:r w:rsidR="00513317" w:rsidRPr="00F65ACD">
              <w:rPr>
                <w:sz w:val="22"/>
                <w:szCs w:val="22"/>
              </w:rPr>
              <w:t>. 1/23 „</w:t>
            </w:r>
            <w:hyperlink r:id="rId8" w:tgtFrame="_blank" w:history="1">
              <w:r w:rsidR="00E760A2" w:rsidRPr="00F65ACD">
                <w:rPr>
                  <w:sz w:val="22"/>
                  <w:szCs w:val="22"/>
                </w:rPr>
                <w:t>Dabasgāzes pārvades pakalpojumu tarifu aprēķināšanas metodika</w:t>
              </w:r>
            </w:hyperlink>
            <w:r w:rsidR="00513317" w:rsidRPr="00F65ACD">
              <w:rPr>
                <w:sz w:val="22"/>
                <w:szCs w:val="22"/>
              </w:rPr>
              <w:t xml:space="preserve">”, </w:t>
            </w:r>
            <w:r w:rsidR="00E760A2" w:rsidRPr="00F65ACD">
              <w:rPr>
                <w:sz w:val="22"/>
                <w:szCs w:val="22"/>
              </w:rPr>
              <w:t xml:space="preserve"> </w:t>
            </w:r>
            <w:proofErr w:type="spellStart"/>
            <w:r w:rsidR="00E760A2" w:rsidRPr="00F65ACD">
              <w:rPr>
                <w:sz w:val="22"/>
                <w:szCs w:val="22"/>
              </w:rPr>
              <w:t>N</w:t>
            </w:r>
            <w:r w:rsidR="00513317" w:rsidRPr="00F65ACD">
              <w:rPr>
                <w:sz w:val="22"/>
                <w:szCs w:val="22"/>
              </w:rPr>
              <w:t>r</w:t>
            </w:r>
            <w:proofErr w:type="spellEnd"/>
            <w:r w:rsidR="00513317" w:rsidRPr="00F65ACD">
              <w:rPr>
                <w:sz w:val="22"/>
                <w:szCs w:val="22"/>
              </w:rPr>
              <w:t>.</w:t>
            </w:r>
            <w:r w:rsidR="00142C73" w:rsidRPr="00F65ACD">
              <w:rPr>
                <w:sz w:val="22"/>
                <w:szCs w:val="22"/>
              </w:rPr>
              <w:t xml:space="preserve"> 1/24</w:t>
            </w:r>
            <w:r w:rsidR="00513317" w:rsidRPr="00F65ACD">
              <w:rPr>
                <w:sz w:val="22"/>
                <w:szCs w:val="22"/>
              </w:rPr>
              <w:t>„</w:t>
            </w:r>
            <w:hyperlink r:id="rId9" w:tgtFrame="_blank" w:history="1">
              <w:r w:rsidR="00E760A2" w:rsidRPr="00F65ACD">
                <w:rPr>
                  <w:sz w:val="22"/>
                  <w:szCs w:val="22"/>
                </w:rPr>
                <w:t>Dabasgāzes uzglabāšanas pakalpojumu tarifu aprēķināšanas metodika</w:t>
              </w:r>
            </w:hyperlink>
            <w:r w:rsidR="00513317" w:rsidRPr="00F65ACD">
              <w:rPr>
                <w:sz w:val="22"/>
                <w:szCs w:val="22"/>
              </w:rPr>
              <w:t>”</w:t>
            </w:r>
            <w:r w:rsidR="00F65ACD">
              <w:rPr>
                <w:sz w:val="22"/>
                <w:szCs w:val="22"/>
              </w:rPr>
              <w:t xml:space="preserve"> </w:t>
            </w:r>
            <w:r w:rsidR="00142C73" w:rsidRPr="00F65ACD">
              <w:rPr>
                <w:sz w:val="22"/>
                <w:szCs w:val="22"/>
              </w:rPr>
              <w:t>un</w:t>
            </w:r>
            <w:r w:rsidR="00513317" w:rsidRPr="00F65ACD">
              <w:rPr>
                <w:sz w:val="22"/>
                <w:szCs w:val="22"/>
              </w:rPr>
              <w:t xml:space="preserve">  </w:t>
            </w:r>
            <w:proofErr w:type="spellStart"/>
            <w:r w:rsidR="00513317" w:rsidRPr="00F65ACD">
              <w:rPr>
                <w:sz w:val="22"/>
                <w:szCs w:val="22"/>
              </w:rPr>
              <w:t>Nr</w:t>
            </w:r>
            <w:proofErr w:type="spellEnd"/>
            <w:r w:rsidR="00513317" w:rsidRPr="00F65ACD">
              <w:rPr>
                <w:sz w:val="22"/>
                <w:szCs w:val="22"/>
              </w:rPr>
              <w:t>.</w:t>
            </w:r>
            <w:r w:rsidR="00E760A2" w:rsidRPr="00F65ACD">
              <w:rPr>
                <w:sz w:val="22"/>
                <w:szCs w:val="22"/>
              </w:rPr>
              <w:t xml:space="preserve"> 1/25</w:t>
            </w:r>
            <w:r w:rsidR="00513317" w:rsidRPr="00F65ACD">
              <w:rPr>
                <w:sz w:val="22"/>
                <w:szCs w:val="22"/>
              </w:rPr>
              <w:t>„</w:t>
            </w:r>
            <w:hyperlink r:id="rId10" w:tgtFrame="_blank" w:history="1">
              <w:r w:rsidR="00E760A2" w:rsidRPr="00F65ACD">
                <w:rPr>
                  <w:sz w:val="22"/>
                  <w:szCs w:val="22"/>
                </w:rPr>
                <w:t>Dabasgāzes tirdzniecības tarifu aprēķināšanas metodika</w:t>
              </w:r>
            </w:hyperlink>
            <w:r w:rsidR="00513317" w:rsidRPr="00F65ACD">
              <w:rPr>
                <w:sz w:val="22"/>
                <w:szCs w:val="22"/>
              </w:rPr>
              <w:t>”</w:t>
            </w:r>
            <w:r w:rsidR="003D09A9" w:rsidRPr="00F65ACD">
              <w:rPr>
                <w:sz w:val="22"/>
                <w:szCs w:val="22"/>
              </w:rPr>
              <w:t xml:space="preserve">, </w:t>
            </w:r>
            <w:r w:rsidR="00142C73" w:rsidRPr="00F65ACD">
              <w:rPr>
                <w:sz w:val="22"/>
                <w:szCs w:val="22"/>
              </w:rPr>
              <w:t xml:space="preserve">lai pārliecinātos par iespējamo nepieciešamību veikt tajos korekcijas un grozījumus. </w:t>
            </w:r>
          </w:p>
          <w:p w:rsidR="00FA51A5" w:rsidRPr="001F2941" w:rsidRDefault="00FA51A5" w:rsidP="00F65ACD">
            <w:pPr>
              <w:pStyle w:val="NormalWeb"/>
              <w:spacing w:before="0" w:beforeAutospacing="0" w:after="0" w:afterAutospacing="0"/>
              <w:jc w:val="both"/>
              <w:rPr>
                <w:color w:val="000000"/>
                <w:sz w:val="22"/>
                <w:szCs w:val="22"/>
              </w:rPr>
            </w:pPr>
            <w:r w:rsidRPr="00F65ACD">
              <w:rPr>
                <w:sz w:val="22"/>
                <w:szCs w:val="22"/>
                <w:lang w:eastAsia="lv-LV"/>
              </w:rPr>
              <w:t>Likumprojekts paredz, ka ministru kabinets nosaka tehniskās un drošības prasības un ķīmiskās īpašības biogāzei un no biomasas ražot</w:t>
            </w:r>
            <w:r w:rsidR="00F65ACD" w:rsidRPr="00F65ACD">
              <w:rPr>
                <w:sz w:val="22"/>
                <w:szCs w:val="22"/>
                <w:lang w:val="lv-LV" w:eastAsia="lv-LV"/>
              </w:rPr>
              <w:t>ai</w:t>
            </w:r>
            <w:r w:rsidRPr="00F65ACD">
              <w:rPr>
                <w:sz w:val="22"/>
                <w:szCs w:val="22"/>
                <w:lang w:eastAsia="lv-LV"/>
              </w:rPr>
              <w:t xml:space="preserve"> gāzei, kā arī sašķidrinātajai dabasgāzei, lai tās varētu tehniski un droši ievadīt un transportēt dabasgāzes pārvades sistēmā, līdz ar to ir nepieciešams izstrādāt jaunus Ministra kabineta noteikumus (sešu mēnešu laikā pēc likumproj</w:t>
            </w:r>
            <w:r w:rsidR="00182EBD" w:rsidRPr="00F65ACD">
              <w:rPr>
                <w:sz w:val="22"/>
                <w:szCs w:val="22"/>
                <w:lang w:eastAsia="lv-LV"/>
              </w:rPr>
              <w:t>e</w:t>
            </w:r>
            <w:r w:rsidRPr="00F65ACD">
              <w:rPr>
                <w:sz w:val="22"/>
                <w:szCs w:val="22"/>
                <w:lang w:eastAsia="lv-LV"/>
              </w:rPr>
              <w:t>kta 42.</w:t>
            </w:r>
            <w:r w:rsidRPr="00F65ACD">
              <w:rPr>
                <w:sz w:val="22"/>
                <w:szCs w:val="22"/>
                <w:vertAlign w:val="superscript"/>
                <w:lang w:eastAsia="lv-LV"/>
              </w:rPr>
              <w:t>1</w:t>
            </w:r>
            <w:r w:rsidRPr="00F65ACD">
              <w:rPr>
                <w:sz w:val="22"/>
                <w:szCs w:val="22"/>
                <w:lang w:eastAsia="lv-LV"/>
              </w:rPr>
              <w:t xml:space="preserve"> panta piektās daļas stāšanās spēkā).</w:t>
            </w:r>
          </w:p>
        </w:tc>
      </w:tr>
      <w:tr w:rsidR="003D12AB" w:rsidRPr="003D12AB" w:rsidTr="00F65ACD">
        <w:trPr>
          <w:trHeight w:val="35"/>
        </w:trPr>
        <w:tc>
          <w:tcPr>
            <w:tcW w:w="331" w:type="pct"/>
            <w:tcBorders>
              <w:top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eastAsia="lv-LV"/>
              </w:rPr>
            </w:pPr>
            <w:r w:rsidRPr="003D12AB">
              <w:rPr>
                <w:sz w:val="22"/>
                <w:szCs w:val="22"/>
                <w:lang w:eastAsia="lv-LV"/>
              </w:rPr>
              <w:lastRenderedPageBreak/>
              <w:t>2.</w:t>
            </w:r>
          </w:p>
        </w:tc>
        <w:tc>
          <w:tcPr>
            <w:tcW w:w="1501" w:type="pct"/>
            <w:tcBorders>
              <w:top w:val="outset" w:sz="6" w:space="0" w:color="000000"/>
              <w:left w:val="outset" w:sz="6" w:space="0" w:color="000000"/>
              <w:bottom w:val="outset" w:sz="6" w:space="0" w:color="000000"/>
              <w:right w:val="outset" w:sz="6" w:space="0" w:color="000000"/>
            </w:tcBorders>
          </w:tcPr>
          <w:p w:rsidR="005526CE" w:rsidRPr="003D12AB" w:rsidRDefault="005526CE">
            <w:pPr>
              <w:pStyle w:val="NormalWeb"/>
              <w:spacing w:before="0" w:beforeAutospacing="0" w:after="0" w:afterAutospacing="0"/>
              <w:rPr>
                <w:sz w:val="22"/>
                <w:szCs w:val="22"/>
                <w:lang w:eastAsia="lv-LV"/>
              </w:rPr>
            </w:pPr>
            <w:r w:rsidRPr="003D12AB">
              <w:rPr>
                <w:sz w:val="22"/>
                <w:szCs w:val="22"/>
                <w:lang w:eastAsia="lv-LV"/>
              </w:rPr>
              <w:t>Cita informācija</w:t>
            </w:r>
          </w:p>
        </w:tc>
        <w:tc>
          <w:tcPr>
            <w:tcW w:w="3168" w:type="pct"/>
            <w:tcBorders>
              <w:top w:val="outset" w:sz="6" w:space="0" w:color="000000"/>
              <w:left w:val="outset" w:sz="6" w:space="0" w:color="000000"/>
              <w:bottom w:val="outset" w:sz="6" w:space="0" w:color="000000"/>
            </w:tcBorders>
          </w:tcPr>
          <w:p w:rsidR="005526CE" w:rsidRPr="003D12AB" w:rsidRDefault="00161A4F" w:rsidP="00E44D8A">
            <w:pPr>
              <w:pStyle w:val="PlainText"/>
              <w:jc w:val="both"/>
              <w:rPr>
                <w:sz w:val="22"/>
                <w:szCs w:val="22"/>
                <w:lang w:eastAsia="lv-LV"/>
              </w:rPr>
            </w:pPr>
            <w:r>
              <w:rPr>
                <w:rFonts w:ascii="Times New Roman" w:hAnsi="Times New Roman"/>
                <w:sz w:val="22"/>
                <w:szCs w:val="22"/>
                <w:lang w:eastAsia="lv-LV"/>
              </w:rPr>
              <w:t>Saskaņā ar Ministru ka</w:t>
            </w:r>
            <w:r w:rsidR="00545B17">
              <w:rPr>
                <w:rFonts w:ascii="Times New Roman" w:hAnsi="Times New Roman"/>
                <w:sz w:val="22"/>
                <w:szCs w:val="22"/>
                <w:lang w:eastAsia="lv-LV"/>
              </w:rPr>
              <w:t>bineta doto uzdevumu Ekonomikas</w:t>
            </w:r>
            <w:r>
              <w:rPr>
                <w:rFonts w:ascii="Times New Roman" w:hAnsi="Times New Roman"/>
                <w:sz w:val="22"/>
                <w:szCs w:val="22"/>
                <w:lang w:eastAsia="lv-LV"/>
              </w:rPr>
              <w:t xml:space="preserve"> ministrija </w:t>
            </w:r>
            <w:r w:rsidR="00E44D8A">
              <w:rPr>
                <w:rFonts w:ascii="Times New Roman" w:hAnsi="Times New Roman"/>
                <w:sz w:val="22"/>
                <w:szCs w:val="22"/>
                <w:lang w:eastAsia="lv-LV"/>
              </w:rPr>
              <w:t>turpina analīzi</w:t>
            </w:r>
            <w:r>
              <w:rPr>
                <w:rFonts w:ascii="Times New Roman" w:hAnsi="Times New Roman"/>
                <w:sz w:val="22"/>
                <w:szCs w:val="22"/>
                <w:lang w:eastAsia="lv-LV"/>
              </w:rPr>
              <w:t xml:space="preserve"> </w:t>
            </w:r>
            <w:r w:rsidR="00E44D8A">
              <w:rPr>
                <w:rFonts w:ascii="Times New Roman" w:hAnsi="Times New Roman"/>
                <w:sz w:val="22"/>
                <w:szCs w:val="22"/>
                <w:lang w:eastAsia="lv-LV"/>
              </w:rPr>
              <w:t xml:space="preserve">par dažādiem Direktīvas </w:t>
            </w:r>
            <w:r w:rsidR="00E44D8A" w:rsidRPr="00E44D8A">
              <w:rPr>
                <w:rFonts w:ascii="Times New Roman" w:hAnsi="Times New Roman"/>
                <w:sz w:val="22"/>
                <w:szCs w:val="22"/>
                <w:lang w:eastAsia="lv-LV"/>
              </w:rPr>
              <w:t>2009/73/EK</w:t>
            </w:r>
            <w:r w:rsidR="00E44D8A">
              <w:rPr>
                <w:rFonts w:ascii="Times New Roman" w:hAnsi="Times New Roman"/>
                <w:sz w:val="22"/>
                <w:szCs w:val="22"/>
                <w:lang w:eastAsia="lv-LV"/>
              </w:rPr>
              <w:t xml:space="preserve"> pilnīgas ieviešanas aspektiem.</w:t>
            </w:r>
          </w:p>
        </w:tc>
      </w:tr>
    </w:tbl>
    <w:p w:rsidR="00E4553F" w:rsidRDefault="00E4553F" w:rsidP="00A0154D">
      <w:pPr>
        <w:pStyle w:val="tvhtml"/>
        <w:spacing w:before="0" w:beforeAutospacing="0" w:after="0" w:afterAutospacing="0"/>
        <w:jc w:val="center"/>
        <w:rPr>
          <w:rFonts w:ascii="Times New Roman" w:hAnsi="Times New Roman"/>
          <w:iCs/>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843"/>
        <w:gridCol w:w="1134"/>
        <w:gridCol w:w="141"/>
        <w:gridCol w:w="3402"/>
        <w:gridCol w:w="2814"/>
        <w:gridCol w:w="21"/>
      </w:tblGrid>
      <w:tr w:rsidR="003D12AB" w:rsidRPr="003D12AB" w:rsidTr="00806B1C">
        <w:tc>
          <w:tcPr>
            <w:tcW w:w="9923" w:type="dxa"/>
            <w:gridSpan w:val="7"/>
          </w:tcPr>
          <w:p w:rsidR="005526CE" w:rsidRPr="003D12AB" w:rsidRDefault="005526CE" w:rsidP="00BA50DA">
            <w:pPr>
              <w:spacing w:after="0" w:line="240" w:lineRule="auto"/>
              <w:jc w:val="center"/>
              <w:rPr>
                <w:rFonts w:ascii="Times New Roman" w:hAnsi="Times New Roman"/>
                <w:b/>
                <w:sz w:val="24"/>
                <w:szCs w:val="24"/>
                <w:lang w:eastAsia="lv-LV"/>
              </w:rPr>
            </w:pPr>
            <w:r w:rsidRPr="003D12AB">
              <w:rPr>
                <w:rFonts w:ascii="Times New Roman" w:hAnsi="Times New Roman"/>
                <w:b/>
                <w:sz w:val="24"/>
                <w:szCs w:val="24"/>
                <w:lang w:eastAsia="lv-LV"/>
              </w:rPr>
              <w:t>V. Tiesību akta projekta atbilstība Latvijas Republikas starptautiskajām saistībām</w:t>
            </w:r>
          </w:p>
        </w:tc>
      </w:tr>
      <w:tr w:rsidR="003D12AB" w:rsidRPr="003D12AB" w:rsidTr="00374765">
        <w:tc>
          <w:tcPr>
            <w:tcW w:w="568" w:type="dxa"/>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iCs/>
                <w:lang w:eastAsia="lv-LV"/>
              </w:rPr>
              <w:t>1.</w:t>
            </w:r>
          </w:p>
        </w:tc>
        <w:tc>
          <w:tcPr>
            <w:tcW w:w="2977" w:type="dxa"/>
            <w:gridSpan w:val="2"/>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lang w:eastAsia="lv-LV"/>
              </w:rPr>
              <w:t>Saistības pret Eiropas Savienību</w:t>
            </w:r>
          </w:p>
        </w:tc>
        <w:tc>
          <w:tcPr>
            <w:tcW w:w="6378" w:type="dxa"/>
            <w:gridSpan w:val="4"/>
          </w:tcPr>
          <w:p w:rsidR="005526CE" w:rsidRDefault="00E44D8A" w:rsidP="00E44D8A">
            <w:pPr>
              <w:spacing w:after="0" w:line="240" w:lineRule="auto"/>
              <w:jc w:val="both"/>
              <w:rPr>
                <w:rFonts w:ascii="Times New Roman" w:hAnsi="Times New Roman"/>
                <w:bCs/>
              </w:rPr>
            </w:pPr>
            <w:r w:rsidRPr="00E44D8A">
              <w:rPr>
                <w:rFonts w:ascii="Times New Roman" w:hAnsi="Times New Roman"/>
                <w:bCs/>
              </w:rPr>
              <w:t>Eiropas Parlamenta un Padomes Direktīva 2009/73/EK (2009. gada 13. jūlijs) par kopīgiem noteikumiem attiecībā uz dabasgāzes iekšējo tirgu un par Direktīvas 2003/55/EK atcelšanu</w:t>
            </w:r>
            <w:r>
              <w:rPr>
                <w:rFonts w:ascii="Times New Roman" w:hAnsi="Times New Roman"/>
                <w:bCs/>
              </w:rPr>
              <w:t xml:space="preserve">, jāpārņem direktīvā noteiktajos termiņos saskaņā ar Latvijai piemērojamajām atkāpēm – ar 2014.gada 4.aprīlī un </w:t>
            </w:r>
            <w:r w:rsidRPr="00E44D8A">
              <w:rPr>
                <w:rFonts w:ascii="Times New Roman" w:hAnsi="Times New Roman"/>
                <w:bCs/>
              </w:rPr>
              <w:t xml:space="preserve">brīdī, kad </w:t>
            </w:r>
            <w:r w:rsidR="00AB7190" w:rsidRPr="00727584">
              <w:rPr>
                <w:rFonts w:ascii="Times New Roman" w:hAnsi="Times New Roman"/>
                <w:bCs/>
              </w:rPr>
              <w:t xml:space="preserve">Latvija būs tieši </w:t>
            </w:r>
            <w:proofErr w:type="spellStart"/>
            <w:r w:rsidR="00AB7190" w:rsidRPr="00727584">
              <w:rPr>
                <w:rFonts w:ascii="Times New Roman" w:hAnsi="Times New Roman"/>
                <w:bCs/>
              </w:rPr>
              <w:t>starpsavienota</w:t>
            </w:r>
            <w:proofErr w:type="spellEnd"/>
            <w:r w:rsidR="00AB7190" w:rsidRPr="00727584">
              <w:rPr>
                <w:rFonts w:ascii="Times New Roman" w:hAnsi="Times New Roman"/>
                <w:bCs/>
              </w:rPr>
              <w:t xml:space="preserve"> ar jebkuras Eiropas Savienības dalībvalsts, izņemot Igaunijas, Lietuvas un Somijas, dabasgāzes sistēmu vai dominējošā piegādātāja daļa kopējā Latvijas dabasgāzes patēriņā samazināsies zem 75%.</w:t>
            </w:r>
          </w:p>
          <w:p w:rsidR="00385472" w:rsidRPr="003D12AB" w:rsidRDefault="00385472" w:rsidP="00E44D8A">
            <w:pPr>
              <w:spacing w:after="0" w:line="240" w:lineRule="auto"/>
              <w:jc w:val="both"/>
              <w:rPr>
                <w:rFonts w:ascii="Times New Roman" w:hAnsi="Times New Roman"/>
                <w:lang w:eastAsia="lv-LV"/>
              </w:rPr>
            </w:pPr>
            <w:r w:rsidRPr="00385472">
              <w:rPr>
                <w:rFonts w:ascii="Times New Roman" w:hAnsi="Times New Roman"/>
                <w:lang w:eastAsia="lv-LV"/>
              </w:rPr>
              <w:t xml:space="preserve">Eiropas Parlamenta un Padomes regulas Nr.1227/2011 par enerģijas </w:t>
            </w:r>
            <w:proofErr w:type="spellStart"/>
            <w:r w:rsidRPr="00385472">
              <w:rPr>
                <w:rFonts w:ascii="Times New Roman" w:hAnsi="Times New Roman"/>
                <w:lang w:eastAsia="lv-LV"/>
              </w:rPr>
              <w:t>vairumtirgus</w:t>
            </w:r>
            <w:proofErr w:type="spellEnd"/>
            <w:r w:rsidRPr="00385472">
              <w:rPr>
                <w:rFonts w:ascii="Times New Roman" w:hAnsi="Times New Roman"/>
                <w:lang w:eastAsia="lv-LV"/>
              </w:rPr>
              <w:t xml:space="preserve"> integritāti un </w:t>
            </w:r>
            <w:proofErr w:type="spellStart"/>
            <w:r w:rsidRPr="00385472">
              <w:rPr>
                <w:rFonts w:ascii="Times New Roman" w:hAnsi="Times New Roman"/>
                <w:lang w:eastAsia="lv-LV"/>
              </w:rPr>
              <w:t>pārredzamību</w:t>
            </w:r>
            <w:proofErr w:type="spellEnd"/>
            <w:r w:rsidRPr="00385472">
              <w:rPr>
                <w:rFonts w:ascii="Times New Roman" w:hAnsi="Times New Roman"/>
                <w:lang w:eastAsia="lv-LV"/>
              </w:rPr>
              <w:t xml:space="preserve"> prasība par iedarbīgu, atturošu un samērīgu sankciju ieviešanu dalībvalstīm jāizpilda un par tām jāpaziņo Eiropas Komisijai ne vēlāk kā līdz 2013.gada 29.jūnijam.</w:t>
            </w:r>
          </w:p>
        </w:tc>
      </w:tr>
      <w:tr w:rsidR="003D12AB" w:rsidRPr="003D12AB" w:rsidTr="00374765">
        <w:tc>
          <w:tcPr>
            <w:tcW w:w="568" w:type="dxa"/>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iCs/>
                <w:lang w:eastAsia="lv-LV"/>
              </w:rPr>
              <w:t>2.</w:t>
            </w:r>
          </w:p>
        </w:tc>
        <w:tc>
          <w:tcPr>
            <w:tcW w:w="2977" w:type="dxa"/>
            <w:gridSpan w:val="2"/>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lang w:eastAsia="lv-LV"/>
              </w:rPr>
              <w:t>Citas starptautiskās saistības</w:t>
            </w:r>
          </w:p>
        </w:tc>
        <w:tc>
          <w:tcPr>
            <w:tcW w:w="6378" w:type="dxa"/>
            <w:gridSpan w:val="4"/>
          </w:tcPr>
          <w:p w:rsidR="005526CE" w:rsidRPr="003D12AB" w:rsidRDefault="00F65ACD" w:rsidP="00BA50DA">
            <w:pPr>
              <w:tabs>
                <w:tab w:val="left" w:pos="2628"/>
              </w:tabs>
              <w:spacing w:after="0" w:line="240" w:lineRule="auto"/>
              <w:jc w:val="both"/>
              <w:rPr>
                <w:rFonts w:ascii="Times New Roman" w:hAnsi="Times New Roman"/>
                <w:iCs/>
                <w:lang w:eastAsia="lv-LV"/>
              </w:rPr>
            </w:pPr>
            <w:r>
              <w:rPr>
                <w:rFonts w:ascii="Times New Roman" w:hAnsi="Times New Roman"/>
                <w:iCs/>
                <w:lang w:eastAsia="lv-LV"/>
              </w:rPr>
              <w:t>Nav.</w:t>
            </w:r>
          </w:p>
        </w:tc>
      </w:tr>
      <w:tr w:rsidR="003D12AB" w:rsidRPr="003D12AB" w:rsidTr="00374765">
        <w:tc>
          <w:tcPr>
            <w:tcW w:w="568" w:type="dxa"/>
          </w:tcPr>
          <w:p w:rsidR="005526CE" w:rsidRPr="003D12AB" w:rsidRDefault="005526CE" w:rsidP="00BA50DA">
            <w:pPr>
              <w:tabs>
                <w:tab w:val="left" w:pos="2628"/>
              </w:tabs>
              <w:spacing w:after="0" w:line="240" w:lineRule="auto"/>
              <w:jc w:val="both"/>
              <w:rPr>
                <w:rFonts w:ascii="Times New Roman" w:hAnsi="Times New Roman"/>
                <w:iCs/>
                <w:lang w:eastAsia="lv-LV"/>
              </w:rPr>
            </w:pPr>
            <w:r w:rsidRPr="003D12AB">
              <w:rPr>
                <w:rFonts w:ascii="Times New Roman" w:hAnsi="Times New Roman"/>
                <w:iCs/>
                <w:lang w:eastAsia="lv-LV"/>
              </w:rPr>
              <w:t>3.</w:t>
            </w:r>
          </w:p>
        </w:tc>
        <w:tc>
          <w:tcPr>
            <w:tcW w:w="2977" w:type="dxa"/>
            <w:gridSpan w:val="2"/>
          </w:tcPr>
          <w:p w:rsidR="005526CE" w:rsidRPr="003D12AB" w:rsidRDefault="005526CE" w:rsidP="00BA50DA">
            <w:pPr>
              <w:tabs>
                <w:tab w:val="left" w:pos="2628"/>
              </w:tabs>
              <w:spacing w:after="0" w:line="240" w:lineRule="auto"/>
              <w:jc w:val="both"/>
              <w:rPr>
                <w:rFonts w:ascii="Times New Roman" w:hAnsi="Times New Roman"/>
                <w:lang w:eastAsia="lv-LV"/>
              </w:rPr>
            </w:pPr>
            <w:r w:rsidRPr="003D12AB">
              <w:rPr>
                <w:rFonts w:ascii="Times New Roman" w:hAnsi="Times New Roman"/>
                <w:lang w:eastAsia="lv-LV"/>
              </w:rPr>
              <w:t>Cita informācija</w:t>
            </w:r>
          </w:p>
        </w:tc>
        <w:tc>
          <w:tcPr>
            <w:tcW w:w="6378" w:type="dxa"/>
            <w:gridSpan w:val="4"/>
          </w:tcPr>
          <w:p w:rsidR="005526CE" w:rsidRPr="003D12AB" w:rsidRDefault="00F65ACD" w:rsidP="00BA50DA">
            <w:pPr>
              <w:tabs>
                <w:tab w:val="left" w:pos="2628"/>
              </w:tabs>
              <w:spacing w:after="0" w:line="240" w:lineRule="auto"/>
              <w:jc w:val="both"/>
              <w:rPr>
                <w:rFonts w:ascii="Times New Roman" w:hAnsi="Times New Roman"/>
                <w:iCs/>
                <w:lang w:eastAsia="lv-LV"/>
              </w:rPr>
            </w:pPr>
            <w:r>
              <w:rPr>
                <w:rFonts w:ascii="Times New Roman" w:hAnsi="Times New Roman"/>
                <w:iCs/>
                <w:lang w:eastAsia="lv-LV"/>
              </w:rPr>
              <w:t xml:space="preserve">Nav. </w:t>
            </w:r>
          </w:p>
        </w:tc>
      </w:tr>
      <w:tr w:rsidR="003D12AB" w:rsidRPr="003D12AB" w:rsidTr="00806B1C">
        <w:trPr>
          <w:trHeight w:val="523"/>
        </w:trPr>
        <w:tc>
          <w:tcPr>
            <w:tcW w:w="9923" w:type="dxa"/>
            <w:gridSpan w:val="7"/>
            <w:tcMar>
              <w:top w:w="28" w:type="dxa"/>
              <w:left w:w="28" w:type="dxa"/>
              <w:bottom w:w="28" w:type="dxa"/>
              <w:right w:w="28" w:type="dxa"/>
            </w:tcMar>
            <w:vAlign w:val="center"/>
          </w:tcPr>
          <w:p w:rsidR="005526CE" w:rsidRPr="003D12AB" w:rsidRDefault="005526CE" w:rsidP="00BA50DA">
            <w:pPr>
              <w:spacing w:after="0" w:line="240" w:lineRule="auto"/>
              <w:jc w:val="center"/>
              <w:rPr>
                <w:rFonts w:ascii="Times New Roman" w:hAnsi="Times New Roman"/>
                <w:lang w:eastAsia="lv-LV"/>
              </w:rPr>
            </w:pPr>
            <w:r w:rsidRPr="003D12AB">
              <w:rPr>
                <w:rFonts w:ascii="Times New Roman" w:hAnsi="Times New Roman"/>
                <w:lang w:eastAsia="lv-LV"/>
              </w:rPr>
              <w:t>1.tabula</w:t>
            </w:r>
          </w:p>
          <w:p w:rsidR="005526CE" w:rsidRPr="003D12AB" w:rsidRDefault="005526CE" w:rsidP="00BA50DA">
            <w:pPr>
              <w:spacing w:after="0" w:line="240" w:lineRule="auto"/>
              <w:jc w:val="center"/>
              <w:rPr>
                <w:rFonts w:ascii="Times New Roman" w:hAnsi="Times New Roman"/>
                <w:i/>
                <w:lang w:eastAsia="lv-LV"/>
              </w:rPr>
            </w:pPr>
            <w:r w:rsidRPr="003D12AB">
              <w:rPr>
                <w:rFonts w:ascii="Times New Roman" w:hAnsi="Times New Roman"/>
                <w:lang w:eastAsia="lv-LV"/>
              </w:rPr>
              <w:t>Tiesību akta projekta atbilstība ES tiesību aktiem</w:t>
            </w:r>
          </w:p>
        </w:tc>
      </w:tr>
      <w:tr w:rsidR="003D12AB" w:rsidRPr="003D12AB" w:rsidTr="00806B1C">
        <w:trPr>
          <w:trHeight w:val="1252"/>
        </w:trPr>
        <w:tc>
          <w:tcPr>
            <w:tcW w:w="2411" w:type="dxa"/>
            <w:gridSpan w:val="2"/>
            <w:tcMar>
              <w:top w:w="28" w:type="dxa"/>
              <w:left w:w="28" w:type="dxa"/>
              <w:bottom w:w="28" w:type="dxa"/>
              <w:right w:w="28" w:type="dxa"/>
            </w:tcMar>
            <w:vAlign w:val="center"/>
          </w:tcPr>
          <w:p w:rsidR="005526CE" w:rsidRPr="003D12AB" w:rsidRDefault="005526CE" w:rsidP="00BA50DA">
            <w:pPr>
              <w:spacing w:after="0" w:line="240" w:lineRule="auto"/>
              <w:ind w:hanging="10"/>
              <w:jc w:val="center"/>
              <w:rPr>
                <w:rFonts w:ascii="Times New Roman" w:hAnsi="Times New Roman"/>
                <w:lang w:eastAsia="lv-LV"/>
              </w:rPr>
            </w:pPr>
            <w:r w:rsidRPr="003D12AB">
              <w:rPr>
                <w:rFonts w:ascii="Times New Roman" w:hAnsi="Times New Roman"/>
                <w:lang w:eastAsia="lv-LV"/>
              </w:rPr>
              <w:t>Attiecīgā ES tiesību akta datums, numurs un nosaukums</w:t>
            </w:r>
          </w:p>
        </w:tc>
        <w:tc>
          <w:tcPr>
            <w:tcW w:w="7512" w:type="dxa"/>
            <w:gridSpan w:val="5"/>
            <w:tcMar>
              <w:top w:w="28" w:type="dxa"/>
              <w:left w:w="28" w:type="dxa"/>
              <w:bottom w:w="28" w:type="dxa"/>
              <w:right w:w="28" w:type="dxa"/>
            </w:tcMar>
            <w:vAlign w:val="center"/>
          </w:tcPr>
          <w:p w:rsidR="005526CE" w:rsidRPr="003D12AB" w:rsidRDefault="00E44D8A" w:rsidP="00E44D8A">
            <w:pPr>
              <w:spacing w:after="0" w:line="240" w:lineRule="auto"/>
              <w:jc w:val="both"/>
              <w:rPr>
                <w:rFonts w:ascii="Times New Roman" w:hAnsi="Times New Roman"/>
                <w:lang w:eastAsia="lv-LV"/>
              </w:rPr>
            </w:pPr>
            <w:r w:rsidRPr="00E44D8A">
              <w:rPr>
                <w:rFonts w:ascii="Times New Roman" w:hAnsi="Times New Roman"/>
                <w:lang w:eastAsia="lv-LV"/>
              </w:rPr>
              <w:t>E</w:t>
            </w:r>
            <w:r>
              <w:rPr>
                <w:rFonts w:ascii="Times New Roman" w:hAnsi="Times New Roman"/>
                <w:lang w:eastAsia="lv-LV"/>
              </w:rPr>
              <w:t xml:space="preserve">iropas Parlamenta un Padomes Direktīva 2009/73/EK </w:t>
            </w:r>
            <w:r w:rsidRPr="00E44D8A">
              <w:rPr>
                <w:rFonts w:ascii="Times New Roman" w:hAnsi="Times New Roman"/>
                <w:lang w:eastAsia="lv-LV"/>
              </w:rPr>
              <w:t>(2009. gada 13. jūlijs) par kopīgiem noteikumiem attiec</w:t>
            </w:r>
            <w:r>
              <w:rPr>
                <w:rFonts w:ascii="Times New Roman" w:hAnsi="Times New Roman"/>
                <w:lang w:eastAsia="lv-LV"/>
              </w:rPr>
              <w:t xml:space="preserve">ībā uz dabasgāzes iekšējo tirgu </w:t>
            </w:r>
            <w:r w:rsidRPr="00E44D8A">
              <w:rPr>
                <w:rFonts w:ascii="Times New Roman" w:hAnsi="Times New Roman"/>
                <w:lang w:eastAsia="lv-LV"/>
              </w:rPr>
              <w:t>un par Direktīvas 2003/55/EK atcelšanu</w:t>
            </w:r>
          </w:p>
        </w:tc>
      </w:tr>
      <w:tr w:rsidR="003D12AB" w:rsidRPr="003D12AB"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165"/>
        </w:trPr>
        <w:tc>
          <w:tcPr>
            <w:tcW w:w="2411" w:type="dxa"/>
            <w:gridSpan w:val="2"/>
            <w:vAlign w:val="center"/>
          </w:tcPr>
          <w:p w:rsidR="005526CE" w:rsidRPr="003D12AB" w:rsidRDefault="005526CE" w:rsidP="00BA50DA">
            <w:pPr>
              <w:spacing w:after="0" w:line="165" w:lineRule="atLeast"/>
              <w:jc w:val="center"/>
              <w:rPr>
                <w:rFonts w:ascii="Times New Roman" w:hAnsi="Times New Roman"/>
                <w:lang w:eastAsia="lv-LV"/>
              </w:rPr>
            </w:pPr>
            <w:r w:rsidRPr="003D12AB">
              <w:rPr>
                <w:rFonts w:ascii="Times New Roman" w:hAnsi="Times New Roman"/>
                <w:lang w:eastAsia="lv-LV"/>
              </w:rPr>
              <w:t>A</w:t>
            </w:r>
          </w:p>
        </w:tc>
        <w:tc>
          <w:tcPr>
            <w:tcW w:w="1275" w:type="dxa"/>
            <w:gridSpan w:val="2"/>
            <w:vAlign w:val="center"/>
          </w:tcPr>
          <w:p w:rsidR="005526CE" w:rsidRPr="003D12AB" w:rsidRDefault="005526CE" w:rsidP="00BA50DA">
            <w:pPr>
              <w:spacing w:after="0" w:line="165" w:lineRule="atLeast"/>
              <w:jc w:val="center"/>
              <w:rPr>
                <w:rFonts w:ascii="Times New Roman" w:hAnsi="Times New Roman"/>
                <w:lang w:eastAsia="lv-LV"/>
              </w:rPr>
            </w:pPr>
            <w:r w:rsidRPr="003D12AB">
              <w:rPr>
                <w:rFonts w:ascii="Times New Roman" w:hAnsi="Times New Roman"/>
                <w:lang w:eastAsia="lv-LV"/>
              </w:rPr>
              <w:t>B</w:t>
            </w:r>
          </w:p>
        </w:tc>
        <w:tc>
          <w:tcPr>
            <w:tcW w:w="3402" w:type="dxa"/>
            <w:vAlign w:val="center"/>
          </w:tcPr>
          <w:p w:rsidR="005526CE" w:rsidRPr="003D12AB" w:rsidRDefault="005526CE" w:rsidP="00BA50DA">
            <w:pPr>
              <w:spacing w:after="0" w:line="165" w:lineRule="atLeast"/>
              <w:jc w:val="center"/>
              <w:rPr>
                <w:rFonts w:ascii="Times New Roman" w:hAnsi="Times New Roman"/>
                <w:lang w:eastAsia="lv-LV"/>
              </w:rPr>
            </w:pPr>
            <w:r w:rsidRPr="003D12AB">
              <w:rPr>
                <w:rFonts w:ascii="Times New Roman" w:hAnsi="Times New Roman"/>
                <w:lang w:eastAsia="lv-LV"/>
              </w:rPr>
              <w:t>C</w:t>
            </w:r>
          </w:p>
        </w:tc>
        <w:tc>
          <w:tcPr>
            <w:tcW w:w="2814" w:type="dxa"/>
            <w:vAlign w:val="center"/>
          </w:tcPr>
          <w:p w:rsidR="005526CE" w:rsidRPr="003D12AB" w:rsidRDefault="005526CE" w:rsidP="00BA50DA">
            <w:pPr>
              <w:spacing w:after="0" w:line="165" w:lineRule="atLeast"/>
              <w:jc w:val="center"/>
              <w:rPr>
                <w:rFonts w:ascii="Times New Roman" w:hAnsi="Times New Roman"/>
                <w:lang w:eastAsia="lv-LV"/>
              </w:rPr>
            </w:pPr>
            <w:r w:rsidRPr="003D12AB">
              <w:rPr>
                <w:rFonts w:ascii="Times New Roman" w:hAnsi="Times New Roman"/>
                <w:lang w:eastAsia="lv-LV"/>
              </w:rPr>
              <w:t>D</w:t>
            </w:r>
          </w:p>
        </w:tc>
      </w:tr>
      <w:tr w:rsidR="003D12AB" w:rsidRPr="003D12AB" w:rsidTr="00133999">
        <w:tblPrEx>
          <w:tblCellMar>
            <w:top w:w="28" w:type="dxa"/>
            <w:left w:w="28" w:type="dxa"/>
            <w:bottom w:w="28" w:type="dxa"/>
            <w:right w:w="28" w:type="dxa"/>
          </w:tblCellMar>
          <w:tblLook w:val="04A0" w:firstRow="1" w:lastRow="0" w:firstColumn="1" w:lastColumn="0" w:noHBand="0" w:noVBand="1"/>
        </w:tblPrEx>
        <w:trPr>
          <w:gridAfter w:val="1"/>
          <w:wAfter w:w="21" w:type="dxa"/>
          <w:cantSplit/>
          <w:trHeight w:val="2508"/>
        </w:trPr>
        <w:tc>
          <w:tcPr>
            <w:tcW w:w="2411" w:type="dxa"/>
            <w:gridSpan w:val="2"/>
          </w:tcPr>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lastRenderedPageBreak/>
              <w:t xml:space="preserve">Attiecīgā ES tiesību akta panta numurs </w:t>
            </w:r>
          </w:p>
        </w:tc>
        <w:tc>
          <w:tcPr>
            <w:tcW w:w="1275" w:type="dxa"/>
            <w:gridSpan w:val="2"/>
          </w:tcPr>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Projekta vienība, kas pārņem vai ievieš katru šīs tabulas A ailē minēto ES tiesību akta vienību</w:t>
            </w:r>
          </w:p>
        </w:tc>
        <w:tc>
          <w:tcPr>
            <w:tcW w:w="3402" w:type="dxa"/>
          </w:tcPr>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Informācija par to, vai šīs tabulas A ailē minētās ES tiesību akta vienības tiek pārņemtas vai ieviestas pilnībā vai daļēji.</w:t>
            </w:r>
          </w:p>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Ja attiecīgā ES tiesību akta vienība tiek pārņemta vai ieviesta daļēji, – sniedz attiecīgu skaidrojumu, kā arī precīzi norāda, kad un kādā veidā ES tiesību akta vienība tiks pārņemta vai ieviesta pilnībā.</w:t>
            </w:r>
          </w:p>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Norāda institūciju, kas ir atbildīga par šo saistību izpildi pilnībā</w:t>
            </w:r>
          </w:p>
        </w:tc>
        <w:tc>
          <w:tcPr>
            <w:tcW w:w="2814" w:type="dxa"/>
          </w:tcPr>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Informācija par to, vai šīs tabulas B ailē minētās projekta vienības paredz stingrākas prasības nekā šīs tabulas A ailē minētās ES tiesību akta vienības.</w:t>
            </w:r>
          </w:p>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Ja projekts satur stingrākas prasības nekā attiecīgais ES tiesību akts, – norāda pamatojumu un samērīgumu.</w:t>
            </w:r>
          </w:p>
          <w:p w:rsidR="005526CE" w:rsidRPr="003D12AB" w:rsidRDefault="005526CE" w:rsidP="00E4553F">
            <w:pPr>
              <w:spacing w:after="0" w:line="240" w:lineRule="auto"/>
              <w:rPr>
                <w:rFonts w:ascii="Times New Roman" w:hAnsi="Times New Roman"/>
                <w:lang w:eastAsia="lv-LV"/>
              </w:rPr>
            </w:pPr>
            <w:r w:rsidRPr="003D12AB">
              <w:rPr>
                <w:rFonts w:ascii="Times New Roman" w:hAnsi="Times New Roman"/>
                <w:lang w:eastAsia="lv-LV"/>
              </w:rPr>
              <w:t>Norāda iespējamās alternatīvas (</w:t>
            </w:r>
            <w:proofErr w:type="spellStart"/>
            <w:r w:rsidRPr="003D12AB">
              <w:rPr>
                <w:rFonts w:ascii="Times New Roman" w:hAnsi="Times New Roman"/>
                <w:lang w:eastAsia="lv-LV"/>
              </w:rPr>
              <w:t>t.sk</w:t>
            </w:r>
            <w:proofErr w:type="spellEnd"/>
            <w:r w:rsidRPr="003D12AB">
              <w:rPr>
                <w:rFonts w:ascii="Times New Roman" w:hAnsi="Times New Roman"/>
                <w:lang w:eastAsia="lv-LV"/>
              </w:rPr>
              <w:t>. alternatīvas, kas neparedz tiesiskā regulējuma izstrādi) – kādos gadījumos būtu iespējams izvairīties no stingrāku prasību noteikšanas, nekā paredzēts attiecīgajos ES tiesību aktos</w:t>
            </w: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 xml:space="preserve">1.panta „Priekšmets un darbības joma” 2.punkts (biogāzes un no biomasas iegūtai gāzes ievadīšana un transportēšana dabasgāzes </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sistēmā).</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42.</w:t>
            </w:r>
            <w:r w:rsidRPr="00577FEC">
              <w:rPr>
                <w:rFonts w:ascii="Times New Roman" w:hAnsi="Times New Roman"/>
                <w:vertAlign w:val="superscript"/>
                <w:lang w:eastAsia="lv-LV"/>
              </w:rPr>
              <w:t>1</w:t>
            </w:r>
            <w:r w:rsidRPr="00577FEC">
              <w:rPr>
                <w:rFonts w:ascii="Times New Roman" w:hAnsi="Times New Roman"/>
                <w:lang w:eastAsia="lv-LV"/>
              </w:rPr>
              <w:t xml:space="preserve"> 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AB7190" w:rsidRDefault="00E4553F" w:rsidP="007861A3">
            <w:pPr>
              <w:pStyle w:val="naiskr"/>
              <w:spacing w:before="0" w:after="0"/>
              <w:jc w:val="both"/>
              <w:rPr>
                <w:sz w:val="22"/>
                <w:szCs w:val="22"/>
              </w:rPr>
            </w:pPr>
            <w:r w:rsidRPr="00AB7190">
              <w:rPr>
                <w:sz w:val="22"/>
                <w:szCs w:val="22"/>
              </w:rPr>
              <w:t xml:space="preserve">Nacionālais tiesību akts neparedz stingrākas prasības. </w:t>
            </w:r>
          </w:p>
          <w:p w:rsidR="00E4553F" w:rsidRPr="00AB7190" w:rsidRDefault="00E4553F" w:rsidP="007861A3">
            <w:pPr>
              <w:pStyle w:val="naiskr"/>
              <w:spacing w:before="0" w:after="0"/>
              <w:jc w:val="both"/>
              <w:rPr>
                <w:sz w:val="22"/>
                <w:szCs w:val="22"/>
              </w:rPr>
            </w:pPr>
          </w:p>
        </w:tc>
      </w:tr>
      <w:tr w:rsidR="00AA02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AA023F" w:rsidRPr="00577FEC" w:rsidRDefault="00AA023F" w:rsidP="00AA023F">
            <w:pPr>
              <w:spacing w:after="0" w:line="240" w:lineRule="auto"/>
              <w:rPr>
                <w:rFonts w:ascii="Times New Roman" w:hAnsi="Times New Roman"/>
                <w:lang w:eastAsia="lv-LV"/>
              </w:rPr>
            </w:pPr>
            <w:r w:rsidRPr="00577FEC">
              <w:rPr>
                <w:rFonts w:ascii="Times New Roman" w:hAnsi="Times New Roman"/>
                <w:lang w:eastAsia="lv-LV"/>
              </w:rPr>
              <w:t>Direktīvas 2009/73/EK</w:t>
            </w:r>
          </w:p>
          <w:p w:rsidR="002F156E" w:rsidRDefault="00AA023F" w:rsidP="002F156E">
            <w:pPr>
              <w:spacing w:after="0" w:line="240" w:lineRule="auto"/>
              <w:rPr>
                <w:rFonts w:ascii="Times New Roman" w:hAnsi="Times New Roman"/>
              </w:rPr>
            </w:pPr>
            <w:r>
              <w:rPr>
                <w:rFonts w:ascii="Times New Roman" w:hAnsi="Times New Roman"/>
                <w:lang w:eastAsia="lv-LV"/>
              </w:rPr>
              <w:t>9</w:t>
            </w:r>
            <w:r w:rsidRPr="00577FEC">
              <w:rPr>
                <w:rFonts w:ascii="Times New Roman" w:hAnsi="Times New Roman"/>
                <w:lang w:eastAsia="lv-LV"/>
              </w:rPr>
              <w:t>.pant</w:t>
            </w:r>
            <w:r>
              <w:rPr>
                <w:rFonts w:ascii="Times New Roman" w:hAnsi="Times New Roman"/>
                <w:lang w:eastAsia="lv-LV"/>
              </w:rPr>
              <w:t>s</w:t>
            </w:r>
            <w:r w:rsidRPr="00577FEC">
              <w:rPr>
                <w:rFonts w:ascii="Times New Roman" w:hAnsi="Times New Roman"/>
                <w:lang w:eastAsia="lv-LV"/>
              </w:rPr>
              <w:t xml:space="preserve"> </w:t>
            </w:r>
            <w:r w:rsidR="002F156E">
              <w:rPr>
                <w:rFonts w:ascii="Times New Roman" w:hAnsi="Times New Roman"/>
                <w:lang w:eastAsia="lv-LV"/>
              </w:rPr>
              <w:t>„</w:t>
            </w:r>
            <w:r w:rsidR="002F156E">
              <w:rPr>
                <w:rFonts w:ascii="Times New Roman" w:hAnsi="Times New Roman"/>
              </w:rPr>
              <w:t>P</w:t>
            </w:r>
            <w:r w:rsidR="002F156E" w:rsidRPr="00BE0668">
              <w:rPr>
                <w:rFonts w:ascii="Times New Roman" w:hAnsi="Times New Roman"/>
              </w:rPr>
              <w:t>ārvades sistēmu un pārvades sistēmu operatoru nodalīšan</w:t>
            </w:r>
            <w:r w:rsidR="002F156E">
              <w:rPr>
                <w:rFonts w:ascii="Times New Roman" w:hAnsi="Times New Roman"/>
              </w:rPr>
              <w:t>a”</w:t>
            </w:r>
          </w:p>
          <w:p w:rsidR="00AA023F" w:rsidRPr="00577FEC" w:rsidRDefault="00AA023F" w:rsidP="00D047A6">
            <w:pPr>
              <w:spacing w:after="0" w:line="240" w:lineRule="auto"/>
              <w:rPr>
                <w:rFonts w:ascii="Times New Roman" w:hAnsi="Times New Roman"/>
                <w:lang w:eastAsia="lv-LV"/>
              </w:rPr>
            </w:pPr>
          </w:p>
        </w:tc>
        <w:tc>
          <w:tcPr>
            <w:tcW w:w="1275" w:type="dxa"/>
            <w:gridSpan w:val="2"/>
          </w:tcPr>
          <w:p w:rsidR="00AA023F" w:rsidRPr="00577FEC" w:rsidRDefault="00AA023F" w:rsidP="007861A3">
            <w:pPr>
              <w:spacing w:after="0" w:line="240" w:lineRule="auto"/>
              <w:rPr>
                <w:rFonts w:ascii="Times New Roman" w:hAnsi="Times New Roman"/>
                <w:lang w:eastAsia="lv-LV"/>
              </w:rPr>
            </w:pPr>
          </w:p>
        </w:tc>
        <w:tc>
          <w:tcPr>
            <w:tcW w:w="3402" w:type="dxa"/>
          </w:tcPr>
          <w:p w:rsidR="002F156E" w:rsidRDefault="002F156E" w:rsidP="002F156E">
            <w:pPr>
              <w:suppressAutoHyphens/>
              <w:spacing w:after="0" w:line="240" w:lineRule="auto"/>
              <w:jc w:val="both"/>
              <w:rPr>
                <w:rFonts w:ascii="Times New Roman" w:hAnsi="Times New Roman"/>
                <w:lang w:eastAsia="lv-LV"/>
              </w:rPr>
            </w:pPr>
            <w:r w:rsidRPr="00577FEC">
              <w:rPr>
                <w:rFonts w:ascii="Times New Roman" w:hAnsi="Times New Roman"/>
                <w:lang w:eastAsia="lv-LV"/>
              </w:rPr>
              <w:t>Ti</w:t>
            </w:r>
            <w:r>
              <w:rPr>
                <w:rFonts w:ascii="Times New Roman" w:hAnsi="Times New Roman"/>
                <w:lang w:eastAsia="lv-LV"/>
              </w:rPr>
              <w:t>ks pārņemts pilnībā,</w:t>
            </w:r>
          </w:p>
          <w:p w:rsidR="002F156E" w:rsidRDefault="002F156E" w:rsidP="002F156E">
            <w:pPr>
              <w:suppressAutoHyphens/>
              <w:spacing w:after="0" w:line="240" w:lineRule="auto"/>
              <w:jc w:val="both"/>
              <w:rPr>
                <w:rFonts w:ascii="Times New Roman" w:hAnsi="Times New Roman"/>
              </w:rPr>
            </w:pPr>
            <w:r w:rsidRPr="00BE0668">
              <w:rPr>
                <w:rFonts w:ascii="Times New Roman" w:hAnsi="Times New Roman"/>
              </w:rPr>
              <w:t xml:space="preserve">izvēloties </w:t>
            </w:r>
            <w:r>
              <w:rPr>
                <w:rFonts w:ascii="Times New Roman" w:hAnsi="Times New Roman"/>
              </w:rPr>
              <w:t xml:space="preserve">vienu no iespējamajiem modeļiem </w:t>
            </w:r>
            <w:r w:rsidRPr="00BE0668">
              <w:rPr>
                <w:rFonts w:ascii="Times New Roman" w:hAnsi="Times New Roman"/>
              </w:rPr>
              <w:t>brīdī, kad Latvija vairs neatbildīs „izolēta tirgus” pazīmēm</w:t>
            </w:r>
            <w:r>
              <w:rPr>
                <w:rFonts w:ascii="Times New Roman" w:hAnsi="Times New Roman"/>
              </w:rPr>
              <w:t xml:space="preserve"> Direktīvas 2009/73/EK izpratnē</w:t>
            </w:r>
            <w:r w:rsidR="00D047A6">
              <w:rPr>
                <w:rFonts w:ascii="Times New Roman" w:hAnsi="Times New Roman"/>
              </w:rPr>
              <w:t xml:space="preserve"> (49.pants)</w:t>
            </w:r>
            <w:r>
              <w:rPr>
                <w:rFonts w:ascii="Times New Roman" w:hAnsi="Times New Roman"/>
              </w:rPr>
              <w:t>.</w:t>
            </w:r>
          </w:p>
          <w:p w:rsidR="00AA023F" w:rsidRPr="00577FEC" w:rsidRDefault="00AA023F" w:rsidP="007861A3">
            <w:pPr>
              <w:spacing w:after="0" w:line="240" w:lineRule="auto"/>
              <w:rPr>
                <w:rFonts w:ascii="Times New Roman" w:hAnsi="Times New Roman"/>
                <w:lang w:eastAsia="lv-LV"/>
              </w:rPr>
            </w:pPr>
          </w:p>
        </w:tc>
        <w:tc>
          <w:tcPr>
            <w:tcW w:w="2814" w:type="dxa"/>
          </w:tcPr>
          <w:p w:rsidR="002F156E" w:rsidRPr="00AB7190" w:rsidRDefault="002F156E" w:rsidP="002F156E">
            <w:pPr>
              <w:pStyle w:val="naiskr"/>
              <w:spacing w:before="0" w:after="0"/>
              <w:jc w:val="both"/>
              <w:rPr>
                <w:sz w:val="22"/>
                <w:szCs w:val="22"/>
              </w:rPr>
            </w:pPr>
            <w:r w:rsidRPr="00AB7190">
              <w:rPr>
                <w:sz w:val="22"/>
                <w:szCs w:val="22"/>
              </w:rPr>
              <w:t xml:space="preserve">Nacionālais tiesību akts neparedz stingrākas prasības. </w:t>
            </w:r>
          </w:p>
          <w:p w:rsidR="00AA023F" w:rsidRPr="00AB7190" w:rsidRDefault="00AA023F" w:rsidP="007861A3">
            <w:pPr>
              <w:pStyle w:val="naiskr"/>
              <w:spacing w:before="0" w:after="0"/>
              <w:jc w:val="both"/>
              <w:rPr>
                <w:sz w:val="22"/>
                <w:szCs w:val="22"/>
              </w:rPr>
            </w:pP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 10.panta „Pārvades sistēmu operatoru norīkošana un sertifikācija” 8.punkts (konfidencialitāte attiecībā uz komerciāli jutīgu informāciju)</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5.pants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AB7190" w:rsidRDefault="00E4553F" w:rsidP="007861A3">
            <w:pPr>
              <w:pStyle w:val="naiskr"/>
              <w:spacing w:before="0" w:after="0"/>
              <w:jc w:val="both"/>
              <w:rPr>
                <w:sz w:val="22"/>
                <w:szCs w:val="22"/>
              </w:rPr>
            </w:pPr>
            <w:r w:rsidRPr="00AB7190">
              <w:rPr>
                <w:sz w:val="22"/>
                <w:szCs w:val="22"/>
              </w:rPr>
              <w:t xml:space="preserve">Nacionālais tiesību akts neparedz stingrākas prasības. </w:t>
            </w:r>
          </w:p>
          <w:p w:rsidR="00E4553F" w:rsidRPr="00AB7190" w:rsidRDefault="00E4553F" w:rsidP="007861A3">
            <w:pPr>
              <w:spacing w:after="0" w:line="240" w:lineRule="auto"/>
              <w:rPr>
                <w:rFonts w:ascii="Times New Roman" w:hAnsi="Times New Roman"/>
                <w:lang w:eastAsia="lv-LV"/>
              </w:rPr>
            </w:pP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13.panta „Pārvades, uzglabāšanas objektu un/vai SDG sistēmu</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operatoru uzdevumi” 1.punkts (pārvades sistēmas, uzglabāšanas objekta un/vai SDG sistēmas operatora pienākumi)</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44.pants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AB7190" w:rsidRDefault="00E4553F" w:rsidP="007861A3">
            <w:pPr>
              <w:pStyle w:val="naiskr"/>
              <w:spacing w:before="0" w:after="0"/>
              <w:jc w:val="both"/>
              <w:rPr>
                <w:sz w:val="22"/>
                <w:szCs w:val="22"/>
              </w:rPr>
            </w:pPr>
            <w:r w:rsidRPr="00AB7190">
              <w:rPr>
                <w:sz w:val="22"/>
                <w:szCs w:val="22"/>
              </w:rPr>
              <w:t xml:space="preserve">Nacionālais tiesību akts neparedz stingrākas prasības. </w:t>
            </w:r>
          </w:p>
          <w:p w:rsidR="00E4553F" w:rsidRPr="00AB7190" w:rsidRDefault="00E4553F" w:rsidP="007861A3">
            <w:pPr>
              <w:pStyle w:val="naiskr"/>
              <w:spacing w:before="0" w:after="0"/>
              <w:jc w:val="both"/>
              <w:rPr>
                <w:sz w:val="22"/>
                <w:szCs w:val="22"/>
              </w:rPr>
            </w:pPr>
          </w:p>
        </w:tc>
      </w:tr>
      <w:tr w:rsidR="00DB0DC8"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DB0DC8" w:rsidRPr="00A912D0" w:rsidRDefault="00DB0DC8" w:rsidP="00DB0DC8">
            <w:pPr>
              <w:spacing w:after="0" w:line="240" w:lineRule="auto"/>
              <w:rPr>
                <w:rFonts w:ascii="Times New Roman" w:hAnsi="Times New Roman"/>
              </w:rPr>
            </w:pPr>
            <w:r w:rsidRPr="00A912D0">
              <w:rPr>
                <w:rFonts w:ascii="Times New Roman" w:hAnsi="Times New Roman"/>
              </w:rPr>
              <w:lastRenderedPageBreak/>
              <w:t>Direktīvas 2009/73/EK</w:t>
            </w:r>
          </w:p>
          <w:p w:rsidR="00DB0DC8" w:rsidRPr="00A912D0" w:rsidRDefault="00DB0DC8" w:rsidP="00DB0DC8">
            <w:pPr>
              <w:spacing w:after="0" w:line="240" w:lineRule="auto"/>
              <w:rPr>
                <w:rFonts w:ascii="Times New Roman" w:hAnsi="Times New Roman"/>
              </w:rPr>
            </w:pPr>
            <w:r w:rsidRPr="00A912D0">
              <w:rPr>
                <w:rFonts w:ascii="Times New Roman" w:hAnsi="Times New Roman"/>
              </w:rPr>
              <w:t>13.panta „Pārvades, uzglabāšanas objektu un/vai SDG sistēmu</w:t>
            </w:r>
          </w:p>
          <w:p w:rsidR="00DB0DC8" w:rsidRPr="00A912D0" w:rsidRDefault="00DB0DC8" w:rsidP="00DB0DC8">
            <w:pPr>
              <w:spacing w:after="0" w:line="240" w:lineRule="auto"/>
              <w:rPr>
                <w:rFonts w:ascii="Times New Roman" w:hAnsi="Times New Roman"/>
              </w:rPr>
            </w:pPr>
            <w:r w:rsidRPr="00A912D0">
              <w:rPr>
                <w:rFonts w:ascii="Times New Roman" w:hAnsi="Times New Roman"/>
              </w:rPr>
              <w:t>operatoru uzdevumi” 2.punkts (par pārrobežu jaudu)</w:t>
            </w:r>
          </w:p>
        </w:tc>
        <w:tc>
          <w:tcPr>
            <w:tcW w:w="1275" w:type="dxa"/>
            <w:gridSpan w:val="2"/>
          </w:tcPr>
          <w:p w:rsidR="00DB0DC8" w:rsidRPr="00C50847" w:rsidRDefault="00DB0DC8" w:rsidP="00DB0DC8">
            <w:pPr>
              <w:pStyle w:val="CommentText"/>
              <w:spacing w:after="0"/>
              <w:jc w:val="both"/>
              <w:rPr>
                <w:rFonts w:ascii="Times New Roman" w:hAnsi="Times New Roman"/>
                <w:sz w:val="22"/>
                <w:szCs w:val="22"/>
              </w:rPr>
            </w:pPr>
            <w:r w:rsidRPr="00C50847">
              <w:rPr>
                <w:rFonts w:ascii="Times New Roman" w:hAnsi="Times New Roman"/>
                <w:sz w:val="22"/>
                <w:szCs w:val="22"/>
              </w:rPr>
              <w:t xml:space="preserve">43.panta pirmās daļas </w:t>
            </w:r>
          </w:p>
          <w:p w:rsidR="00DB0DC8" w:rsidRPr="00C50847" w:rsidRDefault="00DB0DC8" w:rsidP="00DB0DC8">
            <w:pPr>
              <w:pStyle w:val="CommentText"/>
              <w:spacing w:after="0"/>
              <w:jc w:val="both"/>
              <w:rPr>
                <w:rFonts w:ascii="Times New Roman" w:hAnsi="Times New Roman"/>
                <w:sz w:val="22"/>
                <w:szCs w:val="22"/>
              </w:rPr>
            </w:pPr>
            <w:r w:rsidRPr="00C50847">
              <w:rPr>
                <w:rFonts w:ascii="Times New Roman" w:hAnsi="Times New Roman"/>
                <w:sz w:val="22"/>
                <w:szCs w:val="22"/>
              </w:rPr>
              <w:t xml:space="preserve"> 5.punkts </w:t>
            </w:r>
          </w:p>
          <w:p w:rsidR="00DB0DC8" w:rsidRPr="00C50847" w:rsidRDefault="00DB0DC8" w:rsidP="00DB0DC8">
            <w:pPr>
              <w:pStyle w:val="CommentText"/>
              <w:spacing w:after="0"/>
              <w:jc w:val="both"/>
              <w:rPr>
                <w:rFonts w:ascii="Times New Roman" w:hAnsi="Times New Roman"/>
                <w:sz w:val="22"/>
                <w:szCs w:val="22"/>
              </w:rPr>
            </w:pPr>
          </w:p>
        </w:tc>
        <w:tc>
          <w:tcPr>
            <w:tcW w:w="3402" w:type="dxa"/>
          </w:tcPr>
          <w:p w:rsidR="00DB0DC8" w:rsidRPr="00C50847" w:rsidRDefault="00DB0DC8" w:rsidP="004C5B90">
            <w:pPr>
              <w:spacing w:after="0" w:line="240" w:lineRule="auto"/>
              <w:rPr>
                <w:rFonts w:ascii="Times New Roman" w:hAnsi="Times New Roman"/>
                <w:lang w:eastAsia="lv-LV"/>
              </w:rPr>
            </w:pPr>
            <w:r w:rsidRPr="00C50847">
              <w:rPr>
                <w:rFonts w:ascii="Times New Roman" w:hAnsi="Times New Roman"/>
                <w:lang w:eastAsia="lv-LV"/>
              </w:rPr>
              <w:t>Tiek pārņemts pilnībā.</w:t>
            </w:r>
          </w:p>
        </w:tc>
        <w:tc>
          <w:tcPr>
            <w:tcW w:w="2814" w:type="dxa"/>
          </w:tcPr>
          <w:p w:rsidR="00DB0DC8" w:rsidRPr="00AB7190" w:rsidRDefault="00DB0DC8" w:rsidP="004C5B90">
            <w:pPr>
              <w:pStyle w:val="naiskr"/>
              <w:spacing w:before="0" w:after="0"/>
              <w:jc w:val="both"/>
              <w:rPr>
                <w:sz w:val="22"/>
                <w:szCs w:val="22"/>
              </w:rPr>
            </w:pPr>
            <w:r w:rsidRPr="00AB7190">
              <w:rPr>
                <w:sz w:val="22"/>
                <w:szCs w:val="22"/>
              </w:rPr>
              <w:t xml:space="preserve">Nacionālais tiesību akts neparedz stingrākas prasības. </w:t>
            </w:r>
          </w:p>
          <w:p w:rsidR="00DB0DC8" w:rsidRPr="00AB7190" w:rsidRDefault="00DB0DC8" w:rsidP="004C5B90">
            <w:pPr>
              <w:pStyle w:val="naiskr"/>
              <w:spacing w:before="0" w:after="0"/>
              <w:jc w:val="both"/>
              <w:rPr>
                <w:sz w:val="22"/>
                <w:szCs w:val="22"/>
              </w:rPr>
            </w:pPr>
          </w:p>
        </w:tc>
      </w:tr>
      <w:tr w:rsidR="00C32F9A"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C32F9A" w:rsidRPr="00A912D0" w:rsidRDefault="00C32F9A" w:rsidP="00C32F9A">
            <w:pPr>
              <w:spacing w:after="0" w:line="240" w:lineRule="auto"/>
              <w:rPr>
                <w:rFonts w:ascii="Times New Roman" w:hAnsi="Times New Roman"/>
                <w:lang w:eastAsia="lv-LV"/>
              </w:rPr>
            </w:pPr>
            <w:r w:rsidRPr="00A912D0">
              <w:rPr>
                <w:rFonts w:ascii="Times New Roman" w:hAnsi="Times New Roman"/>
                <w:lang w:eastAsia="lv-LV"/>
              </w:rPr>
              <w:t xml:space="preserve">Direktīvas 2009/73/EK 26. </w:t>
            </w:r>
            <w:r w:rsidR="00374765" w:rsidRPr="00A912D0">
              <w:rPr>
                <w:rFonts w:ascii="Times New Roman" w:hAnsi="Times New Roman"/>
                <w:lang w:eastAsia="lv-LV"/>
              </w:rPr>
              <w:t>p</w:t>
            </w:r>
            <w:r w:rsidRPr="00A912D0">
              <w:rPr>
                <w:rFonts w:ascii="Times New Roman" w:hAnsi="Times New Roman"/>
                <w:lang w:eastAsia="lv-LV"/>
              </w:rPr>
              <w:t>ants „</w:t>
            </w:r>
            <w:r w:rsidR="00374765" w:rsidRPr="00A912D0">
              <w:rPr>
                <w:rFonts w:ascii="Times New Roman" w:hAnsi="Times New Roman"/>
                <w:lang w:eastAsia="lv-LV"/>
              </w:rPr>
              <w:t>Sadales sistēmu operatoru nodalīšana</w:t>
            </w:r>
            <w:r w:rsidRPr="00A912D0">
              <w:rPr>
                <w:rFonts w:ascii="Times New Roman" w:hAnsi="Times New Roman"/>
                <w:lang w:eastAsia="lv-LV"/>
              </w:rPr>
              <w:t>”</w:t>
            </w:r>
          </w:p>
        </w:tc>
        <w:tc>
          <w:tcPr>
            <w:tcW w:w="1275" w:type="dxa"/>
            <w:gridSpan w:val="2"/>
          </w:tcPr>
          <w:p w:rsidR="00C32F9A" w:rsidRPr="00133999" w:rsidRDefault="00C32F9A" w:rsidP="007861A3">
            <w:pPr>
              <w:spacing w:after="0" w:line="240" w:lineRule="auto"/>
              <w:rPr>
                <w:rFonts w:ascii="Times New Roman" w:hAnsi="Times New Roman"/>
                <w:u w:val="single"/>
                <w:lang w:eastAsia="lv-LV"/>
              </w:rPr>
            </w:pPr>
          </w:p>
        </w:tc>
        <w:tc>
          <w:tcPr>
            <w:tcW w:w="3402" w:type="dxa"/>
          </w:tcPr>
          <w:p w:rsidR="00EC0CC3" w:rsidRDefault="00EC0CC3" w:rsidP="00133999">
            <w:pPr>
              <w:suppressAutoHyphens/>
              <w:spacing w:after="0" w:line="240" w:lineRule="auto"/>
              <w:jc w:val="both"/>
            </w:pPr>
            <w:r w:rsidRPr="00EC0CC3">
              <w:rPr>
                <w:rFonts w:ascii="Times New Roman" w:hAnsi="Times New Roman"/>
              </w:rPr>
              <w:t>Tiek pārņemts pilnībā.</w:t>
            </w:r>
            <w:r w:rsidRPr="00EC0CC3">
              <w:t xml:space="preserve"> </w:t>
            </w:r>
          </w:p>
          <w:p w:rsidR="00C32F9A" w:rsidRPr="00133999" w:rsidRDefault="00C32F9A" w:rsidP="00133999">
            <w:pPr>
              <w:suppressAutoHyphens/>
              <w:spacing w:after="0" w:line="240" w:lineRule="auto"/>
              <w:jc w:val="both"/>
              <w:rPr>
                <w:rFonts w:ascii="Times New Roman" w:hAnsi="Times New Roman"/>
                <w:u w:val="single"/>
              </w:rPr>
            </w:pPr>
          </w:p>
        </w:tc>
        <w:tc>
          <w:tcPr>
            <w:tcW w:w="2814" w:type="dxa"/>
          </w:tcPr>
          <w:p w:rsidR="00133999" w:rsidRPr="00AB7190" w:rsidRDefault="00133999" w:rsidP="00133999">
            <w:pPr>
              <w:pStyle w:val="naiskr"/>
              <w:spacing w:before="0" w:after="0"/>
              <w:jc w:val="both"/>
              <w:rPr>
                <w:sz w:val="22"/>
                <w:szCs w:val="22"/>
              </w:rPr>
            </w:pPr>
            <w:r w:rsidRPr="00AB7190">
              <w:rPr>
                <w:sz w:val="22"/>
                <w:szCs w:val="22"/>
              </w:rPr>
              <w:t xml:space="preserve">Nacionālais tiesību akts neparedz stingrākas prasības. </w:t>
            </w:r>
          </w:p>
          <w:p w:rsidR="00C32F9A" w:rsidRPr="00AB7190" w:rsidRDefault="00C32F9A" w:rsidP="007861A3">
            <w:pPr>
              <w:pStyle w:val="naiskr"/>
              <w:spacing w:before="0" w:after="0"/>
              <w:jc w:val="both"/>
              <w:rPr>
                <w:sz w:val="22"/>
                <w:szCs w:val="22"/>
              </w:rPr>
            </w:pP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 xml:space="preserve">Direktīvas 2009/73/EK 31.  pants „Atsevišķa uzskaite” </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12.panta 5.daļa</w:t>
            </w:r>
          </w:p>
        </w:tc>
        <w:tc>
          <w:tcPr>
            <w:tcW w:w="3402" w:type="dxa"/>
          </w:tcPr>
          <w:p w:rsidR="006C3926" w:rsidRPr="00EC0CC3" w:rsidRDefault="006C3926" w:rsidP="006C3926">
            <w:pPr>
              <w:pStyle w:val="naisc"/>
              <w:ind w:firstLine="21"/>
              <w:jc w:val="both"/>
              <w:rPr>
                <w:color w:val="000000"/>
                <w:sz w:val="22"/>
                <w:szCs w:val="22"/>
              </w:rPr>
            </w:pPr>
            <w:r w:rsidRPr="00EC0CC3">
              <w:rPr>
                <w:sz w:val="22"/>
                <w:szCs w:val="22"/>
              </w:rPr>
              <w:t xml:space="preserve">Tiek pārņemts pilnībā. </w:t>
            </w:r>
          </w:p>
          <w:p w:rsidR="006C3926" w:rsidRPr="00A912D0" w:rsidRDefault="006C3926" w:rsidP="006C3926">
            <w:pPr>
              <w:pStyle w:val="naisc"/>
              <w:ind w:firstLine="21"/>
              <w:jc w:val="both"/>
              <w:rPr>
                <w:sz w:val="22"/>
                <w:szCs w:val="22"/>
              </w:rPr>
            </w:pPr>
            <w:proofErr w:type="spellStart"/>
            <w:r w:rsidRPr="00A912D0">
              <w:rPr>
                <w:sz w:val="22"/>
                <w:szCs w:val="22"/>
              </w:rPr>
              <w:t>Šķērssubsīdiju</w:t>
            </w:r>
            <w:proofErr w:type="spellEnd"/>
            <w:r w:rsidRPr="00A912D0">
              <w:rPr>
                <w:sz w:val="22"/>
                <w:szCs w:val="22"/>
              </w:rPr>
              <w:t xml:space="preserve"> aizliegums ir atrunāts Likuma „Par sabiedrisko pakalpojumu regulatoriem” 27.pantā, kas paredz, ka:</w:t>
            </w:r>
          </w:p>
          <w:p w:rsidR="006C3926" w:rsidRPr="00A912D0" w:rsidRDefault="006C3926" w:rsidP="006C3926">
            <w:pPr>
              <w:pStyle w:val="naisc"/>
              <w:ind w:firstLine="21"/>
              <w:jc w:val="both"/>
              <w:rPr>
                <w:sz w:val="22"/>
                <w:szCs w:val="22"/>
              </w:rPr>
            </w:pPr>
            <w:r w:rsidRPr="00A912D0">
              <w:rPr>
                <w:sz w:val="22"/>
                <w:szCs w:val="22"/>
              </w:rPr>
              <w:t>(1) Sabiedrisko pakalpojumu sniedzējs ārpus regulējamām nozarēm var veikt komercdarbību, kura šā likuma 26.pantā noteiktajā kārtībā jānošķir no darbības sabiedrisko pakalpojumu sniegšanā.</w:t>
            </w:r>
          </w:p>
          <w:p w:rsidR="006C3926" w:rsidRPr="00A912D0" w:rsidRDefault="006C3926" w:rsidP="006C3926">
            <w:pPr>
              <w:pStyle w:val="naisc"/>
              <w:ind w:firstLine="21"/>
              <w:jc w:val="both"/>
              <w:rPr>
                <w:sz w:val="22"/>
                <w:szCs w:val="22"/>
              </w:rPr>
            </w:pPr>
            <w:r w:rsidRPr="00A912D0">
              <w:rPr>
                <w:sz w:val="22"/>
                <w:szCs w:val="22"/>
              </w:rPr>
              <w:t xml:space="preserve">(2) Sabiedrisko pakalpojumu sniedzējam nav tiesību izmantot tarifu ieņēmumus, lai segtu izmaksas, kas saistītas ar tā komercdarbību vai cita veida darbību, kura nav tieši saistīta ar sabiedrisko pakalpojumu sniegšanu, tai skaitā sponsorēšanu, ziedošanu vai labdarību. </w:t>
            </w:r>
          </w:p>
          <w:p w:rsidR="006C3926" w:rsidRPr="00A912D0" w:rsidRDefault="006C3926" w:rsidP="006C3926">
            <w:pPr>
              <w:pStyle w:val="naisc"/>
              <w:ind w:firstLine="21"/>
              <w:jc w:val="both"/>
              <w:rPr>
                <w:sz w:val="22"/>
                <w:szCs w:val="22"/>
              </w:rPr>
            </w:pPr>
          </w:p>
          <w:p w:rsidR="00E4553F" w:rsidRPr="00577FEC" w:rsidRDefault="00E4553F" w:rsidP="006C3926">
            <w:pPr>
              <w:spacing w:after="0" w:line="240" w:lineRule="auto"/>
              <w:rPr>
                <w:rFonts w:ascii="Times New Roman" w:hAnsi="Times New Roman"/>
                <w:lang w:eastAsia="lv-LV"/>
              </w:rPr>
            </w:pPr>
          </w:p>
        </w:tc>
        <w:tc>
          <w:tcPr>
            <w:tcW w:w="2814" w:type="dxa"/>
          </w:tcPr>
          <w:p w:rsidR="00E4553F" w:rsidRPr="00AB7190" w:rsidRDefault="00E4553F" w:rsidP="007861A3">
            <w:pPr>
              <w:pStyle w:val="naiskr"/>
              <w:spacing w:before="0" w:after="0"/>
              <w:jc w:val="both"/>
              <w:rPr>
                <w:sz w:val="22"/>
                <w:szCs w:val="22"/>
              </w:rPr>
            </w:pPr>
            <w:r w:rsidRPr="00AB7190">
              <w:rPr>
                <w:sz w:val="22"/>
                <w:szCs w:val="22"/>
              </w:rPr>
              <w:t xml:space="preserve">Nacionālais tiesību akts neparedz stingrākas prasības. </w:t>
            </w:r>
          </w:p>
          <w:p w:rsidR="00E4553F" w:rsidRPr="00AB7190" w:rsidRDefault="00E4553F" w:rsidP="007861A3">
            <w:pPr>
              <w:pStyle w:val="naiskr"/>
              <w:spacing w:before="0" w:after="0"/>
              <w:jc w:val="both"/>
              <w:rPr>
                <w:sz w:val="22"/>
                <w:szCs w:val="22"/>
              </w:rPr>
            </w:pP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 32.  pants „Trešo personu piekļuve”</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6.pants, 15.pants, 42.</w:t>
            </w:r>
            <w:r w:rsidRPr="00577FEC">
              <w:rPr>
                <w:rFonts w:ascii="Times New Roman" w:hAnsi="Times New Roman"/>
                <w:vertAlign w:val="superscript"/>
                <w:lang w:eastAsia="lv-LV"/>
              </w:rPr>
              <w:t>1</w:t>
            </w:r>
            <w:r w:rsidRPr="00577FEC">
              <w:rPr>
                <w:rFonts w:ascii="Times New Roman" w:hAnsi="Times New Roman"/>
                <w:lang w:eastAsia="lv-LV"/>
              </w:rPr>
              <w:t xml:space="preserve"> 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AB7190" w:rsidRDefault="00E4553F" w:rsidP="007861A3">
            <w:pPr>
              <w:pStyle w:val="naiskr"/>
              <w:spacing w:before="0" w:after="0"/>
              <w:jc w:val="both"/>
              <w:rPr>
                <w:sz w:val="22"/>
                <w:szCs w:val="22"/>
              </w:rPr>
            </w:pPr>
            <w:r w:rsidRPr="00AB7190">
              <w:rPr>
                <w:sz w:val="22"/>
                <w:szCs w:val="22"/>
              </w:rPr>
              <w:t xml:space="preserve">Nacionālais tiesību akts neparedz stingrākas prasības. </w:t>
            </w:r>
          </w:p>
        </w:tc>
      </w:tr>
      <w:tr w:rsidR="00E4553F"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Direktīvas 2009/73/EK 34.  pants</w:t>
            </w:r>
          </w:p>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„Piekļuve sākumposma pārvades cauruļvadu tīkliem”</w:t>
            </w:r>
          </w:p>
        </w:tc>
        <w:tc>
          <w:tcPr>
            <w:tcW w:w="1275" w:type="dxa"/>
            <w:gridSpan w:val="2"/>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44.</w:t>
            </w:r>
            <w:r w:rsidRPr="00577FEC">
              <w:rPr>
                <w:rFonts w:ascii="Times New Roman" w:hAnsi="Times New Roman"/>
                <w:vertAlign w:val="superscript"/>
                <w:lang w:eastAsia="lv-LV"/>
              </w:rPr>
              <w:t>1</w:t>
            </w:r>
            <w:r w:rsidRPr="00577FEC">
              <w:rPr>
                <w:rFonts w:ascii="Times New Roman" w:hAnsi="Times New Roman"/>
                <w:lang w:eastAsia="lv-LV"/>
              </w:rPr>
              <w:t xml:space="preserve"> pants</w:t>
            </w:r>
          </w:p>
        </w:tc>
        <w:tc>
          <w:tcPr>
            <w:tcW w:w="3402" w:type="dxa"/>
          </w:tcPr>
          <w:p w:rsidR="00E4553F" w:rsidRPr="00577FEC" w:rsidRDefault="00E4553F"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E4553F" w:rsidRPr="00AB7190" w:rsidRDefault="00E4553F" w:rsidP="007861A3">
            <w:pPr>
              <w:pStyle w:val="naiskr"/>
              <w:spacing w:before="0" w:after="0"/>
              <w:jc w:val="both"/>
              <w:rPr>
                <w:sz w:val="22"/>
                <w:szCs w:val="22"/>
              </w:rPr>
            </w:pPr>
            <w:r w:rsidRPr="00AB7190">
              <w:rPr>
                <w:sz w:val="22"/>
                <w:szCs w:val="22"/>
              </w:rPr>
              <w:t xml:space="preserve">Nacionālais tiesību akts neparedz stingrākas prasības. </w:t>
            </w:r>
          </w:p>
          <w:p w:rsidR="00E4553F" w:rsidRPr="00AB7190" w:rsidRDefault="00E4553F" w:rsidP="007861A3">
            <w:pPr>
              <w:pStyle w:val="naiskr"/>
              <w:spacing w:before="0" w:after="0"/>
              <w:jc w:val="both"/>
              <w:rPr>
                <w:sz w:val="22"/>
                <w:szCs w:val="22"/>
              </w:rPr>
            </w:pPr>
          </w:p>
        </w:tc>
      </w:tr>
      <w:tr w:rsidR="00577FEC"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577FEC" w:rsidRPr="00577FEC" w:rsidRDefault="00577FEC" w:rsidP="007861A3">
            <w:pPr>
              <w:spacing w:after="0" w:line="240" w:lineRule="auto"/>
              <w:rPr>
                <w:rFonts w:ascii="Times New Roman" w:hAnsi="Times New Roman"/>
                <w:color w:val="000000" w:themeColor="text1"/>
                <w:lang w:eastAsia="lv-LV"/>
              </w:rPr>
            </w:pPr>
            <w:r w:rsidRPr="00577FEC">
              <w:rPr>
                <w:rFonts w:ascii="Times New Roman" w:hAnsi="Times New Roman"/>
                <w:color w:val="000000" w:themeColor="text1"/>
                <w:lang w:eastAsia="lv-LV"/>
              </w:rPr>
              <w:t>Direktīvas 2009/73/EK</w:t>
            </w:r>
          </w:p>
          <w:p w:rsidR="00577FEC" w:rsidRPr="00577FEC" w:rsidRDefault="00577FEC" w:rsidP="007861A3">
            <w:pPr>
              <w:spacing w:after="0" w:line="240" w:lineRule="auto"/>
              <w:rPr>
                <w:rFonts w:ascii="Times New Roman" w:hAnsi="Times New Roman"/>
                <w:color w:val="000000" w:themeColor="text1"/>
                <w:lang w:eastAsia="lv-LV"/>
              </w:rPr>
            </w:pPr>
            <w:r w:rsidRPr="00577FEC">
              <w:rPr>
                <w:rFonts w:ascii="Times New Roman" w:hAnsi="Times New Roman"/>
                <w:color w:val="000000" w:themeColor="text1"/>
                <w:lang w:eastAsia="lv-LV"/>
              </w:rPr>
              <w:t>37.panta „Tirgus atvērtība un savstarpīgums”</w:t>
            </w:r>
            <w:r>
              <w:rPr>
                <w:rFonts w:ascii="Times New Roman" w:hAnsi="Times New Roman"/>
                <w:color w:val="000000" w:themeColor="text1"/>
                <w:lang w:eastAsia="lv-LV"/>
              </w:rPr>
              <w:t xml:space="preserve"> 1. punkts</w:t>
            </w:r>
          </w:p>
        </w:tc>
        <w:tc>
          <w:tcPr>
            <w:tcW w:w="1275" w:type="dxa"/>
            <w:gridSpan w:val="2"/>
          </w:tcPr>
          <w:p w:rsidR="00577FEC" w:rsidRPr="00577FEC" w:rsidRDefault="00577FEC" w:rsidP="007861A3">
            <w:pPr>
              <w:spacing w:after="0" w:line="240" w:lineRule="auto"/>
              <w:rPr>
                <w:rFonts w:ascii="Times New Roman" w:hAnsi="Times New Roman"/>
                <w:color w:val="000000" w:themeColor="text1"/>
                <w:lang w:eastAsia="lv-LV"/>
              </w:rPr>
            </w:pPr>
            <w:r w:rsidRPr="00577FEC">
              <w:rPr>
                <w:rFonts w:ascii="Times New Roman" w:hAnsi="Times New Roman"/>
                <w:color w:val="000000" w:themeColor="text1"/>
                <w:lang w:eastAsia="lv-LV"/>
              </w:rPr>
              <w:t>42.pants</w:t>
            </w:r>
          </w:p>
        </w:tc>
        <w:tc>
          <w:tcPr>
            <w:tcW w:w="3402" w:type="dxa"/>
          </w:tcPr>
          <w:p w:rsidR="00577FEC" w:rsidRPr="00577FEC" w:rsidRDefault="00577FEC" w:rsidP="007861A3">
            <w:pPr>
              <w:spacing w:after="0" w:line="240" w:lineRule="auto"/>
              <w:rPr>
                <w:rFonts w:ascii="Times New Roman" w:hAnsi="Times New Roman"/>
                <w:lang w:eastAsia="lv-LV"/>
              </w:rPr>
            </w:pPr>
            <w:r w:rsidRPr="00577FEC">
              <w:rPr>
                <w:rFonts w:ascii="Times New Roman" w:hAnsi="Times New Roman"/>
                <w:lang w:eastAsia="lv-LV"/>
              </w:rPr>
              <w:t>Tiek pārņemts pilnībā.</w:t>
            </w:r>
          </w:p>
        </w:tc>
        <w:tc>
          <w:tcPr>
            <w:tcW w:w="2814" w:type="dxa"/>
          </w:tcPr>
          <w:p w:rsidR="00577FEC" w:rsidRPr="00AB7190" w:rsidRDefault="00577FEC" w:rsidP="007861A3">
            <w:pPr>
              <w:pStyle w:val="naiskr"/>
              <w:spacing w:before="0" w:after="0"/>
              <w:jc w:val="both"/>
              <w:rPr>
                <w:sz w:val="22"/>
                <w:szCs w:val="22"/>
              </w:rPr>
            </w:pPr>
            <w:r w:rsidRPr="00AB7190">
              <w:rPr>
                <w:sz w:val="22"/>
                <w:szCs w:val="22"/>
              </w:rPr>
              <w:t xml:space="preserve">Nacionālais tiesību akts neparedz stingrākas prasības. </w:t>
            </w:r>
          </w:p>
          <w:p w:rsidR="00577FEC" w:rsidRPr="00AB7190" w:rsidRDefault="00577FEC" w:rsidP="007861A3">
            <w:pPr>
              <w:pStyle w:val="naiskr"/>
              <w:spacing w:before="0" w:after="0"/>
              <w:jc w:val="both"/>
              <w:rPr>
                <w:sz w:val="22"/>
                <w:szCs w:val="22"/>
              </w:rPr>
            </w:pPr>
          </w:p>
        </w:tc>
      </w:tr>
      <w:tr w:rsidR="00BD26A6" w:rsidRPr="00577FEC" w:rsidTr="00133999">
        <w:tblPrEx>
          <w:tblCellMar>
            <w:top w:w="28" w:type="dxa"/>
            <w:left w:w="28" w:type="dxa"/>
            <w:bottom w:w="28" w:type="dxa"/>
            <w:right w:w="28" w:type="dxa"/>
          </w:tblCellMar>
          <w:tblLook w:val="04A0" w:firstRow="1" w:lastRow="0" w:firstColumn="1" w:lastColumn="0" w:noHBand="0" w:noVBand="1"/>
        </w:tblPrEx>
        <w:trPr>
          <w:gridAfter w:val="1"/>
          <w:wAfter w:w="21" w:type="dxa"/>
          <w:trHeight w:val="848"/>
        </w:trPr>
        <w:tc>
          <w:tcPr>
            <w:tcW w:w="2411" w:type="dxa"/>
            <w:gridSpan w:val="2"/>
          </w:tcPr>
          <w:p w:rsidR="00BD26A6" w:rsidRPr="00A912D0" w:rsidRDefault="00BD26A6" w:rsidP="00BD26A6">
            <w:pPr>
              <w:spacing w:after="0" w:line="240" w:lineRule="auto"/>
              <w:rPr>
                <w:rFonts w:ascii="Times New Roman" w:hAnsi="Times New Roman"/>
                <w:color w:val="000000" w:themeColor="text1"/>
                <w:lang w:eastAsia="lv-LV"/>
              </w:rPr>
            </w:pPr>
            <w:r w:rsidRPr="00A912D0">
              <w:rPr>
                <w:rFonts w:ascii="Times New Roman" w:hAnsi="Times New Roman"/>
                <w:color w:val="000000" w:themeColor="text1"/>
                <w:lang w:eastAsia="lv-LV"/>
              </w:rPr>
              <w:t>Direktīvas 2009/73/EK</w:t>
            </w:r>
          </w:p>
          <w:p w:rsidR="00BD26A6" w:rsidRPr="00A912D0" w:rsidRDefault="00BD26A6" w:rsidP="00BD26A6">
            <w:pPr>
              <w:autoSpaceDE w:val="0"/>
              <w:autoSpaceDN w:val="0"/>
              <w:adjustRightInd w:val="0"/>
              <w:spacing w:after="0" w:line="240" w:lineRule="auto"/>
              <w:rPr>
                <w:rFonts w:ascii="EUAlbertina" w:hAnsi="EUAlbertina" w:cs="EUAlbertina"/>
                <w:color w:val="000000"/>
                <w:sz w:val="24"/>
                <w:szCs w:val="24"/>
                <w:lang w:eastAsia="lv-LV"/>
              </w:rPr>
            </w:pPr>
            <w:r w:rsidRPr="00A912D0">
              <w:rPr>
                <w:rFonts w:ascii="EUAlbertina" w:hAnsi="EUAlbertina" w:cs="EUAlbertina"/>
                <w:color w:val="000000"/>
                <w:sz w:val="24"/>
                <w:szCs w:val="24"/>
                <w:lang w:eastAsia="lv-LV"/>
              </w:rPr>
              <w:t>1.pielikums</w:t>
            </w:r>
          </w:p>
          <w:p w:rsidR="00BD26A6" w:rsidRPr="00A912D0" w:rsidRDefault="00BD26A6" w:rsidP="00BD26A6">
            <w:pPr>
              <w:spacing w:after="0" w:line="240" w:lineRule="auto"/>
              <w:rPr>
                <w:rFonts w:ascii="Times New Roman" w:hAnsi="Times New Roman"/>
                <w:color w:val="000000" w:themeColor="text1"/>
                <w:lang w:eastAsia="lv-LV"/>
              </w:rPr>
            </w:pPr>
            <w:r w:rsidRPr="00A912D0">
              <w:rPr>
                <w:rFonts w:ascii="Times New Roman" w:hAnsi="Times New Roman"/>
                <w:color w:val="000000" w:themeColor="text1"/>
                <w:lang w:eastAsia="lv-LV"/>
              </w:rPr>
              <w:t>„Patērētāju aizsardzības pasākumi”</w:t>
            </w:r>
          </w:p>
        </w:tc>
        <w:tc>
          <w:tcPr>
            <w:tcW w:w="1275" w:type="dxa"/>
            <w:gridSpan w:val="2"/>
          </w:tcPr>
          <w:p w:rsidR="00BD26A6" w:rsidRPr="00A912D0" w:rsidRDefault="00BD26A6" w:rsidP="00BD26A6">
            <w:pPr>
              <w:spacing w:after="0" w:line="240" w:lineRule="auto"/>
              <w:rPr>
                <w:rFonts w:ascii="Times New Roman" w:hAnsi="Times New Roman"/>
                <w:lang w:eastAsia="lv-LV"/>
              </w:rPr>
            </w:pPr>
            <w:r w:rsidRPr="00A912D0">
              <w:rPr>
                <w:rFonts w:ascii="Times New Roman" w:hAnsi="Times New Roman"/>
                <w:lang w:eastAsia="lv-LV"/>
              </w:rPr>
              <w:t>44.</w:t>
            </w:r>
            <w:r w:rsidRPr="00A912D0">
              <w:rPr>
                <w:rFonts w:ascii="Times New Roman" w:hAnsi="Times New Roman"/>
                <w:vertAlign w:val="superscript"/>
                <w:lang w:eastAsia="lv-LV"/>
              </w:rPr>
              <w:t>1</w:t>
            </w:r>
            <w:r w:rsidRPr="00A912D0">
              <w:rPr>
                <w:rFonts w:ascii="Times New Roman" w:hAnsi="Times New Roman"/>
                <w:lang w:eastAsia="lv-LV"/>
              </w:rPr>
              <w:t xml:space="preserve"> panta</w:t>
            </w:r>
          </w:p>
          <w:p w:rsidR="00BD26A6" w:rsidRPr="00A912D0" w:rsidRDefault="00BD26A6" w:rsidP="00BD26A6">
            <w:pPr>
              <w:spacing w:after="0" w:line="240" w:lineRule="auto"/>
              <w:rPr>
                <w:rFonts w:ascii="Times New Roman" w:hAnsi="Times New Roman"/>
                <w:color w:val="000000" w:themeColor="text1"/>
                <w:lang w:eastAsia="lv-LV"/>
              </w:rPr>
            </w:pPr>
            <w:r w:rsidRPr="00A912D0">
              <w:rPr>
                <w:rFonts w:ascii="Times New Roman" w:hAnsi="Times New Roman"/>
                <w:lang w:eastAsia="lv-LV"/>
              </w:rPr>
              <w:t>3.daļa</w:t>
            </w:r>
          </w:p>
        </w:tc>
        <w:tc>
          <w:tcPr>
            <w:tcW w:w="3402" w:type="dxa"/>
          </w:tcPr>
          <w:p w:rsidR="00BD26A6" w:rsidRPr="00A912D0" w:rsidRDefault="00BD26A6" w:rsidP="007861A3">
            <w:pPr>
              <w:spacing w:after="0" w:line="240" w:lineRule="auto"/>
              <w:rPr>
                <w:rFonts w:ascii="Times New Roman" w:hAnsi="Times New Roman"/>
                <w:lang w:eastAsia="lv-LV"/>
              </w:rPr>
            </w:pPr>
            <w:r w:rsidRPr="00A912D0">
              <w:rPr>
                <w:rFonts w:ascii="Times New Roman" w:hAnsi="Times New Roman"/>
                <w:lang w:eastAsia="lv-LV"/>
              </w:rPr>
              <w:t>Tiek pārņemts pilnībā.</w:t>
            </w:r>
          </w:p>
        </w:tc>
        <w:tc>
          <w:tcPr>
            <w:tcW w:w="2814" w:type="dxa"/>
          </w:tcPr>
          <w:p w:rsidR="00BD26A6" w:rsidRPr="00AB7190" w:rsidRDefault="00BD26A6" w:rsidP="00BD26A6">
            <w:pPr>
              <w:pStyle w:val="naiskr"/>
              <w:spacing w:before="0" w:after="0"/>
              <w:jc w:val="both"/>
              <w:rPr>
                <w:sz w:val="22"/>
                <w:szCs w:val="22"/>
              </w:rPr>
            </w:pPr>
            <w:r w:rsidRPr="00AB7190">
              <w:rPr>
                <w:sz w:val="22"/>
                <w:szCs w:val="22"/>
              </w:rPr>
              <w:t xml:space="preserve">Nacionālais tiesību akts neparedz stingrākas prasības. </w:t>
            </w:r>
          </w:p>
          <w:p w:rsidR="00BD26A6" w:rsidRPr="00AB7190" w:rsidRDefault="00BD26A6" w:rsidP="007861A3">
            <w:pPr>
              <w:pStyle w:val="naiskr"/>
              <w:spacing w:before="0" w:after="0"/>
              <w:jc w:val="both"/>
              <w:rPr>
                <w:sz w:val="22"/>
                <w:szCs w:val="22"/>
              </w:rPr>
            </w:pPr>
          </w:p>
        </w:tc>
      </w:tr>
    </w:tbl>
    <w:p w:rsidR="001428C2" w:rsidRPr="00D06701" w:rsidRDefault="00D06701" w:rsidP="00D06701">
      <w:pPr>
        <w:rPr>
          <w:rFonts w:ascii="Times New Roman" w:hAnsi="Times New Roman"/>
          <w:lang w:eastAsia="lv-LV"/>
        </w:rPr>
      </w:pPr>
      <w:r w:rsidRPr="00D06701">
        <w:rPr>
          <w:rFonts w:ascii="Times New Roman" w:hAnsi="Times New Roman"/>
          <w:lang w:eastAsia="lv-LV"/>
        </w:rPr>
        <w:t xml:space="preserve">Anotācijas </w:t>
      </w:r>
      <w:r w:rsidR="00C50847">
        <w:rPr>
          <w:rFonts w:ascii="Times New Roman" w:hAnsi="Times New Roman"/>
          <w:lang w:eastAsia="lv-LV"/>
        </w:rPr>
        <w:t xml:space="preserve">III un </w:t>
      </w:r>
      <w:r>
        <w:rPr>
          <w:rFonts w:ascii="Times New Roman" w:hAnsi="Times New Roman"/>
          <w:lang w:eastAsia="lv-LV"/>
        </w:rPr>
        <w:t>VI sadaļa – nav attiecināms.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6378"/>
      </w:tblGrid>
      <w:tr w:rsidR="003D12AB" w:rsidRPr="003D12AB" w:rsidTr="00133999">
        <w:tc>
          <w:tcPr>
            <w:tcW w:w="9923" w:type="dxa"/>
            <w:gridSpan w:val="3"/>
          </w:tcPr>
          <w:p w:rsidR="005526CE" w:rsidRPr="003D12AB" w:rsidRDefault="005526CE" w:rsidP="007526AE">
            <w:pPr>
              <w:pStyle w:val="tvhtml"/>
              <w:spacing w:before="0" w:beforeAutospacing="0" w:after="0" w:afterAutospacing="0"/>
              <w:jc w:val="center"/>
              <w:rPr>
                <w:rFonts w:ascii="Times New Roman" w:hAnsi="Times New Roman"/>
                <w:b/>
                <w:iCs/>
                <w:sz w:val="24"/>
                <w:szCs w:val="24"/>
              </w:rPr>
            </w:pPr>
            <w:r w:rsidRPr="003D12AB">
              <w:rPr>
                <w:rFonts w:ascii="Times New Roman" w:hAnsi="Times New Roman"/>
                <w:b/>
                <w:sz w:val="24"/>
                <w:szCs w:val="24"/>
              </w:rPr>
              <w:t>VII. Tiesību akta projekta izpildes nodrošināšana un tās ietekme uz institūcijām</w:t>
            </w: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lastRenderedPageBreak/>
              <w:t>1.</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 xml:space="preserve">Projekta izpildē iesaistītās institūcijas </w:t>
            </w:r>
          </w:p>
        </w:tc>
        <w:tc>
          <w:tcPr>
            <w:tcW w:w="6378" w:type="dxa"/>
          </w:tcPr>
          <w:p w:rsidR="005526CE" w:rsidRPr="003D12AB" w:rsidRDefault="00950AE6" w:rsidP="00950AE6">
            <w:pPr>
              <w:pStyle w:val="naisnod"/>
              <w:spacing w:before="0" w:after="0"/>
              <w:ind w:left="57" w:right="57"/>
              <w:jc w:val="both"/>
              <w:rPr>
                <w:b w:val="0"/>
                <w:sz w:val="22"/>
                <w:szCs w:val="22"/>
              </w:rPr>
            </w:pPr>
            <w:r>
              <w:rPr>
                <w:b w:val="0"/>
                <w:sz w:val="22"/>
                <w:szCs w:val="22"/>
              </w:rPr>
              <w:t xml:space="preserve">Projekta izpildi nodrošinās Ekonomikas ministrija, Sabiedrisko pakalpojumu regulēšanas komisija un </w:t>
            </w:r>
            <w:r w:rsidR="00E44D8A" w:rsidRPr="00E44D8A">
              <w:rPr>
                <w:b w:val="0"/>
                <w:sz w:val="22"/>
                <w:szCs w:val="22"/>
              </w:rPr>
              <w:t>AS „Latvijas Gāze“</w:t>
            </w:r>
            <w:r>
              <w:rPr>
                <w:b w:val="0"/>
                <w:sz w:val="22"/>
                <w:szCs w:val="22"/>
              </w:rPr>
              <w:t>.</w:t>
            </w: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2.</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 xml:space="preserve">Projekta izpildes ietekme uz pārvaldes funkcijām </w:t>
            </w:r>
          </w:p>
        </w:tc>
        <w:tc>
          <w:tcPr>
            <w:tcW w:w="6378"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Projekts neparedz funkciju paplašināšanu.</w:t>
            </w:r>
          </w:p>
          <w:p w:rsidR="005526CE" w:rsidRPr="003D12AB" w:rsidRDefault="005526CE" w:rsidP="007526AE">
            <w:pPr>
              <w:pStyle w:val="naisnod"/>
              <w:spacing w:before="0" w:after="0"/>
              <w:ind w:left="57" w:right="57"/>
              <w:jc w:val="left"/>
              <w:rPr>
                <w:b w:val="0"/>
                <w:sz w:val="22"/>
                <w:szCs w:val="22"/>
              </w:rPr>
            </w:pP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3.</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Projekta izpildes ietekme uz pārvaldes institucionālo struktūru.</w:t>
            </w:r>
          </w:p>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Jaunu institūciju izveide</w:t>
            </w:r>
          </w:p>
        </w:tc>
        <w:tc>
          <w:tcPr>
            <w:tcW w:w="6378"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Projekts neparedz veidot jaunas valsts institūcijas.</w:t>
            </w: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4.</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Projekta izpildes ietekme uz pārvaldes institucionālo struktūru.</w:t>
            </w:r>
          </w:p>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Esošu institūciju likvidācija</w:t>
            </w:r>
          </w:p>
        </w:tc>
        <w:tc>
          <w:tcPr>
            <w:tcW w:w="6378"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Projekts šo jomu neskar.</w:t>
            </w:r>
          </w:p>
        </w:tc>
      </w:tr>
      <w:tr w:rsidR="003D12AB" w:rsidRPr="003D12AB" w:rsidTr="00133999">
        <w:tc>
          <w:tcPr>
            <w:tcW w:w="710" w:type="dxa"/>
          </w:tcPr>
          <w:p w:rsidR="005526CE" w:rsidRPr="003D12AB" w:rsidRDefault="005526CE" w:rsidP="007526AE">
            <w:pPr>
              <w:pStyle w:val="naisnod"/>
              <w:spacing w:before="0" w:after="0"/>
              <w:ind w:left="57" w:right="57"/>
              <w:jc w:val="left"/>
              <w:rPr>
                <w:b w:val="0"/>
                <w:sz w:val="22"/>
                <w:szCs w:val="22"/>
              </w:rPr>
            </w:pPr>
            <w:r w:rsidRPr="003D12AB">
              <w:rPr>
                <w:b w:val="0"/>
                <w:sz w:val="22"/>
                <w:szCs w:val="22"/>
              </w:rPr>
              <w:t>5.</w:t>
            </w:r>
          </w:p>
        </w:tc>
        <w:tc>
          <w:tcPr>
            <w:tcW w:w="2835" w:type="dxa"/>
          </w:tcPr>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Projekta izpildes ietekme uz pārvaldes institucionālo struktūru.</w:t>
            </w:r>
          </w:p>
          <w:p w:rsidR="005526CE" w:rsidRPr="003D12AB" w:rsidRDefault="005526CE" w:rsidP="007526AE">
            <w:pPr>
              <w:pStyle w:val="naisf"/>
              <w:spacing w:before="0" w:after="0"/>
              <w:ind w:left="57" w:right="57" w:firstLine="0"/>
              <w:jc w:val="left"/>
              <w:rPr>
                <w:sz w:val="22"/>
                <w:szCs w:val="22"/>
                <w:lang w:eastAsia="lv-LV"/>
              </w:rPr>
            </w:pPr>
            <w:r w:rsidRPr="003D12AB">
              <w:rPr>
                <w:sz w:val="22"/>
                <w:szCs w:val="22"/>
                <w:lang w:eastAsia="lv-LV"/>
              </w:rPr>
              <w:t>Esošu institūciju reorganizācija</w:t>
            </w:r>
          </w:p>
        </w:tc>
        <w:tc>
          <w:tcPr>
            <w:tcW w:w="6378" w:type="dxa"/>
          </w:tcPr>
          <w:p w:rsidR="005526CE" w:rsidRPr="003D12AB" w:rsidRDefault="005526CE" w:rsidP="007526AE">
            <w:pPr>
              <w:pStyle w:val="naisnod"/>
              <w:spacing w:before="0" w:after="0"/>
              <w:ind w:left="57" w:right="57"/>
              <w:jc w:val="both"/>
              <w:rPr>
                <w:b w:val="0"/>
                <w:sz w:val="22"/>
                <w:szCs w:val="22"/>
              </w:rPr>
            </w:pPr>
            <w:r w:rsidRPr="003D12AB">
              <w:rPr>
                <w:b w:val="0"/>
                <w:sz w:val="22"/>
                <w:szCs w:val="22"/>
              </w:rPr>
              <w:t>Projekts šo jomu neskar.</w:t>
            </w:r>
          </w:p>
        </w:tc>
      </w:tr>
      <w:tr w:rsidR="005526CE" w:rsidRPr="003D12AB" w:rsidTr="00133999">
        <w:tc>
          <w:tcPr>
            <w:tcW w:w="710" w:type="dxa"/>
          </w:tcPr>
          <w:p w:rsidR="005526CE" w:rsidRPr="003D12AB" w:rsidRDefault="005526CE" w:rsidP="007526AE">
            <w:pPr>
              <w:pStyle w:val="naiskr"/>
              <w:spacing w:before="0" w:after="0"/>
              <w:ind w:left="57" w:right="57"/>
              <w:rPr>
                <w:sz w:val="22"/>
                <w:szCs w:val="22"/>
              </w:rPr>
            </w:pPr>
            <w:r w:rsidRPr="003D12AB">
              <w:rPr>
                <w:sz w:val="22"/>
                <w:szCs w:val="22"/>
              </w:rPr>
              <w:t>6.</w:t>
            </w:r>
          </w:p>
        </w:tc>
        <w:tc>
          <w:tcPr>
            <w:tcW w:w="2835" w:type="dxa"/>
          </w:tcPr>
          <w:p w:rsidR="005526CE" w:rsidRPr="003D12AB" w:rsidRDefault="005526CE" w:rsidP="007526AE">
            <w:pPr>
              <w:pStyle w:val="naiskr"/>
              <w:spacing w:before="0" w:after="0"/>
              <w:ind w:left="57" w:right="57"/>
              <w:rPr>
                <w:sz w:val="22"/>
                <w:szCs w:val="22"/>
              </w:rPr>
            </w:pPr>
            <w:r w:rsidRPr="003D12AB">
              <w:rPr>
                <w:sz w:val="22"/>
                <w:szCs w:val="22"/>
              </w:rPr>
              <w:t>Cita informācija</w:t>
            </w:r>
          </w:p>
        </w:tc>
        <w:tc>
          <w:tcPr>
            <w:tcW w:w="6378" w:type="dxa"/>
          </w:tcPr>
          <w:p w:rsidR="005526CE" w:rsidRPr="003D12AB" w:rsidRDefault="00551762" w:rsidP="007526AE">
            <w:pPr>
              <w:pStyle w:val="naiskr"/>
              <w:spacing w:before="0" w:after="0"/>
              <w:ind w:left="57" w:right="57"/>
              <w:rPr>
                <w:sz w:val="22"/>
                <w:szCs w:val="22"/>
              </w:rPr>
            </w:pPr>
            <w:r>
              <w:rPr>
                <w:sz w:val="22"/>
                <w:szCs w:val="22"/>
              </w:rPr>
              <w:t xml:space="preserve">Nav. </w:t>
            </w:r>
          </w:p>
        </w:tc>
      </w:tr>
    </w:tbl>
    <w:p w:rsidR="005526CE" w:rsidRPr="003D12AB" w:rsidRDefault="005526CE" w:rsidP="00A0154D">
      <w:pPr>
        <w:pStyle w:val="NormalWeb"/>
        <w:spacing w:before="0" w:beforeAutospacing="0" w:after="0" w:afterAutospacing="0"/>
        <w:rPr>
          <w:sz w:val="28"/>
        </w:rPr>
      </w:pPr>
    </w:p>
    <w:p w:rsidR="005526CE" w:rsidRPr="003D12AB" w:rsidRDefault="005526CE" w:rsidP="00A0154D">
      <w:pPr>
        <w:pStyle w:val="NormalWeb"/>
        <w:spacing w:before="0" w:beforeAutospacing="0" w:after="0" w:afterAutospacing="0"/>
        <w:rPr>
          <w:sz w:val="28"/>
          <w:szCs w:val="28"/>
        </w:rPr>
      </w:pPr>
    </w:p>
    <w:p w:rsidR="005526CE" w:rsidRPr="003D12AB" w:rsidRDefault="005526CE" w:rsidP="00A0154D">
      <w:pPr>
        <w:pStyle w:val="NormalWeb"/>
        <w:spacing w:before="0" w:beforeAutospacing="0" w:after="0" w:afterAutospacing="0"/>
        <w:rPr>
          <w:sz w:val="28"/>
          <w:szCs w:val="28"/>
        </w:rPr>
      </w:pPr>
      <w:r w:rsidRPr="003D12AB">
        <w:rPr>
          <w:sz w:val="28"/>
          <w:szCs w:val="28"/>
        </w:rPr>
        <w:t>Ekonomikas ministrs</w:t>
      </w:r>
      <w:r w:rsidRPr="003D12AB">
        <w:rPr>
          <w:sz w:val="28"/>
          <w:szCs w:val="28"/>
        </w:rPr>
        <w:tab/>
      </w:r>
      <w:r w:rsidRPr="003D12AB">
        <w:rPr>
          <w:sz w:val="28"/>
          <w:szCs w:val="28"/>
        </w:rPr>
        <w:tab/>
      </w:r>
      <w:r w:rsidRPr="003D12AB">
        <w:rPr>
          <w:sz w:val="28"/>
          <w:szCs w:val="28"/>
        </w:rPr>
        <w:tab/>
      </w:r>
      <w:r w:rsidRPr="003D12AB">
        <w:rPr>
          <w:sz w:val="28"/>
          <w:szCs w:val="28"/>
        </w:rPr>
        <w:tab/>
      </w:r>
      <w:r w:rsidRPr="003D12AB">
        <w:rPr>
          <w:sz w:val="28"/>
          <w:szCs w:val="28"/>
        </w:rPr>
        <w:tab/>
      </w:r>
      <w:r w:rsidRPr="003D12AB">
        <w:rPr>
          <w:sz w:val="28"/>
          <w:szCs w:val="28"/>
        </w:rPr>
        <w:tab/>
      </w:r>
      <w:r w:rsidRPr="003D12AB">
        <w:rPr>
          <w:sz w:val="28"/>
          <w:szCs w:val="28"/>
        </w:rPr>
        <w:tab/>
      </w:r>
      <w:r w:rsidRPr="003D12AB">
        <w:rPr>
          <w:sz w:val="28"/>
          <w:szCs w:val="28"/>
        </w:rPr>
        <w:tab/>
        <w:t>D.Pavļuts</w:t>
      </w:r>
    </w:p>
    <w:p w:rsidR="005526CE" w:rsidRPr="003D12AB" w:rsidRDefault="005526CE" w:rsidP="00A0154D">
      <w:pPr>
        <w:pStyle w:val="EnvelopeReturn"/>
        <w:tabs>
          <w:tab w:val="left" w:pos="6480"/>
          <w:tab w:val="right" w:pos="7560"/>
        </w:tabs>
        <w:spacing w:before="0"/>
        <w:rPr>
          <w:sz w:val="28"/>
          <w:szCs w:val="28"/>
          <w:lang w:val="lv-LV"/>
        </w:rPr>
      </w:pPr>
    </w:p>
    <w:p w:rsidR="005526CE" w:rsidRPr="003D12AB" w:rsidRDefault="005526CE" w:rsidP="00E37328">
      <w:pPr>
        <w:pStyle w:val="Subtitle"/>
        <w:widowControl/>
        <w:spacing w:before="0" w:after="0"/>
        <w:ind w:right="-1"/>
        <w:rPr>
          <w:sz w:val="28"/>
          <w:szCs w:val="28"/>
          <w:lang w:val="lv-LV"/>
        </w:rPr>
      </w:pPr>
    </w:p>
    <w:p w:rsidR="005526CE" w:rsidRDefault="005526CE" w:rsidP="0055069C">
      <w:pPr>
        <w:pStyle w:val="Subtitle"/>
        <w:widowControl/>
        <w:spacing w:before="0" w:after="0"/>
        <w:ind w:right="-1"/>
        <w:jc w:val="right"/>
        <w:rPr>
          <w:b w:val="0"/>
          <w:sz w:val="28"/>
          <w:szCs w:val="28"/>
          <w:lang w:val="lv-LV"/>
        </w:rPr>
      </w:pPr>
      <w:r w:rsidRPr="007E4BCB">
        <w:rPr>
          <w:b w:val="0"/>
          <w:sz w:val="28"/>
          <w:szCs w:val="28"/>
          <w:lang w:val="lv-LV"/>
        </w:rPr>
        <w:t>Vīza:</w:t>
      </w:r>
      <w:r w:rsidRPr="003D12AB">
        <w:rPr>
          <w:sz w:val="28"/>
          <w:szCs w:val="28"/>
          <w:lang w:val="lv-LV"/>
        </w:rPr>
        <w:t xml:space="preserve"> </w:t>
      </w:r>
      <w:r w:rsidRPr="003D12AB">
        <w:rPr>
          <w:b w:val="0"/>
          <w:sz w:val="28"/>
          <w:szCs w:val="28"/>
          <w:lang w:val="lv-LV"/>
        </w:rPr>
        <w:t>Valsts sekretārs</w:t>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Pr="003D12AB">
        <w:rPr>
          <w:b w:val="0"/>
          <w:sz w:val="28"/>
          <w:szCs w:val="28"/>
          <w:lang w:val="lv-LV"/>
        </w:rPr>
        <w:tab/>
      </w:r>
      <w:r w:rsidR="0055069C">
        <w:rPr>
          <w:b w:val="0"/>
          <w:sz w:val="28"/>
          <w:szCs w:val="28"/>
          <w:lang w:val="lv-LV"/>
        </w:rPr>
        <w:t xml:space="preserve">      </w:t>
      </w:r>
      <w:r w:rsidRPr="003D12AB">
        <w:rPr>
          <w:b w:val="0"/>
          <w:sz w:val="28"/>
          <w:szCs w:val="28"/>
          <w:lang w:val="lv-LV"/>
        </w:rPr>
        <w:t>J.Pūce</w:t>
      </w:r>
    </w:p>
    <w:p w:rsidR="006A59A8" w:rsidRPr="006A59A8" w:rsidRDefault="006A59A8" w:rsidP="006A59A8"/>
    <w:p w:rsidR="005526CE" w:rsidRDefault="005526CE" w:rsidP="00A0154D">
      <w:pPr>
        <w:spacing w:after="0" w:line="240" w:lineRule="auto"/>
        <w:rPr>
          <w:rFonts w:ascii="Times New Roman" w:hAnsi="Times New Roman"/>
          <w:sz w:val="20"/>
          <w:szCs w:val="20"/>
        </w:rPr>
      </w:pPr>
    </w:p>
    <w:p w:rsidR="00577FEC" w:rsidRDefault="00577FEC" w:rsidP="00A0154D">
      <w:pPr>
        <w:spacing w:after="0" w:line="240" w:lineRule="auto"/>
        <w:rPr>
          <w:rFonts w:ascii="Times New Roman" w:hAnsi="Times New Roman"/>
          <w:sz w:val="20"/>
          <w:szCs w:val="20"/>
        </w:rPr>
      </w:pPr>
    </w:p>
    <w:p w:rsidR="00577FEC" w:rsidRPr="003D12AB" w:rsidRDefault="00577FEC" w:rsidP="00A0154D">
      <w:pPr>
        <w:spacing w:after="0" w:line="240" w:lineRule="auto"/>
        <w:rPr>
          <w:rFonts w:ascii="Times New Roman" w:hAnsi="Times New Roman"/>
          <w:sz w:val="20"/>
          <w:szCs w:val="20"/>
        </w:rPr>
      </w:pPr>
    </w:p>
    <w:p w:rsidR="008D052F" w:rsidRPr="0036543A" w:rsidRDefault="00A87DA3" w:rsidP="008D052F">
      <w:pPr>
        <w:spacing w:after="0" w:line="240" w:lineRule="auto"/>
        <w:rPr>
          <w:rFonts w:ascii="Times New Roman" w:hAnsi="Times New Roman"/>
          <w:sz w:val="20"/>
          <w:szCs w:val="20"/>
        </w:rPr>
      </w:pPr>
      <w:r>
        <w:rPr>
          <w:rFonts w:ascii="Times New Roman" w:hAnsi="Times New Roman"/>
          <w:sz w:val="20"/>
          <w:szCs w:val="20"/>
        </w:rPr>
        <w:t>26.11.2013. 09:59</w:t>
      </w:r>
    </w:p>
    <w:p w:rsidR="008D052F" w:rsidRPr="0036543A" w:rsidRDefault="008D052F" w:rsidP="008D052F">
      <w:pPr>
        <w:spacing w:after="0" w:line="240" w:lineRule="auto"/>
        <w:rPr>
          <w:rFonts w:ascii="Times New Roman" w:hAnsi="Times New Roman"/>
          <w:noProof/>
          <w:sz w:val="20"/>
          <w:szCs w:val="20"/>
        </w:rPr>
      </w:pPr>
      <w:r w:rsidRPr="0036543A">
        <w:rPr>
          <w:rFonts w:ascii="Times New Roman" w:hAnsi="Times New Roman"/>
          <w:sz w:val="20"/>
          <w:szCs w:val="20"/>
        </w:rPr>
        <w:fldChar w:fldCharType="begin"/>
      </w:r>
      <w:r w:rsidRPr="0036543A">
        <w:rPr>
          <w:rFonts w:ascii="Times New Roman" w:hAnsi="Times New Roman"/>
          <w:sz w:val="20"/>
          <w:szCs w:val="20"/>
        </w:rPr>
        <w:instrText xml:space="preserve"> NUMWORDS   \* MERGEFORMAT </w:instrText>
      </w:r>
      <w:r w:rsidRPr="0036543A">
        <w:rPr>
          <w:rFonts w:ascii="Times New Roman" w:hAnsi="Times New Roman"/>
          <w:sz w:val="20"/>
          <w:szCs w:val="20"/>
        </w:rPr>
        <w:fldChar w:fldCharType="separate"/>
      </w:r>
      <w:r w:rsidR="00A87DA3">
        <w:rPr>
          <w:rFonts w:ascii="Times New Roman" w:hAnsi="Times New Roman"/>
          <w:noProof/>
          <w:sz w:val="20"/>
          <w:szCs w:val="20"/>
        </w:rPr>
        <w:t>2915</w:t>
      </w:r>
      <w:r w:rsidRPr="0036543A">
        <w:rPr>
          <w:rFonts w:ascii="Times New Roman" w:hAnsi="Times New Roman"/>
          <w:noProof/>
          <w:sz w:val="20"/>
          <w:szCs w:val="20"/>
        </w:rPr>
        <w:fldChar w:fldCharType="end"/>
      </w:r>
    </w:p>
    <w:p w:rsidR="008D052F" w:rsidRPr="0036543A" w:rsidRDefault="008D052F" w:rsidP="008D052F">
      <w:pPr>
        <w:spacing w:after="0" w:line="240" w:lineRule="auto"/>
        <w:rPr>
          <w:rFonts w:ascii="Times New Roman" w:hAnsi="Times New Roman"/>
          <w:sz w:val="20"/>
          <w:szCs w:val="20"/>
        </w:rPr>
      </w:pPr>
      <w:r w:rsidRPr="0036543A">
        <w:rPr>
          <w:rFonts w:ascii="Times New Roman" w:hAnsi="Times New Roman"/>
          <w:sz w:val="20"/>
          <w:szCs w:val="20"/>
        </w:rPr>
        <w:t>G.Rēpele</w:t>
      </w:r>
    </w:p>
    <w:p w:rsidR="008D052F" w:rsidRDefault="008D052F" w:rsidP="008D052F">
      <w:pPr>
        <w:spacing w:after="0" w:line="240" w:lineRule="auto"/>
        <w:rPr>
          <w:rFonts w:ascii="Times New Roman" w:hAnsi="Times New Roman"/>
          <w:sz w:val="20"/>
          <w:szCs w:val="20"/>
        </w:rPr>
      </w:pPr>
      <w:r w:rsidRPr="0036543A">
        <w:rPr>
          <w:rFonts w:ascii="Times New Roman" w:hAnsi="Times New Roman"/>
          <w:sz w:val="20"/>
          <w:szCs w:val="20"/>
        </w:rPr>
        <w:t>67013033,</w:t>
      </w:r>
      <w:hyperlink r:id="rId11" w:history="1">
        <w:r w:rsidR="00385472" w:rsidRPr="00F447BA">
          <w:rPr>
            <w:rStyle w:val="Hyperlink"/>
            <w:rFonts w:ascii="Times New Roman" w:hAnsi="Times New Roman"/>
            <w:sz w:val="20"/>
            <w:szCs w:val="20"/>
          </w:rPr>
          <w:t>Gunta.Repele@em.gov.lv</w:t>
        </w:r>
      </w:hyperlink>
    </w:p>
    <w:p w:rsidR="00385472" w:rsidRDefault="00385472" w:rsidP="008D052F">
      <w:pPr>
        <w:spacing w:after="0" w:line="240" w:lineRule="auto"/>
        <w:rPr>
          <w:rFonts w:ascii="Times New Roman" w:hAnsi="Times New Roman"/>
          <w:sz w:val="20"/>
          <w:szCs w:val="20"/>
        </w:rPr>
      </w:pPr>
      <w:r>
        <w:rPr>
          <w:rFonts w:ascii="Times New Roman" w:hAnsi="Times New Roman"/>
          <w:sz w:val="20"/>
          <w:szCs w:val="20"/>
        </w:rPr>
        <w:t>I.Niedrīte</w:t>
      </w:r>
    </w:p>
    <w:p w:rsidR="00385472" w:rsidRDefault="00385472" w:rsidP="008D052F">
      <w:pPr>
        <w:spacing w:after="0" w:line="240" w:lineRule="auto"/>
        <w:rPr>
          <w:rFonts w:ascii="Times New Roman" w:hAnsi="Times New Roman"/>
          <w:sz w:val="20"/>
          <w:szCs w:val="20"/>
        </w:rPr>
      </w:pPr>
      <w:r>
        <w:rPr>
          <w:rFonts w:ascii="Times New Roman" w:hAnsi="Times New Roman"/>
          <w:sz w:val="20"/>
          <w:szCs w:val="20"/>
        </w:rPr>
        <w:t xml:space="preserve">67013168, </w:t>
      </w:r>
      <w:hyperlink r:id="rId12" w:history="1">
        <w:r w:rsidRPr="00F447BA">
          <w:rPr>
            <w:rStyle w:val="Hyperlink"/>
            <w:rFonts w:ascii="Times New Roman" w:hAnsi="Times New Roman"/>
            <w:sz w:val="20"/>
            <w:szCs w:val="20"/>
          </w:rPr>
          <w:t>Indra.Niedrite@em.gov.lv</w:t>
        </w:r>
      </w:hyperlink>
    </w:p>
    <w:p w:rsidR="00385472" w:rsidRPr="0036543A" w:rsidRDefault="00385472" w:rsidP="008D052F">
      <w:pPr>
        <w:spacing w:after="0" w:line="240" w:lineRule="auto"/>
        <w:rPr>
          <w:rFonts w:ascii="Times New Roman" w:hAnsi="Times New Roman"/>
          <w:sz w:val="20"/>
          <w:szCs w:val="20"/>
        </w:rPr>
      </w:pPr>
    </w:p>
    <w:p w:rsidR="005526CE" w:rsidRPr="003D12AB" w:rsidRDefault="005526CE" w:rsidP="007F340F">
      <w:pPr>
        <w:spacing w:after="0" w:line="240" w:lineRule="auto"/>
        <w:rPr>
          <w:rFonts w:ascii="Times New Roman" w:hAnsi="Times New Roman"/>
          <w:sz w:val="20"/>
        </w:rPr>
      </w:pPr>
    </w:p>
    <w:sectPr w:rsidR="005526CE" w:rsidRPr="003D12AB" w:rsidSect="00577FEC">
      <w:headerReference w:type="default" r:id="rId13"/>
      <w:footerReference w:type="default" r:id="rId14"/>
      <w:footerReference w:type="first" r:id="rId15"/>
      <w:pgSz w:w="11906" w:h="16838"/>
      <w:pgMar w:top="1135" w:right="1134" w:bottom="1134" w:left="1701" w:header="709" w:footer="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64" w:rsidRDefault="00714864" w:rsidP="009640EB">
      <w:pPr>
        <w:spacing w:after="0" w:line="240" w:lineRule="auto"/>
      </w:pPr>
      <w:r>
        <w:separator/>
      </w:r>
    </w:p>
  </w:endnote>
  <w:endnote w:type="continuationSeparator" w:id="0">
    <w:p w:rsidR="00714864" w:rsidRDefault="00714864" w:rsidP="009640EB">
      <w:pPr>
        <w:spacing w:after="0" w:line="240" w:lineRule="auto"/>
      </w:pPr>
      <w:r>
        <w:continuationSeparator/>
      </w:r>
    </w:p>
  </w:endnote>
  <w:endnote w:type="continuationNotice" w:id="1">
    <w:p w:rsidR="00714864" w:rsidRDefault="00714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20002A87" w:usb1="00000000" w:usb2="00000000"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Impact">
    <w:panose1 w:val="020B080603090205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99" w:rsidRPr="007F0D87" w:rsidRDefault="00EC5B99" w:rsidP="00EC5B99">
    <w:pPr>
      <w:spacing w:after="0" w:line="240" w:lineRule="auto"/>
      <w:jc w:val="both"/>
      <w:rPr>
        <w:rFonts w:ascii="Times New Roman" w:hAnsi="Times New Roman"/>
        <w:sz w:val="20"/>
        <w:szCs w:val="20"/>
      </w:rPr>
    </w:pPr>
    <w:r w:rsidRPr="0063220A">
      <w:rPr>
        <w:rFonts w:ascii="Times New Roman" w:hAnsi="Times New Roman"/>
        <w:sz w:val="20"/>
        <w:szCs w:val="20"/>
      </w:rPr>
      <w:fldChar w:fldCharType="begin"/>
    </w:r>
    <w:r w:rsidRPr="0063220A">
      <w:rPr>
        <w:rFonts w:ascii="Times New Roman" w:hAnsi="Times New Roman"/>
        <w:sz w:val="20"/>
        <w:szCs w:val="20"/>
      </w:rPr>
      <w:instrText xml:space="preserve"> FILENAME   \* MERGEFORMAT </w:instrText>
    </w:r>
    <w:r w:rsidRPr="0063220A">
      <w:rPr>
        <w:rFonts w:ascii="Times New Roman" w:hAnsi="Times New Roman"/>
        <w:sz w:val="20"/>
        <w:szCs w:val="20"/>
      </w:rPr>
      <w:fldChar w:fldCharType="separate"/>
    </w:r>
    <w:r>
      <w:rPr>
        <w:rFonts w:ascii="Times New Roman" w:hAnsi="Times New Roman"/>
        <w:noProof/>
        <w:sz w:val="20"/>
        <w:szCs w:val="20"/>
      </w:rPr>
      <w:t>EMAnot_261113_groz_EL</w:t>
    </w:r>
    <w:r w:rsidRPr="0063220A">
      <w:rPr>
        <w:rFonts w:ascii="Times New Roman" w:hAnsi="Times New Roman"/>
        <w:noProof/>
        <w:sz w:val="20"/>
        <w:szCs w:val="20"/>
      </w:rPr>
      <w:fldChar w:fldCharType="end"/>
    </w:r>
    <w:r w:rsidRPr="0063220A">
      <w:rPr>
        <w:rFonts w:ascii="Times New Roman" w:hAnsi="Times New Roman"/>
        <w:sz w:val="20"/>
        <w:szCs w:val="20"/>
      </w:rPr>
      <w:t>;</w:t>
    </w:r>
    <w:r w:rsidRPr="00204842">
      <w:rPr>
        <w:rFonts w:ascii="Times New Roman" w:hAnsi="Times New Roman"/>
        <w:sz w:val="20"/>
        <w:szCs w:val="20"/>
      </w:rPr>
      <w:t xml:space="preserve"> Likumprojekta „Grozījumi </w:t>
    </w:r>
    <w:r>
      <w:rPr>
        <w:rFonts w:ascii="Times New Roman" w:hAnsi="Times New Roman"/>
        <w:sz w:val="20"/>
        <w:szCs w:val="20"/>
      </w:rPr>
      <w:t>Enerģētikas likumā</w:t>
    </w:r>
    <w:r w:rsidRPr="00204842">
      <w:rPr>
        <w:rFonts w:ascii="Times New Roman" w:hAnsi="Times New Roman"/>
        <w:sz w:val="20"/>
        <w:szCs w:val="20"/>
      </w:rPr>
      <w:t>” sākotnējās ietekmes novērtējuma ziņojums (anotācija)</w:t>
    </w:r>
  </w:p>
  <w:p w:rsidR="007861A3" w:rsidRPr="007F340F" w:rsidRDefault="007861A3" w:rsidP="007F340F">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A3" w:rsidRPr="007F0D87" w:rsidRDefault="007861A3" w:rsidP="00616C57">
    <w:pPr>
      <w:spacing w:after="0" w:line="240" w:lineRule="auto"/>
      <w:jc w:val="both"/>
      <w:rPr>
        <w:rFonts w:ascii="Times New Roman" w:hAnsi="Times New Roman"/>
        <w:sz w:val="20"/>
        <w:szCs w:val="20"/>
      </w:rPr>
    </w:pPr>
    <w:r w:rsidRPr="0063220A">
      <w:rPr>
        <w:rFonts w:ascii="Times New Roman" w:hAnsi="Times New Roman"/>
        <w:sz w:val="20"/>
        <w:szCs w:val="20"/>
      </w:rPr>
      <w:fldChar w:fldCharType="begin"/>
    </w:r>
    <w:r w:rsidRPr="0063220A">
      <w:rPr>
        <w:rFonts w:ascii="Times New Roman" w:hAnsi="Times New Roman"/>
        <w:sz w:val="20"/>
        <w:szCs w:val="20"/>
      </w:rPr>
      <w:instrText xml:space="preserve"> FILENAME   \* MERGEFORMAT </w:instrText>
    </w:r>
    <w:r w:rsidRPr="0063220A">
      <w:rPr>
        <w:rFonts w:ascii="Times New Roman" w:hAnsi="Times New Roman"/>
        <w:sz w:val="20"/>
        <w:szCs w:val="20"/>
      </w:rPr>
      <w:fldChar w:fldCharType="separate"/>
    </w:r>
    <w:r w:rsidR="00EC5B99">
      <w:rPr>
        <w:rFonts w:ascii="Times New Roman" w:hAnsi="Times New Roman"/>
        <w:noProof/>
        <w:sz w:val="20"/>
        <w:szCs w:val="20"/>
      </w:rPr>
      <w:t>EMAnot_26</w:t>
    </w:r>
    <w:r w:rsidR="00F82CFC">
      <w:rPr>
        <w:rFonts w:ascii="Times New Roman" w:hAnsi="Times New Roman"/>
        <w:noProof/>
        <w:sz w:val="20"/>
        <w:szCs w:val="20"/>
      </w:rPr>
      <w:t>1113_groz_EL</w:t>
    </w:r>
    <w:r w:rsidRPr="0063220A">
      <w:rPr>
        <w:rFonts w:ascii="Times New Roman" w:hAnsi="Times New Roman"/>
        <w:noProof/>
        <w:sz w:val="20"/>
        <w:szCs w:val="20"/>
      </w:rPr>
      <w:fldChar w:fldCharType="end"/>
    </w:r>
    <w:r w:rsidRPr="0063220A">
      <w:rPr>
        <w:rFonts w:ascii="Times New Roman" w:hAnsi="Times New Roman"/>
        <w:sz w:val="20"/>
        <w:szCs w:val="20"/>
      </w:rPr>
      <w:t>;</w:t>
    </w:r>
    <w:r w:rsidRPr="00204842">
      <w:rPr>
        <w:rFonts w:ascii="Times New Roman" w:hAnsi="Times New Roman"/>
        <w:sz w:val="20"/>
        <w:szCs w:val="20"/>
      </w:rPr>
      <w:t xml:space="preserve"> Likumprojekta „Grozījumi </w:t>
    </w:r>
    <w:r>
      <w:rPr>
        <w:rFonts w:ascii="Times New Roman" w:hAnsi="Times New Roman"/>
        <w:sz w:val="20"/>
        <w:szCs w:val="20"/>
      </w:rPr>
      <w:t>Enerģētikas likumā</w:t>
    </w:r>
    <w:r w:rsidRPr="00204842">
      <w:rPr>
        <w:rFonts w:ascii="Times New Roman" w:hAnsi="Times New Roman"/>
        <w:sz w:val="20"/>
        <w:szCs w:val="20"/>
      </w:rPr>
      <w:t>” sākotnējās ietekmes novērtējuma ziņojums (anotācija)</w:t>
    </w:r>
  </w:p>
  <w:p w:rsidR="007861A3" w:rsidRPr="007F340F" w:rsidRDefault="007861A3" w:rsidP="00EE49B5">
    <w:pPr>
      <w:spacing w:after="0" w:line="240" w:lineRule="auto"/>
      <w:contextualSpacing/>
      <w:jc w:val="both"/>
      <w:outlineLvl w:val="0"/>
      <w:rPr>
        <w:rFonts w:ascii="Times New Roman" w:hAnsi="Times New Roman"/>
        <w:color w:val="000000"/>
        <w:sz w:val="20"/>
        <w:szCs w:val="20"/>
      </w:rPr>
    </w:pPr>
  </w:p>
  <w:p w:rsidR="007861A3" w:rsidRPr="004C7262" w:rsidRDefault="007861A3" w:rsidP="004C7262">
    <w:pPr>
      <w:spacing w:line="240" w:lineRule="auto"/>
      <w:contextualSpacing/>
      <w:jc w:val="both"/>
      <w:outlineLvl w:val="0"/>
      <w:rPr>
        <w:rFonts w:ascii="Times New Roman" w:hAnsi="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64" w:rsidRDefault="00714864" w:rsidP="009640EB">
      <w:pPr>
        <w:spacing w:after="0" w:line="240" w:lineRule="auto"/>
      </w:pPr>
      <w:r>
        <w:separator/>
      </w:r>
    </w:p>
  </w:footnote>
  <w:footnote w:type="continuationSeparator" w:id="0">
    <w:p w:rsidR="00714864" w:rsidRDefault="00714864" w:rsidP="009640EB">
      <w:pPr>
        <w:spacing w:after="0" w:line="240" w:lineRule="auto"/>
      </w:pPr>
      <w:r>
        <w:continuationSeparator/>
      </w:r>
    </w:p>
  </w:footnote>
  <w:footnote w:type="continuationNotice" w:id="1">
    <w:p w:rsidR="00714864" w:rsidRDefault="007148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A3" w:rsidRDefault="007861A3">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A87DA3">
      <w:rPr>
        <w:rFonts w:ascii="Times New Roman" w:hAnsi="Times New Roman"/>
        <w:noProof/>
        <w:sz w:val="24"/>
        <w:szCs w:val="24"/>
      </w:rPr>
      <w:t>9</w:t>
    </w:r>
    <w:r w:rsidRPr="00C25AD5">
      <w:rPr>
        <w:rFonts w:ascii="Times New Roman" w:hAnsi="Times New Roman"/>
        <w:sz w:val="24"/>
        <w:szCs w:val="24"/>
      </w:rPr>
      <w:fldChar w:fldCharType="end"/>
    </w:r>
  </w:p>
  <w:p w:rsidR="007861A3" w:rsidRDefault="00786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853"/>
    <w:multiLevelType w:val="hybridMultilevel"/>
    <w:tmpl w:val="6256F5EE"/>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
    <w:nsid w:val="0E51590D"/>
    <w:multiLevelType w:val="hybridMultilevel"/>
    <w:tmpl w:val="CFDEF6A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9F7E9F"/>
    <w:multiLevelType w:val="hybridMultilevel"/>
    <w:tmpl w:val="9A2DBF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B15022"/>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5555A42"/>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26221F9D"/>
    <w:multiLevelType w:val="hybridMultilevel"/>
    <w:tmpl w:val="862CE82A"/>
    <w:lvl w:ilvl="0" w:tplc="C8FC2986">
      <w:numFmt w:val="bullet"/>
      <w:lvlText w:val="-"/>
      <w:lvlJc w:val="left"/>
      <w:pPr>
        <w:ind w:left="720" w:hanging="360"/>
      </w:pPr>
      <w:rPr>
        <w:rFonts w:ascii="Calibri" w:eastAsia="Times New Roman" w:hAnsi="Calibri"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6">
    <w:nsid w:val="2A33116A"/>
    <w:multiLevelType w:val="hybridMultilevel"/>
    <w:tmpl w:val="4A82D086"/>
    <w:lvl w:ilvl="0" w:tplc="424A9EC4">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nsid w:val="2B267C05"/>
    <w:multiLevelType w:val="hybridMultilevel"/>
    <w:tmpl w:val="5DC6DEF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30C52AB5"/>
    <w:multiLevelType w:val="hybridMultilevel"/>
    <w:tmpl w:val="A6F80E16"/>
    <w:lvl w:ilvl="0" w:tplc="5726D7F0">
      <w:start w:val="1"/>
      <w:numFmt w:val="decimal"/>
      <w:lvlText w:val="%1)"/>
      <w:lvlJc w:val="left"/>
      <w:pPr>
        <w:ind w:left="818" w:hanging="360"/>
      </w:pPr>
      <w:rPr>
        <w:rFonts w:hint="default"/>
      </w:rPr>
    </w:lvl>
    <w:lvl w:ilvl="1" w:tplc="04260019" w:tentative="1">
      <w:start w:val="1"/>
      <w:numFmt w:val="lowerLetter"/>
      <w:lvlText w:val="%2."/>
      <w:lvlJc w:val="left"/>
      <w:pPr>
        <w:ind w:left="1538" w:hanging="360"/>
      </w:pPr>
    </w:lvl>
    <w:lvl w:ilvl="2" w:tplc="0426001B" w:tentative="1">
      <w:start w:val="1"/>
      <w:numFmt w:val="lowerRoman"/>
      <w:lvlText w:val="%3."/>
      <w:lvlJc w:val="right"/>
      <w:pPr>
        <w:ind w:left="2258" w:hanging="180"/>
      </w:pPr>
    </w:lvl>
    <w:lvl w:ilvl="3" w:tplc="0426000F" w:tentative="1">
      <w:start w:val="1"/>
      <w:numFmt w:val="decimal"/>
      <w:lvlText w:val="%4."/>
      <w:lvlJc w:val="left"/>
      <w:pPr>
        <w:ind w:left="2978" w:hanging="360"/>
      </w:pPr>
    </w:lvl>
    <w:lvl w:ilvl="4" w:tplc="04260019" w:tentative="1">
      <w:start w:val="1"/>
      <w:numFmt w:val="lowerLetter"/>
      <w:lvlText w:val="%5."/>
      <w:lvlJc w:val="left"/>
      <w:pPr>
        <w:ind w:left="3698" w:hanging="360"/>
      </w:pPr>
    </w:lvl>
    <w:lvl w:ilvl="5" w:tplc="0426001B" w:tentative="1">
      <w:start w:val="1"/>
      <w:numFmt w:val="lowerRoman"/>
      <w:lvlText w:val="%6."/>
      <w:lvlJc w:val="right"/>
      <w:pPr>
        <w:ind w:left="4418" w:hanging="180"/>
      </w:pPr>
    </w:lvl>
    <w:lvl w:ilvl="6" w:tplc="0426000F" w:tentative="1">
      <w:start w:val="1"/>
      <w:numFmt w:val="decimal"/>
      <w:lvlText w:val="%7."/>
      <w:lvlJc w:val="left"/>
      <w:pPr>
        <w:ind w:left="5138" w:hanging="360"/>
      </w:pPr>
    </w:lvl>
    <w:lvl w:ilvl="7" w:tplc="04260019" w:tentative="1">
      <w:start w:val="1"/>
      <w:numFmt w:val="lowerLetter"/>
      <w:lvlText w:val="%8."/>
      <w:lvlJc w:val="left"/>
      <w:pPr>
        <w:ind w:left="5858" w:hanging="360"/>
      </w:pPr>
    </w:lvl>
    <w:lvl w:ilvl="8" w:tplc="0426001B" w:tentative="1">
      <w:start w:val="1"/>
      <w:numFmt w:val="lowerRoman"/>
      <w:lvlText w:val="%9."/>
      <w:lvlJc w:val="right"/>
      <w:pPr>
        <w:ind w:left="6578" w:hanging="180"/>
      </w:pPr>
    </w:lvl>
  </w:abstractNum>
  <w:abstractNum w:abstractNumId="9">
    <w:nsid w:val="310414CA"/>
    <w:multiLevelType w:val="hybridMultilevel"/>
    <w:tmpl w:val="7318CE60"/>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0">
    <w:nsid w:val="317E7DC9"/>
    <w:multiLevelType w:val="hybridMultilevel"/>
    <w:tmpl w:val="F6781952"/>
    <w:lvl w:ilvl="0" w:tplc="0D5A7DA0">
      <w:start w:val="1"/>
      <w:numFmt w:val="decimal"/>
      <w:lvlText w:val="%1."/>
      <w:lvlJc w:val="left"/>
      <w:pPr>
        <w:ind w:left="720" w:hanging="360"/>
      </w:pPr>
      <w:rPr>
        <w:rFonts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DB3428"/>
    <w:multiLevelType w:val="hybridMultilevel"/>
    <w:tmpl w:val="5EE8422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nsid w:val="3BA5614F"/>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43D23EB"/>
    <w:multiLevelType w:val="hybridMultilevel"/>
    <w:tmpl w:val="6B866E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CB1AC4"/>
    <w:multiLevelType w:val="hybridMultilevel"/>
    <w:tmpl w:val="262498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920BF"/>
    <w:multiLevelType w:val="hybridMultilevel"/>
    <w:tmpl w:val="3C669DFC"/>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63592494"/>
    <w:multiLevelType w:val="hybridMultilevel"/>
    <w:tmpl w:val="0C149E6E"/>
    <w:lvl w:ilvl="0" w:tplc="04260001">
      <w:start w:val="1"/>
      <w:numFmt w:val="bullet"/>
      <w:lvlText w:val=""/>
      <w:lvlJc w:val="left"/>
      <w:pPr>
        <w:tabs>
          <w:tab w:val="num" w:pos="1080"/>
        </w:tabs>
        <w:ind w:left="1080" w:hanging="360"/>
      </w:pPr>
      <w:rPr>
        <w:rFonts w:ascii="Symbol" w:hAnsi="Symbol"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nsid w:val="64571C62"/>
    <w:multiLevelType w:val="hybridMultilevel"/>
    <w:tmpl w:val="0A18BB86"/>
    <w:lvl w:ilvl="0" w:tplc="04090011">
      <w:start w:val="1"/>
      <w:numFmt w:val="decimal"/>
      <w:lvlText w:val="%1."/>
      <w:lvlJc w:val="left"/>
      <w:pPr>
        <w:tabs>
          <w:tab w:val="num" w:pos="1440"/>
        </w:tabs>
        <w:ind w:left="1440" w:hanging="360"/>
      </w:pPr>
      <w:rPr>
        <w:rFonts w:cs="Times New Roman"/>
        <w:sz w:val="28"/>
        <w:szCs w:val="28"/>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nsid w:val="6C926286"/>
    <w:multiLevelType w:val="hybridMultilevel"/>
    <w:tmpl w:val="20A6E072"/>
    <w:lvl w:ilvl="0" w:tplc="10226A44">
      <w:start w:val="1"/>
      <w:numFmt w:val="decimal"/>
      <w:lvlText w:val="%1)"/>
      <w:lvlJc w:val="left"/>
      <w:pPr>
        <w:ind w:left="464" w:hanging="360"/>
      </w:pPr>
      <w:rPr>
        <w:rFonts w:cs="Times New Roman" w:hint="default"/>
      </w:rPr>
    </w:lvl>
    <w:lvl w:ilvl="1" w:tplc="04260019" w:tentative="1">
      <w:start w:val="1"/>
      <w:numFmt w:val="lowerLetter"/>
      <w:lvlText w:val="%2."/>
      <w:lvlJc w:val="left"/>
      <w:pPr>
        <w:ind w:left="1184" w:hanging="360"/>
      </w:pPr>
      <w:rPr>
        <w:rFonts w:cs="Times New Roman"/>
      </w:rPr>
    </w:lvl>
    <w:lvl w:ilvl="2" w:tplc="0426001B" w:tentative="1">
      <w:start w:val="1"/>
      <w:numFmt w:val="lowerRoman"/>
      <w:lvlText w:val="%3."/>
      <w:lvlJc w:val="right"/>
      <w:pPr>
        <w:ind w:left="1904" w:hanging="180"/>
      </w:pPr>
      <w:rPr>
        <w:rFonts w:cs="Times New Roman"/>
      </w:rPr>
    </w:lvl>
    <w:lvl w:ilvl="3" w:tplc="0426000F" w:tentative="1">
      <w:start w:val="1"/>
      <w:numFmt w:val="decimal"/>
      <w:lvlText w:val="%4."/>
      <w:lvlJc w:val="left"/>
      <w:pPr>
        <w:ind w:left="2624" w:hanging="360"/>
      </w:pPr>
      <w:rPr>
        <w:rFonts w:cs="Times New Roman"/>
      </w:rPr>
    </w:lvl>
    <w:lvl w:ilvl="4" w:tplc="04260019" w:tentative="1">
      <w:start w:val="1"/>
      <w:numFmt w:val="lowerLetter"/>
      <w:lvlText w:val="%5."/>
      <w:lvlJc w:val="left"/>
      <w:pPr>
        <w:ind w:left="3344" w:hanging="360"/>
      </w:pPr>
      <w:rPr>
        <w:rFonts w:cs="Times New Roman"/>
      </w:rPr>
    </w:lvl>
    <w:lvl w:ilvl="5" w:tplc="0426001B" w:tentative="1">
      <w:start w:val="1"/>
      <w:numFmt w:val="lowerRoman"/>
      <w:lvlText w:val="%6."/>
      <w:lvlJc w:val="right"/>
      <w:pPr>
        <w:ind w:left="4064" w:hanging="180"/>
      </w:pPr>
      <w:rPr>
        <w:rFonts w:cs="Times New Roman"/>
      </w:rPr>
    </w:lvl>
    <w:lvl w:ilvl="6" w:tplc="0426000F" w:tentative="1">
      <w:start w:val="1"/>
      <w:numFmt w:val="decimal"/>
      <w:lvlText w:val="%7."/>
      <w:lvlJc w:val="left"/>
      <w:pPr>
        <w:ind w:left="4784" w:hanging="360"/>
      </w:pPr>
      <w:rPr>
        <w:rFonts w:cs="Times New Roman"/>
      </w:rPr>
    </w:lvl>
    <w:lvl w:ilvl="7" w:tplc="04260019" w:tentative="1">
      <w:start w:val="1"/>
      <w:numFmt w:val="lowerLetter"/>
      <w:lvlText w:val="%8."/>
      <w:lvlJc w:val="left"/>
      <w:pPr>
        <w:ind w:left="5504" w:hanging="360"/>
      </w:pPr>
      <w:rPr>
        <w:rFonts w:cs="Times New Roman"/>
      </w:rPr>
    </w:lvl>
    <w:lvl w:ilvl="8" w:tplc="0426001B" w:tentative="1">
      <w:start w:val="1"/>
      <w:numFmt w:val="lowerRoman"/>
      <w:lvlText w:val="%9."/>
      <w:lvlJc w:val="right"/>
      <w:pPr>
        <w:ind w:left="6224" w:hanging="180"/>
      </w:pPr>
      <w:rPr>
        <w:rFonts w:cs="Times New Roman"/>
      </w:rPr>
    </w:lvl>
  </w:abstractNum>
  <w:abstractNum w:abstractNumId="20">
    <w:nsid w:val="6E6A1D4D"/>
    <w:multiLevelType w:val="multilevel"/>
    <w:tmpl w:val="F7FC176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6FA3143F"/>
    <w:multiLevelType w:val="hybridMultilevel"/>
    <w:tmpl w:val="AED00B06"/>
    <w:lvl w:ilvl="0" w:tplc="8D1AB546">
      <w:start w:val="1"/>
      <w:numFmt w:val="decimal"/>
      <w:lvlText w:val="%1."/>
      <w:lvlJc w:val="left"/>
      <w:pPr>
        <w:ind w:left="420" w:hanging="360"/>
      </w:pPr>
      <w:rPr>
        <w:rFonts w:hint="default"/>
        <w:color w:val="00000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nsid w:val="742908A5"/>
    <w:multiLevelType w:val="hybridMultilevel"/>
    <w:tmpl w:val="1D3272FC"/>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3">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abstractNum w:abstractNumId="24">
    <w:nsid w:val="76E752A5"/>
    <w:multiLevelType w:val="hybridMultilevel"/>
    <w:tmpl w:val="AED00B06"/>
    <w:lvl w:ilvl="0" w:tplc="8D1AB546">
      <w:start w:val="1"/>
      <w:numFmt w:val="decimal"/>
      <w:lvlText w:val="%1."/>
      <w:lvlJc w:val="left"/>
      <w:pPr>
        <w:ind w:left="420" w:hanging="360"/>
      </w:pPr>
      <w:rPr>
        <w:rFonts w:hint="default"/>
        <w:color w:val="00000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5">
    <w:nsid w:val="7AFB42CE"/>
    <w:multiLevelType w:val="hybridMultilevel"/>
    <w:tmpl w:val="AED00B06"/>
    <w:lvl w:ilvl="0" w:tplc="8D1AB546">
      <w:start w:val="1"/>
      <w:numFmt w:val="decimal"/>
      <w:lvlText w:val="%1."/>
      <w:lvlJc w:val="left"/>
      <w:pPr>
        <w:ind w:left="420" w:hanging="360"/>
      </w:pPr>
      <w:rPr>
        <w:rFonts w:hint="default"/>
        <w:color w:val="00000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3"/>
  </w:num>
  <w:num w:numId="3">
    <w:abstractNumId w:val="20"/>
  </w:num>
  <w:num w:numId="4">
    <w:abstractNumId w:val="12"/>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23"/>
  </w:num>
  <w:num w:numId="10">
    <w:abstractNumId w:val="1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4"/>
  </w:num>
  <w:num w:numId="15">
    <w:abstractNumId w:val="16"/>
  </w:num>
  <w:num w:numId="16">
    <w:abstractNumId w:val="1"/>
  </w:num>
  <w:num w:numId="17">
    <w:abstractNumId w:val="9"/>
  </w:num>
  <w:num w:numId="18">
    <w:abstractNumId w:val="6"/>
  </w:num>
  <w:num w:numId="19">
    <w:abstractNumId w:val="13"/>
  </w:num>
  <w:num w:numId="20">
    <w:abstractNumId w:val="24"/>
  </w:num>
  <w:num w:numId="21">
    <w:abstractNumId w:val="10"/>
  </w:num>
  <w:num w:numId="22">
    <w:abstractNumId w:val="17"/>
  </w:num>
  <w:num w:numId="23">
    <w:abstractNumId w:val="8"/>
  </w:num>
  <w:num w:numId="24">
    <w:abstractNumId w:val="25"/>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2268"/>
    <w:rsid w:val="00002503"/>
    <w:rsid w:val="00004F4D"/>
    <w:rsid w:val="0000548E"/>
    <w:rsid w:val="00007FDB"/>
    <w:rsid w:val="000114C7"/>
    <w:rsid w:val="0001271E"/>
    <w:rsid w:val="00013003"/>
    <w:rsid w:val="00014144"/>
    <w:rsid w:val="0001422A"/>
    <w:rsid w:val="00015A72"/>
    <w:rsid w:val="00015EC6"/>
    <w:rsid w:val="00017C7B"/>
    <w:rsid w:val="000214C4"/>
    <w:rsid w:val="000224F0"/>
    <w:rsid w:val="0002742E"/>
    <w:rsid w:val="00030477"/>
    <w:rsid w:val="00030D50"/>
    <w:rsid w:val="00031154"/>
    <w:rsid w:val="00035037"/>
    <w:rsid w:val="000362F1"/>
    <w:rsid w:val="00036A9B"/>
    <w:rsid w:val="00040B7B"/>
    <w:rsid w:val="0004231A"/>
    <w:rsid w:val="00043735"/>
    <w:rsid w:val="00043C1A"/>
    <w:rsid w:val="00046C40"/>
    <w:rsid w:val="00046F23"/>
    <w:rsid w:val="00047945"/>
    <w:rsid w:val="000504F6"/>
    <w:rsid w:val="0005099F"/>
    <w:rsid w:val="00053D19"/>
    <w:rsid w:val="00053E9B"/>
    <w:rsid w:val="000540BA"/>
    <w:rsid w:val="00055F75"/>
    <w:rsid w:val="0006010E"/>
    <w:rsid w:val="00060684"/>
    <w:rsid w:val="00062F83"/>
    <w:rsid w:val="00063A04"/>
    <w:rsid w:val="000675BF"/>
    <w:rsid w:val="00071419"/>
    <w:rsid w:val="00072931"/>
    <w:rsid w:val="000758F7"/>
    <w:rsid w:val="00076769"/>
    <w:rsid w:val="00080D0B"/>
    <w:rsid w:val="0008206C"/>
    <w:rsid w:val="000820A2"/>
    <w:rsid w:val="000833E2"/>
    <w:rsid w:val="00083E6F"/>
    <w:rsid w:val="00084090"/>
    <w:rsid w:val="00085DBA"/>
    <w:rsid w:val="00086787"/>
    <w:rsid w:val="00092065"/>
    <w:rsid w:val="000931B5"/>
    <w:rsid w:val="00093ACE"/>
    <w:rsid w:val="00093DEB"/>
    <w:rsid w:val="00095E97"/>
    <w:rsid w:val="000A1292"/>
    <w:rsid w:val="000A15BE"/>
    <w:rsid w:val="000A556D"/>
    <w:rsid w:val="000A5A46"/>
    <w:rsid w:val="000A67F8"/>
    <w:rsid w:val="000A747F"/>
    <w:rsid w:val="000B0780"/>
    <w:rsid w:val="000B0A3E"/>
    <w:rsid w:val="000B1064"/>
    <w:rsid w:val="000B1697"/>
    <w:rsid w:val="000B29E9"/>
    <w:rsid w:val="000B2A4E"/>
    <w:rsid w:val="000B2C2A"/>
    <w:rsid w:val="000B2D19"/>
    <w:rsid w:val="000B7F35"/>
    <w:rsid w:val="000C06CD"/>
    <w:rsid w:val="000D0C6F"/>
    <w:rsid w:val="000D10CB"/>
    <w:rsid w:val="000D16A5"/>
    <w:rsid w:val="000D29B1"/>
    <w:rsid w:val="000D51D2"/>
    <w:rsid w:val="000D6EEE"/>
    <w:rsid w:val="000E11A5"/>
    <w:rsid w:val="000E1317"/>
    <w:rsid w:val="000E2B3C"/>
    <w:rsid w:val="000E47B5"/>
    <w:rsid w:val="000E4F90"/>
    <w:rsid w:val="000E7AB3"/>
    <w:rsid w:val="000F18F4"/>
    <w:rsid w:val="000F27FD"/>
    <w:rsid w:val="000F2E2F"/>
    <w:rsid w:val="00100557"/>
    <w:rsid w:val="001017EE"/>
    <w:rsid w:val="00103E89"/>
    <w:rsid w:val="0010532F"/>
    <w:rsid w:val="00110673"/>
    <w:rsid w:val="00110AA1"/>
    <w:rsid w:val="00111F9B"/>
    <w:rsid w:val="001128BE"/>
    <w:rsid w:val="001134C5"/>
    <w:rsid w:val="00115CA5"/>
    <w:rsid w:val="0011631B"/>
    <w:rsid w:val="0011734D"/>
    <w:rsid w:val="00122ED0"/>
    <w:rsid w:val="00127194"/>
    <w:rsid w:val="00127523"/>
    <w:rsid w:val="0012760F"/>
    <w:rsid w:val="00131457"/>
    <w:rsid w:val="00133765"/>
    <w:rsid w:val="00133999"/>
    <w:rsid w:val="00136A18"/>
    <w:rsid w:val="00137A82"/>
    <w:rsid w:val="001400B0"/>
    <w:rsid w:val="00141505"/>
    <w:rsid w:val="001418F5"/>
    <w:rsid w:val="001428C2"/>
    <w:rsid w:val="00142C73"/>
    <w:rsid w:val="001443E1"/>
    <w:rsid w:val="00144A85"/>
    <w:rsid w:val="001463BF"/>
    <w:rsid w:val="001467DC"/>
    <w:rsid w:val="001524B6"/>
    <w:rsid w:val="00152DD0"/>
    <w:rsid w:val="001534B7"/>
    <w:rsid w:val="00154B5E"/>
    <w:rsid w:val="001554EC"/>
    <w:rsid w:val="001565D2"/>
    <w:rsid w:val="00161A4F"/>
    <w:rsid w:val="00167706"/>
    <w:rsid w:val="0017436F"/>
    <w:rsid w:val="001759C5"/>
    <w:rsid w:val="00176424"/>
    <w:rsid w:val="001767E4"/>
    <w:rsid w:val="001771B5"/>
    <w:rsid w:val="0017768B"/>
    <w:rsid w:val="0018151D"/>
    <w:rsid w:val="00181BA1"/>
    <w:rsid w:val="001827CC"/>
    <w:rsid w:val="00182D0A"/>
    <w:rsid w:val="00182EBD"/>
    <w:rsid w:val="00183532"/>
    <w:rsid w:val="00184DAF"/>
    <w:rsid w:val="001915B6"/>
    <w:rsid w:val="00192763"/>
    <w:rsid w:val="001930EC"/>
    <w:rsid w:val="00196AE4"/>
    <w:rsid w:val="00197BBC"/>
    <w:rsid w:val="001A0146"/>
    <w:rsid w:val="001A2478"/>
    <w:rsid w:val="001A54A9"/>
    <w:rsid w:val="001A5CEB"/>
    <w:rsid w:val="001A65B8"/>
    <w:rsid w:val="001B1627"/>
    <w:rsid w:val="001B1710"/>
    <w:rsid w:val="001B2AEC"/>
    <w:rsid w:val="001B4FE6"/>
    <w:rsid w:val="001B7C95"/>
    <w:rsid w:val="001C1561"/>
    <w:rsid w:val="001C257E"/>
    <w:rsid w:val="001C318D"/>
    <w:rsid w:val="001C70FE"/>
    <w:rsid w:val="001D380F"/>
    <w:rsid w:val="001D4937"/>
    <w:rsid w:val="001E2C12"/>
    <w:rsid w:val="001F03B6"/>
    <w:rsid w:val="001F048F"/>
    <w:rsid w:val="001F2941"/>
    <w:rsid w:val="001F4771"/>
    <w:rsid w:val="001F609F"/>
    <w:rsid w:val="001F6164"/>
    <w:rsid w:val="001F61AC"/>
    <w:rsid w:val="002001EF"/>
    <w:rsid w:val="00201FF2"/>
    <w:rsid w:val="0020265D"/>
    <w:rsid w:val="00203042"/>
    <w:rsid w:val="002045EF"/>
    <w:rsid w:val="00204842"/>
    <w:rsid w:val="002049FF"/>
    <w:rsid w:val="002112B0"/>
    <w:rsid w:val="00211B99"/>
    <w:rsid w:val="00214893"/>
    <w:rsid w:val="00215B3E"/>
    <w:rsid w:val="00215FD3"/>
    <w:rsid w:val="002229F9"/>
    <w:rsid w:val="00224736"/>
    <w:rsid w:val="0023040B"/>
    <w:rsid w:val="0023060F"/>
    <w:rsid w:val="002322D7"/>
    <w:rsid w:val="00233AA4"/>
    <w:rsid w:val="0023533F"/>
    <w:rsid w:val="0023612A"/>
    <w:rsid w:val="0023700D"/>
    <w:rsid w:val="00237539"/>
    <w:rsid w:val="00237DDA"/>
    <w:rsid w:val="002403CE"/>
    <w:rsid w:val="00240A58"/>
    <w:rsid w:val="0024117C"/>
    <w:rsid w:val="002425A8"/>
    <w:rsid w:val="002428E2"/>
    <w:rsid w:val="00242B86"/>
    <w:rsid w:val="002441E9"/>
    <w:rsid w:val="0024490A"/>
    <w:rsid w:val="002462A2"/>
    <w:rsid w:val="00247636"/>
    <w:rsid w:val="002507E8"/>
    <w:rsid w:val="00251B9E"/>
    <w:rsid w:val="00255D5E"/>
    <w:rsid w:val="00255ED8"/>
    <w:rsid w:val="0025630E"/>
    <w:rsid w:val="002577DF"/>
    <w:rsid w:val="00260D74"/>
    <w:rsid w:val="00261E6A"/>
    <w:rsid w:val="002628E5"/>
    <w:rsid w:val="00263A5A"/>
    <w:rsid w:val="0026471F"/>
    <w:rsid w:val="0027415E"/>
    <w:rsid w:val="00275C23"/>
    <w:rsid w:val="00280F65"/>
    <w:rsid w:val="002811AB"/>
    <w:rsid w:val="00282125"/>
    <w:rsid w:val="00282451"/>
    <w:rsid w:val="00282660"/>
    <w:rsid w:val="00282D20"/>
    <w:rsid w:val="00282D4F"/>
    <w:rsid w:val="0028310B"/>
    <w:rsid w:val="002836F8"/>
    <w:rsid w:val="00283D0E"/>
    <w:rsid w:val="00283E98"/>
    <w:rsid w:val="0028694F"/>
    <w:rsid w:val="00286F3D"/>
    <w:rsid w:val="00287AF7"/>
    <w:rsid w:val="00287E87"/>
    <w:rsid w:val="0029051C"/>
    <w:rsid w:val="00291ACB"/>
    <w:rsid w:val="00292822"/>
    <w:rsid w:val="0029471D"/>
    <w:rsid w:val="00294E26"/>
    <w:rsid w:val="002961CF"/>
    <w:rsid w:val="002978B7"/>
    <w:rsid w:val="002A277A"/>
    <w:rsid w:val="002A31CB"/>
    <w:rsid w:val="002A72CB"/>
    <w:rsid w:val="002B193E"/>
    <w:rsid w:val="002B2901"/>
    <w:rsid w:val="002B5ADD"/>
    <w:rsid w:val="002B6F89"/>
    <w:rsid w:val="002B7FD6"/>
    <w:rsid w:val="002C2267"/>
    <w:rsid w:val="002C3295"/>
    <w:rsid w:val="002C368E"/>
    <w:rsid w:val="002C3BCC"/>
    <w:rsid w:val="002C7399"/>
    <w:rsid w:val="002C73CC"/>
    <w:rsid w:val="002C745E"/>
    <w:rsid w:val="002D1FC5"/>
    <w:rsid w:val="002D25FD"/>
    <w:rsid w:val="002D2AA7"/>
    <w:rsid w:val="002D5BC5"/>
    <w:rsid w:val="002D6CAC"/>
    <w:rsid w:val="002D7E5A"/>
    <w:rsid w:val="002E0515"/>
    <w:rsid w:val="002E1A29"/>
    <w:rsid w:val="002E26E0"/>
    <w:rsid w:val="002E43E8"/>
    <w:rsid w:val="002E64A8"/>
    <w:rsid w:val="002F1108"/>
    <w:rsid w:val="002F152D"/>
    <w:rsid w:val="002F156E"/>
    <w:rsid w:val="002F21C2"/>
    <w:rsid w:val="002F4BA9"/>
    <w:rsid w:val="002F5081"/>
    <w:rsid w:val="002F5860"/>
    <w:rsid w:val="002F5E3F"/>
    <w:rsid w:val="002F64E8"/>
    <w:rsid w:val="002F67CF"/>
    <w:rsid w:val="002F6DE1"/>
    <w:rsid w:val="002F6EAE"/>
    <w:rsid w:val="002F78A0"/>
    <w:rsid w:val="002F78DD"/>
    <w:rsid w:val="003037FC"/>
    <w:rsid w:val="00304960"/>
    <w:rsid w:val="00305FB6"/>
    <w:rsid w:val="00313B1A"/>
    <w:rsid w:val="00314456"/>
    <w:rsid w:val="00314B96"/>
    <w:rsid w:val="0031617D"/>
    <w:rsid w:val="003161BE"/>
    <w:rsid w:val="00316E18"/>
    <w:rsid w:val="0031758A"/>
    <w:rsid w:val="003222F7"/>
    <w:rsid w:val="00323244"/>
    <w:rsid w:val="0032351A"/>
    <w:rsid w:val="00324A66"/>
    <w:rsid w:val="003254CB"/>
    <w:rsid w:val="00325CD2"/>
    <w:rsid w:val="00333B86"/>
    <w:rsid w:val="00333DBC"/>
    <w:rsid w:val="00336E91"/>
    <w:rsid w:val="00337A55"/>
    <w:rsid w:val="00342129"/>
    <w:rsid w:val="00342867"/>
    <w:rsid w:val="0034408F"/>
    <w:rsid w:val="0034411F"/>
    <w:rsid w:val="00345A48"/>
    <w:rsid w:val="0034734D"/>
    <w:rsid w:val="00355629"/>
    <w:rsid w:val="00356C22"/>
    <w:rsid w:val="00357966"/>
    <w:rsid w:val="00360D0D"/>
    <w:rsid w:val="00361CAB"/>
    <w:rsid w:val="00361FBA"/>
    <w:rsid w:val="00362073"/>
    <w:rsid w:val="003643AA"/>
    <w:rsid w:val="00364D84"/>
    <w:rsid w:val="0036509B"/>
    <w:rsid w:val="00367CEC"/>
    <w:rsid w:val="00374765"/>
    <w:rsid w:val="003758FC"/>
    <w:rsid w:val="0037632F"/>
    <w:rsid w:val="00377FD9"/>
    <w:rsid w:val="0038144C"/>
    <w:rsid w:val="0038304B"/>
    <w:rsid w:val="00383C62"/>
    <w:rsid w:val="0038416B"/>
    <w:rsid w:val="00385472"/>
    <w:rsid w:val="003876E0"/>
    <w:rsid w:val="00387874"/>
    <w:rsid w:val="00390BAD"/>
    <w:rsid w:val="00391B44"/>
    <w:rsid w:val="00392124"/>
    <w:rsid w:val="00394BE5"/>
    <w:rsid w:val="00394C29"/>
    <w:rsid w:val="00395204"/>
    <w:rsid w:val="003969F3"/>
    <w:rsid w:val="00396C30"/>
    <w:rsid w:val="003A2269"/>
    <w:rsid w:val="003A3DDD"/>
    <w:rsid w:val="003A5446"/>
    <w:rsid w:val="003A54DF"/>
    <w:rsid w:val="003A6A35"/>
    <w:rsid w:val="003A768C"/>
    <w:rsid w:val="003B03E0"/>
    <w:rsid w:val="003B29F1"/>
    <w:rsid w:val="003B3870"/>
    <w:rsid w:val="003C19CD"/>
    <w:rsid w:val="003C1F69"/>
    <w:rsid w:val="003C3DDF"/>
    <w:rsid w:val="003C3FA4"/>
    <w:rsid w:val="003C3FFA"/>
    <w:rsid w:val="003C439A"/>
    <w:rsid w:val="003C7172"/>
    <w:rsid w:val="003D07A9"/>
    <w:rsid w:val="003D07ED"/>
    <w:rsid w:val="003D09A9"/>
    <w:rsid w:val="003D0B2F"/>
    <w:rsid w:val="003D12AB"/>
    <w:rsid w:val="003D241E"/>
    <w:rsid w:val="003D432A"/>
    <w:rsid w:val="003D534F"/>
    <w:rsid w:val="003D7E85"/>
    <w:rsid w:val="003E009E"/>
    <w:rsid w:val="003E3BAC"/>
    <w:rsid w:val="003E731E"/>
    <w:rsid w:val="003E77C8"/>
    <w:rsid w:val="003E7EBF"/>
    <w:rsid w:val="003F04CE"/>
    <w:rsid w:val="003F1772"/>
    <w:rsid w:val="003F19BA"/>
    <w:rsid w:val="003F2B6D"/>
    <w:rsid w:val="003F3B24"/>
    <w:rsid w:val="003F50D9"/>
    <w:rsid w:val="003F69F5"/>
    <w:rsid w:val="00404742"/>
    <w:rsid w:val="00407EA2"/>
    <w:rsid w:val="00410AC4"/>
    <w:rsid w:val="00417CCA"/>
    <w:rsid w:val="00420B68"/>
    <w:rsid w:val="0042572C"/>
    <w:rsid w:val="00426B13"/>
    <w:rsid w:val="00433757"/>
    <w:rsid w:val="0043390E"/>
    <w:rsid w:val="0043514A"/>
    <w:rsid w:val="004361C9"/>
    <w:rsid w:val="004401A8"/>
    <w:rsid w:val="004425C2"/>
    <w:rsid w:val="00442AAD"/>
    <w:rsid w:val="0044361C"/>
    <w:rsid w:val="00445B1D"/>
    <w:rsid w:val="004468A7"/>
    <w:rsid w:val="00446981"/>
    <w:rsid w:val="00451C29"/>
    <w:rsid w:val="00453B0C"/>
    <w:rsid w:val="00453BF3"/>
    <w:rsid w:val="00454F14"/>
    <w:rsid w:val="00455D64"/>
    <w:rsid w:val="00460CFE"/>
    <w:rsid w:val="00461877"/>
    <w:rsid w:val="00463696"/>
    <w:rsid w:val="004637B9"/>
    <w:rsid w:val="00464AB1"/>
    <w:rsid w:val="00465BBD"/>
    <w:rsid w:val="0046609B"/>
    <w:rsid w:val="004675E5"/>
    <w:rsid w:val="00467A94"/>
    <w:rsid w:val="004704FF"/>
    <w:rsid w:val="00480ADE"/>
    <w:rsid w:val="0048135D"/>
    <w:rsid w:val="004814AD"/>
    <w:rsid w:val="00484080"/>
    <w:rsid w:val="00484E60"/>
    <w:rsid w:val="004866EB"/>
    <w:rsid w:val="00486B4F"/>
    <w:rsid w:val="004874C6"/>
    <w:rsid w:val="004877A5"/>
    <w:rsid w:val="00487C33"/>
    <w:rsid w:val="004910CA"/>
    <w:rsid w:val="00491881"/>
    <w:rsid w:val="00492245"/>
    <w:rsid w:val="00494467"/>
    <w:rsid w:val="00494494"/>
    <w:rsid w:val="00494B41"/>
    <w:rsid w:val="00496501"/>
    <w:rsid w:val="00497BAC"/>
    <w:rsid w:val="004A238E"/>
    <w:rsid w:val="004A347F"/>
    <w:rsid w:val="004A3A83"/>
    <w:rsid w:val="004A3F2B"/>
    <w:rsid w:val="004A52B1"/>
    <w:rsid w:val="004A7151"/>
    <w:rsid w:val="004B2B54"/>
    <w:rsid w:val="004B46DA"/>
    <w:rsid w:val="004C0015"/>
    <w:rsid w:val="004C14DE"/>
    <w:rsid w:val="004C165F"/>
    <w:rsid w:val="004C2C9E"/>
    <w:rsid w:val="004C5D6A"/>
    <w:rsid w:val="004C6C07"/>
    <w:rsid w:val="004C6CB1"/>
    <w:rsid w:val="004C7262"/>
    <w:rsid w:val="004D0657"/>
    <w:rsid w:val="004D2168"/>
    <w:rsid w:val="004D2783"/>
    <w:rsid w:val="004D3161"/>
    <w:rsid w:val="004D377B"/>
    <w:rsid w:val="004D3E38"/>
    <w:rsid w:val="004D5ADC"/>
    <w:rsid w:val="004D7981"/>
    <w:rsid w:val="004E0BF2"/>
    <w:rsid w:val="004E2197"/>
    <w:rsid w:val="004E401F"/>
    <w:rsid w:val="004E648F"/>
    <w:rsid w:val="004F0198"/>
    <w:rsid w:val="004F0221"/>
    <w:rsid w:val="004F0E93"/>
    <w:rsid w:val="004F0F48"/>
    <w:rsid w:val="004F1BCF"/>
    <w:rsid w:val="004F2537"/>
    <w:rsid w:val="004F454F"/>
    <w:rsid w:val="005011A8"/>
    <w:rsid w:val="00501D51"/>
    <w:rsid w:val="0050309E"/>
    <w:rsid w:val="00503F2E"/>
    <w:rsid w:val="00504636"/>
    <w:rsid w:val="005054BC"/>
    <w:rsid w:val="00507BE0"/>
    <w:rsid w:val="00507F1A"/>
    <w:rsid w:val="005108A2"/>
    <w:rsid w:val="00510CDA"/>
    <w:rsid w:val="00513317"/>
    <w:rsid w:val="00513575"/>
    <w:rsid w:val="0051445C"/>
    <w:rsid w:val="00520C10"/>
    <w:rsid w:val="00521E71"/>
    <w:rsid w:val="0052290A"/>
    <w:rsid w:val="005270B5"/>
    <w:rsid w:val="005273EE"/>
    <w:rsid w:val="00527B87"/>
    <w:rsid w:val="00527DE9"/>
    <w:rsid w:val="00531C94"/>
    <w:rsid w:val="00532D11"/>
    <w:rsid w:val="00533E74"/>
    <w:rsid w:val="005344D9"/>
    <w:rsid w:val="00534C66"/>
    <w:rsid w:val="00534CE2"/>
    <w:rsid w:val="005402FA"/>
    <w:rsid w:val="00540792"/>
    <w:rsid w:val="00540973"/>
    <w:rsid w:val="00540F96"/>
    <w:rsid w:val="00541F97"/>
    <w:rsid w:val="00544474"/>
    <w:rsid w:val="00545B17"/>
    <w:rsid w:val="0055069C"/>
    <w:rsid w:val="00551762"/>
    <w:rsid w:val="00551FD6"/>
    <w:rsid w:val="005526CE"/>
    <w:rsid w:val="0055465E"/>
    <w:rsid w:val="0055505E"/>
    <w:rsid w:val="00555588"/>
    <w:rsid w:val="00555884"/>
    <w:rsid w:val="005563C4"/>
    <w:rsid w:val="00556975"/>
    <w:rsid w:val="00565900"/>
    <w:rsid w:val="005676D6"/>
    <w:rsid w:val="00572292"/>
    <w:rsid w:val="00577FEC"/>
    <w:rsid w:val="00582C05"/>
    <w:rsid w:val="005876F3"/>
    <w:rsid w:val="005917FB"/>
    <w:rsid w:val="0059640E"/>
    <w:rsid w:val="005A00C9"/>
    <w:rsid w:val="005A058F"/>
    <w:rsid w:val="005A306C"/>
    <w:rsid w:val="005A42F2"/>
    <w:rsid w:val="005A7EF2"/>
    <w:rsid w:val="005B1566"/>
    <w:rsid w:val="005B1FCF"/>
    <w:rsid w:val="005B29CC"/>
    <w:rsid w:val="005B330C"/>
    <w:rsid w:val="005C2599"/>
    <w:rsid w:val="005C3719"/>
    <w:rsid w:val="005C4194"/>
    <w:rsid w:val="005C4483"/>
    <w:rsid w:val="005C7530"/>
    <w:rsid w:val="005D08A0"/>
    <w:rsid w:val="005D1AE6"/>
    <w:rsid w:val="005D3B4B"/>
    <w:rsid w:val="005D5C44"/>
    <w:rsid w:val="005D5ECF"/>
    <w:rsid w:val="005E1F8A"/>
    <w:rsid w:val="005E2839"/>
    <w:rsid w:val="005E2A92"/>
    <w:rsid w:val="005E328C"/>
    <w:rsid w:val="005E723A"/>
    <w:rsid w:val="005E76E0"/>
    <w:rsid w:val="005F0647"/>
    <w:rsid w:val="005F2596"/>
    <w:rsid w:val="005F287E"/>
    <w:rsid w:val="005F28AA"/>
    <w:rsid w:val="005F29C9"/>
    <w:rsid w:val="005F2A46"/>
    <w:rsid w:val="005F4DC5"/>
    <w:rsid w:val="005F57D0"/>
    <w:rsid w:val="00600918"/>
    <w:rsid w:val="00600E25"/>
    <w:rsid w:val="006018E5"/>
    <w:rsid w:val="006019E1"/>
    <w:rsid w:val="006054BE"/>
    <w:rsid w:val="00605F74"/>
    <w:rsid w:val="006067E8"/>
    <w:rsid w:val="00607ACA"/>
    <w:rsid w:val="00610696"/>
    <w:rsid w:val="006108F5"/>
    <w:rsid w:val="00610BAD"/>
    <w:rsid w:val="00610BC7"/>
    <w:rsid w:val="00615BCC"/>
    <w:rsid w:val="00616C57"/>
    <w:rsid w:val="00620548"/>
    <w:rsid w:val="006208C4"/>
    <w:rsid w:val="0062386F"/>
    <w:rsid w:val="00627FEB"/>
    <w:rsid w:val="006306CC"/>
    <w:rsid w:val="00630F7B"/>
    <w:rsid w:val="0063220A"/>
    <w:rsid w:val="006359CB"/>
    <w:rsid w:val="00636777"/>
    <w:rsid w:val="00637F84"/>
    <w:rsid w:val="00640E4A"/>
    <w:rsid w:val="00641012"/>
    <w:rsid w:val="00641B53"/>
    <w:rsid w:val="00641BF6"/>
    <w:rsid w:val="00641E89"/>
    <w:rsid w:val="0064201D"/>
    <w:rsid w:val="0064261E"/>
    <w:rsid w:val="00642ABC"/>
    <w:rsid w:val="006430DC"/>
    <w:rsid w:val="00644029"/>
    <w:rsid w:val="00644608"/>
    <w:rsid w:val="00645E9A"/>
    <w:rsid w:val="00646703"/>
    <w:rsid w:val="00646CF4"/>
    <w:rsid w:val="00650C21"/>
    <w:rsid w:val="00651E7C"/>
    <w:rsid w:val="006527AB"/>
    <w:rsid w:val="00653003"/>
    <w:rsid w:val="00653B0F"/>
    <w:rsid w:val="00654D86"/>
    <w:rsid w:val="00655817"/>
    <w:rsid w:val="00655DD7"/>
    <w:rsid w:val="006564DA"/>
    <w:rsid w:val="00656517"/>
    <w:rsid w:val="00656D57"/>
    <w:rsid w:val="006615AC"/>
    <w:rsid w:val="00664156"/>
    <w:rsid w:val="006641FF"/>
    <w:rsid w:val="00666184"/>
    <w:rsid w:val="00666CB8"/>
    <w:rsid w:val="00671021"/>
    <w:rsid w:val="0067306D"/>
    <w:rsid w:val="0067312D"/>
    <w:rsid w:val="0067340F"/>
    <w:rsid w:val="00674F28"/>
    <w:rsid w:val="00674F81"/>
    <w:rsid w:val="006761DB"/>
    <w:rsid w:val="0067623F"/>
    <w:rsid w:val="00680FF6"/>
    <w:rsid w:val="006827DB"/>
    <w:rsid w:val="00683D14"/>
    <w:rsid w:val="00684B38"/>
    <w:rsid w:val="0068653A"/>
    <w:rsid w:val="00687FFB"/>
    <w:rsid w:val="00690EDA"/>
    <w:rsid w:val="00695734"/>
    <w:rsid w:val="006960C4"/>
    <w:rsid w:val="00696BA8"/>
    <w:rsid w:val="006973CD"/>
    <w:rsid w:val="006977AD"/>
    <w:rsid w:val="00697DDA"/>
    <w:rsid w:val="006A030F"/>
    <w:rsid w:val="006A178B"/>
    <w:rsid w:val="006A3067"/>
    <w:rsid w:val="006A59A8"/>
    <w:rsid w:val="006A6392"/>
    <w:rsid w:val="006A74FD"/>
    <w:rsid w:val="006B1C7C"/>
    <w:rsid w:val="006B4AFF"/>
    <w:rsid w:val="006C3856"/>
    <w:rsid w:val="006C3926"/>
    <w:rsid w:val="006D1CF8"/>
    <w:rsid w:val="006D39AF"/>
    <w:rsid w:val="006D3E12"/>
    <w:rsid w:val="006D4B58"/>
    <w:rsid w:val="006D55ED"/>
    <w:rsid w:val="006E063B"/>
    <w:rsid w:val="006E12A9"/>
    <w:rsid w:val="006E1C2B"/>
    <w:rsid w:val="006E4575"/>
    <w:rsid w:val="006E6052"/>
    <w:rsid w:val="006E729D"/>
    <w:rsid w:val="006F2200"/>
    <w:rsid w:val="006F2A9A"/>
    <w:rsid w:val="006F54FE"/>
    <w:rsid w:val="006F5C75"/>
    <w:rsid w:val="006F5F96"/>
    <w:rsid w:val="006F6E8F"/>
    <w:rsid w:val="007005F7"/>
    <w:rsid w:val="007020A8"/>
    <w:rsid w:val="007023C4"/>
    <w:rsid w:val="00703544"/>
    <w:rsid w:val="00703E87"/>
    <w:rsid w:val="00705C12"/>
    <w:rsid w:val="007063AD"/>
    <w:rsid w:val="00706E89"/>
    <w:rsid w:val="00707B4E"/>
    <w:rsid w:val="00707C95"/>
    <w:rsid w:val="00714636"/>
    <w:rsid w:val="00714864"/>
    <w:rsid w:val="00715E17"/>
    <w:rsid w:val="00717805"/>
    <w:rsid w:val="007178BA"/>
    <w:rsid w:val="00720718"/>
    <w:rsid w:val="007209B5"/>
    <w:rsid w:val="00721B0B"/>
    <w:rsid w:val="00721E9E"/>
    <w:rsid w:val="00726614"/>
    <w:rsid w:val="0072734B"/>
    <w:rsid w:val="00730452"/>
    <w:rsid w:val="007315EA"/>
    <w:rsid w:val="0073204C"/>
    <w:rsid w:val="0073697B"/>
    <w:rsid w:val="00736DCC"/>
    <w:rsid w:val="00741445"/>
    <w:rsid w:val="00741A9C"/>
    <w:rsid w:val="00742AAF"/>
    <w:rsid w:val="00742F8A"/>
    <w:rsid w:val="00743E90"/>
    <w:rsid w:val="007470A1"/>
    <w:rsid w:val="007500F3"/>
    <w:rsid w:val="007526AE"/>
    <w:rsid w:val="007549B2"/>
    <w:rsid w:val="00756503"/>
    <w:rsid w:val="00756762"/>
    <w:rsid w:val="007572C7"/>
    <w:rsid w:val="0076047A"/>
    <w:rsid w:val="007636A5"/>
    <w:rsid w:val="00766058"/>
    <w:rsid w:val="00770785"/>
    <w:rsid w:val="00770D00"/>
    <w:rsid w:val="00773315"/>
    <w:rsid w:val="00776E0F"/>
    <w:rsid w:val="00781C1C"/>
    <w:rsid w:val="00782780"/>
    <w:rsid w:val="00784577"/>
    <w:rsid w:val="007845C2"/>
    <w:rsid w:val="00784696"/>
    <w:rsid w:val="00785B77"/>
    <w:rsid w:val="007861A3"/>
    <w:rsid w:val="007866FC"/>
    <w:rsid w:val="00792075"/>
    <w:rsid w:val="00793EC5"/>
    <w:rsid w:val="00794955"/>
    <w:rsid w:val="007974FC"/>
    <w:rsid w:val="007978CD"/>
    <w:rsid w:val="007A23D7"/>
    <w:rsid w:val="007A27F5"/>
    <w:rsid w:val="007A56E1"/>
    <w:rsid w:val="007B37A4"/>
    <w:rsid w:val="007B4715"/>
    <w:rsid w:val="007B5A08"/>
    <w:rsid w:val="007B606A"/>
    <w:rsid w:val="007B6239"/>
    <w:rsid w:val="007C1D1F"/>
    <w:rsid w:val="007C1F8B"/>
    <w:rsid w:val="007C330B"/>
    <w:rsid w:val="007C6779"/>
    <w:rsid w:val="007C727B"/>
    <w:rsid w:val="007D0A73"/>
    <w:rsid w:val="007D2352"/>
    <w:rsid w:val="007D58D9"/>
    <w:rsid w:val="007D61A2"/>
    <w:rsid w:val="007D671D"/>
    <w:rsid w:val="007D6B57"/>
    <w:rsid w:val="007D7A48"/>
    <w:rsid w:val="007E049E"/>
    <w:rsid w:val="007E2FF4"/>
    <w:rsid w:val="007E4BCB"/>
    <w:rsid w:val="007E53F4"/>
    <w:rsid w:val="007E724F"/>
    <w:rsid w:val="007F0D87"/>
    <w:rsid w:val="007F15EB"/>
    <w:rsid w:val="007F1A21"/>
    <w:rsid w:val="007F1C80"/>
    <w:rsid w:val="007F340F"/>
    <w:rsid w:val="007F3464"/>
    <w:rsid w:val="007F387B"/>
    <w:rsid w:val="007F5599"/>
    <w:rsid w:val="0080058E"/>
    <w:rsid w:val="00802318"/>
    <w:rsid w:val="0080253D"/>
    <w:rsid w:val="0080302C"/>
    <w:rsid w:val="00803856"/>
    <w:rsid w:val="00806B1C"/>
    <w:rsid w:val="00806D94"/>
    <w:rsid w:val="00806D96"/>
    <w:rsid w:val="008103B1"/>
    <w:rsid w:val="00810AC1"/>
    <w:rsid w:val="00812951"/>
    <w:rsid w:val="008137F2"/>
    <w:rsid w:val="00815235"/>
    <w:rsid w:val="0081799D"/>
    <w:rsid w:val="00817B48"/>
    <w:rsid w:val="0082289E"/>
    <w:rsid w:val="00823121"/>
    <w:rsid w:val="0082529C"/>
    <w:rsid w:val="00827C03"/>
    <w:rsid w:val="00827DCE"/>
    <w:rsid w:val="008306A8"/>
    <w:rsid w:val="00833019"/>
    <w:rsid w:val="00834400"/>
    <w:rsid w:val="00835A72"/>
    <w:rsid w:val="00835C2F"/>
    <w:rsid w:val="00836BF8"/>
    <w:rsid w:val="00840B0F"/>
    <w:rsid w:val="00840EA9"/>
    <w:rsid w:val="00841444"/>
    <w:rsid w:val="00841A74"/>
    <w:rsid w:val="008448B1"/>
    <w:rsid w:val="00844C36"/>
    <w:rsid w:val="0084545E"/>
    <w:rsid w:val="00845D04"/>
    <w:rsid w:val="00846362"/>
    <w:rsid w:val="0084744C"/>
    <w:rsid w:val="00853FD9"/>
    <w:rsid w:val="00854ADE"/>
    <w:rsid w:val="00856485"/>
    <w:rsid w:val="00857B8B"/>
    <w:rsid w:val="00857C21"/>
    <w:rsid w:val="00860F24"/>
    <w:rsid w:val="00861C82"/>
    <w:rsid w:val="00864E83"/>
    <w:rsid w:val="00865432"/>
    <w:rsid w:val="008659F9"/>
    <w:rsid w:val="008718F3"/>
    <w:rsid w:val="008732AA"/>
    <w:rsid w:val="008771EF"/>
    <w:rsid w:val="0087737A"/>
    <w:rsid w:val="008810B9"/>
    <w:rsid w:val="00882208"/>
    <w:rsid w:val="0088539B"/>
    <w:rsid w:val="00885AF3"/>
    <w:rsid w:val="00885F4B"/>
    <w:rsid w:val="00891261"/>
    <w:rsid w:val="00894662"/>
    <w:rsid w:val="00894C5F"/>
    <w:rsid w:val="00896761"/>
    <w:rsid w:val="00897DDF"/>
    <w:rsid w:val="008A039D"/>
    <w:rsid w:val="008A2149"/>
    <w:rsid w:val="008A2BC9"/>
    <w:rsid w:val="008A55AA"/>
    <w:rsid w:val="008B0F57"/>
    <w:rsid w:val="008B14FC"/>
    <w:rsid w:val="008B2364"/>
    <w:rsid w:val="008B634A"/>
    <w:rsid w:val="008B6C85"/>
    <w:rsid w:val="008B7844"/>
    <w:rsid w:val="008C3053"/>
    <w:rsid w:val="008C36E3"/>
    <w:rsid w:val="008C6560"/>
    <w:rsid w:val="008C6875"/>
    <w:rsid w:val="008C745B"/>
    <w:rsid w:val="008D052F"/>
    <w:rsid w:val="008D59C2"/>
    <w:rsid w:val="008D5F04"/>
    <w:rsid w:val="008D6629"/>
    <w:rsid w:val="008E1E57"/>
    <w:rsid w:val="008E263D"/>
    <w:rsid w:val="008E2A3F"/>
    <w:rsid w:val="008E4848"/>
    <w:rsid w:val="008E5CF2"/>
    <w:rsid w:val="008E78F4"/>
    <w:rsid w:val="008E7DCA"/>
    <w:rsid w:val="008F1823"/>
    <w:rsid w:val="008F6947"/>
    <w:rsid w:val="009008E8"/>
    <w:rsid w:val="00902C21"/>
    <w:rsid w:val="009043CE"/>
    <w:rsid w:val="009053E2"/>
    <w:rsid w:val="00905647"/>
    <w:rsid w:val="00906BD5"/>
    <w:rsid w:val="00907A47"/>
    <w:rsid w:val="0091006D"/>
    <w:rsid w:val="00910F58"/>
    <w:rsid w:val="00911258"/>
    <w:rsid w:val="009126D8"/>
    <w:rsid w:val="00913554"/>
    <w:rsid w:val="00916AAA"/>
    <w:rsid w:val="00917519"/>
    <w:rsid w:val="00917736"/>
    <w:rsid w:val="00917C4A"/>
    <w:rsid w:val="00917EE2"/>
    <w:rsid w:val="00917F1B"/>
    <w:rsid w:val="00920595"/>
    <w:rsid w:val="00920B96"/>
    <w:rsid w:val="00920BC7"/>
    <w:rsid w:val="009216EE"/>
    <w:rsid w:val="009230B4"/>
    <w:rsid w:val="00923343"/>
    <w:rsid w:val="00923413"/>
    <w:rsid w:val="00923B81"/>
    <w:rsid w:val="0092576A"/>
    <w:rsid w:val="009269C2"/>
    <w:rsid w:val="00927D02"/>
    <w:rsid w:val="009311A7"/>
    <w:rsid w:val="00932B17"/>
    <w:rsid w:val="00934B9B"/>
    <w:rsid w:val="009353BE"/>
    <w:rsid w:val="009405FF"/>
    <w:rsid w:val="00941DED"/>
    <w:rsid w:val="0094315B"/>
    <w:rsid w:val="00943609"/>
    <w:rsid w:val="00946212"/>
    <w:rsid w:val="009462DC"/>
    <w:rsid w:val="00946BBB"/>
    <w:rsid w:val="0095030C"/>
    <w:rsid w:val="00950AE6"/>
    <w:rsid w:val="00951411"/>
    <w:rsid w:val="00952893"/>
    <w:rsid w:val="009545D9"/>
    <w:rsid w:val="00957281"/>
    <w:rsid w:val="0096168E"/>
    <w:rsid w:val="00961793"/>
    <w:rsid w:val="0096281F"/>
    <w:rsid w:val="00962FE0"/>
    <w:rsid w:val="009640EB"/>
    <w:rsid w:val="009657A6"/>
    <w:rsid w:val="00966159"/>
    <w:rsid w:val="0096661C"/>
    <w:rsid w:val="009708C8"/>
    <w:rsid w:val="00970C45"/>
    <w:rsid w:val="0097250D"/>
    <w:rsid w:val="00972F36"/>
    <w:rsid w:val="0097311D"/>
    <w:rsid w:val="009731B4"/>
    <w:rsid w:val="00974BA2"/>
    <w:rsid w:val="00975B61"/>
    <w:rsid w:val="009768DB"/>
    <w:rsid w:val="00976B71"/>
    <w:rsid w:val="009802E3"/>
    <w:rsid w:val="009815E4"/>
    <w:rsid w:val="00982002"/>
    <w:rsid w:val="009827A4"/>
    <w:rsid w:val="00982D75"/>
    <w:rsid w:val="00982ED7"/>
    <w:rsid w:val="00982F91"/>
    <w:rsid w:val="009845D7"/>
    <w:rsid w:val="0098467F"/>
    <w:rsid w:val="00984B94"/>
    <w:rsid w:val="00985AF1"/>
    <w:rsid w:val="00986BD0"/>
    <w:rsid w:val="0099382C"/>
    <w:rsid w:val="009947F0"/>
    <w:rsid w:val="00997CC4"/>
    <w:rsid w:val="009A4D19"/>
    <w:rsid w:val="009B0D78"/>
    <w:rsid w:val="009B1ADB"/>
    <w:rsid w:val="009B1BA9"/>
    <w:rsid w:val="009B2156"/>
    <w:rsid w:val="009B6FA1"/>
    <w:rsid w:val="009B772C"/>
    <w:rsid w:val="009C0AF9"/>
    <w:rsid w:val="009C2B09"/>
    <w:rsid w:val="009C38C2"/>
    <w:rsid w:val="009C3B44"/>
    <w:rsid w:val="009C4059"/>
    <w:rsid w:val="009C5773"/>
    <w:rsid w:val="009C6ED6"/>
    <w:rsid w:val="009C77C5"/>
    <w:rsid w:val="009D2246"/>
    <w:rsid w:val="009D5E33"/>
    <w:rsid w:val="009D669E"/>
    <w:rsid w:val="009D7417"/>
    <w:rsid w:val="009E16D8"/>
    <w:rsid w:val="009E2BA0"/>
    <w:rsid w:val="009E4D9A"/>
    <w:rsid w:val="009E6EBD"/>
    <w:rsid w:val="009E76DB"/>
    <w:rsid w:val="009F2568"/>
    <w:rsid w:val="009F26F2"/>
    <w:rsid w:val="009F28E2"/>
    <w:rsid w:val="009F2D07"/>
    <w:rsid w:val="009F3357"/>
    <w:rsid w:val="009F3965"/>
    <w:rsid w:val="009F6ECA"/>
    <w:rsid w:val="009F7955"/>
    <w:rsid w:val="00A002D3"/>
    <w:rsid w:val="00A0154D"/>
    <w:rsid w:val="00A01C1A"/>
    <w:rsid w:val="00A0432C"/>
    <w:rsid w:val="00A053F5"/>
    <w:rsid w:val="00A0793E"/>
    <w:rsid w:val="00A07E44"/>
    <w:rsid w:val="00A10232"/>
    <w:rsid w:val="00A13D14"/>
    <w:rsid w:val="00A14F6C"/>
    <w:rsid w:val="00A15C9D"/>
    <w:rsid w:val="00A161D6"/>
    <w:rsid w:val="00A1679C"/>
    <w:rsid w:val="00A226BC"/>
    <w:rsid w:val="00A22777"/>
    <w:rsid w:val="00A22FDC"/>
    <w:rsid w:val="00A316A9"/>
    <w:rsid w:val="00A33062"/>
    <w:rsid w:val="00A363C9"/>
    <w:rsid w:val="00A37CAB"/>
    <w:rsid w:val="00A422D5"/>
    <w:rsid w:val="00A43488"/>
    <w:rsid w:val="00A45951"/>
    <w:rsid w:val="00A45D88"/>
    <w:rsid w:val="00A462A1"/>
    <w:rsid w:val="00A469CB"/>
    <w:rsid w:val="00A46AA5"/>
    <w:rsid w:val="00A46CBE"/>
    <w:rsid w:val="00A52034"/>
    <w:rsid w:val="00A52271"/>
    <w:rsid w:val="00A54B8A"/>
    <w:rsid w:val="00A57B55"/>
    <w:rsid w:val="00A63386"/>
    <w:rsid w:val="00A67BC7"/>
    <w:rsid w:val="00A67D40"/>
    <w:rsid w:val="00A72D98"/>
    <w:rsid w:val="00A74DED"/>
    <w:rsid w:val="00A759FA"/>
    <w:rsid w:val="00A76E93"/>
    <w:rsid w:val="00A77026"/>
    <w:rsid w:val="00A806F3"/>
    <w:rsid w:val="00A80F18"/>
    <w:rsid w:val="00A820D2"/>
    <w:rsid w:val="00A82C97"/>
    <w:rsid w:val="00A845A2"/>
    <w:rsid w:val="00A84F57"/>
    <w:rsid w:val="00A85461"/>
    <w:rsid w:val="00A86FC3"/>
    <w:rsid w:val="00A873FA"/>
    <w:rsid w:val="00A87DA3"/>
    <w:rsid w:val="00A87E8F"/>
    <w:rsid w:val="00A9005D"/>
    <w:rsid w:val="00A90456"/>
    <w:rsid w:val="00A91151"/>
    <w:rsid w:val="00A9126C"/>
    <w:rsid w:val="00A912D0"/>
    <w:rsid w:val="00A92325"/>
    <w:rsid w:val="00A931B8"/>
    <w:rsid w:val="00A94D08"/>
    <w:rsid w:val="00A95042"/>
    <w:rsid w:val="00A95732"/>
    <w:rsid w:val="00AA023F"/>
    <w:rsid w:val="00AA36E0"/>
    <w:rsid w:val="00AA4FFD"/>
    <w:rsid w:val="00AB065B"/>
    <w:rsid w:val="00AB08E5"/>
    <w:rsid w:val="00AB34E4"/>
    <w:rsid w:val="00AB37E0"/>
    <w:rsid w:val="00AB3D14"/>
    <w:rsid w:val="00AB5795"/>
    <w:rsid w:val="00AB6B6E"/>
    <w:rsid w:val="00AB6CE8"/>
    <w:rsid w:val="00AB7190"/>
    <w:rsid w:val="00AB7BC5"/>
    <w:rsid w:val="00AC05DC"/>
    <w:rsid w:val="00AC2C7F"/>
    <w:rsid w:val="00AC5899"/>
    <w:rsid w:val="00AC5A05"/>
    <w:rsid w:val="00AC6E4C"/>
    <w:rsid w:val="00AC7840"/>
    <w:rsid w:val="00AC7E98"/>
    <w:rsid w:val="00AD3151"/>
    <w:rsid w:val="00AD4122"/>
    <w:rsid w:val="00AD455A"/>
    <w:rsid w:val="00AD4F27"/>
    <w:rsid w:val="00AD7D52"/>
    <w:rsid w:val="00AE39FA"/>
    <w:rsid w:val="00AE47C1"/>
    <w:rsid w:val="00AE7262"/>
    <w:rsid w:val="00B0131D"/>
    <w:rsid w:val="00B05EED"/>
    <w:rsid w:val="00B06F37"/>
    <w:rsid w:val="00B0725E"/>
    <w:rsid w:val="00B07A55"/>
    <w:rsid w:val="00B07C44"/>
    <w:rsid w:val="00B10DA0"/>
    <w:rsid w:val="00B113D2"/>
    <w:rsid w:val="00B11B6D"/>
    <w:rsid w:val="00B14BE1"/>
    <w:rsid w:val="00B151BF"/>
    <w:rsid w:val="00B15949"/>
    <w:rsid w:val="00B15BD2"/>
    <w:rsid w:val="00B160F2"/>
    <w:rsid w:val="00B16F12"/>
    <w:rsid w:val="00B20A5C"/>
    <w:rsid w:val="00B20B97"/>
    <w:rsid w:val="00B2132D"/>
    <w:rsid w:val="00B22369"/>
    <w:rsid w:val="00B23AE5"/>
    <w:rsid w:val="00B2499F"/>
    <w:rsid w:val="00B26BE4"/>
    <w:rsid w:val="00B316F1"/>
    <w:rsid w:val="00B3226B"/>
    <w:rsid w:val="00B328EA"/>
    <w:rsid w:val="00B32B34"/>
    <w:rsid w:val="00B344D9"/>
    <w:rsid w:val="00B368B5"/>
    <w:rsid w:val="00B377DF"/>
    <w:rsid w:val="00B37ED8"/>
    <w:rsid w:val="00B406C8"/>
    <w:rsid w:val="00B42139"/>
    <w:rsid w:val="00B4457C"/>
    <w:rsid w:val="00B467C4"/>
    <w:rsid w:val="00B47780"/>
    <w:rsid w:val="00B51226"/>
    <w:rsid w:val="00B51313"/>
    <w:rsid w:val="00B51BC1"/>
    <w:rsid w:val="00B51F07"/>
    <w:rsid w:val="00B52D5B"/>
    <w:rsid w:val="00B53559"/>
    <w:rsid w:val="00B53767"/>
    <w:rsid w:val="00B542EC"/>
    <w:rsid w:val="00B54F7A"/>
    <w:rsid w:val="00B5578D"/>
    <w:rsid w:val="00B56412"/>
    <w:rsid w:val="00B56DA5"/>
    <w:rsid w:val="00B5796F"/>
    <w:rsid w:val="00B57F16"/>
    <w:rsid w:val="00B624BB"/>
    <w:rsid w:val="00B62912"/>
    <w:rsid w:val="00B6445F"/>
    <w:rsid w:val="00B66ACE"/>
    <w:rsid w:val="00B66CA8"/>
    <w:rsid w:val="00B7041A"/>
    <w:rsid w:val="00B70DE7"/>
    <w:rsid w:val="00B762B5"/>
    <w:rsid w:val="00B76460"/>
    <w:rsid w:val="00B76846"/>
    <w:rsid w:val="00B819C2"/>
    <w:rsid w:val="00B83B4D"/>
    <w:rsid w:val="00B84FB9"/>
    <w:rsid w:val="00B85A40"/>
    <w:rsid w:val="00B87219"/>
    <w:rsid w:val="00B875D7"/>
    <w:rsid w:val="00B93E94"/>
    <w:rsid w:val="00B94539"/>
    <w:rsid w:val="00B95307"/>
    <w:rsid w:val="00BA1B6A"/>
    <w:rsid w:val="00BA28B4"/>
    <w:rsid w:val="00BA50DA"/>
    <w:rsid w:val="00BA627E"/>
    <w:rsid w:val="00BA7835"/>
    <w:rsid w:val="00BA7F1A"/>
    <w:rsid w:val="00BB437C"/>
    <w:rsid w:val="00BB4E2C"/>
    <w:rsid w:val="00BB5D92"/>
    <w:rsid w:val="00BB66C5"/>
    <w:rsid w:val="00BC06A3"/>
    <w:rsid w:val="00BC10F5"/>
    <w:rsid w:val="00BC2390"/>
    <w:rsid w:val="00BC5062"/>
    <w:rsid w:val="00BD033A"/>
    <w:rsid w:val="00BD0509"/>
    <w:rsid w:val="00BD0F8F"/>
    <w:rsid w:val="00BD199F"/>
    <w:rsid w:val="00BD26A6"/>
    <w:rsid w:val="00BD43E5"/>
    <w:rsid w:val="00BD53C9"/>
    <w:rsid w:val="00BD570E"/>
    <w:rsid w:val="00BE0668"/>
    <w:rsid w:val="00BE2E3F"/>
    <w:rsid w:val="00BE5863"/>
    <w:rsid w:val="00BE760C"/>
    <w:rsid w:val="00BF0328"/>
    <w:rsid w:val="00BF044D"/>
    <w:rsid w:val="00BF10B9"/>
    <w:rsid w:val="00BF50F2"/>
    <w:rsid w:val="00BF6567"/>
    <w:rsid w:val="00BF665E"/>
    <w:rsid w:val="00BF66A7"/>
    <w:rsid w:val="00C01DDB"/>
    <w:rsid w:val="00C01EEB"/>
    <w:rsid w:val="00C02828"/>
    <w:rsid w:val="00C035CA"/>
    <w:rsid w:val="00C03A43"/>
    <w:rsid w:val="00C112A9"/>
    <w:rsid w:val="00C128CD"/>
    <w:rsid w:val="00C14CEB"/>
    <w:rsid w:val="00C15920"/>
    <w:rsid w:val="00C159B8"/>
    <w:rsid w:val="00C16C38"/>
    <w:rsid w:val="00C16F17"/>
    <w:rsid w:val="00C208B9"/>
    <w:rsid w:val="00C212CC"/>
    <w:rsid w:val="00C21A5B"/>
    <w:rsid w:val="00C21DAE"/>
    <w:rsid w:val="00C23F61"/>
    <w:rsid w:val="00C25AD5"/>
    <w:rsid w:val="00C25CA9"/>
    <w:rsid w:val="00C269D1"/>
    <w:rsid w:val="00C32959"/>
    <w:rsid w:val="00C32F9A"/>
    <w:rsid w:val="00C356B3"/>
    <w:rsid w:val="00C37458"/>
    <w:rsid w:val="00C37D83"/>
    <w:rsid w:val="00C40B20"/>
    <w:rsid w:val="00C41351"/>
    <w:rsid w:val="00C44835"/>
    <w:rsid w:val="00C478E0"/>
    <w:rsid w:val="00C506F3"/>
    <w:rsid w:val="00C50847"/>
    <w:rsid w:val="00C50EBC"/>
    <w:rsid w:val="00C51690"/>
    <w:rsid w:val="00C52B6E"/>
    <w:rsid w:val="00C534CD"/>
    <w:rsid w:val="00C53908"/>
    <w:rsid w:val="00C5512B"/>
    <w:rsid w:val="00C569AD"/>
    <w:rsid w:val="00C5731D"/>
    <w:rsid w:val="00C60196"/>
    <w:rsid w:val="00C614FC"/>
    <w:rsid w:val="00C6380E"/>
    <w:rsid w:val="00C658EB"/>
    <w:rsid w:val="00C65CBF"/>
    <w:rsid w:val="00C6679A"/>
    <w:rsid w:val="00C723D7"/>
    <w:rsid w:val="00C72D15"/>
    <w:rsid w:val="00C73336"/>
    <w:rsid w:val="00C75BE5"/>
    <w:rsid w:val="00C771B1"/>
    <w:rsid w:val="00C80DDF"/>
    <w:rsid w:val="00C8242D"/>
    <w:rsid w:val="00C82452"/>
    <w:rsid w:val="00C847F7"/>
    <w:rsid w:val="00C85060"/>
    <w:rsid w:val="00C87535"/>
    <w:rsid w:val="00C91CA7"/>
    <w:rsid w:val="00C93ABC"/>
    <w:rsid w:val="00C94736"/>
    <w:rsid w:val="00C959C4"/>
    <w:rsid w:val="00C96347"/>
    <w:rsid w:val="00CA0883"/>
    <w:rsid w:val="00CA1337"/>
    <w:rsid w:val="00CA62E9"/>
    <w:rsid w:val="00CB0122"/>
    <w:rsid w:val="00CB05FF"/>
    <w:rsid w:val="00CB233F"/>
    <w:rsid w:val="00CB2952"/>
    <w:rsid w:val="00CB2DA4"/>
    <w:rsid w:val="00CB3031"/>
    <w:rsid w:val="00CB6338"/>
    <w:rsid w:val="00CB6C83"/>
    <w:rsid w:val="00CB7F34"/>
    <w:rsid w:val="00CC1D40"/>
    <w:rsid w:val="00CC230E"/>
    <w:rsid w:val="00CC29F5"/>
    <w:rsid w:val="00CC3DD2"/>
    <w:rsid w:val="00CC69EE"/>
    <w:rsid w:val="00CC7F49"/>
    <w:rsid w:val="00CD1163"/>
    <w:rsid w:val="00CD21AB"/>
    <w:rsid w:val="00CD599E"/>
    <w:rsid w:val="00CD59A2"/>
    <w:rsid w:val="00CD5EE7"/>
    <w:rsid w:val="00CD6276"/>
    <w:rsid w:val="00CE08CF"/>
    <w:rsid w:val="00CE1AA5"/>
    <w:rsid w:val="00CE2B4C"/>
    <w:rsid w:val="00CE3EDE"/>
    <w:rsid w:val="00CE3F41"/>
    <w:rsid w:val="00CE44D6"/>
    <w:rsid w:val="00CE752C"/>
    <w:rsid w:val="00CF0520"/>
    <w:rsid w:val="00CF421F"/>
    <w:rsid w:val="00CF5013"/>
    <w:rsid w:val="00D001E7"/>
    <w:rsid w:val="00D007AF"/>
    <w:rsid w:val="00D00DD2"/>
    <w:rsid w:val="00D0350B"/>
    <w:rsid w:val="00D03859"/>
    <w:rsid w:val="00D03CCB"/>
    <w:rsid w:val="00D03E73"/>
    <w:rsid w:val="00D047A6"/>
    <w:rsid w:val="00D06701"/>
    <w:rsid w:val="00D1085E"/>
    <w:rsid w:val="00D10894"/>
    <w:rsid w:val="00D10E20"/>
    <w:rsid w:val="00D12396"/>
    <w:rsid w:val="00D14B59"/>
    <w:rsid w:val="00D156D7"/>
    <w:rsid w:val="00D15BBE"/>
    <w:rsid w:val="00D160C2"/>
    <w:rsid w:val="00D16AD9"/>
    <w:rsid w:val="00D170A5"/>
    <w:rsid w:val="00D21227"/>
    <w:rsid w:val="00D2172C"/>
    <w:rsid w:val="00D22DC9"/>
    <w:rsid w:val="00D231BF"/>
    <w:rsid w:val="00D24435"/>
    <w:rsid w:val="00D25500"/>
    <w:rsid w:val="00D30E31"/>
    <w:rsid w:val="00D31468"/>
    <w:rsid w:val="00D31F68"/>
    <w:rsid w:val="00D33022"/>
    <w:rsid w:val="00D33344"/>
    <w:rsid w:val="00D33EF5"/>
    <w:rsid w:val="00D358F5"/>
    <w:rsid w:val="00D372C2"/>
    <w:rsid w:val="00D409F3"/>
    <w:rsid w:val="00D471A0"/>
    <w:rsid w:val="00D473E8"/>
    <w:rsid w:val="00D53548"/>
    <w:rsid w:val="00D53797"/>
    <w:rsid w:val="00D53D99"/>
    <w:rsid w:val="00D54E01"/>
    <w:rsid w:val="00D6024D"/>
    <w:rsid w:val="00D60CB0"/>
    <w:rsid w:val="00D61CCF"/>
    <w:rsid w:val="00D64BF8"/>
    <w:rsid w:val="00D67FAB"/>
    <w:rsid w:val="00D7033A"/>
    <w:rsid w:val="00D745C8"/>
    <w:rsid w:val="00D757E1"/>
    <w:rsid w:val="00D7724F"/>
    <w:rsid w:val="00D809FA"/>
    <w:rsid w:val="00D8160D"/>
    <w:rsid w:val="00D8179B"/>
    <w:rsid w:val="00D81BA0"/>
    <w:rsid w:val="00D81BE8"/>
    <w:rsid w:val="00D84384"/>
    <w:rsid w:val="00D84391"/>
    <w:rsid w:val="00D85B5F"/>
    <w:rsid w:val="00D91742"/>
    <w:rsid w:val="00D93EF0"/>
    <w:rsid w:val="00D9504C"/>
    <w:rsid w:val="00D955FC"/>
    <w:rsid w:val="00D961AB"/>
    <w:rsid w:val="00D97FEC"/>
    <w:rsid w:val="00DA0815"/>
    <w:rsid w:val="00DA7644"/>
    <w:rsid w:val="00DA7D81"/>
    <w:rsid w:val="00DB05EA"/>
    <w:rsid w:val="00DB0DC8"/>
    <w:rsid w:val="00DB1626"/>
    <w:rsid w:val="00DB1888"/>
    <w:rsid w:val="00DB1B43"/>
    <w:rsid w:val="00DB1D57"/>
    <w:rsid w:val="00DB22B4"/>
    <w:rsid w:val="00DB3A23"/>
    <w:rsid w:val="00DB3CDD"/>
    <w:rsid w:val="00DB517B"/>
    <w:rsid w:val="00DC356F"/>
    <w:rsid w:val="00DC35E8"/>
    <w:rsid w:val="00DC4A00"/>
    <w:rsid w:val="00DC4ED6"/>
    <w:rsid w:val="00DC6B05"/>
    <w:rsid w:val="00DC6F64"/>
    <w:rsid w:val="00DD0A8D"/>
    <w:rsid w:val="00DD2C61"/>
    <w:rsid w:val="00DD3479"/>
    <w:rsid w:val="00DD4AAE"/>
    <w:rsid w:val="00DD65D9"/>
    <w:rsid w:val="00DD68CD"/>
    <w:rsid w:val="00DE0727"/>
    <w:rsid w:val="00DE0D0B"/>
    <w:rsid w:val="00DE24FC"/>
    <w:rsid w:val="00DE43AE"/>
    <w:rsid w:val="00DE65F6"/>
    <w:rsid w:val="00DE6ECE"/>
    <w:rsid w:val="00DF3D3C"/>
    <w:rsid w:val="00DF4AE4"/>
    <w:rsid w:val="00DF4F32"/>
    <w:rsid w:val="00DF5491"/>
    <w:rsid w:val="00E0035B"/>
    <w:rsid w:val="00E00768"/>
    <w:rsid w:val="00E00E94"/>
    <w:rsid w:val="00E059CC"/>
    <w:rsid w:val="00E061E8"/>
    <w:rsid w:val="00E06B55"/>
    <w:rsid w:val="00E07609"/>
    <w:rsid w:val="00E079D7"/>
    <w:rsid w:val="00E1000A"/>
    <w:rsid w:val="00E11932"/>
    <w:rsid w:val="00E129FC"/>
    <w:rsid w:val="00E1515E"/>
    <w:rsid w:val="00E15177"/>
    <w:rsid w:val="00E16348"/>
    <w:rsid w:val="00E1693C"/>
    <w:rsid w:val="00E17422"/>
    <w:rsid w:val="00E2092F"/>
    <w:rsid w:val="00E20BC1"/>
    <w:rsid w:val="00E21CF1"/>
    <w:rsid w:val="00E23CCD"/>
    <w:rsid w:val="00E23F2F"/>
    <w:rsid w:val="00E2614B"/>
    <w:rsid w:val="00E30AAF"/>
    <w:rsid w:val="00E3109A"/>
    <w:rsid w:val="00E36F00"/>
    <w:rsid w:val="00E37328"/>
    <w:rsid w:val="00E3744E"/>
    <w:rsid w:val="00E40E5F"/>
    <w:rsid w:val="00E42425"/>
    <w:rsid w:val="00E42BE4"/>
    <w:rsid w:val="00E44CBA"/>
    <w:rsid w:val="00E44D8A"/>
    <w:rsid w:val="00E4553F"/>
    <w:rsid w:val="00E5051A"/>
    <w:rsid w:val="00E506CE"/>
    <w:rsid w:val="00E533DD"/>
    <w:rsid w:val="00E54262"/>
    <w:rsid w:val="00E55CAB"/>
    <w:rsid w:val="00E56668"/>
    <w:rsid w:val="00E57020"/>
    <w:rsid w:val="00E57D30"/>
    <w:rsid w:val="00E6009B"/>
    <w:rsid w:val="00E615EF"/>
    <w:rsid w:val="00E61EB5"/>
    <w:rsid w:val="00E6245E"/>
    <w:rsid w:val="00E6283A"/>
    <w:rsid w:val="00E62CF8"/>
    <w:rsid w:val="00E669D5"/>
    <w:rsid w:val="00E715BA"/>
    <w:rsid w:val="00E729D6"/>
    <w:rsid w:val="00E72FD6"/>
    <w:rsid w:val="00E73AC8"/>
    <w:rsid w:val="00E745AC"/>
    <w:rsid w:val="00E757A1"/>
    <w:rsid w:val="00E75ED5"/>
    <w:rsid w:val="00E760A2"/>
    <w:rsid w:val="00E77052"/>
    <w:rsid w:val="00E778A4"/>
    <w:rsid w:val="00E77A75"/>
    <w:rsid w:val="00E8080B"/>
    <w:rsid w:val="00E80EA1"/>
    <w:rsid w:val="00E841AC"/>
    <w:rsid w:val="00E841D3"/>
    <w:rsid w:val="00E84465"/>
    <w:rsid w:val="00E84A3B"/>
    <w:rsid w:val="00E85073"/>
    <w:rsid w:val="00E8679B"/>
    <w:rsid w:val="00E878F4"/>
    <w:rsid w:val="00E9059C"/>
    <w:rsid w:val="00E909F8"/>
    <w:rsid w:val="00E93083"/>
    <w:rsid w:val="00E936ED"/>
    <w:rsid w:val="00E9519C"/>
    <w:rsid w:val="00E969C1"/>
    <w:rsid w:val="00E97749"/>
    <w:rsid w:val="00E9790F"/>
    <w:rsid w:val="00EA1058"/>
    <w:rsid w:val="00EA3224"/>
    <w:rsid w:val="00EA383D"/>
    <w:rsid w:val="00EA417A"/>
    <w:rsid w:val="00EA44AC"/>
    <w:rsid w:val="00EA50BA"/>
    <w:rsid w:val="00EA648D"/>
    <w:rsid w:val="00EA7FEC"/>
    <w:rsid w:val="00EB09C7"/>
    <w:rsid w:val="00EB0A01"/>
    <w:rsid w:val="00EB2890"/>
    <w:rsid w:val="00EC0649"/>
    <w:rsid w:val="00EC0745"/>
    <w:rsid w:val="00EC0CC3"/>
    <w:rsid w:val="00EC2E44"/>
    <w:rsid w:val="00EC46B3"/>
    <w:rsid w:val="00EC5B99"/>
    <w:rsid w:val="00EC7380"/>
    <w:rsid w:val="00ED08F9"/>
    <w:rsid w:val="00ED187E"/>
    <w:rsid w:val="00ED57B8"/>
    <w:rsid w:val="00ED6CD0"/>
    <w:rsid w:val="00EE22FC"/>
    <w:rsid w:val="00EE269B"/>
    <w:rsid w:val="00EE49B5"/>
    <w:rsid w:val="00EE4C50"/>
    <w:rsid w:val="00EE6188"/>
    <w:rsid w:val="00EE6A10"/>
    <w:rsid w:val="00EF0CB8"/>
    <w:rsid w:val="00EF25A7"/>
    <w:rsid w:val="00EF26A7"/>
    <w:rsid w:val="00EF2748"/>
    <w:rsid w:val="00EF36C9"/>
    <w:rsid w:val="00EF4FFB"/>
    <w:rsid w:val="00EF7A4D"/>
    <w:rsid w:val="00EF7B2B"/>
    <w:rsid w:val="00F00140"/>
    <w:rsid w:val="00F004C5"/>
    <w:rsid w:val="00F00BCA"/>
    <w:rsid w:val="00F04763"/>
    <w:rsid w:val="00F05883"/>
    <w:rsid w:val="00F0778B"/>
    <w:rsid w:val="00F11B16"/>
    <w:rsid w:val="00F1473B"/>
    <w:rsid w:val="00F156CB"/>
    <w:rsid w:val="00F161EA"/>
    <w:rsid w:val="00F17186"/>
    <w:rsid w:val="00F223AE"/>
    <w:rsid w:val="00F2350F"/>
    <w:rsid w:val="00F24EC1"/>
    <w:rsid w:val="00F25CE1"/>
    <w:rsid w:val="00F27031"/>
    <w:rsid w:val="00F2727C"/>
    <w:rsid w:val="00F30153"/>
    <w:rsid w:val="00F30261"/>
    <w:rsid w:val="00F3027A"/>
    <w:rsid w:val="00F33023"/>
    <w:rsid w:val="00F330F2"/>
    <w:rsid w:val="00F341CB"/>
    <w:rsid w:val="00F351C0"/>
    <w:rsid w:val="00F35E67"/>
    <w:rsid w:val="00F36140"/>
    <w:rsid w:val="00F364D0"/>
    <w:rsid w:val="00F409D8"/>
    <w:rsid w:val="00F41346"/>
    <w:rsid w:val="00F452D2"/>
    <w:rsid w:val="00F4577B"/>
    <w:rsid w:val="00F50282"/>
    <w:rsid w:val="00F506A9"/>
    <w:rsid w:val="00F5198C"/>
    <w:rsid w:val="00F51C36"/>
    <w:rsid w:val="00F51CBC"/>
    <w:rsid w:val="00F51D0D"/>
    <w:rsid w:val="00F545EB"/>
    <w:rsid w:val="00F54799"/>
    <w:rsid w:val="00F600D2"/>
    <w:rsid w:val="00F61B4F"/>
    <w:rsid w:val="00F61E70"/>
    <w:rsid w:val="00F6279C"/>
    <w:rsid w:val="00F63ECF"/>
    <w:rsid w:val="00F64DC6"/>
    <w:rsid w:val="00F65ACD"/>
    <w:rsid w:val="00F66429"/>
    <w:rsid w:val="00F67326"/>
    <w:rsid w:val="00F7140E"/>
    <w:rsid w:val="00F72B15"/>
    <w:rsid w:val="00F73413"/>
    <w:rsid w:val="00F74751"/>
    <w:rsid w:val="00F77DF3"/>
    <w:rsid w:val="00F81046"/>
    <w:rsid w:val="00F826F3"/>
    <w:rsid w:val="00F82CFC"/>
    <w:rsid w:val="00F83ECD"/>
    <w:rsid w:val="00F84192"/>
    <w:rsid w:val="00F84CD4"/>
    <w:rsid w:val="00F85CA6"/>
    <w:rsid w:val="00F85D45"/>
    <w:rsid w:val="00F878B6"/>
    <w:rsid w:val="00F9061E"/>
    <w:rsid w:val="00F907C3"/>
    <w:rsid w:val="00F90F1A"/>
    <w:rsid w:val="00F91E36"/>
    <w:rsid w:val="00F9315B"/>
    <w:rsid w:val="00F940DF"/>
    <w:rsid w:val="00F95CC9"/>
    <w:rsid w:val="00F97423"/>
    <w:rsid w:val="00F97601"/>
    <w:rsid w:val="00FA06E2"/>
    <w:rsid w:val="00FA35D7"/>
    <w:rsid w:val="00FA3CCA"/>
    <w:rsid w:val="00FA51A5"/>
    <w:rsid w:val="00FA5696"/>
    <w:rsid w:val="00FA5AF6"/>
    <w:rsid w:val="00FA762F"/>
    <w:rsid w:val="00FB02AE"/>
    <w:rsid w:val="00FB0B01"/>
    <w:rsid w:val="00FB27B5"/>
    <w:rsid w:val="00FB3198"/>
    <w:rsid w:val="00FB394E"/>
    <w:rsid w:val="00FB51D9"/>
    <w:rsid w:val="00FC03FD"/>
    <w:rsid w:val="00FC34BD"/>
    <w:rsid w:val="00FC3A6B"/>
    <w:rsid w:val="00FC4F36"/>
    <w:rsid w:val="00FC6B16"/>
    <w:rsid w:val="00FD00C8"/>
    <w:rsid w:val="00FD0A86"/>
    <w:rsid w:val="00FD362F"/>
    <w:rsid w:val="00FD4F2E"/>
    <w:rsid w:val="00FD5011"/>
    <w:rsid w:val="00FD5F15"/>
    <w:rsid w:val="00FE0094"/>
    <w:rsid w:val="00FE08D6"/>
    <w:rsid w:val="00FE1040"/>
    <w:rsid w:val="00FE2353"/>
    <w:rsid w:val="00FE26DE"/>
    <w:rsid w:val="00FE4862"/>
    <w:rsid w:val="00FE5359"/>
    <w:rsid w:val="00FE7647"/>
    <w:rsid w:val="00FF0411"/>
    <w:rsid w:val="00FF10B6"/>
    <w:rsid w:val="00FF1B64"/>
    <w:rsid w:val="00FF1CAF"/>
    <w:rsid w:val="00FF4C4D"/>
    <w:rsid w:val="00FF698C"/>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8"/>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B05"/>
    <w:rPr>
      <w:rFonts w:ascii="Cambria" w:hAnsi="Cambria"/>
      <w:b/>
      <w:color w:val="365F91"/>
      <w:sz w:val="28"/>
      <w:lang w:val="x-none" w:eastAsia="en-US"/>
    </w:rPr>
  </w:style>
  <w:style w:type="character" w:customStyle="1" w:styleId="Heading4Char">
    <w:name w:val="Heading 4 Char"/>
    <w:basedOn w:val="DefaultParagraphFont"/>
    <w:link w:val="Heading4"/>
    <w:uiPriority w:val="9"/>
    <w:locked/>
    <w:rsid w:val="002E43E8"/>
    <w:rPr>
      <w:rFonts w:ascii="Times New Roman" w:hAnsi="Times New Roman"/>
      <w:b/>
      <w:sz w:val="24"/>
      <w:lang w:val="x-none"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hAnsi="Times New Roman"/>
      <w:sz w:val="24"/>
      <w:szCs w:val="20"/>
      <w:lang w:val="x-none" w:eastAsia="x-none"/>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locked/>
    <w:rsid w:val="009640EB"/>
    <w:rPr>
      <w:sz w:val="22"/>
      <w:lang w:val="x-none"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locked/>
    <w:rsid w:val="009640EB"/>
    <w:rPr>
      <w:sz w:val="22"/>
      <w:lang w:val="x-none"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sz w:val="16"/>
      <w:lang w:val="x-none"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hAnsi="Times New Roman"/>
      <w:sz w:val="24"/>
      <w:szCs w:val="24"/>
      <w:lang w:eastAsia="lv-LV"/>
    </w:rPr>
  </w:style>
  <w:style w:type="character" w:styleId="Strong">
    <w:name w:val="Strong"/>
    <w:basedOn w:val="DefaultParagraphFont"/>
    <w:uiPriority w:val="22"/>
    <w:qFormat/>
    <w:rsid w:val="00CE3EDE"/>
    <w:rPr>
      <w:b/>
    </w:rPr>
  </w:style>
  <w:style w:type="paragraph" w:customStyle="1" w:styleId="naisf">
    <w:name w:val="naisf"/>
    <w:basedOn w:val="Normal"/>
    <w:link w:val="naisfChar"/>
    <w:rsid w:val="00CE3EDE"/>
    <w:pPr>
      <w:spacing w:before="75" w:after="75" w:line="240" w:lineRule="auto"/>
      <w:ind w:firstLine="375"/>
      <w:jc w:val="both"/>
    </w:pPr>
    <w:rPr>
      <w:rFonts w:ascii="Times New Roman" w:hAnsi="Times New Roman"/>
      <w:sz w:val="24"/>
      <w:szCs w:val="20"/>
      <w:lang w:val="x-none" w:eastAsia="x-none"/>
    </w:rPr>
  </w:style>
  <w:style w:type="paragraph" w:customStyle="1" w:styleId="naiskr">
    <w:name w:val="naiskr"/>
    <w:basedOn w:val="Normal"/>
    <w:rsid w:val="00CE3EDE"/>
    <w:pPr>
      <w:spacing w:before="75" w:after="75" w:line="240" w:lineRule="auto"/>
    </w:pPr>
    <w:rPr>
      <w:rFonts w:ascii="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07ACA"/>
    <w:rPr>
      <w:rFonts w:ascii="Consolas" w:hAnsi="Consolas"/>
      <w:sz w:val="21"/>
      <w:lang w:val="x-none" w:eastAsia="en-US"/>
    </w:rPr>
  </w:style>
  <w:style w:type="paragraph" w:styleId="CommentText">
    <w:name w:val="annotation text"/>
    <w:basedOn w:val="Normal"/>
    <w:link w:val="CommentTextChar"/>
    <w:unhideWhenUsed/>
    <w:rsid w:val="00607ACA"/>
    <w:pPr>
      <w:spacing w:line="240" w:lineRule="auto"/>
    </w:pPr>
    <w:rPr>
      <w:sz w:val="20"/>
      <w:szCs w:val="20"/>
    </w:rPr>
  </w:style>
  <w:style w:type="character" w:customStyle="1" w:styleId="CommentTextChar">
    <w:name w:val="Comment Text Char"/>
    <w:basedOn w:val="DefaultParagraphFont"/>
    <w:link w:val="CommentText"/>
    <w:locked/>
    <w:rsid w:val="00607ACA"/>
    <w:rPr>
      <w:lang w:val="x-none"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locked/>
    <w:rsid w:val="00607ACA"/>
    <w:rPr>
      <w:b/>
      <w:lang w:val="x-none" w:eastAsia="en-US"/>
    </w:rPr>
  </w:style>
  <w:style w:type="paragraph" w:styleId="BodyText2">
    <w:name w:val="Body Text 2"/>
    <w:basedOn w:val="Normal"/>
    <w:link w:val="BodyText2Char"/>
    <w:uiPriority w:val="99"/>
    <w:rsid w:val="00FD5011"/>
    <w:pPr>
      <w:spacing w:after="120" w:line="480" w:lineRule="auto"/>
    </w:pPr>
    <w:rPr>
      <w:rFonts w:ascii="Times New Roman" w:hAnsi="Times New Roman"/>
      <w:sz w:val="24"/>
      <w:szCs w:val="24"/>
      <w:lang w:eastAsia="lv-LV"/>
    </w:rPr>
  </w:style>
  <w:style w:type="character" w:customStyle="1" w:styleId="BodyText2Char">
    <w:name w:val="Body Text 2 Char"/>
    <w:basedOn w:val="DefaultParagraphFont"/>
    <w:link w:val="BodyText2"/>
    <w:uiPriority w:val="99"/>
    <w:locked/>
    <w:rsid w:val="00FD5011"/>
    <w:rPr>
      <w:rFonts w:ascii="Times New Roman" w:hAnsi="Times New Roman"/>
      <w:sz w:val="24"/>
    </w:rPr>
  </w:style>
  <w:style w:type="character" w:customStyle="1" w:styleId="NormalWebChar">
    <w:name w:val="Normal (Web) Char"/>
    <w:link w:val="NormalWeb"/>
    <w:locked/>
    <w:rsid w:val="0082289E"/>
    <w:rPr>
      <w:rFonts w:ascii="Times New Roman" w:hAnsi="Times New Roman"/>
      <w:sz w:val="24"/>
    </w:rPr>
  </w:style>
  <w:style w:type="character" w:styleId="FollowedHyperlink">
    <w:name w:val="FollowedHyperlink"/>
    <w:basedOn w:val="DefaultParagraphFont"/>
    <w:uiPriority w:val="99"/>
    <w:semiHidden/>
    <w:unhideWhenUsed/>
    <w:rsid w:val="00355629"/>
    <w:rPr>
      <w:color w:val="800080"/>
      <w:u w:val="single"/>
    </w:rPr>
  </w:style>
  <w:style w:type="paragraph" w:customStyle="1" w:styleId="naisc">
    <w:name w:val="naisc"/>
    <w:basedOn w:val="Normal"/>
    <w:uiPriority w:val="99"/>
    <w:rsid w:val="00683D14"/>
    <w:pPr>
      <w:spacing w:before="75" w:after="75" w:line="240" w:lineRule="auto"/>
      <w:jc w:val="center"/>
    </w:pPr>
    <w:rPr>
      <w:rFonts w:ascii="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iPriority w:val="99"/>
    <w:unhideWhenUsed/>
    <w:rsid w:val="00F3027A"/>
    <w:pPr>
      <w:keepLines/>
      <w:widowControl w:val="0"/>
      <w:spacing w:before="600" w:after="0" w:line="240" w:lineRule="auto"/>
    </w:pPr>
    <w:rPr>
      <w:rFonts w:ascii="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rPr>
  </w:style>
  <w:style w:type="paragraph" w:styleId="BodyText">
    <w:name w:val="Body Text"/>
    <w:aliases w:val="Rakstz."/>
    <w:basedOn w:val="Normal"/>
    <w:link w:val="BodyTextChar"/>
    <w:uiPriority w:val="99"/>
    <w:rsid w:val="00342867"/>
    <w:pPr>
      <w:spacing w:after="120" w:line="240" w:lineRule="auto"/>
    </w:pPr>
    <w:rPr>
      <w:rFonts w:ascii="Times New Roman" w:hAnsi="Times New Roman"/>
      <w:sz w:val="24"/>
      <w:szCs w:val="24"/>
    </w:rPr>
  </w:style>
  <w:style w:type="character" w:customStyle="1" w:styleId="BodyTextChar">
    <w:name w:val="Body Text Char"/>
    <w:aliases w:val="Rakstz. Char"/>
    <w:basedOn w:val="DefaultParagraphFont"/>
    <w:link w:val="BodyText"/>
    <w:uiPriority w:val="99"/>
    <w:locked/>
    <w:rsid w:val="00342867"/>
    <w:rPr>
      <w:rFonts w:ascii="Times New Roman" w:hAnsi="Times New Roman"/>
      <w:sz w:val="24"/>
      <w:lang w:val="x-none"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hAnsi="Arial"/>
      <w:vanish/>
      <w:sz w:val="16"/>
      <w:szCs w:val="16"/>
      <w:lang w:eastAsia="lv-LV"/>
    </w:rPr>
  </w:style>
  <w:style w:type="character" w:customStyle="1" w:styleId="z-BottomofFormChar">
    <w:name w:val="z-Bottom of Form Char"/>
    <w:basedOn w:val="DefaultParagraphFont"/>
    <w:link w:val="z-BottomofForm"/>
    <w:uiPriority w:val="99"/>
    <w:locked/>
    <w:rsid w:val="000504F6"/>
    <w:rPr>
      <w:rFonts w:ascii="Arial" w:hAnsi="Arial"/>
      <w:vanish/>
      <w:sz w:val="16"/>
    </w:rPr>
  </w:style>
  <w:style w:type="paragraph" w:customStyle="1" w:styleId="naisnod">
    <w:name w:val="naisnod"/>
    <w:basedOn w:val="Normal"/>
    <w:rsid w:val="000D16A5"/>
    <w:pPr>
      <w:spacing w:before="150" w:after="150" w:line="240" w:lineRule="auto"/>
      <w:jc w:val="center"/>
    </w:pPr>
    <w:rPr>
      <w:rFonts w:ascii="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locked/>
    <w:rsid w:val="00CE44D6"/>
    <w:rPr>
      <w:rFonts w:ascii="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link w:val="naisf"/>
    <w:locked/>
    <w:rsid w:val="006067E8"/>
    <w:rPr>
      <w:rFonts w:ascii="Times New Roman" w:hAnsi="Times New Roman"/>
      <w:sz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hAnsi="Arial" w:cs="Arial"/>
      <w:color w:val="333333"/>
      <w:sz w:val="24"/>
      <w:szCs w:val="24"/>
      <w:lang w:eastAsia="lv-LV"/>
    </w:rPr>
  </w:style>
  <w:style w:type="character" w:customStyle="1" w:styleId="spelle">
    <w:name w:val="spelle"/>
    <w:basedOn w:val="DefaultParagraphFont"/>
    <w:rsid w:val="00721B0B"/>
    <w:rPr>
      <w:rFonts w:cs="Times New Roman"/>
    </w:rPr>
  </w:style>
  <w:style w:type="paragraph" w:customStyle="1" w:styleId="tvhtml">
    <w:name w:val="tv_html"/>
    <w:basedOn w:val="Normal"/>
    <w:rsid w:val="00D16AD9"/>
    <w:pPr>
      <w:spacing w:before="100" w:beforeAutospacing="1" w:after="100" w:afterAutospacing="1" w:line="240" w:lineRule="auto"/>
    </w:pPr>
    <w:rPr>
      <w:rFonts w:ascii="Verdana" w:hAnsi="Verdana"/>
      <w:sz w:val="16"/>
      <w:szCs w:val="16"/>
      <w:lang w:eastAsia="lv-LV"/>
    </w:rPr>
  </w:style>
  <w:style w:type="paragraph" w:customStyle="1" w:styleId="tvhtml1">
    <w:name w:val="tv_html1"/>
    <w:basedOn w:val="Normal"/>
    <w:rsid w:val="00122ED0"/>
    <w:pPr>
      <w:spacing w:before="100" w:beforeAutospacing="1" w:after="0" w:line="360" w:lineRule="auto"/>
    </w:pPr>
    <w:rPr>
      <w:rFonts w:ascii="Verdana" w:hAnsi="Verdana"/>
      <w:sz w:val="18"/>
      <w:szCs w:val="18"/>
      <w:lang w:eastAsia="lv-LV"/>
    </w:rPr>
  </w:style>
  <w:style w:type="paragraph" w:styleId="Subtitle">
    <w:name w:val="Subtitle"/>
    <w:basedOn w:val="Normal"/>
    <w:next w:val="Normal"/>
    <w:link w:val="SubtitleChar"/>
    <w:uiPriority w:val="11"/>
    <w:qFormat/>
    <w:rsid w:val="00854ADE"/>
    <w:pPr>
      <w:keepNext/>
      <w:keepLines/>
      <w:widowControl w:val="0"/>
      <w:suppressAutoHyphens/>
      <w:spacing w:before="600" w:after="600" w:line="240" w:lineRule="auto"/>
      <w:ind w:right="4820"/>
    </w:pPr>
    <w:rPr>
      <w:rFonts w:ascii="Times New Roman" w:hAnsi="Times New Roman"/>
      <w:b/>
      <w:sz w:val="26"/>
      <w:szCs w:val="20"/>
      <w:lang w:val="en-AU"/>
    </w:rPr>
  </w:style>
  <w:style w:type="character" w:customStyle="1" w:styleId="SubtitleChar">
    <w:name w:val="Subtitle Char"/>
    <w:basedOn w:val="DefaultParagraphFont"/>
    <w:link w:val="Subtitle"/>
    <w:uiPriority w:val="11"/>
    <w:locked/>
    <w:rsid w:val="00854ADE"/>
    <w:rPr>
      <w:rFonts w:ascii="Times New Roman" w:hAnsi="Times New Roman"/>
      <w:b/>
      <w:sz w:val="26"/>
      <w:lang w:val="en-AU" w:eastAsia="en-US"/>
    </w:rPr>
  </w:style>
  <w:style w:type="paragraph" w:customStyle="1" w:styleId="Style8">
    <w:name w:val="Style8"/>
    <w:basedOn w:val="Normal"/>
    <w:uiPriority w:val="99"/>
    <w:rsid w:val="00007FDB"/>
    <w:pPr>
      <w:widowControl w:val="0"/>
      <w:autoSpaceDE w:val="0"/>
      <w:autoSpaceDN w:val="0"/>
      <w:adjustRightInd w:val="0"/>
      <w:spacing w:after="0" w:line="274" w:lineRule="exact"/>
      <w:ind w:hanging="350"/>
    </w:pPr>
    <w:rPr>
      <w:rFonts w:ascii="Impact" w:hAnsi="Impact"/>
      <w:sz w:val="24"/>
      <w:szCs w:val="24"/>
      <w:lang w:eastAsia="lv-LV"/>
    </w:rPr>
  </w:style>
  <w:style w:type="paragraph" w:customStyle="1" w:styleId="default0">
    <w:name w:val="default"/>
    <w:basedOn w:val="Normal"/>
    <w:rsid w:val="00B7041A"/>
    <w:pPr>
      <w:spacing w:before="100" w:beforeAutospacing="1" w:after="100" w:afterAutospacing="1" w:line="240" w:lineRule="auto"/>
    </w:pPr>
    <w:rPr>
      <w:rFonts w:ascii="Times New Roman" w:hAnsi="Times New Roman"/>
      <w:color w:val="000000"/>
      <w:sz w:val="24"/>
      <w:szCs w:val="24"/>
      <w:lang w:eastAsia="lv-LV"/>
    </w:rPr>
  </w:style>
  <w:style w:type="table" w:styleId="TableGrid">
    <w:name w:val="Table Grid"/>
    <w:basedOn w:val="TableNormal"/>
    <w:uiPriority w:val="59"/>
    <w:rsid w:val="00F6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E70"/>
    <w:rPr>
      <w:sz w:val="22"/>
      <w:szCs w:val="22"/>
      <w:lang w:eastAsia="en-US"/>
    </w:rPr>
  </w:style>
  <w:style w:type="paragraph" w:customStyle="1" w:styleId="tv2071366801">
    <w:name w:val="tv207_136_6801"/>
    <w:basedOn w:val="Normal"/>
    <w:rsid w:val="00F341CB"/>
    <w:pPr>
      <w:spacing w:after="567" w:line="360" w:lineRule="auto"/>
      <w:jc w:val="center"/>
    </w:pPr>
    <w:rPr>
      <w:rFonts w:ascii="Verdana" w:hAnsi="Verdana"/>
      <w:b/>
      <w:bCs/>
      <w:sz w:val="28"/>
      <w:szCs w:val="28"/>
      <w:lang w:eastAsia="lv-LV"/>
    </w:rPr>
  </w:style>
  <w:style w:type="paragraph" w:customStyle="1" w:styleId="RakstzRakstzRakstzRakstz">
    <w:name w:val="Rakstz. Rakstz. Rakstz. Rakstz."/>
    <w:basedOn w:val="Normal"/>
    <w:rsid w:val="00CD5EE7"/>
    <w:pPr>
      <w:spacing w:before="40" w:after="0" w:line="240" w:lineRule="auto"/>
    </w:pPr>
    <w:rPr>
      <w:rFonts w:ascii="Times New Roman" w:hAnsi="Times New Roman"/>
      <w:sz w:val="28"/>
      <w:szCs w:val="20"/>
    </w:rPr>
  </w:style>
  <w:style w:type="paragraph" w:styleId="BodyTextIndent">
    <w:name w:val="Body Text Indent"/>
    <w:basedOn w:val="Normal"/>
    <w:link w:val="BodyTextIndentChar"/>
    <w:uiPriority w:val="99"/>
    <w:semiHidden/>
    <w:unhideWhenUsed/>
    <w:rsid w:val="00E760A2"/>
    <w:pPr>
      <w:spacing w:after="120"/>
      <w:ind w:left="283"/>
    </w:pPr>
  </w:style>
  <w:style w:type="character" w:customStyle="1" w:styleId="BodyTextIndentChar">
    <w:name w:val="Body Text Indent Char"/>
    <w:basedOn w:val="DefaultParagraphFont"/>
    <w:link w:val="BodyTextIndent"/>
    <w:uiPriority w:val="99"/>
    <w:semiHidden/>
    <w:rsid w:val="00E760A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8"/>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hAnsi="Cambria"/>
      <w:b/>
      <w:bCs/>
      <w:color w:val="365F91"/>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C6B05"/>
    <w:rPr>
      <w:rFonts w:ascii="Cambria" w:hAnsi="Cambria"/>
      <w:b/>
      <w:color w:val="365F91"/>
      <w:sz w:val="28"/>
      <w:lang w:val="x-none" w:eastAsia="en-US"/>
    </w:rPr>
  </w:style>
  <w:style w:type="character" w:customStyle="1" w:styleId="Heading4Char">
    <w:name w:val="Heading 4 Char"/>
    <w:basedOn w:val="DefaultParagraphFont"/>
    <w:link w:val="Heading4"/>
    <w:uiPriority w:val="9"/>
    <w:locked/>
    <w:rsid w:val="002E43E8"/>
    <w:rPr>
      <w:rFonts w:ascii="Times New Roman" w:hAnsi="Times New Roman"/>
      <w:b/>
      <w:sz w:val="24"/>
      <w:lang w:val="x-none" w:eastAsia="lv-LV"/>
    </w:rPr>
  </w:style>
  <w:style w:type="paragraph" w:styleId="NormalWeb">
    <w:name w:val="Normal (Web)"/>
    <w:basedOn w:val="Normal"/>
    <w:link w:val="NormalWebChar"/>
    <w:unhideWhenUsed/>
    <w:rsid w:val="002E43E8"/>
    <w:pPr>
      <w:spacing w:before="100" w:beforeAutospacing="1" w:after="100" w:afterAutospacing="1" w:line="240" w:lineRule="auto"/>
    </w:pPr>
    <w:rPr>
      <w:rFonts w:ascii="Times New Roman" w:hAnsi="Times New Roman"/>
      <w:sz w:val="24"/>
      <w:szCs w:val="20"/>
      <w:lang w:val="x-none" w:eastAsia="x-none"/>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locked/>
    <w:rsid w:val="009640EB"/>
    <w:rPr>
      <w:sz w:val="22"/>
      <w:lang w:val="x-none"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locked/>
    <w:rsid w:val="009640EB"/>
    <w:rPr>
      <w:sz w:val="22"/>
      <w:lang w:val="x-none"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sz w:val="16"/>
      <w:lang w:val="x-none"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hAnsi="Times New Roman"/>
      <w:sz w:val="24"/>
      <w:szCs w:val="24"/>
      <w:lang w:eastAsia="lv-LV"/>
    </w:rPr>
  </w:style>
  <w:style w:type="character" w:styleId="Strong">
    <w:name w:val="Strong"/>
    <w:basedOn w:val="DefaultParagraphFont"/>
    <w:uiPriority w:val="22"/>
    <w:qFormat/>
    <w:rsid w:val="00CE3EDE"/>
    <w:rPr>
      <w:b/>
    </w:rPr>
  </w:style>
  <w:style w:type="paragraph" w:customStyle="1" w:styleId="naisf">
    <w:name w:val="naisf"/>
    <w:basedOn w:val="Normal"/>
    <w:link w:val="naisfChar"/>
    <w:rsid w:val="00CE3EDE"/>
    <w:pPr>
      <w:spacing w:before="75" w:after="75" w:line="240" w:lineRule="auto"/>
      <w:ind w:firstLine="375"/>
      <w:jc w:val="both"/>
    </w:pPr>
    <w:rPr>
      <w:rFonts w:ascii="Times New Roman" w:hAnsi="Times New Roman"/>
      <w:sz w:val="24"/>
      <w:szCs w:val="20"/>
      <w:lang w:val="x-none" w:eastAsia="x-none"/>
    </w:rPr>
  </w:style>
  <w:style w:type="paragraph" w:customStyle="1" w:styleId="naiskr">
    <w:name w:val="naiskr"/>
    <w:basedOn w:val="Normal"/>
    <w:rsid w:val="00CE3EDE"/>
    <w:pPr>
      <w:spacing w:before="75" w:after="75" w:line="240" w:lineRule="auto"/>
    </w:pPr>
    <w:rPr>
      <w:rFonts w:ascii="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607ACA"/>
    <w:rPr>
      <w:rFonts w:ascii="Consolas" w:hAnsi="Consolas"/>
      <w:sz w:val="21"/>
      <w:lang w:val="x-none" w:eastAsia="en-US"/>
    </w:rPr>
  </w:style>
  <w:style w:type="paragraph" w:styleId="CommentText">
    <w:name w:val="annotation text"/>
    <w:basedOn w:val="Normal"/>
    <w:link w:val="CommentTextChar"/>
    <w:unhideWhenUsed/>
    <w:rsid w:val="00607ACA"/>
    <w:pPr>
      <w:spacing w:line="240" w:lineRule="auto"/>
    </w:pPr>
    <w:rPr>
      <w:sz w:val="20"/>
      <w:szCs w:val="20"/>
    </w:rPr>
  </w:style>
  <w:style w:type="character" w:customStyle="1" w:styleId="CommentTextChar">
    <w:name w:val="Comment Text Char"/>
    <w:basedOn w:val="DefaultParagraphFont"/>
    <w:link w:val="CommentText"/>
    <w:locked/>
    <w:rsid w:val="00607ACA"/>
    <w:rPr>
      <w:lang w:val="x-none"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locked/>
    <w:rsid w:val="00607ACA"/>
    <w:rPr>
      <w:b/>
      <w:lang w:val="x-none" w:eastAsia="en-US"/>
    </w:rPr>
  </w:style>
  <w:style w:type="paragraph" w:styleId="BodyText2">
    <w:name w:val="Body Text 2"/>
    <w:basedOn w:val="Normal"/>
    <w:link w:val="BodyText2Char"/>
    <w:uiPriority w:val="99"/>
    <w:rsid w:val="00FD5011"/>
    <w:pPr>
      <w:spacing w:after="120" w:line="480" w:lineRule="auto"/>
    </w:pPr>
    <w:rPr>
      <w:rFonts w:ascii="Times New Roman" w:hAnsi="Times New Roman"/>
      <w:sz w:val="24"/>
      <w:szCs w:val="24"/>
      <w:lang w:eastAsia="lv-LV"/>
    </w:rPr>
  </w:style>
  <w:style w:type="character" w:customStyle="1" w:styleId="BodyText2Char">
    <w:name w:val="Body Text 2 Char"/>
    <w:basedOn w:val="DefaultParagraphFont"/>
    <w:link w:val="BodyText2"/>
    <w:uiPriority w:val="99"/>
    <w:locked/>
    <w:rsid w:val="00FD5011"/>
    <w:rPr>
      <w:rFonts w:ascii="Times New Roman" w:hAnsi="Times New Roman"/>
      <w:sz w:val="24"/>
    </w:rPr>
  </w:style>
  <w:style w:type="character" w:customStyle="1" w:styleId="NormalWebChar">
    <w:name w:val="Normal (Web) Char"/>
    <w:link w:val="NormalWeb"/>
    <w:locked/>
    <w:rsid w:val="0082289E"/>
    <w:rPr>
      <w:rFonts w:ascii="Times New Roman" w:hAnsi="Times New Roman"/>
      <w:sz w:val="24"/>
    </w:rPr>
  </w:style>
  <w:style w:type="character" w:styleId="FollowedHyperlink">
    <w:name w:val="FollowedHyperlink"/>
    <w:basedOn w:val="DefaultParagraphFont"/>
    <w:uiPriority w:val="99"/>
    <w:semiHidden/>
    <w:unhideWhenUsed/>
    <w:rsid w:val="00355629"/>
    <w:rPr>
      <w:color w:val="800080"/>
      <w:u w:val="single"/>
    </w:rPr>
  </w:style>
  <w:style w:type="paragraph" w:customStyle="1" w:styleId="naisc">
    <w:name w:val="naisc"/>
    <w:basedOn w:val="Normal"/>
    <w:uiPriority w:val="99"/>
    <w:rsid w:val="00683D14"/>
    <w:pPr>
      <w:spacing w:before="75" w:after="75" w:line="240" w:lineRule="auto"/>
      <w:jc w:val="center"/>
    </w:pPr>
    <w:rPr>
      <w:rFonts w:ascii="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lang w:eastAsia="lv-LV"/>
    </w:rPr>
  </w:style>
  <w:style w:type="paragraph" w:styleId="EnvelopeReturn">
    <w:name w:val="envelope return"/>
    <w:basedOn w:val="Normal"/>
    <w:uiPriority w:val="99"/>
    <w:unhideWhenUsed/>
    <w:rsid w:val="00F3027A"/>
    <w:pPr>
      <w:keepLines/>
      <w:widowControl w:val="0"/>
      <w:spacing w:before="600" w:after="0" w:line="240" w:lineRule="auto"/>
    </w:pPr>
    <w:rPr>
      <w:rFonts w:ascii="Times New Roman" w:hAnsi="Times New Roman"/>
      <w:sz w:val="26"/>
      <w:szCs w:val="20"/>
      <w:lang w:val="en-AU"/>
    </w:rPr>
  </w:style>
  <w:style w:type="character" w:styleId="CommentReference">
    <w:name w:val="annotation reference"/>
    <w:basedOn w:val="DefaultParagraphFont"/>
    <w:uiPriority w:val="99"/>
    <w:semiHidden/>
    <w:unhideWhenUsed/>
    <w:rsid w:val="002C2267"/>
    <w:rPr>
      <w:sz w:val="16"/>
    </w:rPr>
  </w:style>
  <w:style w:type="paragraph" w:styleId="BodyText">
    <w:name w:val="Body Text"/>
    <w:aliases w:val="Rakstz."/>
    <w:basedOn w:val="Normal"/>
    <w:link w:val="BodyTextChar"/>
    <w:uiPriority w:val="99"/>
    <w:rsid w:val="00342867"/>
    <w:pPr>
      <w:spacing w:after="120" w:line="240" w:lineRule="auto"/>
    </w:pPr>
    <w:rPr>
      <w:rFonts w:ascii="Times New Roman" w:hAnsi="Times New Roman"/>
      <w:sz w:val="24"/>
      <w:szCs w:val="24"/>
    </w:rPr>
  </w:style>
  <w:style w:type="character" w:customStyle="1" w:styleId="BodyTextChar">
    <w:name w:val="Body Text Char"/>
    <w:aliases w:val="Rakstz. Char"/>
    <w:basedOn w:val="DefaultParagraphFont"/>
    <w:link w:val="BodyText"/>
    <w:uiPriority w:val="99"/>
    <w:locked/>
    <w:rsid w:val="00342867"/>
    <w:rPr>
      <w:rFonts w:ascii="Times New Roman" w:hAnsi="Times New Roman"/>
      <w:sz w:val="24"/>
      <w:lang w:val="x-none"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hAnsi="Arial"/>
      <w:vanish/>
      <w:sz w:val="16"/>
      <w:szCs w:val="16"/>
      <w:lang w:eastAsia="lv-LV"/>
    </w:rPr>
  </w:style>
  <w:style w:type="character" w:customStyle="1" w:styleId="z-BottomofFormChar">
    <w:name w:val="z-Bottom of Form Char"/>
    <w:basedOn w:val="DefaultParagraphFont"/>
    <w:link w:val="z-BottomofForm"/>
    <w:uiPriority w:val="99"/>
    <w:locked/>
    <w:rsid w:val="000504F6"/>
    <w:rPr>
      <w:rFonts w:ascii="Arial" w:hAnsi="Arial"/>
      <w:vanish/>
      <w:sz w:val="16"/>
    </w:rPr>
  </w:style>
  <w:style w:type="paragraph" w:customStyle="1" w:styleId="naisnod">
    <w:name w:val="naisnod"/>
    <w:basedOn w:val="Normal"/>
    <w:rsid w:val="000D16A5"/>
    <w:pPr>
      <w:spacing w:before="150" w:after="150" w:line="240" w:lineRule="auto"/>
      <w:jc w:val="center"/>
    </w:pPr>
    <w:rPr>
      <w:rFonts w:ascii="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locked/>
    <w:rsid w:val="00CE44D6"/>
    <w:rPr>
      <w:rFonts w:ascii="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link w:val="naisf"/>
    <w:locked/>
    <w:rsid w:val="006067E8"/>
    <w:rPr>
      <w:rFonts w:ascii="Times New Roman" w:hAnsi="Times New Roman"/>
      <w:sz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hAnsi="Arial" w:cs="Arial"/>
      <w:color w:val="333333"/>
      <w:sz w:val="24"/>
      <w:szCs w:val="24"/>
      <w:lang w:eastAsia="lv-LV"/>
    </w:rPr>
  </w:style>
  <w:style w:type="character" w:customStyle="1" w:styleId="spelle">
    <w:name w:val="spelle"/>
    <w:basedOn w:val="DefaultParagraphFont"/>
    <w:rsid w:val="00721B0B"/>
    <w:rPr>
      <w:rFonts w:cs="Times New Roman"/>
    </w:rPr>
  </w:style>
  <w:style w:type="paragraph" w:customStyle="1" w:styleId="tvhtml">
    <w:name w:val="tv_html"/>
    <w:basedOn w:val="Normal"/>
    <w:rsid w:val="00D16AD9"/>
    <w:pPr>
      <w:spacing w:before="100" w:beforeAutospacing="1" w:after="100" w:afterAutospacing="1" w:line="240" w:lineRule="auto"/>
    </w:pPr>
    <w:rPr>
      <w:rFonts w:ascii="Verdana" w:hAnsi="Verdana"/>
      <w:sz w:val="16"/>
      <w:szCs w:val="16"/>
      <w:lang w:eastAsia="lv-LV"/>
    </w:rPr>
  </w:style>
  <w:style w:type="paragraph" w:customStyle="1" w:styleId="tvhtml1">
    <w:name w:val="tv_html1"/>
    <w:basedOn w:val="Normal"/>
    <w:rsid w:val="00122ED0"/>
    <w:pPr>
      <w:spacing w:before="100" w:beforeAutospacing="1" w:after="0" w:line="360" w:lineRule="auto"/>
    </w:pPr>
    <w:rPr>
      <w:rFonts w:ascii="Verdana" w:hAnsi="Verdana"/>
      <w:sz w:val="18"/>
      <w:szCs w:val="18"/>
      <w:lang w:eastAsia="lv-LV"/>
    </w:rPr>
  </w:style>
  <w:style w:type="paragraph" w:styleId="Subtitle">
    <w:name w:val="Subtitle"/>
    <w:basedOn w:val="Normal"/>
    <w:next w:val="Normal"/>
    <w:link w:val="SubtitleChar"/>
    <w:uiPriority w:val="11"/>
    <w:qFormat/>
    <w:rsid w:val="00854ADE"/>
    <w:pPr>
      <w:keepNext/>
      <w:keepLines/>
      <w:widowControl w:val="0"/>
      <w:suppressAutoHyphens/>
      <w:spacing w:before="600" w:after="600" w:line="240" w:lineRule="auto"/>
      <w:ind w:right="4820"/>
    </w:pPr>
    <w:rPr>
      <w:rFonts w:ascii="Times New Roman" w:hAnsi="Times New Roman"/>
      <w:b/>
      <w:sz w:val="26"/>
      <w:szCs w:val="20"/>
      <w:lang w:val="en-AU"/>
    </w:rPr>
  </w:style>
  <w:style w:type="character" w:customStyle="1" w:styleId="SubtitleChar">
    <w:name w:val="Subtitle Char"/>
    <w:basedOn w:val="DefaultParagraphFont"/>
    <w:link w:val="Subtitle"/>
    <w:uiPriority w:val="11"/>
    <w:locked/>
    <w:rsid w:val="00854ADE"/>
    <w:rPr>
      <w:rFonts w:ascii="Times New Roman" w:hAnsi="Times New Roman"/>
      <w:b/>
      <w:sz w:val="26"/>
      <w:lang w:val="en-AU" w:eastAsia="en-US"/>
    </w:rPr>
  </w:style>
  <w:style w:type="paragraph" w:customStyle="1" w:styleId="Style8">
    <w:name w:val="Style8"/>
    <w:basedOn w:val="Normal"/>
    <w:uiPriority w:val="99"/>
    <w:rsid w:val="00007FDB"/>
    <w:pPr>
      <w:widowControl w:val="0"/>
      <w:autoSpaceDE w:val="0"/>
      <w:autoSpaceDN w:val="0"/>
      <w:adjustRightInd w:val="0"/>
      <w:spacing w:after="0" w:line="274" w:lineRule="exact"/>
      <w:ind w:hanging="350"/>
    </w:pPr>
    <w:rPr>
      <w:rFonts w:ascii="Impact" w:hAnsi="Impact"/>
      <w:sz w:val="24"/>
      <w:szCs w:val="24"/>
      <w:lang w:eastAsia="lv-LV"/>
    </w:rPr>
  </w:style>
  <w:style w:type="paragraph" w:customStyle="1" w:styleId="default0">
    <w:name w:val="default"/>
    <w:basedOn w:val="Normal"/>
    <w:rsid w:val="00B7041A"/>
    <w:pPr>
      <w:spacing w:before="100" w:beforeAutospacing="1" w:after="100" w:afterAutospacing="1" w:line="240" w:lineRule="auto"/>
    </w:pPr>
    <w:rPr>
      <w:rFonts w:ascii="Times New Roman" w:hAnsi="Times New Roman"/>
      <w:color w:val="000000"/>
      <w:sz w:val="24"/>
      <w:szCs w:val="24"/>
      <w:lang w:eastAsia="lv-LV"/>
    </w:rPr>
  </w:style>
  <w:style w:type="table" w:styleId="TableGrid">
    <w:name w:val="Table Grid"/>
    <w:basedOn w:val="TableNormal"/>
    <w:uiPriority w:val="59"/>
    <w:rsid w:val="00F6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1E70"/>
    <w:rPr>
      <w:sz w:val="22"/>
      <w:szCs w:val="22"/>
      <w:lang w:eastAsia="en-US"/>
    </w:rPr>
  </w:style>
  <w:style w:type="paragraph" w:customStyle="1" w:styleId="tv2071366801">
    <w:name w:val="tv207_136_6801"/>
    <w:basedOn w:val="Normal"/>
    <w:rsid w:val="00F341CB"/>
    <w:pPr>
      <w:spacing w:after="567" w:line="360" w:lineRule="auto"/>
      <w:jc w:val="center"/>
    </w:pPr>
    <w:rPr>
      <w:rFonts w:ascii="Verdana" w:hAnsi="Verdana"/>
      <w:b/>
      <w:bCs/>
      <w:sz w:val="28"/>
      <w:szCs w:val="28"/>
      <w:lang w:eastAsia="lv-LV"/>
    </w:rPr>
  </w:style>
  <w:style w:type="paragraph" w:customStyle="1" w:styleId="RakstzRakstzRakstzRakstz">
    <w:name w:val="Rakstz. Rakstz. Rakstz. Rakstz."/>
    <w:basedOn w:val="Normal"/>
    <w:rsid w:val="00CD5EE7"/>
    <w:pPr>
      <w:spacing w:before="40" w:after="0" w:line="240" w:lineRule="auto"/>
    </w:pPr>
    <w:rPr>
      <w:rFonts w:ascii="Times New Roman" w:hAnsi="Times New Roman"/>
      <w:sz w:val="28"/>
      <w:szCs w:val="20"/>
    </w:rPr>
  </w:style>
  <w:style w:type="paragraph" w:styleId="BodyTextIndent">
    <w:name w:val="Body Text Indent"/>
    <w:basedOn w:val="Normal"/>
    <w:link w:val="BodyTextIndentChar"/>
    <w:uiPriority w:val="99"/>
    <w:semiHidden/>
    <w:unhideWhenUsed/>
    <w:rsid w:val="00E760A2"/>
    <w:pPr>
      <w:spacing w:after="120"/>
      <w:ind w:left="283"/>
    </w:pPr>
  </w:style>
  <w:style w:type="character" w:customStyle="1" w:styleId="BodyTextIndentChar">
    <w:name w:val="Body Text Indent Char"/>
    <w:basedOn w:val="DefaultParagraphFont"/>
    <w:link w:val="BodyTextIndent"/>
    <w:uiPriority w:val="99"/>
    <w:semiHidden/>
    <w:rsid w:val="00E760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8588">
      <w:bodyDiv w:val="1"/>
      <w:marLeft w:val="0"/>
      <w:marRight w:val="0"/>
      <w:marTop w:val="0"/>
      <w:marBottom w:val="0"/>
      <w:divBdr>
        <w:top w:val="none" w:sz="0" w:space="0" w:color="auto"/>
        <w:left w:val="none" w:sz="0" w:space="0" w:color="auto"/>
        <w:bottom w:val="none" w:sz="0" w:space="0" w:color="auto"/>
        <w:right w:val="none" w:sz="0" w:space="0" w:color="auto"/>
      </w:divBdr>
    </w:div>
    <w:div w:id="577788529">
      <w:bodyDiv w:val="1"/>
      <w:marLeft w:val="0"/>
      <w:marRight w:val="0"/>
      <w:marTop w:val="0"/>
      <w:marBottom w:val="0"/>
      <w:divBdr>
        <w:top w:val="none" w:sz="0" w:space="0" w:color="auto"/>
        <w:left w:val="none" w:sz="0" w:space="0" w:color="auto"/>
        <w:bottom w:val="none" w:sz="0" w:space="0" w:color="auto"/>
        <w:right w:val="none" w:sz="0" w:space="0" w:color="auto"/>
      </w:divBdr>
    </w:div>
    <w:div w:id="1036587514">
      <w:marLeft w:val="0"/>
      <w:marRight w:val="0"/>
      <w:marTop w:val="0"/>
      <w:marBottom w:val="0"/>
      <w:divBdr>
        <w:top w:val="none" w:sz="0" w:space="0" w:color="auto"/>
        <w:left w:val="none" w:sz="0" w:space="0" w:color="auto"/>
        <w:bottom w:val="none" w:sz="0" w:space="0" w:color="auto"/>
        <w:right w:val="none" w:sz="0" w:space="0" w:color="auto"/>
      </w:divBdr>
    </w:div>
    <w:div w:id="1036587515">
      <w:marLeft w:val="0"/>
      <w:marRight w:val="0"/>
      <w:marTop w:val="0"/>
      <w:marBottom w:val="0"/>
      <w:divBdr>
        <w:top w:val="none" w:sz="0" w:space="0" w:color="auto"/>
        <w:left w:val="none" w:sz="0" w:space="0" w:color="auto"/>
        <w:bottom w:val="none" w:sz="0" w:space="0" w:color="auto"/>
        <w:right w:val="none" w:sz="0" w:space="0" w:color="auto"/>
      </w:divBdr>
    </w:div>
    <w:div w:id="1036587516">
      <w:marLeft w:val="0"/>
      <w:marRight w:val="0"/>
      <w:marTop w:val="0"/>
      <w:marBottom w:val="0"/>
      <w:divBdr>
        <w:top w:val="none" w:sz="0" w:space="0" w:color="auto"/>
        <w:left w:val="none" w:sz="0" w:space="0" w:color="auto"/>
        <w:bottom w:val="none" w:sz="0" w:space="0" w:color="auto"/>
        <w:right w:val="none" w:sz="0" w:space="0" w:color="auto"/>
      </w:divBdr>
    </w:div>
    <w:div w:id="1036587518">
      <w:marLeft w:val="0"/>
      <w:marRight w:val="0"/>
      <w:marTop w:val="0"/>
      <w:marBottom w:val="0"/>
      <w:divBdr>
        <w:top w:val="none" w:sz="0" w:space="0" w:color="auto"/>
        <w:left w:val="none" w:sz="0" w:space="0" w:color="auto"/>
        <w:bottom w:val="none" w:sz="0" w:space="0" w:color="auto"/>
        <w:right w:val="none" w:sz="0" w:space="0" w:color="auto"/>
      </w:divBdr>
    </w:div>
    <w:div w:id="1036587519">
      <w:marLeft w:val="0"/>
      <w:marRight w:val="0"/>
      <w:marTop w:val="0"/>
      <w:marBottom w:val="0"/>
      <w:divBdr>
        <w:top w:val="none" w:sz="0" w:space="0" w:color="auto"/>
        <w:left w:val="none" w:sz="0" w:space="0" w:color="auto"/>
        <w:bottom w:val="none" w:sz="0" w:space="0" w:color="auto"/>
        <w:right w:val="none" w:sz="0" w:space="0" w:color="auto"/>
      </w:divBdr>
    </w:div>
    <w:div w:id="1036587520">
      <w:marLeft w:val="0"/>
      <w:marRight w:val="0"/>
      <w:marTop w:val="0"/>
      <w:marBottom w:val="0"/>
      <w:divBdr>
        <w:top w:val="none" w:sz="0" w:space="0" w:color="auto"/>
        <w:left w:val="none" w:sz="0" w:space="0" w:color="auto"/>
        <w:bottom w:val="none" w:sz="0" w:space="0" w:color="auto"/>
        <w:right w:val="none" w:sz="0" w:space="0" w:color="auto"/>
      </w:divBdr>
    </w:div>
    <w:div w:id="1036587521">
      <w:marLeft w:val="0"/>
      <w:marRight w:val="0"/>
      <w:marTop w:val="0"/>
      <w:marBottom w:val="0"/>
      <w:divBdr>
        <w:top w:val="none" w:sz="0" w:space="0" w:color="auto"/>
        <w:left w:val="none" w:sz="0" w:space="0" w:color="auto"/>
        <w:bottom w:val="none" w:sz="0" w:space="0" w:color="auto"/>
        <w:right w:val="none" w:sz="0" w:space="0" w:color="auto"/>
      </w:divBdr>
    </w:div>
    <w:div w:id="1036587522">
      <w:marLeft w:val="0"/>
      <w:marRight w:val="0"/>
      <w:marTop w:val="0"/>
      <w:marBottom w:val="0"/>
      <w:divBdr>
        <w:top w:val="none" w:sz="0" w:space="0" w:color="auto"/>
        <w:left w:val="none" w:sz="0" w:space="0" w:color="auto"/>
        <w:bottom w:val="none" w:sz="0" w:space="0" w:color="auto"/>
        <w:right w:val="none" w:sz="0" w:space="0" w:color="auto"/>
      </w:divBdr>
    </w:div>
    <w:div w:id="1036587523">
      <w:marLeft w:val="0"/>
      <w:marRight w:val="0"/>
      <w:marTop w:val="0"/>
      <w:marBottom w:val="0"/>
      <w:divBdr>
        <w:top w:val="none" w:sz="0" w:space="0" w:color="auto"/>
        <w:left w:val="none" w:sz="0" w:space="0" w:color="auto"/>
        <w:bottom w:val="none" w:sz="0" w:space="0" w:color="auto"/>
        <w:right w:val="none" w:sz="0" w:space="0" w:color="auto"/>
      </w:divBdr>
    </w:div>
    <w:div w:id="1036587524">
      <w:marLeft w:val="0"/>
      <w:marRight w:val="0"/>
      <w:marTop w:val="0"/>
      <w:marBottom w:val="0"/>
      <w:divBdr>
        <w:top w:val="none" w:sz="0" w:space="0" w:color="auto"/>
        <w:left w:val="none" w:sz="0" w:space="0" w:color="auto"/>
        <w:bottom w:val="none" w:sz="0" w:space="0" w:color="auto"/>
        <w:right w:val="none" w:sz="0" w:space="0" w:color="auto"/>
      </w:divBdr>
    </w:div>
    <w:div w:id="1036587525">
      <w:marLeft w:val="0"/>
      <w:marRight w:val="0"/>
      <w:marTop w:val="0"/>
      <w:marBottom w:val="0"/>
      <w:divBdr>
        <w:top w:val="none" w:sz="0" w:space="0" w:color="auto"/>
        <w:left w:val="none" w:sz="0" w:space="0" w:color="auto"/>
        <w:bottom w:val="none" w:sz="0" w:space="0" w:color="auto"/>
        <w:right w:val="none" w:sz="0" w:space="0" w:color="auto"/>
      </w:divBdr>
    </w:div>
    <w:div w:id="1036587526">
      <w:marLeft w:val="0"/>
      <w:marRight w:val="0"/>
      <w:marTop w:val="0"/>
      <w:marBottom w:val="0"/>
      <w:divBdr>
        <w:top w:val="none" w:sz="0" w:space="0" w:color="auto"/>
        <w:left w:val="none" w:sz="0" w:space="0" w:color="auto"/>
        <w:bottom w:val="none" w:sz="0" w:space="0" w:color="auto"/>
        <w:right w:val="none" w:sz="0" w:space="0" w:color="auto"/>
      </w:divBdr>
    </w:div>
    <w:div w:id="1036587527">
      <w:marLeft w:val="0"/>
      <w:marRight w:val="0"/>
      <w:marTop w:val="0"/>
      <w:marBottom w:val="0"/>
      <w:divBdr>
        <w:top w:val="none" w:sz="0" w:space="0" w:color="auto"/>
        <w:left w:val="none" w:sz="0" w:space="0" w:color="auto"/>
        <w:bottom w:val="none" w:sz="0" w:space="0" w:color="auto"/>
        <w:right w:val="none" w:sz="0" w:space="0" w:color="auto"/>
      </w:divBdr>
    </w:div>
    <w:div w:id="1036587529">
      <w:marLeft w:val="0"/>
      <w:marRight w:val="0"/>
      <w:marTop w:val="0"/>
      <w:marBottom w:val="0"/>
      <w:divBdr>
        <w:top w:val="none" w:sz="0" w:space="0" w:color="auto"/>
        <w:left w:val="none" w:sz="0" w:space="0" w:color="auto"/>
        <w:bottom w:val="none" w:sz="0" w:space="0" w:color="auto"/>
        <w:right w:val="none" w:sz="0" w:space="0" w:color="auto"/>
      </w:divBdr>
    </w:div>
    <w:div w:id="1036587530">
      <w:marLeft w:val="0"/>
      <w:marRight w:val="0"/>
      <w:marTop w:val="0"/>
      <w:marBottom w:val="0"/>
      <w:divBdr>
        <w:top w:val="none" w:sz="0" w:space="0" w:color="auto"/>
        <w:left w:val="none" w:sz="0" w:space="0" w:color="auto"/>
        <w:bottom w:val="none" w:sz="0" w:space="0" w:color="auto"/>
        <w:right w:val="none" w:sz="0" w:space="0" w:color="auto"/>
      </w:divBdr>
      <w:divsChild>
        <w:div w:id="1036587540">
          <w:marLeft w:val="0"/>
          <w:marRight w:val="0"/>
          <w:marTop w:val="0"/>
          <w:marBottom w:val="0"/>
          <w:divBdr>
            <w:top w:val="none" w:sz="0" w:space="0" w:color="auto"/>
            <w:left w:val="none" w:sz="0" w:space="0" w:color="auto"/>
            <w:bottom w:val="none" w:sz="0" w:space="0" w:color="auto"/>
            <w:right w:val="none" w:sz="0" w:space="0" w:color="auto"/>
          </w:divBdr>
          <w:divsChild>
            <w:div w:id="10365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531">
      <w:marLeft w:val="0"/>
      <w:marRight w:val="0"/>
      <w:marTop w:val="0"/>
      <w:marBottom w:val="0"/>
      <w:divBdr>
        <w:top w:val="none" w:sz="0" w:space="0" w:color="auto"/>
        <w:left w:val="none" w:sz="0" w:space="0" w:color="auto"/>
        <w:bottom w:val="none" w:sz="0" w:space="0" w:color="auto"/>
        <w:right w:val="none" w:sz="0" w:space="0" w:color="auto"/>
      </w:divBdr>
    </w:div>
    <w:div w:id="1036587532">
      <w:marLeft w:val="0"/>
      <w:marRight w:val="0"/>
      <w:marTop w:val="0"/>
      <w:marBottom w:val="0"/>
      <w:divBdr>
        <w:top w:val="none" w:sz="0" w:space="0" w:color="auto"/>
        <w:left w:val="none" w:sz="0" w:space="0" w:color="auto"/>
        <w:bottom w:val="none" w:sz="0" w:space="0" w:color="auto"/>
        <w:right w:val="none" w:sz="0" w:space="0" w:color="auto"/>
      </w:divBdr>
    </w:div>
    <w:div w:id="1036587534">
      <w:marLeft w:val="0"/>
      <w:marRight w:val="0"/>
      <w:marTop w:val="0"/>
      <w:marBottom w:val="0"/>
      <w:divBdr>
        <w:top w:val="none" w:sz="0" w:space="0" w:color="auto"/>
        <w:left w:val="none" w:sz="0" w:space="0" w:color="auto"/>
        <w:bottom w:val="none" w:sz="0" w:space="0" w:color="auto"/>
        <w:right w:val="none" w:sz="0" w:space="0" w:color="auto"/>
      </w:divBdr>
    </w:div>
    <w:div w:id="1036587535">
      <w:marLeft w:val="0"/>
      <w:marRight w:val="0"/>
      <w:marTop w:val="0"/>
      <w:marBottom w:val="0"/>
      <w:divBdr>
        <w:top w:val="none" w:sz="0" w:space="0" w:color="auto"/>
        <w:left w:val="none" w:sz="0" w:space="0" w:color="auto"/>
        <w:bottom w:val="none" w:sz="0" w:space="0" w:color="auto"/>
        <w:right w:val="none" w:sz="0" w:space="0" w:color="auto"/>
      </w:divBdr>
    </w:div>
    <w:div w:id="1036587536">
      <w:marLeft w:val="0"/>
      <w:marRight w:val="0"/>
      <w:marTop w:val="0"/>
      <w:marBottom w:val="0"/>
      <w:divBdr>
        <w:top w:val="none" w:sz="0" w:space="0" w:color="auto"/>
        <w:left w:val="none" w:sz="0" w:space="0" w:color="auto"/>
        <w:bottom w:val="none" w:sz="0" w:space="0" w:color="auto"/>
        <w:right w:val="none" w:sz="0" w:space="0" w:color="auto"/>
      </w:divBdr>
    </w:div>
    <w:div w:id="1036587538">
      <w:marLeft w:val="0"/>
      <w:marRight w:val="0"/>
      <w:marTop w:val="0"/>
      <w:marBottom w:val="0"/>
      <w:divBdr>
        <w:top w:val="none" w:sz="0" w:space="0" w:color="auto"/>
        <w:left w:val="none" w:sz="0" w:space="0" w:color="auto"/>
        <w:bottom w:val="none" w:sz="0" w:space="0" w:color="auto"/>
        <w:right w:val="none" w:sz="0" w:space="0" w:color="auto"/>
      </w:divBdr>
    </w:div>
    <w:div w:id="1036587539">
      <w:marLeft w:val="0"/>
      <w:marRight w:val="0"/>
      <w:marTop w:val="0"/>
      <w:marBottom w:val="0"/>
      <w:divBdr>
        <w:top w:val="none" w:sz="0" w:space="0" w:color="auto"/>
        <w:left w:val="none" w:sz="0" w:space="0" w:color="auto"/>
        <w:bottom w:val="none" w:sz="0" w:space="0" w:color="auto"/>
        <w:right w:val="none" w:sz="0" w:space="0" w:color="auto"/>
      </w:divBdr>
    </w:div>
    <w:div w:id="1036587543">
      <w:marLeft w:val="0"/>
      <w:marRight w:val="0"/>
      <w:marTop w:val="0"/>
      <w:marBottom w:val="0"/>
      <w:divBdr>
        <w:top w:val="none" w:sz="0" w:space="0" w:color="auto"/>
        <w:left w:val="none" w:sz="0" w:space="0" w:color="auto"/>
        <w:bottom w:val="none" w:sz="0" w:space="0" w:color="auto"/>
        <w:right w:val="none" w:sz="0" w:space="0" w:color="auto"/>
      </w:divBdr>
    </w:div>
    <w:div w:id="1036587544">
      <w:marLeft w:val="0"/>
      <w:marRight w:val="0"/>
      <w:marTop w:val="0"/>
      <w:marBottom w:val="0"/>
      <w:divBdr>
        <w:top w:val="none" w:sz="0" w:space="0" w:color="auto"/>
        <w:left w:val="none" w:sz="0" w:space="0" w:color="auto"/>
        <w:bottom w:val="none" w:sz="0" w:space="0" w:color="auto"/>
        <w:right w:val="none" w:sz="0" w:space="0" w:color="auto"/>
      </w:divBdr>
    </w:div>
    <w:div w:id="1036587545">
      <w:marLeft w:val="0"/>
      <w:marRight w:val="0"/>
      <w:marTop w:val="0"/>
      <w:marBottom w:val="0"/>
      <w:divBdr>
        <w:top w:val="none" w:sz="0" w:space="0" w:color="auto"/>
        <w:left w:val="none" w:sz="0" w:space="0" w:color="auto"/>
        <w:bottom w:val="none" w:sz="0" w:space="0" w:color="auto"/>
        <w:right w:val="none" w:sz="0" w:space="0" w:color="auto"/>
      </w:divBdr>
    </w:div>
    <w:div w:id="1036587546">
      <w:marLeft w:val="0"/>
      <w:marRight w:val="0"/>
      <w:marTop w:val="0"/>
      <w:marBottom w:val="0"/>
      <w:divBdr>
        <w:top w:val="none" w:sz="0" w:space="0" w:color="auto"/>
        <w:left w:val="none" w:sz="0" w:space="0" w:color="auto"/>
        <w:bottom w:val="none" w:sz="0" w:space="0" w:color="auto"/>
        <w:right w:val="none" w:sz="0" w:space="0" w:color="auto"/>
      </w:divBdr>
    </w:div>
    <w:div w:id="1036587547">
      <w:marLeft w:val="0"/>
      <w:marRight w:val="0"/>
      <w:marTop w:val="0"/>
      <w:marBottom w:val="0"/>
      <w:divBdr>
        <w:top w:val="none" w:sz="0" w:space="0" w:color="auto"/>
        <w:left w:val="none" w:sz="0" w:space="0" w:color="auto"/>
        <w:bottom w:val="none" w:sz="0" w:space="0" w:color="auto"/>
        <w:right w:val="none" w:sz="0" w:space="0" w:color="auto"/>
      </w:divBdr>
    </w:div>
    <w:div w:id="1036587548">
      <w:marLeft w:val="0"/>
      <w:marRight w:val="0"/>
      <w:marTop w:val="0"/>
      <w:marBottom w:val="0"/>
      <w:divBdr>
        <w:top w:val="none" w:sz="0" w:space="0" w:color="auto"/>
        <w:left w:val="none" w:sz="0" w:space="0" w:color="auto"/>
        <w:bottom w:val="none" w:sz="0" w:space="0" w:color="auto"/>
        <w:right w:val="none" w:sz="0" w:space="0" w:color="auto"/>
      </w:divBdr>
    </w:div>
    <w:div w:id="1036587549">
      <w:marLeft w:val="0"/>
      <w:marRight w:val="0"/>
      <w:marTop w:val="0"/>
      <w:marBottom w:val="0"/>
      <w:divBdr>
        <w:top w:val="none" w:sz="0" w:space="0" w:color="auto"/>
        <w:left w:val="none" w:sz="0" w:space="0" w:color="auto"/>
        <w:bottom w:val="none" w:sz="0" w:space="0" w:color="auto"/>
        <w:right w:val="none" w:sz="0" w:space="0" w:color="auto"/>
      </w:divBdr>
    </w:div>
    <w:div w:id="1036587550">
      <w:marLeft w:val="41"/>
      <w:marRight w:val="41"/>
      <w:marTop w:val="82"/>
      <w:marBottom w:val="82"/>
      <w:divBdr>
        <w:top w:val="none" w:sz="0" w:space="0" w:color="auto"/>
        <w:left w:val="none" w:sz="0" w:space="0" w:color="auto"/>
        <w:bottom w:val="none" w:sz="0" w:space="0" w:color="auto"/>
        <w:right w:val="none" w:sz="0" w:space="0" w:color="auto"/>
      </w:divBdr>
      <w:divsChild>
        <w:div w:id="1036587517">
          <w:marLeft w:val="0"/>
          <w:marRight w:val="0"/>
          <w:marTop w:val="240"/>
          <w:marBottom w:val="0"/>
          <w:divBdr>
            <w:top w:val="none" w:sz="0" w:space="0" w:color="auto"/>
            <w:left w:val="none" w:sz="0" w:space="0" w:color="auto"/>
            <w:bottom w:val="none" w:sz="0" w:space="0" w:color="auto"/>
            <w:right w:val="none" w:sz="0" w:space="0" w:color="auto"/>
          </w:divBdr>
        </w:div>
      </w:divsChild>
    </w:div>
    <w:div w:id="1036587551">
      <w:marLeft w:val="0"/>
      <w:marRight w:val="0"/>
      <w:marTop w:val="0"/>
      <w:marBottom w:val="0"/>
      <w:divBdr>
        <w:top w:val="none" w:sz="0" w:space="0" w:color="auto"/>
        <w:left w:val="none" w:sz="0" w:space="0" w:color="auto"/>
        <w:bottom w:val="none" w:sz="0" w:space="0" w:color="auto"/>
        <w:right w:val="none" w:sz="0" w:space="0" w:color="auto"/>
      </w:divBdr>
    </w:div>
    <w:div w:id="1036587552">
      <w:marLeft w:val="0"/>
      <w:marRight w:val="0"/>
      <w:marTop w:val="0"/>
      <w:marBottom w:val="0"/>
      <w:divBdr>
        <w:top w:val="none" w:sz="0" w:space="0" w:color="auto"/>
        <w:left w:val="none" w:sz="0" w:space="0" w:color="auto"/>
        <w:bottom w:val="none" w:sz="0" w:space="0" w:color="auto"/>
        <w:right w:val="none" w:sz="0" w:space="0" w:color="auto"/>
      </w:divBdr>
      <w:divsChild>
        <w:div w:id="1036587557">
          <w:marLeft w:val="0"/>
          <w:marRight w:val="0"/>
          <w:marTop w:val="0"/>
          <w:marBottom w:val="0"/>
          <w:divBdr>
            <w:top w:val="none" w:sz="0" w:space="0" w:color="auto"/>
            <w:left w:val="none" w:sz="0" w:space="0" w:color="auto"/>
            <w:bottom w:val="none" w:sz="0" w:space="0" w:color="auto"/>
            <w:right w:val="none" w:sz="0" w:space="0" w:color="auto"/>
          </w:divBdr>
          <w:divsChild>
            <w:div w:id="10365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553">
      <w:marLeft w:val="0"/>
      <w:marRight w:val="0"/>
      <w:marTop w:val="0"/>
      <w:marBottom w:val="0"/>
      <w:divBdr>
        <w:top w:val="none" w:sz="0" w:space="0" w:color="auto"/>
        <w:left w:val="none" w:sz="0" w:space="0" w:color="auto"/>
        <w:bottom w:val="none" w:sz="0" w:space="0" w:color="auto"/>
        <w:right w:val="none" w:sz="0" w:space="0" w:color="auto"/>
      </w:divBdr>
      <w:divsChild>
        <w:div w:id="1036587542">
          <w:marLeft w:val="994"/>
          <w:marRight w:val="0"/>
          <w:marTop w:val="0"/>
          <w:marBottom w:val="120"/>
          <w:divBdr>
            <w:top w:val="none" w:sz="0" w:space="0" w:color="auto"/>
            <w:left w:val="none" w:sz="0" w:space="0" w:color="auto"/>
            <w:bottom w:val="none" w:sz="0" w:space="0" w:color="auto"/>
            <w:right w:val="none" w:sz="0" w:space="0" w:color="auto"/>
          </w:divBdr>
        </w:div>
      </w:divsChild>
    </w:div>
    <w:div w:id="1036587555">
      <w:marLeft w:val="0"/>
      <w:marRight w:val="0"/>
      <w:marTop w:val="0"/>
      <w:marBottom w:val="0"/>
      <w:divBdr>
        <w:top w:val="none" w:sz="0" w:space="0" w:color="auto"/>
        <w:left w:val="none" w:sz="0" w:space="0" w:color="auto"/>
        <w:bottom w:val="none" w:sz="0" w:space="0" w:color="auto"/>
        <w:right w:val="none" w:sz="0" w:space="0" w:color="auto"/>
      </w:divBdr>
      <w:divsChild>
        <w:div w:id="1036587513">
          <w:marLeft w:val="0"/>
          <w:marRight w:val="0"/>
          <w:marTop w:val="0"/>
          <w:marBottom w:val="0"/>
          <w:divBdr>
            <w:top w:val="none" w:sz="0" w:space="0" w:color="auto"/>
            <w:left w:val="none" w:sz="0" w:space="0" w:color="auto"/>
            <w:bottom w:val="none" w:sz="0" w:space="0" w:color="auto"/>
            <w:right w:val="none" w:sz="0" w:space="0" w:color="auto"/>
          </w:divBdr>
          <w:divsChild>
            <w:div w:id="10365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7556">
      <w:marLeft w:val="0"/>
      <w:marRight w:val="0"/>
      <w:marTop w:val="0"/>
      <w:marBottom w:val="0"/>
      <w:divBdr>
        <w:top w:val="none" w:sz="0" w:space="0" w:color="auto"/>
        <w:left w:val="none" w:sz="0" w:space="0" w:color="auto"/>
        <w:bottom w:val="none" w:sz="0" w:space="0" w:color="auto"/>
        <w:right w:val="none" w:sz="0" w:space="0" w:color="auto"/>
      </w:divBdr>
    </w:div>
    <w:div w:id="1036587558">
      <w:marLeft w:val="0"/>
      <w:marRight w:val="0"/>
      <w:marTop w:val="0"/>
      <w:marBottom w:val="0"/>
      <w:divBdr>
        <w:top w:val="none" w:sz="0" w:space="0" w:color="auto"/>
        <w:left w:val="none" w:sz="0" w:space="0" w:color="auto"/>
        <w:bottom w:val="none" w:sz="0" w:space="0" w:color="auto"/>
        <w:right w:val="none" w:sz="0" w:space="0" w:color="auto"/>
      </w:divBdr>
      <w:divsChild>
        <w:div w:id="1036587554">
          <w:marLeft w:val="0"/>
          <w:marRight w:val="0"/>
          <w:marTop w:val="0"/>
          <w:marBottom w:val="0"/>
          <w:divBdr>
            <w:top w:val="none" w:sz="0" w:space="0" w:color="auto"/>
            <w:left w:val="none" w:sz="0" w:space="0" w:color="auto"/>
            <w:bottom w:val="none" w:sz="0" w:space="0" w:color="auto"/>
            <w:right w:val="none" w:sz="0" w:space="0" w:color="auto"/>
          </w:divBdr>
          <w:divsChild>
            <w:div w:id="10365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0515"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dra.Niedrite@e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unta.Repele@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doc.php?id=260522" TargetMode="External"/><Relationship Id="rId4" Type="http://schemas.openxmlformats.org/officeDocument/2006/relationships/settings" Target="settings.xml"/><Relationship Id="rId9" Type="http://schemas.openxmlformats.org/officeDocument/2006/relationships/hyperlink" Target="http://likumi.lv/doc.php?id=2605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2978</Words>
  <Characters>21061</Characters>
  <Application>Microsoft Office Word</Application>
  <DocSecurity>0</DocSecurity>
  <Lines>619</Lines>
  <Paragraphs>233</Paragraphs>
  <ScaleCrop>false</ScaleCrop>
  <HeadingPairs>
    <vt:vector size="2" baseType="variant">
      <vt:variant>
        <vt:lpstr>Title</vt:lpstr>
      </vt:variant>
      <vt:variant>
        <vt:i4>1</vt:i4>
      </vt:variant>
    </vt:vector>
  </HeadingPairs>
  <TitlesOfParts>
    <vt:vector size="1" baseType="lpstr">
      <vt:lpstr>Anotācija Enlik</vt:lpstr>
    </vt:vector>
  </TitlesOfParts>
  <Company>LR Ekonomikas ministrija</Company>
  <LinksUpToDate>false</LinksUpToDate>
  <CharactersWithSpaces>23806</CharactersWithSpaces>
  <SharedDoc>false</SharedDoc>
  <HLinks>
    <vt:vector size="6" baseType="variant">
      <vt:variant>
        <vt:i4>6750334</vt:i4>
      </vt:variant>
      <vt:variant>
        <vt:i4>0</vt:i4>
      </vt:variant>
      <vt:variant>
        <vt:i4>0</vt:i4>
      </vt:variant>
      <vt:variant>
        <vt:i4>5</vt:i4>
      </vt:variant>
      <vt:variant>
        <vt:lpwstr>http://eur-lex.europa.eu/LexUriServ/LexUriServ.do?uri=COM:2010:0716:FIN:EN:PDF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Enerģētikas likumā” sākotnējās ietekmes novērtējuma ziņojums (anotācija)</dc:title>
  <dc:subject>Likumprojekta anotācija</dc:subject>
  <dc:creator>Gunta.Repele@em.gov.lv;Indra.Niedrite@em.gov.lv</dc:creator>
  <cp:lastModifiedBy>Indra Niedrīte</cp:lastModifiedBy>
  <cp:revision>4</cp:revision>
  <cp:lastPrinted>2013-11-22T07:59:00Z</cp:lastPrinted>
  <dcterms:created xsi:type="dcterms:W3CDTF">2013-11-26T07:41:00Z</dcterms:created>
  <dcterms:modified xsi:type="dcterms:W3CDTF">2013-11-26T07:59:00Z</dcterms:modified>
</cp:coreProperties>
</file>