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01" w:rsidRDefault="000E3B01" w:rsidP="000E3B01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  <w:bookmarkStart w:id="4" w:name="OLE_LINK5"/>
      <w:bookmarkStart w:id="5" w:name="OLE_LINK6"/>
      <w:r>
        <w:rPr>
          <w:b/>
          <w:sz w:val="28"/>
          <w:szCs w:val="28"/>
        </w:rPr>
        <w:t>Likum</w:t>
      </w:r>
      <w:r w:rsidRPr="00E20AE9">
        <w:rPr>
          <w:b/>
          <w:sz w:val="28"/>
          <w:szCs w:val="28"/>
        </w:rPr>
        <w:t xml:space="preserve">projekta </w:t>
      </w:r>
      <w:bookmarkStart w:id="6" w:name="OLE_LINK7"/>
      <w:bookmarkStart w:id="7" w:name="OLE_LINK8"/>
      <w:r w:rsidRPr="00E20AE9">
        <w:rPr>
          <w:b/>
          <w:sz w:val="28"/>
          <w:szCs w:val="28"/>
        </w:rPr>
        <w:t>„</w:t>
      </w:r>
      <w:r w:rsidR="006904BB">
        <w:rPr>
          <w:b/>
          <w:sz w:val="28"/>
          <w:szCs w:val="28"/>
        </w:rPr>
        <w:t>Grozījums</w:t>
      </w:r>
      <w:r w:rsidR="006904BB" w:rsidRPr="00BC30FE">
        <w:rPr>
          <w:b/>
          <w:sz w:val="28"/>
          <w:szCs w:val="28"/>
        </w:rPr>
        <w:t xml:space="preserve"> Latvijas Administratīvo pārkāpumu kodeksā</w:t>
      </w:r>
      <w:r w:rsidRPr="00D16049">
        <w:rPr>
          <w:b/>
          <w:sz w:val="28"/>
          <w:szCs w:val="28"/>
        </w:rPr>
        <w:t>”</w:t>
      </w:r>
      <w:bookmarkEnd w:id="6"/>
      <w:bookmarkEnd w:id="7"/>
      <w:r w:rsidRPr="00E20AE9">
        <w:rPr>
          <w:b/>
          <w:sz w:val="28"/>
          <w:szCs w:val="28"/>
        </w:rPr>
        <w:t xml:space="preserve"> </w:t>
      </w:r>
      <w:bookmarkEnd w:id="0"/>
      <w:bookmarkEnd w:id="1"/>
      <w:r w:rsidRPr="00E20AE9">
        <w:rPr>
          <w:b/>
          <w:sz w:val="28"/>
          <w:szCs w:val="28"/>
        </w:rPr>
        <w:t>sākotnējās ietekmes novērtējuma ziņojums</w:t>
      </w:r>
      <w:bookmarkEnd w:id="2"/>
      <w:bookmarkEnd w:id="3"/>
      <w:r>
        <w:rPr>
          <w:b/>
          <w:sz w:val="28"/>
          <w:szCs w:val="28"/>
        </w:rPr>
        <w:t xml:space="preserve"> </w:t>
      </w:r>
      <w:r w:rsidRPr="00E20AE9">
        <w:rPr>
          <w:b/>
          <w:sz w:val="28"/>
          <w:szCs w:val="28"/>
        </w:rPr>
        <w:t>(anotācija)</w:t>
      </w:r>
      <w:bookmarkEnd w:id="4"/>
      <w:bookmarkEnd w:id="5"/>
    </w:p>
    <w:p w:rsidR="000E3B01" w:rsidRPr="00E20AE9" w:rsidRDefault="000E3B01" w:rsidP="000E3B01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6"/>
        <w:gridCol w:w="1631"/>
        <w:gridCol w:w="7560"/>
      </w:tblGrid>
      <w:tr w:rsidR="000E3B01" w:rsidRPr="006244A9" w:rsidTr="0047549D">
        <w:tc>
          <w:tcPr>
            <w:tcW w:w="9617" w:type="dxa"/>
            <w:gridSpan w:val="3"/>
            <w:vAlign w:val="center"/>
          </w:tcPr>
          <w:p w:rsidR="000E3B01" w:rsidRPr="006244A9" w:rsidRDefault="000E3B01" w:rsidP="0047549D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6244A9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0E3B01" w:rsidRPr="00345CAB" w:rsidTr="0047549D">
        <w:trPr>
          <w:trHeight w:val="630"/>
        </w:trPr>
        <w:tc>
          <w:tcPr>
            <w:tcW w:w="426" w:type="dxa"/>
          </w:tcPr>
          <w:p w:rsidR="000E3B01" w:rsidRPr="00345CAB" w:rsidRDefault="000E3B01" w:rsidP="0047549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1.</w:t>
            </w:r>
          </w:p>
        </w:tc>
        <w:tc>
          <w:tcPr>
            <w:tcW w:w="1631" w:type="dxa"/>
          </w:tcPr>
          <w:p w:rsidR="000E3B01" w:rsidRPr="00345CAB" w:rsidRDefault="000E3B01" w:rsidP="0047549D">
            <w:pPr>
              <w:pStyle w:val="naiskr"/>
              <w:spacing w:before="0" w:after="0"/>
              <w:ind w:hanging="10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Pamatojums</w:t>
            </w:r>
          </w:p>
        </w:tc>
        <w:tc>
          <w:tcPr>
            <w:tcW w:w="7560" w:type="dxa"/>
          </w:tcPr>
          <w:p w:rsidR="000E3B01" w:rsidRPr="00345CAB" w:rsidRDefault="000E3B01" w:rsidP="0047549D">
            <w:pPr>
              <w:pStyle w:val="naiskr"/>
              <w:spacing w:before="0" w:after="0"/>
              <w:ind w:left="70" w:right="114" w:firstLine="425"/>
              <w:jc w:val="both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Likumprojekts izstrādāts, pamatojoties uz 2011.gada 5.septembra Ministru kabineta komitejas sēdes protokola Nr.35 3.§ 2.punktu.</w:t>
            </w:r>
          </w:p>
        </w:tc>
      </w:tr>
      <w:tr w:rsidR="000E3B01" w:rsidRPr="00345CAB" w:rsidTr="0047549D">
        <w:trPr>
          <w:trHeight w:val="472"/>
        </w:trPr>
        <w:tc>
          <w:tcPr>
            <w:tcW w:w="426" w:type="dxa"/>
          </w:tcPr>
          <w:p w:rsidR="000E3B01" w:rsidRPr="00345CAB" w:rsidRDefault="000E3B01" w:rsidP="0047549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2.</w:t>
            </w:r>
          </w:p>
        </w:tc>
        <w:tc>
          <w:tcPr>
            <w:tcW w:w="1631" w:type="dxa"/>
          </w:tcPr>
          <w:p w:rsidR="000E3B01" w:rsidRPr="00345CAB" w:rsidRDefault="000E3B01" w:rsidP="0047549D">
            <w:pPr>
              <w:pStyle w:val="naiskr"/>
              <w:tabs>
                <w:tab w:val="left" w:pos="170"/>
              </w:tabs>
              <w:spacing w:before="0" w:after="0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Pašreizējā situācija un problēmas</w:t>
            </w:r>
          </w:p>
        </w:tc>
        <w:tc>
          <w:tcPr>
            <w:tcW w:w="7560" w:type="dxa"/>
          </w:tcPr>
          <w:p w:rsidR="000E3B01" w:rsidRPr="00345CAB" w:rsidRDefault="000E3B01" w:rsidP="006904BB">
            <w:pPr>
              <w:pStyle w:val="naisf"/>
              <w:spacing w:before="0" w:after="0"/>
              <w:ind w:left="70" w:right="114" w:firstLine="425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 xml:space="preserve"> Eiropas Standartizācijas Komiteja (CEN) 2010. gada 17.novembrī</w:t>
            </w:r>
            <w:r w:rsidR="005B69DA" w:rsidRPr="00345CAB">
              <w:rPr>
                <w:sz w:val="26"/>
                <w:szCs w:val="26"/>
              </w:rPr>
              <w:t xml:space="preserve"> pieņē</w:t>
            </w:r>
            <w:r w:rsidRPr="00345CAB">
              <w:rPr>
                <w:sz w:val="26"/>
                <w:szCs w:val="26"/>
              </w:rPr>
              <w:t>m</w:t>
            </w:r>
            <w:r w:rsidR="006904BB" w:rsidRPr="00345CAB">
              <w:rPr>
                <w:sz w:val="26"/>
                <w:szCs w:val="26"/>
              </w:rPr>
              <w:t>a</w:t>
            </w:r>
            <w:r w:rsidRPr="00345CAB">
              <w:rPr>
                <w:sz w:val="26"/>
                <w:szCs w:val="26"/>
              </w:rPr>
              <w:t xml:space="preserve"> standartu EN 16156 "Cigaretes – Uzliesmošanas riska novērtējums - Drošības prasības" un standartu </w:t>
            </w:r>
            <w:r w:rsidRPr="00345CAB">
              <w:rPr>
                <w:rFonts w:eastAsiaTheme="minorHAnsi"/>
                <w:sz w:val="26"/>
                <w:szCs w:val="26"/>
              </w:rPr>
              <w:t>EN ISO 12863:2010 "</w:t>
            </w:r>
            <w:proofErr w:type="spellStart"/>
            <w:r w:rsidRPr="00345CAB">
              <w:rPr>
                <w:sz w:val="26"/>
                <w:szCs w:val="26"/>
              </w:rPr>
              <w:t>Standarttestēšanas</w:t>
            </w:r>
            <w:proofErr w:type="spellEnd"/>
            <w:r w:rsidRPr="00345CAB">
              <w:rPr>
                <w:sz w:val="26"/>
                <w:szCs w:val="26"/>
              </w:rPr>
              <w:t xml:space="preserve"> metode cigarešu izraisītas aizdegšanās novērtēšanai</w:t>
            </w:r>
            <w:r w:rsidRPr="00345CAB">
              <w:rPr>
                <w:rFonts w:eastAsiaTheme="minorHAnsi"/>
                <w:sz w:val="26"/>
                <w:szCs w:val="26"/>
              </w:rPr>
              <w:t>"</w:t>
            </w:r>
            <w:r w:rsidRPr="00345CAB">
              <w:rPr>
                <w:sz w:val="26"/>
                <w:szCs w:val="26"/>
              </w:rPr>
              <w:t>, kas nosaka prasības par cigarešu degšanas spējas samazināšanu un tās testēšanas metodi. Minētie standarti adaptēti Latvijas nacionālo standartu statusā (attiecīgi LVS EN 16156:2011 un LVS EN ISO 12863:2011) š.g. februārī</w:t>
            </w:r>
            <w:r w:rsidR="006904BB" w:rsidRPr="00345CAB">
              <w:rPr>
                <w:sz w:val="26"/>
                <w:szCs w:val="26"/>
              </w:rPr>
              <w:t xml:space="preserve"> un to mērķis ir ierobežot cigarešu izraisītu ugunsgrēku un tajos cietušo un bojā gājušo skaitu, kā arī materiālos zaudējumus</w:t>
            </w:r>
            <w:r w:rsidRPr="00345CAB">
              <w:rPr>
                <w:sz w:val="26"/>
                <w:szCs w:val="26"/>
              </w:rPr>
              <w:t xml:space="preserve">. </w:t>
            </w:r>
          </w:p>
          <w:p w:rsidR="000E3B01" w:rsidRPr="00345CAB" w:rsidRDefault="000E3B01" w:rsidP="0047549D">
            <w:pPr>
              <w:pStyle w:val="Default"/>
              <w:ind w:left="70" w:right="11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B">
              <w:rPr>
                <w:rFonts w:ascii="Times New Roman" w:hAnsi="Times New Roman" w:cs="Times New Roman"/>
                <w:sz w:val="26"/>
                <w:szCs w:val="26"/>
              </w:rPr>
              <w:t>Eiropas Komisija 2011.gada 8.augustā pieņēma lēmumu Nr. 2011/496/ES „P</w:t>
            </w:r>
            <w:r w:rsidRPr="00345C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ar standarta EN 16156:2010 “Cigaretes. Aizdegšanās iespējas novērtējums. Drošības prasības” un standarta EN ISO 12863:2010 “Cigarešu aizdegšanās iespējas novērtēšanas standarta testa metode” atbilstību Eiropas  Parlamenta un Padomes Direktīvas 2001/95/EK vispārējām drošības prasībām un atsauču uz standartu EN 16156:2010 “Cigaretes. Aizdegšanās iespējas novērtējums. Drošības prasības” un standartu EN ISO 12863:2010 “Cigarešu aizdegšanās iespējas novērtēšanas standarta testa metode” publicēšanu </w:t>
            </w:r>
            <w:r w:rsidRPr="00345CA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Eiropas Savienības Oficiālajā Vēstnesī”</w:t>
            </w:r>
            <w:r w:rsidRPr="00345CAB">
              <w:rPr>
                <w:rStyle w:val="FootnoteReference"/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footnoteReference w:id="1"/>
            </w:r>
            <w:r w:rsidRPr="00345CAB">
              <w:rPr>
                <w:rFonts w:ascii="Times New Roman" w:hAnsi="Times New Roman" w:cs="Times New Roman"/>
                <w:sz w:val="26"/>
                <w:szCs w:val="26"/>
              </w:rPr>
              <w:t>, kas paredz atsauču uz minētajiem standartiem publicēšanu Eiropas Savienības Oficiālajā Vēstnesī 2011.gada 17.novembrī.</w:t>
            </w:r>
          </w:p>
          <w:p w:rsidR="000E3B01" w:rsidRPr="00345CAB" w:rsidRDefault="000E3B01" w:rsidP="0047549D">
            <w:pPr>
              <w:pStyle w:val="naisf"/>
              <w:spacing w:before="0" w:after="0"/>
              <w:ind w:left="70" w:right="114" w:firstLine="425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 xml:space="preserve">Atbilstoši Preču un pakalpojumu drošuma likuma, kurā pārņemtas Direktīvas 2001/95/EK prasības, 5.panta otrās daļas 2.punktam </w:t>
            </w:r>
            <w:r w:rsidRPr="00345CAB">
              <w:rPr>
                <w:i/>
                <w:sz w:val="26"/>
                <w:szCs w:val="26"/>
                <w:u w:val="single"/>
              </w:rPr>
              <w:t>prece atzīstama par drošu, ja tā atbilst nacionālā standarta statusā adaptētiem Eiropas standartiem, kuri iekļauti šā panta trešajā daļā minētajā sarakstā, šo standartu regulēto risku apjomā</w:t>
            </w:r>
            <w:r w:rsidRPr="00345CAB">
              <w:rPr>
                <w:sz w:val="26"/>
                <w:szCs w:val="26"/>
              </w:rPr>
              <w:t xml:space="preserve">. Ņemot vērā minētā likuma 5.panta trešajā daļā noteikto, kad atsauce uz izstrādātajiem standartiem tiks publicēta Eiropas Savienības </w:t>
            </w:r>
            <w:r w:rsidRPr="00345CAB">
              <w:rPr>
                <w:iCs/>
                <w:sz w:val="26"/>
                <w:szCs w:val="26"/>
              </w:rPr>
              <w:t>Oficiālajā Vēstnesī</w:t>
            </w:r>
            <w:r w:rsidRPr="00345CAB">
              <w:rPr>
                <w:i/>
                <w:iCs/>
                <w:sz w:val="26"/>
                <w:szCs w:val="26"/>
              </w:rPr>
              <w:t xml:space="preserve"> </w:t>
            </w:r>
            <w:r w:rsidRPr="00345CAB">
              <w:rPr>
                <w:iCs/>
                <w:sz w:val="26"/>
                <w:szCs w:val="26"/>
              </w:rPr>
              <w:t>un sekojoši</w:t>
            </w:r>
            <w:r w:rsidRPr="00345CAB">
              <w:rPr>
                <w:i/>
                <w:iCs/>
                <w:sz w:val="26"/>
                <w:szCs w:val="26"/>
              </w:rPr>
              <w:t xml:space="preserve"> </w:t>
            </w:r>
            <w:r w:rsidRPr="00345CAB">
              <w:rPr>
                <w:iCs/>
                <w:sz w:val="26"/>
                <w:szCs w:val="26"/>
              </w:rPr>
              <w:t>pār</w:t>
            </w:r>
            <w:r w:rsidRPr="00345CAB">
              <w:rPr>
                <w:sz w:val="26"/>
                <w:szCs w:val="26"/>
              </w:rPr>
              <w:t>publicēta laikrakstā "Latvijas Vēstnesis", cigaretes, kuras ražotas saskaņā ar šiem standartiem, tiks uzskatītas par atbilstošām vispārējām drošuma prasībām, kas noteiktas Preču un pakalpojumu drošuma likumā un Direktīvā 2001/95/EK par produktu vispārēju drošību, attiecībā uz standarta aptvertajām ugunsdrošības prasībām. Minētais regulējums nodrošina standartu prasību „</w:t>
            </w:r>
            <w:proofErr w:type="spellStart"/>
            <w:r w:rsidRPr="00345CAB">
              <w:rPr>
                <w:sz w:val="26"/>
                <w:szCs w:val="26"/>
              </w:rPr>
              <w:t>de</w:t>
            </w:r>
            <w:proofErr w:type="spellEnd"/>
            <w:r w:rsidRPr="00345CAB">
              <w:rPr>
                <w:sz w:val="26"/>
                <w:szCs w:val="26"/>
              </w:rPr>
              <w:t xml:space="preserve"> </w:t>
            </w:r>
            <w:proofErr w:type="spellStart"/>
            <w:r w:rsidRPr="00345CAB">
              <w:rPr>
                <w:sz w:val="26"/>
                <w:szCs w:val="26"/>
              </w:rPr>
              <w:t>facto</w:t>
            </w:r>
            <w:proofErr w:type="spellEnd"/>
            <w:r w:rsidRPr="00345CAB">
              <w:rPr>
                <w:sz w:val="26"/>
                <w:szCs w:val="26"/>
              </w:rPr>
              <w:t>” piemērojamību, neiekļaujot atsauces uz šiem standartiem tiesību aktos.</w:t>
            </w:r>
            <w:r w:rsidRPr="00345CAB">
              <w:rPr>
                <w:bCs/>
                <w:sz w:val="26"/>
                <w:szCs w:val="26"/>
              </w:rPr>
              <w:t xml:space="preserve"> Praksē atsauču uz standartiem iekļaušana likumā nozīmētu šo standartu padarīšanu par obligātiem un attiecīgi palielinātu </w:t>
            </w:r>
            <w:r w:rsidRPr="00345CAB">
              <w:rPr>
                <w:bCs/>
                <w:sz w:val="26"/>
                <w:szCs w:val="26"/>
              </w:rPr>
              <w:lastRenderedPageBreak/>
              <w:t>administratīvo slogu uzņēmējiem, kā arī palielinātu valsts budžeta izdevumus, jo atbilstoši Standartizācijas likuma 14.panta otrajai daļai o</w:t>
            </w:r>
            <w:r w:rsidRPr="00345CAB">
              <w:rPr>
                <w:sz w:val="26"/>
                <w:szCs w:val="26"/>
              </w:rPr>
              <w:t>bligāti piemērojamiem Latvijas nacionālajiem standartiem ir jābūt tulkotiem valsts valodā.</w:t>
            </w:r>
          </w:p>
          <w:p w:rsidR="000E3B01" w:rsidRPr="00345CAB" w:rsidRDefault="000E3B01" w:rsidP="00E461FA">
            <w:pPr>
              <w:pStyle w:val="naisf"/>
              <w:spacing w:before="0" w:after="0"/>
              <w:ind w:left="70" w:right="114" w:firstLine="425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 xml:space="preserve">Ņemot vērā, ka minētie standarti paredz jaunas prasības attiecībā uz cigaretēm, kas visā Eiropas Savienībā būs piemērojamas pēc š.g.17.novembra, </w:t>
            </w:r>
            <w:r w:rsidR="004E62A6" w:rsidRPr="00345CAB">
              <w:rPr>
                <w:sz w:val="26"/>
                <w:szCs w:val="26"/>
              </w:rPr>
              <w:t>ir izstrādāt</w:t>
            </w:r>
            <w:r w:rsidR="00E461FA" w:rsidRPr="00345CAB">
              <w:rPr>
                <w:sz w:val="26"/>
                <w:szCs w:val="26"/>
              </w:rPr>
              <w:t>i</w:t>
            </w:r>
            <w:r w:rsidR="004E62A6" w:rsidRPr="00345CAB">
              <w:rPr>
                <w:sz w:val="26"/>
                <w:szCs w:val="26"/>
              </w:rPr>
              <w:t xml:space="preserve"> grozījumi likumā „</w:t>
            </w:r>
            <w:r w:rsidR="004E62A6" w:rsidRPr="00345CAB">
              <w:rPr>
                <w:bCs/>
                <w:sz w:val="26"/>
                <w:szCs w:val="26"/>
              </w:rPr>
              <w:t>Par tabakas izstrādājumu realizācijas, reklāmas un lietošanas ierobežošanu</w:t>
            </w:r>
            <w:r w:rsidR="004E62A6" w:rsidRPr="00345CAB">
              <w:rPr>
                <w:sz w:val="26"/>
                <w:szCs w:val="26"/>
              </w:rPr>
              <w:t>”,</w:t>
            </w:r>
            <w:r w:rsidRPr="00345CAB">
              <w:rPr>
                <w:sz w:val="26"/>
                <w:szCs w:val="26"/>
              </w:rPr>
              <w:t xml:space="preserve"> no</w:t>
            </w:r>
            <w:r w:rsidR="004E62A6" w:rsidRPr="00345CAB">
              <w:rPr>
                <w:sz w:val="26"/>
                <w:szCs w:val="26"/>
              </w:rPr>
              <w:t>sakot, ka</w:t>
            </w:r>
            <w:r w:rsidRPr="00345CAB">
              <w:rPr>
                <w:sz w:val="26"/>
                <w:szCs w:val="26"/>
              </w:rPr>
              <w:t xml:space="preserve"> atbildīg</w:t>
            </w:r>
            <w:r w:rsidR="004E62A6" w:rsidRPr="00345CAB">
              <w:rPr>
                <w:sz w:val="26"/>
                <w:szCs w:val="26"/>
              </w:rPr>
              <w:t>ā</w:t>
            </w:r>
            <w:r w:rsidRPr="00345CAB">
              <w:rPr>
                <w:sz w:val="26"/>
                <w:szCs w:val="26"/>
              </w:rPr>
              <w:t xml:space="preserve"> iest</w:t>
            </w:r>
            <w:r w:rsidR="004E62A6" w:rsidRPr="00345CAB">
              <w:rPr>
                <w:sz w:val="26"/>
                <w:szCs w:val="26"/>
              </w:rPr>
              <w:t>āde</w:t>
            </w:r>
            <w:r w:rsidRPr="00345CAB">
              <w:rPr>
                <w:sz w:val="26"/>
                <w:szCs w:val="26"/>
              </w:rPr>
              <w:t xml:space="preserve"> šo prasību uzraudzībai</w:t>
            </w:r>
            <w:r w:rsidR="004E62A6" w:rsidRPr="00345CAB">
              <w:rPr>
                <w:sz w:val="26"/>
                <w:szCs w:val="26"/>
              </w:rPr>
              <w:t xml:space="preserve"> ir Valsts ieņēmumu dienests a</w:t>
            </w:r>
            <w:r w:rsidRPr="00345CAB">
              <w:rPr>
                <w:sz w:val="26"/>
                <w:szCs w:val="26"/>
              </w:rPr>
              <w:t>tbilstoši š.g. 5.septembra Ministru kabineta komitejā  (Protokols Nr. , 3.§) atbalstītajam Ekonomikas ministrijas sagatavotajam informatīvajam ziņojumam "Par kompetenču sadalījumu, ieviešot cigarešu samazināta degšanas potenciāla prasības.</w:t>
            </w:r>
            <w:r w:rsidR="004E62A6" w:rsidRPr="00345CAB">
              <w:rPr>
                <w:sz w:val="26"/>
                <w:szCs w:val="26"/>
              </w:rPr>
              <w:t xml:space="preserve"> Lai nodrošinātu šīs funkcijas efektīvu izpildi, nepieciešams papildināt Valsts ieņēmumu dienesta Latvijas Administratīvo pārkāpumu kodeksā (turpmāk tekstā – LAPK) noteiktās pilnvaras izskatīt administratīvo pārkāpumu lietas attiecībā uz pārkāpumiem, kas saistīti ar cigarešu samazinātas degšanas drošuma prasību neievērošanu.</w:t>
            </w:r>
          </w:p>
        </w:tc>
      </w:tr>
      <w:tr w:rsidR="000E3B01" w:rsidRPr="00345CAB" w:rsidTr="0047549D">
        <w:trPr>
          <w:trHeight w:val="530"/>
        </w:trPr>
        <w:tc>
          <w:tcPr>
            <w:tcW w:w="426" w:type="dxa"/>
          </w:tcPr>
          <w:p w:rsidR="000E3B01" w:rsidRPr="00345CAB" w:rsidRDefault="000E3B01" w:rsidP="0047549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631" w:type="dxa"/>
          </w:tcPr>
          <w:p w:rsidR="000E3B01" w:rsidRPr="00345CAB" w:rsidRDefault="000E3B01" w:rsidP="0047549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Saistītie politikas ietekmes novērtējumi un pētījumi</w:t>
            </w:r>
          </w:p>
        </w:tc>
        <w:tc>
          <w:tcPr>
            <w:tcW w:w="7560" w:type="dxa"/>
          </w:tcPr>
          <w:p w:rsidR="000E3B01" w:rsidRPr="00345CAB" w:rsidRDefault="00387434" w:rsidP="00387434">
            <w:pPr>
              <w:pStyle w:val="FootnoteText"/>
              <w:ind w:left="75"/>
              <w:rPr>
                <w:i/>
                <w:sz w:val="26"/>
                <w:szCs w:val="26"/>
              </w:rPr>
            </w:pPr>
            <w:r w:rsidRPr="00345CAB">
              <w:rPr>
                <w:i/>
                <w:color w:val="000000"/>
                <w:sz w:val="26"/>
                <w:szCs w:val="26"/>
              </w:rPr>
              <w:t>Projekts šo jomu neskar.</w:t>
            </w:r>
          </w:p>
        </w:tc>
      </w:tr>
      <w:tr w:rsidR="000E3B01" w:rsidRPr="00345CAB" w:rsidTr="0047549D">
        <w:trPr>
          <w:trHeight w:val="384"/>
        </w:trPr>
        <w:tc>
          <w:tcPr>
            <w:tcW w:w="426" w:type="dxa"/>
          </w:tcPr>
          <w:p w:rsidR="000E3B01" w:rsidRPr="00345CAB" w:rsidRDefault="000E3B01" w:rsidP="0047549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4.</w:t>
            </w:r>
          </w:p>
        </w:tc>
        <w:tc>
          <w:tcPr>
            <w:tcW w:w="1631" w:type="dxa"/>
          </w:tcPr>
          <w:p w:rsidR="000E3B01" w:rsidRPr="00345CAB" w:rsidRDefault="000E3B01" w:rsidP="0047549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Tiesiskā regulējuma mērķis un būtība</w:t>
            </w:r>
          </w:p>
        </w:tc>
        <w:tc>
          <w:tcPr>
            <w:tcW w:w="7560" w:type="dxa"/>
          </w:tcPr>
          <w:p w:rsidR="004E62A6" w:rsidRPr="00345CAB" w:rsidRDefault="000E3B01" w:rsidP="004E62A6">
            <w:pPr>
              <w:ind w:left="75" w:right="114" w:firstLine="495"/>
              <w:jc w:val="both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 xml:space="preserve">Likumprojekts paredz </w:t>
            </w:r>
            <w:r w:rsidR="004E62A6" w:rsidRPr="00345CAB">
              <w:rPr>
                <w:sz w:val="26"/>
                <w:szCs w:val="26"/>
              </w:rPr>
              <w:t>papildināt LAPK 215.</w:t>
            </w:r>
            <w:r w:rsidR="004E62A6" w:rsidRPr="00345CAB">
              <w:rPr>
                <w:sz w:val="26"/>
                <w:szCs w:val="26"/>
                <w:vertAlign w:val="superscript"/>
              </w:rPr>
              <w:t xml:space="preserve">1 </w:t>
            </w:r>
            <w:r w:rsidR="004E62A6" w:rsidRPr="00345CAB">
              <w:rPr>
                <w:sz w:val="26"/>
                <w:szCs w:val="26"/>
              </w:rPr>
              <w:t>panta pirmo daļu ar Valsts ieņēmumu dienesta tiesībām izskatīt LAPK 166.</w:t>
            </w:r>
            <w:r w:rsidR="004E62A6" w:rsidRPr="00345CAB">
              <w:rPr>
                <w:sz w:val="26"/>
                <w:szCs w:val="26"/>
                <w:vertAlign w:val="superscript"/>
              </w:rPr>
              <w:t>9</w:t>
            </w:r>
            <w:r w:rsidR="004E62A6" w:rsidRPr="00345CAB">
              <w:rPr>
                <w:sz w:val="26"/>
                <w:szCs w:val="26"/>
              </w:rPr>
              <w:t xml:space="preserve"> panta trešajā daļā paredzētās administratīvo pārkāpumu lietas attiecībā uz pārkāpumiem, kas saistīti ar cigarešu samazinātas degšanas drošuma prasību neievērošanu. </w:t>
            </w:r>
          </w:p>
          <w:p w:rsidR="000E3B01" w:rsidRPr="00345CAB" w:rsidRDefault="004E62A6" w:rsidP="004E62A6">
            <w:pPr>
              <w:ind w:left="75" w:right="114" w:firstLine="495"/>
              <w:jc w:val="both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LAPK 166.</w:t>
            </w:r>
            <w:r w:rsidRPr="00345CAB">
              <w:rPr>
                <w:sz w:val="26"/>
                <w:szCs w:val="26"/>
                <w:vertAlign w:val="superscript"/>
              </w:rPr>
              <w:t>9</w:t>
            </w:r>
            <w:r w:rsidRPr="00345CAB">
              <w:rPr>
                <w:sz w:val="26"/>
                <w:szCs w:val="26"/>
              </w:rPr>
              <w:t xml:space="preserve"> panta trešā daļa paredz atbildību par normatīvajos aktos noteiktajām drošuma prasībām neatbilstošu preču vai pakalpojumu ievietošanu tirgū, piedāvāšanu vai pārdošanu.</w:t>
            </w:r>
          </w:p>
        </w:tc>
      </w:tr>
      <w:tr w:rsidR="000E3B01" w:rsidRPr="00345CAB" w:rsidTr="0047549D">
        <w:trPr>
          <w:trHeight w:val="476"/>
        </w:trPr>
        <w:tc>
          <w:tcPr>
            <w:tcW w:w="426" w:type="dxa"/>
          </w:tcPr>
          <w:p w:rsidR="000E3B01" w:rsidRPr="00345CAB" w:rsidRDefault="000E3B01" w:rsidP="0047549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5.</w:t>
            </w:r>
          </w:p>
        </w:tc>
        <w:tc>
          <w:tcPr>
            <w:tcW w:w="1631" w:type="dxa"/>
          </w:tcPr>
          <w:p w:rsidR="000E3B01" w:rsidRPr="00345CAB" w:rsidRDefault="000E3B01" w:rsidP="0047549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7560" w:type="dxa"/>
          </w:tcPr>
          <w:p w:rsidR="000E3B01" w:rsidRPr="00345CAB" w:rsidRDefault="000E3B01" w:rsidP="0047549D">
            <w:pPr>
              <w:pStyle w:val="Subtitle"/>
              <w:spacing w:before="0" w:after="0" w:line="240" w:lineRule="auto"/>
              <w:ind w:left="75" w:right="114"/>
              <w:rPr>
                <w:b/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 xml:space="preserve">Likumprojekts nosūtīts saskaņošanai Tieslietu ministrijai, Finanšu ministrijai, Veselības ministrijai, </w:t>
            </w:r>
            <w:r w:rsidRPr="00345CAB">
              <w:rPr>
                <w:sz w:val="26"/>
                <w:szCs w:val="26"/>
                <w:lang w:eastAsia="en-US"/>
              </w:rPr>
              <w:t xml:space="preserve">Latvijas tirgotāju asociācijai, Latvijas </w:t>
            </w:r>
            <w:r w:rsidRPr="00345CAB">
              <w:rPr>
                <w:kern w:val="36"/>
                <w:sz w:val="26"/>
                <w:szCs w:val="26"/>
              </w:rPr>
              <w:t>Tabakas izstrādājumu ražotāju nacionālajai asociācijai</w:t>
            </w:r>
            <w:r w:rsidR="00AF08AC" w:rsidRPr="00345CAB">
              <w:rPr>
                <w:kern w:val="36"/>
                <w:sz w:val="26"/>
                <w:szCs w:val="26"/>
              </w:rPr>
              <w:t>, Darba Devēju konfederācijai</w:t>
            </w:r>
            <w:r w:rsidRPr="00345CAB">
              <w:rPr>
                <w:kern w:val="36"/>
                <w:sz w:val="26"/>
                <w:szCs w:val="26"/>
              </w:rPr>
              <w:t>.</w:t>
            </w:r>
          </w:p>
          <w:p w:rsidR="000E3B01" w:rsidRPr="00345CAB" w:rsidRDefault="000E3B01" w:rsidP="0047549D">
            <w:pPr>
              <w:pStyle w:val="Subtitle"/>
              <w:spacing w:before="0" w:after="0" w:line="240" w:lineRule="auto"/>
              <w:ind w:left="75" w:right="114"/>
              <w:rPr>
                <w:b/>
                <w:sz w:val="26"/>
                <w:szCs w:val="26"/>
              </w:rPr>
            </w:pPr>
          </w:p>
        </w:tc>
      </w:tr>
      <w:tr w:rsidR="000E3B01" w:rsidRPr="00345CAB" w:rsidTr="0047549D">
        <w:trPr>
          <w:trHeight w:val="1340"/>
        </w:trPr>
        <w:tc>
          <w:tcPr>
            <w:tcW w:w="426" w:type="dxa"/>
          </w:tcPr>
          <w:p w:rsidR="000E3B01" w:rsidRPr="00345CAB" w:rsidRDefault="000E3B01" w:rsidP="0047549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6.</w:t>
            </w:r>
          </w:p>
        </w:tc>
        <w:tc>
          <w:tcPr>
            <w:tcW w:w="1631" w:type="dxa"/>
          </w:tcPr>
          <w:p w:rsidR="000E3B01" w:rsidRPr="00345CAB" w:rsidRDefault="000E3B01" w:rsidP="0047549D">
            <w:pPr>
              <w:pStyle w:val="naiskr"/>
              <w:spacing w:before="0" w:after="0"/>
              <w:rPr>
                <w:i/>
                <w:sz w:val="26"/>
                <w:szCs w:val="26"/>
                <w:highlight w:val="yellow"/>
              </w:rPr>
            </w:pPr>
            <w:r w:rsidRPr="00345CAB">
              <w:rPr>
                <w:sz w:val="26"/>
                <w:szCs w:val="26"/>
              </w:rPr>
              <w:t>Iemesli, kādēļ netika nodrošināta sabiedrības līdzdalība</w:t>
            </w:r>
          </w:p>
        </w:tc>
        <w:tc>
          <w:tcPr>
            <w:tcW w:w="7560" w:type="dxa"/>
          </w:tcPr>
          <w:p w:rsidR="000E3B01" w:rsidRPr="00345CAB" w:rsidRDefault="004E62A6" w:rsidP="0047549D">
            <w:pPr>
              <w:pStyle w:val="FootnoteText"/>
              <w:ind w:left="75" w:right="114"/>
              <w:jc w:val="both"/>
              <w:rPr>
                <w:i/>
                <w:sz w:val="26"/>
                <w:szCs w:val="26"/>
              </w:rPr>
            </w:pPr>
            <w:r w:rsidRPr="00345CAB">
              <w:rPr>
                <w:i/>
                <w:sz w:val="26"/>
                <w:szCs w:val="26"/>
              </w:rPr>
              <w:t>Projekts šo jomu neskar.</w:t>
            </w:r>
          </w:p>
        </w:tc>
      </w:tr>
      <w:tr w:rsidR="000E3B01" w:rsidRPr="00345CAB" w:rsidTr="0047549D">
        <w:tc>
          <w:tcPr>
            <w:tcW w:w="426" w:type="dxa"/>
          </w:tcPr>
          <w:p w:rsidR="000E3B01" w:rsidRPr="00345CAB" w:rsidRDefault="000E3B01" w:rsidP="0047549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7.</w:t>
            </w:r>
          </w:p>
        </w:tc>
        <w:tc>
          <w:tcPr>
            <w:tcW w:w="1631" w:type="dxa"/>
          </w:tcPr>
          <w:p w:rsidR="000E3B01" w:rsidRPr="00345CAB" w:rsidRDefault="000E3B01" w:rsidP="0047549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Cita informācija</w:t>
            </w:r>
          </w:p>
        </w:tc>
        <w:tc>
          <w:tcPr>
            <w:tcW w:w="7560" w:type="dxa"/>
          </w:tcPr>
          <w:p w:rsidR="000E3B01" w:rsidRPr="00345CAB" w:rsidRDefault="000E3B01" w:rsidP="0047549D">
            <w:pPr>
              <w:pStyle w:val="naiskr"/>
              <w:spacing w:before="0" w:after="0"/>
              <w:ind w:left="75" w:right="114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 xml:space="preserve">Nav </w:t>
            </w:r>
          </w:p>
        </w:tc>
      </w:tr>
    </w:tbl>
    <w:p w:rsidR="000E3B01" w:rsidRPr="00345CAB" w:rsidRDefault="000E3B01" w:rsidP="000E3B01">
      <w:pPr>
        <w:spacing w:line="270" w:lineRule="atLeast"/>
        <w:rPr>
          <w:rStyle w:val="apple-style-span"/>
          <w:color w:val="000000"/>
          <w:sz w:val="26"/>
          <w:szCs w:val="26"/>
        </w:rPr>
      </w:pPr>
    </w:p>
    <w:tbl>
      <w:tblPr>
        <w:tblW w:w="5279" w:type="pct"/>
        <w:tblInd w:w="-2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6"/>
        <w:gridCol w:w="3118"/>
        <w:gridCol w:w="6097"/>
      </w:tblGrid>
      <w:tr w:rsidR="000E3B01" w:rsidRPr="00E20AE9" w:rsidTr="0047549D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vAlign w:val="center"/>
          </w:tcPr>
          <w:p w:rsidR="000E3B01" w:rsidRPr="00E20AE9" w:rsidRDefault="000E3B01" w:rsidP="0047549D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E20AE9">
              <w:rPr>
                <w:b/>
                <w:bCs/>
                <w:sz w:val="28"/>
                <w:szCs w:val="28"/>
              </w:rPr>
              <w:t>II. Tiesību akta projekta ietekme uz sabiedrību</w:t>
            </w:r>
          </w:p>
        </w:tc>
      </w:tr>
      <w:tr w:rsidR="000E3B01" w:rsidRPr="00E20AE9" w:rsidTr="0047549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B01" w:rsidRPr="00345CAB" w:rsidRDefault="000E3B01" w:rsidP="0047549D">
            <w:pPr>
              <w:pStyle w:val="NormalWeb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1.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B01" w:rsidRPr="00345CAB" w:rsidRDefault="000E3B01" w:rsidP="0047549D">
            <w:pPr>
              <w:pStyle w:val="NormalWeb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 xml:space="preserve">Sabiedrības </w:t>
            </w:r>
            <w:proofErr w:type="spellStart"/>
            <w:r w:rsidRPr="00345CAB">
              <w:rPr>
                <w:sz w:val="26"/>
                <w:szCs w:val="26"/>
              </w:rPr>
              <w:t>mērķgrupa</w:t>
            </w:r>
            <w:proofErr w:type="spellEnd"/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B01" w:rsidRPr="00345CAB" w:rsidRDefault="000E3B01" w:rsidP="0047549D">
            <w:pPr>
              <w:pStyle w:val="NormalWeb"/>
              <w:spacing w:before="0" w:beforeAutospacing="0" w:after="0" w:afterAutospacing="0"/>
              <w:ind w:right="86" w:firstLine="396"/>
              <w:jc w:val="both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Tabakas izstrādājumu ražotāji un izplatītāji.</w:t>
            </w:r>
          </w:p>
          <w:p w:rsidR="000E3B01" w:rsidRPr="00345CAB" w:rsidRDefault="000E3B01" w:rsidP="0047549D">
            <w:pPr>
              <w:pStyle w:val="NormalWeb"/>
              <w:spacing w:before="0" w:beforeAutospacing="0" w:after="0" w:afterAutospacing="0"/>
              <w:ind w:right="86" w:firstLine="396"/>
              <w:jc w:val="both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lastRenderedPageBreak/>
              <w:t>Latvijā šobrīd darbojas 3 tabakas izstrādājumu izplatītāji un 2 tabakas izstrādājumu ražotāji</w:t>
            </w:r>
            <w:r w:rsidR="00AF08AC" w:rsidRPr="00345CAB">
              <w:rPr>
                <w:sz w:val="26"/>
                <w:szCs w:val="26"/>
              </w:rPr>
              <w:t>, kā arī tabakas mazu</w:t>
            </w:r>
            <w:r w:rsidR="00387434" w:rsidRPr="00345CAB">
              <w:rPr>
                <w:sz w:val="26"/>
                <w:szCs w:val="26"/>
              </w:rPr>
              <w:t>mtirgotāji</w:t>
            </w:r>
            <w:r w:rsidRPr="00345CAB">
              <w:rPr>
                <w:sz w:val="26"/>
                <w:szCs w:val="26"/>
              </w:rPr>
              <w:t>.</w:t>
            </w:r>
          </w:p>
        </w:tc>
      </w:tr>
      <w:tr w:rsidR="000E3B01" w:rsidRPr="00E20AE9" w:rsidTr="0047549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B01" w:rsidRPr="00345CAB" w:rsidRDefault="000E3B01" w:rsidP="0047549D">
            <w:pPr>
              <w:pStyle w:val="NormalWeb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B01" w:rsidRPr="00345CAB" w:rsidRDefault="000E3B01" w:rsidP="0047549D">
            <w:pPr>
              <w:pStyle w:val="NormalWeb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 xml:space="preserve">Citas sabiedrības grupas (bez </w:t>
            </w:r>
            <w:proofErr w:type="spellStart"/>
            <w:r w:rsidRPr="00345CAB">
              <w:rPr>
                <w:sz w:val="26"/>
                <w:szCs w:val="26"/>
              </w:rPr>
              <w:t>mērķgrupas</w:t>
            </w:r>
            <w:proofErr w:type="spellEnd"/>
            <w:r w:rsidRPr="00345CAB">
              <w:rPr>
                <w:sz w:val="26"/>
                <w:szCs w:val="26"/>
              </w:rPr>
              <w:t>), kuras tiesiskais regulējums arī ietekmē vai varētu ietekmēt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B01" w:rsidRPr="00345CAB" w:rsidRDefault="004E62A6" w:rsidP="0047549D">
            <w:pPr>
              <w:pStyle w:val="NormalWeb"/>
              <w:ind w:firstLine="396"/>
              <w:jc w:val="both"/>
              <w:rPr>
                <w:i/>
                <w:sz w:val="26"/>
                <w:szCs w:val="26"/>
              </w:rPr>
            </w:pPr>
            <w:r w:rsidRPr="00345CAB">
              <w:rPr>
                <w:i/>
                <w:sz w:val="26"/>
                <w:szCs w:val="26"/>
              </w:rPr>
              <w:t>Projekts šo jomu neskar.</w:t>
            </w:r>
          </w:p>
        </w:tc>
      </w:tr>
      <w:tr w:rsidR="000E3B01" w:rsidRPr="00E20AE9" w:rsidTr="0047549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B01" w:rsidRPr="00345CAB" w:rsidRDefault="000E3B01" w:rsidP="0047549D">
            <w:pPr>
              <w:pStyle w:val="NormalWeb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3.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B01" w:rsidRPr="00345CAB" w:rsidRDefault="000E3B01" w:rsidP="0047549D">
            <w:pPr>
              <w:pStyle w:val="NormalWeb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Tiesiskā regulējuma finansiālā ietekme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B01" w:rsidRPr="00345CAB" w:rsidRDefault="004E62A6" w:rsidP="004E62A6">
            <w:pPr>
              <w:pStyle w:val="NormalWeb"/>
              <w:spacing w:before="0" w:beforeAutospacing="0" w:after="0" w:afterAutospacing="0"/>
              <w:ind w:firstLine="395"/>
              <w:jc w:val="both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 xml:space="preserve">Projekts paredz Valsts ieņēmumu dienesta tiesības piemērot naudas sodu fiziskajām personām no divdesmit pieciem līdz piecsimt latiem, bet juridiskajām personām — no divsimt līdz </w:t>
            </w:r>
            <w:proofErr w:type="spellStart"/>
            <w:r w:rsidRPr="00345CAB">
              <w:rPr>
                <w:sz w:val="26"/>
                <w:szCs w:val="26"/>
              </w:rPr>
              <w:t>desmittūkstoš</w:t>
            </w:r>
            <w:proofErr w:type="spellEnd"/>
            <w:r w:rsidRPr="00345CAB">
              <w:rPr>
                <w:sz w:val="26"/>
                <w:szCs w:val="26"/>
              </w:rPr>
              <w:t xml:space="preserve"> latiem, konfiscējot šīs preces vai bez konfiskācijas, par pārkāpumiem saistībā ar cigarešu samazinātas degšanas prasību neievērošanu.</w:t>
            </w:r>
          </w:p>
        </w:tc>
      </w:tr>
      <w:tr w:rsidR="000E3B01" w:rsidRPr="00E20AE9" w:rsidTr="0047549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B01" w:rsidRPr="00345CAB" w:rsidRDefault="000E3B01" w:rsidP="0047549D">
            <w:pPr>
              <w:pStyle w:val="NormalWeb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4.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B01" w:rsidRPr="00345CAB" w:rsidRDefault="000E3B01" w:rsidP="0047549D">
            <w:pPr>
              <w:pStyle w:val="NormalWeb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Tiesiskā regulējuma nefinansiālā ietekme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B01" w:rsidRPr="00345CAB" w:rsidRDefault="000E3B01" w:rsidP="004E62A6">
            <w:pPr>
              <w:pStyle w:val="NormalWeb"/>
              <w:spacing w:before="0" w:beforeAutospacing="0" w:after="0" w:afterAutospacing="0"/>
              <w:ind w:firstLine="395"/>
              <w:jc w:val="both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 xml:space="preserve">Tiesiskais regulējums </w:t>
            </w:r>
            <w:r w:rsidR="004E62A6" w:rsidRPr="00345CAB">
              <w:rPr>
                <w:sz w:val="26"/>
                <w:szCs w:val="26"/>
              </w:rPr>
              <w:t xml:space="preserve">nosaka atbildību </w:t>
            </w:r>
            <w:r w:rsidRPr="00345CAB">
              <w:rPr>
                <w:sz w:val="26"/>
                <w:szCs w:val="26"/>
              </w:rPr>
              <w:t xml:space="preserve">cigarešu ražotājiem, izplatītājiem un tirgotājiem </w:t>
            </w:r>
            <w:r w:rsidR="004E62A6" w:rsidRPr="00345CAB">
              <w:rPr>
                <w:sz w:val="26"/>
                <w:szCs w:val="26"/>
              </w:rPr>
              <w:t>par</w:t>
            </w:r>
            <w:r w:rsidRPr="00345CAB">
              <w:rPr>
                <w:sz w:val="26"/>
                <w:szCs w:val="26"/>
              </w:rPr>
              <w:t xml:space="preserve"> tād</w:t>
            </w:r>
            <w:r w:rsidR="004E62A6" w:rsidRPr="00345CAB">
              <w:rPr>
                <w:sz w:val="26"/>
                <w:szCs w:val="26"/>
              </w:rPr>
              <w:t>u cigarešu</w:t>
            </w:r>
            <w:r w:rsidRPr="00345CAB">
              <w:rPr>
                <w:sz w:val="26"/>
                <w:szCs w:val="26"/>
              </w:rPr>
              <w:t xml:space="preserve">, kas </w:t>
            </w:r>
            <w:r w:rsidR="004E62A6" w:rsidRPr="00345CAB">
              <w:rPr>
                <w:sz w:val="26"/>
                <w:szCs w:val="26"/>
              </w:rPr>
              <w:t>ne</w:t>
            </w:r>
            <w:r w:rsidRPr="00345CAB">
              <w:rPr>
                <w:sz w:val="26"/>
                <w:szCs w:val="26"/>
              </w:rPr>
              <w:t>atbilst Preču un pakalpojumu drošuma likuma prasībām attiecībā uz standartos noteiktajām cigarešu samazinātas degšanas prasībām</w:t>
            </w:r>
            <w:r w:rsidR="004E62A6" w:rsidRPr="00345CAB">
              <w:rPr>
                <w:sz w:val="26"/>
                <w:szCs w:val="26"/>
              </w:rPr>
              <w:t xml:space="preserve">, </w:t>
            </w:r>
            <w:r w:rsidR="00387434" w:rsidRPr="00345CAB">
              <w:rPr>
                <w:sz w:val="26"/>
                <w:szCs w:val="26"/>
              </w:rPr>
              <w:t>ievietošanu tirgū, piedāvāšanu vai pārdošanu</w:t>
            </w:r>
            <w:r w:rsidRPr="00345CAB">
              <w:rPr>
                <w:sz w:val="26"/>
                <w:szCs w:val="26"/>
              </w:rPr>
              <w:t>.</w:t>
            </w:r>
          </w:p>
        </w:tc>
      </w:tr>
      <w:tr w:rsidR="000E3B01" w:rsidRPr="00E20AE9" w:rsidTr="0047549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B01" w:rsidRPr="00345CAB" w:rsidRDefault="000E3B01" w:rsidP="0047549D">
            <w:pPr>
              <w:pStyle w:val="NormalWeb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5.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B01" w:rsidRPr="00345CAB" w:rsidRDefault="000E3B01" w:rsidP="0047549D">
            <w:pPr>
              <w:pStyle w:val="NormalWeb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Administratīvās procedūras raksturojums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B01" w:rsidRPr="00345CAB" w:rsidRDefault="000E3B01" w:rsidP="0047549D">
            <w:pPr>
              <w:pStyle w:val="NormalWeb"/>
              <w:jc w:val="both"/>
              <w:rPr>
                <w:sz w:val="26"/>
                <w:szCs w:val="26"/>
                <w:highlight w:val="yellow"/>
              </w:rPr>
            </w:pPr>
            <w:r w:rsidRPr="00345CAB">
              <w:rPr>
                <w:sz w:val="26"/>
                <w:szCs w:val="26"/>
              </w:rPr>
              <w:t xml:space="preserve">Indivīds savas tiesības varēs aizstāvēt normatīvajos </w:t>
            </w:r>
            <w:smartTag w:uri="schemas-tilde-lv/tildestengine" w:element="veidnes">
              <w:smartTagPr>
                <w:attr w:name="text" w:val="aktos"/>
                <w:attr w:name="id" w:val="-1"/>
                <w:attr w:name="baseform" w:val="akt|s"/>
              </w:smartTagPr>
              <w:r w:rsidRPr="00345CAB">
                <w:rPr>
                  <w:sz w:val="26"/>
                  <w:szCs w:val="26"/>
                </w:rPr>
                <w:t>aktos</w:t>
              </w:r>
            </w:smartTag>
            <w:r w:rsidRPr="00345CAB">
              <w:rPr>
                <w:sz w:val="26"/>
                <w:szCs w:val="26"/>
              </w:rPr>
              <w:t xml:space="preserve"> noteiktajā kārtībā (Administratīvā procesa likums).</w:t>
            </w:r>
          </w:p>
        </w:tc>
      </w:tr>
      <w:tr w:rsidR="000E3B01" w:rsidRPr="00E20AE9" w:rsidTr="0047549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B01" w:rsidRPr="00345CAB" w:rsidRDefault="000E3B01" w:rsidP="0047549D">
            <w:pPr>
              <w:pStyle w:val="NormalWeb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6.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B01" w:rsidRPr="00345CAB" w:rsidRDefault="000E3B01" w:rsidP="0047549D">
            <w:pPr>
              <w:pStyle w:val="NormalWeb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B01" w:rsidRPr="00345CAB" w:rsidRDefault="000E3B01" w:rsidP="0047549D">
            <w:pPr>
              <w:pStyle w:val="NormalWeb"/>
              <w:jc w:val="both"/>
              <w:rPr>
                <w:color w:val="000000"/>
                <w:sz w:val="26"/>
                <w:szCs w:val="26"/>
              </w:rPr>
            </w:pPr>
            <w:r w:rsidRPr="00345CAB">
              <w:rPr>
                <w:rStyle w:val="apple-style-span"/>
                <w:color w:val="000000"/>
                <w:sz w:val="26"/>
                <w:szCs w:val="26"/>
              </w:rPr>
              <w:t xml:space="preserve">Administratīvā procesa likumā noteiktā valsts nodeva 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20"/>
                <w:attr w:name="currency_text" w:val="latu"/>
              </w:smartTagPr>
              <w:smartTag w:uri="schemas-tilde-lv/tildestengine" w:element="currency">
                <w:smartTagPr>
                  <w:attr w:name="currency_text" w:val="latu"/>
                  <w:attr w:name="currency_value" w:val="20"/>
                  <w:attr w:name="currency_key" w:val="LVL"/>
                  <w:attr w:name="currency_id" w:val="48"/>
                </w:smartTagPr>
                <w:r w:rsidRPr="00345CAB">
                  <w:rPr>
                    <w:rStyle w:val="apple-style-span"/>
                    <w:color w:val="000000"/>
                    <w:sz w:val="26"/>
                    <w:szCs w:val="26"/>
                  </w:rPr>
                  <w:t>20 latu</w:t>
                </w:r>
              </w:smartTag>
            </w:smartTag>
            <w:r w:rsidRPr="00345CAB">
              <w:rPr>
                <w:rStyle w:val="apple-style-span"/>
                <w:color w:val="000000"/>
                <w:sz w:val="26"/>
                <w:szCs w:val="26"/>
              </w:rPr>
              <w:t xml:space="preserve"> apmērā par pieteikumu par lietas ierosināšanu tiesā.</w:t>
            </w:r>
          </w:p>
        </w:tc>
      </w:tr>
      <w:tr w:rsidR="000E3B01" w:rsidRPr="00E20AE9" w:rsidTr="0047549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B01" w:rsidRPr="00345CAB" w:rsidRDefault="000E3B01" w:rsidP="0047549D">
            <w:pPr>
              <w:pStyle w:val="NormalWeb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7.</w:t>
            </w:r>
          </w:p>
        </w:tc>
        <w:tc>
          <w:tcPr>
            <w:tcW w:w="1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B01" w:rsidRPr="00345CAB" w:rsidRDefault="000E3B01" w:rsidP="0047549D">
            <w:pPr>
              <w:pStyle w:val="NormalWeb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Cita informācija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B01" w:rsidRPr="00345CAB" w:rsidRDefault="000E3B01" w:rsidP="0047549D">
            <w:pPr>
              <w:pStyle w:val="NormalWeb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Nav</w:t>
            </w:r>
          </w:p>
        </w:tc>
      </w:tr>
    </w:tbl>
    <w:p w:rsidR="000E3B01" w:rsidRPr="00E20AE9" w:rsidRDefault="000E3B01" w:rsidP="000E3B0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5279" w:type="pct"/>
        <w:tblInd w:w="-2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641"/>
      </w:tblGrid>
      <w:tr w:rsidR="000E3B01" w:rsidRPr="00E20AE9" w:rsidTr="0047549D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B01" w:rsidRPr="00E20AE9" w:rsidRDefault="000E3B01" w:rsidP="0047549D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E20AE9">
              <w:rPr>
                <w:b/>
                <w:bCs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0E3B01" w:rsidRPr="00D310F1" w:rsidTr="0047549D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B01" w:rsidRPr="00345CAB" w:rsidRDefault="000E3B01" w:rsidP="0047549D">
            <w:pPr>
              <w:pStyle w:val="NormalWeb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345CAB">
              <w:rPr>
                <w:i/>
                <w:color w:val="000000"/>
                <w:sz w:val="26"/>
                <w:szCs w:val="26"/>
              </w:rPr>
              <w:t>Projekts šo jomu neskar</w:t>
            </w:r>
          </w:p>
        </w:tc>
      </w:tr>
    </w:tbl>
    <w:p w:rsidR="000E3B01" w:rsidRPr="00E20AE9" w:rsidRDefault="000E3B01" w:rsidP="000E3B0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5279" w:type="pct"/>
        <w:tblInd w:w="-2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3"/>
        <w:gridCol w:w="1708"/>
        <w:gridCol w:w="7520"/>
      </w:tblGrid>
      <w:tr w:rsidR="000E3B01" w:rsidRPr="00E20AE9" w:rsidTr="0047549D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</w:tcPr>
          <w:p w:rsidR="000E3B01" w:rsidRPr="00E20AE9" w:rsidRDefault="000E3B01" w:rsidP="0047549D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E20AE9">
              <w:rPr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0E3B01" w:rsidRPr="00E20AE9" w:rsidTr="0047549D">
        <w:trPr>
          <w:trHeight w:val="658"/>
        </w:trPr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B01" w:rsidRPr="00345CAB" w:rsidRDefault="000E3B01" w:rsidP="0047549D">
            <w:pPr>
              <w:pStyle w:val="NormalWeb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B01" w:rsidRPr="00345CAB" w:rsidRDefault="000E3B01" w:rsidP="0047549D">
            <w:pPr>
              <w:pStyle w:val="NormalWeb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Nepieciešamie saistītie tiesību aktu projekti</w:t>
            </w:r>
          </w:p>
        </w:tc>
        <w:tc>
          <w:tcPr>
            <w:tcW w:w="3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B01" w:rsidRPr="00345CAB" w:rsidRDefault="000E3B01" w:rsidP="0047549D">
            <w:pPr>
              <w:pStyle w:val="NormalWeb"/>
              <w:tabs>
                <w:tab w:val="left" w:pos="190"/>
                <w:tab w:val="left" w:pos="332"/>
              </w:tabs>
              <w:spacing w:before="0" w:beforeAutospacing="0" w:after="0" w:afterAutospacing="0"/>
              <w:ind w:left="17" w:firstLine="312"/>
              <w:jc w:val="both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Lai nodrošinātu Valsts ieņēmumu dienesta pilnvaras uzraudzīt cigarešu samazinātas degšanas prasības, nepieciešami grozījumi likumā „</w:t>
            </w:r>
            <w:r w:rsidRPr="00345CAB">
              <w:rPr>
                <w:bCs/>
                <w:sz w:val="26"/>
                <w:szCs w:val="26"/>
              </w:rPr>
              <w:t>Par tabakas izstrādājumu realizācijas, reklāmas un lietošanas ierobežošanu</w:t>
            </w:r>
            <w:r w:rsidRPr="00345CAB">
              <w:rPr>
                <w:sz w:val="26"/>
                <w:szCs w:val="26"/>
              </w:rPr>
              <w:t>”, papildinot 5.pantu ar aizliegumu</w:t>
            </w:r>
            <w:r w:rsidRPr="00345CAB">
              <w:rPr>
                <w:b/>
                <w:sz w:val="26"/>
                <w:szCs w:val="26"/>
              </w:rPr>
              <w:t xml:space="preserve"> </w:t>
            </w:r>
            <w:r w:rsidRPr="00345CAB">
              <w:rPr>
                <w:sz w:val="26"/>
                <w:szCs w:val="26"/>
              </w:rPr>
              <w:t>ražot, realizēt un importēt cigaretes, kas neatbilst cigarešu samazinātas degšanas prasībām, kā arī papildinot minētā likuma 5.</w:t>
            </w:r>
            <w:r w:rsidRPr="00345CAB">
              <w:rPr>
                <w:sz w:val="26"/>
                <w:szCs w:val="26"/>
                <w:vertAlign w:val="superscript"/>
              </w:rPr>
              <w:t xml:space="preserve">1 </w:t>
            </w:r>
            <w:r w:rsidRPr="00345CAB">
              <w:rPr>
                <w:sz w:val="26"/>
                <w:szCs w:val="26"/>
              </w:rPr>
              <w:t>pantu un 14.</w:t>
            </w:r>
            <w:r w:rsidRPr="00345CAB">
              <w:rPr>
                <w:sz w:val="26"/>
                <w:szCs w:val="26"/>
                <w:vertAlign w:val="superscript"/>
              </w:rPr>
              <w:t>1</w:t>
            </w:r>
            <w:r w:rsidRPr="00345CAB">
              <w:rPr>
                <w:sz w:val="26"/>
                <w:szCs w:val="26"/>
              </w:rPr>
              <w:t xml:space="preserve"> pantu ar atsaucēm uz jauno 5.panta 9.punktu.</w:t>
            </w:r>
          </w:p>
          <w:p w:rsidR="000E3B01" w:rsidRPr="00345CAB" w:rsidRDefault="000E3B01" w:rsidP="0047549D">
            <w:pPr>
              <w:pStyle w:val="NormalWeb"/>
              <w:tabs>
                <w:tab w:val="left" w:pos="190"/>
                <w:tab w:val="left" w:pos="332"/>
              </w:tabs>
              <w:spacing w:before="0" w:beforeAutospacing="0" w:after="0" w:afterAutospacing="0"/>
              <w:ind w:left="17" w:firstLine="312"/>
              <w:jc w:val="both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 xml:space="preserve">Par minētā projekta izstrādi atbildīga Ekonomikas ministrija. </w:t>
            </w:r>
          </w:p>
        </w:tc>
      </w:tr>
      <w:tr w:rsidR="000E3B01" w:rsidRPr="00E20AE9" w:rsidTr="0047549D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B01" w:rsidRPr="00345CAB" w:rsidRDefault="000E3B01" w:rsidP="0047549D">
            <w:pPr>
              <w:pStyle w:val="NormalWeb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B01" w:rsidRPr="00345CAB" w:rsidRDefault="000E3B01" w:rsidP="0047549D">
            <w:pPr>
              <w:pStyle w:val="NormalWeb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Cita informācija</w:t>
            </w:r>
          </w:p>
        </w:tc>
        <w:tc>
          <w:tcPr>
            <w:tcW w:w="3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B01" w:rsidRPr="00345CAB" w:rsidRDefault="000E3B01" w:rsidP="0047549D">
            <w:pPr>
              <w:pStyle w:val="NormalWeb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 xml:space="preserve">Nav </w:t>
            </w:r>
          </w:p>
        </w:tc>
      </w:tr>
    </w:tbl>
    <w:p w:rsidR="000E3B01" w:rsidRDefault="000E3B01" w:rsidP="000E3B0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20AE9">
        <w:rPr>
          <w:sz w:val="28"/>
          <w:szCs w:val="28"/>
        </w:rPr>
        <w:t> </w:t>
      </w:r>
      <w:r w:rsidRPr="00E20AE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</w:p>
    <w:tbl>
      <w:tblPr>
        <w:tblW w:w="9590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590"/>
      </w:tblGrid>
      <w:tr w:rsidR="000E3B01" w:rsidRPr="00135465" w:rsidTr="0047549D">
        <w:trPr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01" w:rsidRPr="00B34C46" w:rsidRDefault="000E3B01" w:rsidP="0047549D">
            <w:pPr>
              <w:pStyle w:val="naisnod"/>
              <w:spacing w:before="0" w:after="0"/>
              <w:ind w:left="57" w:right="57"/>
              <w:rPr>
                <w:bCs w:val="0"/>
                <w:sz w:val="28"/>
                <w:szCs w:val="28"/>
              </w:rPr>
            </w:pPr>
            <w:r w:rsidRPr="00B34C46">
              <w:rPr>
                <w:bCs w:val="0"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0E3B01" w:rsidRPr="00320411" w:rsidTr="0047549D">
        <w:trPr>
          <w:jc w:val="center"/>
        </w:trPr>
        <w:tc>
          <w:tcPr>
            <w:tcW w:w="9590" w:type="dxa"/>
            <w:tcBorders>
              <w:top w:val="single" w:sz="4" w:space="0" w:color="auto"/>
            </w:tcBorders>
          </w:tcPr>
          <w:p w:rsidR="000E3B01" w:rsidRPr="00345CAB" w:rsidRDefault="000E3B01" w:rsidP="0047549D">
            <w:pPr>
              <w:pStyle w:val="naisnod"/>
              <w:spacing w:before="0" w:after="0"/>
              <w:ind w:left="57" w:right="57"/>
              <w:rPr>
                <w:bCs w:val="0"/>
                <w:sz w:val="26"/>
                <w:szCs w:val="26"/>
              </w:rPr>
            </w:pPr>
            <w:r w:rsidRPr="00345CAB">
              <w:rPr>
                <w:b w:val="0"/>
                <w:i/>
                <w:color w:val="000000"/>
                <w:sz w:val="26"/>
                <w:szCs w:val="26"/>
              </w:rPr>
              <w:t>Projekts šo jomu neskar</w:t>
            </w:r>
          </w:p>
        </w:tc>
      </w:tr>
    </w:tbl>
    <w:p w:rsidR="000E3B01" w:rsidRPr="000622B3" w:rsidRDefault="000E3B01" w:rsidP="000E3B01">
      <w:pPr>
        <w:pStyle w:val="naisnod"/>
        <w:spacing w:before="0" w:after="0"/>
        <w:ind w:left="57" w:right="57"/>
        <w:rPr>
          <w:bCs w:val="0"/>
          <w:sz w:val="28"/>
          <w:szCs w:val="28"/>
        </w:rPr>
      </w:pPr>
    </w:p>
    <w:tbl>
      <w:tblPr>
        <w:tblW w:w="9590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590"/>
      </w:tblGrid>
      <w:tr w:rsidR="000E3B01" w:rsidRPr="00320411" w:rsidTr="0047549D">
        <w:trPr>
          <w:jc w:val="center"/>
        </w:trPr>
        <w:tc>
          <w:tcPr>
            <w:tcW w:w="9590" w:type="dxa"/>
            <w:tcBorders>
              <w:top w:val="single" w:sz="4" w:space="0" w:color="auto"/>
            </w:tcBorders>
          </w:tcPr>
          <w:p w:rsidR="000E3B01" w:rsidRPr="000622B3" w:rsidRDefault="000E3B01" w:rsidP="0047549D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0622B3">
              <w:rPr>
                <w:bCs w:val="0"/>
                <w:sz w:val="28"/>
                <w:szCs w:val="28"/>
              </w:rPr>
              <w:t>VI. Sabiedrības līdzdalība un šīs līdzdalības rezultāti</w:t>
            </w:r>
          </w:p>
        </w:tc>
      </w:tr>
      <w:tr w:rsidR="000E3B01" w:rsidRPr="00320411" w:rsidTr="0047549D">
        <w:trPr>
          <w:trHeight w:val="427"/>
          <w:jc w:val="center"/>
        </w:trPr>
        <w:tc>
          <w:tcPr>
            <w:tcW w:w="9590" w:type="dxa"/>
          </w:tcPr>
          <w:p w:rsidR="000E3B01" w:rsidRPr="00345CAB" w:rsidRDefault="000E3B01" w:rsidP="0047549D">
            <w:pPr>
              <w:pStyle w:val="naisnod"/>
              <w:spacing w:before="0" w:after="0"/>
              <w:ind w:left="57" w:right="57"/>
              <w:rPr>
                <w:b w:val="0"/>
                <w:i/>
                <w:sz w:val="26"/>
                <w:szCs w:val="26"/>
              </w:rPr>
            </w:pPr>
            <w:r w:rsidRPr="00345CAB">
              <w:rPr>
                <w:b w:val="0"/>
                <w:i/>
                <w:color w:val="000000"/>
                <w:sz w:val="26"/>
                <w:szCs w:val="26"/>
              </w:rPr>
              <w:t>Projekts šo jomu neskar</w:t>
            </w:r>
          </w:p>
        </w:tc>
      </w:tr>
    </w:tbl>
    <w:p w:rsidR="000E3B01" w:rsidRPr="00E20AE9" w:rsidRDefault="000E3B01" w:rsidP="000E3B01">
      <w:pPr>
        <w:pStyle w:val="naisf"/>
        <w:spacing w:before="0" w:after="0"/>
        <w:rPr>
          <w:sz w:val="28"/>
          <w:szCs w:val="28"/>
        </w:rPr>
      </w:pPr>
    </w:p>
    <w:tbl>
      <w:tblPr>
        <w:tblW w:w="9565" w:type="dxa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50"/>
        <w:gridCol w:w="3057"/>
        <w:gridCol w:w="5958"/>
      </w:tblGrid>
      <w:tr w:rsidR="000E3B01" w:rsidRPr="00E20AE9" w:rsidTr="0047549D">
        <w:trPr>
          <w:jc w:val="center"/>
        </w:trPr>
        <w:tc>
          <w:tcPr>
            <w:tcW w:w="9565" w:type="dxa"/>
            <w:gridSpan w:val="3"/>
            <w:tcBorders>
              <w:top w:val="single" w:sz="4" w:space="0" w:color="auto"/>
            </w:tcBorders>
          </w:tcPr>
          <w:p w:rsidR="000E3B01" w:rsidRPr="00E20AE9" w:rsidRDefault="000E3B01" w:rsidP="0047549D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E20AE9">
              <w:rPr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0E3B01" w:rsidRPr="00E20AE9" w:rsidTr="0047549D">
        <w:trPr>
          <w:trHeight w:val="427"/>
          <w:jc w:val="center"/>
        </w:trPr>
        <w:tc>
          <w:tcPr>
            <w:tcW w:w="550" w:type="dxa"/>
          </w:tcPr>
          <w:p w:rsidR="000E3B01" w:rsidRPr="00345CAB" w:rsidRDefault="000E3B01" w:rsidP="004754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345CAB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3057" w:type="dxa"/>
          </w:tcPr>
          <w:p w:rsidR="000E3B01" w:rsidRPr="00345CAB" w:rsidRDefault="000E3B01" w:rsidP="0047549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 xml:space="preserve">Projekta izpildē iesaistītās institūcijas </w:t>
            </w:r>
          </w:p>
        </w:tc>
        <w:tc>
          <w:tcPr>
            <w:tcW w:w="5958" w:type="dxa"/>
          </w:tcPr>
          <w:p w:rsidR="000E3B01" w:rsidRPr="00345CAB" w:rsidRDefault="000E3B01" w:rsidP="0047549D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6"/>
                <w:szCs w:val="26"/>
              </w:rPr>
            </w:pPr>
            <w:r w:rsidRPr="00345CAB">
              <w:rPr>
                <w:b w:val="0"/>
                <w:sz w:val="26"/>
                <w:szCs w:val="26"/>
              </w:rPr>
              <w:t>Projekta izpildi nodrošina Valsts ieņēmumu dienests.</w:t>
            </w:r>
          </w:p>
        </w:tc>
      </w:tr>
      <w:tr w:rsidR="000E3B01" w:rsidRPr="00E20AE9" w:rsidTr="0047549D">
        <w:trPr>
          <w:trHeight w:val="463"/>
          <w:jc w:val="center"/>
        </w:trPr>
        <w:tc>
          <w:tcPr>
            <w:tcW w:w="550" w:type="dxa"/>
          </w:tcPr>
          <w:p w:rsidR="000E3B01" w:rsidRPr="00345CAB" w:rsidRDefault="000E3B01" w:rsidP="004754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345CAB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3057" w:type="dxa"/>
          </w:tcPr>
          <w:p w:rsidR="000E3B01" w:rsidRPr="00345CAB" w:rsidRDefault="000E3B01" w:rsidP="0047549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 xml:space="preserve">Projekta izpildes ietekme uz pārvaldes funkcijām </w:t>
            </w:r>
          </w:p>
        </w:tc>
        <w:tc>
          <w:tcPr>
            <w:tcW w:w="5958" w:type="dxa"/>
          </w:tcPr>
          <w:p w:rsidR="000E3B01" w:rsidRPr="00345CAB" w:rsidRDefault="000E3B01" w:rsidP="000E3B01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6"/>
                <w:szCs w:val="26"/>
              </w:rPr>
            </w:pPr>
            <w:r w:rsidRPr="00345CAB">
              <w:rPr>
                <w:b w:val="0"/>
                <w:sz w:val="26"/>
                <w:szCs w:val="26"/>
              </w:rPr>
              <w:t>Projekts paredz Valsts ieņēmumu dienesta funkciju paplašināšanu  attiecībā uz administratīvo lietu izskatīšanu par pārkāpumiem saistībā ar cigarešu neatbilstību samazinātas degšanas prasībām.</w:t>
            </w:r>
          </w:p>
        </w:tc>
      </w:tr>
      <w:tr w:rsidR="000E3B01" w:rsidRPr="00E20AE9" w:rsidTr="0047549D">
        <w:trPr>
          <w:trHeight w:val="725"/>
          <w:jc w:val="center"/>
        </w:trPr>
        <w:tc>
          <w:tcPr>
            <w:tcW w:w="550" w:type="dxa"/>
          </w:tcPr>
          <w:p w:rsidR="000E3B01" w:rsidRPr="00345CAB" w:rsidRDefault="000E3B01" w:rsidP="004754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345CAB"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3057" w:type="dxa"/>
          </w:tcPr>
          <w:p w:rsidR="000E3B01" w:rsidRPr="00345CAB" w:rsidRDefault="000E3B01" w:rsidP="0047549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Projekta izpildes ietekme uz pārvaldes institucionālo struktūru.</w:t>
            </w:r>
          </w:p>
          <w:p w:rsidR="000E3B01" w:rsidRPr="00345CAB" w:rsidRDefault="000E3B01" w:rsidP="0047549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Jaunu institūciju izveide</w:t>
            </w:r>
          </w:p>
        </w:tc>
        <w:tc>
          <w:tcPr>
            <w:tcW w:w="5958" w:type="dxa"/>
          </w:tcPr>
          <w:p w:rsidR="000E3B01" w:rsidRPr="00345CAB" w:rsidRDefault="000E3B01" w:rsidP="004754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345CAB">
              <w:rPr>
                <w:b w:val="0"/>
                <w:sz w:val="26"/>
                <w:szCs w:val="26"/>
              </w:rPr>
              <w:t>Projekts neparedz veidot jaunas valsts institūcijas.</w:t>
            </w:r>
          </w:p>
        </w:tc>
      </w:tr>
      <w:tr w:rsidR="000E3B01" w:rsidRPr="00E20AE9" w:rsidTr="0047549D">
        <w:trPr>
          <w:trHeight w:val="780"/>
          <w:jc w:val="center"/>
        </w:trPr>
        <w:tc>
          <w:tcPr>
            <w:tcW w:w="550" w:type="dxa"/>
          </w:tcPr>
          <w:p w:rsidR="000E3B01" w:rsidRPr="00345CAB" w:rsidRDefault="000E3B01" w:rsidP="004754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345CAB"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3057" w:type="dxa"/>
          </w:tcPr>
          <w:p w:rsidR="000E3B01" w:rsidRPr="00345CAB" w:rsidRDefault="000E3B01" w:rsidP="0047549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Projekta izpildes ietekme uz pārvaldes institucionālo struktūru.</w:t>
            </w:r>
          </w:p>
          <w:p w:rsidR="000E3B01" w:rsidRPr="00345CAB" w:rsidRDefault="000E3B01" w:rsidP="0047549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Esošu institūciju likvidācija</w:t>
            </w:r>
          </w:p>
        </w:tc>
        <w:tc>
          <w:tcPr>
            <w:tcW w:w="5958" w:type="dxa"/>
          </w:tcPr>
          <w:p w:rsidR="000E3B01" w:rsidRPr="00345CAB" w:rsidRDefault="00387434" w:rsidP="004754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345CAB">
              <w:rPr>
                <w:b w:val="0"/>
                <w:i/>
                <w:color w:val="000000"/>
                <w:sz w:val="26"/>
                <w:szCs w:val="26"/>
              </w:rPr>
              <w:t>Projekts šo jomu neskar</w:t>
            </w:r>
          </w:p>
        </w:tc>
      </w:tr>
      <w:tr w:rsidR="000E3B01" w:rsidRPr="00E20AE9" w:rsidTr="0047549D">
        <w:trPr>
          <w:trHeight w:val="703"/>
          <w:jc w:val="center"/>
        </w:trPr>
        <w:tc>
          <w:tcPr>
            <w:tcW w:w="550" w:type="dxa"/>
          </w:tcPr>
          <w:p w:rsidR="000E3B01" w:rsidRPr="00345CAB" w:rsidRDefault="000E3B01" w:rsidP="004754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345CAB">
              <w:rPr>
                <w:b w:val="0"/>
                <w:sz w:val="26"/>
                <w:szCs w:val="26"/>
              </w:rPr>
              <w:t>5.</w:t>
            </w:r>
          </w:p>
        </w:tc>
        <w:tc>
          <w:tcPr>
            <w:tcW w:w="3057" w:type="dxa"/>
          </w:tcPr>
          <w:p w:rsidR="000E3B01" w:rsidRPr="00345CAB" w:rsidRDefault="000E3B01" w:rsidP="0047549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Projekta izpildes ietekme uz pārvaldes institucionālo struktūru.</w:t>
            </w:r>
          </w:p>
          <w:p w:rsidR="000E3B01" w:rsidRPr="00345CAB" w:rsidRDefault="000E3B01" w:rsidP="0047549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Esošu institūciju reorganizācija</w:t>
            </w:r>
          </w:p>
        </w:tc>
        <w:tc>
          <w:tcPr>
            <w:tcW w:w="5958" w:type="dxa"/>
          </w:tcPr>
          <w:p w:rsidR="000E3B01" w:rsidRPr="00345CAB" w:rsidRDefault="00387434" w:rsidP="0047549D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6"/>
                <w:szCs w:val="26"/>
              </w:rPr>
            </w:pPr>
            <w:r w:rsidRPr="00345CAB">
              <w:rPr>
                <w:b w:val="0"/>
                <w:i/>
                <w:color w:val="000000"/>
                <w:sz w:val="26"/>
                <w:szCs w:val="26"/>
              </w:rPr>
              <w:t>Projekts šo jomu neskar</w:t>
            </w:r>
          </w:p>
        </w:tc>
      </w:tr>
      <w:tr w:rsidR="000E3B01" w:rsidRPr="00E20AE9" w:rsidTr="0047549D">
        <w:trPr>
          <w:trHeight w:val="476"/>
          <w:jc w:val="center"/>
        </w:trPr>
        <w:tc>
          <w:tcPr>
            <w:tcW w:w="550" w:type="dxa"/>
          </w:tcPr>
          <w:p w:rsidR="000E3B01" w:rsidRPr="00345CAB" w:rsidRDefault="000E3B01" w:rsidP="0047549D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6.</w:t>
            </w:r>
          </w:p>
        </w:tc>
        <w:tc>
          <w:tcPr>
            <w:tcW w:w="3057" w:type="dxa"/>
          </w:tcPr>
          <w:p w:rsidR="000E3B01" w:rsidRPr="00345CAB" w:rsidRDefault="000E3B01" w:rsidP="0047549D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Cita informācija</w:t>
            </w:r>
          </w:p>
        </w:tc>
        <w:tc>
          <w:tcPr>
            <w:tcW w:w="5958" w:type="dxa"/>
          </w:tcPr>
          <w:p w:rsidR="000E3B01" w:rsidRPr="00345CAB" w:rsidRDefault="000E3B01" w:rsidP="0047549D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345CAB">
              <w:rPr>
                <w:sz w:val="26"/>
                <w:szCs w:val="26"/>
              </w:rPr>
              <w:t>Nav</w:t>
            </w:r>
          </w:p>
        </w:tc>
      </w:tr>
    </w:tbl>
    <w:p w:rsidR="000E3B01" w:rsidRDefault="000E3B01" w:rsidP="000E3B01">
      <w:pPr>
        <w:rPr>
          <w:sz w:val="28"/>
          <w:szCs w:val="28"/>
        </w:rPr>
      </w:pPr>
    </w:p>
    <w:p w:rsidR="000E3B01" w:rsidRPr="00E20AE9" w:rsidRDefault="000E3B01" w:rsidP="000E3B01">
      <w:pPr>
        <w:rPr>
          <w:sz w:val="28"/>
          <w:szCs w:val="28"/>
        </w:rPr>
      </w:pPr>
      <w:r w:rsidRPr="00E20AE9">
        <w:rPr>
          <w:sz w:val="28"/>
          <w:szCs w:val="28"/>
        </w:rPr>
        <w:t>Ekonomikas ministrs</w:t>
      </w:r>
      <w:r w:rsidRPr="00E20AE9">
        <w:rPr>
          <w:sz w:val="28"/>
          <w:szCs w:val="28"/>
        </w:rPr>
        <w:tab/>
      </w:r>
      <w:r w:rsidRPr="00E20AE9">
        <w:rPr>
          <w:sz w:val="28"/>
          <w:szCs w:val="28"/>
        </w:rPr>
        <w:tab/>
      </w:r>
      <w:r w:rsidRPr="00E20AE9">
        <w:rPr>
          <w:sz w:val="28"/>
          <w:szCs w:val="28"/>
        </w:rPr>
        <w:tab/>
      </w:r>
      <w:r w:rsidRPr="00E20AE9">
        <w:rPr>
          <w:sz w:val="28"/>
          <w:szCs w:val="28"/>
        </w:rPr>
        <w:tab/>
      </w:r>
      <w:r w:rsidRPr="00E20AE9">
        <w:rPr>
          <w:sz w:val="28"/>
          <w:szCs w:val="28"/>
        </w:rPr>
        <w:tab/>
      </w:r>
      <w:r w:rsidRPr="00E20AE9">
        <w:rPr>
          <w:sz w:val="28"/>
          <w:szCs w:val="28"/>
        </w:rPr>
        <w:tab/>
      </w:r>
      <w:r w:rsidRPr="00E20AE9">
        <w:rPr>
          <w:sz w:val="28"/>
          <w:szCs w:val="28"/>
        </w:rPr>
        <w:tab/>
        <w:t>A.Kampars</w:t>
      </w:r>
    </w:p>
    <w:p w:rsidR="000E3B01" w:rsidRDefault="000E3B01" w:rsidP="000E3B01">
      <w:pPr>
        <w:rPr>
          <w:sz w:val="28"/>
          <w:szCs w:val="28"/>
        </w:rPr>
      </w:pPr>
    </w:p>
    <w:p w:rsidR="000E3B01" w:rsidRDefault="000E3B01" w:rsidP="000E3B01">
      <w:pPr>
        <w:rPr>
          <w:sz w:val="28"/>
          <w:szCs w:val="28"/>
        </w:rPr>
      </w:pPr>
      <w:r w:rsidRPr="00E20AE9">
        <w:rPr>
          <w:sz w:val="28"/>
          <w:szCs w:val="28"/>
        </w:rPr>
        <w:t>Vīza:</w:t>
      </w:r>
    </w:p>
    <w:p w:rsidR="000E3B01" w:rsidRPr="00E20AE9" w:rsidRDefault="000E3B01" w:rsidP="000E3B01">
      <w:pPr>
        <w:rPr>
          <w:sz w:val="28"/>
          <w:szCs w:val="28"/>
        </w:rPr>
      </w:pPr>
    </w:p>
    <w:p w:rsidR="000E3B01" w:rsidRPr="00E20AE9" w:rsidRDefault="000E3B01" w:rsidP="000E3B01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Pr="00E20AE9">
        <w:rPr>
          <w:sz w:val="28"/>
          <w:szCs w:val="28"/>
        </w:rPr>
        <w:t>alsts sekretār</w:t>
      </w:r>
      <w:r>
        <w:rPr>
          <w:sz w:val="28"/>
          <w:szCs w:val="28"/>
        </w:rPr>
        <w:t>s</w:t>
      </w:r>
      <w:r w:rsidRPr="00E20AE9">
        <w:rPr>
          <w:sz w:val="28"/>
          <w:szCs w:val="28"/>
        </w:rPr>
        <w:tab/>
      </w:r>
      <w:r w:rsidRPr="00E20AE9">
        <w:rPr>
          <w:sz w:val="28"/>
          <w:szCs w:val="28"/>
        </w:rPr>
        <w:tab/>
      </w:r>
      <w:r w:rsidRPr="00E20AE9">
        <w:rPr>
          <w:sz w:val="28"/>
          <w:szCs w:val="28"/>
        </w:rPr>
        <w:tab/>
      </w:r>
      <w:r w:rsidRPr="00E20AE9">
        <w:rPr>
          <w:sz w:val="28"/>
          <w:szCs w:val="28"/>
        </w:rPr>
        <w:tab/>
      </w:r>
      <w:r w:rsidRPr="00E20AE9">
        <w:rPr>
          <w:sz w:val="28"/>
          <w:szCs w:val="28"/>
        </w:rPr>
        <w:tab/>
      </w:r>
      <w:r w:rsidRPr="00E20AE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0AE9">
        <w:rPr>
          <w:sz w:val="28"/>
          <w:szCs w:val="28"/>
        </w:rPr>
        <w:tab/>
      </w:r>
      <w:r>
        <w:rPr>
          <w:sz w:val="28"/>
          <w:szCs w:val="28"/>
        </w:rPr>
        <w:t>J</w:t>
      </w:r>
      <w:r w:rsidRPr="00E20AE9">
        <w:rPr>
          <w:sz w:val="28"/>
          <w:szCs w:val="28"/>
        </w:rPr>
        <w:t>.</w:t>
      </w:r>
      <w:r>
        <w:rPr>
          <w:sz w:val="28"/>
          <w:szCs w:val="28"/>
        </w:rPr>
        <w:t>Pūce</w:t>
      </w:r>
    </w:p>
    <w:p w:rsidR="000E3B01" w:rsidRDefault="000E3B01" w:rsidP="000E3B01">
      <w:pPr>
        <w:suppressAutoHyphens/>
        <w:rPr>
          <w:sz w:val="20"/>
        </w:rPr>
      </w:pPr>
    </w:p>
    <w:p w:rsidR="000E3B01" w:rsidRDefault="000E3B01" w:rsidP="000E3B01">
      <w:pPr>
        <w:suppressAutoHyphens/>
        <w:rPr>
          <w:sz w:val="20"/>
        </w:rPr>
      </w:pPr>
    </w:p>
    <w:p w:rsidR="000E3B01" w:rsidRDefault="000E3B01" w:rsidP="000E3B01">
      <w:pPr>
        <w:suppressAutoHyphens/>
        <w:rPr>
          <w:sz w:val="20"/>
        </w:rPr>
      </w:pPr>
      <w:r>
        <w:rPr>
          <w:sz w:val="20"/>
        </w:rPr>
        <w:t>27.09.11. 11:43</w:t>
      </w:r>
    </w:p>
    <w:p w:rsidR="000E3B01" w:rsidRDefault="00BA7E2A" w:rsidP="000E3B01">
      <w:pPr>
        <w:suppressAutoHyphens/>
        <w:rPr>
          <w:sz w:val="20"/>
        </w:rPr>
      </w:pPr>
      <w:fldSimple w:instr=" NUMWORDS   \* MERGEFORMAT ">
        <w:r w:rsidR="00345CAB" w:rsidRPr="00345CAB">
          <w:rPr>
            <w:noProof/>
            <w:sz w:val="20"/>
          </w:rPr>
          <w:t>980</w:t>
        </w:r>
      </w:fldSimple>
    </w:p>
    <w:p w:rsidR="000E3B01" w:rsidRDefault="000E3B01" w:rsidP="000E3B01">
      <w:pPr>
        <w:suppressAutoHyphens/>
        <w:rPr>
          <w:sz w:val="20"/>
        </w:rPr>
      </w:pPr>
      <w:r>
        <w:rPr>
          <w:sz w:val="20"/>
        </w:rPr>
        <w:t>L.Duntava</w:t>
      </w:r>
    </w:p>
    <w:p w:rsidR="000E3B01" w:rsidRDefault="000E3B01" w:rsidP="000E3B01">
      <w:pPr>
        <w:suppressAutoHyphens/>
        <w:rPr>
          <w:sz w:val="20"/>
        </w:rPr>
      </w:pPr>
      <w:r>
        <w:rPr>
          <w:sz w:val="20"/>
        </w:rPr>
        <w:t>67013213, Linda Duntava@em.gov.lv</w:t>
      </w:r>
    </w:p>
    <w:p w:rsidR="0014530C" w:rsidRDefault="0014530C"/>
    <w:sectPr w:rsidR="0014530C" w:rsidSect="00230A43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917" w:rsidRDefault="00D25917" w:rsidP="000E3B01">
      <w:r>
        <w:separator/>
      </w:r>
    </w:p>
  </w:endnote>
  <w:endnote w:type="continuationSeparator" w:id="0">
    <w:p w:rsidR="00D25917" w:rsidRDefault="00D25917" w:rsidP="000E3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4B" w:rsidRPr="0062716C" w:rsidRDefault="00BA7A25" w:rsidP="0062716C">
    <w:pPr>
      <w:jc w:val="both"/>
      <w:rPr>
        <w:sz w:val="20"/>
        <w:szCs w:val="20"/>
      </w:rPr>
    </w:pPr>
    <w:r w:rsidRPr="00DC0116">
      <w:rPr>
        <w:sz w:val="20"/>
        <w:szCs w:val="20"/>
      </w:rPr>
      <w:t>EMAnot_</w:t>
    </w:r>
    <w:r>
      <w:rPr>
        <w:sz w:val="20"/>
        <w:szCs w:val="20"/>
      </w:rPr>
      <w:t>27</w:t>
    </w:r>
    <w:r w:rsidRPr="00DC0116">
      <w:rPr>
        <w:sz w:val="20"/>
        <w:szCs w:val="20"/>
      </w:rPr>
      <w:t>0</w:t>
    </w:r>
    <w:r>
      <w:rPr>
        <w:sz w:val="20"/>
        <w:szCs w:val="20"/>
      </w:rPr>
      <w:t>9</w:t>
    </w:r>
    <w:r w:rsidRPr="00DC0116">
      <w:rPr>
        <w:sz w:val="20"/>
        <w:szCs w:val="20"/>
      </w:rPr>
      <w:t>11_Groz</w:t>
    </w:r>
    <w:r w:rsidR="00387434">
      <w:rPr>
        <w:sz w:val="20"/>
        <w:szCs w:val="20"/>
      </w:rPr>
      <w:t>LAPK</w:t>
    </w:r>
    <w:r w:rsidRPr="00DC0116">
      <w:rPr>
        <w:sz w:val="20"/>
        <w:szCs w:val="20"/>
      </w:rPr>
      <w:t xml:space="preserve">; </w:t>
    </w:r>
    <w:r w:rsidR="00387434">
      <w:rPr>
        <w:sz w:val="20"/>
        <w:szCs w:val="20"/>
      </w:rPr>
      <w:t>Likumprojekta „Grozījums</w:t>
    </w:r>
    <w:r w:rsidRPr="00DC0116">
      <w:rPr>
        <w:sz w:val="20"/>
        <w:szCs w:val="20"/>
      </w:rPr>
      <w:t xml:space="preserve"> </w:t>
    </w:r>
    <w:r w:rsidR="00387434">
      <w:rPr>
        <w:sz w:val="20"/>
        <w:szCs w:val="20"/>
      </w:rPr>
      <w:t>Latvijas Administratīvo pārkāpumu kodeksā</w:t>
    </w:r>
    <w:r w:rsidRPr="00DC0116">
      <w:rPr>
        <w:sz w:val="20"/>
        <w:szCs w:val="20"/>
      </w:rPr>
      <w:t>” sākotnējās</w:t>
    </w:r>
    <w:r w:rsidRPr="0062716C">
      <w:rPr>
        <w:sz w:val="20"/>
        <w:szCs w:val="20"/>
      </w:rPr>
      <w:t xml:space="preserve">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62716C">
        <w:rPr>
          <w:sz w:val="20"/>
          <w:szCs w:val="20"/>
        </w:rPr>
        <w:t>ziņojums</w:t>
      </w:r>
    </w:smartTag>
    <w:r w:rsidRPr="0062716C">
      <w:rPr>
        <w:sz w:val="20"/>
        <w:szCs w:val="20"/>
      </w:rPr>
      <w:t xml:space="preserve"> (anotācija)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4B" w:rsidRPr="0062716C" w:rsidRDefault="00387434" w:rsidP="00B164CD">
    <w:pPr>
      <w:jc w:val="both"/>
      <w:rPr>
        <w:sz w:val="20"/>
        <w:szCs w:val="20"/>
      </w:rPr>
    </w:pPr>
    <w:r w:rsidRPr="00DC0116">
      <w:rPr>
        <w:sz w:val="20"/>
        <w:szCs w:val="20"/>
      </w:rPr>
      <w:t>EMAnot_</w:t>
    </w:r>
    <w:r>
      <w:rPr>
        <w:sz w:val="20"/>
        <w:szCs w:val="20"/>
      </w:rPr>
      <w:t>27</w:t>
    </w:r>
    <w:r w:rsidRPr="00DC0116">
      <w:rPr>
        <w:sz w:val="20"/>
        <w:szCs w:val="20"/>
      </w:rPr>
      <w:t>0</w:t>
    </w:r>
    <w:r>
      <w:rPr>
        <w:sz w:val="20"/>
        <w:szCs w:val="20"/>
      </w:rPr>
      <w:t>9</w:t>
    </w:r>
    <w:r w:rsidRPr="00DC0116">
      <w:rPr>
        <w:sz w:val="20"/>
        <w:szCs w:val="20"/>
      </w:rPr>
      <w:t>11_Groz</w:t>
    </w:r>
    <w:r>
      <w:rPr>
        <w:sz w:val="20"/>
        <w:szCs w:val="20"/>
      </w:rPr>
      <w:t>LAPK</w:t>
    </w:r>
    <w:r w:rsidRPr="00DC0116">
      <w:rPr>
        <w:sz w:val="20"/>
        <w:szCs w:val="20"/>
      </w:rPr>
      <w:t xml:space="preserve">; </w:t>
    </w:r>
    <w:bookmarkStart w:id="8" w:name="OLE_LINK9"/>
    <w:bookmarkStart w:id="9" w:name="OLE_LINK10"/>
    <w:r>
      <w:rPr>
        <w:sz w:val="20"/>
        <w:szCs w:val="20"/>
      </w:rPr>
      <w:t>Likumprojekta „Grozījums</w:t>
    </w:r>
    <w:r w:rsidRPr="00DC0116">
      <w:rPr>
        <w:sz w:val="20"/>
        <w:szCs w:val="20"/>
      </w:rPr>
      <w:t xml:space="preserve"> </w:t>
    </w:r>
    <w:r>
      <w:rPr>
        <w:sz w:val="20"/>
        <w:szCs w:val="20"/>
      </w:rPr>
      <w:t>Latvijas Administratīvo pārkāpumu kodeksā</w:t>
    </w:r>
    <w:r w:rsidRPr="00DC0116">
      <w:rPr>
        <w:sz w:val="20"/>
        <w:szCs w:val="20"/>
      </w:rPr>
      <w:t>” sākotnējās</w:t>
    </w:r>
    <w:r w:rsidRPr="0062716C">
      <w:rPr>
        <w:sz w:val="20"/>
        <w:szCs w:val="20"/>
      </w:rPr>
      <w:t xml:space="preserve">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62716C">
        <w:rPr>
          <w:sz w:val="20"/>
          <w:szCs w:val="20"/>
        </w:rPr>
        <w:t>ziņojums</w:t>
      </w:r>
    </w:smartTag>
    <w:r w:rsidRPr="0062716C">
      <w:rPr>
        <w:sz w:val="20"/>
        <w:szCs w:val="20"/>
      </w:rPr>
      <w:t xml:space="preserve"> (anotācija)</w:t>
    </w:r>
    <w:bookmarkEnd w:id="8"/>
    <w:bookmarkEnd w:id="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917" w:rsidRDefault="00D25917" w:rsidP="000E3B01">
      <w:r>
        <w:separator/>
      </w:r>
    </w:p>
  </w:footnote>
  <w:footnote w:type="continuationSeparator" w:id="0">
    <w:p w:rsidR="00D25917" w:rsidRDefault="00D25917" w:rsidP="000E3B01">
      <w:r>
        <w:continuationSeparator/>
      </w:r>
    </w:p>
  </w:footnote>
  <w:footnote w:id="1">
    <w:p w:rsidR="000E3B01" w:rsidRDefault="000E3B01" w:rsidP="000E3B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54C87">
          <w:rPr>
            <w:rStyle w:val="Hyperlink"/>
          </w:rPr>
          <w:t>http://eur-lex.europa.eu/LexUriServ/LexUriServ.do?uri=OJ:L:2011:205:0031:0032:LV:PDF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4B" w:rsidRDefault="00BA7E2A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7A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1A4B" w:rsidRDefault="00345C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4B" w:rsidRDefault="00BA7E2A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7A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5CAB">
      <w:rPr>
        <w:rStyle w:val="PageNumber"/>
        <w:noProof/>
      </w:rPr>
      <w:t>4</w:t>
    </w:r>
    <w:r>
      <w:rPr>
        <w:rStyle w:val="PageNumber"/>
      </w:rPr>
      <w:fldChar w:fldCharType="end"/>
    </w:r>
  </w:p>
  <w:p w:rsidR="00B61A4B" w:rsidRDefault="00345C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B01"/>
    <w:rsid w:val="000E3B01"/>
    <w:rsid w:val="0014530C"/>
    <w:rsid w:val="00317390"/>
    <w:rsid w:val="00345CAB"/>
    <w:rsid w:val="00387434"/>
    <w:rsid w:val="00420FD2"/>
    <w:rsid w:val="004E62A6"/>
    <w:rsid w:val="005B69DA"/>
    <w:rsid w:val="006904BB"/>
    <w:rsid w:val="00AF08AC"/>
    <w:rsid w:val="00BA7A25"/>
    <w:rsid w:val="00BA7E2A"/>
    <w:rsid w:val="00D25917"/>
    <w:rsid w:val="00E4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3B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3B0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0E3B01"/>
  </w:style>
  <w:style w:type="paragraph" w:customStyle="1" w:styleId="naisf">
    <w:name w:val="naisf"/>
    <w:basedOn w:val="Normal"/>
    <w:rsid w:val="000E3B01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0E3B01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0E3B01"/>
    <w:pPr>
      <w:spacing w:before="75" w:after="75"/>
      <w:jc w:val="right"/>
    </w:pPr>
  </w:style>
  <w:style w:type="paragraph" w:customStyle="1" w:styleId="naiskr">
    <w:name w:val="naiskr"/>
    <w:basedOn w:val="Normal"/>
    <w:rsid w:val="000E3B01"/>
    <w:pPr>
      <w:spacing w:before="75" w:after="75"/>
    </w:pPr>
  </w:style>
  <w:style w:type="paragraph" w:styleId="FootnoteText">
    <w:name w:val="footnote text"/>
    <w:basedOn w:val="Normal"/>
    <w:link w:val="FootnoteTextChar"/>
    <w:uiPriority w:val="99"/>
    <w:semiHidden/>
    <w:rsid w:val="000E3B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3B0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rsid w:val="000E3B01"/>
    <w:rPr>
      <w:vertAlign w:val="superscript"/>
    </w:rPr>
  </w:style>
  <w:style w:type="paragraph" w:styleId="Footer">
    <w:name w:val="footer"/>
    <w:basedOn w:val="Normal"/>
    <w:link w:val="FooterChar"/>
    <w:rsid w:val="000E3B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E3B0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0E3B0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E3B01"/>
  </w:style>
  <w:style w:type="paragraph" w:styleId="NormalWeb">
    <w:name w:val="Normal (Web)"/>
    <w:basedOn w:val="Normal"/>
    <w:uiPriority w:val="99"/>
    <w:rsid w:val="000E3B01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rsid w:val="000E3B01"/>
    <w:pPr>
      <w:widowControl w:val="0"/>
      <w:spacing w:before="60" w:after="60" w:line="360" w:lineRule="auto"/>
      <w:ind w:firstLine="720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E3B01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Default">
    <w:name w:val="Default"/>
    <w:rsid w:val="000E3B0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story">
    <w:name w:val="story"/>
    <w:basedOn w:val="Normal"/>
    <w:rsid w:val="000E3B01"/>
    <w:pPr>
      <w:shd w:val="clear" w:color="auto" w:fill="FFFFFF"/>
      <w:spacing w:before="90" w:after="90" w:line="384" w:lineRule="auto"/>
      <w:ind w:left="150" w:right="225" w:firstLine="225"/>
      <w:jc w:val="both"/>
    </w:pPr>
    <w:rPr>
      <w:rFonts w:ascii="Verdana" w:hAnsi="Verdana"/>
      <w:color w:val="0000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xUriServ/LexUriServ.do?uri=OJ:L:2011:205:0031:0032:LV: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993</Words>
  <Characters>7254</Characters>
  <Application>Microsoft Office Word</Application>
  <DocSecurity>0</DocSecurity>
  <Lines>234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„Grozījums Latvijas Administratīvo pārkāpumu kodeksā” sākotnējās ietekmes novērtējuma ziņojums (anotācija)</dc:title>
  <dc:subject>Anotācija</dc:subject>
  <dc:creator>Linda Duntava</dc:creator>
  <cp:keywords/>
  <dc:description>Linda.Duntava@em.gov.lv; 67013213</dc:description>
  <cp:lastModifiedBy>LREM</cp:lastModifiedBy>
  <cp:revision>5</cp:revision>
  <cp:lastPrinted>2011-09-27T13:44:00Z</cp:lastPrinted>
  <dcterms:created xsi:type="dcterms:W3CDTF">2011-09-27T11:07:00Z</dcterms:created>
  <dcterms:modified xsi:type="dcterms:W3CDTF">2011-10-03T13:47:00Z</dcterms:modified>
</cp:coreProperties>
</file>