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390" w:rsidRPr="00A03129" w:rsidRDefault="00E222C4" w:rsidP="00E222C4">
      <w:pPr>
        <w:spacing w:after="0" w:line="240" w:lineRule="auto"/>
        <w:jc w:val="center"/>
        <w:rPr>
          <w:rFonts w:ascii="Times New Roman" w:eastAsia="Times New Roman" w:hAnsi="Times New Roman" w:cs="Times New Roman"/>
          <w:b/>
          <w:sz w:val="26"/>
          <w:szCs w:val="26"/>
        </w:rPr>
      </w:pPr>
      <w:r w:rsidRPr="00A03129">
        <w:rPr>
          <w:rFonts w:ascii="Times New Roman" w:eastAsia="Times New Roman" w:hAnsi="Times New Roman" w:cs="Times New Roman"/>
          <w:b/>
          <w:sz w:val="26"/>
          <w:szCs w:val="26"/>
        </w:rPr>
        <w:t>Ministru kabineta rīkojuma projekta „</w:t>
      </w:r>
      <w:r w:rsidR="00BB4406" w:rsidRPr="00A03129">
        <w:rPr>
          <w:rFonts w:ascii="Times New Roman" w:eastAsia="Times New Roman" w:hAnsi="Times New Roman" w:cs="Times New Roman"/>
          <w:b/>
          <w:sz w:val="26"/>
          <w:szCs w:val="26"/>
        </w:rPr>
        <w:t>Grozījum</w:t>
      </w:r>
      <w:r w:rsidR="00353488">
        <w:rPr>
          <w:rFonts w:ascii="Times New Roman" w:eastAsia="Times New Roman" w:hAnsi="Times New Roman" w:cs="Times New Roman"/>
          <w:b/>
          <w:sz w:val="26"/>
          <w:szCs w:val="26"/>
        </w:rPr>
        <w:t>i</w:t>
      </w:r>
      <w:r w:rsidR="00BB4406" w:rsidRPr="00A03129">
        <w:rPr>
          <w:rFonts w:ascii="Times New Roman" w:eastAsia="Times New Roman" w:hAnsi="Times New Roman" w:cs="Times New Roman"/>
          <w:b/>
          <w:sz w:val="26"/>
          <w:szCs w:val="26"/>
        </w:rPr>
        <w:t xml:space="preserve"> </w:t>
      </w:r>
      <w:r w:rsidRPr="00A03129">
        <w:rPr>
          <w:rFonts w:ascii="Times New Roman" w:eastAsia="Times New Roman" w:hAnsi="Times New Roman" w:cs="Times New Roman"/>
          <w:b/>
          <w:sz w:val="26"/>
          <w:szCs w:val="26"/>
        </w:rPr>
        <w:t>darbības programmas „</w:t>
      </w:r>
      <w:r w:rsidR="00911518">
        <w:rPr>
          <w:rFonts w:ascii="Times New Roman" w:eastAsia="Times New Roman" w:hAnsi="Times New Roman" w:cs="Times New Roman"/>
          <w:b/>
          <w:sz w:val="26"/>
          <w:szCs w:val="26"/>
        </w:rPr>
        <w:t>Cilvēkresursi un nodarbinātība</w:t>
      </w:r>
      <w:r w:rsidRPr="00A03129">
        <w:rPr>
          <w:rFonts w:ascii="Times New Roman" w:eastAsia="Times New Roman" w:hAnsi="Times New Roman" w:cs="Times New Roman"/>
          <w:b/>
          <w:sz w:val="26"/>
          <w:szCs w:val="26"/>
        </w:rPr>
        <w:t>” papildinājumā” sākotnējās ietekmes novērtējuma ziņojums (anotācija)</w:t>
      </w:r>
    </w:p>
    <w:p w:rsidR="00E222C4" w:rsidRPr="00A03129" w:rsidRDefault="00E222C4" w:rsidP="00E222C4">
      <w:pPr>
        <w:spacing w:after="0" w:line="240" w:lineRule="auto"/>
        <w:jc w:val="center"/>
        <w:rPr>
          <w:rFonts w:ascii="Times New Roman" w:eastAsia="Calibri" w:hAnsi="Times New Roman" w:cs="Times New Roman"/>
          <w:b/>
          <w:sz w:val="26"/>
          <w:szCs w:val="26"/>
        </w:rPr>
      </w:pPr>
    </w:p>
    <w:tbl>
      <w:tblPr>
        <w:tblW w:w="0" w:type="auto"/>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2567"/>
        <w:gridCol w:w="6379"/>
      </w:tblGrid>
      <w:tr w:rsidR="00D40CFC" w:rsidRPr="00256A1B" w:rsidTr="000F6E43">
        <w:tc>
          <w:tcPr>
            <w:tcW w:w="8946" w:type="dxa"/>
            <w:gridSpan w:val="2"/>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D40CFC" w:rsidRPr="00256A1B" w:rsidRDefault="00D40CFC" w:rsidP="00D40CFC">
            <w:pPr>
              <w:spacing w:after="0" w:line="240" w:lineRule="auto"/>
              <w:jc w:val="center"/>
              <w:rPr>
                <w:rFonts w:ascii="Times New Roman" w:eastAsia="Times New Roman" w:hAnsi="Times New Roman" w:cs="Times New Roman"/>
                <w:b/>
                <w:sz w:val="26"/>
                <w:szCs w:val="26"/>
              </w:rPr>
            </w:pPr>
            <w:r w:rsidRPr="00256A1B">
              <w:rPr>
                <w:rFonts w:ascii="Times New Roman" w:eastAsia="Times New Roman" w:hAnsi="Times New Roman" w:cs="Times New Roman"/>
                <w:b/>
                <w:sz w:val="26"/>
                <w:szCs w:val="26"/>
              </w:rPr>
              <w:t>I.Tiesību akta projekta izstrādes nepieciešamība</w:t>
            </w:r>
          </w:p>
        </w:tc>
      </w:tr>
      <w:tr w:rsidR="00D40CFC" w:rsidRPr="00256A1B" w:rsidTr="0034037A">
        <w:tc>
          <w:tcPr>
            <w:tcW w:w="2567" w:type="dxa"/>
            <w:tcBorders>
              <w:top w:val="thickThinLargeGap" w:sz="6" w:space="0" w:color="C0C0C0"/>
              <w:left w:val="thickThinLargeGap" w:sz="6" w:space="0" w:color="C0C0C0"/>
              <w:bottom w:val="thickThinLargeGap" w:sz="6" w:space="0" w:color="C0C0C0"/>
              <w:right w:val="thickThinLargeGap" w:sz="6" w:space="0" w:color="C0C0C0"/>
            </w:tcBorders>
            <w:hideMark/>
          </w:tcPr>
          <w:p w:rsidR="00D40CFC" w:rsidRPr="00256A1B" w:rsidRDefault="00D40CFC" w:rsidP="00D40CFC">
            <w:pPr>
              <w:spacing w:after="0" w:line="240" w:lineRule="auto"/>
              <w:rPr>
                <w:rFonts w:ascii="Times New Roman" w:eastAsia="Times New Roman" w:hAnsi="Times New Roman" w:cs="Times New Roman"/>
                <w:sz w:val="26"/>
                <w:szCs w:val="26"/>
              </w:rPr>
            </w:pPr>
            <w:r w:rsidRPr="00256A1B">
              <w:rPr>
                <w:rFonts w:ascii="Times New Roman" w:eastAsia="Times New Roman" w:hAnsi="Times New Roman" w:cs="Times New Roman"/>
                <w:sz w:val="26"/>
                <w:szCs w:val="26"/>
              </w:rPr>
              <w:t>1. Pamatojums</w:t>
            </w:r>
          </w:p>
        </w:tc>
        <w:tc>
          <w:tcPr>
            <w:tcW w:w="6379" w:type="dxa"/>
            <w:tcBorders>
              <w:top w:val="thickThinLargeGap" w:sz="6" w:space="0" w:color="C0C0C0"/>
              <w:left w:val="thickThinLargeGap" w:sz="6" w:space="0" w:color="C0C0C0"/>
              <w:bottom w:val="thickThinLargeGap" w:sz="6" w:space="0" w:color="C0C0C0"/>
              <w:right w:val="thickThinLargeGap" w:sz="6" w:space="0" w:color="C0C0C0"/>
            </w:tcBorders>
            <w:hideMark/>
          </w:tcPr>
          <w:p w:rsidR="00FC07BD" w:rsidRPr="00256A1B" w:rsidRDefault="007142D9" w:rsidP="00B47A8A">
            <w:pPr>
              <w:spacing w:after="0" w:line="240" w:lineRule="auto"/>
              <w:ind w:firstLine="567"/>
              <w:jc w:val="both"/>
              <w:rPr>
                <w:rFonts w:ascii="Times New Roman" w:eastAsia="Calibri" w:hAnsi="Times New Roman" w:cs="Times New Roman"/>
                <w:sz w:val="26"/>
                <w:szCs w:val="26"/>
              </w:rPr>
            </w:pPr>
            <w:r w:rsidRPr="00256A1B">
              <w:rPr>
                <w:rFonts w:ascii="Times New Roman" w:eastAsia="Calibri" w:hAnsi="Times New Roman" w:cs="Times New Roman"/>
                <w:sz w:val="26"/>
                <w:szCs w:val="26"/>
              </w:rPr>
              <w:t>Ministru kabineta rīkojuma projekts „</w:t>
            </w:r>
            <w:r w:rsidR="00E222C4" w:rsidRPr="00256A1B">
              <w:rPr>
                <w:rFonts w:ascii="Times New Roman" w:eastAsia="Calibri" w:hAnsi="Times New Roman" w:cs="Times New Roman"/>
                <w:sz w:val="26"/>
                <w:szCs w:val="26"/>
              </w:rPr>
              <w:t>Grozījum</w:t>
            </w:r>
            <w:r w:rsidR="00353488" w:rsidRPr="00256A1B">
              <w:rPr>
                <w:rFonts w:ascii="Times New Roman" w:eastAsia="Calibri" w:hAnsi="Times New Roman" w:cs="Times New Roman"/>
                <w:sz w:val="26"/>
                <w:szCs w:val="26"/>
              </w:rPr>
              <w:t>i</w:t>
            </w:r>
            <w:r w:rsidR="00E222C4" w:rsidRPr="00256A1B">
              <w:rPr>
                <w:rFonts w:ascii="Times New Roman" w:eastAsia="Calibri" w:hAnsi="Times New Roman" w:cs="Times New Roman"/>
                <w:sz w:val="26"/>
                <w:szCs w:val="26"/>
              </w:rPr>
              <w:t xml:space="preserve"> darbības programmas „</w:t>
            </w:r>
            <w:r w:rsidR="00FC07BD" w:rsidRPr="00256A1B">
              <w:rPr>
                <w:rFonts w:ascii="Times New Roman" w:eastAsia="Calibri" w:hAnsi="Times New Roman" w:cs="Times New Roman"/>
                <w:sz w:val="26"/>
                <w:szCs w:val="26"/>
              </w:rPr>
              <w:t>Cilvēkresursi un nodarbinātība</w:t>
            </w:r>
            <w:r w:rsidR="00E222C4" w:rsidRPr="00256A1B">
              <w:rPr>
                <w:rFonts w:ascii="Times New Roman" w:eastAsia="Calibri" w:hAnsi="Times New Roman" w:cs="Times New Roman"/>
                <w:sz w:val="26"/>
                <w:szCs w:val="26"/>
              </w:rPr>
              <w:t>” papildinājumā</w:t>
            </w:r>
            <w:r w:rsidRPr="00256A1B">
              <w:rPr>
                <w:rFonts w:ascii="Times New Roman" w:eastAsia="Calibri" w:hAnsi="Times New Roman" w:cs="Times New Roman"/>
                <w:sz w:val="26"/>
                <w:szCs w:val="26"/>
              </w:rPr>
              <w:t>”</w:t>
            </w:r>
            <w:r w:rsidR="00E222C4" w:rsidRPr="00256A1B">
              <w:rPr>
                <w:rFonts w:ascii="Times New Roman" w:eastAsia="Calibri" w:hAnsi="Times New Roman" w:cs="Times New Roman"/>
                <w:sz w:val="26"/>
                <w:szCs w:val="26"/>
              </w:rPr>
              <w:t xml:space="preserve"> </w:t>
            </w:r>
            <w:r w:rsidRPr="00256A1B">
              <w:rPr>
                <w:rFonts w:ascii="Times New Roman" w:eastAsia="Times New Roman" w:hAnsi="Times New Roman" w:cs="Times New Roman"/>
                <w:sz w:val="26"/>
                <w:szCs w:val="26"/>
                <w:lang w:bidi="lo-LA"/>
              </w:rPr>
              <w:t xml:space="preserve">(turpmāk – MK rīkojuma projekts) </w:t>
            </w:r>
            <w:r w:rsidR="00E222C4" w:rsidRPr="00256A1B">
              <w:rPr>
                <w:rFonts w:ascii="Times New Roman" w:eastAsia="Calibri" w:hAnsi="Times New Roman" w:cs="Times New Roman"/>
                <w:sz w:val="26"/>
                <w:szCs w:val="26"/>
              </w:rPr>
              <w:t>ir izstrādāti saskaņā ar Ministru kabineta 2007.gada 26.jūnija noteikumu Nr.419 „Kārtība, kādā Eiropas Savienības struktūrfondu un Kohēzijas fonda vadībā iesaistītās institūcijas nodrošina plānošanas dokumentu sagatavošanu un šo fondu ieviešanu” 9.punktu, kas paredz, ka attiecīgā Eiropas Savienības fondu atbildīgā iestāde izstrādā un iesniedz apstiprināšanai Ministru kabinetā darbības programmas papildinājuma grozījumus.</w:t>
            </w:r>
          </w:p>
        </w:tc>
      </w:tr>
      <w:tr w:rsidR="00D40CFC" w:rsidRPr="00256A1B" w:rsidTr="0034037A">
        <w:trPr>
          <w:trHeight w:val="360"/>
        </w:trPr>
        <w:tc>
          <w:tcPr>
            <w:tcW w:w="2567" w:type="dxa"/>
            <w:tcBorders>
              <w:top w:val="thickThinLargeGap" w:sz="6" w:space="0" w:color="C0C0C0"/>
              <w:left w:val="thickThinLargeGap" w:sz="6" w:space="0" w:color="C0C0C0"/>
              <w:bottom w:val="thickThinLargeGap" w:sz="6" w:space="0" w:color="C0C0C0"/>
              <w:right w:val="thickThinLargeGap" w:sz="6" w:space="0" w:color="C0C0C0"/>
            </w:tcBorders>
            <w:hideMark/>
          </w:tcPr>
          <w:p w:rsidR="00D40CFC" w:rsidRPr="006F2D55" w:rsidRDefault="00D40CFC" w:rsidP="00D40CFC">
            <w:pPr>
              <w:spacing w:after="0" w:line="240" w:lineRule="auto"/>
              <w:rPr>
                <w:rFonts w:ascii="Times New Roman" w:eastAsia="Times New Roman" w:hAnsi="Times New Roman" w:cs="Times New Roman"/>
                <w:sz w:val="26"/>
                <w:szCs w:val="26"/>
              </w:rPr>
            </w:pPr>
            <w:r w:rsidRPr="006F2D55">
              <w:rPr>
                <w:rFonts w:ascii="Times New Roman" w:eastAsia="Times New Roman" w:hAnsi="Times New Roman" w:cs="Times New Roman"/>
                <w:sz w:val="26"/>
                <w:szCs w:val="26"/>
              </w:rPr>
              <w:t>2. Pašreizējā situācija un problēmas</w:t>
            </w:r>
          </w:p>
        </w:tc>
        <w:tc>
          <w:tcPr>
            <w:tcW w:w="6379" w:type="dxa"/>
            <w:tcBorders>
              <w:top w:val="thickThinLargeGap" w:sz="6" w:space="0" w:color="C0C0C0"/>
              <w:left w:val="thickThinLargeGap" w:sz="6" w:space="0" w:color="C0C0C0"/>
              <w:bottom w:val="thickThinLargeGap" w:sz="6" w:space="0" w:color="C0C0C0"/>
              <w:right w:val="thickThinLargeGap" w:sz="6" w:space="0" w:color="C0C0C0"/>
            </w:tcBorders>
            <w:hideMark/>
          </w:tcPr>
          <w:p w:rsidR="000E0376" w:rsidRPr="006F2D55" w:rsidRDefault="000E0376" w:rsidP="000431AD">
            <w:pPr>
              <w:spacing w:after="0" w:line="240" w:lineRule="auto"/>
              <w:ind w:firstLine="720"/>
              <w:jc w:val="both"/>
              <w:rPr>
                <w:rFonts w:ascii="Times New Roman" w:eastAsia="Times New Roman" w:hAnsi="Times New Roman" w:cs="Times New Roman"/>
                <w:bCs/>
                <w:sz w:val="26"/>
                <w:szCs w:val="26"/>
              </w:rPr>
            </w:pPr>
            <w:r w:rsidRPr="006F2D55">
              <w:rPr>
                <w:rFonts w:ascii="Times New Roman" w:eastAsia="Times New Roman" w:hAnsi="Times New Roman" w:cs="Times New Roman"/>
                <w:bCs/>
                <w:sz w:val="26"/>
                <w:szCs w:val="26"/>
              </w:rPr>
              <w:t>Grozījumi darbības programmas „Cilvēkresursi un nodarbinātība” papildinājumā ir nepieciešami, lai nodrošinātu efektīvu un pilnīgu finansējuma apguvi 1.3.1.1.1.apakšaktivitātes „Atbalsts nodarbināto apmācībām komersantu konkurētspējas veicināšanai – atbalsts par</w:t>
            </w:r>
            <w:r w:rsidR="000837EF" w:rsidRPr="006F2D55">
              <w:rPr>
                <w:rFonts w:ascii="Times New Roman" w:eastAsia="Times New Roman" w:hAnsi="Times New Roman" w:cs="Times New Roman"/>
                <w:bCs/>
                <w:sz w:val="26"/>
                <w:szCs w:val="26"/>
              </w:rPr>
              <w:t>tnerībās organizētām apmācībām” (turpmāk – 1.3.1.1.1.aktivitāte), 1.3.1.1.4.apakšaktivitātes „Atbalsts nodarbināto apmācībām komersantu konkurētspējas veicināšanai – atbalsts komersantu individuāli organizētām apmācībām” (turpmāk – 1.3.1.1.4.aktivitāte)</w:t>
            </w:r>
            <w:r w:rsidRPr="006F2D55">
              <w:rPr>
                <w:rFonts w:ascii="Times New Roman" w:eastAsia="Times New Roman" w:hAnsi="Times New Roman" w:cs="Times New Roman"/>
                <w:bCs/>
                <w:sz w:val="26"/>
                <w:szCs w:val="26"/>
              </w:rPr>
              <w:t xml:space="preserve"> un</w:t>
            </w:r>
            <w:r w:rsidR="000837EF" w:rsidRPr="006F2D55">
              <w:rPr>
                <w:rFonts w:ascii="Times New Roman" w:eastAsia="Times New Roman" w:hAnsi="Times New Roman" w:cs="Times New Roman"/>
                <w:bCs/>
                <w:sz w:val="26"/>
                <w:szCs w:val="26"/>
              </w:rPr>
              <w:t xml:space="preserve"> 1.3.1.2.aktivitātes „Atbalsts </w:t>
            </w:r>
            <w:proofErr w:type="spellStart"/>
            <w:r w:rsidR="000837EF" w:rsidRPr="006F2D55">
              <w:rPr>
                <w:rFonts w:ascii="Times New Roman" w:eastAsia="Times New Roman" w:hAnsi="Times New Roman" w:cs="Times New Roman"/>
                <w:bCs/>
                <w:sz w:val="26"/>
                <w:szCs w:val="26"/>
              </w:rPr>
              <w:t>pašnodarbinātības</w:t>
            </w:r>
            <w:proofErr w:type="spellEnd"/>
            <w:r w:rsidR="000837EF" w:rsidRPr="006F2D55">
              <w:rPr>
                <w:rFonts w:ascii="Times New Roman" w:eastAsia="Times New Roman" w:hAnsi="Times New Roman" w:cs="Times New Roman"/>
                <w:bCs/>
                <w:sz w:val="26"/>
                <w:szCs w:val="26"/>
              </w:rPr>
              <w:t xml:space="preserve"> un uzņēmējdarbības uzsākšanai” (turpmāk – 1.3.1.2.aktivitāte)</w:t>
            </w:r>
            <w:r w:rsidRPr="006F2D55">
              <w:rPr>
                <w:rFonts w:ascii="Times New Roman" w:eastAsia="Times New Roman" w:hAnsi="Times New Roman" w:cs="Times New Roman"/>
                <w:bCs/>
                <w:sz w:val="26"/>
                <w:szCs w:val="26"/>
              </w:rPr>
              <w:t xml:space="preserve"> ietvaros.</w:t>
            </w:r>
          </w:p>
          <w:p w:rsidR="00CE46BB" w:rsidRPr="006F2D55" w:rsidRDefault="00CE46BB" w:rsidP="00F16931">
            <w:pPr>
              <w:spacing w:after="0" w:line="240" w:lineRule="auto"/>
              <w:ind w:firstLine="720"/>
              <w:jc w:val="both"/>
              <w:rPr>
                <w:rFonts w:ascii="Times New Roman" w:eastAsia="Times New Roman" w:hAnsi="Times New Roman" w:cs="Times New Roman"/>
                <w:bCs/>
                <w:sz w:val="26"/>
                <w:szCs w:val="26"/>
              </w:rPr>
            </w:pPr>
            <w:r w:rsidRPr="006F2D55">
              <w:rPr>
                <w:rFonts w:ascii="Times New Roman" w:eastAsia="Times New Roman" w:hAnsi="Times New Roman" w:cs="Times New Roman"/>
                <w:bCs/>
                <w:sz w:val="26"/>
                <w:szCs w:val="26"/>
              </w:rPr>
              <w:t xml:space="preserve">Eiropas Komisijas Nodarbinātības, sociālo lietu un </w:t>
            </w:r>
            <w:proofErr w:type="spellStart"/>
            <w:r w:rsidRPr="006F2D55">
              <w:rPr>
                <w:rFonts w:ascii="Times New Roman" w:eastAsia="Times New Roman" w:hAnsi="Times New Roman" w:cs="Times New Roman"/>
                <w:bCs/>
                <w:sz w:val="26"/>
                <w:szCs w:val="26"/>
              </w:rPr>
              <w:t>iekļautības</w:t>
            </w:r>
            <w:proofErr w:type="spellEnd"/>
            <w:r w:rsidRPr="006F2D55">
              <w:rPr>
                <w:rFonts w:ascii="Times New Roman" w:eastAsia="Times New Roman" w:hAnsi="Times New Roman" w:cs="Times New Roman"/>
                <w:bCs/>
                <w:sz w:val="26"/>
                <w:szCs w:val="26"/>
              </w:rPr>
              <w:t xml:space="preserve"> ģenerāldirektorāts (turpmāk – DG EMPL) veica auditu par Eiropas Sociālā fonda līdzfinansētās finanšu vadības instrumentu aktivitātes īstenošanu Latvijā un audita rezultātā tika aprēķināta finanšu korekcija 1.3.1.2.aktivitātes ietvaros. Ministru kabineta 2013.gada 5.marta sēdē (protokols Nr.13, 38§)  tika pieņemts lēmums piekrist DG EMPL noteiktajam finanšu korekcijas apmēram (http://www.mk.gov.lv/lv/mk/tap/?pid=40278062&amp;mode=mk&amp;date=2013-03-05).</w:t>
            </w:r>
          </w:p>
          <w:p w:rsidR="000E0376" w:rsidRPr="006F2D55" w:rsidRDefault="00CE46BB" w:rsidP="00114A98">
            <w:pPr>
              <w:spacing w:after="0" w:line="240" w:lineRule="auto"/>
              <w:jc w:val="both"/>
              <w:rPr>
                <w:rFonts w:ascii="Times New Roman" w:eastAsia="Times New Roman" w:hAnsi="Times New Roman" w:cs="Times New Roman"/>
                <w:bCs/>
                <w:sz w:val="26"/>
                <w:szCs w:val="26"/>
              </w:rPr>
            </w:pPr>
            <w:r w:rsidRPr="006F2D55">
              <w:rPr>
                <w:rFonts w:ascii="Times New Roman" w:eastAsia="Times New Roman" w:hAnsi="Times New Roman" w:cs="Times New Roman"/>
                <w:bCs/>
                <w:sz w:val="26"/>
                <w:szCs w:val="26"/>
              </w:rPr>
              <w:t xml:space="preserve">Saskaņā ar Ministru kabineta 2013.gada 5.marta </w:t>
            </w:r>
            <w:proofErr w:type="spellStart"/>
            <w:r w:rsidRPr="006F2D55">
              <w:rPr>
                <w:rFonts w:ascii="Times New Roman" w:eastAsia="Times New Roman" w:hAnsi="Times New Roman" w:cs="Times New Roman"/>
                <w:bCs/>
                <w:sz w:val="26"/>
                <w:szCs w:val="26"/>
              </w:rPr>
              <w:t>protokollēmuma</w:t>
            </w:r>
            <w:proofErr w:type="spellEnd"/>
            <w:r w:rsidRPr="006F2D55">
              <w:rPr>
                <w:rFonts w:ascii="Times New Roman" w:eastAsia="Times New Roman" w:hAnsi="Times New Roman" w:cs="Times New Roman"/>
                <w:bCs/>
                <w:sz w:val="26"/>
                <w:szCs w:val="26"/>
              </w:rPr>
              <w:t xml:space="preserve"> 38.§ 9.punktu un Ministru kabineta 2013.gada 28.maija </w:t>
            </w:r>
            <w:proofErr w:type="spellStart"/>
            <w:r w:rsidRPr="006F2D55">
              <w:rPr>
                <w:rFonts w:ascii="Times New Roman" w:eastAsia="Times New Roman" w:hAnsi="Times New Roman" w:cs="Times New Roman"/>
                <w:bCs/>
                <w:sz w:val="26"/>
                <w:szCs w:val="26"/>
              </w:rPr>
              <w:t>protokollēmuma</w:t>
            </w:r>
            <w:proofErr w:type="spellEnd"/>
            <w:r w:rsidRPr="006F2D55">
              <w:rPr>
                <w:rFonts w:ascii="Times New Roman" w:eastAsia="Times New Roman" w:hAnsi="Times New Roman" w:cs="Times New Roman"/>
                <w:bCs/>
                <w:sz w:val="26"/>
                <w:szCs w:val="26"/>
              </w:rPr>
              <w:t xml:space="preserve"> 47.§ 9.punktu, Ekonomikas ministrija (turpmāk – EM) 2013.gada 27.jūnijā iesniedza Valsts Kancelejā Ministru kabineta noteikumu Nr.293 „Noteikumi par darbības programmas „Cilvēkresursi un nodarbinātība” papildinājuma 1.3.1.2.aktivitāti „Atbalsts </w:t>
            </w:r>
            <w:proofErr w:type="spellStart"/>
            <w:r w:rsidRPr="006F2D55">
              <w:rPr>
                <w:rFonts w:ascii="Times New Roman" w:eastAsia="Times New Roman" w:hAnsi="Times New Roman" w:cs="Times New Roman"/>
                <w:bCs/>
                <w:sz w:val="26"/>
                <w:szCs w:val="26"/>
              </w:rPr>
              <w:lastRenderedPageBreak/>
              <w:t>pašnodarbinātības</w:t>
            </w:r>
            <w:proofErr w:type="spellEnd"/>
            <w:r w:rsidRPr="006F2D55">
              <w:rPr>
                <w:rFonts w:ascii="Times New Roman" w:eastAsia="Times New Roman" w:hAnsi="Times New Roman" w:cs="Times New Roman"/>
                <w:bCs/>
                <w:sz w:val="26"/>
                <w:szCs w:val="26"/>
              </w:rPr>
              <w:t xml:space="preserve"> un uzņēmējdarbības uzsākšanai”” (turpmāk – MK noteikumi Nr.293) grozījumu projektu un 2013.gada 2.jūlija Ministru kabineta sēdē šie grozījumi tika apstiprināti. Atbilstoši veiktajiem aprēķiniem tika paredzēta finanšu korekcija aktivitātei,</w:t>
            </w:r>
            <w:r w:rsidR="004817E9" w:rsidRPr="006F2D55">
              <w:rPr>
                <w:rFonts w:ascii="Times New Roman" w:eastAsia="Times New Roman" w:hAnsi="Times New Roman" w:cs="Times New Roman"/>
                <w:bCs/>
                <w:sz w:val="26"/>
                <w:szCs w:val="26"/>
              </w:rPr>
              <w:t xml:space="preserve"> par 5 273 182 EUR</w:t>
            </w:r>
            <w:r w:rsidRPr="006F2D55">
              <w:rPr>
                <w:rFonts w:ascii="Times New Roman" w:eastAsia="Times New Roman" w:hAnsi="Times New Roman" w:cs="Times New Roman"/>
                <w:bCs/>
                <w:sz w:val="26"/>
                <w:szCs w:val="26"/>
              </w:rPr>
              <w:t xml:space="preserve"> samazinot ESF finansējuma daļu, par 930 562 EUR samazinot nacionālā publiskā finansējuma daļu un par 1 708 689 EUR samazinot privātā finansējuma daļu un novirzot to 1.3.1.1.1.apakšaktivitātes „Atbalsts nodarbināto apmācībām komersantu konkurētspējas veicināšanai - atbalsts partnerībās organizētām apmācībām” projektu iesniegumu atlases otrās kārtas īstenošanai. 2013.gada 13.augustā Ministru kabinetā tika apstiprināti grozījumi MK noteikumos Nr.328 par atbilst</w:t>
            </w:r>
            <w:r w:rsidR="004817E9" w:rsidRPr="006F2D55">
              <w:rPr>
                <w:rFonts w:ascii="Times New Roman" w:eastAsia="Times New Roman" w:hAnsi="Times New Roman" w:cs="Times New Roman"/>
                <w:bCs/>
                <w:sz w:val="26"/>
                <w:szCs w:val="26"/>
              </w:rPr>
              <w:t xml:space="preserve">ošu finansējuma palielinājumu. </w:t>
            </w:r>
          </w:p>
          <w:p w:rsidR="000E0376" w:rsidRPr="006F2D55" w:rsidRDefault="000E0376" w:rsidP="000E0376">
            <w:pPr>
              <w:spacing w:after="0" w:line="240" w:lineRule="auto"/>
              <w:jc w:val="both"/>
              <w:rPr>
                <w:rFonts w:ascii="Times New Roman" w:eastAsia="Times New Roman" w:hAnsi="Times New Roman" w:cs="Times New Roman"/>
                <w:bCs/>
                <w:sz w:val="26"/>
                <w:szCs w:val="26"/>
              </w:rPr>
            </w:pPr>
            <w:r w:rsidRPr="006F2D55">
              <w:rPr>
                <w:rFonts w:ascii="Times New Roman" w:eastAsia="Times New Roman" w:hAnsi="Times New Roman" w:cs="Times New Roman"/>
                <w:bCs/>
                <w:sz w:val="26"/>
                <w:szCs w:val="26"/>
              </w:rPr>
              <w:t>Saskaņā ar DG EMPL sākotnēji pausto viedokli par korekcijas apjomu 1.3.1.2. aktivitātei, finanšu korekcija par grantu saimnieciskās darbības nodrošināšanai un apmācībām tika rēķināta pilnā apmērā, arī par vēl neizmaksātajām summām gala saņēmējiem. Vadošā iestāde iebilda pret šo DG EMPL viedokli, taču, lai pēc iespējas ātrāk varētu atsākt 1.3.1.2.aktivitātes pilnvērtīgu ieviešanu, izsniedzot aizdevumus ar procentu likmes subsīdiju, EM virzīja MK noteikumu Nr.293 projektu apstiprināšanai Ministru Kabineta sēdē, ņemot vērā pilno korekcijas apmēru. 04.07.2013. vadošā iestāde nosūtīja DG EMPL gala aprēķinus finanšu korekcijai, un DG EMPL 02.08.2013. sniedza viedokli, ka piekrīt vadošās iestādes finanšu korekcijas apmēram, ka tiek koriģēti ESF un  valsts budžeta līdzekļi par to summu, ka</w:t>
            </w:r>
            <w:r w:rsidR="009104C1" w:rsidRPr="006F2D55">
              <w:rPr>
                <w:rFonts w:ascii="Times New Roman" w:eastAsia="Times New Roman" w:hAnsi="Times New Roman" w:cs="Times New Roman"/>
                <w:bCs/>
                <w:sz w:val="26"/>
                <w:szCs w:val="26"/>
              </w:rPr>
              <w:t>s ir izmaksāta gala saņēmējiem.</w:t>
            </w:r>
          </w:p>
          <w:p w:rsidR="00F16931" w:rsidRPr="006F2D55" w:rsidRDefault="009104C1" w:rsidP="00F16931">
            <w:pPr>
              <w:spacing w:after="0" w:line="240" w:lineRule="auto"/>
              <w:jc w:val="both"/>
              <w:rPr>
                <w:rFonts w:ascii="Times New Roman" w:eastAsia="Times New Roman" w:hAnsi="Times New Roman" w:cs="Times New Roman"/>
                <w:bCs/>
                <w:sz w:val="26"/>
                <w:szCs w:val="26"/>
              </w:rPr>
            </w:pPr>
            <w:proofErr w:type="spellStart"/>
            <w:r w:rsidRPr="006F2D55">
              <w:rPr>
                <w:rFonts w:ascii="Times New Roman" w:eastAsia="Times New Roman" w:hAnsi="Times New Roman" w:cs="Times New Roman"/>
                <w:bCs/>
                <w:sz w:val="26"/>
                <w:szCs w:val="26"/>
              </w:rPr>
              <w:t>Š.g</w:t>
            </w:r>
            <w:proofErr w:type="spellEnd"/>
            <w:r w:rsidRPr="006F2D55">
              <w:rPr>
                <w:rFonts w:ascii="Times New Roman" w:eastAsia="Times New Roman" w:hAnsi="Times New Roman" w:cs="Times New Roman"/>
                <w:bCs/>
                <w:sz w:val="26"/>
                <w:szCs w:val="26"/>
              </w:rPr>
              <w:t xml:space="preserve">. 12.septembrī Koalīcijas darba grupa lēma, ka </w:t>
            </w:r>
            <w:r w:rsidR="000E0376" w:rsidRPr="006F2D55">
              <w:rPr>
                <w:rFonts w:ascii="Times New Roman" w:eastAsia="Times New Roman" w:hAnsi="Times New Roman" w:cs="Times New Roman"/>
                <w:bCs/>
                <w:sz w:val="26"/>
                <w:szCs w:val="26"/>
              </w:rPr>
              <w:t xml:space="preserve">1.3.1.2.aktivitātes īstenošanai pieejamo finansējumu nepieciešams palielināt par </w:t>
            </w:r>
            <w:r w:rsidR="000019D8" w:rsidRPr="006F2D55">
              <w:rPr>
                <w:rFonts w:ascii="Times New Roman" w:eastAsia="Times New Roman" w:hAnsi="Times New Roman" w:cs="Times New Roman"/>
                <w:bCs/>
                <w:sz w:val="26"/>
                <w:szCs w:val="26"/>
              </w:rPr>
              <w:t xml:space="preserve">914 464 EUR </w:t>
            </w:r>
            <w:proofErr w:type="spellStart"/>
            <w:r w:rsidR="000019D8" w:rsidRPr="006F2D55">
              <w:rPr>
                <w:rFonts w:ascii="Times New Roman" w:eastAsia="Times New Roman" w:hAnsi="Times New Roman" w:cs="Times New Roman"/>
                <w:bCs/>
                <w:sz w:val="26"/>
                <w:szCs w:val="26"/>
              </w:rPr>
              <w:t>t.sk</w:t>
            </w:r>
            <w:proofErr w:type="spellEnd"/>
            <w:r w:rsidR="000019D8" w:rsidRPr="006F2D55">
              <w:rPr>
                <w:rFonts w:ascii="Times New Roman" w:eastAsia="Times New Roman" w:hAnsi="Times New Roman" w:cs="Times New Roman"/>
                <w:bCs/>
                <w:sz w:val="26"/>
                <w:szCs w:val="26"/>
              </w:rPr>
              <w:t xml:space="preserve">. </w:t>
            </w:r>
            <w:r w:rsidR="004817E9" w:rsidRPr="006F2D55">
              <w:rPr>
                <w:rFonts w:ascii="Times New Roman" w:eastAsia="Times New Roman" w:hAnsi="Times New Roman" w:cs="Times New Roman"/>
                <w:bCs/>
                <w:sz w:val="26"/>
                <w:szCs w:val="26"/>
              </w:rPr>
              <w:t>777 295</w:t>
            </w:r>
            <w:r w:rsidR="000E0376" w:rsidRPr="006F2D55">
              <w:rPr>
                <w:rFonts w:ascii="Times New Roman" w:eastAsia="Times New Roman" w:hAnsi="Times New Roman" w:cs="Times New Roman"/>
                <w:bCs/>
                <w:sz w:val="26"/>
                <w:szCs w:val="26"/>
              </w:rPr>
              <w:t xml:space="preserve"> </w:t>
            </w:r>
            <w:r w:rsidR="004817E9" w:rsidRPr="006F2D55">
              <w:rPr>
                <w:rFonts w:ascii="Times New Roman" w:eastAsia="Times New Roman" w:hAnsi="Times New Roman" w:cs="Times New Roman"/>
                <w:bCs/>
                <w:sz w:val="26"/>
                <w:szCs w:val="26"/>
              </w:rPr>
              <w:t>EUR</w:t>
            </w:r>
            <w:r w:rsidR="000E0376" w:rsidRPr="006F2D55">
              <w:rPr>
                <w:rFonts w:ascii="Times New Roman" w:eastAsia="Times New Roman" w:hAnsi="Times New Roman" w:cs="Times New Roman"/>
                <w:bCs/>
                <w:sz w:val="26"/>
                <w:szCs w:val="26"/>
              </w:rPr>
              <w:t xml:space="preserve"> ESF finansējuma un </w:t>
            </w:r>
            <w:r w:rsidR="004817E9" w:rsidRPr="006F2D55">
              <w:rPr>
                <w:rFonts w:ascii="Times New Roman" w:eastAsia="Times New Roman" w:hAnsi="Times New Roman" w:cs="Times New Roman"/>
                <w:bCs/>
                <w:sz w:val="26"/>
                <w:szCs w:val="26"/>
              </w:rPr>
              <w:t>137 169 EUR</w:t>
            </w:r>
            <w:r w:rsidR="00F16931" w:rsidRPr="006F2D55">
              <w:rPr>
                <w:rFonts w:ascii="Times New Roman" w:eastAsia="Times New Roman" w:hAnsi="Times New Roman" w:cs="Times New Roman"/>
                <w:bCs/>
                <w:sz w:val="26"/>
                <w:szCs w:val="26"/>
              </w:rPr>
              <w:t xml:space="preserve"> valsts budžeta finansējuma, pārdalot uz 1.3.1.2aktivitāti </w:t>
            </w:r>
            <w:r w:rsidR="00556F74" w:rsidRPr="006F2D55">
              <w:rPr>
                <w:rFonts w:ascii="Times New Roman" w:eastAsia="Times New Roman" w:hAnsi="Times New Roman" w:cs="Times New Roman"/>
                <w:bCs/>
                <w:sz w:val="26"/>
                <w:szCs w:val="26"/>
              </w:rPr>
              <w:t xml:space="preserve">137 169 EUR </w:t>
            </w:r>
            <w:r w:rsidR="000E0376" w:rsidRPr="006F2D55">
              <w:rPr>
                <w:rFonts w:ascii="Times New Roman" w:eastAsia="Times New Roman" w:hAnsi="Times New Roman" w:cs="Times New Roman"/>
                <w:bCs/>
                <w:sz w:val="26"/>
                <w:szCs w:val="26"/>
              </w:rPr>
              <w:t xml:space="preserve">valsts budžeta finansējuma </w:t>
            </w:r>
            <w:r w:rsidR="00F16931" w:rsidRPr="006F2D55">
              <w:rPr>
                <w:rFonts w:ascii="Times New Roman" w:eastAsia="Times New Roman" w:hAnsi="Times New Roman" w:cs="Times New Roman"/>
                <w:bCs/>
                <w:sz w:val="26"/>
                <w:szCs w:val="26"/>
              </w:rPr>
              <w:t>un 160 635 EUR ESF finansējuma no 1.3.1.1.1.aktivitātes un 616 660 EUR ESF finansējuma no 1.3.1.1.4.aktivitātes.</w:t>
            </w:r>
          </w:p>
          <w:p w:rsidR="00A95245" w:rsidRPr="00F16931" w:rsidRDefault="00A95245" w:rsidP="00121167">
            <w:pPr>
              <w:spacing w:after="0" w:line="240" w:lineRule="auto"/>
              <w:jc w:val="both"/>
              <w:rPr>
                <w:rFonts w:ascii="Times New Roman" w:eastAsia="Times New Roman" w:hAnsi="Times New Roman" w:cs="Times New Roman"/>
                <w:bCs/>
                <w:sz w:val="26"/>
                <w:szCs w:val="26"/>
              </w:rPr>
            </w:pPr>
            <w:r w:rsidRPr="006F2D55">
              <w:rPr>
                <w:rFonts w:ascii="Times New Roman" w:eastAsia="Times New Roman" w:hAnsi="Times New Roman" w:cs="Times New Roman"/>
                <w:bCs/>
                <w:sz w:val="26"/>
                <w:szCs w:val="26"/>
              </w:rPr>
              <w:t xml:space="preserve">Kā arī, tā kā </w:t>
            </w:r>
            <w:r w:rsidR="00121167" w:rsidRPr="006F2D55">
              <w:rPr>
                <w:rFonts w:ascii="Times New Roman" w:eastAsia="Times New Roman" w:hAnsi="Times New Roman" w:cs="Times New Roman"/>
                <w:bCs/>
                <w:sz w:val="26"/>
                <w:szCs w:val="26"/>
              </w:rPr>
              <w:t>1.3.1.2.aktivitātes ietvaros apmācības vairs nav attiecināmas no ESF finansējuma, par to progresu nav jāziņo ES fondu ieviešanas progresa ziņojumos</w:t>
            </w:r>
            <w:r w:rsidR="00345004" w:rsidRPr="006F2D55">
              <w:rPr>
                <w:rFonts w:ascii="Times New Roman" w:eastAsia="Times New Roman" w:hAnsi="Times New Roman" w:cs="Times New Roman"/>
                <w:bCs/>
                <w:sz w:val="26"/>
                <w:szCs w:val="26"/>
              </w:rPr>
              <w:t>, tādēļ</w:t>
            </w:r>
            <w:r w:rsidR="00121167" w:rsidRPr="006F2D55">
              <w:rPr>
                <w:rFonts w:ascii="Times New Roman" w:eastAsia="Times New Roman" w:hAnsi="Times New Roman" w:cs="Times New Roman"/>
                <w:bCs/>
                <w:sz w:val="26"/>
                <w:szCs w:val="26"/>
              </w:rPr>
              <w:t xml:space="preserve"> no darbības programmas „Cilvēkresursi un nodarbinātība” papildinājuma</w:t>
            </w:r>
            <w:r w:rsidRPr="006F2D55">
              <w:rPr>
                <w:rFonts w:ascii="Times New Roman" w:eastAsia="Times New Roman" w:hAnsi="Times New Roman" w:cs="Times New Roman"/>
                <w:bCs/>
                <w:sz w:val="26"/>
                <w:szCs w:val="26"/>
              </w:rPr>
              <w:t xml:space="preserve"> nepieciešams svītrot iznākuma rādītāju „Apmācības uzņēmējdarbības un </w:t>
            </w:r>
            <w:proofErr w:type="spellStart"/>
            <w:r w:rsidRPr="006F2D55">
              <w:rPr>
                <w:rFonts w:ascii="Times New Roman" w:eastAsia="Times New Roman" w:hAnsi="Times New Roman" w:cs="Times New Roman"/>
                <w:bCs/>
                <w:sz w:val="26"/>
                <w:szCs w:val="26"/>
              </w:rPr>
              <w:t>pašnodarbinātības</w:t>
            </w:r>
            <w:proofErr w:type="spellEnd"/>
            <w:r w:rsidRPr="006F2D55">
              <w:rPr>
                <w:rFonts w:ascii="Times New Roman" w:eastAsia="Times New Roman" w:hAnsi="Times New Roman" w:cs="Times New Roman"/>
                <w:bCs/>
                <w:sz w:val="26"/>
                <w:szCs w:val="26"/>
              </w:rPr>
              <w:t xml:space="preserve"> uzsākšanai saņēmušo personu skaits” un precizēt rezultāta rādītāja „</w:t>
            </w:r>
            <w:proofErr w:type="spellStart"/>
            <w:r w:rsidRPr="006F2D55">
              <w:rPr>
                <w:rFonts w:ascii="Times New Roman" w:eastAsia="Times New Roman" w:hAnsi="Times New Roman" w:cs="Times New Roman"/>
                <w:bCs/>
                <w:sz w:val="26"/>
                <w:szCs w:val="26"/>
              </w:rPr>
              <w:t>Pašnodarbinātību</w:t>
            </w:r>
            <w:proofErr w:type="spellEnd"/>
            <w:r w:rsidRPr="006F2D55">
              <w:rPr>
                <w:rFonts w:ascii="Times New Roman" w:eastAsia="Times New Roman" w:hAnsi="Times New Roman" w:cs="Times New Roman"/>
                <w:bCs/>
                <w:sz w:val="26"/>
                <w:szCs w:val="26"/>
              </w:rPr>
              <w:t xml:space="preserve"> un komercdarbību uzsākušo personu īpatsvars no konsultācijas un apmācības </w:t>
            </w:r>
            <w:r w:rsidRPr="006F2D55">
              <w:rPr>
                <w:rFonts w:ascii="Times New Roman" w:eastAsia="Times New Roman" w:hAnsi="Times New Roman" w:cs="Times New Roman"/>
                <w:bCs/>
                <w:sz w:val="26"/>
                <w:szCs w:val="26"/>
              </w:rPr>
              <w:lastRenderedPageBreak/>
              <w:t>saņēmušajām personām” definīciju, svītrojot vārdus „un apmācības”.</w:t>
            </w:r>
          </w:p>
        </w:tc>
      </w:tr>
      <w:tr w:rsidR="00D40CFC" w:rsidRPr="00256A1B" w:rsidTr="0034037A">
        <w:trPr>
          <w:trHeight w:val="360"/>
        </w:trPr>
        <w:tc>
          <w:tcPr>
            <w:tcW w:w="2567" w:type="dxa"/>
            <w:tcBorders>
              <w:top w:val="thickThinLargeGap" w:sz="6" w:space="0" w:color="C0C0C0"/>
              <w:left w:val="thickThinLargeGap" w:sz="6" w:space="0" w:color="C0C0C0"/>
              <w:bottom w:val="thickThinLargeGap" w:sz="6" w:space="0" w:color="C0C0C0"/>
              <w:right w:val="thickThinLargeGap" w:sz="6" w:space="0" w:color="C0C0C0"/>
            </w:tcBorders>
            <w:hideMark/>
          </w:tcPr>
          <w:p w:rsidR="00D40CFC" w:rsidRPr="00256A1B" w:rsidRDefault="00D40CFC" w:rsidP="00D40CFC">
            <w:pPr>
              <w:spacing w:after="0" w:line="240" w:lineRule="auto"/>
              <w:rPr>
                <w:rFonts w:ascii="Times New Roman" w:eastAsia="Times New Roman" w:hAnsi="Times New Roman" w:cs="Times New Roman"/>
                <w:sz w:val="26"/>
                <w:szCs w:val="26"/>
              </w:rPr>
            </w:pPr>
            <w:r w:rsidRPr="00256A1B">
              <w:rPr>
                <w:rFonts w:ascii="Times New Roman" w:eastAsia="Times New Roman" w:hAnsi="Times New Roman" w:cs="Times New Roman"/>
                <w:sz w:val="26"/>
                <w:szCs w:val="26"/>
              </w:rPr>
              <w:lastRenderedPageBreak/>
              <w:t>3. Saistītie politikas ietekmes novērtējumi un pētījumi</w:t>
            </w:r>
          </w:p>
        </w:tc>
        <w:tc>
          <w:tcPr>
            <w:tcW w:w="6379" w:type="dxa"/>
            <w:tcBorders>
              <w:top w:val="thickThinLargeGap" w:sz="6" w:space="0" w:color="C0C0C0"/>
              <w:left w:val="thickThinLargeGap" w:sz="6" w:space="0" w:color="C0C0C0"/>
              <w:bottom w:val="thickThinLargeGap" w:sz="6" w:space="0" w:color="C0C0C0"/>
              <w:right w:val="thickThinLargeGap" w:sz="6" w:space="0" w:color="C0C0C0"/>
            </w:tcBorders>
            <w:hideMark/>
          </w:tcPr>
          <w:p w:rsidR="00D40CFC" w:rsidRPr="00F16931" w:rsidRDefault="00722173" w:rsidP="00F16931">
            <w:pPr>
              <w:spacing w:after="0" w:line="240" w:lineRule="auto"/>
              <w:ind w:firstLine="720"/>
              <w:jc w:val="both"/>
              <w:rPr>
                <w:rFonts w:ascii="Times New Roman" w:eastAsia="Times New Roman" w:hAnsi="Times New Roman" w:cs="Times New Roman"/>
                <w:bCs/>
                <w:sz w:val="26"/>
                <w:szCs w:val="26"/>
              </w:rPr>
            </w:pPr>
            <w:r w:rsidRPr="00F16931">
              <w:rPr>
                <w:rFonts w:ascii="Times New Roman" w:eastAsia="Times New Roman" w:hAnsi="Times New Roman" w:cs="Times New Roman"/>
                <w:bCs/>
                <w:sz w:val="26"/>
                <w:szCs w:val="26"/>
              </w:rPr>
              <w:t>Projekts šo jomu neskar.</w:t>
            </w:r>
          </w:p>
        </w:tc>
      </w:tr>
      <w:tr w:rsidR="00D40CFC" w:rsidRPr="00256A1B" w:rsidTr="0034037A">
        <w:trPr>
          <w:trHeight w:val="76"/>
        </w:trPr>
        <w:tc>
          <w:tcPr>
            <w:tcW w:w="2567" w:type="dxa"/>
            <w:tcBorders>
              <w:top w:val="thickThinLargeGap" w:sz="6" w:space="0" w:color="C0C0C0"/>
              <w:left w:val="thickThinLargeGap" w:sz="6" w:space="0" w:color="C0C0C0"/>
              <w:bottom w:val="thickThinLargeGap" w:sz="6" w:space="0" w:color="C0C0C0"/>
              <w:right w:val="thickThinLargeGap" w:sz="6" w:space="0" w:color="C0C0C0"/>
            </w:tcBorders>
            <w:hideMark/>
          </w:tcPr>
          <w:p w:rsidR="00D40CFC" w:rsidRPr="006F2D55" w:rsidRDefault="00D40CFC" w:rsidP="00D40CFC">
            <w:pPr>
              <w:spacing w:after="0" w:line="240" w:lineRule="auto"/>
              <w:rPr>
                <w:rFonts w:ascii="Times New Roman" w:eastAsia="Times New Roman" w:hAnsi="Times New Roman" w:cs="Times New Roman"/>
                <w:sz w:val="26"/>
                <w:szCs w:val="26"/>
              </w:rPr>
            </w:pPr>
            <w:r w:rsidRPr="006F2D55">
              <w:rPr>
                <w:rFonts w:ascii="Times New Roman" w:eastAsia="Times New Roman" w:hAnsi="Times New Roman" w:cs="Times New Roman"/>
                <w:sz w:val="26"/>
                <w:szCs w:val="26"/>
              </w:rPr>
              <w:t>4. Tiesiskā regulējuma mērķis un būtība</w:t>
            </w:r>
          </w:p>
        </w:tc>
        <w:tc>
          <w:tcPr>
            <w:tcW w:w="6379" w:type="dxa"/>
            <w:tcBorders>
              <w:top w:val="thickThinLargeGap" w:sz="6" w:space="0" w:color="C0C0C0"/>
              <w:left w:val="thickThinLargeGap" w:sz="6" w:space="0" w:color="C0C0C0"/>
              <w:bottom w:val="thickThinLargeGap" w:sz="6" w:space="0" w:color="C0C0C0"/>
              <w:right w:val="thickThinLargeGap" w:sz="6" w:space="0" w:color="C0C0C0"/>
            </w:tcBorders>
            <w:hideMark/>
          </w:tcPr>
          <w:p w:rsidR="00033614" w:rsidRPr="006F2D55" w:rsidRDefault="007142D9" w:rsidP="00F16931">
            <w:pPr>
              <w:spacing w:after="0" w:line="240" w:lineRule="auto"/>
              <w:ind w:firstLine="720"/>
              <w:jc w:val="both"/>
              <w:rPr>
                <w:rFonts w:ascii="Times New Roman" w:eastAsia="Times New Roman" w:hAnsi="Times New Roman" w:cs="Times New Roman"/>
                <w:bCs/>
                <w:sz w:val="26"/>
                <w:szCs w:val="26"/>
              </w:rPr>
            </w:pPr>
            <w:r w:rsidRPr="006F2D55">
              <w:rPr>
                <w:rFonts w:ascii="Times New Roman" w:eastAsia="Times New Roman" w:hAnsi="Times New Roman" w:cs="Times New Roman"/>
                <w:bCs/>
                <w:sz w:val="26"/>
                <w:szCs w:val="26"/>
              </w:rPr>
              <w:t>MK rīkojuma projekts</w:t>
            </w:r>
            <w:r w:rsidR="00B46192" w:rsidRPr="006F2D55">
              <w:rPr>
                <w:rFonts w:ascii="Times New Roman" w:eastAsia="Times New Roman" w:hAnsi="Times New Roman" w:cs="Times New Roman"/>
                <w:bCs/>
                <w:sz w:val="26"/>
                <w:szCs w:val="26"/>
              </w:rPr>
              <w:t xml:space="preserve"> paredz</w:t>
            </w:r>
            <w:r w:rsidR="00A725A2" w:rsidRPr="006F2D55">
              <w:rPr>
                <w:rFonts w:ascii="Times New Roman" w:eastAsia="Times New Roman" w:hAnsi="Times New Roman" w:cs="Times New Roman"/>
                <w:bCs/>
                <w:sz w:val="26"/>
                <w:szCs w:val="26"/>
              </w:rPr>
              <w:t xml:space="preserve"> </w:t>
            </w:r>
            <w:r w:rsidR="00F06F5A" w:rsidRPr="006F2D55">
              <w:rPr>
                <w:rFonts w:ascii="Times New Roman" w:eastAsia="Times New Roman" w:hAnsi="Times New Roman" w:cs="Times New Roman"/>
                <w:bCs/>
                <w:sz w:val="26"/>
                <w:szCs w:val="26"/>
              </w:rPr>
              <w:t xml:space="preserve">no </w:t>
            </w:r>
            <w:r w:rsidR="009104C1" w:rsidRPr="006F2D55">
              <w:rPr>
                <w:rFonts w:ascii="Times New Roman" w:eastAsia="Times New Roman" w:hAnsi="Times New Roman" w:cs="Times New Roman"/>
                <w:bCs/>
                <w:sz w:val="26"/>
                <w:szCs w:val="26"/>
              </w:rPr>
              <w:t>1.3.1.1.1.aktivitātes ESF finansējumu 160 635 EUR apmērā un valsts budžeta finansējumu 137 169 EUR apmērā un no 1.3.1.1.4.aktivitātes ESF finansējumu 616 660 EUR apmērā pārdalīt uz 1.3.1.2.aktivitāti.</w:t>
            </w:r>
          </w:p>
          <w:p w:rsidR="00267115" w:rsidRPr="00F16931" w:rsidRDefault="00267115" w:rsidP="007C5553">
            <w:pPr>
              <w:spacing w:after="0" w:line="240" w:lineRule="auto"/>
              <w:ind w:firstLine="720"/>
              <w:jc w:val="both"/>
              <w:rPr>
                <w:rFonts w:ascii="Times New Roman" w:eastAsia="Times New Roman" w:hAnsi="Times New Roman" w:cs="Times New Roman"/>
                <w:bCs/>
                <w:sz w:val="26"/>
                <w:szCs w:val="26"/>
              </w:rPr>
            </w:pPr>
            <w:r w:rsidRPr="006F2D55">
              <w:rPr>
                <w:rFonts w:ascii="Times New Roman" w:eastAsia="Times New Roman" w:hAnsi="Times New Roman" w:cs="Times New Roman"/>
                <w:bCs/>
                <w:sz w:val="26"/>
                <w:szCs w:val="26"/>
              </w:rPr>
              <w:t xml:space="preserve">MK rīkojuma projekts paredz arī svītrot iznākuma rādītāju „Apmācības uzņēmējdarbības un </w:t>
            </w:r>
            <w:proofErr w:type="spellStart"/>
            <w:r w:rsidRPr="006F2D55">
              <w:rPr>
                <w:rFonts w:ascii="Times New Roman" w:eastAsia="Times New Roman" w:hAnsi="Times New Roman" w:cs="Times New Roman"/>
                <w:bCs/>
                <w:sz w:val="26"/>
                <w:szCs w:val="26"/>
              </w:rPr>
              <w:t>pašnodarbinātības</w:t>
            </w:r>
            <w:proofErr w:type="spellEnd"/>
            <w:r w:rsidRPr="006F2D55">
              <w:rPr>
                <w:rFonts w:ascii="Times New Roman" w:eastAsia="Times New Roman" w:hAnsi="Times New Roman" w:cs="Times New Roman"/>
                <w:bCs/>
                <w:sz w:val="26"/>
                <w:szCs w:val="26"/>
              </w:rPr>
              <w:t xml:space="preserve"> uzsākšanai saņēmušo personu skaits” </w:t>
            </w:r>
            <w:r w:rsidR="007C5553" w:rsidRPr="006F2D55">
              <w:rPr>
                <w:rFonts w:ascii="Times New Roman" w:eastAsia="Times New Roman" w:hAnsi="Times New Roman" w:cs="Times New Roman"/>
                <w:bCs/>
                <w:sz w:val="26"/>
                <w:szCs w:val="26"/>
              </w:rPr>
              <w:t xml:space="preserve">un aizstāt to ar „Uzņēmējdarbības un </w:t>
            </w:r>
            <w:proofErr w:type="spellStart"/>
            <w:r w:rsidR="007C5553" w:rsidRPr="006F2D55">
              <w:rPr>
                <w:rFonts w:ascii="Times New Roman" w:eastAsia="Times New Roman" w:hAnsi="Times New Roman" w:cs="Times New Roman"/>
                <w:bCs/>
                <w:sz w:val="26"/>
                <w:szCs w:val="26"/>
              </w:rPr>
              <w:t>pašnodarbinātības</w:t>
            </w:r>
            <w:proofErr w:type="spellEnd"/>
            <w:r w:rsidR="007C5553" w:rsidRPr="006F2D55">
              <w:rPr>
                <w:rFonts w:ascii="Times New Roman" w:eastAsia="Times New Roman" w:hAnsi="Times New Roman" w:cs="Times New Roman"/>
                <w:bCs/>
                <w:sz w:val="26"/>
                <w:szCs w:val="26"/>
              </w:rPr>
              <w:t xml:space="preserve"> uzsākšanai piešķirto aizdevumu skaits” </w:t>
            </w:r>
            <w:r w:rsidRPr="006F2D55">
              <w:rPr>
                <w:rFonts w:ascii="Times New Roman" w:eastAsia="Times New Roman" w:hAnsi="Times New Roman" w:cs="Times New Roman"/>
                <w:bCs/>
                <w:sz w:val="26"/>
                <w:szCs w:val="26"/>
              </w:rPr>
              <w:t>un precizēt rezultāta rādītāja „</w:t>
            </w:r>
            <w:proofErr w:type="spellStart"/>
            <w:r w:rsidRPr="006F2D55">
              <w:rPr>
                <w:rFonts w:ascii="Times New Roman" w:eastAsia="Times New Roman" w:hAnsi="Times New Roman" w:cs="Times New Roman"/>
                <w:bCs/>
                <w:sz w:val="26"/>
                <w:szCs w:val="26"/>
              </w:rPr>
              <w:t>Pašnodarbinātību</w:t>
            </w:r>
            <w:proofErr w:type="spellEnd"/>
            <w:r w:rsidRPr="006F2D55">
              <w:rPr>
                <w:rFonts w:ascii="Times New Roman" w:eastAsia="Times New Roman" w:hAnsi="Times New Roman" w:cs="Times New Roman"/>
                <w:bCs/>
                <w:sz w:val="26"/>
                <w:szCs w:val="26"/>
              </w:rPr>
              <w:t xml:space="preserve"> un komercdarbību uzsākušo personu īpatsvars no konsultācijas un apmācības saņēmušajām personām” definīciju, svītrojot vārdus „un apmācības”.</w:t>
            </w:r>
          </w:p>
        </w:tc>
      </w:tr>
      <w:tr w:rsidR="00D40CFC" w:rsidRPr="00256A1B" w:rsidTr="0034037A">
        <w:tc>
          <w:tcPr>
            <w:tcW w:w="2567" w:type="dxa"/>
            <w:tcBorders>
              <w:top w:val="thickThinLargeGap" w:sz="6" w:space="0" w:color="C0C0C0"/>
              <w:left w:val="thickThinLargeGap" w:sz="6" w:space="0" w:color="C0C0C0"/>
              <w:bottom w:val="thickThinLargeGap" w:sz="6" w:space="0" w:color="C0C0C0"/>
              <w:right w:val="thickThinLargeGap" w:sz="6" w:space="0" w:color="C0C0C0"/>
            </w:tcBorders>
            <w:hideMark/>
          </w:tcPr>
          <w:p w:rsidR="00D40CFC" w:rsidRPr="00256A1B" w:rsidRDefault="00D40CFC" w:rsidP="00D40CFC">
            <w:pPr>
              <w:spacing w:after="0" w:line="240" w:lineRule="auto"/>
              <w:rPr>
                <w:rFonts w:ascii="Times New Roman" w:eastAsia="Times New Roman" w:hAnsi="Times New Roman" w:cs="Times New Roman"/>
                <w:sz w:val="26"/>
                <w:szCs w:val="26"/>
              </w:rPr>
            </w:pPr>
            <w:r w:rsidRPr="00256A1B">
              <w:rPr>
                <w:rFonts w:ascii="Times New Roman" w:eastAsia="Times New Roman" w:hAnsi="Times New Roman" w:cs="Times New Roman"/>
                <w:sz w:val="26"/>
                <w:szCs w:val="26"/>
              </w:rPr>
              <w:t>5. Projekta izstrādē iesaistītās institūcijas</w:t>
            </w:r>
          </w:p>
        </w:tc>
        <w:tc>
          <w:tcPr>
            <w:tcW w:w="6379" w:type="dxa"/>
            <w:tcBorders>
              <w:top w:val="thickThinLargeGap" w:sz="6" w:space="0" w:color="C0C0C0"/>
              <w:left w:val="thickThinLargeGap" w:sz="6" w:space="0" w:color="C0C0C0"/>
              <w:bottom w:val="thickThinLargeGap" w:sz="6" w:space="0" w:color="C0C0C0"/>
              <w:right w:val="thickThinLargeGap" w:sz="6" w:space="0" w:color="C0C0C0"/>
            </w:tcBorders>
            <w:hideMark/>
          </w:tcPr>
          <w:p w:rsidR="00D40CFC" w:rsidRPr="00256A1B" w:rsidRDefault="005C6DD4" w:rsidP="00D40CFC">
            <w:pPr>
              <w:spacing w:after="0" w:line="240" w:lineRule="auto"/>
              <w:ind w:right="142" w:firstLine="567"/>
              <w:jc w:val="both"/>
              <w:rPr>
                <w:rFonts w:ascii="Times New Roman" w:eastAsia="Times New Roman" w:hAnsi="Times New Roman" w:cs="Times New Roman"/>
                <w:sz w:val="26"/>
                <w:szCs w:val="26"/>
              </w:rPr>
            </w:pPr>
            <w:r w:rsidRPr="00256A1B">
              <w:rPr>
                <w:rFonts w:ascii="Times New Roman" w:eastAsia="Times New Roman" w:hAnsi="Times New Roman" w:cs="Times New Roman"/>
                <w:sz w:val="26"/>
                <w:szCs w:val="26"/>
              </w:rPr>
              <w:t>Projekts šo jomu neskar.</w:t>
            </w:r>
          </w:p>
        </w:tc>
      </w:tr>
      <w:tr w:rsidR="00D40CFC" w:rsidRPr="00256A1B" w:rsidTr="0034037A">
        <w:tc>
          <w:tcPr>
            <w:tcW w:w="2567" w:type="dxa"/>
            <w:tcBorders>
              <w:top w:val="thickThinLargeGap" w:sz="6" w:space="0" w:color="C0C0C0"/>
              <w:left w:val="thickThinLargeGap" w:sz="6" w:space="0" w:color="C0C0C0"/>
              <w:bottom w:val="thickThinLargeGap" w:sz="6" w:space="0" w:color="C0C0C0"/>
              <w:right w:val="thickThinLargeGap" w:sz="6" w:space="0" w:color="C0C0C0"/>
            </w:tcBorders>
            <w:hideMark/>
          </w:tcPr>
          <w:p w:rsidR="00D40CFC" w:rsidRPr="00256A1B" w:rsidRDefault="00D40CFC" w:rsidP="00D40CFC">
            <w:pPr>
              <w:spacing w:after="0" w:line="240" w:lineRule="auto"/>
              <w:rPr>
                <w:rFonts w:ascii="Times New Roman" w:eastAsia="Times New Roman" w:hAnsi="Times New Roman" w:cs="Times New Roman"/>
                <w:sz w:val="26"/>
                <w:szCs w:val="26"/>
              </w:rPr>
            </w:pPr>
            <w:r w:rsidRPr="00256A1B">
              <w:rPr>
                <w:rFonts w:ascii="Times New Roman" w:eastAsia="Times New Roman" w:hAnsi="Times New Roman" w:cs="Times New Roman"/>
                <w:sz w:val="26"/>
                <w:szCs w:val="26"/>
              </w:rPr>
              <w:t>6. Iemesli, kādēļ netika nodrošināta sabiedrības līdzdalība</w:t>
            </w:r>
          </w:p>
        </w:tc>
        <w:tc>
          <w:tcPr>
            <w:tcW w:w="6379" w:type="dxa"/>
            <w:tcBorders>
              <w:top w:val="thickThinLargeGap" w:sz="6" w:space="0" w:color="C0C0C0"/>
              <w:left w:val="thickThinLargeGap" w:sz="6" w:space="0" w:color="C0C0C0"/>
              <w:bottom w:val="thickThinLargeGap" w:sz="6" w:space="0" w:color="C0C0C0"/>
              <w:right w:val="thickThinLargeGap" w:sz="6" w:space="0" w:color="C0C0C0"/>
            </w:tcBorders>
            <w:hideMark/>
          </w:tcPr>
          <w:p w:rsidR="00D40CFC" w:rsidRPr="00256A1B" w:rsidRDefault="008D678E" w:rsidP="00D40CFC">
            <w:pPr>
              <w:spacing w:after="0" w:line="240" w:lineRule="auto"/>
              <w:ind w:right="142" w:firstLine="567"/>
              <w:jc w:val="both"/>
              <w:rPr>
                <w:rFonts w:ascii="Times New Roman" w:eastAsia="Times New Roman" w:hAnsi="Times New Roman" w:cs="Times New Roman"/>
                <w:sz w:val="26"/>
                <w:szCs w:val="26"/>
              </w:rPr>
            </w:pPr>
            <w:r w:rsidRPr="00256A1B">
              <w:rPr>
                <w:rFonts w:ascii="Times New Roman" w:eastAsia="Times New Roman" w:hAnsi="Times New Roman" w:cs="Times New Roman"/>
                <w:sz w:val="26"/>
                <w:szCs w:val="26"/>
              </w:rPr>
              <w:t>Projekts šo jomu neskar.</w:t>
            </w:r>
          </w:p>
        </w:tc>
      </w:tr>
      <w:tr w:rsidR="00D40CFC" w:rsidRPr="00256A1B" w:rsidTr="0034037A">
        <w:tc>
          <w:tcPr>
            <w:tcW w:w="2567" w:type="dxa"/>
            <w:tcBorders>
              <w:top w:val="thickThinLargeGap" w:sz="6" w:space="0" w:color="C0C0C0"/>
              <w:left w:val="thickThinLargeGap" w:sz="6" w:space="0" w:color="C0C0C0"/>
              <w:bottom w:val="thickThinLargeGap" w:sz="6" w:space="0" w:color="C0C0C0"/>
              <w:right w:val="thickThinLargeGap" w:sz="6" w:space="0" w:color="C0C0C0"/>
            </w:tcBorders>
            <w:hideMark/>
          </w:tcPr>
          <w:p w:rsidR="00D40CFC" w:rsidRPr="00256A1B" w:rsidRDefault="00D40CFC" w:rsidP="00D40CFC">
            <w:pPr>
              <w:spacing w:after="0" w:line="240" w:lineRule="auto"/>
              <w:rPr>
                <w:rFonts w:ascii="Times New Roman" w:eastAsia="Times New Roman" w:hAnsi="Times New Roman" w:cs="Times New Roman"/>
                <w:sz w:val="26"/>
                <w:szCs w:val="26"/>
              </w:rPr>
            </w:pPr>
            <w:r w:rsidRPr="00256A1B">
              <w:rPr>
                <w:rFonts w:ascii="Times New Roman" w:eastAsia="Times New Roman" w:hAnsi="Times New Roman" w:cs="Times New Roman"/>
                <w:sz w:val="26"/>
                <w:szCs w:val="26"/>
              </w:rPr>
              <w:t> 7. Cita informācija</w:t>
            </w:r>
          </w:p>
        </w:tc>
        <w:tc>
          <w:tcPr>
            <w:tcW w:w="6379" w:type="dxa"/>
            <w:tcBorders>
              <w:top w:val="thickThinLargeGap" w:sz="6" w:space="0" w:color="C0C0C0"/>
              <w:left w:val="thickThinLargeGap" w:sz="6" w:space="0" w:color="C0C0C0"/>
              <w:bottom w:val="thickThinLargeGap" w:sz="6" w:space="0" w:color="C0C0C0"/>
              <w:right w:val="thickThinLargeGap" w:sz="6" w:space="0" w:color="C0C0C0"/>
            </w:tcBorders>
            <w:hideMark/>
          </w:tcPr>
          <w:p w:rsidR="00D40CFC" w:rsidRPr="00256A1B" w:rsidRDefault="00D96DCB" w:rsidP="00E04AE8">
            <w:pPr>
              <w:spacing w:after="0" w:line="240" w:lineRule="auto"/>
              <w:ind w:firstLine="567"/>
              <w:jc w:val="both"/>
              <w:rPr>
                <w:rFonts w:ascii="Times New Roman" w:eastAsia="Calibri" w:hAnsi="Times New Roman" w:cs="Times New Roman"/>
                <w:sz w:val="26"/>
                <w:szCs w:val="26"/>
              </w:rPr>
            </w:pPr>
            <w:r>
              <w:rPr>
                <w:rFonts w:ascii="Times New Roman" w:eastAsia="Calibri" w:hAnsi="Times New Roman" w:cs="Times New Roman"/>
                <w:sz w:val="26"/>
                <w:szCs w:val="26"/>
              </w:rPr>
              <w:t>Tā kā</w:t>
            </w:r>
            <w:r w:rsidR="00603662" w:rsidRPr="00603662">
              <w:rPr>
                <w:rFonts w:ascii="Times New Roman" w:eastAsia="Calibri" w:hAnsi="Times New Roman" w:cs="Times New Roman"/>
                <w:sz w:val="26"/>
                <w:szCs w:val="26"/>
              </w:rPr>
              <w:t xml:space="preserve"> 1.3.1.1.1.apakšaktivitātes pirmās kārtas un 1.3.1.1.4.apakšaktivtātes ieviešana ir pabeigta, </w:t>
            </w:r>
            <w:r w:rsidR="00E04AE8">
              <w:rPr>
                <w:rFonts w:ascii="Times New Roman" w:eastAsia="Calibri" w:hAnsi="Times New Roman" w:cs="Times New Roman"/>
                <w:sz w:val="26"/>
                <w:szCs w:val="26"/>
              </w:rPr>
              <w:t>ņemt vērā</w:t>
            </w:r>
            <w:r w:rsidR="00603662" w:rsidRPr="00603662">
              <w:rPr>
                <w:rFonts w:ascii="Times New Roman" w:eastAsia="Calibri" w:hAnsi="Times New Roman" w:cs="Times New Roman"/>
                <w:sz w:val="26"/>
                <w:szCs w:val="26"/>
              </w:rPr>
              <w:t>, ka grozījumi 2008.gada 25.marta Ministru kabineta noteikumos Nr.203 „Noteikumi par darbības programmas „Cilvēkresursi un nodarbinātība” papildinājuma 1.3.1.1.1.apakšaktivitātes „Atbalsts nodarbināto apmācībām komersantu konkurētspējas veicināšanai – atbalsts partnerībās organizētām apmācībām” un 1.3.1.1.4.apakšaktivitātes „Atbalsts nodarbināto apmācībām komersantu konkurētspējas veicināšanai – atbalsts komersantu individuāli organizētām apmācībām” projektu iesniegumu atlases pirmo kārtu” nav nepieciešami.</w:t>
            </w:r>
          </w:p>
        </w:tc>
      </w:tr>
    </w:tbl>
    <w:p w:rsidR="00564229" w:rsidRPr="00256A1B" w:rsidRDefault="00564229" w:rsidP="00BA3659">
      <w:pPr>
        <w:spacing w:after="0" w:line="240" w:lineRule="auto"/>
        <w:rPr>
          <w:rFonts w:ascii="Times New Roman" w:eastAsia="Arial Unicode MS" w:hAnsi="Times New Roman" w:cs="Times New Roman"/>
          <w:b/>
          <w:sz w:val="26"/>
          <w:szCs w:val="26"/>
        </w:rPr>
      </w:pPr>
    </w:p>
    <w:tbl>
      <w:tblPr>
        <w:tblpPr w:leftFromText="180" w:rightFromText="180" w:vertAnchor="text" w:horzAnchor="margin" w:tblpXSpec="center" w:tblpY="149"/>
        <w:tblW w:w="8961"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CellMar>
          <w:left w:w="0" w:type="dxa"/>
          <w:right w:w="0" w:type="dxa"/>
        </w:tblCellMar>
        <w:tblLook w:val="0000" w:firstRow="0" w:lastRow="0" w:firstColumn="0" w:lastColumn="0" w:noHBand="0" w:noVBand="0"/>
      </w:tblPr>
      <w:tblGrid>
        <w:gridCol w:w="456"/>
        <w:gridCol w:w="4252"/>
        <w:gridCol w:w="4253"/>
      </w:tblGrid>
      <w:tr w:rsidR="00D40CFC" w:rsidRPr="00256A1B" w:rsidTr="00143CE8">
        <w:tc>
          <w:tcPr>
            <w:tcW w:w="8961" w:type="dxa"/>
            <w:gridSpan w:val="3"/>
            <w:vAlign w:val="center"/>
          </w:tcPr>
          <w:p w:rsidR="00D40CFC" w:rsidRPr="00256A1B" w:rsidRDefault="00D40CFC" w:rsidP="00D40CFC">
            <w:pPr>
              <w:spacing w:after="0" w:line="240" w:lineRule="auto"/>
              <w:jc w:val="center"/>
              <w:rPr>
                <w:rFonts w:ascii="Times New Roman" w:eastAsia="Times New Roman" w:hAnsi="Times New Roman" w:cs="Times New Roman"/>
                <w:b/>
                <w:bCs/>
                <w:sz w:val="26"/>
                <w:szCs w:val="26"/>
              </w:rPr>
            </w:pPr>
            <w:r w:rsidRPr="00256A1B">
              <w:rPr>
                <w:rFonts w:ascii="Times New Roman" w:eastAsia="Times New Roman" w:hAnsi="Times New Roman" w:cs="Times New Roman"/>
                <w:b/>
                <w:bCs/>
                <w:sz w:val="26"/>
                <w:szCs w:val="26"/>
              </w:rPr>
              <w:t>II. Tiesību akta projekta ietekme uz sabiedrību</w:t>
            </w:r>
          </w:p>
        </w:tc>
      </w:tr>
      <w:tr w:rsidR="00D40CFC" w:rsidRPr="00256A1B" w:rsidTr="00143CE8">
        <w:trPr>
          <w:trHeight w:val="467"/>
        </w:trPr>
        <w:tc>
          <w:tcPr>
            <w:tcW w:w="456" w:type="dxa"/>
          </w:tcPr>
          <w:p w:rsidR="00D40CFC" w:rsidRPr="00256A1B" w:rsidRDefault="00D40CFC" w:rsidP="00D40CFC">
            <w:pPr>
              <w:spacing w:after="0" w:line="240" w:lineRule="auto"/>
              <w:rPr>
                <w:rFonts w:ascii="Times New Roman" w:eastAsia="Times New Roman" w:hAnsi="Times New Roman" w:cs="Times New Roman"/>
                <w:sz w:val="26"/>
                <w:szCs w:val="26"/>
              </w:rPr>
            </w:pPr>
            <w:r w:rsidRPr="00256A1B">
              <w:rPr>
                <w:rFonts w:ascii="Times New Roman" w:eastAsia="Times New Roman" w:hAnsi="Times New Roman" w:cs="Times New Roman"/>
                <w:sz w:val="26"/>
                <w:szCs w:val="26"/>
              </w:rPr>
              <w:t>1.</w:t>
            </w:r>
          </w:p>
        </w:tc>
        <w:tc>
          <w:tcPr>
            <w:tcW w:w="4252" w:type="dxa"/>
          </w:tcPr>
          <w:p w:rsidR="00D40CFC" w:rsidRPr="00256A1B" w:rsidRDefault="00D40CFC" w:rsidP="00D40CFC">
            <w:pPr>
              <w:spacing w:after="0" w:line="240" w:lineRule="auto"/>
              <w:rPr>
                <w:rFonts w:ascii="Times New Roman" w:eastAsia="Times New Roman" w:hAnsi="Times New Roman" w:cs="Times New Roman"/>
                <w:sz w:val="26"/>
                <w:szCs w:val="26"/>
              </w:rPr>
            </w:pPr>
            <w:r w:rsidRPr="00256A1B">
              <w:rPr>
                <w:rFonts w:ascii="Times New Roman" w:eastAsia="Times New Roman" w:hAnsi="Times New Roman" w:cs="Times New Roman"/>
                <w:sz w:val="26"/>
                <w:szCs w:val="26"/>
              </w:rPr>
              <w:t>Sabiedrības mērķgrupa</w:t>
            </w:r>
          </w:p>
        </w:tc>
        <w:tc>
          <w:tcPr>
            <w:tcW w:w="4253" w:type="dxa"/>
          </w:tcPr>
          <w:p w:rsidR="00382775" w:rsidRPr="00256A1B" w:rsidRDefault="000431AD" w:rsidP="00F16931">
            <w:pPr>
              <w:spacing w:before="75" w:after="75" w:line="240" w:lineRule="auto"/>
              <w:ind w:firstLine="450"/>
              <w:jc w:val="both"/>
              <w:rPr>
                <w:rFonts w:ascii="Times New Roman" w:eastAsia="Times New Roman" w:hAnsi="Times New Roman" w:cs="Times New Roman"/>
                <w:iCs/>
                <w:sz w:val="26"/>
                <w:szCs w:val="26"/>
              </w:rPr>
            </w:pPr>
            <w:r w:rsidRPr="008B262E">
              <w:rPr>
                <w:rFonts w:ascii="Times New Roman" w:eastAsia="Times New Roman" w:hAnsi="Times New Roman" w:cs="Times New Roman"/>
                <w:iCs/>
                <w:sz w:val="26"/>
                <w:szCs w:val="26"/>
              </w:rPr>
              <w:t>Komersanti, pašnodarbinātie un biedrības.</w:t>
            </w:r>
          </w:p>
        </w:tc>
      </w:tr>
      <w:tr w:rsidR="00D40CFC" w:rsidRPr="00256A1B" w:rsidTr="00143CE8">
        <w:trPr>
          <w:trHeight w:val="523"/>
        </w:trPr>
        <w:tc>
          <w:tcPr>
            <w:tcW w:w="456" w:type="dxa"/>
          </w:tcPr>
          <w:p w:rsidR="00D40CFC" w:rsidRPr="00256A1B" w:rsidRDefault="00D40CFC" w:rsidP="00D40CFC">
            <w:pPr>
              <w:spacing w:after="0" w:line="240" w:lineRule="auto"/>
              <w:rPr>
                <w:rFonts w:ascii="Times New Roman" w:eastAsia="Times New Roman" w:hAnsi="Times New Roman" w:cs="Times New Roman"/>
                <w:sz w:val="26"/>
                <w:szCs w:val="26"/>
              </w:rPr>
            </w:pPr>
            <w:r w:rsidRPr="00256A1B">
              <w:rPr>
                <w:rFonts w:ascii="Times New Roman" w:eastAsia="Times New Roman" w:hAnsi="Times New Roman" w:cs="Times New Roman"/>
                <w:sz w:val="26"/>
                <w:szCs w:val="26"/>
              </w:rPr>
              <w:t>2.</w:t>
            </w:r>
          </w:p>
        </w:tc>
        <w:tc>
          <w:tcPr>
            <w:tcW w:w="4252" w:type="dxa"/>
          </w:tcPr>
          <w:p w:rsidR="00D40CFC" w:rsidRPr="00256A1B" w:rsidRDefault="00D40CFC" w:rsidP="00D40CFC">
            <w:pPr>
              <w:spacing w:after="0" w:line="240" w:lineRule="auto"/>
              <w:rPr>
                <w:rFonts w:ascii="Times New Roman" w:eastAsia="Times New Roman" w:hAnsi="Times New Roman" w:cs="Times New Roman"/>
                <w:sz w:val="26"/>
                <w:szCs w:val="26"/>
              </w:rPr>
            </w:pPr>
            <w:r w:rsidRPr="00256A1B">
              <w:rPr>
                <w:rFonts w:ascii="Times New Roman" w:eastAsia="Times New Roman" w:hAnsi="Times New Roman" w:cs="Times New Roman"/>
                <w:sz w:val="26"/>
                <w:szCs w:val="26"/>
              </w:rPr>
              <w:t>Citas sabiedrības grupas (bez mērķgrupas), kuras tiesiskais regulējums arī ietekmē vai varētu ietekmēt</w:t>
            </w:r>
          </w:p>
        </w:tc>
        <w:tc>
          <w:tcPr>
            <w:tcW w:w="4253" w:type="dxa"/>
          </w:tcPr>
          <w:p w:rsidR="00D40CFC" w:rsidRPr="00256A1B" w:rsidRDefault="002D3591" w:rsidP="00382775">
            <w:pPr>
              <w:spacing w:after="0" w:line="240" w:lineRule="auto"/>
              <w:ind w:firstLine="450"/>
              <w:jc w:val="both"/>
              <w:rPr>
                <w:rFonts w:ascii="Times New Roman" w:eastAsia="Times New Roman" w:hAnsi="Times New Roman" w:cs="Times New Roman"/>
                <w:sz w:val="26"/>
                <w:szCs w:val="26"/>
              </w:rPr>
            </w:pPr>
            <w:r w:rsidRPr="00256A1B">
              <w:rPr>
                <w:rFonts w:ascii="Times New Roman" w:eastAsia="Times New Roman" w:hAnsi="Times New Roman" w:cs="Times New Roman"/>
                <w:color w:val="000000"/>
                <w:sz w:val="26"/>
                <w:szCs w:val="26"/>
              </w:rPr>
              <w:t>Projekts šo jomu neskar.</w:t>
            </w:r>
          </w:p>
        </w:tc>
      </w:tr>
      <w:tr w:rsidR="00D40CFC" w:rsidRPr="00256A1B" w:rsidTr="00143CE8">
        <w:trPr>
          <w:trHeight w:val="517"/>
        </w:trPr>
        <w:tc>
          <w:tcPr>
            <w:tcW w:w="456" w:type="dxa"/>
          </w:tcPr>
          <w:p w:rsidR="00D40CFC" w:rsidRPr="00256A1B" w:rsidRDefault="00D40CFC" w:rsidP="00D40CFC">
            <w:pPr>
              <w:spacing w:after="0" w:line="240" w:lineRule="auto"/>
              <w:rPr>
                <w:rFonts w:ascii="Times New Roman" w:eastAsia="Times New Roman" w:hAnsi="Times New Roman" w:cs="Times New Roman"/>
                <w:sz w:val="26"/>
                <w:szCs w:val="26"/>
              </w:rPr>
            </w:pPr>
            <w:r w:rsidRPr="00256A1B">
              <w:rPr>
                <w:rFonts w:ascii="Times New Roman" w:eastAsia="Times New Roman" w:hAnsi="Times New Roman" w:cs="Times New Roman"/>
                <w:sz w:val="26"/>
                <w:szCs w:val="26"/>
              </w:rPr>
              <w:lastRenderedPageBreak/>
              <w:t>3.</w:t>
            </w:r>
          </w:p>
        </w:tc>
        <w:tc>
          <w:tcPr>
            <w:tcW w:w="4252" w:type="dxa"/>
          </w:tcPr>
          <w:p w:rsidR="00D40CFC" w:rsidRPr="00256A1B" w:rsidRDefault="00D40CFC" w:rsidP="00D40CFC">
            <w:pPr>
              <w:spacing w:after="0" w:line="240" w:lineRule="auto"/>
              <w:rPr>
                <w:rFonts w:ascii="Times New Roman" w:eastAsia="Times New Roman" w:hAnsi="Times New Roman" w:cs="Times New Roman"/>
                <w:sz w:val="26"/>
                <w:szCs w:val="26"/>
              </w:rPr>
            </w:pPr>
            <w:r w:rsidRPr="00256A1B">
              <w:rPr>
                <w:rFonts w:ascii="Times New Roman" w:eastAsia="Times New Roman" w:hAnsi="Times New Roman" w:cs="Times New Roman"/>
                <w:sz w:val="26"/>
                <w:szCs w:val="26"/>
              </w:rPr>
              <w:t>Tiesiskā regulējuma finansiālā ietekme</w:t>
            </w:r>
          </w:p>
        </w:tc>
        <w:tc>
          <w:tcPr>
            <w:tcW w:w="4253" w:type="dxa"/>
          </w:tcPr>
          <w:p w:rsidR="00D40CFC" w:rsidRPr="00256A1B" w:rsidRDefault="008B262E" w:rsidP="008B262E">
            <w:pPr>
              <w:spacing w:after="0" w:line="240" w:lineRule="auto"/>
              <w:ind w:firstLine="720"/>
              <w:jc w:val="both"/>
              <w:rPr>
                <w:sz w:val="26"/>
                <w:szCs w:val="26"/>
              </w:rPr>
            </w:pPr>
            <w:r>
              <w:rPr>
                <w:rFonts w:ascii="Times New Roman" w:eastAsia="Times New Roman" w:hAnsi="Times New Roman" w:cs="Times New Roman"/>
                <w:bCs/>
                <w:sz w:val="26"/>
                <w:szCs w:val="26"/>
              </w:rPr>
              <w:t>Rīkojuma</w:t>
            </w:r>
            <w:r w:rsidR="001A1CF7" w:rsidRPr="008B262E">
              <w:rPr>
                <w:rFonts w:ascii="Times New Roman" w:eastAsia="Times New Roman" w:hAnsi="Times New Roman" w:cs="Times New Roman"/>
                <w:bCs/>
                <w:sz w:val="26"/>
                <w:szCs w:val="26"/>
              </w:rPr>
              <w:t xml:space="preserve"> projekts nosaka, </w:t>
            </w:r>
            <w:r w:rsidR="000431AD" w:rsidRPr="008B262E">
              <w:rPr>
                <w:rFonts w:ascii="Times New Roman" w:eastAsia="Times New Roman" w:hAnsi="Times New Roman" w:cs="Times New Roman"/>
                <w:bCs/>
                <w:sz w:val="26"/>
                <w:szCs w:val="26"/>
              </w:rPr>
              <w:t>ka 1.3.1.2.</w:t>
            </w:r>
            <w:r w:rsidR="001A1CF7" w:rsidRPr="008B262E">
              <w:rPr>
                <w:rFonts w:ascii="Times New Roman" w:eastAsia="Times New Roman" w:hAnsi="Times New Roman" w:cs="Times New Roman"/>
                <w:bCs/>
                <w:sz w:val="26"/>
                <w:szCs w:val="26"/>
              </w:rPr>
              <w:t xml:space="preserve">aktivitātes </w:t>
            </w:r>
            <w:r>
              <w:rPr>
                <w:rFonts w:ascii="Times New Roman" w:eastAsia="Times New Roman" w:hAnsi="Times New Roman" w:cs="Times New Roman"/>
                <w:bCs/>
                <w:sz w:val="26"/>
                <w:szCs w:val="26"/>
              </w:rPr>
              <w:t>i</w:t>
            </w:r>
            <w:r w:rsidR="001A1CF7" w:rsidRPr="008B262E">
              <w:rPr>
                <w:rFonts w:ascii="Times New Roman" w:eastAsia="Times New Roman" w:hAnsi="Times New Roman" w:cs="Times New Roman"/>
                <w:bCs/>
                <w:sz w:val="26"/>
                <w:szCs w:val="26"/>
              </w:rPr>
              <w:t>e</w:t>
            </w:r>
            <w:r>
              <w:rPr>
                <w:rFonts w:ascii="Times New Roman" w:eastAsia="Times New Roman" w:hAnsi="Times New Roman" w:cs="Times New Roman"/>
                <w:bCs/>
                <w:sz w:val="26"/>
                <w:szCs w:val="26"/>
              </w:rPr>
              <w:t>tvaros tiek palielināts</w:t>
            </w:r>
            <w:r w:rsidR="001A1CF7" w:rsidRPr="008B262E">
              <w:rPr>
                <w:rFonts w:ascii="Times New Roman" w:eastAsia="Times New Roman" w:hAnsi="Times New Roman" w:cs="Times New Roman"/>
                <w:bCs/>
                <w:sz w:val="26"/>
                <w:szCs w:val="26"/>
              </w:rPr>
              <w:t xml:space="preserve"> </w:t>
            </w:r>
            <w:r>
              <w:rPr>
                <w:rFonts w:ascii="Times New Roman" w:eastAsia="Times New Roman" w:hAnsi="Times New Roman" w:cs="Times New Roman"/>
                <w:bCs/>
                <w:sz w:val="26"/>
                <w:szCs w:val="26"/>
              </w:rPr>
              <w:t>kopējais pieejamais finansējums</w:t>
            </w:r>
            <w:r w:rsidR="000431AD" w:rsidRPr="008B262E">
              <w:rPr>
                <w:rFonts w:ascii="Times New Roman" w:eastAsia="Times New Roman" w:hAnsi="Times New Roman" w:cs="Times New Roman"/>
                <w:bCs/>
                <w:sz w:val="26"/>
                <w:szCs w:val="26"/>
              </w:rPr>
              <w:t xml:space="preserve">, kas tiek pārdalīts </w:t>
            </w:r>
            <w:r>
              <w:rPr>
                <w:rFonts w:ascii="Times New Roman" w:eastAsia="Times New Roman" w:hAnsi="Times New Roman" w:cs="Times New Roman"/>
                <w:bCs/>
                <w:sz w:val="26"/>
                <w:szCs w:val="26"/>
              </w:rPr>
              <w:t>no 1.3.1.1.1.</w:t>
            </w:r>
            <w:r w:rsidR="000431AD" w:rsidRPr="008B262E">
              <w:rPr>
                <w:rFonts w:ascii="Times New Roman" w:eastAsia="Times New Roman" w:hAnsi="Times New Roman" w:cs="Times New Roman"/>
                <w:bCs/>
                <w:sz w:val="26"/>
                <w:szCs w:val="26"/>
              </w:rPr>
              <w:t>aktiv</w:t>
            </w:r>
            <w:r>
              <w:rPr>
                <w:rFonts w:ascii="Times New Roman" w:eastAsia="Times New Roman" w:hAnsi="Times New Roman" w:cs="Times New Roman"/>
                <w:bCs/>
                <w:sz w:val="26"/>
                <w:szCs w:val="26"/>
              </w:rPr>
              <w:t>itātes un 1.3.1.1.4.aktivitātes.</w:t>
            </w:r>
          </w:p>
        </w:tc>
      </w:tr>
      <w:tr w:rsidR="00D40CFC" w:rsidRPr="00256A1B" w:rsidTr="00143CE8">
        <w:trPr>
          <w:trHeight w:val="517"/>
        </w:trPr>
        <w:tc>
          <w:tcPr>
            <w:tcW w:w="456" w:type="dxa"/>
          </w:tcPr>
          <w:p w:rsidR="00D40CFC" w:rsidRPr="00256A1B" w:rsidRDefault="00D40CFC" w:rsidP="00D40CFC">
            <w:pPr>
              <w:spacing w:after="0" w:line="240" w:lineRule="auto"/>
              <w:rPr>
                <w:rFonts w:ascii="Times New Roman" w:eastAsia="Times New Roman" w:hAnsi="Times New Roman" w:cs="Times New Roman"/>
                <w:sz w:val="26"/>
                <w:szCs w:val="26"/>
              </w:rPr>
            </w:pPr>
            <w:r w:rsidRPr="00256A1B">
              <w:rPr>
                <w:rFonts w:ascii="Times New Roman" w:eastAsia="Times New Roman" w:hAnsi="Times New Roman" w:cs="Times New Roman"/>
                <w:sz w:val="26"/>
                <w:szCs w:val="26"/>
              </w:rPr>
              <w:t>4.</w:t>
            </w:r>
          </w:p>
        </w:tc>
        <w:tc>
          <w:tcPr>
            <w:tcW w:w="4252" w:type="dxa"/>
          </w:tcPr>
          <w:p w:rsidR="00D40CFC" w:rsidRPr="00256A1B" w:rsidRDefault="00D40CFC" w:rsidP="00D40CFC">
            <w:pPr>
              <w:spacing w:after="0" w:line="240" w:lineRule="auto"/>
              <w:rPr>
                <w:rFonts w:ascii="Times New Roman" w:eastAsia="Times New Roman" w:hAnsi="Times New Roman" w:cs="Times New Roman"/>
                <w:sz w:val="26"/>
                <w:szCs w:val="26"/>
              </w:rPr>
            </w:pPr>
            <w:r w:rsidRPr="00256A1B">
              <w:rPr>
                <w:rFonts w:ascii="Times New Roman" w:eastAsia="Times New Roman" w:hAnsi="Times New Roman" w:cs="Times New Roman"/>
                <w:sz w:val="26"/>
                <w:szCs w:val="26"/>
              </w:rPr>
              <w:t>Tiesiskā regulējuma nefinansiālā ietekme</w:t>
            </w:r>
          </w:p>
        </w:tc>
        <w:tc>
          <w:tcPr>
            <w:tcW w:w="4253" w:type="dxa"/>
          </w:tcPr>
          <w:p w:rsidR="00D40CFC" w:rsidRPr="00256A1B" w:rsidRDefault="00D40CFC" w:rsidP="00D40CFC">
            <w:pPr>
              <w:spacing w:after="0" w:line="240" w:lineRule="auto"/>
              <w:ind w:firstLine="450"/>
              <w:jc w:val="both"/>
              <w:rPr>
                <w:rFonts w:ascii="Times New Roman" w:eastAsia="Times New Roman" w:hAnsi="Times New Roman" w:cs="Times New Roman"/>
                <w:iCs/>
                <w:sz w:val="26"/>
                <w:szCs w:val="26"/>
              </w:rPr>
            </w:pPr>
            <w:r w:rsidRPr="00256A1B">
              <w:rPr>
                <w:rFonts w:ascii="Times New Roman" w:eastAsia="Times New Roman" w:hAnsi="Times New Roman" w:cs="Times New Roman"/>
                <w:color w:val="000000"/>
                <w:sz w:val="26"/>
                <w:szCs w:val="26"/>
              </w:rPr>
              <w:t>Projekts šo jomu neskar.</w:t>
            </w:r>
          </w:p>
        </w:tc>
      </w:tr>
      <w:tr w:rsidR="00D40CFC" w:rsidRPr="00256A1B" w:rsidTr="00143CE8">
        <w:trPr>
          <w:trHeight w:val="531"/>
        </w:trPr>
        <w:tc>
          <w:tcPr>
            <w:tcW w:w="456" w:type="dxa"/>
          </w:tcPr>
          <w:p w:rsidR="00D40CFC" w:rsidRPr="00256A1B" w:rsidRDefault="00D40CFC" w:rsidP="00D40CFC">
            <w:pPr>
              <w:spacing w:after="0" w:line="240" w:lineRule="auto"/>
              <w:rPr>
                <w:rFonts w:ascii="Times New Roman" w:eastAsia="Times New Roman" w:hAnsi="Times New Roman" w:cs="Times New Roman"/>
                <w:sz w:val="26"/>
                <w:szCs w:val="26"/>
              </w:rPr>
            </w:pPr>
            <w:r w:rsidRPr="00256A1B">
              <w:rPr>
                <w:rFonts w:ascii="Times New Roman" w:eastAsia="Times New Roman" w:hAnsi="Times New Roman" w:cs="Times New Roman"/>
                <w:sz w:val="26"/>
                <w:szCs w:val="26"/>
              </w:rPr>
              <w:t>5.</w:t>
            </w:r>
          </w:p>
        </w:tc>
        <w:tc>
          <w:tcPr>
            <w:tcW w:w="4252" w:type="dxa"/>
          </w:tcPr>
          <w:p w:rsidR="00D40CFC" w:rsidRPr="00256A1B" w:rsidRDefault="00D40CFC" w:rsidP="00D40CFC">
            <w:pPr>
              <w:spacing w:after="0" w:line="240" w:lineRule="auto"/>
              <w:rPr>
                <w:rFonts w:ascii="Times New Roman" w:eastAsia="Times New Roman" w:hAnsi="Times New Roman" w:cs="Times New Roman"/>
                <w:sz w:val="26"/>
                <w:szCs w:val="26"/>
              </w:rPr>
            </w:pPr>
            <w:r w:rsidRPr="00256A1B">
              <w:rPr>
                <w:rFonts w:ascii="Times New Roman" w:eastAsia="Times New Roman" w:hAnsi="Times New Roman" w:cs="Times New Roman"/>
                <w:sz w:val="26"/>
                <w:szCs w:val="26"/>
              </w:rPr>
              <w:t>Administratīvās procedūras raksturojums</w:t>
            </w:r>
          </w:p>
        </w:tc>
        <w:tc>
          <w:tcPr>
            <w:tcW w:w="4253" w:type="dxa"/>
          </w:tcPr>
          <w:p w:rsidR="00D40CFC" w:rsidRPr="00256A1B" w:rsidRDefault="00D40CFC" w:rsidP="00D40CFC">
            <w:pPr>
              <w:spacing w:after="0" w:line="240" w:lineRule="auto"/>
              <w:ind w:firstLine="450"/>
              <w:rPr>
                <w:rFonts w:ascii="Times New Roman" w:eastAsia="Times New Roman" w:hAnsi="Times New Roman" w:cs="Times New Roman"/>
                <w:sz w:val="26"/>
                <w:szCs w:val="26"/>
              </w:rPr>
            </w:pPr>
            <w:r w:rsidRPr="00256A1B">
              <w:rPr>
                <w:rFonts w:ascii="Times New Roman" w:eastAsia="Times New Roman" w:hAnsi="Times New Roman" w:cs="Times New Roman"/>
                <w:color w:val="000000"/>
                <w:sz w:val="26"/>
                <w:szCs w:val="26"/>
              </w:rPr>
              <w:t>Projekts šo jomu neskar.</w:t>
            </w:r>
          </w:p>
        </w:tc>
      </w:tr>
      <w:tr w:rsidR="00D40CFC" w:rsidRPr="00256A1B" w:rsidTr="00143CE8">
        <w:trPr>
          <w:trHeight w:val="357"/>
        </w:trPr>
        <w:tc>
          <w:tcPr>
            <w:tcW w:w="456" w:type="dxa"/>
          </w:tcPr>
          <w:p w:rsidR="00D40CFC" w:rsidRPr="00256A1B" w:rsidRDefault="00D40CFC" w:rsidP="00D40CFC">
            <w:pPr>
              <w:spacing w:after="0" w:line="240" w:lineRule="auto"/>
              <w:rPr>
                <w:rFonts w:ascii="Times New Roman" w:eastAsia="Times New Roman" w:hAnsi="Times New Roman" w:cs="Times New Roman"/>
                <w:sz w:val="26"/>
                <w:szCs w:val="26"/>
              </w:rPr>
            </w:pPr>
            <w:r w:rsidRPr="00256A1B">
              <w:rPr>
                <w:rFonts w:ascii="Times New Roman" w:eastAsia="Times New Roman" w:hAnsi="Times New Roman" w:cs="Times New Roman"/>
                <w:sz w:val="26"/>
                <w:szCs w:val="26"/>
              </w:rPr>
              <w:t>6.</w:t>
            </w:r>
          </w:p>
        </w:tc>
        <w:tc>
          <w:tcPr>
            <w:tcW w:w="4252" w:type="dxa"/>
          </w:tcPr>
          <w:p w:rsidR="00D40CFC" w:rsidRPr="00256A1B" w:rsidRDefault="00D40CFC" w:rsidP="00D40CFC">
            <w:pPr>
              <w:spacing w:after="0" w:line="240" w:lineRule="auto"/>
              <w:rPr>
                <w:rFonts w:ascii="Times New Roman" w:eastAsia="Times New Roman" w:hAnsi="Times New Roman" w:cs="Times New Roman"/>
                <w:sz w:val="26"/>
                <w:szCs w:val="26"/>
              </w:rPr>
            </w:pPr>
            <w:r w:rsidRPr="00256A1B">
              <w:rPr>
                <w:rFonts w:ascii="Times New Roman" w:eastAsia="Times New Roman" w:hAnsi="Times New Roman" w:cs="Times New Roman"/>
                <w:sz w:val="26"/>
                <w:szCs w:val="26"/>
              </w:rPr>
              <w:t>Administratīvo izmaksu monetārs novērtējums</w:t>
            </w:r>
          </w:p>
        </w:tc>
        <w:tc>
          <w:tcPr>
            <w:tcW w:w="4253" w:type="dxa"/>
          </w:tcPr>
          <w:p w:rsidR="00D40CFC" w:rsidRPr="00256A1B" w:rsidRDefault="00D40CFC" w:rsidP="00D40CFC">
            <w:pPr>
              <w:spacing w:after="0" w:line="240" w:lineRule="auto"/>
              <w:ind w:firstLine="450"/>
              <w:rPr>
                <w:rFonts w:ascii="Times New Roman" w:eastAsia="Times New Roman" w:hAnsi="Times New Roman" w:cs="Times New Roman"/>
                <w:sz w:val="26"/>
                <w:szCs w:val="26"/>
              </w:rPr>
            </w:pPr>
            <w:r w:rsidRPr="00256A1B">
              <w:rPr>
                <w:rFonts w:ascii="Times New Roman" w:eastAsia="Times New Roman" w:hAnsi="Times New Roman" w:cs="Times New Roman"/>
                <w:color w:val="000000"/>
                <w:sz w:val="26"/>
                <w:szCs w:val="26"/>
              </w:rPr>
              <w:t>Projekts šo jomu neskar.</w:t>
            </w:r>
          </w:p>
        </w:tc>
      </w:tr>
      <w:tr w:rsidR="00D40CFC" w:rsidRPr="00256A1B" w:rsidTr="00143CE8">
        <w:trPr>
          <w:trHeight w:val="489"/>
        </w:trPr>
        <w:tc>
          <w:tcPr>
            <w:tcW w:w="456" w:type="dxa"/>
          </w:tcPr>
          <w:p w:rsidR="00D40CFC" w:rsidRPr="00256A1B" w:rsidRDefault="00D40CFC" w:rsidP="00D40CFC">
            <w:pPr>
              <w:spacing w:after="0" w:line="240" w:lineRule="auto"/>
              <w:rPr>
                <w:rFonts w:ascii="Times New Roman" w:eastAsia="Times New Roman" w:hAnsi="Times New Roman" w:cs="Times New Roman"/>
                <w:sz w:val="26"/>
                <w:szCs w:val="26"/>
              </w:rPr>
            </w:pPr>
            <w:r w:rsidRPr="00256A1B">
              <w:rPr>
                <w:rFonts w:ascii="Times New Roman" w:eastAsia="Times New Roman" w:hAnsi="Times New Roman" w:cs="Times New Roman"/>
                <w:sz w:val="26"/>
                <w:szCs w:val="26"/>
              </w:rPr>
              <w:t>7.</w:t>
            </w:r>
          </w:p>
        </w:tc>
        <w:tc>
          <w:tcPr>
            <w:tcW w:w="4252" w:type="dxa"/>
          </w:tcPr>
          <w:p w:rsidR="00D40CFC" w:rsidRPr="00256A1B" w:rsidRDefault="00D40CFC" w:rsidP="00D40CFC">
            <w:pPr>
              <w:spacing w:after="0" w:line="240" w:lineRule="auto"/>
              <w:rPr>
                <w:rFonts w:ascii="Times New Roman" w:eastAsia="Times New Roman" w:hAnsi="Times New Roman" w:cs="Times New Roman"/>
                <w:sz w:val="26"/>
                <w:szCs w:val="26"/>
              </w:rPr>
            </w:pPr>
            <w:r w:rsidRPr="00256A1B">
              <w:rPr>
                <w:rFonts w:ascii="Times New Roman" w:eastAsia="Times New Roman" w:hAnsi="Times New Roman" w:cs="Times New Roman"/>
                <w:sz w:val="26"/>
                <w:szCs w:val="26"/>
              </w:rPr>
              <w:t>Cita informācija</w:t>
            </w:r>
          </w:p>
        </w:tc>
        <w:tc>
          <w:tcPr>
            <w:tcW w:w="4253" w:type="dxa"/>
          </w:tcPr>
          <w:p w:rsidR="00D40CFC" w:rsidRPr="00256A1B" w:rsidRDefault="00D40CFC" w:rsidP="00D40CFC">
            <w:pPr>
              <w:spacing w:after="0" w:line="240" w:lineRule="auto"/>
              <w:ind w:firstLine="450"/>
              <w:rPr>
                <w:rFonts w:ascii="Times New Roman" w:eastAsia="Times New Roman" w:hAnsi="Times New Roman" w:cs="Times New Roman"/>
                <w:sz w:val="26"/>
                <w:szCs w:val="26"/>
              </w:rPr>
            </w:pPr>
            <w:r w:rsidRPr="00256A1B">
              <w:rPr>
                <w:rFonts w:ascii="Times New Roman" w:eastAsia="Times New Roman" w:hAnsi="Times New Roman" w:cs="Times New Roman"/>
                <w:sz w:val="26"/>
                <w:szCs w:val="26"/>
              </w:rPr>
              <w:t>Nav.</w:t>
            </w:r>
          </w:p>
        </w:tc>
      </w:tr>
    </w:tbl>
    <w:p w:rsidR="00830152" w:rsidRPr="00A03129" w:rsidRDefault="00830152" w:rsidP="00D40CFC">
      <w:pPr>
        <w:spacing w:after="0" w:line="240" w:lineRule="auto"/>
        <w:jc w:val="center"/>
        <w:rPr>
          <w:rFonts w:ascii="Times New Roman" w:eastAsia="Calibri" w:hAnsi="Times New Roman" w:cs="Times New Roman"/>
          <w:b/>
          <w:sz w:val="28"/>
          <w:szCs w:val="28"/>
        </w:rPr>
      </w:pPr>
    </w:p>
    <w:p w:rsidR="00D40CFC" w:rsidRPr="00256A1B" w:rsidRDefault="00830152" w:rsidP="00D40CFC">
      <w:pPr>
        <w:spacing w:after="0" w:line="240" w:lineRule="auto"/>
        <w:jc w:val="center"/>
        <w:rPr>
          <w:rFonts w:ascii="Times New Roman" w:eastAsia="Arial Unicode MS" w:hAnsi="Times New Roman" w:cs="Times New Roman"/>
          <w:b/>
          <w:sz w:val="26"/>
          <w:szCs w:val="26"/>
        </w:rPr>
      </w:pPr>
      <w:r w:rsidRPr="00256A1B">
        <w:rPr>
          <w:rFonts w:ascii="Times New Roman" w:eastAsia="Calibri" w:hAnsi="Times New Roman" w:cs="Times New Roman"/>
          <w:b/>
          <w:sz w:val="26"/>
          <w:szCs w:val="26"/>
        </w:rPr>
        <w:t>Anotācijas III. sadaļa – projekts šo jomu neskar</w:t>
      </w:r>
    </w:p>
    <w:p w:rsidR="00D40CFC" w:rsidRPr="00A03129" w:rsidRDefault="00D40CFC" w:rsidP="00D40CFC">
      <w:pPr>
        <w:spacing w:after="0" w:line="240" w:lineRule="auto"/>
        <w:jc w:val="center"/>
        <w:rPr>
          <w:rFonts w:ascii="Times New Roman" w:eastAsia="Arial Unicode MS" w:hAnsi="Times New Roman" w:cs="Times New Roman"/>
          <w:b/>
          <w:sz w:val="28"/>
          <w:szCs w:val="28"/>
        </w:rPr>
      </w:pPr>
    </w:p>
    <w:tbl>
      <w:tblPr>
        <w:tblW w:w="9073" w:type="dxa"/>
        <w:tblInd w:w="-112"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0A0" w:firstRow="1" w:lastRow="0" w:firstColumn="1" w:lastColumn="0" w:noHBand="0" w:noVBand="0"/>
      </w:tblPr>
      <w:tblGrid>
        <w:gridCol w:w="426"/>
        <w:gridCol w:w="2268"/>
        <w:gridCol w:w="6379"/>
      </w:tblGrid>
      <w:tr w:rsidR="00D40CFC" w:rsidRPr="00256A1B" w:rsidTr="004E6C72">
        <w:tc>
          <w:tcPr>
            <w:tcW w:w="426" w:type="dxa"/>
            <w:tcBorders>
              <w:top w:val="thickThinLargeGap" w:sz="6" w:space="0" w:color="C0C0C0"/>
              <w:bottom w:val="thickThinLargeGap" w:sz="6" w:space="0" w:color="C0C0C0"/>
            </w:tcBorders>
          </w:tcPr>
          <w:p w:rsidR="00D40CFC" w:rsidRPr="00256A1B" w:rsidRDefault="00D40CFC" w:rsidP="00D40CFC">
            <w:pPr>
              <w:spacing w:after="0" w:line="240" w:lineRule="auto"/>
              <w:ind w:firstLine="720"/>
              <w:jc w:val="center"/>
              <w:rPr>
                <w:rFonts w:ascii="Times New Roman" w:eastAsia="Calibri" w:hAnsi="Times New Roman" w:cs="Times New Roman"/>
                <w:b/>
                <w:sz w:val="26"/>
                <w:szCs w:val="26"/>
              </w:rPr>
            </w:pPr>
          </w:p>
        </w:tc>
        <w:tc>
          <w:tcPr>
            <w:tcW w:w="8647" w:type="dxa"/>
            <w:gridSpan w:val="2"/>
            <w:tcBorders>
              <w:top w:val="thickThinLargeGap" w:sz="6" w:space="0" w:color="C0C0C0"/>
              <w:bottom w:val="thickThinLargeGap" w:sz="6" w:space="0" w:color="C0C0C0"/>
            </w:tcBorders>
          </w:tcPr>
          <w:p w:rsidR="00D40CFC" w:rsidRPr="00256A1B" w:rsidRDefault="00D40CFC" w:rsidP="00D40CFC">
            <w:pPr>
              <w:spacing w:after="0" w:line="240" w:lineRule="auto"/>
              <w:rPr>
                <w:rFonts w:ascii="Times New Roman" w:eastAsia="Calibri" w:hAnsi="Times New Roman" w:cs="Times New Roman"/>
                <w:b/>
                <w:sz w:val="26"/>
                <w:szCs w:val="26"/>
              </w:rPr>
            </w:pPr>
            <w:r w:rsidRPr="00256A1B">
              <w:rPr>
                <w:rFonts w:ascii="Times New Roman" w:eastAsia="Calibri" w:hAnsi="Times New Roman" w:cs="Times New Roman"/>
                <w:b/>
                <w:sz w:val="26"/>
                <w:szCs w:val="26"/>
              </w:rPr>
              <w:t>IV. Tiesību akta projekta ietekme uz spēkā esošo tiesību normu sistēmu</w:t>
            </w:r>
          </w:p>
        </w:tc>
      </w:tr>
      <w:tr w:rsidR="00D40CFC" w:rsidRPr="00256A1B" w:rsidTr="00256A1B">
        <w:tc>
          <w:tcPr>
            <w:tcW w:w="426" w:type="dxa"/>
            <w:tcBorders>
              <w:top w:val="thickThinLargeGap" w:sz="6" w:space="0" w:color="C0C0C0"/>
              <w:bottom w:val="thickThinLargeGap" w:sz="6" w:space="0" w:color="C0C0C0"/>
              <w:right w:val="thickThinLargeGap" w:sz="6" w:space="0" w:color="C0C0C0"/>
            </w:tcBorders>
          </w:tcPr>
          <w:p w:rsidR="00D40CFC" w:rsidRPr="00256A1B" w:rsidRDefault="00D40CFC" w:rsidP="00D40CFC">
            <w:pPr>
              <w:spacing w:after="0" w:line="240" w:lineRule="auto"/>
              <w:jc w:val="both"/>
              <w:rPr>
                <w:rFonts w:ascii="Times New Roman" w:eastAsia="Calibri" w:hAnsi="Times New Roman" w:cs="Times New Roman"/>
                <w:sz w:val="26"/>
                <w:szCs w:val="26"/>
              </w:rPr>
            </w:pPr>
            <w:r w:rsidRPr="00256A1B">
              <w:rPr>
                <w:rFonts w:ascii="Times New Roman" w:eastAsia="Calibri" w:hAnsi="Times New Roman" w:cs="Times New Roman"/>
                <w:sz w:val="26"/>
                <w:szCs w:val="26"/>
              </w:rPr>
              <w:t>1.</w:t>
            </w:r>
          </w:p>
        </w:tc>
        <w:tc>
          <w:tcPr>
            <w:tcW w:w="2268" w:type="dxa"/>
            <w:tcBorders>
              <w:top w:val="thickThinLargeGap" w:sz="6" w:space="0" w:color="C0C0C0"/>
              <w:bottom w:val="thickThinLargeGap" w:sz="6" w:space="0" w:color="C0C0C0"/>
              <w:right w:val="thickThinLargeGap" w:sz="6" w:space="0" w:color="C0C0C0"/>
            </w:tcBorders>
          </w:tcPr>
          <w:p w:rsidR="00D40CFC" w:rsidRPr="00256A1B" w:rsidRDefault="00D40CFC" w:rsidP="00D40CFC">
            <w:pPr>
              <w:spacing w:after="0" w:line="240" w:lineRule="auto"/>
              <w:jc w:val="both"/>
              <w:rPr>
                <w:rFonts w:ascii="Times New Roman" w:eastAsia="Calibri" w:hAnsi="Times New Roman" w:cs="Times New Roman"/>
                <w:sz w:val="26"/>
                <w:szCs w:val="26"/>
              </w:rPr>
            </w:pPr>
            <w:r w:rsidRPr="00256A1B">
              <w:rPr>
                <w:rFonts w:ascii="Times New Roman" w:eastAsia="Calibri" w:hAnsi="Times New Roman" w:cs="Times New Roman"/>
                <w:sz w:val="26"/>
                <w:szCs w:val="26"/>
              </w:rPr>
              <w:t>Nepieciešamie saistītie tiesību aktu projekti</w:t>
            </w:r>
          </w:p>
        </w:tc>
        <w:tc>
          <w:tcPr>
            <w:tcW w:w="6379" w:type="dxa"/>
            <w:tcBorders>
              <w:top w:val="thickThinLargeGap" w:sz="6" w:space="0" w:color="C0C0C0"/>
              <w:left w:val="thickThinLargeGap" w:sz="6" w:space="0" w:color="C0C0C0"/>
              <w:bottom w:val="thickThinLargeGap" w:sz="6" w:space="0" w:color="C0C0C0"/>
            </w:tcBorders>
          </w:tcPr>
          <w:p w:rsidR="002F7738" w:rsidRPr="00A91570" w:rsidRDefault="002F7738" w:rsidP="00A91570">
            <w:pPr>
              <w:spacing w:after="0" w:line="240" w:lineRule="auto"/>
              <w:ind w:firstLine="720"/>
              <w:jc w:val="both"/>
              <w:rPr>
                <w:rFonts w:ascii="Times New Roman" w:eastAsia="Times New Roman" w:hAnsi="Times New Roman" w:cs="Times New Roman"/>
                <w:bCs/>
                <w:sz w:val="26"/>
                <w:szCs w:val="26"/>
              </w:rPr>
            </w:pPr>
            <w:r w:rsidRPr="002F7738">
              <w:rPr>
                <w:rFonts w:ascii="Times New Roman" w:eastAsia="Times New Roman" w:hAnsi="Times New Roman" w:cs="Times New Roman"/>
                <w:bCs/>
                <w:sz w:val="26"/>
                <w:szCs w:val="26"/>
              </w:rPr>
              <w:t xml:space="preserve">Rīkojuma projekts tiek virzīts izskatīšanai MK sēdē vienlaicīgi ar attiecīgajiem grozījumiem </w:t>
            </w:r>
            <w:r w:rsidR="00DE061E" w:rsidRPr="00C6247E">
              <w:rPr>
                <w:rFonts w:ascii="Times New Roman" w:eastAsia="Times New Roman" w:hAnsi="Times New Roman" w:cs="Times New Roman"/>
                <w:bCs/>
                <w:sz w:val="26"/>
                <w:szCs w:val="26"/>
              </w:rPr>
              <w:t>2010</w:t>
            </w:r>
            <w:r w:rsidR="004E6C72" w:rsidRPr="00C6247E">
              <w:rPr>
                <w:rFonts w:ascii="Times New Roman" w:eastAsia="Times New Roman" w:hAnsi="Times New Roman" w:cs="Times New Roman"/>
                <w:bCs/>
                <w:sz w:val="26"/>
                <w:szCs w:val="26"/>
              </w:rPr>
              <w:t xml:space="preserve">.gada </w:t>
            </w:r>
            <w:r w:rsidR="00DE061E" w:rsidRPr="00C6247E">
              <w:rPr>
                <w:rFonts w:ascii="Times New Roman" w:eastAsia="Times New Roman" w:hAnsi="Times New Roman" w:cs="Times New Roman"/>
                <w:bCs/>
                <w:sz w:val="26"/>
                <w:szCs w:val="26"/>
              </w:rPr>
              <w:t>30.marta</w:t>
            </w:r>
            <w:r w:rsidR="004E6C72" w:rsidRPr="00C6247E">
              <w:rPr>
                <w:rFonts w:ascii="Times New Roman" w:eastAsia="Times New Roman" w:hAnsi="Times New Roman" w:cs="Times New Roman"/>
                <w:bCs/>
                <w:sz w:val="26"/>
                <w:szCs w:val="26"/>
              </w:rPr>
              <w:t xml:space="preserve"> </w:t>
            </w:r>
            <w:r>
              <w:rPr>
                <w:rFonts w:ascii="Times New Roman" w:eastAsia="Times New Roman" w:hAnsi="Times New Roman" w:cs="Times New Roman"/>
                <w:bCs/>
                <w:sz w:val="26"/>
                <w:szCs w:val="26"/>
              </w:rPr>
              <w:t xml:space="preserve">MK </w:t>
            </w:r>
            <w:r w:rsidR="004E6C72" w:rsidRPr="00C6247E">
              <w:rPr>
                <w:rFonts w:ascii="Times New Roman" w:eastAsia="Times New Roman" w:hAnsi="Times New Roman" w:cs="Times New Roman"/>
                <w:bCs/>
                <w:sz w:val="26"/>
                <w:szCs w:val="26"/>
              </w:rPr>
              <w:t>noteikumos Nr.</w:t>
            </w:r>
            <w:r w:rsidR="00DE061E" w:rsidRPr="00C6247E">
              <w:rPr>
                <w:rFonts w:ascii="Times New Roman" w:eastAsia="Times New Roman" w:hAnsi="Times New Roman" w:cs="Times New Roman"/>
                <w:bCs/>
                <w:sz w:val="26"/>
                <w:szCs w:val="26"/>
              </w:rPr>
              <w:t>328</w:t>
            </w:r>
            <w:r w:rsidR="004E6C72" w:rsidRPr="00C6247E">
              <w:rPr>
                <w:rFonts w:ascii="Times New Roman" w:eastAsia="Times New Roman" w:hAnsi="Times New Roman" w:cs="Times New Roman"/>
                <w:bCs/>
                <w:sz w:val="26"/>
                <w:szCs w:val="26"/>
              </w:rPr>
              <w:t xml:space="preserve"> „</w:t>
            </w:r>
            <w:r w:rsidR="00C32012" w:rsidRPr="00C6247E">
              <w:rPr>
                <w:rFonts w:ascii="Times New Roman" w:eastAsia="Times New Roman" w:hAnsi="Times New Roman" w:cs="Times New Roman"/>
                <w:bCs/>
                <w:sz w:val="26"/>
                <w:szCs w:val="26"/>
              </w:rPr>
              <w:t>Not</w:t>
            </w:r>
            <w:r w:rsidR="008B262E" w:rsidRPr="00C6247E">
              <w:rPr>
                <w:rFonts w:ascii="Times New Roman" w:eastAsia="Times New Roman" w:hAnsi="Times New Roman" w:cs="Times New Roman"/>
                <w:bCs/>
                <w:sz w:val="26"/>
                <w:szCs w:val="26"/>
              </w:rPr>
              <w:t>eikumi par darbības programmas „</w:t>
            </w:r>
            <w:r w:rsidR="00C32012" w:rsidRPr="00C6247E">
              <w:rPr>
                <w:rFonts w:ascii="Times New Roman" w:eastAsia="Times New Roman" w:hAnsi="Times New Roman" w:cs="Times New Roman"/>
                <w:bCs/>
                <w:sz w:val="26"/>
                <w:szCs w:val="26"/>
              </w:rPr>
              <w:t>Cilvēkresursi un nodarbinātība</w:t>
            </w:r>
            <w:r w:rsidR="008B262E" w:rsidRPr="00C6247E">
              <w:rPr>
                <w:rFonts w:ascii="Times New Roman" w:eastAsia="Times New Roman" w:hAnsi="Times New Roman" w:cs="Times New Roman"/>
                <w:bCs/>
                <w:sz w:val="26"/>
                <w:szCs w:val="26"/>
              </w:rPr>
              <w:t>”</w:t>
            </w:r>
            <w:r w:rsidR="00C32012" w:rsidRPr="00C6247E">
              <w:rPr>
                <w:rFonts w:ascii="Times New Roman" w:eastAsia="Times New Roman" w:hAnsi="Times New Roman" w:cs="Times New Roman"/>
                <w:bCs/>
                <w:sz w:val="26"/>
                <w:szCs w:val="26"/>
              </w:rPr>
              <w:t xml:space="preserve"> papildinājuma 1.3.1.1.1.apakšaktivitātes </w:t>
            </w:r>
            <w:r w:rsidR="008B262E" w:rsidRPr="00C6247E">
              <w:rPr>
                <w:rFonts w:ascii="Times New Roman" w:eastAsia="Times New Roman" w:hAnsi="Times New Roman" w:cs="Times New Roman"/>
                <w:bCs/>
                <w:sz w:val="26"/>
                <w:szCs w:val="26"/>
              </w:rPr>
              <w:t>„</w:t>
            </w:r>
            <w:r w:rsidR="00C32012" w:rsidRPr="00C6247E">
              <w:rPr>
                <w:rFonts w:ascii="Times New Roman" w:eastAsia="Times New Roman" w:hAnsi="Times New Roman" w:cs="Times New Roman"/>
                <w:bCs/>
                <w:sz w:val="26"/>
                <w:szCs w:val="26"/>
              </w:rPr>
              <w:t>Atbalsts nodarbināto apmācībām komersantu konkurētspējas veicināšanai – atbalsts partnerībās organizētām apmācībām" projektu iesniegumu atlases otro kārtu</w:t>
            </w:r>
            <w:r w:rsidR="004E6C72" w:rsidRPr="00C6247E">
              <w:rPr>
                <w:rFonts w:ascii="Times New Roman" w:eastAsia="Times New Roman" w:hAnsi="Times New Roman" w:cs="Times New Roman"/>
                <w:bCs/>
                <w:sz w:val="26"/>
                <w:szCs w:val="26"/>
              </w:rPr>
              <w:t>”</w:t>
            </w:r>
            <w:r w:rsidR="006F3D99">
              <w:rPr>
                <w:rFonts w:ascii="Times New Roman" w:eastAsia="Times New Roman" w:hAnsi="Times New Roman" w:cs="Times New Roman"/>
                <w:bCs/>
                <w:sz w:val="26"/>
                <w:szCs w:val="26"/>
              </w:rPr>
              <w:t xml:space="preserve"> </w:t>
            </w:r>
            <w:r w:rsidR="00A91570" w:rsidRPr="006F2D55">
              <w:rPr>
                <w:rFonts w:ascii="Times New Roman" w:eastAsia="Times New Roman" w:hAnsi="Times New Roman" w:cs="Times New Roman"/>
                <w:bCs/>
                <w:sz w:val="26"/>
                <w:szCs w:val="26"/>
              </w:rPr>
              <w:t xml:space="preserve">un 2009.gada 31.marta MK noteikumos Nr.293 „Noteikumi par darbības programmas “Cilvēkresursi un nodarbinātība” papildinājuma 1.3.1.2.aktivitāti “Atbalsts </w:t>
            </w:r>
            <w:proofErr w:type="spellStart"/>
            <w:r w:rsidR="00A91570" w:rsidRPr="006F2D55">
              <w:rPr>
                <w:rFonts w:ascii="Times New Roman" w:eastAsia="Times New Roman" w:hAnsi="Times New Roman" w:cs="Times New Roman"/>
                <w:bCs/>
                <w:sz w:val="26"/>
                <w:szCs w:val="26"/>
              </w:rPr>
              <w:t>pašnodarbinātības</w:t>
            </w:r>
            <w:proofErr w:type="spellEnd"/>
            <w:r w:rsidR="00A91570" w:rsidRPr="006F2D55">
              <w:rPr>
                <w:rFonts w:ascii="Times New Roman" w:eastAsia="Times New Roman" w:hAnsi="Times New Roman" w:cs="Times New Roman"/>
                <w:bCs/>
                <w:sz w:val="26"/>
                <w:szCs w:val="26"/>
              </w:rPr>
              <w:t xml:space="preserve"> un uzņēmējdarbības uzsākšanai””</w:t>
            </w:r>
            <w:r w:rsidR="00A91570" w:rsidRPr="00A91570">
              <w:rPr>
                <w:rFonts w:ascii="Times New Roman" w:eastAsia="Times New Roman" w:hAnsi="Times New Roman" w:cs="Times New Roman"/>
                <w:bCs/>
                <w:sz w:val="26"/>
                <w:szCs w:val="26"/>
              </w:rPr>
              <w:t xml:space="preserve"> </w:t>
            </w:r>
            <w:r w:rsidR="00C6247E" w:rsidRPr="00C6247E">
              <w:rPr>
                <w:rFonts w:ascii="Times New Roman" w:eastAsia="Times New Roman" w:hAnsi="Times New Roman" w:cs="Times New Roman"/>
                <w:bCs/>
                <w:sz w:val="26"/>
                <w:szCs w:val="26"/>
              </w:rPr>
              <w:t>atbilstoši MK rīkojuma projektā ietvertajai finansējuma pārdalei</w:t>
            </w:r>
            <w:r w:rsidR="004E6C72" w:rsidRPr="00C6247E">
              <w:rPr>
                <w:rFonts w:ascii="Times New Roman" w:eastAsia="Times New Roman" w:hAnsi="Times New Roman" w:cs="Times New Roman"/>
                <w:bCs/>
                <w:sz w:val="26"/>
                <w:szCs w:val="26"/>
              </w:rPr>
              <w:t>.</w:t>
            </w:r>
          </w:p>
        </w:tc>
      </w:tr>
      <w:tr w:rsidR="00D40CFC" w:rsidRPr="00256A1B" w:rsidTr="00256A1B">
        <w:tc>
          <w:tcPr>
            <w:tcW w:w="426" w:type="dxa"/>
            <w:tcBorders>
              <w:top w:val="thickThinLargeGap" w:sz="6" w:space="0" w:color="C0C0C0"/>
              <w:bottom w:val="thickThinLargeGap" w:sz="6" w:space="0" w:color="C0C0C0"/>
              <w:right w:val="thickThinLargeGap" w:sz="6" w:space="0" w:color="C0C0C0"/>
            </w:tcBorders>
          </w:tcPr>
          <w:p w:rsidR="00D40CFC" w:rsidRPr="00256A1B" w:rsidRDefault="00D40CFC" w:rsidP="00D40CFC">
            <w:pPr>
              <w:spacing w:after="0" w:line="240" w:lineRule="auto"/>
              <w:jc w:val="both"/>
              <w:rPr>
                <w:rFonts w:ascii="Times New Roman" w:eastAsia="Calibri" w:hAnsi="Times New Roman" w:cs="Times New Roman"/>
                <w:sz w:val="26"/>
                <w:szCs w:val="26"/>
              </w:rPr>
            </w:pPr>
            <w:r w:rsidRPr="00256A1B">
              <w:rPr>
                <w:rFonts w:ascii="Times New Roman" w:eastAsia="Calibri" w:hAnsi="Times New Roman" w:cs="Times New Roman"/>
                <w:sz w:val="26"/>
                <w:szCs w:val="26"/>
              </w:rPr>
              <w:t>2.</w:t>
            </w:r>
          </w:p>
        </w:tc>
        <w:tc>
          <w:tcPr>
            <w:tcW w:w="2268" w:type="dxa"/>
            <w:tcBorders>
              <w:top w:val="thickThinLargeGap" w:sz="6" w:space="0" w:color="C0C0C0"/>
              <w:bottom w:val="thickThinLargeGap" w:sz="6" w:space="0" w:color="C0C0C0"/>
              <w:right w:val="thickThinLargeGap" w:sz="6" w:space="0" w:color="C0C0C0"/>
            </w:tcBorders>
          </w:tcPr>
          <w:p w:rsidR="00D40CFC" w:rsidRPr="00256A1B" w:rsidRDefault="00D40CFC" w:rsidP="00D40CFC">
            <w:pPr>
              <w:spacing w:after="0" w:line="240" w:lineRule="auto"/>
              <w:jc w:val="both"/>
              <w:rPr>
                <w:rFonts w:ascii="Times New Roman" w:eastAsia="Calibri" w:hAnsi="Times New Roman" w:cs="Times New Roman"/>
                <w:sz w:val="26"/>
                <w:szCs w:val="26"/>
              </w:rPr>
            </w:pPr>
            <w:r w:rsidRPr="00256A1B">
              <w:rPr>
                <w:rFonts w:ascii="Times New Roman" w:eastAsia="Calibri" w:hAnsi="Times New Roman" w:cs="Times New Roman"/>
                <w:sz w:val="26"/>
                <w:szCs w:val="26"/>
              </w:rPr>
              <w:t>Cita informācija</w:t>
            </w:r>
          </w:p>
        </w:tc>
        <w:tc>
          <w:tcPr>
            <w:tcW w:w="6379" w:type="dxa"/>
            <w:tcBorders>
              <w:top w:val="thickThinLargeGap" w:sz="6" w:space="0" w:color="C0C0C0"/>
              <w:left w:val="thickThinLargeGap" w:sz="6" w:space="0" w:color="C0C0C0"/>
              <w:bottom w:val="thickThinLargeGap" w:sz="6" w:space="0" w:color="C0C0C0"/>
            </w:tcBorders>
          </w:tcPr>
          <w:p w:rsidR="00D40CFC" w:rsidRPr="00256A1B" w:rsidRDefault="00D40CFC" w:rsidP="00D40CFC">
            <w:pPr>
              <w:spacing w:after="0" w:line="240" w:lineRule="auto"/>
              <w:ind w:firstLine="426"/>
              <w:jc w:val="both"/>
              <w:rPr>
                <w:rFonts w:ascii="Times New Roman" w:eastAsia="Calibri" w:hAnsi="Times New Roman" w:cs="Times New Roman"/>
                <w:sz w:val="26"/>
                <w:szCs w:val="26"/>
              </w:rPr>
            </w:pPr>
            <w:r w:rsidRPr="00256A1B">
              <w:rPr>
                <w:rFonts w:ascii="Times New Roman" w:eastAsia="Calibri" w:hAnsi="Times New Roman" w:cs="Times New Roman"/>
                <w:sz w:val="26"/>
                <w:szCs w:val="26"/>
              </w:rPr>
              <w:t>Nav.</w:t>
            </w:r>
          </w:p>
        </w:tc>
      </w:tr>
    </w:tbl>
    <w:p w:rsidR="009E34F3" w:rsidRPr="00A03129" w:rsidRDefault="009E34F3" w:rsidP="00D40CFC">
      <w:pPr>
        <w:tabs>
          <w:tab w:val="left" w:pos="7655"/>
        </w:tabs>
        <w:spacing w:after="0" w:line="240" w:lineRule="auto"/>
        <w:jc w:val="both"/>
        <w:rPr>
          <w:rFonts w:ascii="Times New Roman" w:eastAsia="Calibri" w:hAnsi="Times New Roman" w:cs="Times New Roman"/>
          <w:bCs/>
          <w:sz w:val="28"/>
          <w:szCs w:val="28"/>
        </w:rPr>
      </w:pPr>
    </w:p>
    <w:p w:rsidR="00830152" w:rsidRPr="00256A1B" w:rsidRDefault="00830152" w:rsidP="00830152">
      <w:pPr>
        <w:tabs>
          <w:tab w:val="left" w:pos="7655"/>
        </w:tabs>
        <w:spacing w:after="0" w:line="240" w:lineRule="auto"/>
        <w:jc w:val="center"/>
        <w:rPr>
          <w:rFonts w:ascii="Times New Roman" w:eastAsia="Calibri" w:hAnsi="Times New Roman" w:cs="Times New Roman"/>
          <w:bCs/>
          <w:sz w:val="26"/>
          <w:szCs w:val="26"/>
        </w:rPr>
      </w:pPr>
      <w:r w:rsidRPr="00256A1B">
        <w:rPr>
          <w:rFonts w:ascii="Times New Roman" w:eastAsia="Calibri" w:hAnsi="Times New Roman" w:cs="Times New Roman"/>
          <w:b/>
          <w:sz w:val="26"/>
          <w:szCs w:val="26"/>
        </w:rPr>
        <w:t>Anotācijas V. un VI. sadaļas – projekts šīs jomas neskar.</w:t>
      </w:r>
    </w:p>
    <w:p w:rsidR="00830152" w:rsidRPr="00A03129" w:rsidRDefault="00830152" w:rsidP="00D40CFC">
      <w:pPr>
        <w:tabs>
          <w:tab w:val="left" w:pos="7655"/>
        </w:tabs>
        <w:spacing w:after="0" w:line="240" w:lineRule="auto"/>
        <w:jc w:val="both"/>
        <w:rPr>
          <w:rFonts w:ascii="Times New Roman" w:eastAsia="Calibri" w:hAnsi="Times New Roman" w:cs="Times New Roman"/>
          <w:bCs/>
          <w:sz w:val="28"/>
          <w:szCs w:val="28"/>
        </w:rPr>
      </w:pPr>
    </w:p>
    <w:tbl>
      <w:tblPr>
        <w:tblW w:w="9073" w:type="dxa"/>
        <w:tblInd w:w="-112"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Layout w:type="fixed"/>
        <w:tblCellMar>
          <w:left w:w="0" w:type="dxa"/>
          <w:right w:w="0" w:type="dxa"/>
        </w:tblCellMar>
        <w:tblLook w:val="04A0" w:firstRow="1" w:lastRow="0" w:firstColumn="1" w:lastColumn="0" w:noHBand="0" w:noVBand="1"/>
      </w:tblPr>
      <w:tblGrid>
        <w:gridCol w:w="426"/>
        <w:gridCol w:w="3969"/>
        <w:gridCol w:w="4678"/>
      </w:tblGrid>
      <w:tr w:rsidR="00D40CFC" w:rsidRPr="00256A1B" w:rsidTr="00143CE8">
        <w:tc>
          <w:tcPr>
            <w:tcW w:w="9073" w:type="dxa"/>
            <w:gridSpan w:val="3"/>
          </w:tcPr>
          <w:p w:rsidR="00D40CFC" w:rsidRPr="00256A1B" w:rsidRDefault="00D40CFC" w:rsidP="00D40CFC">
            <w:pPr>
              <w:spacing w:after="0" w:line="240" w:lineRule="auto"/>
              <w:jc w:val="center"/>
              <w:rPr>
                <w:rFonts w:ascii="Times New Roman" w:eastAsia="Times New Roman" w:hAnsi="Times New Roman" w:cs="Times New Roman"/>
                <w:b/>
                <w:sz w:val="26"/>
                <w:szCs w:val="26"/>
              </w:rPr>
            </w:pPr>
            <w:r w:rsidRPr="00256A1B">
              <w:rPr>
                <w:rFonts w:ascii="Times New Roman" w:eastAsia="Times New Roman" w:hAnsi="Times New Roman" w:cs="Times New Roman"/>
                <w:b/>
                <w:sz w:val="26"/>
                <w:szCs w:val="26"/>
              </w:rPr>
              <w:t>VII. Tiesību akta projekta izpildes nodrošināšana un tās ietekme uz institūcijām</w:t>
            </w:r>
          </w:p>
        </w:tc>
      </w:tr>
      <w:tr w:rsidR="00D40CFC" w:rsidRPr="00256A1B" w:rsidTr="00143CE8">
        <w:tc>
          <w:tcPr>
            <w:tcW w:w="426" w:type="dxa"/>
          </w:tcPr>
          <w:p w:rsidR="00D40CFC" w:rsidRPr="00256A1B" w:rsidRDefault="00D40CFC" w:rsidP="00D40CFC">
            <w:pPr>
              <w:spacing w:after="0" w:line="240" w:lineRule="auto"/>
              <w:rPr>
                <w:rFonts w:ascii="Times New Roman" w:eastAsia="Times New Roman" w:hAnsi="Times New Roman" w:cs="Times New Roman"/>
                <w:sz w:val="26"/>
                <w:szCs w:val="26"/>
              </w:rPr>
            </w:pPr>
            <w:r w:rsidRPr="00256A1B">
              <w:rPr>
                <w:rFonts w:ascii="Times New Roman" w:eastAsia="Times New Roman" w:hAnsi="Times New Roman" w:cs="Times New Roman"/>
                <w:sz w:val="26"/>
                <w:szCs w:val="26"/>
              </w:rPr>
              <w:t>1.</w:t>
            </w:r>
          </w:p>
        </w:tc>
        <w:tc>
          <w:tcPr>
            <w:tcW w:w="3969" w:type="dxa"/>
            <w:hideMark/>
          </w:tcPr>
          <w:p w:rsidR="00D40CFC" w:rsidRPr="00256A1B" w:rsidRDefault="00D40CFC" w:rsidP="00D40CFC">
            <w:pPr>
              <w:spacing w:after="0" w:line="240" w:lineRule="auto"/>
              <w:rPr>
                <w:rFonts w:ascii="Times New Roman" w:eastAsia="Times New Roman" w:hAnsi="Times New Roman" w:cs="Times New Roman"/>
                <w:sz w:val="26"/>
                <w:szCs w:val="26"/>
              </w:rPr>
            </w:pPr>
            <w:r w:rsidRPr="00256A1B">
              <w:rPr>
                <w:rFonts w:ascii="Times New Roman" w:eastAsia="Times New Roman" w:hAnsi="Times New Roman" w:cs="Times New Roman"/>
                <w:sz w:val="26"/>
                <w:szCs w:val="26"/>
              </w:rPr>
              <w:t>Projekta izpildē iesaistītās institūcijas</w:t>
            </w:r>
          </w:p>
        </w:tc>
        <w:tc>
          <w:tcPr>
            <w:tcW w:w="4678" w:type="dxa"/>
            <w:hideMark/>
          </w:tcPr>
          <w:p w:rsidR="00D40CFC" w:rsidRPr="00256A1B" w:rsidRDefault="002D3591" w:rsidP="00830152">
            <w:pPr>
              <w:spacing w:after="0" w:line="240" w:lineRule="auto"/>
              <w:ind w:firstLine="485"/>
              <w:jc w:val="both"/>
              <w:rPr>
                <w:rFonts w:ascii="Times New Roman" w:eastAsia="Times New Roman" w:hAnsi="Times New Roman" w:cs="Times New Roman"/>
                <w:sz w:val="26"/>
                <w:szCs w:val="26"/>
              </w:rPr>
            </w:pPr>
            <w:r w:rsidRPr="00256A1B">
              <w:rPr>
                <w:rFonts w:ascii="Times New Roman" w:eastAsia="Times New Roman" w:hAnsi="Times New Roman" w:cs="Times New Roman"/>
                <w:iCs/>
                <w:sz w:val="26"/>
                <w:szCs w:val="26"/>
              </w:rPr>
              <w:t>Projekts šo jomu neskar. </w:t>
            </w:r>
          </w:p>
        </w:tc>
      </w:tr>
      <w:tr w:rsidR="00D40CFC" w:rsidRPr="00256A1B" w:rsidTr="00143CE8">
        <w:tc>
          <w:tcPr>
            <w:tcW w:w="426" w:type="dxa"/>
          </w:tcPr>
          <w:p w:rsidR="00D40CFC" w:rsidRPr="00256A1B" w:rsidRDefault="00D40CFC" w:rsidP="00D40CFC">
            <w:pPr>
              <w:spacing w:after="0" w:line="240" w:lineRule="auto"/>
              <w:rPr>
                <w:rFonts w:ascii="Times New Roman" w:eastAsia="Times New Roman" w:hAnsi="Times New Roman" w:cs="Times New Roman"/>
                <w:sz w:val="26"/>
                <w:szCs w:val="26"/>
              </w:rPr>
            </w:pPr>
            <w:r w:rsidRPr="00256A1B">
              <w:rPr>
                <w:rFonts w:ascii="Times New Roman" w:eastAsia="Times New Roman" w:hAnsi="Times New Roman" w:cs="Times New Roman"/>
                <w:sz w:val="26"/>
                <w:szCs w:val="26"/>
              </w:rPr>
              <w:t>2.</w:t>
            </w:r>
          </w:p>
        </w:tc>
        <w:tc>
          <w:tcPr>
            <w:tcW w:w="3969" w:type="dxa"/>
            <w:hideMark/>
          </w:tcPr>
          <w:p w:rsidR="00D40CFC" w:rsidRPr="00256A1B" w:rsidRDefault="00D40CFC" w:rsidP="00D40CFC">
            <w:pPr>
              <w:spacing w:after="0" w:line="240" w:lineRule="auto"/>
              <w:rPr>
                <w:rFonts w:ascii="Times New Roman" w:eastAsia="Times New Roman" w:hAnsi="Times New Roman" w:cs="Times New Roman"/>
                <w:sz w:val="26"/>
                <w:szCs w:val="26"/>
              </w:rPr>
            </w:pPr>
            <w:r w:rsidRPr="00256A1B">
              <w:rPr>
                <w:rFonts w:ascii="Times New Roman" w:eastAsia="Times New Roman" w:hAnsi="Times New Roman" w:cs="Times New Roman"/>
                <w:sz w:val="26"/>
                <w:szCs w:val="26"/>
              </w:rPr>
              <w:t>Projekta izpildes ietekme uz pārvaldes funkcijā</w:t>
            </w:r>
          </w:p>
        </w:tc>
        <w:tc>
          <w:tcPr>
            <w:tcW w:w="4678" w:type="dxa"/>
            <w:hideMark/>
          </w:tcPr>
          <w:p w:rsidR="00D40CFC" w:rsidRPr="00256A1B" w:rsidRDefault="002D3591" w:rsidP="00830152">
            <w:pPr>
              <w:spacing w:after="0" w:line="240" w:lineRule="auto"/>
              <w:ind w:firstLine="485"/>
              <w:jc w:val="both"/>
              <w:rPr>
                <w:rFonts w:ascii="Times New Roman" w:eastAsia="Times New Roman" w:hAnsi="Times New Roman" w:cs="Times New Roman"/>
                <w:sz w:val="26"/>
                <w:szCs w:val="26"/>
              </w:rPr>
            </w:pPr>
            <w:r w:rsidRPr="00256A1B">
              <w:rPr>
                <w:rFonts w:ascii="Times New Roman" w:eastAsia="Times New Roman" w:hAnsi="Times New Roman" w:cs="Times New Roman"/>
                <w:iCs/>
                <w:sz w:val="26"/>
                <w:szCs w:val="26"/>
              </w:rPr>
              <w:t>Projekts šo jomu neskar. </w:t>
            </w:r>
          </w:p>
        </w:tc>
      </w:tr>
      <w:tr w:rsidR="00D40CFC" w:rsidRPr="00256A1B" w:rsidTr="00143CE8">
        <w:trPr>
          <w:trHeight w:val="930"/>
        </w:trPr>
        <w:tc>
          <w:tcPr>
            <w:tcW w:w="426" w:type="dxa"/>
          </w:tcPr>
          <w:p w:rsidR="00D40CFC" w:rsidRPr="00256A1B" w:rsidRDefault="00D40CFC" w:rsidP="00D40CFC">
            <w:pPr>
              <w:spacing w:after="0" w:line="240" w:lineRule="auto"/>
              <w:rPr>
                <w:rFonts w:ascii="Times New Roman" w:eastAsia="Times New Roman" w:hAnsi="Times New Roman" w:cs="Times New Roman"/>
                <w:sz w:val="26"/>
                <w:szCs w:val="26"/>
              </w:rPr>
            </w:pPr>
            <w:r w:rsidRPr="00256A1B">
              <w:rPr>
                <w:rFonts w:ascii="Times New Roman" w:eastAsia="Times New Roman" w:hAnsi="Times New Roman" w:cs="Times New Roman"/>
                <w:sz w:val="26"/>
                <w:szCs w:val="26"/>
              </w:rPr>
              <w:t>3.</w:t>
            </w:r>
          </w:p>
        </w:tc>
        <w:tc>
          <w:tcPr>
            <w:tcW w:w="3969" w:type="dxa"/>
            <w:hideMark/>
          </w:tcPr>
          <w:p w:rsidR="00D40CFC" w:rsidRPr="00256A1B" w:rsidRDefault="00D40CFC" w:rsidP="00D40CFC">
            <w:pPr>
              <w:spacing w:after="0" w:line="240" w:lineRule="auto"/>
              <w:rPr>
                <w:rFonts w:ascii="Times New Roman" w:eastAsia="Times New Roman" w:hAnsi="Times New Roman" w:cs="Times New Roman"/>
                <w:sz w:val="26"/>
                <w:szCs w:val="26"/>
              </w:rPr>
            </w:pPr>
            <w:r w:rsidRPr="00256A1B">
              <w:rPr>
                <w:rFonts w:ascii="Times New Roman" w:eastAsia="Times New Roman" w:hAnsi="Times New Roman" w:cs="Times New Roman"/>
                <w:sz w:val="26"/>
                <w:szCs w:val="26"/>
              </w:rPr>
              <w:t>Projekta izpildes ietekme uz pārvaldes institucionālo struktūru. Jaunu institūciju izveide</w:t>
            </w:r>
          </w:p>
        </w:tc>
        <w:tc>
          <w:tcPr>
            <w:tcW w:w="4678" w:type="dxa"/>
            <w:hideMark/>
          </w:tcPr>
          <w:p w:rsidR="00D40CFC" w:rsidRPr="00256A1B" w:rsidRDefault="00830152" w:rsidP="00D40CFC">
            <w:pPr>
              <w:spacing w:after="0" w:line="240" w:lineRule="auto"/>
              <w:ind w:firstLine="485"/>
              <w:jc w:val="both"/>
              <w:rPr>
                <w:rFonts w:ascii="Times New Roman" w:eastAsia="Times New Roman" w:hAnsi="Times New Roman" w:cs="Times New Roman"/>
                <w:sz w:val="26"/>
                <w:szCs w:val="26"/>
              </w:rPr>
            </w:pPr>
            <w:r w:rsidRPr="00256A1B">
              <w:rPr>
                <w:rFonts w:ascii="Times New Roman" w:eastAsia="Times New Roman" w:hAnsi="Times New Roman" w:cs="Times New Roman"/>
                <w:sz w:val="26"/>
                <w:szCs w:val="26"/>
              </w:rPr>
              <w:t>Noteikumu projekta izpildei nav nepieciešams radīt jaunas institūcijas.</w:t>
            </w:r>
          </w:p>
        </w:tc>
      </w:tr>
      <w:tr w:rsidR="00D40CFC" w:rsidRPr="00256A1B" w:rsidTr="00143CE8">
        <w:trPr>
          <w:trHeight w:val="927"/>
        </w:trPr>
        <w:tc>
          <w:tcPr>
            <w:tcW w:w="426" w:type="dxa"/>
          </w:tcPr>
          <w:p w:rsidR="00D40CFC" w:rsidRPr="00256A1B" w:rsidRDefault="00D40CFC" w:rsidP="00D40CFC">
            <w:pPr>
              <w:spacing w:after="0" w:line="240" w:lineRule="auto"/>
              <w:rPr>
                <w:rFonts w:ascii="Times New Roman" w:eastAsia="Times New Roman" w:hAnsi="Times New Roman" w:cs="Times New Roman"/>
                <w:sz w:val="26"/>
                <w:szCs w:val="26"/>
              </w:rPr>
            </w:pPr>
            <w:r w:rsidRPr="00256A1B">
              <w:rPr>
                <w:rFonts w:ascii="Times New Roman" w:eastAsia="Times New Roman" w:hAnsi="Times New Roman" w:cs="Times New Roman"/>
                <w:sz w:val="26"/>
                <w:szCs w:val="26"/>
              </w:rPr>
              <w:lastRenderedPageBreak/>
              <w:t>4.</w:t>
            </w:r>
          </w:p>
        </w:tc>
        <w:tc>
          <w:tcPr>
            <w:tcW w:w="3969" w:type="dxa"/>
            <w:hideMark/>
          </w:tcPr>
          <w:p w:rsidR="00D40CFC" w:rsidRPr="00256A1B" w:rsidRDefault="00D40CFC" w:rsidP="00D40CFC">
            <w:pPr>
              <w:spacing w:after="0" w:line="240" w:lineRule="auto"/>
              <w:rPr>
                <w:rFonts w:ascii="Times New Roman" w:eastAsia="Times New Roman" w:hAnsi="Times New Roman" w:cs="Times New Roman"/>
                <w:sz w:val="26"/>
                <w:szCs w:val="26"/>
              </w:rPr>
            </w:pPr>
            <w:r w:rsidRPr="00256A1B">
              <w:rPr>
                <w:rFonts w:ascii="Times New Roman" w:eastAsia="Times New Roman" w:hAnsi="Times New Roman" w:cs="Times New Roman"/>
                <w:sz w:val="26"/>
                <w:szCs w:val="26"/>
              </w:rPr>
              <w:t>Projekta izpildes ietekmes uz pārvaldes institucionālo struktūru. Esošu institūciju likvidācija</w:t>
            </w:r>
          </w:p>
        </w:tc>
        <w:tc>
          <w:tcPr>
            <w:tcW w:w="4678" w:type="dxa"/>
            <w:hideMark/>
          </w:tcPr>
          <w:p w:rsidR="00D40CFC" w:rsidRPr="00256A1B" w:rsidRDefault="00D40CFC" w:rsidP="00D40CFC">
            <w:pPr>
              <w:spacing w:after="0" w:line="240" w:lineRule="auto"/>
              <w:ind w:firstLine="284"/>
              <w:jc w:val="both"/>
              <w:rPr>
                <w:rFonts w:ascii="Times New Roman" w:eastAsia="Times New Roman" w:hAnsi="Times New Roman" w:cs="Times New Roman"/>
                <w:sz w:val="26"/>
                <w:szCs w:val="26"/>
              </w:rPr>
            </w:pPr>
            <w:r w:rsidRPr="00256A1B">
              <w:rPr>
                <w:rFonts w:ascii="Times New Roman" w:eastAsia="Times New Roman" w:hAnsi="Times New Roman" w:cs="Times New Roman"/>
                <w:iCs/>
                <w:sz w:val="26"/>
                <w:szCs w:val="26"/>
              </w:rPr>
              <w:t>Projekts šo jomu neskar. </w:t>
            </w:r>
          </w:p>
        </w:tc>
      </w:tr>
      <w:tr w:rsidR="00D40CFC" w:rsidRPr="00256A1B" w:rsidTr="00143CE8">
        <w:trPr>
          <w:trHeight w:val="912"/>
        </w:trPr>
        <w:tc>
          <w:tcPr>
            <w:tcW w:w="426" w:type="dxa"/>
          </w:tcPr>
          <w:p w:rsidR="00D40CFC" w:rsidRPr="00256A1B" w:rsidRDefault="00D40CFC" w:rsidP="00D40CFC">
            <w:pPr>
              <w:spacing w:after="0" w:line="240" w:lineRule="auto"/>
              <w:rPr>
                <w:rFonts w:ascii="Times New Roman" w:eastAsia="Times New Roman" w:hAnsi="Times New Roman" w:cs="Times New Roman"/>
                <w:sz w:val="26"/>
                <w:szCs w:val="26"/>
              </w:rPr>
            </w:pPr>
            <w:r w:rsidRPr="00256A1B">
              <w:rPr>
                <w:rFonts w:ascii="Times New Roman" w:eastAsia="Times New Roman" w:hAnsi="Times New Roman" w:cs="Times New Roman"/>
                <w:sz w:val="26"/>
                <w:szCs w:val="26"/>
              </w:rPr>
              <w:t>5.</w:t>
            </w:r>
          </w:p>
        </w:tc>
        <w:tc>
          <w:tcPr>
            <w:tcW w:w="3969" w:type="dxa"/>
            <w:hideMark/>
          </w:tcPr>
          <w:p w:rsidR="00D40CFC" w:rsidRPr="00256A1B" w:rsidRDefault="00D40CFC" w:rsidP="00D40CFC">
            <w:pPr>
              <w:spacing w:after="0" w:line="240" w:lineRule="auto"/>
              <w:rPr>
                <w:rFonts w:ascii="Times New Roman" w:eastAsia="Times New Roman" w:hAnsi="Times New Roman" w:cs="Times New Roman"/>
                <w:sz w:val="26"/>
                <w:szCs w:val="26"/>
              </w:rPr>
            </w:pPr>
            <w:r w:rsidRPr="00256A1B">
              <w:rPr>
                <w:rFonts w:ascii="Times New Roman" w:eastAsia="Times New Roman" w:hAnsi="Times New Roman" w:cs="Times New Roman"/>
                <w:sz w:val="26"/>
                <w:szCs w:val="26"/>
              </w:rPr>
              <w:t>Projekta izpildes ietekmes uz pārvaldes institucionālo struktūru. Esošu institūciju reorganizācija</w:t>
            </w:r>
          </w:p>
        </w:tc>
        <w:tc>
          <w:tcPr>
            <w:tcW w:w="4678" w:type="dxa"/>
            <w:hideMark/>
          </w:tcPr>
          <w:p w:rsidR="00D40CFC" w:rsidRPr="00256A1B" w:rsidRDefault="00D40CFC" w:rsidP="00D40CFC">
            <w:pPr>
              <w:spacing w:after="0" w:line="240" w:lineRule="auto"/>
              <w:ind w:firstLine="284"/>
              <w:jc w:val="both"/>
              <w:rPr>
                <w:rFonts w:ascii="Times New Roman" w:eastAsia="Times New Roman" w:hAnsi="Times New Roman" w:cs="Times New Roman"/>
                <w:sz w:val="26"/>
                <w:szCs w:val="26"/>
              </w:rPr>
            </w:pPr>
            <w:r w:rsidRPr="00256A1B">
              <w:rPr>
                <w:rFonts w:ascii="Times New Roman" w:eastAsia="Times New Roman" w:hAnsi="Times New Roman" w:cs="Times New Roman"/>
                <w:iCs/>
                <w:sz w:val="26"/>
                <w:szCs w:val="26"/>
              </w:rPr>
              <w:t>Projekts šo jomu neskar. </w:t>
            </w:r>
          </w:p>
        </w:tc>
      </w:tr>
      <w:tr w:rsidR="00D40CFC" w:rsidRPr="00256A1B" w:rsidTr="00143CE8">
        <w:tc>
          <w:tcPr>
            <w:tcW w:w="426" w:type="dxa"/>
          </w:tcPr>
          <w:p w:rsidR="00D40CFC" w:rsidRPr="00256A1B" w:rsidRDefault="00D40CFC" w:rsidP="00D40CFC">
            <w:pPr>
              <w:spacing w:after="0" w:line="240" w:lineRule="auto"/>
              <w:rPr>
                <w:rFonts w:ascii="Times New Roman" w:eastAsia="Times New Roman" w:hAnsi="Times New Roman" w:cs="Times New Roman"/>
                <w:sz w:val="26"/>
                <w:szCs w:val="26"/>
              </w:rPr>
            </w:pPr>
            <w:r w:rsidRPr="00256A1B">
              <w:rPr>
                <w:rFonts w:ascii="Times New Roman" w:eastAsia="Times New Roman" w:hAnsi="Times New Roman" w:cs="Times New Roman"/>
                <w:sz w:val="26"/>
                <w:szCs w:val="26"/>
              </w:rPr>
              <w:t>6.</w:t>
            </w:r>
          </w:p>
        </w:tc>
        <w:tc>
          <w:tcPr>
            <w:tcW w:w="3969" w:type="dxa"/>
            <w:hideMark/>
          </w:tcPr>
          <w:p w:rsidR="00D40CFC" w:rsidRPr="00256A1B" w:rsidRDefault="00D40CFC" w:rsidP="00D40CFC">
            <w:pPr>
              <w:spacing w:after="0" w:line="240" w:lineRule="auto"/>
              <w:rPr>
                <w:rFonts w:ascii="Times New Roman" w:eastAsia="Times New Roman" w:hAnsi="Times New Roman" w:cs="Times New Roman"/>
                <w:sz w:val="26"/>
                <w:szCs w:val="26"/>
              </w:rPr>
            </w:pPr>
            <w:r w:rsidRPr="00256A1B">
              <w:rPr>
                <w:rFonts w:ascii="Times New Roman" w:eastAsia="Times New Roman" w:hAnsi="Times New Roman" w:cs="Times New Roman"/>
                <w:sz w:val="26"/>
                <w:szCs w:val="26"/>
              </w:rPr>
              <w:t>Cita informācija</w:t>
            </w:r>
          </w:p>
        </w:tc>
        <w:tc>
          <w:tcPr>
            <w:tcW w:w="4678" w:type="dxa"/>
            <w:hideMark/>
          </w:tcPr>
          <w:p w:rsidR="00D40CFC" w:rsidRPr="00256A1B" w:rsidRDefault="00D40CFC" w:rsidP="00D40CFC">
            <w:pPr>
              <w:spacing w:after="0" w:line="240" w:lineRule="auto"/>
              <w:ind w:firstLine="284"/>
              <w:rPr>
                <w:rFonts w:ascii="Times New Roman" w:eastAsia="Times New Roman" w:hAnsi="Times New Roman" w:cs="Times New Roman"/>
                <w:sz w:val="26"/>
                <w:szCs w:val="26"/>
              </w:rPr>
            </w:pPr>
            <w:r w:rsidRPr="00256A1B">
              <w:rPr>
                <w:rFonts w:ascii="Times New Roman" w:eastAsia="Times New Roman" w:hAnsi="Times New Roman" w:cs="Times New Roman"/>
                <w:sz w:val="26"/>
                <w:szCs w:val="26"/>
              </w:rPr>
              <w:t>Nav.</w:t>
            </w:r>
          </w:p>
        </w:tc>
      </w:tr>
    </w:tbl>
    <w:p w:rsidR="00BA3659" w:rsidRPr="00A03129" w:rsidRDefault="00BA3659" w:rsidP="00A50CB9">
      <w:pPr>
        <w:tabs>
          <w:tab w:val="right" w:pos="9071"/>
        </w:tabs>
        <w:spacing w:after="0"/>
        <w:jc w:val="both"/>
        <w:rPr>
          <w:rFonts w:ascii="Times New Roman" w:eastAsia="Times New Roman" w:hAnsi="Times New Roman" w:cs="Times New Roman"/>
          <w:sz w:val="28"/>
          <w:szCs w:val="28"/>
        </w:rPr>
      </w:pPr>
    </w:p>
    <w:p w:rsidR="009D0A29" w:rsidRPr="00256A1B" w:rsidRDefault="009D0A29" w:rsidP="00A50CB9">
      <w:pPr>
        <w:tabs>
          <w:tab w:val="left" w:pos="720"/>
        </w:tabs>
        <w:autoSpaceDE w:val="0"/>
        <w:autoSpaceDN w:val="0"/>
        <w:adjustRightInd w:val="0"/>
        <w:spacing w:after="0" w:line="240" w:lineRule="auto"/>
        <w:rPr>
          <w:rFonts w:ascii="Times New Roman" w:eastAsia="Times New Roman" w:hAnsi="Times New Roman" w:cs="Times New Roman"/>
          <w:sz w:val="26"/>
          <w:szCs w:val="26"/>
        </w:rPr>
      </w:pPr>
      <w:r w:rsidRPr="00256A1B">
        <w:rPr>
          <w:rFonts w:ascii="Times New Roman" w:eastAsia="Times New Roman" w:hAnsi="Times New Roman" w:cs="Times New Roman"/>
          <w:sz w:val="26"/>
          <w:szCs w:val="26"/>
        </w:rPr>
        <w:t>Iesniedzējs:</w:t>
      </w:r>
    </w:p>
    <w:p w:rsidR="00BA3659" w:rsidRPr="00DF20F3" w:rsidRDefault="00BA3659" w:rsidP="00EB2D21">
      <w:pPr>
        <w:tabs>
          <w:tab w:val="right" w:pos="9071"/>
        </w:tabs>
        <w:spacing w:after="0" w:line="240" w:lineRule="auto"/>
        <w:jc w:val="both"/>
        <w:rPr>
          <w:rFonts w:ascii="Times New Roman" w:eastAsia="Times New Roman" w:hAnsi="Times New Roman" w:cs="Times New Roman"/>
          <w:sz w:val="26"/>
          <w:szCs w:val="26"/>
        </w:rPr>
      </w:pPr>
      <w:r w:rsidRPr="00DF20F3">
        <w:rPr>
          <w:rFonts w:ascii="Times New Roman" w:eastAsia="Times New Roman" w:hAnsi="Times New Roman" w:cs="Times New Roman"/>
          <w:sz w:val="26"/>
          <w:szCs w:val="26"/>
        </w:rPr>
        <w:t>Ekonomikas ministr</w:t>
      </w:r>
      <w:r w:rsidR="00EB2D21" w:rsidRPr="00DF20F3">
        <w:rPr>
          <w:rFonts w:ascii="Times New Roman" w:eastAsia="Times New Roman" w:hAnsi="Times New Roman" w:cs="Times New Roman"/>
          <w:sz w:val="26"/>
          <w:szCs w:val="26"/>
        </w:rPr>
        <w:t>s</w:t>
      </w:r>
      <w:r w:rsidRPr="00DF20F3">
        <w:rPr>
          <w:rFonts w:ascii="Times New Roman" w:eastAsia="Times New Roman" w:hAnsi="Times New Roman" w:cs="Times New Roman"/>
          <w:sz w:val="26"/>
          <w:szCs w:val="26"/>
        </w:rPr>
        <w:tab/>
      </w:r>
      <w:r w:rsidR="00EB2D21" w:rsidRPr="00DF20F3">
        <w:rPr>
          <w:rFonts w:ascii="Times New Roman" w:eastAsia="Times New Roman" w:hAnsi="Times New Roman" w:cs="Times New Roman"/>
          <w:sz w:val="26"/>
          <w:szCs w:val="26"/>
        </w:rPr>
        <w:t>D.Pavļuts</w:t>
      </w:r>
    </w:p>
    <w:p w:rsidR="00BA3659" w:rsidRPr="00DF20F3" w:rsidRDefault="00BA3659" w:rsidP="00BA3659">
      <w:pPr>
        <w:spacing w:after="0" w:line="240" w:lineRule="auto"/>
        <w:jc w:val="both"/>
        <w:rPr>
          <w:rFonts w:ascii="Times New Roman" w:eastAsia="Times New Roman" w:hAnsi="Times New Roman" w:cs="Times New Roman"/>
          <w:color w:val="000000"/>
          <w:sz w:val="26"/>
          <w:szCs w:val="26"/>
        </w:rPr>
      </w:pPr>
    </w:p>
    <w:p w:rsidR="00BA3659" w:rsidRPr="00DF20F3" w:rsidRDefault="00BA3659" w:rsidP="00BA3659">
      <w:pPr>
        <w:spacing w:after="0" w:line="240" w:lineRule="auto"/>
        <w:jc w:val="both"/>
        <w:rPr>
          <w:rFonts w:ascii="Times New Roman" w:eastAsia="Times New Roman" w:hAnsi="Times New Roman" w:cs="Times New Roman"/>
          <w:color w:val="000000"/>
          <w:sz w:val="26"/>
          <w:szCs w:val="26"/>
        </w:rPr>
      </w:pPr>
    </w:p>
    <w:p w:rsidR="00BA3659" w:rsidRPr="00DF20F3" w:rsidRDefault="00BA3659" w:rsidP="00BA3659">
      <w:pPr>
        <w:spacing w:after="0" w:line="240" w:lineRule="auto"/>
        <w:jc w:val="both"/>
        <w:rPr>
          <w:rFonts w:ascii="Times New Roman" w:eastAsia="Times New Roman" w:hAnsi="Times New Roman" w:cs="Times New Roman"/>
          <w:color w:val="000000"/>
          <w:sz w:val="26"/>
          <w:szCs w:val="26"/>
        </w:rPr>
      </w:pPr>
    </w:p>
    <w:p w:rsidR="00BA3659" w:rsidRPr="00256A1B" w:rsidRDefault="00BA3659" w:rsidP="00EB2D21">
      <w:pPr>
        <w:tabs>
          <w:tab w:val="left" w:pos="7938"/>
        </w:tabs>
        <w:spacing w:after="0" w:line="240" w:lineRule="auto"/>
        <w:jc w:val="both"/>
        <w:rPr>
          <w:rFonts w:ascii="Times New Roman" w:eastAsia="Times New Roman" w:hAnsi="Times New Roman" w:cs="Times New Roman"/>
          <w:color w:val="000000"/>
          <w:sz w:val="26"/>
          <w:szCs w:val="26"/>
        </w:rPr>
      </w:pPr>
      <w:r w:rsidRPr="00DF20F3">
        <w:rPr>
          <w:rFonts w:ascii="Times New Roman" w:eastAsia="Times New Roman" w:hAnsi="Times New Roman" w:cs="Times New Roman"/>
          <w:color w:val="000000"/>
          <w:sz w:val="26"/>
          <w:szCs w:val="26"/>
        </w:rPr>
        <w:t>Vīza: Valsts sekretār</w:t>
      </w:r>
      <w:r w:rsidR="00EB2D21" w:rsidRPr="00DF20F3">
        <w:rPr>
          <w:rFonts w:ascii="Times New Roman" w:eastAsia="Times New Roman" w:hAnsi="Times New Roman" w:cs="Times New Roman"/>
          <w:color w:val="000000"/>
          <w:sz w:val="26"/>
          <w:szCs w:val="26"/>
        </w:rPr>
        <w:t xml:space="preserve">s </w:t>
      </w:r>
      <w:r w:rsidR="00EB2D21" w:rsidRPr="00DF20F3">
        <w:rPr>
          <w:rFonts w:ascii="Times New Roman" w:eastAsia="Times New Roman" w:hAnsi="Times New Roman" w:cs="Times New Roman"/>
          <w:color w:val="000000"/>
          <w:sz w:val="26"/>
          <w:szCs w:val="26"/>
        </w:rPr>
        <w:tab/>
        <w:t>J</w:t>
      </w:r>
      <w:r w:rsidRPr="00DF20F3">
        <w:rPr>
          <w:rFonts w:ascii="Times New Roman" w:eastAsia="Times New Roman" w:hAnsi="Times New Roman" w:cs="Times New Roman"/>
          <w:color w:val="000000"/>
          <w:sz w:val="26"/>
          <w:szCs w:val="26"/>
        </w:rPr>
        <w:t>.</w:t>
      </w:r>
      <w:r w:rsidR="00EB2D21" w:rsidRPr="00DF20F3">
        <w:rPr>
          <w:rFonts w:ascii="Times New Roman" w:eastAsia="Times New Roman" w:hAnsi="Times New Roman" w:cs="Times New Roman"/>
          <w:color w:val="000000"/>
          <w:sz w:val="26"/>
          <w:szCs w:val="26"/>
        </w:rPr>
        <w:t>Pūce</w:t>
      </w:r>
    </w:p>
    <w:p w:rsidR="0034089F" w:rsidRPr="00256A1B" w:rsidRDefault="00830152" w:rsidP="000F6E43">
      <w:pPr>
        <w:keepLines/>
        <w:widowControl w:val="0"/>
        <w:tabs>
          <w:tab w:val="left" w:pos="7938"/>
        </w:tabs>
        <w:spacing w:after="0" w:line="240" w:lineRule="auto"/>
        <w:rPr>
          <w:rFonts w:ascii="Times New Roman" w:eastAsia="Times New Roman" w:hAnsi="Times New Roman" w:cs="Times New Roman"/>
          <w:sz w:val="26"/>
          <w:szCs w:val="26"/>
        </w:rPr>
      </w:pPr>
      <w:r w:rsidRPr="00256A1B">
        <w:rPr>
          <w:rFonts w:ascii="Times New Roman" w:eastAsia="Times New Roman" w:hAnsi="Times New Roman" w:cs="Times New Roman"/>
          <w:sz w:val="26"/>
          <w:szCs w:val="26"/>
        </w:rPr>
        <w:tab/>
      </w:r>
    </w:p>
    <w:p w:rsidR="00F02AD7" w:rsidRPr="00A03129" w:rsidRDefault="00F02AD7" w:rsidP="00902B1D">
      <w:pPr>
        <w:widowControl w:val="0"/>
        <w:spacing w:after="0" w:line="240" w:lineRule="auto"/>
        <w:rPr>
          <w:rFonts w:ascii="Times New Roman" w:eastAsia="Times New Roman" w:hAnsi="Times New Roman" w:cs="Times New Roman"/>
          <w:sz w:val="20"/>
          <w:szCs w:val="20"/>
        </w:rPr>
      </w:pPr>
    </w:p>
    <w:p w:rsidR="001305B6" w:rsidRPr="00A03129" w:rsidRDefault="001305B6" w:rsidP="00902B1D">
      <w:pPr>
        <w:widowControl w:val="0"/>
        <w:spacing w:after="0" w:line="240" w:lineRule="auto"/>
        <w:rPr>
          <w:rFonts w:ascii="Times New Roman" w:eastAsia="Times New Roman" w:hAnsi="Times New Roman" w:cs="Times New Roman"/>
          <w:sz w:val="20"/>
          <w:szCs w:val="20"/>
        </w:rPr>
      </w:pPr>
    </w:p>
    <w:p w:rsidR="00BA3659" w:rsidRPr="00A03129" w:rsidRDefault="00BA3659" w:rsidP="00902B1D">
      <w:pPr>
        <w:widowControl w:val="0"/>
        <w:spacing w:after="0" w:line="240" w:lineRule="auto"/>
        <w:rPr>
          <w:rFonts w:ascii="Times New Roman" w:eastAsia="Times New Roman" w:hAnsi="Times New Roman" w:cs="Times New Roman"/>
          <w:sz w:val="20"/>
          <w:szCs w:val="20"/>
        </w:rPr>
      </w:pPr>
    </w:p>
    <w:p w:rsidR="00BA3659" w:rsidRDefault="00BA3659" w:rsidP="00902B1D">
      <w:pPr>
        <w:widowControl w:val="0"/>
        <w:spacing w:after="0" w:line="240" w:lineRule="auto"/>
        <w:rPr>
          <w:rFonts w:ascii="Times New Roman" w:eastAsia="Times New Roman" w:hAnsi="Times New Roman" w:cs="Times New Roman"/>
          <w:sz w:val="20"/>
          <w:szCs w:val="20"/>
        </w:rPr>
      </w:pPr>
    </w:p>
    <w:p w:rsidR="002024A0" w:rsidRDefault="002024A0" w:rsidP="00902B1D">
      <w:pPr>
        <w:widowControl w:val="0"/>
        <w:spacing w:after="0" w:line="240" w:lineRule="auto"/>
        <w:rPr>
          <w:rFonts w:ascii="Times New Roman" w:eastAsia="Times New Roman" w:hAnsi="Times New Roman" w:cs="Times New Roman"/>
          <w:sz w:val="20"/>
          <w:szCs w:val="20"/>
        </w:rPr>
      </w:pPr>
    </w:p>
    <w:p w:rsidR="002024A0" w:rsidRDefault="002024A0" w:rsidP="00902B1D">
      <w:pPr>
        <w:widowControl w:val="0"/>
        <w:spacing w:after="0" w:line="240" w:lineRule="auto"/>
        <w:rPr>
          <w:rFonts w:ascii="Times New Roman" w:eastAsia="Times New Roman" w:hAnsi="Times New Roman" w:cs="Times New Roman"/>
          <w:sz w:val="20"/>
          <w:szCs w:val="20"/>
        </w:rPr>
      </w:pPr>
    </w:p>
    <w:p w:rsidR="002024A0" w:rsidRDefault="002024A0" w:rsidP="00902B1D">
      <w:pPr>
        <w:widowControl w:val="0"/>
        <w:spacing w:after="0" w:line="240" w:lineRule="auto"/>
        <w:rPr>
          <w:rFonts w:ascii="Times New Roman" w:eastAsia="Times New Roman" w:hAnsi="Times New Roman" w:cs="Times New Roman"/>
          <w:sz w:val="20"/>
          <w:szCs w:val="20"/>
        </w:rPr>
      </w:pPr>
    </w:p>
    <w:p w:rsidR="002024A0" w:rsidRDefault="002024A0" w:rsidP="00902B1D">
      <w:pPr>
        <w:widowControl w:val="0"/>
        <w:spacing w:after="0" w:line="240" w:lineRule="auto"/>
        <w:rPr>
          <w:rFonts w:ascii="Times New Roman" w:eastAsia="Times New Roman" w:hAnsi="Times New Roman" w:cs="Times New Roman"/>
          <w:sz w:val="20"/>
          <w:szCs w:val="20"/>
        </w:rPr>
      </w:pPr>
    </w:p>
    <w:p w:rsidR="002024A0" w:rsidRDefault="002024A0" w:rsidP="00902B1D">
      <w:pPr>
        <w:widowControl w:val="0"/>
        <w:spacing w:after="0" w:line="240" w:lineRule="auto"/>
        <w:rPr>
          <w:rFonts w:ascii="Times New Roman" w:eastAsia="Times New Roman" w:hAnsi="Times New Roman" w:cs="Times New Roman"/>
          <w:sz w:val="20"/>
          <w:szCs w:val="20"/>
        </w:rPr>
      </w:pPr>
    </w:p>
    <w:p w:rsidR="002024A0" w:rsidRDefault="002024A0" w:rsidP="00902B1D">
      <w:pPr>
        <w:widowControl w:val="0"/>
        <w:spacing w:after="0" w:line="240" w:lineRule="auto"/>
        <w:rPr>
          <w:rFonts w:ascii="Times New Roman" w:eastAsia="Times New Roman" w:hAnsi="Times New Roman" w:cs="Times New Roman"/>
          <w:sz w:val="20"/>
          <w:szCs w:val="20"/>
        </w:rPr>
      </w:pPr>
    </w:p>
    <w:p w:rsidR="006F3D99" w:rsidRDefault="006F3D99" w:rsidP="00902B1D">
      <w:pPr>
        <w:widowControl w:val="0"/>
        <w:spacing w:after="0" w:line="240" w:lineRule="auto"/>
        <w:rPr>
          <w:rFonts w:ascii="Times New Roman" w:eastAsia="Times New Roman" w:hAnsi="Times New Roman" w:cs="Times New Roman"/>
          <w:sz w:val="20"/>
          <w:szCs w:val="20"/>
        </w:rPr>
      </w:pPr>
    </w:p>
    <w:p w:rsidR="006F3D99" w:rsidRDefault="006F3D99" w:rsidP="00902B1D">
      <w:pPr>
        <w:widowControl w:val="0"/>
        <w:spacing w:after="0" w:line="240" w:lineRule="auto"/>
        <w:rPr>
          <w:rFonts w:ascii="Times New Roman" w:eastAsia="Times New Roman" w:hAnsi="Times New Roman" w:cs="Times New Roman"/>
          <w:sz w:val="20"/>
          <w:szCs w:val="20"/>
        </w:rPr>
      </w:pPr>
    </w:p>
    <w:p w:rsidR="006F3D99" w:rsidRDefault="006F3D99" w:rsidP="00902B1D">
      <w:pPr>
        <w:widowControl w:val="0"/>
        <w:spacing w:after="0" w:line="240" w:lineRule="auto"/>
        <w:rPr>
          <w:rFonts w:ascii="Times New Roman" w:eastAsia="Times New Roman" w:hAnsi="Times New Roman" w:cs="Times New Roman"/>
          <w:sz w:val="20"/>
          <w:szCs w:val="20"/>
        </w:rPr>
      </w:pPr>
    </w:p>
    <w:p w:rsidR="002024A0" w:rsidRPr="00A03129" w:rsidRDefault="002024A0" w:rsidP="00902B1D">
      <w:pPr>
        <w:widowControl w:val="0"/>
        <w:spacing w:after="0" w:line="240" w:lineRule="auto"/>
        <w:rPr>
          <w:rFonts w:ascii="Times New Roman" w:eastAsia="Times New Roman" w:hAnsi="Times New Roman" w:cs="Times New Roman"/>
          <w:sz w:val="20"/>
          <w:szCs w:val="20"/>
        </w:rPr>
      </w:pPr>
    </w:p>
    <w:p w:rsidR="001305B6" w:rsidRPr="00A03129" w:rsidRDefault="001305B6" w:rsidP="00902B1D">
      <w:pPr>
        <w:widowControl w:val="0"/>
        <w:spacing w:after="0" w:line="240" w:lineRule="auto"/>
        <w:rPr>
          <w:rFonts w:ascii="Times New Roman" w:eastAsia="Times New Roman" w:hAnsi="Times New Roman" w:cs="Times New Roman"/>
          <w:sz w:val="20"/>
          <w:szCs w:val="20"/>
        </w:rPr>
      </w:pPr>
    </w:p>
    <w:p w:rsidR="00921E7C" w:rsidRDefault="00FD3C93" w:rsidP="000F6E43">
      <w:pPr>
        <w:widowControl w:val="0"/>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27.11.2013 10:59</w:t>
      </w:r>
    </w:p>
    <w:p w:rsidR="000F6E43" w:rsidRPr="00256A1B" w:rsidRDefault="003D7C0C" w:rsidP="000F6E43">
      <w:pPr>
        <w:widowControl w:val="0"/>
        <w:spacing w:after="0" w:line="240" w:lineRule="auto"/>
        <w:jc w:val="both"/>
        <w:rPr>
          <w:rFonts w:ascii="Times New Roman" w:eastAsia="Times New Roman" w:hAnsi="Times New Roman"/>
          <w:sz w:val="20"/>
          <w:szCs w:val="20"/>
        </w:rPr>
      </w:pPr>
      <w:r w:rsidRPr="00256A1B">
        <w:rPr>
          <w:sz w:val="20"/>
          <w:szCs w:val="20"/>
        </w:rPr>
        <w:fldChar w:fldCharType="begin"/>
      </w:r>
      <w:r w:rsidRPr="00256A1B">
        <w:rPr>
          <w:sz w:val="20"/>
          <w:szCs w:val="20"/>
        </w:rPr>
        <w:instrText xml:space="preserve"> NUMWORDS   \* MERGEFORMAT </w:instrText>
      </w:r>
      <w:r w:rsidRPr="00256A1B">
        <w:rPr>
          <w:sz w:val="20"/>
          <w:szCs w:val="20"/>
        </w:rPr>
        <w:fldChar w:fldCharType="separate"/>
      </w:r>
      <w:r w:rsidR="00FD3C93" w:rsidRPr="00FD3C93">
        <w:rPr>
          <w:rFonts w:ascii="Times New Roman" w:eastAsia="Times New Roman" w:hAnsi="Times New Roman"/>
          <w:noProof/>
          <w:sz w:val="20"/>
          <w:szCs w:val="20"/>
        </w:rPr>
        <w:t>1023</w:t>
      </w:r>
      <w:r w:rsidRPr="00256A1B">
        <w:rPr>
          <w:rFonts w:ascii="Times New Roman" w:eastAsia="Times New Roman" w:hAnsi="Times New Roman"/>
          <w:noProof/>
          <w:sz w:val="20"/>
          <w:szCs w:val="20"/>
        </w:rPr>
        <w:fldChar w:fldCharType="end"/>
      </w:r>
      <w:bookmarkStart w:id="0" w:name="_GoBack"/>
      <w:bookmarkEnd w:id="0"/>
    </w:p>
    <w:p w:rsidR="00921E7C" w:rsidRDefault="00767577" w:rsidP="00256A1B">
      <w:pPr>
        <w:widowControl w:val="0"/>
        <w:spacing w:after="0" w:line="240" w:lineRule="auto"/>
        <w:jc w:val="both"/>
        <w:rPr>
          <w:rFonts w:ascii="Times New Roman" w:eastAsia="Times New Roman" w:hAnsi="Times New Roman" w:cs="Times New Roman"/>
          <w:sz w:val="20"/>
          <w:szCs w:val="20"/>
        </w:rPr>
      </w:pPr>
      <w:r w:rsidRPr="00256A1B">
        <w:rPr>
          <w:rFonts w:ascii="Times New Roman" w:eastAsia="Times New Roman" w:hAnsi="Times New Roman" w:cs="Times New Roman"/>
          <w:sz w:val="20"/>
          <w:szCs w:val="20"/>
        </w:rPr>
        <w:t>Purmalietis</w:t>
      </w:r>
      <w:r w:rsidR="00921E7C">
        <w:rPr>
          <w:rFonts w:ascii="Times New Roman" w:eastAsia="Times New Roman" w:hAnsi="Times New Roman" w:cs="Times New Roman"/>
          <w:sz w:val="20"/>
          <w:szCs w:val="20"/>
        </w:rPr>
        <w:t xml:space="preserve">, </w:t>
      </w:r>
      <w:r w:rsidRPr="00256A1B">
        <w:rPr>
          <w:rFonts w:ascii="Times New Roman" w:eastAsia="Times New Roman" w:hAnsi="Times New Roman" w:cs="Times New Roman"/>
          <w:sz w:val="20"/>
          <w:szCs w:val="20"/>
        </w:rPr>
        <w:t>67013108</w:t>
      </w:r>
    </w:p>
    <w:p w:rsidR="00D40CFC" w:rsidRPr="00AC0127" w:rsidRDefault="00767577" w:rsidP="00256A1B">
      <w:pPr>
        <w:widowControl w:val="0"/>
        <w:spacing w:after="0" w:line="240" w:lineRule="auto"/>
        <w:jc w:val="both"/>
        <w:rPr>
          <w:rFonts w:ascii="Times New Roman" w:eastAsia="Times New Roman" w:hAnsi="Times New Roman" w:cs="Times New Roman"/>
          <w:sz w:val="20"/>
          <w:szCs w:val="20"/>
        </w:rPr>
      </w:pPr>
      <w:r w:rsidRPr="00256A1B">
        <w:rPr>
          <w:rFonts w:ascii="Times New Roman" w:eastAsia="Times New Roman" w:hAnsi="Times New Roman" w:cs="Times New Roman"/>
          <w:sz w:val="20"/>
          <w:szCs w:val="20"/>
        </w:rPr>
        <w:t>Kaspars.Purmalietis</w:t>
      </w:r>
      <w:r w:rsidR="000A01AB" w:rsidRPr="00256A1B">
        <w:rPr>
          <w:rFonts w:ascii="Times New Roman" w:eastAsia="Times New Roman" w:hAnsi="Times New Roman" w:cs="Times New Roman"/>
          <w:sz w:val="20"/>
          <w:szCs w:val="20"/>
        </w:rPr>
        <w:t>@em.gov.lv</w:t>
      </w:r>
    </w:p>
    <w:sectPr w:rsidR="00D40CFC" w:rsidRPr="00AC0127" w:rsidSect="00D40CFC">
      <w:footerReference w:type="default" r:id="rId9"/>
      <w:pgSz w:w="11906" w:h="16838"/>
      <w:pgMar w:top="1418"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C64" w:rsidRDefault="00344C64" w:rsidP="002A617A">
      <w:pPr>
        <w:spacing w:after="0" w:line="240" w:lineRule="auto"/>
      </w:pPr>
      <w:r>
        <w:separator/>
      </w:r>
    </w:p>
  </w:endnote>
  <w:endnote w:type="continuationSeparator" w:id="0">
    <w:p w:rsidR="00344C64" w:rsidRDefault="00344C64" w:rsidP="002A6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17A" w:rsidRDefault="00D96DCB" w:rsidP="002A617A">
    <w:pPr>
      <w:spacing w:after="0" w:line="240" w:lineRule="auto"/>
      <w:jc w:val="both"/>
      <w:outlineLvl w:val="0"/>
    </w:pPr>
    <w:fldSimple w:instr=" FILENAME   \* MERGEFORMAT ">
      <w:r w:rsidR="007C5553" w:rsidRPr="007C5553">
        <w:rPr>
          <w:rFonts w:ascii="Times New Roman" w:hAnsi="Times New Roman"/>
          <w:noProof/>
          <w:sz w:val="20"/>
          <w:szCs w:val="20"/>
        </w:rPr>
        <w:t>EMAnot_271113_groz1DPP</w:t>
      </w:r>
    </w:fldSimple>
    <w:r w:rsidR="00564229" w:rsidRPr="008B4D0D">
      <w:rPr>
        <w:rFonts w:ascii="Times New Roman" w:hAnsi="Times New Roman"/>
        <w:sz w:val="20"/>
        <w:szCs w:val="20"/>
      </w:rPr>
      <w:t>;</w:t>
    </w:r>
    <w:r w:rsidR="002A617A" w:rsidRPr="002A617A">
      <w:rPr>
        <w:rFonts w:ascii="Times New Roman" w:eastAsia="Calibri" w:hAnsi="Times New Roman" w:cs="Times New Roman"/>
        <w:sz w:val="20"/>
        <w:szCs w:val="20"/>
        <w:lang w:val="en-AU"/>
      </w:rPr>
      <w:t xml:space="preserve"> </w:t>
    </w:r>
    <w:r w:rsidR="000F6E43" w:rsidRPr="008B4D0D">
      <w:rPr>
        <w:rFonts w:ascii="Times New Roman" w:hAnsi="Times New Roman"/>
        <w:sz w:val="20"/>
        <w:szCs w:val="20"/>
      </w:rPr>
      <w:t>Ministru kabin</w:t>
    </w:r>
    <w:r w:rsidR="000F6E43">
      <w:rPr>
        <w:rFonts w:ascii="Times New Roman" w:hAnsi="Times New Roman"/>
        <w:sz w:val="20"/>
        <w:szCs w:val="20"/>
      </w:rPr>
      <w:t>eta rīkojuma projekta</w:t>
    </w:r>
    <w:r w:rsidR="000F6E43" w:rsidRPr="008B4D0D">
      <w:rPr>
        <w:rFonts w:ascii="Times New Roman" w:hAnsi="Times New Roman"/>
        <w:sz w:val="20"/>
        <w:szCs w:val="20"/>
      </w:rPr>
      <w:t xml:space="preserve"> „Grozījum</w:t>
    </w:r>
    <w:r w:rsidR="00353488">
      <w:rPr>
        <w:rFonts w:ascii="Times New Roman" w:hAnsi="Times New Roman"/>
        <w:sz w:val="20"/>
        <w:szCs w:val="20"/>
      </w:rPr>
      <w:t>i</w:t>
    </w:r>
    <w:r w:rsidR="000F6E43" w:rsidRPr="008B4D0D">
      <w:rPr>
        <w:rFonts w:ascii="Times New Roman" w:hAnsi="Times New Roman"/>
        <w:sz w:val="20"/>
        <w:szCs w:val="20"/>
      </w:rPr>
      <w:t xml:space="preserve"> darbības programm</w:t>
    </w:r>
    <w:r w:rsidR="001C32C4">
      <w:rPr>
        <w:rFonts w:ascii="Times New Roman" w:hAnsi="Times New Roman"/>
        <w:sz w:val="20"/>
        <w:szCs w:val="20"/>
      </w:rPr>
      <w:t>as „Cilvēkresursi un nodarbinātība</w:t>
    </w:r>
    <w:r w:rsidR="000F6E43" w:rsidRPr="008B4D0D">
      <w:rPr>
        <w:rFonts w:ascii="Times New Roman" w:hAnsi="Times New Roman"/>
        <w:sz w:val="20"/>
        <w:szCs w:val="20"/>
      </w:rPr>
      <w:t>” papildinājumā”</w:t>
    </w:r>
    <w:r w:rsidR="00311139" w:rsidRPr="00311139">
      <w:rPr>
        <w:rFonts w:ascii="Times New Roman" w:eastAsia="Times New Roman" w:hAnsi="Times New Roman" w:cs="Times New Roman"/>
        <w:sz w:val="20"/>
        <w:szCs w:val="20"/>
      </w:rPr>
      <w:t xml:space="preserve">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C64" w:rsidRDefault="00344C64" w:rsidP="002A617A">
      <w:pPr>
        <w:spacing w:after="0" w:line="240" w:lineRule="auto"/>
      </w:pPr>
      <w:r>
        <w:separator/>
      </w:r>
    </w:p>
  </w:footnote>
  <w:footnote w:type="continuationSeparator" w:id="0">
    <w:p w:rsidR="00344C64" w:rsidRDefault="00344C64" w:rsidP="002A61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A91BD2"/>
    <w:multiLevelType w:val="hybridMultilevel"/>
    <w:tmpl w:val="DFFC563C"/>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
    <w:nsid w:val="3DBD2CC7"/>
    <w:multiLevelType w:val="hybridMultilevel"/>
    <w:tmpl w:val="39061756"/>
    <w:lvl w:ilvl="0" w:tplc="04260001">
      <w:start w:val="1"/>
      <w:numFmt w:val="bullet"/>
      <w:lvlText w:val=""/>
      <w:lvlJc w:val="left"/>
      <w:pPr>
        <w:ind w:left="1354" w:hanging="360"/>
      </w:pPr>
      <w:rPr>
        <w:rFonts w:ascii="Symbol" w:hAnsi="Symbol" w:hint="default"/>
      </w:rPr>
    </w:lvl>
    <w:lvl w:ilvl="1" w:tplc="04260003" w:tentative="1">
      <w:start w:val="1"/>
      <w:numFmt w:val="bullet"/>
      <w:lvlText w:val="o"/>
      <w:lvlJc w:val="left"/>
      <w:pPr>
        <w:ind w:left="2074" w:hanging="360"/>
      </w:pPr>
      <w:rPr>
        <w:rFonts w:ascii="Courier New" w:hAnsi="Courier New" w:cs="Courier New" w:hint="default"/>
      </w:rPr>
    </w:lvl>
    <w:lvl w:ilvl="2" w:tplc="04260005" w:tentative="1">
      <w:start w:val="1"/>
      <w:numFmt w:val="bullet"/>
      <w:lvlText w:val=""/>
      <w:lvlJc w:val="left"/>
      <w:pPr>
        <w:ind w:left="2794" w:hanging="360"/>
      </w:pPr>
      <w:rPr>
        <w:rFonts w:ascii="Wingdings" w:hAnsi="Wingdings" w:hint="default"/>
      </w:rPr>
    </w:lvl>
    <w:lvl w:ilvl="3" w:tplc="04260001" w:tentative="1">
      <w:start w:val="1"/>
      <w:numFmt w:val="bullet"/>
      <w:lvlText w:val=""/>
      <w:lvlJc w:val="left"/>
      <w:pPr>
        <w:ind w:left="3514" w:hanging="360"/>
      </w:pPr>
      <w:rPr>
        <w:rFonts w:ascii="Symbol" w:hAnsi="Symbol" w:hint="default"/>
      </w:rPr>
    </w:lvl>
    <w:lvl w:ilvl="4" w:tplc="04260003" w:tentative="1">
      <w:start w:val="1"/>
      <w:numFmt w:val="bullet"/>
      <w:lvlText w:val="o"/>
      <w:lvlJc w:val="left"/>
      <w:pPr>
        <w:ind w:left="4234" w:hanging="360"/>
      </w:pPr>
      <w:rPr>
        <w:rFonts w:ascii="Courier New" w:hAnsi="Courier New" w:cs="Courier New" w:hint="default"/>
      </w:rPr>
    </w:lvl>
    <w:lvl w:ilvl="5" w:tplc="04260005" w:tentative="1">
      <w:start w:val="1"/>
      <w:numFmt w:val="bullet"/>
      <w:lvlText w:val=""/>
      <w:lvlJc w:val="left"/>
      <w:pPr>
        <w:ind w:left="4954" w:hanging="360"/>
      </w:pPr>
      <w:rPr>
        <w:rFonts w:ascii="Wingdings" w:hAnsi="Wingdings" w:hint="default"/>
      </w:rPr>
    </w:lvl>
    <w:lvl w:ilvl="6" w:tplc="04260001" w:tentative="1">
      <w:start w:val="1"/>
      <w:numFmt w:val="bullet"/>
      <w:lvlText w:val=""/>
      <w:lvlJc w:val="left"/>
      <w:pPr>
        <w:ind w:left="5674" w:hanging="360"/>
      </w:pPr>
      <w:rPr>
        <w:rFonts w:ascii="Symbol" w:hAnsi="Symbol" w:hint="default"/>
      </w:rPr>
    </w:lvl>
    <w:lvl w:ilvl="7" w:tplc="04260003" w:tentative="1">
      <w:start w:val="1"/>
      <w:numFmt w:val="bullet"/>
      <w:lvlText w:val="o"/>
      <w:lvlJc w:val="left"/>
      <w:pPr>
        <w:ind w:left="6394" w:hanging="360"/>
      </w:pPr>
      <w:rPr>
        <w:rFonts w:ascii="Courier New" w:hAnsi="Courier New" w:cs="Courier New" w:hint="default"/>
      </w:rPr>
    </w:lvl>
    <w:lvl w:ilvl="8" w:tplc="04260005" w:tentative="1">
      <w:start w:val="1"/>
      <w:numFmt w:val="bullet"/>
      <w:lvlText w:val=""/>
      <w:lvlJc w:val="left"/>
      <w:pPr>
        <w:ind w:left="7114" w:hanging="360"/>
      </w:pPr>
      <w:rPr>
        <w:rFonts w:ascii="Wingdings" w:hAnsi="Wingdings" w:hint="default"/>
      </w:rPr>
    </w:lvl>
  </w:abstractNum>
  <w:abstractNum w:abstractNumId="2">
    <w:nsid w:val="52DB6DC6"/>
    <w:multiLevelType w:val="hybridMultilevel"/>
    <w:tmpl w:val="45846D3A"/>
    <w:lvl w:ilvl="0" w:tplc="0426000F">
      <w:start w:val="1"/>
      <w:numFmt w:val="decimal"/>
      <w:lvlText w:val="%1."/>
      <w:lvlJc w:val="left"/>
      <w:pPr>
        <w:ind w:left="1429" w:hanging="360"/>
      </w:pPr>
      <w:rPr>
        <w:rFonts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3">
    <w:nsid w:val="6D714C19"/>
    <w:multiLevelType w:val="multilevel"/>
    <w:tmpl w:val="D6A896B2"/>
    <w:lvl w:ilvl="0">
      <w:start w:val="1"/>
      <w:numFmt w:val="decimal"/>
      <w:lvlText w:val="%1."/>
      <w:lvlJc w:val="left"/>
      <w:pPr>
        <w:ind w:left="720" w:hanging="360"/>
      </w:pPr>
    </w:lvl>
    <w:lvl w:ilvl="1">
      <w:start w:val="3"/>
      <w:numFmt w:val="decimal"/>
      <w:isLgl/>
      <w:lvlText w:val="%1.%2."/>
      <w:lvlJc w:val="left"/>
      <w:pPr>
        <w:ind w:left="1282" w:hanging="900"/>
      </w:pPr>
      <w:rPr>
        <w:rFonts w:hint="default"/>
      </w:rPr>
    </w:lvl>
    <w:lvl w:ilvl="2">
      <w:start w:val="1"/>
      <w:numFmt w:val="decimal"/>
      <w:isLgl/>
      <w:lvlText w:val="%1.%2.%3."/>
      <w:lvlJc w:val="left"/>
      <w:pPr>
        <w:ind w:left="1304" w:hanging="900"/>
      </w:pPr>
      <w:rPr>
        <w:rFonts w:hint="default"/>
      </w:rPr>
    </w:lvl>
    <w:lvl w:ilvl="3">
      <w:start w:val="1"/>
      <w:numFmt w:val="decimal"/>
      <w:isLgl/>
      <w:lvlText w:val="%1.%2.%3.%4."/>
      <w:lvlJc w:val="left"/>
      <w:pPr>
        <w:ind w:left="1326" w:hanging="900"/>
      </w:pPr>
      <w:rPr>
        <w:rFonts w:hint="default"/>
      </w:rPr>
    </w:lvl>
    <w:lvl w:ilvl="4">
      <w:start w:val="2"/>
      <w:numFmt w:val="decimal"/>
      <w:isLgl/>
      <w:lvlText w:val="%1.%2.%3.%4.%5."/>
      <w:lvlJc w:val="left"/>
      <w:pPr>
        <w:ind w:left="1528" w:hanging="1080"/>
      </w:pPr>
      <w:rPr>
        <w:rFonts w:hint="default"/>
      </w:rPr>
    </w:lvl>
    <w:lvl w:ilvl="5">
      <w:start w:val="1"/>
      <w:numFmt w:val="decimal"/>
      <w:isLgl/>
      <w:lvlText w:val="%1.%2.%3.%4.%5.%6."/>
      <w:lvlJc w:val="left"/>
      <w:pPr>
        <w:ind w:left="1550" w:hanging="1080"/>
      </w:pPr>
      <w:rPr>
        <w:rFonts w:hint="default"/>
      </w:rPr>
    </w:lvl>
    <w:lvl w:ilvl="6">
      <w:start w:val="1"/>
      <w:numFmt w:val="decimal"/>
      <w:isLgl/>
      <w:lvlText w:val="%1.%2.%3.%4.%5.%6.%7."/>
      <w:lvlJc w:val="left"/>
      <w:pPr>
        <w:ind w:left="1932" w:hanging="1440"/>
      </w:pPr>
      <w:rPr>
        <w:rFonts w:hint="default"/>
      </w:rPr>
    </w:lvl>
    <w:lvl w:ilvl="7">
      <w:start w:val="1"/>
      <w:numFmt w:val="decimal"/>
      <w:isLgl/>
      <w:lvlText w:val="%1.%2.%3.%4.%5.%6.%7.%8."/>
      <w:lvlJc w:val="left"/>
      <w:pPr>
        <w:ind w:left="1954" w:hanging="1440"/>
      </w:pPr>
      <w:rPr>
        <w:rFonts w:hint="default"/>
      </w:rPr>
    </w:lvl>
    <w:lvl w:ilvl="8">
      <w:start w:val="1"/>
      <w:numFmt w:val="decimal"/>
      <w:isLgl/>
      <w:lvlText w:val="%1.%2.%3.%4.%5.%6.%7.%8.%9."/>
      <w:lvlJc w:val="left"/>
      <w:pPr>
        <w:ind w:left="2336" w:hanging="1800"/>
      </w:pPr>
      <w:rPr>
        <w:rFonts w:hint="default"/>
      </w:rPr>
    </w:lvl>
  </w:abstractNum>
  <w:abstractNum w:abstractNumId="4">
    <w:nsid w:val="6E545428"/>
    <w:multiLevelType w:val="hybridMultilevel"/>
    <w:tmpl w:val="B408428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76026D52"/>
    <w:multiLevelType w:val="hybridMultilevel"/>
    <w:tmpl w:val="5AE0C3F8"/>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6">
    <w:nsid w:val="7BDC7C97"/>
    <w:multiLevelType w:val="hybridMultilevel"/>
    <w:tmpl w:val="CD9EBD6E"/>
    <w:lvl w:ilvl="0" w:tplc="535C4F52">
      <w:start w:val="1"/>
      <w:numFmt w:val="decimal"/>
      <w:lvlText w:val="%1)"/>
      <w:lvlJc w:val="left"/>
      <w:pPr>
        <w:ind w:left="644" w:hanging="360"/>
      </w:pPr>
      <w:rPr>
        <w:color w:val="auto"/>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num w:numId="1">
    <w:abstractNumId w:val="5"/>
  </w:num>
  <w:num w:numId="2">
    <w:abstractNumId w:val="0"/>
  </w:num>
  <w:num w:numId="3">
    <w:abstractNumId w:val="2"/>
  </w:num>
  <w:num w:numId="4">
    <w:abstractNumId w:val="3"/>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390"/>
    <w:rsid w:val="000019D8"/>
    <w:rsid w:val="000068AE"/>
    <w:rsid w:val="000105BC"/>
    <w:rsid w:val="00016F2B"/>
    <w:rsid w:val="00033614"/>
    <w:rsid w:val="000431AD"/>
    <w:rsid w:val="00047893"/>
    <w:rsid w:val="00047CFE"/>
    <w:rsid w:val="0006068B"/>
    <w:rsid w:val="00067DF1"/>
    <w:rsid w:val="000837EF"/>
    <w:rsid w:val="000862E6"/>
    <w:rsid w:val="00097867"/>
    <w:rsid w:val="000A01AB"/>
    <w:rsid w:val="000A6A1D"/>
    <w:rsid w:val="000B64EB"/>
    <w:rsid w:val="000C5018"/>
    <w:rsid w:val="000D4316"/>
    <w:rsid w:val="000E0376"/>
    <w:rsid w:val="000F6E43"/>
    <w:rsid w:val="00102109"/>
    <w:rsid w:val="00112DB5"/>
    <w:rsid w:val="00114A98"/>
    <w:rsid w:val="00114F2D"/>
    <w:rsid w:val="00121167"/>
    <w:rsid w:val="0012729E"/>
    <w:rsid w:val="001305B6"/>
    <w:rsid w:val="0013367B"/>
    <w:rsid w:val="00143981"/>
    <w:rsid w:val="00143CE8"/>
    <w:rsid w:val="001452C3"/>
    <w:rsid w:val="00157860"/>
    <w:rsid w:val="00164EA9"/>
    <w:rsid w:val="00166D22"/>
    <w:rsid w:val="001869F9"/>
    <w:rsid w:val="00192CF3"/>
    <w:rsid w:val="00195713"/>
    <w:rsid w:val="001A1CF7"/>
    <w:rsid w:val="001C32C4"/>
    <w:rsid w:val="001C3EEE"/>
    <w:rsid w:val="001C6BB1"/>
    <w:rsid w:val="001D081B"/>
    <w:rsid w:val="001D1D5E"/>
    <w:rsid w:val="001D4A7D"/>
    <w:rsid w:val="001E1631"/>
    <w:rsid w:val="001E26D0"/>
    <w:rsid w:val="001F5390"/>
    <w:rsid w:val="002024A0"/>
    <w:rsid w:val="0020613E"/>
    <w:rsid w:val="002163FF"/>
    <w:rsid w:val="002450CD"/>
    <w:rsid w:val="00245470"/>
    <w:rsid w:val="0024564F"/>
    <w:rsid w:val="00252BAC"/>
    <w:rsid w:val="00256A1B"/>
    <w:rsid w:val="00264391"/>
    <w:rsid w:val="00267115"/>
    <w:rsid w:val="00280603"/>
    <w:rsid w:val="00281EE5"/>
    <w:rsid w:val="002A617A"/>
    <w:rsid w:val="002A6D32"/>
    <w:rsid w:val="002B3465"/>
    <w:rsid w:val="002B7D68"/>
    <w:rsid w:val="002D3591"/>
    <w:rsid w:val="002D3D8D"/>
    <w:rsid w:val="002E241C"/>
    <w:rsid w:val="002E5A5D"/>
    <w:rsid w:val="002E7E36"/>
    <w:rsid w:val="002F7738"/>
    <w:rsid w:val="00311139"/>
    <w:rsid w:val="003132F2"/>
    <w:rsid w:val="00313581"/>
    <w:rsid w:val="00317D3E"/>
    <w:rsid w:val="00326718"/>
    <w:rsid w:val="0034037A"/>
    <w:rsid w:val="0034089F"/>
    <w:rsid w:val="00344C64"/>
    <w:rsid w:val="00345004"/>
    <w:rsid w:val="00353488"/>
    <w:rsid w:val="00382775"/>
    <w:rsid w:val="003A0A5F"/>
    <w:rsid w:val="003D3562"/>
    <w:rsid w:val="003D6C41"/>
    <w:rsid w:val="003D7C0C"/>
    <w:rsid w:val="003E2BFC"/>
    <w:rsid w:val="0040788B"/>
    <w:rsid w:val="00446073"/>
    <w:rsid w:val="00464FD0"/>
    <w:rsid w:val="00465001"/>
    <w:rsid w:val="0047135C"/>
    <w:rsid w:val="0047344C"/>
    <w:rsid w:val="00475320"/>
    <w:rsid w:val="00476E5D"/>
    <w:rsid w:val="004817E9"/>
    <w:rsid w:val="00483033"/>
    <w:rsid w:val="0049276A"/>
    <w:rsid w:val="004949AE"/>
    <w:rsid w:val="004976CD"/>
    <w:rsid w:val="004E6C72"/>
    <w:rsid w:val="004F067D"/>
    <w:rsid w:val="004F3C75"/>
    <w:rsid w:val="005060F9"/>
    <w:rsid w:val="00506137"/>
    <w:rsid w:val="00510120"/>
    <w:rsid w:val="005542A2"/>
    <w:rsid w:val="005567C5"/>
    <w:rsid w:val="00556F74"/>
    <w:rsid w:val="005571ED"/>
    <w:rsid w:val="00560737"/>
    <w:rsid w:val="00564229"/>
    <w:rsid w:val="00573669"/>
    <w:rsid w:val="0057483F"/>
    <w:rsid w:val="00593D0E"/>
    <w:rsid w:val="005A5F0D"/>
    <w:rsid w:val="005B1F5A"/>
    <w:rsid w:val="005C6DD4"/>
    <w:rsid w:val="005D55D5"/>
    <w:rsid w:val="005E6AF0"/>
    <w:rsid w:val="005F15F4"/>
    <w:rsid w:val="006012C7"/>
    <w:rsid w:val="00603662"/>
    <w:rsid w:val="00604939"/>
    <w:rsid w:val="00607320"/>
    <w:rsid w:val="006627F3"/>
    <w:rsid w:val="00664470"/>
    <w:rsid w:val="00680ADC"/>
    <w:rsid w:val="00682F53"/>
    <w:rsid w:val="006A50B9"/>
    <w:rsid w:val="006B385D"/>
    <w:rsid w:val="006C7599"/>
    <w:rsid w:val="006E24E5"/>
    <w:rsid w:val="006F2D55"/>
    <w:rsid w:val="006F3D99"/>
    <w:rsid w:val="00706DF3"/>
    <w:rsid w:val="007075A1"/>
    <w:rsid w:val="00713C31"/>
    <w:rsid w:val="007142D9"/>
    <w:rsid w:val="00722173"/>
    <w:rsid w:val="00730BC7"/>
    <w:rsid w:val="00751510"/>
    <w:rsid w:val="0075352B"/>
    <w:rsid w:val="00764336"/>
    <w:rsid w:val="00767577"/>
    <w:rsid w:val="00791E66"/>
    <w:rsid w:val="007A579D"/>
    <w:rsid w:val="007B08DD"/>
    <w:rsid w:val="007B215D"/>
    <w:rsid w:val="007B6D18"/>
    <w:rsid w:val="007C5553"/>
    <w:rsid w:val="007D1417"/>
    <w:rsid w:val="007D6AEE"/>
    <w:rsid w:val="007F1012"/>
    <w:rsid w:val="0080623C"/>
    <w:rsid w:val="00813DD9"/>
    <w:rsid w:val="00817F69"/>
    <w:rsid w:val="00824AED"/>
    <w:rsid w:val="00830152"/>
    <w:rsid w:val="00830FA9"/>
    <w:rsid w:val="00840469"/>
    <w:rsid w:val="008430D9"/>
    <w:rsid w:val="00851ACE"/>
    <w:rsid w:val="00861E55"/>
    <w:rsid w:val="00873607"/>
    <w:rsid w:val="00874291"/>
    <w:rsid w:val="00877148"/>
    <w:rsid w:val="008810C0"/>
    <w:rsid w:val="00881F0A"/>
    <w:rsid w:val="00883450"/>
    <w:rsid w:val="00886F90"/>
    <w:rsid w:val="00887420"/>
    <w:rsid w:val="008909C6"/>
    <w:rsid w:val="00892BAA"/>
    <w:rsid w:val="008A0AEA"/>
    <w:rsid w:val="008A0DC7"/>
    <w:rsid w:val="008B262E"/>
    <w:rsid w:val="008B40AB"/>
    <w:rsid w:val="008C5375"/>
    <w:rsid w:val="008D678E"/>
    <w:rsid w:val="00902B1D"/>
    <w:rsid w:val="009104C1"/>
    <w:rsid w:val="00911518"/>
    <w:rsid w:val="00921E7C"/>
    <w:rsid w:val="009302FA"/>
    <w:rsid w:val="009526E8"/>
    <w:rsid w:val="009555CC"/>
    <w:rsid w:val="009628AC"/>
    <w:rsid w:val="009B70DD"/>
    <w:rsid w:val="009D0A29"/>
    <w:rsid w:val="009E0850"/>
    <w:rsid w:val="009E34F3"/>
    <w:rsid w:val="009F19EC"/>
    <w:rsid w:val="00A00AC9"/>
    <w:rsid w:val="00A03129"/>
    <w:rsid w:val="00A05865"/>
    <w:rsid w:val="00A06FDB"/>
    <w:rsid w:val="00A11A29"/>
    <w:rsid w:val="00A15B7A"/>
    <w:rsid w:val="00A3157F"/>
    <w:rsid w:val="00A50CB9"/>
    <w:rsid w:val="00A64E0C"/>
    <w:rsid w:val="00A654F1"/>
    <w:rsid w:val="00A71CCF"/>
    <w:rsid w:val="00A725A2"/>
    <w:rsid w:val="00A91570"/>
    <w:rsid w:val="00A95245"/>
    <w:rsid w:val="00AA1E56"/>
    <w:rsid w:val="00AA6492"/>
    <w:rsid w:val="00AB5197"/>
    <w:rsid w:val="00AC0127"/>
    <w:rsid w:val="00AC1A4B"/>
    <w:rsid w:val="00AD3797"/>
    <w:rsid w:val="00AD4C3F"/>
    <w:rsid w:val="00AD7534"/>
    <w:rsid w:val="00AF29AE"/>
    <w:rsid w:val="00B02B4C"/>
    <w:rsid w:val="00B46192"/>
    <w:rsid w:val="00B47A8A"/>
    <w:rsid w:val="00B506AB"/>
    <w:rsid w:val="00B62120"/>
    <w:rsid w:val="00B6579C"/>
    <w:rsid w:val="00BA3659"/>
    <w:rsid w:val="00BA6846"/>
    <w:rsid w:val="00BB4406"/>
    <w:rsid w:val="00BB4C26"/>
    <w:rsid w:val="00BB5D43"/>
    <w:rsid w:val="00BD64C1"/>
    <w:rsid w:val="00BE2D5A"/>
    <w:rsid w:val="00C1135F"/>
    <w:rsid w:val="00C32012"/>
    <w:rsid w:val="00C50EF5"/>
    <w:rsid w:val="00C5133C"/>
    <w:rsid w:val="00C6247E"/>
    <w:rsid w:val="00CA0CB4"/>
    <w:rsid w:val="00CD3814"/>
    <w:rsid w:val="00CE2E22"/>
    <w:rsid w:val="00CE3831"/>
    <w:rsid w:val="00CE46BB"/>
    <w:rsid w:val="00D04F89"/>
    <w:rsid w:val="00D119BC"/>
    <w:rsid w:val="00D13FD9"/>
    <w:rsid w:val="00D242E1"/>
    <w:rsid w:val="00D40CFC"/>
    <w:rsid w:val="00D5361F"/>
    <w:rsid w:val="00D5761B"/>
    <w:rsid w:val="00D75435"/>
    <w:rsid w:val="00D8375A"/>
    <w:rsid w:val="00D928E0"/>
    <w:rsid w:val="00D96DCB"/>
    <w:rsid w:val="00DC4754"/>
    <w:rsid w:val="00DD655B"/>
    <w:rsid w:val="00DE061E"/>
    <w:rsid w:val="00DE5916"/>
    <w:rsid w:val="00DF20F3"/>
    <w:rsid w:val="00E02375"/>
    <w:rsid w:val="00E04AE8"/>
    <w:rsid w:val="00E07467"/>
    <w:rsid w:val="00E1100E"/>
    <w:rsid w:val="00E20E9B"/>
    <w:rsid w:val="00E222C4"/>
    <w:rsid w:val="00E42EC0"/>
    <w:rsid w:val="00E45CBA"/>
    <w:rsid w:val="00E45D38"/>
    <w:rsid w:val="00E4659C"/>
    <w:rsid w:val="00E531B9"/>
    <w:rsid w:val="00E668BD"/>
    <w:rsid w:val="00E92A51"/>
    <w:rsid w:val="00EA002F"/>
    <w:rsid w:val="00EA1EAD"/>
    <w:rsid w:val="00EA6403"/>
    <w:rsid w:val="00EB2D21"/>
    <w:rsid w:val="00EB346E"/>
    <w:rsid w:val="00EC6C5B"/>
    <w:rsid w:val="00ED4179"/>
    <w:rsid w:val="00EF4F40"/>
    <w:rsid w:val="00EF7648"/>
    <w:rsid w:val="00F02AD7"/>
    <w:rsid w:val="00F06F5A"/>
    <w:rsid w:val="00F155C4"/>
    <w:rsid w:val="00F16931"/>
    <w:rsid w:val="00F24900"/>
    <w:rsid w:val="00F563E1"/>
    <w:rsid w:val="00F67007"/>
    <w:rsid w:val="00F820AF"/>
    <w:rsid w:val="00F84F92"/>
    <w:rsid w:val="00F9482F"/>
    <w:rsid w:val="00FA56E7"/>
    <w:rsid w:val="00FB371E"/>
    <w:rsid w:val="00FC07BD"/>
    <w:rsid w:val="00FC2214"/>
    <w:rsid w:val="00FD3C93"/>
    <w:rsid w:val="00FF447B"/>
    <w:rsid w:val="00FF622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1F5390"/>
    <w:pPr>
      <w:spacing w:before="84" w:after="84" w:line="240" w:lineRule="auto"/>
      <w:jc w:val="right"/>
    </w:pPr>
    <w:rPr>
      <w:rFonts w:ascii="Times New Roman" w:eastAsia="Times New Roman" w:hAnsi="Times New Roman" w:cs="Times New Roman"/>
      <w:sz w:val="24"/>
      <w:szCs w:val="24"/>
    </w:rPr>
  </w:style>
  <w:style w:type="paragraph" w:styleId="ListParagraph">
    <w:name w:val="List Paragraph"/>
    <w:basedOn w:val="Normal"/>
    <w:uiPriority w:val="34"/>
    <w:qFormat/>
    <w:rsid w:val="004F067D"/>
    <w:pPr>
      <w:ind w:left="720"/>
      <w:contextualSpacing/>
    </w:pPr>
  </w:style>
  <w:style w:type="paragraph" w:styleId="Header">
    <w:name w:val="header"/>
    <w:basedOn w:val="Normal"/>
    <w:link w:val="HeaderChar"/>
    <w:uiPriority w:val="99"/>
    <w:unhideWhenUsed/>
    <w:rsid w:val="002A617A"/>
    <w:pPr>
      <w:tabs>
        <w:tab w:val="center" w:pos="4153"/>
        <w:tab w:val="right" w:pos="8306"/>
      </w:tabs>
      <w:spacing w:after="0" w:line="240" w:lineRule="auto"/>
    </w:pPr>
  </w:style>
  <w:style w:type="character" w:customStyle="1" w:styleId="HeaderChar">
    <w:name w:val="Header Char"/>
    <w:basedOn w:val="DefaultParagraphFont"/>
    <w:link w:val="Header"/>
    <w:uiPriority w:val="99"/>
    <w:rsid w:val="002A617A"/>
  </w:style>
  <w:style w:type="paragraph" w:styleId="Footer">
    <w:name w:val="footer"/>
    <w:basedOn w:val="Normal"/>
    <w:link w:val="FooterChar"/>
    <w:uiPriority w:val="99"/>
    <w:unhideWhenUsed/>
    <w:rsid w:val="002A617A"/>
    <w:pPr>
      <w:tabs>
        <w:tab w:val="center" w:pos="4153"/>
        <w:tab w:val="right" w:pos="8306"/>
      </w:tabs>
      <w:spacing w:after="0" w:line="240" w:lineRule="auto"/>
    </w:pPr>
  </w:style>
  <w:style w:type="character" w:customStyle="1" w:styleId="FooterChar">
    <w:name w:val="Footer Char"/>
    <w:basedOn w:val="DefaultParagraphFont"/>
    <w:link w:val="Footer"/>
    <w:uiPriority w:val="99"/>
    <w:rsid w:val="002A617A"/>
  </w:style>
  <w:style w:type="paragraph" w:styleId="BalloonText">
    <w:name w:val="Balloon Text"/>
    <w:basedOn w:val="Normal"/>
    <w:link w:val="BalloonTextChar"/>
    <w:uiPriority w:val="99"/>
    <w:semiHidden/>
    <w:unhideWhenUsed/>
    <w:rsid w:val="00D536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361F"/>
    <w:rPr>
      <w:rFonts w:ascii="Tahoma" w:hAnsi="Tahoma" w:cs="Tahoma"/>
      <w:sz w:val="16"/>
      <w:szCs w:val="16"/>
    </w:rPr>
  </w:style>
  <w:style w:type="paragraph" w:styleId="Revision">
    <w:name w:val="Revision"/>
    <w:hidden/>
    <w:uiPriority w:val="99"/>
    <w:semiHidden/>
    <w:rsid w:val="00FB371E"/>
    <w:pPr>
      <w:spacing w:after="0" w:line="240" w:lineRule="auto"/>
    </w:pPr>
  </w:style>
  <w:style w:type="character" w:styleId="CommentReference">
    <w:name w:val="annotation reference"/>
    <w:basedOn w:val="DefaultParagraphFont"/>
    <w:uiPriority w:val="99"/>
    <w:semiHidden/>
    <w:unhideWhenUsed/>
    <w:rsid w:val="002D3591"/>
    <w:rPr>
      <w:sz w:val="16"/>
      <w:szCs w:val="16"/>
    </w:rPr>
  </w:style>
  <w:style w:type="paragraph" w:styleId="CommentText">
    <w:name w:val="annotation text"/>
    <w:basedOn w:val="Normal"/>
    <w:link w:val="CommentTextChar"/>
    <w:uiPriority w:val="99"/>
    <w:semiHidden/>
    <w:unhideWhenUsed/>
    <w:rsid w:val="002D3591"/>
    <w:pPr>
      <w:spacing w:line="240" w:lineRule="auto"/>
    </w:pPr>
    <w:rPr>
      <w:sz w:val="20"/>
      <w:szCs w:val="20"/>
    </w:rPr>
  </w:style>
  <w:style w:type="character" w:customStyle="1" w:styleId="CommentTextChar">
    <w:name w:val="Comment Text Char"/>
    <w:basedOn w:val="DefaultParagraphFont"/>
    <w:link w:val="CommentText"/>
    <w:uiPriority w:val="99"/>
    <w:semiHidden/>
    <w:rsid w:val="002D3591"/>
    <w:rPr>
      <w:sz w:val="20"/>
      <w:szCs w:val="20"/>
    </w:rPr>
  </w:style>
  <w:style w:type="paragraph" w:styleId="CommentSubject">
    <w:name w:val="annotation subject"/>
    <w:basedOn w:val="CommentText"/>
    <w:next w:val="CommentText"/>
    <w:link w:val="CommentSubjectChar"/>
    <w:uiPriority w:val="99"/>
    <w:semiHidden/>
    <w:unhideWhenUsed/>
    <w:rsid w:val="002D3591"/>
    <w:rPr>
      <w:b/>
      <w:bCs/>
    </w:rPr>
  </w:style>
  <w:style w:type="character" w:customStyle="1" w:styleId="CommentSubjectChar">
    <w:name w:val="Comment Subject Char"/>
    <w:basedOn w:val="CommentTextChar"/>
    <w:link w:val="CommentSubject"/>
    <w:uiPriority w:val="99"/>
    <w:semiHidden/>
    <w:rsid w:val="002D3591"/>
    <w:rPr>
      <w:b/>
      <w:bCs/>
      <w:sz w:val="20"/>
      <w:szCs w:val="20"/>
    </w:rPr>
  </w:style>
  <w:style w:type="character" w:styleId="Hyperlink">
    <w:name w:val="Hyperlink"/>
    <w:uiPriority w:val="99"/>
    <w:rsid w:val="00F06F5A"/>
    <w:rPr>
      <w:rFonts w:cs="Times New Roman"/>
      <w:color w:val="0000FF"/>
      <w:u w:val="single"/>
    </w:rPr>
  </w:style>
  <w:style w:type="paragraph" w:styleId="FootnoteText">
    <w:name w:val="footnote text"/>
    <w:aliases w:val="Footnote,Fußnote,Footnote Text Char2,Footnote Text Char1 Char,Footnote Text Char Char Char,Footnote Text Char Char Char Char Char Char Char,Footnote Char Char Char Char Char Char Char,Fußnote Char Char Char Char Char Char Char,Footnote tex"/>
    <w:basedOn w:val="Normal"/>
    <w:link w:val="FootnoteTextChar"/>
    <w:rsid w:val="00F06F5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ootnote Char,Fußnote Char,Footnote Text Char2 Char,Footnote Text Char1 Char Char,Footnote Text Char Char Char Char,Footnote Text Char Char Char Char Char Char Char Char,Footnote Char Char Char Char Char Char Char Char"/>
    <w:basedOn w:val="DefaultParagraphFont"/>
    <w:link w:val="FootnoteText"/>
    <w:rsid w:val="00F06F5A"/>
    <w:rPr>
      <w:rFonts w:ascii="Times New Roman" w:eastAsia="Times New Roman" w:hAnsi="Times New Roman" w:cs="Times New Roman"/>
      <w:sz w:val="20"/>
      <w:szCs w:val="20"/>
      <w:lang w:eastAsia="lv-LV"/>
    </w:rPr>
  </w:style>
  <w:style w:type="character" w:styleId="FootnoteReference">
    <w:name w:val="footnote reference"/>
    <w:aliases w:val="Footnote Reference Number,Footnote symbol"/>
    <w:uiPriority w:val="99"/>
    <w:rsid w:val="00F06F5A"/>
    <w:rPr>
      <w:rFonts w:cs="Times New Roman"/>
      <w:vertAlign w:val="superscript"/>
    </w:rPr>
  </w:style>
  <w:style w:type="paragraph" w:styleId="BodyText">
    <w:name w:val="Body Text"/>
    <w:basedOn w:val="Normal"/>
    <w:link w:val="BodyTextChar"/>
    <w:unhideWhenUsed/>
    <w:rsid w:val="001A1CF7"/>
    <w:pPr>
      <w:spacing w:after="0" w:line="240" w:lineRule="auto"/>
      <w:jc w:val="both"/>
    </w:pPr>
    <w:rPr>
      <w:rFonts w:ascii="Times New Roman" w:eastAsia="Times New Roman" w:hAnsi="Times New Roman" w:cs="Times New Roman"/>
      <w:sz w:val="28"/>
      <w:szCs w:val="20"/>
    </w:rPr>
  </w:style>
  <w:style w:type="character" w:customStyle="1" w:styleId="BodyTextChar">
    <w:name w:val="Body Text Char"/>
    <w:basedOn w:val="DefaultParagraphFont"/>
    <w:link w:val="BodyText"/>
    <w:rsid w:val="001A1CF7"/>
    <w:rPr>
      <w:rFonts w:ascii="Times New Roman" w:eastAsia="Times New Roman" w:hAnsi="Times New Roman" w:cs="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1F5390"/>
    <w:pPr>
      <w:spacing w:before="84" w:after="84" w:line="240" w:lineRule="auto"/>
      <w:jc w:val="right"/>
    </w:pPr>
    <w:rPr>
      <w:rFonts w:ascii="Times New Roman" w:eastAsia="Times New Roman" w:hAnsi="Times New Roman" w:cs="Times New Roman"/>
      <w:sz w:val="24"/>
      <w:szCs w:val="24"/>
    </w:rPr>
  </w:style>
  <w:style w:type="paragraph" w:styleId="ListParagraph">
    <w:name w:val="List Paragraph"/>
    <w:basedOn w:val="Normal"/>
    <w:uiPriority w:val="34"/>
    <w:qFormat/>
    <w:rsid w:val="004F067D"/>
    <w:pPr>
      <w:ind w:left="720"/>
      <w:contextualSpacing/>
    </w:pPr>
  </w:style>
  <w:style w:type="paragraph" w:styleId="Header">
    <w:name w:val="header"/>
    <w:basedOn w:val="Normal"/>
    <w:link w:val="HeaderChar"/>
    <w:uiPriority w:val="99"/>
    <w:unhideWhenUsed/>
    <w:rsid w:val="002A617A"/>
    <w:pPr>
      <w:tabs>
        <w:tab w:val="center" w:pos="4153"/>
        <w:tab w:val="right" w:pos="8306"/>
      </w:tabs>
      <w:spacing w:after="0" w:line="240" w:lineRule="auto"/>
    </w:pPr>
  </w:style>
  <w:style w:type="character" w:customStyle="1" w:styleId="HeaderChar">
    <w:name w:val="Header Char"/>
    <w:basedOn w:val="DefaultParagraphFont"/>
    <w:link w:val="Header"/>
    <w:uiPriority w:val="99"/>
    <w:rsid w:val="002A617A"/>
  </w:style>
  <w:style w:type="paragraph" w:styleId="Footer">
    <w:name w:val="footer"/>
    <w:basedOn w:val="Normal"/>
    <w:link w:val="FooterChar"/>
    <w:uiPriority w:val="99"/>
    <w:unhideWhenUsed/>
    <w:rsid w:val="002A617A"/>
    <w:pPr>
      <w:tabs>
        <w:tab w:val="center" w:pos="4153"/>
        <w:tab w:val="right" w:pos="8306"/>
      </w:tabs>
      <w:spacing w:after="0" w:line="240" w:lineRule="auto"/>
    </w:pPr>
  </w:style>
  <w:style w:type="character" w:customStyle="1" w:styleId="FooterChar">
    <w:name w:val="Footer Char"/>
    <w:basedOn w:val="DefaultParagraphFont"/>
    <w:link w:val="Footer"/>
    <w:uiPriority w:val="99"/>
    <w:rsid w:val="002A617A"/>
  </w:style>
  <w:style w:type="paragraph" w:styleId="BalloonText">
    <w:name w:val="Balloon Text"/>
    <w:basedOn w:val="Normal"/>
    <w:link w:val="BalloonTextChar"/>
    <w:uiPriority w:val="99"/>
    <w:semiHidden/>
    <w:unhideWhenUsed/>
    <w:rsid w:val="00D536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361F"/>
    <w:rPr>
      <w:rFonts w:ascii="Tahoma" w:hAnsi="Tahoma" w:cs="Tahoma"/>
      <w:sz w:val="16"/>
      <w:szCs w:val="16"/>
    </w:rPr>
  </w:style>
  <w:style w:type="paragraph" w:styleId="Revision">
    <w:name w:val="Revision"/>
    <w:hidden/>
    <w:uiPriority w:val="99"/>
    <w:semiHidden/>
    <w:rsid w:val="00FB371E"/>
    <w:pPr>
      <w:spacing w:after="0" w:line="240" w:lineRule="auto"/>
    </w:pPr>
  </w:style>
  <w:style w:type="character" w:styleId="CommentReference">
    <w:name w:val="annotation reference"/>
    <w:basedOn w:val="DefaultParagraphFont"/>
    <w:uiPriority w:val="99"/>
    <w:semiHidden/>
    <w:unhideWhenUsed/>
    <w:rsid w:val="002D3591"/>
    <w:rPr>
      <w:sz w:val="16"/>
      <w:szCs w:val="16"/>
    </w:rPr>
  </w:style>
  <w:style w:type="paragraph" w:styleId="CommentText">
    <w:name w:val="annotation text"/>
    <w:basedOn w:val="Normal"/>
    <w:link w:val="CommentTextChar"/>
    <w:uiPriority w:val="99"/>
    <w:semiHidden/>
    <w:unhideWhenUsed/>
    <w:rsid w:val="002D3591"/>
    <w:pPr>
      <w:spacing w:line="240" w:lineRule="auto"/>
    </w:pPr>
    <w:rPr>
      <w:sz w:val="20"/>
      <w:szCs w:val="20"/>
    </w:rPr>
  </w:style>
  <w:style w:type="character" w:customStyle="1" w:styleId="CommentTextChar">
    <w:name w:val="Comment Text Char"/>
    <w:basedOn w:val="DefaultParagraphFont"/>
    <w:link w:val="CommentText"/>
    <w:uiPriority w:val="99"/>
    <w:semiHidden/>
    <w:rsid w:val="002D3591"/>
    <w:rPr>
      <w:sz w:val="20"/>
      <w:szCs w:val="20"/>
    </w:rPr>
  </w:style>
  <w:style w:type="paragraph" w:styleId="CommentSubject">
    <w:name w:val="annotation subject"/>
    <w:basedOn w:val="CommentText"/>
    <w:next w:val="CommentText"/>
    <w:link w:val="CommentSubjectChar"/>
    <w:uiPriority w:val="99"/>
    <w:semiHidden/>
    <w:unhideWhenUsed/>
    <w:rsid w:val="002D3591"/>
    <w:rPr>
      <w:b/>
      <w:bCs/>
    </w:rPr>
  </w:style>
  <w:style w:type="character" w:customStyle="1" w:styleId="CommentSubjectChar">
    <w:name w:val="Comment Subject Char"/>
    <w:basedOn w:val="CommentTextChar"/>
    <w:link w:val="CommentSubject"/>
    <w:uiPriority w:val="99"/>
    <w:semiHidden/>
    <w:rsid w:val="002D3591"/>
    <w:rPr>
      <w:b/>
      <w:bCs/>
      <w:sz w:val="20"/>
      <w:szCs w:val="20"/>
    </w:rPr>
  </w:style>
  <w:style w:type="character" w:styleId="Hyperlink">
    <w:name w:val="Hyperlink"/>
    <w:uiPriority w:val="99"/>
    <w:rsid w:val="00F06F5A"/>
    <w:rPr>
      <w:rFonts w:cs="Times New Roman"/>
      <w:color w:val="0000FF"/>
      <w:u w:val="single"/>
    </w:rPr>
  </w:style>
  <w:style w:type="paragraph" w:styleId="FootnoteText">
    <w:name w:val="footnote text"/>
    <w:aliases w:val="Footnote,Fußnote,Footnote Text Char2,Footnote Text Char1 Char,Footnote Text Char Char Char,Footnote Text Char Char Char Char Char Char Char,Footnote Char Char Char Char Char Char Char,Fußnote Char Char Char Char Char Char Char,Footnote tex"/>
    <w:basedOn w:val="Normal"/>
    <w:link w:val="FootnoteTextChar"/>
    <w:rsid w:val="00F06F5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ootnote Char,Fußnote Char,Footnote Text Char2 Char,Footnote Text Char1 Char Char,Footnote Text Char Char Char Char,Footnote Text Char Char Char Char Char Char Char Char,Footnote Char Char Char Char Char Char Char Char"/>
    <w:basedOn w:val="DefaultParagraphFont"/>
    <w:link w:val="FootnoteText"/>
    <w:rsid w:val="00F06F5A"/>
    <w:rPr>
      <w:rFonts w:ascii="Times New Roman" w:eastAsia="Times New Roman" w:hAnsi="Times New Roman" w:cs="Times New Roman"/>
      <w:sz w:val="20"/>
      <w:szCs w:val="20"/>
      <w:lang w:eastAsia="lv-LV"/>
    </w:rPr>
  </w:style>
  <w:style w:type="character" w:styleId="FootnoteReference">
    <w:name w:val="footnote reference"/>
    <w:aliases w:val="Footnote Reference Number,Footnote symbol"/>
    <w:uiPriority w:val="99"/>
    <w:rsid w:val="00F06F5A"/>
    <w:rPr>
      <w:rFonts w:cs="Times New Roman"/>
      <w:vertAlign w:val="superscript"/>
    </w:rPr>
  </w:style>
  <w:style w:type="paragraph" w:styleId="BodyText">
    <w:name w:val="Body Text"/>
    <w:basedOn w:val="Normal"/>
    <w:link w:val="BodyTextChar"/>
    <w:unhideWhenUsed/>
    <w:rsid w:val="001A1CF7"/>
    <w:pPr>
      <w:spacing w:after="0" w:line="240" w:lineRule="auto"/>
      <w:jc w:val="both"/>
    </w:pPr>
    <w:rPr>
      <w:rFonts w:ascii="Times New Roman" w:eastAsia="Times New Roman" w:hAnsi="Times New Roman" w:cs="Times New Roman"/>
      <w:sz w:val="28"/>
      <w:szCs w:val="20"/>
    </w:rPr>
  </w:style>
  <w:style w:type="character" w:customStyle="1" w:styleId="BodyTextChar">
    <w:name w:val="Body Text Char"/>
    <w:basedOn w:val="DefaultParagraphFont"/>
    <w:link w:val="BodyText"/>
    <w:rsid w:val="001A1CF7"/>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71142">
      <w:bodyDiv w:val="1"/>
      <w:marLeft w:val="0"/>
      <w:marRight w:val="0"/>
      <w:marTop w:val="0"/>
      <w:marBottom w:val="0"/>
      <w:divBdr>
        <w:top w:val="none" w:sz="0" w:space="0" w:color="auto"/>
        <w:left w:val="none" w:sz="0" w:space="0" w:color="auto"/>
        <w:bottom w:val="none" w:sz="0" w:space="0" w:color="auto"/>
        <w:right w:val="none" w:sz="0" w:space="0" w:color="auto"/>
      </w:divBdr>
    </w:div>
    <w:div w:id="137965862">
      <w:bodyDiv w:val="1"/>
      <w:marLeft w:val="0"/>
      <w:marRight w:val="0"/>
      <w:marTop w:val="0"/>
      <w:marBottom w:val="0"/>
      <w:divBdr>
        <w:top w:val="none" w:sz="0" w:space="0" w:color="auto"/>
        <w:left w:val="none" w:sz="0" w:space="0" w:color="auto"/>
        <w:bottom w:val="none" w:sz="0" w:space="0" w:color="auto"/>
        <w:right w:val="none" w:sz="0" w:space="0" w:color="auto"/>
      </w:divBdr>
    </w:div>
    <w:div w:id="324012678">
      <w:bodyDiv w:val="1"/>
      <w:marLeft w:val="0"/>
      <w:marRight w:val="0"/>
      <w:marTop w:val="0"/>
      <w:marBottom w:val="0"/>
      <w:divBdr>
        <w:top w:val="none" w:sz="0" w:space="0" w:color="auto"/>
        <w:left w:val="none" w:sz="0" w:space="0" w:color="auto"/>
        <w:bottom w:val="none" w:sz="0" w:space="0" w:color="auto"/>
        <w:right w:val="none" w:sz="0" w:space="0" w:color="auto"/>
      </w:divBdr>
    </w:div>
    <w:div w:id="383145164">
      <w:bodyDiv w:val="1"/>
      <w:marLeft w:val="0"/>
      <w:marRight w:val="0"/>
      <w:marTop w:val="0"/>
      <w:marBottom w:val="0"/>
      <w:divBdr>
        <w:top w:val="none" w:sz="0" w:space="0" w:color="auto"/>
        <w:left w:val="none" w:sz="0" w:space="0" w:color="auto"/>
        <w:bottom w:val="none" w:sz="0" w:space="0" w:color="auto"/>
        <w:right w:val="none" w:sz="0" w:space="0" w:color="auto"/>
      </w:divBdr>
    </w:div>
    <w:div w:id="638999222">
      <w:bodyDiv w:val="1"/>
      <w:marLeft w:val="0"/>
      <w:marRight w:val="0"/>
      <w:marTop w:val="0"/>
      <w:marBottom w:val="0"/>
      <w:divBdr>
        <w:top w:val="none" w:sz="0" w:space="0" w:color="auto"/>
        <w:left w:val="none" w:sz="0" w:space="0" w:color="auto"/>
        <w:bottom w:val="none" w:sz="0" w:space="0" w:color="auto"/>
        <w:right w:val="none" w:sz="0" w:space="0" w:color="auto"/>
      </w:divBdr>
    </w:div>
    <w:div w:id="704452135">
      <w:bodyDiv w:val="1"/>
      <w:marLeft w:val="0"/>
      <w:marRight w:val="0"/>
      <w:marTop w:val="0"/>
      <w:marBottom w:val="0"/>
      <w:divBdr>
        <w:top w:val="none" w:sz="0" w:space="0" w:color="auto"/>
        <w:left w:val="none" w:sz="0" w:space="0" w:color="auto"/>
        <w:bottom w:val="none" w:sz="0" w:space="0" w:color="auto"/>
        <w:right w:val="none" w:sz="0" w:space="0" w:color="auto"/>
      </w:divBdr>
    </w:div>
    <w:div w:id="1120488053">
      <w:bodyDiv w:val="1"/>
      <w:marLeft w:val="0"/>
      <w:marRight w:val="0"/>
      <w:marTop w:val="0"/>
      <w:marBottom w:val="0"/>
      <w:divBdr>
        <w:top w:val="none" w:sz="0" w:space="0" w:color="auto"/>
        <w:left w:val="none" w:sz="0" w:space="0" w:color="auto"/>
        <w:bottom w:val="none" w:sz="0" w:space="0" w:color="auto"/>
        <w:right w:val="none" w:sz="0" w:space="0" w:color="auto"/>
      </w:divBdr>
    </w:div>
    <w:div w:id="1589851398">
      <w:bodyDiv w:val="1"/>
      <w:marLeft w:val="0"/>
      <w:marRight w:val="0"/>
      <w:marTop w:val="0"/>
      <w:marBottom w:val="0"/>
      <w:divBdr>
        <w:top w:val="none" w:sz="0" w:space="0" w:color="auto"/>
        <w:left w:val="none" w:sz="0" w:space="0" w:color="auto"/>
        <w:bottom w:val="none" w:sz="0" w:space="0" w:color="auto"/>
        <w:right w:val="none" w:sz="0" w:space="0" w:color="auto"/>
      </w:divBdr>
    </w:div>
    <w:div w:id="1788161523">
      <w:bodyDiv w:val="1"/>
      <w:marLeft w:val="45"/>
      <w:marRight w:val="45"/>
      <w:marTop w:val="90"/>
      <w:marBottom w:val="90"/>
      <w:divBdr>
        <w:top w:val="none" w:sz="0" w:space="0" w:color="auto"/>
        <w:left w:val="none" w:sz="0" w:space="0" w:color="auto"/>
        <w:bottom w:val="none" w:sz="0" w:space="0" w:color="auto"/>
        <w:right w:val="none" w:sz="0" w:space="0" w:color="auto"/>
      </w:divBdr>
      <w:divsChild>
        <w:div w:id="1569268723">
          <w:marLeft w:val="0"/>
          <w:marRight w:val="0"/>
          <w:marTop w:val="240"/>
          <w:marBottom w:val="0"/>
          <w:divBdr>
            <w:top w:val="none" w:sz="0" w:space="0" w:color="auto"/>
            <w:left w:val="none" w:sz="0" w:space="0" w:color="auto"/>
            <w:bottom w:val="none" w:sz="0" w:space="0" w:color="auto"/>
            <w:right w:val="none" w:sz="0" w:space="0" w:color="auto"/>
          </w:divBdr>
        </w:div>
      </w:divsChild>
    </w:div>
    <w:div w:id="2112429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85564-E4FC-4D2D-9382-1AFC61050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5</Pages>
  <Words>1035</Words>
  <Characters>7984</Characters>
  <Application>Microsoft Office Word</Application>
  <DocSecurity>0</DocSecurity>
  <Lines>257</Lines>
  <Paragraphs>90</Paragraphs>
  <ScaleCrop>false</ScaleCrop>
  <HeadingPairs>
    <vt:vector size="2" baseType="variant">
      <vt:variant>
        <vt:lpstr>Title</vt:lpstr>
      </vt:variant>
      <vt:variant>
        <vt:i4>1</vt:i4>
      </vt:variant>
    </vt:vector>
  </HeadingPairs>
  <TitlesOfParts>
    <vt:vector size="1" baseType="lpstr">
      <vt:lpstr>Ministru kabineta rīkojuma projekta „Grozījumi darbības programmas „Cilvēkresursi un nodarbinātība” papildinājumā” sākotnējās ietekmes novērtējuma ziņojums (anotācija)</vt:lpstr>
    </vt:vector>
  </TitlesOfParts>
  <Company/>
  <LinksUpToDate>false</LinksUpToDate>
  <CharactersWithSpaces>8929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„Grozījumi darbības programmas „Cilvēkresursi un nodarbinātība” papildinājumā” sākotnējās ietekmes novērtējuma ziņojums (anotācija)</dc:title>
  <dc:subject>Sākotnējās ietekmes novērtējuma ziņojums (anotācija)</dc:subject>
  <dc:creator>Kaspars Purmalietis</dc:creator>
  <dc:description>67013108, Kaspars.Purmalietis@em.gov.lv</dc:description>
  <cp:lastModifiedBy>Kaspars Purmalietis</cp:lastModifiedBy>
  <cp:revision>10</cp:revision>
  <cp:lastPrinted>2013-05-28T10:43:00Z</cp:lastPrinted>
  <dcterms:created xsi:type="dcterms:W3CDTF">2013-10-18T13:06:00Z</dcterms:created>
  <dcterms:modified xsi:type="dcterms:W3CDTF">2013-11-27T09:00:00Z</dcterms:modified>
</cp:coreProperties>
</file>