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0C" w:rsidRPr="00E40368" w:rsidRDefault="009622AF" w:rsidP="00774214">
      <w:pPr>
        <w:pStyle w:val="naisnod"/>
        <w:spacing w:before="0" w:beforeAutospacing="0" w:after="0" w:afterAutospacing="0"/>
        <w:jc w:val="center"/>
        <w:rPr>
          <w:b/>
          <w:bCs/>
          <w:sz w:val="28"/>
          <w:szCs w:val="28"/>
        </w:rPr>
      </w:pPr>
      <w:bookmarkStart w:id="0" w:name="OLE_LINK1"/>
      <w:bookmarkStart w:id="1" w:name="OLE_LINK2"/>
      <w:r w:rsidRPr="00E40368">
        <w:rPr>
          <w:b/>
          <w:bCs/>
          <w:sz w:val="28"/>
          <w:szCs w:val="28"/>
        </w:rPr>
        <w:t xml:space="preserve">Ministru </w:t>
      </w:r>
      <w:r w:rsidRPr="00634E3E">
        <w:rPr>
          <w:b/>
          <w:bCs/>
          <w:sz w:val="28"/>
          <w:szCs w:val="28"/>
        </w:rPr>
        <w:t>kabineta noteikumu</w:t>
      </w:r>
      <w:r w:rsidR="0089380C" w:rsidRPr="00634E3E">
        <w:rPr>
          <w:b/>
          <w:bCs/>
          <w:sz w:val="28"/>
          <w:szCs w:val="28"/>
        </w:rPr>
        <w:t xml:space="preserve"> projekta</w:t>
      </w:r>
      <w:r w:rsidRPr="00634E3E">
        <w:rPr>
          <w:b/>
          <w:bCs/>
          <w:sz w:val="28"/>
          <w:szCs w:val="28"/>
        </w:rPr>
        <w:t xml:space="preserve"> „</w:t>
      </w:r>
      <w:r w:rsidR="000C624C" w:rsidRPr="00634E3E">
        <w:rPr>
          <w:b/>
          <w:bCs/>
          <w:sz w:val="28"/>
          <w:szCs w:val="28"/>
        </w:rPr>
        <w:t>Grozījumi</w:t>
      </w:r>
      <w:r w:rsidR="00E6657E" w:rsidRPr="00634E3E">
        <w:rPr>
          <w:b/>
          <w:bCs/>
          <w:sz w:val="28"/>
          <w:szCs w:val="28"/>
        </w:rPr>
        <w:t xml:space="preserve"> Ministru kabineta 2010.gada 1.</w:t>
      </w:r>
      <w:r w:rsidR="00763CEF" w:rsidRPr="00634E3E">
        <w:rPr>
          <w:b/>
          <w:bCs/>
          <w:sz w:val="28"/>
          <w:szCs w:val="28"/>
        </w:rPr>
        <w:t>novembra noteikumos Nr.1024</w:t>
      </w:r>
      <w:r w:rsidR="00E6657E" w:rsidRPr="00634E3E">
        <w:rPr>
          <w:b/>
          <w:bCs/>
          <w:sz w:val="28"/>
          <w:szCs w:val="28"/>
        </w:rPr>
        <w:t xml:space="preserve"> „</w:t>
      </w:r>
      <w:r w:rsidR="00634E3E" w:rsidRPr="00634E3E">
        <w:rPr>
          <w:b/>
          <w:bCs/>
          <w:sz w:val="28"/>
          <w:szCs w:val="28"/>
        </w:rPr>
        <w:t>Elektroenerģijas pārvades un sadales būvju būvniecības kārtība</w:t>
      </w:r>
      <w:r w:rsidR="00E6657E" w:rsidRPr="00634E3E">
        <w:rPr>
          <w:b/>
          <w:bCs/>
          <w:sz w:val="28"/>
          <w:szCs w:val="28"/>
        </w:rPr>
        <w:t>”</w:t>
      </w:r>
      <w:r w:rsidR="0089380C" w:rsidRPr="00634E3E">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0089380C" w:rsidRPr="00634E3E">
          <w:rPr>
            <w:b/>
            <w:bCs/>
            <w:sz w:val="28"/>
            <w:szCs w:val="28"/>
          </w:rPr>
          <w:t>ziņojums</w:t>
        </w:r>
      </w:smartTag>
      <w:r w:rsidR="0089380C" w:rsidRPr="00634E3E">
        <w:rPr>
          <w:b/>
          <w:bCs/>
          <w:sz w:val="28"/>
          <w:szCs w:val="28"/>
        </w:rPr>
        <w:t xml:space="preserve"> </w:t>
      </w:r>
      <w:bookmarkEnd w:id="0"/>
      <w:bookmarkEnd w:id="1"/>
      <w:r w:rsidR="0089380C" w:rsidRPr="00634E3E">
        <w:rPr>
          <w:b/>
          <w:bCs/>
          <w:sz w:val="28"/>
          <w:szCs w:val="28"/>
        </w:rPr>
        <w:t>(anotācija)</w:t>
      </w:r>
    </w:p>
    <w:p w:rsidR="00774214" w:rsidRPr="00E40368" w:rsidRDefault="00774214" w:rsidP="00774214">
      <w:pPr>
        <w:pStyle w:val="naisnod"/>
        <w:spacing w:before="0" w:beforeAutospacing="0" w:after="0" w:afterAutospacing="0"/>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5542"/>
      </w:tblGrid>
      <w:tr w:rsidR="0089380C" w:rsidRPr="00E40368" w:rsidTr="00444F3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E40368" w:rsidRDefault="0089380C">
            <w:pPr>
              <w:pStyle w:val="naisc"/>
              <w:rPr>
                <w:sz w:val="28"/>
                <w:szCs w:val="28"/>
              </w:rPr>
            </w:pPr>
            <w:r w:rsidRPr="00E40368">
              <w:rPr>
                <w:b/>
                <w:bCs/>
                <w:sz w:val="28"/>
                <w:szCs w:val="28"/>
              </w:rPr>
              <w:t> I. Tiesību akta projekta izstrādes nepieciešamība</w:t>
            </w:r>
          </w:p>
        </w:tc>
      </w:tr>
      <w:tr w:rsidR="0089380C" w:rsidRPr="00E40368" w:rsidTr="000D7D82">
        <w:trPr>
          <w:trHeight w:val="630"/>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lab"/>
              <w:jc w:val="both"/>
              <w:rPr>
                <w:sz w:val="28"/>
                <w:szCs w:val="28"/>
              </w:rPr>
            </w:pPr>
            <w:r w:rsidRPr="00E40368">
              <w:rPr>
                <w:sz w:val="28"/>
                <w:szCs w:val="28"/>
              </w:rPr>
              <w:t> Pamatojums</w:t>
            </w:r>
          </w:p>
        </w:tc>
        <w:tc>
          <w:tcPr>
            <w:tcW w:w="5542" w:type="dxa"/>
            <w:tcBorders>
              <w:top w:val="outset" w:sz="6" w:space="0" w:color="auto"/>
              <w:left w:val="outset" w:sz="6" w:space="0" w:color="auto"/>
              <w:bottom w:val="outset" w:sz="6" w:space="0" w:color="auto"/>
              <w:right w:val="outset" w:sz="6" w:space="0" w:color="auto"/>
            </w:tcBorders>
          </w:tcPr>
          <w:p w:rsidR="0089380C" w:rsidRPr="004E039F" w:rsidRDefault="00763CEF" w:rsidP="001A2E8A">
            <w:pPr>
              <w:spacing w:before="75" w:after="75"/>
              <w:jc w:val="both"/>
              <w:rPr>
                <w:color w:val="000000"/>
                <w:sz w:val="28"/>
                <w:szCs w:val="28"/>
              </w:rPr>
            </w:pPr>
            <w:r w:rsidRPr="004E039F">
              <w:rPr>
                <w:sz w:val="28"/>
                <w:szCs w:val="28"/>
              </w:rPr>
              <w:t>Ministru kabineta noteikumu projekts „Grozījums 2010.gada 1.novembra Ministru kabineta noteikumos Nr.1024 „</w:t>
            </w:r>
            <w:r w:rsidRPr="004E039F">
              <w:rPr>
                <w:bCs/>
                <w:sz w:val="28"/>
                <w:szCs w:val="28"/>
              </w:rPr>
              <w:t>Elektroenerģijas pārvades un sadales būvju būvniecības kārtība</w:t>
            </w:r>
            <w:r w:rsidRPr="004E039F">
              <w:rPr>
                <w:noProof/>
                <w:sz w:val="28"/>
                <w:szCs w:val="28"/>
              </w:rPr>
              <w:t xml:space="preserve">” </w:t>
            </w:r>
            <w:r w:rsidRPr="004E039F">
              <w:rPr>
                <w:sz w:val="28"/>
                <w:szCs w:val="28"/>
              </w:rPr>
              <w:t>(turpmāk – noteikumu projekts) ir izstrādāts, pamatojoties uz Enerģētikas likuma 76.panta otrajā daļā un Būvniecības likuma 2.panta ceturtajā daļā, 6.panta pirmās daļas 7.punktā dotajiem deleģējumiem.</w:t>
            </w:r>
          </w:p>
        </w:tc>
      </w:tr>
      <w:tr w:rsidR="0089380C" w:rsidRPr="00E40368" w:rsidTr="00131719">
        <w:trPr>
          <w:trHeight w:val="47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Pašreizējā situācija un problēmas</w:t>
            </w:r>
          </w:p>
        </w:tc>
        <w:tc>
          <w:tcPr>
            <w:tcW w:w="5542" w:type="dxa"/>
            <w:tcBorders>
              <w:top w:val="outset" w:sz="6" w:space="0" w:color="auto"/>
              <w:left w:val="outset" w:sz="6" w:space="0" w:color="auto"/>
              <w:bottom w:val="outset" w:sz="6" w:space="0" w:color="auto"/>
              <w:right w:val="outset" w:sz="6" w:space="0" w:color="auto"/>
            </w:tcBorders>
          </w:tcPr>
          <w:p w:rsidR="00763CEF" w:rsidRPr="004E039F" w:rsidRDefault="00763CEF" w:rsidP="00763CEF">
            <w:pPr>
              <w:jc w:val="both"/>
              <w:rPr>
                <w:sz w:val="28"/>
                <w:szCs w:val="28"/>
              </w:rPr>
            </w:pPr>
            <w:r w:rsidRPr="004E039F">
              <w:rPr>
                <w:color w:val="000000"/>
                <w:sz w:val="28"/>
                <w:szCs w:val="28"/>
              </w:rPr>
              <w:t xml:space="preserve">Saistībā ar energoapgādes traucējumiem </w:t>
            </w:r>
            <w:r w:rsidRPr="004E039F">
              <w:rPr>
                <w:sz w:val="28"/>
                <w:szCs w:val="28"/>
              </w:rPr>
              <w:t>2011.gada sākumā</w:t>
            </w:r>
            <w:r w:rsidRPr="004E039F">
              <w:rPr>
                <w:color w:val="000000"/>
                <w:sz w:val="28"/>
                <w:szCs w:val="28"/>
              </w:rPr>
              <w:t xml:space="preserve"> valdība izsludināja </w:t>
            </w:r>
            <w:r w:rsidR="001906E1">
              <w:rPr>
                <w:sz w:val="28"/>
                <w:szCs w:val="28"/>
              </w:rPr>
              <w:t>ārkārtas situāciju 40</w:t>
            </w:r>
            <w:r w:rsidRPr="004E039F">
              <w:rPr>
                <w:sz w:val="28"/>
                <w:szCs w:val="28"/>
              </w:rPr>
              <w:t xml:space="preserve"> Latvijas novados. Dabas radīto apstākļu ietekmē - ilgstoša snigšana, bieza sniega sega, ledus un lietus, gar gaisvadu elektrolīnijām augošie koki uzkrita uz tām, bojājot vadus, kā rezultātā radās masveida pārtraukumi elektroapgādē. Kā viens no risinājumiem šādas situācijas novēršanai - zemsprieguma un vidēja sprieguma elektrolīniju nomaiņa pret kabeļlīnijām (zemē ieguldāmām). Spēkā esošais tiesiskais regulējums un tajos noteiktie nepieciešamie saskaņojumi </w:t>
            </w:r>
            <w:r w:rsidR="001906E1">
              <w:rPr>
                <w:sz w:val="28"/>
                <w:szCs w:val="28"/>
              </w:rPr>
              <w:t xml:space="preserve">paildzina laiku, kas nepieciešams </w:t>
            </w:r>
            <w:r w:rsidRPr="004E039F">
              <w:rPr>
                <w:sz w:val="28"/>
                <w:szCs w:val="28"/>
              </w:rPr>
              <w:t>līniju rekonstrukcij</w:t>
            </w:r>
            <w:r w:rsidR="001906E1">
              <w:rPr>
                <w:sz w:val="28"/>
                <w:szCs w:val="28"/>
              </w:rPr>
              <w:t>ai</w:t>
            </w:r>
            <w:r w:rsidRPr="004E039F">
              <w:rPr>
                <w:sz w:val="28"/>
                <w:szCs w:val="28"/>
              </w:rPr>
              <w:t xml:space="preserve"> (līnijas ir vairāku kilometru ga</w:t>
            </w:r>
            <w:r w:rsidR="001906E1">
              <w:rPr>
                <w:sz w:val="28"/>
                <w:szCs w:val="28"/>
              </w:rPr>
              <w:t>rumā un tās var šķērsot vairāku desmitu</w:t>
            </w:r>
            <w:r w:rsidRPr="004E039F">
              <w:rPr>
                <w:sz w:val="28"/>
                <w:szCs w:val="28"/>
              </w:rPr>
              <w:t xml:space="preserve"> īpašnieku zemes).</w:t>
            </w:r>
          </w:p>
          <w:p w:rsidR="00763CEF" w:rsidRPr="004E039F" w:rsidRDefault="00763CEF" w:rsidP="00763CEF">
            <w:pPr>
              <w:jc w:val="both"/>
              <w:rPr>
                <w:sz w:val="28"/>
                <w:szCs w:val="28"/>
              </w:rPr>
            </w:pPr>
            <w:r w:rsidRPr="004E039F">
              <w:rPr>
                <w:sz w:val="28"/>
                <w:szCs w:val="28"/>
              </w:rPr>
              <w:t>AS „</w:t>
            </w:r>
            <w:smartTag w:uri="urn:schemas-tilde-lv/tildestengine" w:element="firmas">
              <w:r w:rsidRPr="004E039F">
                <w:rPr>
                  <w:sz w:val="28"/>
                  <w:szCs w:val="28"/>
                </w:rPr>
                <w:t>Latvenergo</w:t>
              </w:r>
            </w:smartTag>
            <w:r w:rsidRPr="004E039F">
              <w:rPr>
                <w:sz w:val="28"/>
                <w:szCs w:val="28"/>
              </w:rPr>
              <w:t xml:space="preserve">” </w:t>
            </w:r>
            <w:r w:rsidR="001906E1">
              <w:rPr>
                <w:sz w:val="28"/>
                <w:szCs w:val="28"/>
              </w:rPr>
              <w:t xml:space="preserve">2011.gadā uzsāks </w:t>
            </w:r>
            <w:r w:rsidRPr="004E039F">
              <w:rPr>
                <w:sz w:val="28"/>
                <w:szCs w:val="28"/>
              </w:rPr>
              <w:t>Latvijas rietumu reģiona pārvades tīklu stiprināšanas projekt</w:t>
            </w:r>
            <w:r w:rsidR="001906E1">
              <w:rPr>
                <w:sz w:val="28"/>
                <w:szCs w:val="28"/>
              </w:rPr>
              <w:t xml:space="preserve">a </w:t>
            </w:r>
            <w:r w:rsidRPr="004E039F">
              <w:rPr>
                <w:sz w:val="28"/>
                <w:szCs w:val="28"/>
              </w:rPr>
              <w:t xml:space="preserve"> </w:t>
            </w:r>
            <w:r w:rsidR="001906E1" w:rsidRPr="004E039F">
              <w:rPr>
                <w:sz w:val="28"/>
                <w:szCs w:val="28"/>
              </w:rPr>
              <w:t xml:space="preserve">„Kurzemes loks” </w:t>
            </w:r>
            <w:r w:rsidR="001906E1">
              <w:rPr>
                <w:sz w:val="28"/>
                <w:szCs w:val="28"/>
              </w:rPr>
              <w:t>īstenošanu, kura realizējot būs jāveic</w:t>
            </w:r>
            <w:r w:rsidRPr="004E039F">
              <w:rPr>
                <w:sz w:val="28"/>
                <w:szCs w:val="28"/>
              </w:rPr>
              <w:t xml:space="preserve"> </w:t>
            </w:r>
            <w:r w:rsidR="001906E1">
              <w:rPr>
                <w:sz w:val="28"/>
                <w:szCs w:val="28"/>
              </w:rPr>
              <w:t xml:space="preserve">būtiskas </w:t>
            </w:r>
            <w:r w:rsidRPr="004E039F">
              <w:rPr>
                <w:sz w:val="28"/>
                <w:szCs w:val="28"/>
              </w:rPr>
              <w:t>elektrolīniju rekonstrukcija</w:t>
            </w:r>
            <w:r w:rsidR="001906E1">
              <w:rPr>
                <w:sz w:val="28"/>
                <w:szCs w:val="28"/>
              </w:rPr>
              <w:t>s</w:t>
            </w:r>
            <w:r w:rsidRPr="004E039F">
              <w:rPr>
                <w:sz w:val="28"/>
                <w:szCs w:val="28"/>
              </w:rPr>
              <w:t xml:space="preserve">. </w:t>
            </w:r>
          </w:p>
          <w:p w:rsidR="00763CEF" w:rsidRPr="004E039F" w:rsidRDefault="00763CEF" w:rsidP="00763CEF">
            <w:pPr>
              <w:jc w:val="both"/>
              <w:rPr>
                <w:sz w:val="28"/>
                <w:szCs w:val="28"/>
              </w:rPr>
            </w:pPr>
            <w:r w:rsidRPr="004E039F">
              <w:rPr>
                <w:sz w:val="28"/>
                <w:szCs w:val="28"/>
              </w:rPr>
              <w:t>Projekts „Kurzemes loks” ir valsts noz</w:t>
            </w:r>
            <w:r w:rsidR="001906E1">
              <w:rPr>
                <w:sz w:val="28"/>
                <w:szCs w:val="28"/>
              </w:rPr>
              <w:t xml:space="preserve">īmes energoapgādes objekts, kas ir </w:t>
            </w:r>
            <w:r w:rsidRPr="004E039F">
              <w:rPr>
                <w:sz w:val="28"/>
                <w:szCs w:val="28"/>
              </w:rPr>
              <w:t>iekļauts ī Baltijas enerģijas tirgus starpsavienojumu plānā</w:t>
            </w:r>
            <w:r w:rsidR="001906E1">
              <w:rPr>
                <w:sz w:val="28"/>
                <w:szCs w:val="28"/>
              </w:rPr>
              <w:t xml:space="preserve"> (BEMIP). </w:t>
            </w:r>
            <w:r w:rsidRPr="004E039F">
              <w:rPr>
                <w:rStyle w:val="Strong"/>
                <w:b w:val="0"/>
                <w:sz w:val="28"/>
                <w:szCs w:val="28"/>
              </w:rPr>
              <w:t xml:space="preserve">Projekta „Kurzemes loks” elektropārvades tīklu savienojuma posms </w:t>
            </w:r>
            <w:r w:rsidRPr="004E039F">
              <w:rPr>
                <w:rStyle w:val="Strong"/>
                <w:b w:val="0"/>
                <w:sz w:val="28"/>
                <w:szCs w:val="28"/>
              </w:rPr>
              <w:lastRenderedPageBreak/>
              <w:t>Grobiņa – Ventspils šķērso:</w:t>
            </w:r>
            <w:r w:rsidRPr="004E039F">
              <w:rPr>
                <w:rStyle w:val="Strong"/>
                <w:sz w:val="28"/>
                <w:szCs w:val="28"/>
              </w:rPr>
              <w:t xml:space="preserve"> </w:t>
            </w:r>
            <w:r w:rsidRPr="004E039F">
              <w:rPr>
                <w:sz w:val="28"/>
                <w:szCs w:val="28"/>
              </w:rPr>
              <w:t>Grobiņas novadu (Grobiņas pagasts), Durbes novadu (Tadaiķu un Dunalkas pagasti), Aizputes novadu (Cīravas un Lažas pagasti), Kuldīgas novadu (Ēdoles un Gudenieku pagasti), Alsungas novadu, Ventspils pilsētu, Ventspils novadu (Ances, Popes, Tārgales, Ziru pagasti) un Piltenes pilsētas lauku teritoriju. Projekta „Kurzemes loks” elektropārvades tīklu savienojuma rekonstrukcijas rezultātā tiks palielināts elektropārvades līnijas nominālais spriegums no esošā 110 kV uz 330 kV, 330 kV elektrolīniju ierīkojot blakus esošai 110 kV elektrolīnijai. Līdz ar to mainīsies (paplašināsies) arī aizsargjosla gar minētajām elektropārvades līnijām.</w:t>
            </w:r>
          </w:p>
          <w:p w:rsidR="008A3446" w:rsidRPr="001A2E8A" w:rsidRDefault="00763CEF" w:rsidP="00AB29EA">
            <w:pPr>
              <w:jc w:val="both"/>
            </w:pPr>
            <w:r w:rsidRPr="004E039F">
              <w:rPr>
                <w:sz w:val="28"/>
                <w:szCs w:val="28"/>
              </w:rPr>
              <w:t>Saskaņā ar šobrīd spēkā esošām Enerģētikas likuma normām (19.panta 1</w:t>
            </w:r>
            <w:r w:rsidRPr="004E039F">
              <w:rPr>
                <w:sz w:val="28"/>
                <w:szCs w:val="28"/>
                <w:vertAlign w:val="superscript"/>
              </w:rPr>
              <w:t>1</w:t>
            </w:r>
            <w:r w:rsidRPr="004E039F">
              <w:rPr>
                <w:sz w:val="28"/>
                <w:szCs w:val="28"/>
              </w:rPr>
              <w:t xml:space="preserve"> daļa) jaunu elektroapgādes objektu būvniecību vispārīgos gadījumos nepieciešams saskaņot ar zemes īpašnieku. </w:t>
            </w:r>
            <w:r w:rsidR="004A69B3">
              <w:rPr>
                <w:sz w:val="28"/>
                <w:szCs w:val="28"/>
              </w:rPr>
              <w:t>Enerģētikas likumā</w:t>
            </w:r>
            <w:r w:rsidRPr="004E039F">
              <w:rPr>
                <w:sz w:val="28"/>
                <w:szCs w:val="28"/>
              </w:rPr>
              <w:t xml:space="preserve"> ir noteikti izņēmuma gadījumi, kad saskaņošanu var aizstāt ar informēšanu (piem. objekts tiek ierīkots sarkanās līnijas robežas, objekta ierīkošana paredzēta </w:t>
            </w:r>
            <w:r w:rsidR="00AB29EA" w:rsidRPr="00AB29EA">
              <w:rPr>
                <w:sz w:val="28"/>
                <w:szCs w:val="28"/>
              </w:rPr>
              <w:t>vietējās pašvaldības teritorijas plānojumā vai detālplānojumā</w:t>
            </w:r>
            <w:r w:rsidRPr="00AB29EA">
              <w:rPr>
                <w:sz w:val="28"/>
                <w:szCs w:val="28"/>
              </w:rPr>
              <w:t>).</w:t>
            </w:r>
          </w:p>
        </w:tc>
      </w:tr>
      <w:tr w:rsidR="0089380C" w:rsidRPr="00E40368" w:rsidTr="001A2E8A">
        <w:trPr>
          <w:trHeight w:val="657"/>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lastRenderedPageBreak/>
              <w:t> 3.</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Saistītie politikas ietekmes novērtējumi un pētījumi</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1A6C2B">
            <w:pPr>
              <w:pStyle w:val="naiskr"/>
              <w:rPr>
                <w:sz w:val="28"/>
                <w:szCs w:val="28"/>
              </w:rPr>
            </w:pPr>
            <w:r w:rsidRPr="00E40368">
              <w:rPr>
                <w:sz w:val="28"/>
                <w:szCs w:val="28"/>
              </w:rPr>
              <w:t> Nav attiecināms.</w:t>
            </w:r>
          </w:p>
        </w:tc>
      </w:tr>
      <w:tr w:rsidR="00763CEF" w:rsidRPr="00E40368" w:rsidTr="001A2E8A">
        <w:trPr>
          <w:trHeight w:val="384"/>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E40368" w:rsidRDefault="00763CEF">
            <w:pPr>
              <w:pStyle w:val="naiskr"/>
              <w:rPr>
                <w:sz w:val="28"/>
                <w:szCs w:val="28"/>
              </w:rPr>
            </w:pPr>
            <w:r w:rsidRPr="00E40368">
              <w:rPr>
                <w:sz w:val="28"/>
                <w:szCs w:val="28"/>
              </w:rPr>
              <w:t> 4.</w:t>
            </w:r>
          </w:p>
        </w:tc>
        <w:tc>
          <w:tcPr>
            <w:tcW w:w="3030" w:type="dxa"/>
            <w:tcBorders>
              <w:top w:val="outset" w:sz="6" w:space="0" w:color="auto"/>
              <w:left w:val="outset" w:sz="6" w:space="0" w:color="auto"/>
              <w:bottom w:val="outset" w:sz="6" w:space="0" w:color="auto"/>
              <w:right w:val="outset" w:sz="6" w:space="0" w:color="auto"/>
            </w:tcBorders>
          </w:tcPr>
          <w:p w:rsidR="00763CEF" w:rsidRPr="00E40368" w:rsidRDefault="00763CEF" w:rsidP="008C222E">
            <w:pPr>
              <w:pStyle w:val="naiskr"/>
              <w:jc w:val="both"/>
              <w:rPr>
                <w:sz w:val="28"/>
                <w:szCs w:val="28"/>
              </w:rPr>
            </w:pPr>
            <w:r w:rsidRPr="00E40368">
              <w:rPr>
                <w:sz w:val="28"/>
                <w:szCs w:val="28"/>
              </w:rPr>
              <w:t> Tiesiskā regulējuma mērķis un būtība</w:t>
            </w:r>
          </w:p>
        </w:tc>
        <w:tc>
          <w:tcPr>
            <w:tcW w:w="5542" w:type="dxa"/>
            <w:tcBorders>
              <w:top w:val="outset" w:sz="6" w:space="0" w:color="auto"/>
              <w:left w:val="outset" w:sz="6" w:space="0" w:color="auto"/>
              <w:bottom w:val="outset" w:sz="6" w:space="0" w:color="auto"/>
              <w:right w:val="outset" w:sz="6" w:space="0" w:color="auto"/>
            </w:tcBorders>
          </w:tcPr>
          <w:p w:rsidR="00763CEF" w:rsidRPr="004E039F" w:rsidRDefault="009B086A" w:rsidP="008F4302">
            <w:pPr>
              <w:jc w:val="both"/>
              <w:rPr>
                <w:sz w:val="28"/>
                <w:szCs w:val="28"/>
              </w:rPr>
            </w:pPr>
            <w:r w:rsidRPr="004E039F">
              <w:rPr>
                <w:sz w:val="28"/>
                <w:szCs w:val="28"/>
              </w:rPr>
              <w:t>Noteikumu projekts paredz;</w:t>
            </w:r>
          </w:p>
          <w:p w:rsidR="009B086A" w:rsidRPr="004E039F" w:rsidRDefault="009B086A" w:rsidP="009B086A">
            <w:pPr>
              <w:jc w:val="both"/>
              <w:rPr>
                <w:sz w:val="28"/>
                <w:szCs w:val="28"/>
              </w:rPr>
            </w:pPr>
            <w:r w:rsidRPr="004E039F">
              <w:rPr>
                <w:sz w:val="28"/>
                <w:szCs w:val="28"/>
              </w:rPr>
              <w:t>1.Papildināt noteikumu 7.punktu ar regulējumu, kas nosaka, ka</w:t>
            </w:r>
            <w:r w:rsidR="00AB29EA">
              <w:rPr>
                <w:sz w:val="28"/>
                <w:szCs w:val="28"/>
              </w:rPr>
              <w:t>,</w:t>
            </w:r>
            <w:r w:rsidRPr="004E039F">
              <w:rPr>
                <w:sz w:val="28"/>
                <w:szCs w:val="28"/>
              </w:rPr>
              <w:t xml:space="preserve"> ja veic elektroietaises rekonstrukciju un tās rezultātā gaisvadu elektrolīniju pārbūvē par kabeļlīniju, tad būvniecības iesniegums–uzskaites karte un elektroietaises būvprojekts nav nepieciešami.</w:t>
            </w:r>
            <w:r w:rsidR="00A57332" w:rsidRPr="004E039F">
              <w:rPr>
                <w:sz w:val="28"/>
                <w:szCs w:val="28"/>
              </w:rPr>
              <w:t xml:space="preserve"> Šāds risinājums būtiski paātrinās un atvieglos elektrolīniju pārbūvi no gaisa vadu līnijā</w:t>
            </w:r>
            <w:r w:rsidR="004A69B3">
              <w:rPr>
                <w:sz w:val="28"/>
                <w:szCs w:val="28"/>
              </w:rPr>
              <w:t>m</w:t>
            </w:r>
            <w:r w:rsidR="00A57332" w:rsidRPr="004E039F">
              <w:rPr>
                <w:sz w:val="28"/>
                <w:szCs w:val="28"/>
              </w:rPr>
              <w:t xml:space="preserve"> par kabeļlīnijā</w:t>
            </w:r>
            <w:r w:rsidR="004A69B3">
              <w:rPr>
                <w:sz w:val="28"/>
                <w:szCs w:val="28"/>
              </w:rPr>
              <w:t xml:space="preserve">m, kas nākotnē samazinās neparedzētu elektroenerģijas atslēgumu </w:t>
            </w:r>
            <w:r w:rsidR="00634E3E">
              <w:rPr>
                <w:sz w:val="28"/>
                <w:szCs w:val="28"/>
              </w:rPr>
              <w:t>skaitu</w:t>
            </w:r>
            <w:r w:rsidR="004E039F" w:rsidRPr="004E039F">
              <w:rPr>
                <w:sz w:val="28"/>
                <w:szCs w:val="28"/>
              </w:rPr>
              <w:t>.</w:t>
            </w:r>
          </w:p>
          <w:p w:rsidR="004E039F" w:rsidRPr="004E039F" w:rsidRDefault="004E039F" w:rsidP="009B086A">
            <w:pPr>
              <w:jc w:val="both"/>
              <w:rPr>
                <w:sz w:val="28"/>
                <w:szCs w:val="28"/>
              </w:rPr>
            </w:pPr>
          </w:p>
          <w:p w:rsidR="008F4302" w:rsidRDefault="004E039F" w:rsidP="004E039F">
            <w:pPr>
              <w:jc w:val="both"/>
              <w:rPr>
                <w:sz w:val="28"/>
                <w:szCs w:val="28"/>
              </w:rPr>
            </w:pPr>
            <w:r w:rsidRPr="004E039F">
              <w:rPr>
                <w:sz w:val="28"/>
                <w:szCs w:val="28"/>
              </w:rPr>
              <w:t>2. Papildinot not</w:t>
            </w:r>
            <w:r w:rsidR="00AB29EA">
              <w:rPr>
                <w:sz w:val="28"/>
                <w:szCs w:val="28"/>
              </w:rPr>
              <w:t>e</w:t>
            </w:r>
            <w:r w:rsidRPr="004E039F">
              <w:rPr>
                <w:sz w:val="28"/>
                <w:szCs w:val="28"/>
              </w:rPr>
              <w:t xml:space="preserve">ikumu 35.punktu ar otro teikumu tiek noteikts, ka </w:t>
            </w:r>
            <w:r>
              <w:rPr>
                <w:sz w:val="28"/>
                <w:szCs w:val="28"/>
              </w:rPr>
              <w:t>veicot 110kV elektrolīnijas rekonstrukciju</w:t>
            </w:r>
            <w:r w:rsidR="00AB29EA">
              <w:rPr>
                <w:sz w:val="28"/>
                <w:szCs w:val="28"/>
              </w:rPr>
              <w:t>,</w:t>
            </w:r>
            <w:r w:rsidR="008F4302">
              <w:rPr>
                <w:sz w:val="28"/>
                <w:szCs w:val="28"/>
              </w:rPr>
              <w:t xml:space="preserve"> tiek ierīkota 330kV elektrolīnija</w:t>
            </w:r>
            <w:r w:rsidRPr="004E039F">
              <w:rPr>
                <w:sz w:val="28"/>
                <w:szCs w:val="28"/>
              </w:rPr>
              <w:t>,</w:t>
            </w:r>
            <w:r w:rsidR="008F4302">
              <w:rPr>
                <w:sz w:val="28"/>
                <w:szCs w:val="28"/>
              </w:rPr>
              <w:t xml:space="preserve"> tad energoapgādes komersantam ir tiesības saskaņošanas procedūru ar nekustamo īpašniekiem aizstāt ar informēšanu.</w:t>
            </w:r>
          </w:p>
          <w:p w:rsidR="00763CEF" w:rsidRPr="005273C8" w:rsidRDefault="00763CEF" w:rsidP="008F4302">
            <w:pPr>
              <w:jc w:val="both"/>
            </w:pPr>
          </w:p>
        </w:tc>
      </w:tr>
      <w:tr w:rsidR="00763CEF" w:rsidRPr="00E40368" w:rsidTr="001A2E8A">
        <w:trPr>
          <w:trHeight w:val="476"/>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E40368" w:rsidRDefault="00763CEF">
            <w:pPr>
              <w:pStyle w:val="naiskr"/>
              <w:rPr>
                <w:sz w:val="28"/>
                <w:szCs w:val="28"/>
              </w:rPr>
            </w:pPr>
            <w:r w:rsidRPr="00E40368">
              <w:rPr>
                <w:sz w:val="28"/>
                <w:szCs w:val="28"/>
              </w:rPr>
              <w:t> 5.</w:t>
            </w:r>
          </w:p>
        </w:tc>
        <w:tc>
          <w:tcPr>
            <w:tcW w:w="3030" w:type="dxa"/>
            <w:tcBorders>
              <w:top w:val="outset" w:sz="6" w:space="0" w:color="auto"/>
              <w:left w:val="outset" w:sz="6" w:space="0" w:color="auto"/>
              <w:bottom w:val="outset" w:sz="6" w:space="0" w:color="auto"/>
              <w:right w:val="outset" w:sz="6" w:space="0" w:color="auto"/>
            </w:tcBorders>
          </w:tcPr>
          <w:p w:rsidR="00763CEF" w:rsidRPr="00E40368" w:rsidRDefault="00763CEF">
            <w:pPr>
              <w:pStyle w:val="naiskr"/>
              <w:rPr>
                <w:sz w:val="28"/>
                <w:szCs w:val="28"/>
              </w:rPr>
            </w:pPr>
            <w:r w:rsidRPr="00E40368">
              <w:rPr>
                <w:sz w:val="28"/>
                <w:szCs w:val="28"/>
              </w:rPr>
              <w:t> Projekta izstrādē iesaistītās institūcijas</w:t>
            </w:r>
          </w:p>
        </w:tc>
        <w:tc>
          <w:tcPr>
            <w:tcW w:w="5542" w:type="dxa"/>
            <w:tcBorders>
              <w:top w:val="outset" w:sz="6" w:space="0" w:color="auto"/>
              <w:left w:val="outset" w:sz="6" w:space="0" w:color="auto"/>
              <w:bottom w:val="outset" w:sz="6" w:space="0" w:color="auto"/>
              <w:right w:val="outset" w:sz="6" w:space="0" w:color="auto"/>
            </w:tcBorders>
          </w:tcPr>
          <w:p w:rsidR="00763CEF" w:rsidRPr="00E40368" w:rsidRDefault="00763CEF" w:rsidP="008F4302">
            <w:pPr>
              <w:pStyle w:val="naiskr"/>
              <w:jc w:val="both"/>
              <w:rPr>
                <w:sz w:val="28"/>
                <w:szCs w:val="28"/>
              </w:rPr>
            </w:pPr>
            <w:r w:rsidRPr="00E40368">
              <w:rPr>
                <w:sz w:val="28"/>
                <w:szCs w:val="28"/>
              </w:rPr>
              <w:t xml:space="preserve">Projekta sagatavošanā ņemts vērā AS „Latvenergo” </w:t>
            </w:r>
            <w:r w:rsidR="008F4302">
              <w:rPr>
                <w:sz w:val="28"/>
                <w:szCs w:val="28"/>
              </w:rPr>
              <w:t xml:space="preserve"> un AS „Sadales tīkls” </w:t>
            </w:r>
            <w:r w:rsidRPr="00E40368">
              <w:rPr>
                <w:sz w:val="28"/>
                <w:szCs w:val="28"/>
              </w:rPr>
              <w:t>viedoklis.</w:t>
            </w:r>
          </w:p>
        </w:tc>
      </w:tr>
      <w:tr w:rsidR="00763CEF" w:rsidRPr="00E40368" w:rsidTr="001A2E8A">
        <w:trPr>
          <w:trHeight w:val="652"/>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E40368" w:rsidRDefault="00763CEF">
            <w:pPr>
              <w:pStyle w:val="naiskr"/>
              <w:rPr>
                <w:sz w:val="28"/>
                <w:szCs w:val="28"/>
              </w:rPr>
            </w:pPr>
            <w:r w:rsidRPr="00E40368">
              <w:rPr>
                <w:sz w:val="28"/>
                <w:szCs w:val="28"/>
              </w:rPr>
              <w:t> 6.</w:t>
            </w:r>
          </w:p>
        </w:tc>
        <w:tc>
          <w:tcPr>
            <w:tcW w:w="3030" w:type="dxa"/>
            <w:tcBorders>
              <w:top w:val="outset" w:sz="6" w:space="0" w:color="auto"/>
              <w:left w:val="outset" w:sz="6" w:space="0" w:color="auto"/>
              <w:bottom w:val="outset" w:sz="6" w:space="0" w:color="auto"/>
              <w:right w:val="outset" w:sz="6" w:space="0" w:color="auto"/>
            </w:tcBorders>
          </w:tcPr>
          <w:p w:rsidR="00763CEF" w:rsidRPr="00E40368" w:rsidRDefault="00763CEF" w:rsidP="008C222E">
            <w:pPr>
              <w:pStyle w:val="naiskr"/>
              <w:jc w:val="both"/>
              <w:rPr>
                <w:sz w:val="28"/>
                <w:szCs w:val="28"/>
              </w:rPr>
            </w:pPr>
            <w:r w:rsidRPr="00E40368">
              <w:rPr>
                <w:sz w:val="28"/>
                <w:szCs w:val="28"/>
              </w:rPr>
              <w:t> Iemesli, kādēļ netika nodrošināta sabiedrības līdzdalība</w:t>
            </w:r>
          </w:p>
        </w:tc>
        <w:tc>
          <w:tcPr>
            <w:tcW w:w="5542" w:type="dxa"/>
            <w:tcBorders>
              <w:top w:val="outset" w:sz="6" w:space="0" w:color="auto"/>
              <w:left w:val="outset" w:sz="6" w:space="0" w:color="auto"/>
              <w:bottom w:val="outset" w:sz="6" w:space="0" w:color="auto"/>
              <w:right w:val="outset" w:sz="6" w:space="0" w:color="auto"/>
            </w:tcBorders>
          </w:tcPr>
          <w:p w:rsidR="00763CEF" w:rsidRPr="00E40368" w:rsidRDefault="00763CEF" w:rsidP="000B2F14">
            <w:pPr>
              <w:pStyle w:val="naiskr"/>
              <w:jc w:val="both"/>
              <w:rPr>
                <w:sz w:val="28"/>
                <w:szCs w:val="28"/>
              </w:rPr>
            </w:pPr>
            <w:r w:rsidRPr="00E40368">
              <w:rPr>
                <w:sz w:val="28"/>
                <w:szCs w:val="28"/>
              </w:rPr>
              <w:t>Nav attiecināms.</w:t>
            </w:r>
          </w:p>
        </w:tc>
      </w:tr>
      <w:tr w:rsidR="00763CEF" w:rsidRPr="00E40368" w:rsidTr="001A2E8A">
        <w:trPr>
          <w:tblCellSpacing w:w="0" w:type="dxa"/>
        </w:trPr>
        <w:tc>
          <w:tcPr>
            <w:tcW w:w="529" w:type="dxa"/>
            <w:tcBorders>
              <w:top w:val="outset" w:sz="6" w:space="0" w:color="auto"/>
              <w:left w:val="outset" w:sz="6" w:space="0" w:color="auto"/>
              <w:bottom w:val="outset" w:sz="6" w:space="0" w:color="auto"/>
              <w:right w:val="outset" w:sz="6" w:space="0" w:color="auto"/>
            </w:tcBorders>
          </w:tcPr>
          <w:p w:rsidR="00763CEF" w:rsidRPr="00E40368" w:rsidRDefault="00763CEF">
            <w:pPr>
              <w:pStyle w:val="naiskr"/>
              <w:rPr>
                <w:sz w:val="28"/>
                <w:szCs w:val="28"/>
              </w:rPr>
            </w:pPr>
            <w:r w:rsidRPr="00E40368">
              <w:rPr>
                <w:sz w:val="28"/>
                <w:szCs w:val="28"/>
              </w:rPr>
              <w:t> 7.</w:t>
            </w:r>
          </w:p>
        </w:tc>
        <w:tc>
          <w:tcPr>
            <w:tcW w:w="3030" w:type="dxa"/>
            <w:tcBorders>
              <w:top w:val="outset" w:sz="6" w:space="0" w:color="auto"/>
              <w:left w:val="outset" w:sz="6" w:space="0" w:color="auto"/>
              <w:bottom w:val="outset" w:sz="6" w:space="0" w:color="auto"/>
              <w:right w:val="outset" w:sz="6" w:space="0" w:color="auto"/>
            </w:tcBorders>
          </w:tcPr>
          <w:p w:rsidR="00763CEF" w:rsidRPr="00E40368" w:rsidRDefault="00763CEF">
            <w:pPr>
              <w:pStyle w:val="naiskr"/>
              <w:rPr>
                <w:sz w:val="28"/>
                <w:szCs w:val="28"/>
              </w:rPr>
            </w:pPr>
            <w:r w:rsidRPr="00E40368">
              <w:rPr>
                <w:sz w:val="28"/>
                <w:szCs w:val="28"/>
              </w:rPr>
              <w:t> Cita informācija</w:t>
            </w:r>
          </w:p>
        </w:tc>
        <w:tc>
          <w:tcPr>
            <w:tcW w:w="5542" w:type="dxa"/>
            <w:tcBorders>
              <w:top w:val="outset" w:sz="6" w:space="0" w:color="auto"/>
              <w:left w:val="outset" w:sz="6" w:space="0" w:color="auto"/>
              <w:bottom w:val="outset" w:sz="6" w:space="0" w:color="auto"/>
              <w:right w:val="outset" w:sz="6" w:space="0" w:color="auto"/>
            </w:tcBorders>
          </w:tcPr>
          <w:p w:rsidR="00763CEF" w:rsidRPr="00E40368" w:rsidRDefault="004A69B3" w:rsidP="004A69B3">
            <w:pPr>
              <w:pStyle w:val="naiskr"/>
              <w:jc w:val="both"/>
              <w:rPr>
                <w:sz w:val="28"/>
                <w:szCs w:val="28"/>
              </w:rPr>
            </w:pPr>
            <w:r>
              <w:rPr>
                <w:sz w:val="28"/>
                <w:szCs w:val="28"/>
              </w:rPr>
              <w:t>Š.g. 17</w:t>
            </w:r>
            <w:r w:rsidR="00AB29EA">
              <w:rPr>
                <w:sz w:val="28"/>
                <w:szCs w:val="28"/>
              </w:rPr>
              <w:t>.marta Valsts sekretāru sanāksmē</w:t>
            </w:r>
            <w:r>
              <w:rPr>
                <w:sz w:val="28"/>
                <w:szCs w:val="28"/>
              </w:rPr>
              <w:t xml:space="preserve"> tika izsludināts likumprojekts „Grozījumi Enerģētikas likumā”</w:t>
            </w:r>
            <w:r w:rsidR="007B48AD">
              <w:rPr>
                <w:sz w:val="28"/>
                <w:szCs w:val="28"/>
              </w:rPr>
              <w:t>, kas paredz vairākas izmaiņas elektroapgādes objektu ierīkošanas tiesiskajā regulējumā. Noteikumu projektā iekļautās izmaiņas ir saskaņotas ar minētā likumprojekta normām.</w:t>
            </w:r>
          </w:p>
        </w:tc>
      </w:tr>
    </w:tbl>
    <w:p w:rsidR="0089380C" w:rsidRPr="00E40368" w:rsidRDefault="0089380C" w:rsidP="0089380C">
      <w:pPr>
        <w:pStyle w:val="naisf"/>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9"/>
        <w:gridCol w:w="4032"/>
        <w:gridCol w:w="4550"/>
      </w:tblGrid>
      <w:tr w:rsidR="0089380C" w:rsidRPr="00E40368" w:rsidTr="0068412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E40368" w:rsidRDefault="0089380C">
            <w:pPr>
              <w:pStyle w:val="naisnod"/>
              <w:rPr>
                <w:b/>
                <w:sz w:val="28"/>
                <w:szCs w:val="28"/>
              </w:rPr>
            </w:pPr>
            <w:r w:rsidRPr="00E40368">
              <w:rPr>
                <w:sz w:val="28"/>
                <w:szCs w:val="28"/>
              </w:rPr>
              <w:t> </w:t>
            </w:r>
            <w:r w:rsidRPr="00E40368">
              <w:rPr>
                <w:b/>
                <w:sz w:val="28"/>
                <w:szCs w:val="28"/>
              </w:rPr>
              <w:t>II. Tiesību akta projekta ietekme uz sabiedrību</w:t>
            </w:r>
          </w:p>
        </w:tc>
      </w:tr>
      <w:tr w:rsidR="0089380C" w:rsidRPr="00E40368" w:rsidTr="00684126">
        <w:trPr>
          <w:trHeight w:val="46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Sabiedrības mērķgrupa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C15728" w:rsidP="008F4302">
            <w:pPr>
              <w:pStyle w:val="naiskr"/>
              <w:spacing w:before="0" w:after="0"/>
              <w:ind w:hanging="57"/>
              <w:jc w:val="both"/>
              <w:rPr>
                <w:sz w:val="28"/>
                <w:szCs w:val="28"/>
              </w:rPr>
            </w:pPr>
            <w:r>
              <w:rPr>
                <w:sz w:val="28"/>
                <w:szCs w:val="28"/>
              </w:rPr>
              <w:t> </w:t>
            </w:r>
            <w:r w:rsidR="008323C5" w:rsidRPr="00E40368">
              <w:rPr>
                <w:iCs/>
                <w:sz w:val="28"/>
                <w:szCs w:val="28"/>
              </w:rPr>
              <w:t xml:space="preserve">Noteikumu projekts attiecas </w:t>
            </w:r>
            <w:r w:rsidR="00684126" w:rsidRPr="00E40368">
              <w:rPr>
                <w:iCs/>
                <w:sz w:val="28"/>
                <w:szCs w:val="28"/>
              </w:rPr>
              <w:t xml:space="preserve">uz </w:t>
            </w:r>
            <w:r w:rsidR="008F4302">
              <w:rPr>
                <w:iCs/>
                <w:sz w:val="28"/>
                <w:szCs w:val="28"/>
              </w:rPr>
              <w:t>komersantiem, kas veic elektroenerģijas pārvades un sadales būvju būvniecību.</w:t>
            </w:r>
          </w:p>
        </w:tc>
      </w:tr>
      <w:tr w:rsidR="0089380C" w:rsidRPr="00E40368" w:rsidTr="00684126">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Citas sabiedrības grupas (bez mērķgrupas), kuras tiesiskais regulējums arī ietekmē vai varētu ietekmēt</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AB29EA">
            <w:pPr>
              <w:pStyle w:val="naiskr"/>
              <w:jc w:val="both"/>
              <w:rPr>
                <w:sz w:val="28"/>
                <w:szCs w:val="28"/>
              </w:rPr>
            </w:pPr>
            <w:r w:rsidRPr="00E40368">
              <w:rPr>
                <w:sz w:val="28"/>
                <w:szCs w:val="28"/>
              </w:rPr>
              <w:t> </w:t>
            </w:r>
            <w:r w:rsidR="008F4302">
              <w:rPr>
                <w:sz w:val="28"/>
                <w:szCs w:val="28"/>
              </w:rPr>
              <w:t>Noteikumu projekts arī ietekmē nekustamā īpašuma īpašniekus, kuru nekustamie īpašumi var tik aprobežoti</w:t>
            </w:r>
            <w:r w:rsidR="00AB29EA">
              <w:rPr>
                <w:sz w:val="28"/>
                <w:szCs w:val="28"/>
              </w:rPr>
              <w:t>,</w:t>
            </w:r>
            <w:r w:rsidR="008F4302">
              <w:rPr>
                <w:sz w:val="28"/>
                <w:szCs w:val="28"/>
              </w:rPr>
              <w:t xml:space="preserve"> </w:t>
            </w:r>
            <w:r w:rsidR="00B64DF5">
              <w:rPr>
                <w:sz w:val="28"/>
                <w:szCs w:val="28"/>
              </w:rPr>
              <w:t>būvējot un ekspluatējot elektroenerģijas pārvades un sadales būves.</w:t>
            </w:r>
            <w:r w:rsidR="004A69B3">
              <w:rPr>
                <w:sz w:val="28"/>
                <w:szCs w:val="28"/>
              </w:rPr>
              <w:t xml:space="preserve"> Būvniecības procesu uzraugošās būvvaldes.</w:t>
            </w:r>
          </w:p>
        </w:tc>
      </w:tr>
      <w:tr w:rsidR="0089380C" w:rsidRPr="00E40368" w:rsidTr="0068412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Tiesiskā regulējuma finansiālā ietekme</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7A7613" w:rsidP="00B64DF5">
            <w:pPr>
              <w:pStyle w:val="naiskr"/>
              <w:jc w:val="both"/>
              <w:rPr>
                <w:sz w:val="28"/>
                <w:szCs w:val="28"/>
              </w:rPr>
            </w:pPr>
            <w:r w:rsidRPr="00E40368">
              <w:rPr>
                <w:sz w:val="28"/>
                <w:szCs w:val="28"/>
              </w:rPr>
              <w:t>Noteikumu projekts nerada finansiālo ietekmi</w:t>
            </w:r>
            <w:r w:rsidR="00B64DF5">
              <w:rPr>
                <w:sz w:val="28"/>
                <w:szCs w:val="28"/>
              </w:rPr>
              <w:t>.</w:t>
            </w:r>
          </w:p>
        </w:tc>
      </w:tr>
      <w:tr w:rsidR="0089380C" w:rsidRPr="00E40368" w:rsidTr="0068412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Tiesiskā regulējuma nefinansiālā ietekme</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12248A">
            <w:pPr>
              <w:pStyle w:val="naiskr"/>
              <w:jc w:val="both"/>
              <w:rPr>
                <w:sz w:val="28"/>
                <w:szCs w:val="28"/>
              </w:rPr>
            </w:pPr>
            <w:r w:rsidRPr="00E40368">
              <w:rPr>
                <w:sz w:val="28"/>
                <w:szCs w:val="28"/>
              </w:rPr>
              <w:t> </w:t>
            </w:r>
            <w:r w:rsidR="007A7613" w:rsidRPr="00E40368">
              <w:rPr>
                <w:sz w:val="28"/>
                <w:szCs w:val="28"/>
              </w:rPr>
              <w:t>Nav attiecināms.</w:t>
            </w:r>
          </w:p>
        </w:tc>
      </w:tr>
      <w:tr w:rsidR="0089380C" w:rsidRPr="00E40368" w:rsidTr="00684126">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Administratīvās procedūras raksturojums</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7A7613">
            <w:pPr>
              <w:pStyle w:val="naiskr"/>
              <w:jc w:val="both"/>
              <w:rPr>
                <w:sz w:val="28"/>
                <w:szCs w:val="28"/>
              </w:rPr>
            </w:pPr>
            <w:r w:rsidRPr="00E40368">
              <w:rPr>
                <w:sz w:val="28"/>
                <w:szCs w:val="28"/>
              </w:rPr>
              <w:t> </w:t>
            </w:r>
            <w:r w:rsidR="007A7613" w:rsidRPr="00E40368">
              <w:rPr>
                <w:sz w:val="28"/>
                <w:szCs w:val="28"/>
              </w:rPr>
              <w:t>Nav attiecināms.</w:t>
            </w:r>
          </w:p>
        </w:tc>
      </w:tr>
      <w:tr w:rsidR="0089380C" w:rsidRPr="00E40368" w:rsidTr="00684126">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Administratīvo izmaksu monetārs novērtējums</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EE2530">
            <w:pPr>
              <w:pStyle w:val="naiskr"/>
              <w:jc w:val="both"/>
              <w:rPr>
                <w:sz w:val="28"/>
                <w:szCs w:val="28"/>
              </w:rPr>
            </w:pPr>
            <w:r w:rsidRPr="00E40368">
              <w:rPr>
                <w:sz w:val="28"/>
                <w:szCs w:val="28"/>
              </w:rPr>
              <w:t> </w:t>
            </w:r>
            <w:r w:rsidR="00EE2530" w:rsidRPr="00E40368">
              <w:rPr>
                <w:sz w:val="28"/>
                <w:szCs w:val="28"/>
              </w:rPr>
              <w:t>Nav attiecināms.</w:t>
            </w:r>
          </w:p>
        </w:tc>
      </w:tr>
      <w:tr w:rsidR="0089380C" w:rsidRPr="00E40368" w:rsidTr="00684126">
        <w:trPr>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10E71" w:rsidRPr="00E40368">
              <w:rPr>
                <w:sz w:val="28"/>
                <w:szCs w:val="28"/>
              </w:rPr>
              <w:t>Nav.</w:t>
            </w:r>
          </w:p>
        </w:tc>
      </w:tr>
    </w:tbl>
    <w:p w:rsidR="0089380C" w:rsidRPr="00E40368" w:rsidRDefault="0089380C" w:rsidP="0089380C">
      <w:pPr>
        <w:pStyle w:val="naisf"/>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8"/>
        <w:gridCol w:w="3930"/>
        <w:gridCol w:w="4663"/>
      </w:tblGrid>
      <w:tr w:rsidR="0089380C" w:rsidRPr="00E4036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pPr>
              <w:pStyle w:val="naisc"/>
              <w:rPr>
                <w:sz w:val="28"/>
                <w:szCs w:val="28"/>
              </w:rPr>
            </w:pPr>
            <w:r w:rsidRPr="00E40368">
              <w:rPr>
                <w:b/>
                <w:bCs/>
                <w:sz w:val="28"/>
                <w:szCs w:val="28"/>
              </w:rPr>
              <w:t> VII. Tiesību akta projekta izpildes nodrošināšana un tās ietekme uz institūcijām</w:t>
            </w:r>
          </w:p>
        </w:tc>
      </w:tr>
      <w:tr w:rsidR="0089380C" w:rsidRPr="00E4036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9380C" w:rsidRPr="00634E3E" w:rsidRDefault="000D1157" w:rsidP="000C4F32">
            <w:pPr>
              <w:pStyle w:val="naiskr"/>
              <w:jc w:val="both"/>
              <w:rPr>
                <w:sz w:val="28"/>
                <w:szCs w:val="28"/>
              </w:rPr>
            </w:pPr>
            <w:r>
              <w:rPr>
                <w:sz w:val="28"/>
                <w:szCs w:val="28"/>
              </w:rPr>
              <w:t>Būvvaldes</w:t>
            </w:r>
          </w:p>
        </w:tc>
      </w:tr>
      <w:tr w:rsidR="0089380C" w:rsidRPr="00E4036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rsidP="008F7768">
            <w:pPr>
              <w:pStyle w:val="naiskr"/>
              <w:jc w:val="both"/>
              <w:rPr>
                <w:sz w:val="28"/>
                <w:szCs w:val="28"/>
              </w:rPr>
            </w:pPr>
            <w:r w:rsidRPr="00E40368">
              <w:rPr>
                <w:sz w:val="28"/>
                <w:szCs w:val="28"/>
              </w:rPr>
              <w:t> </w:t>
            </w:r>
            <w:r w:rsidR="008F7768" w:rsidRPr="00E40368">
              <w:rPr>
                <w:sz w:val="28"/>
                <w:szCs w:val="28"/>
              </w:rPr>
              <w:t>Jaunas valsts institūcijas netiks radītas, kā arī netiks paplašinātas esošo institūciju funkcijas</w:t>
            </w:r>
            <w:r w:rsidR="0061285C" w:rsidRPr="00E40368">
              <w:rPr>
                <w:sz w:val="28"/>
                <w:szCs w:val="28"/>
              </w:rPr>
              <w:t>.</w:t>
            </w:r>
          </w:p>
        </w:tc>
      </w:tr>
      <w:tr w:rsidR="0089380C" w:rsidRPr="00E4036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Jaunas institūcijas netiks veidotas.</w:t>
            </w:r>
          </w:p>
        </w:tc>
      </w:tr>
      <w:tr w:rsidR="0089380C" w:rsidRPr="00E4036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Esošās institūcijas netiks likvidētas.</w:t>
            </w:r>
          </w:p>
        </w:tc>
      </w:tr>
      <w:tr w:rsidR="0089380C" w:rsidRPr="00E4036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Esošās institūcijas netiks reorganizētas.</w:t>
            </w:r>
          </w:p>
        </w:tc>
      </w:tr>
      <w:tr w:rsidR="0089380C" w:rsidRPr="00E4036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sz w:val="28"/>
                <w:szCs w:val="28"/>
              </w:rPr>
              <w:t>Nav.</w:t>
            </w:r>
          </w:p>
        </w:tc>
      </w:tr>
    </w:tbl>
    <w:p w:rsidR="00435C4E" w:rsidRPr="00E40368" w:rsidRDefault="00435C4E" w:rsidP="00435C4E">
      <w:pPr>
        <w:pStyle w:val="naisf"/>
        <w:tabs>
          <w:tab w:val="left" w:pos="5760"/>
        </w:tabs>
        <w:spacing w:before="0" w:after="0"/>
        <w:ind w:firstLine="720"/>
        <w:rPr>
          <w:sz w:val="28"/>
          <w:szCs w:val="28"/>
        </w:rPr>
      </w:pPr>
      <w:r w:rsidRPr="00E40368">
        <w:rPr>
          <w:sz w:val="28"/>
          <w:szCs w:val="28"/>
        </w:rPr>
        <w:t>Anotācijas III, IV, V un VI sadaļa – nav attiecinām</w:t>
      </w:r>
      <w:r w:rsidR="00E40368">
        <w:rPr>
          <w:sz w:val="28"/>
          <w:szCs w:val="28"/>
        </w:rPr>
        <w:t>a</w:t>
      </w:r>
      <w:r w:rsidRPr="00E40368">
        <w:rPr>
          <w:sz w:val="28"/>
          <w:szCs w:val="28"/>
        </w:rPr>
        <w:t>s.</w:t>
      </w:r>
    </w:p>
    <w:p w:rsidR="001D1B66" w:rsidRPr="00E40368" w:rsidRDefault="001D1B66" w:rsidP="001D1B66">
      <w:pPr>
        <w:rPr>
          <w:sz w:val="28"/>
          <w:szCs w:val="28"/>
        </w:rPr>
      </w:pPr>
      <w:r w:rsidRPr="00E40368">
        <w:rPr>
          <w:sz w:val="28"/>
          <w:szCs w:val="28"/>
        </w:rPr>
        <w:t xml:space="preserve">Ministru prezidents </w:t>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t xml:space="preserve">          V. Dombrovskis</w:t>
      </w:r>
    </w:p>
    <w:p w:rsidR="001D1B66" w:rsidRPr="00E40368" w:rsidRDefault="001D1B66" w:rsidP="001D1B66">
      <w:pPr>
        <w:rPr>
          <w:sz w:val="28"/>
          <w:szCs w:val="28"/>
        </w:rPr>
      </w:pPr>
    </w:p>
    <w:p w:rsidR="001D1B66" w:rsidRPr="00E40368" w:rsidRDefault="001D1B66" w:rsidP="001D1B66">
      <w:pPr>
        <w:rPr>
          <w:sz w:val="28"/>
          <w:szCs w:val="28"/>
        </w:rPr>
      </w:pPr>
      <w:r w:rsidRPr="00E40368">
        <w:rPr>
          <w:sz w:val="28"/>
          <w:szCs w:val="28"/>
        </w:rPr>
        <w:t>Ekonomikas ministrs                                                                     A.Kampars</w:t>
      </w:r>
    </w:p>
    <w:p w:rsidR="001D1B66" w:rsidRPr="00E40368" w:rsidRDefault="001D1B66" w:rsidP="001D1B66">
      <w:pPr>
        <w:ind w:left="-284"/>
        <w:rPr>
          <w:sz w:val="28"/>
          <w:szCs w:val="28"/>
        </w:rPr>
      </w:pPr>
    </w:p>
    <w:p w:rsidR="001D1B66" w:rsidRPr="00E40368" w:rsidRDefault="001D1B66" w:rsidP="001D1B66">
      <w:pPr>
        <w:rPr>
          <w:sz w:val="28"/>
          <w:szCs w:val="28"/>
        </w:rPr>
      </w:pPr>
      <w:r w:rsidRPr="00E40368">
        <w:rPr>
          <w:sz w:val="28"/>
          <w:szCs w:val="28"/>
        </w:rPr>
        <w:t>Iesniedzējs: Ekonomikas ministrs                                                 A. Kampars</w:t>
      </w:r>
    </w:p>
    <w:p w:rsidR="001D1B66" w:rsidRPr="00E40368" w:rsidRDefault="001D1B66" w:rsidP="001D1B66">
      <w:pPr>
        <w:ind w:left="-284"/>
        <w:rPr>
          <w:sz w:val="28"/>
          <w:szCs w:val="28"/>
        </w:rPr>
      </w:pPr>
    </w:p>
    <w:p w:rsidR="001D1B66" w:rsidRPr="00E40368" w:rsidRDefault="001D1B66" w:rsidP="001D1B66">
      <w:pPr>
        <w:rPr>
          <w:sz w:val="28"/>
          <w:szCs w:val="28"/>
        </w:rPr>
      </w:pPr>
      <w:r w:rsidRPr="00E40368">
        <w:rPr>
          <w:sz w:val="28"/>
          <w:szCs w:val="28"/>
        </w:rPr>
        <w:t>Vīza: Valsts sekretārs                                                                     J.Pūce</w:t>
      </w:r>
    </w:p>
    <w:p w:rsidR="001D1B66" w:rsidRPr="00E40368" w:rsidRDefault="001D1B66" w:rsidP="001D1B66">
      <w:pPr>
        <w:rPr>
          <w:sz w:val="28"/>
          <w:szCs w:val="28"/>
        </w:rPr>
      </w:pPr>
    </w:p>
    <w:p w:rsidR="001D1B66" w:rsidRPr="00E40368" w:rsidRDefault="001D1B66" w:rsidP="001D1B66">
      <w:pPr>
        <w:rPr>
          <w:sz w:val="28"/>
          <w:szCs w:val="28"/>
        </w:rPr>
      </w:pPr>
    </w:p>
    <w:p w:rsidR="001D1B66" w:rsidRPr="00E40368" w:rsidRDefault="007B48AD" w:rsidP="001D1B66">
      <w:pPr>
        <w:rPr>
          <w:sz w:val="20"/>
          <w:szCs w:val="20"/>
        </w:rPr>
      </w:pPr>
      <w:r>
        <w:rPr>
          <w:sz w:val="20"/>
          <w:szCs w:val="20"/>
        </w:rPr>
        <w:t>28</w:t>
      </w:r>
      <w:r w:rsidR="001D1B66" w:rsidRPr="00E40368">
        <w:rPr>
          <w:sz w:val="20"/>
          <w:szCs w:val="20"/>
        </w:rPr>
        <w:t xml:space="preserve">.03.2011. </w:t>
      </w:r>
      <w:r w:rsidR="000C624C">
        <w:rPr>
          <w:sz w:val="20"/>
          <w:szCs w:val="20"/>
        </w:rPr>
        <w:t>1</w:t>
      </w:r>
      <w:r w:rsidR="000D1157">
        <w:rPr>
          <w:sz w:val="20"/>
          <w:szCs w:val="20"/>
        </w:rPr>
        <w:t>6:24</w:t>
      </w:r>
    </w:p>
    <w:p w:rsidR="001D1B66" w:rsidRPr="00E40368" w:rsidRDefault="00634E3E" w:rsidP="000C624C">
      <w:pPr>
        <w:tabs>
          <w:tab w:val="left" w:pos="5972"/>
        </w:tabs>
        <w:rPr>
          <w:sz w:val="20"/>
          <w:szCs w:val="20"/>
        </w:rPr>
      </w:pPr>
      <w:r>
        <w:rPr>
          <w:sz w:val="20"/>
          <w:szCs w:val="20"/>
        </w:rPr>
        <w:t>714</w:t>
      </w:r>
      <w:r w:rsidR="000C624C">
        <w:rPr>
          <w:sz w:val="20"/>
          <w:szCs w:val="20"/>
        </w:rPr>
        <w:tab/>
      </w:r>
    </w:p>
    <w:p w:rsidR="001D1B66" w:rsidRPr="00E40368" w:rsidRDefault="007B48AD" w:rsidP="001D1B66">
      <w:pPr>
        <w:rPr>
          <w:sz w:val="20"/>
          <w:szCs w:val="20"/>
        </w:rPr>
      </w:pPr>
      <w:r>
        <w:rPr>
          <w:sz w:val="20"/>
          <w:szCs w:val="20"/>
        </w:rPr>
        <w:t>J.Bunkovs</w:t>
      </w:r>
      <w:r w:rsidR="001D1B66" w:rsidRPr="00E40368">
        <w:rPr>
          <w:sz w:val="20"/>
          <w:szCs w:val="20"/>
        </w:rPr>
        <w:t>kis</w:t>
      </w:r>
    </w:p>
    <w:p w:rsidR="001D1B66" w:rsidRPr="00E40368" w:rsidRDefault="001D1B66" w:rsidP="001D1B66">
      <w:pPr>
        <w:rPr>
          <w:sz w:val="20"/>
          <w:szCs w:val="20"/>
        </w:rPr>
      </w:pPr>
      <w:r w:rsidRPr="00E40368">
        <w:rPr>
          <w:sz w:val="20"/>
          <w:szCs w:val="20"/>
        </w:rPr>
        <w:t xml:space="preserve">67013170, </w:t>
      </w:r>
      <w:hyperlink r:id="rId7" w:history="1">
        <w:r w:rsidRPr="00E40368">
          <w:rPr>
            <w:rStyle w:val="Hyperlink"/>
            <w:sz w:val="20"/>
            <w:szCs w:val="20"/>
          </w:rPr>
          <w:t>janis.bunkovskis@em.gov.lv</w:t>
        </w:r>
      </w:hyperlink>
    </w:p>
    <w:p w:rsidR="00634E3E" w:rsidRDefault="00634E3E" w:rsidP="00D751B0"/>
    <w:p w:rsidR="00634E3E" w:rsidRPr="00634E3E" w:rsidRDefault="00634E3E" w:rsidP="00634E3E"/>
    <w:p w:rsidR="00634E3E" w:rsidRPr="00634E3E" w:rsidRDefault="00634E3E" w:rsidP="00634E3E"/>
    <w:p w:rsidR="00634E3E" w:rsidRDefault="00634E3E" w:rsidP="00634E3E"/>
    <w:p w:rsidR="00634E3E" w:rsidRDefault="00634E3E" w:rsidP="00634E3E"/>
    <w:p w:rsidR="00435C4E" w:rsidRPr="00634E3E" w:rsidRDefault="00435C4E" w:rsidP="00634E3E">
      <w:pPr>
        <w:jc w:val="center"/>
      </w:pPr>
    </w:p>
    <w:sectPr w:rsidR="00435C4E" w:rsidRPr="00634E3E" w:rsidSect="000C624C">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2D" w:rsidRDefault="003E392D">
      <w:r>
        <w:separator/>
      </w:r>
    </w:p>
  </w:endnote>
  <w:endnote w:type="continuationSeparator" w:id="0">
    <w:p w:rsidR="003E392D" w:rsidRDefault="003E3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AD" w:rsidRPr="004C5B19" w:rsidRDefault="008F4302" w:rsidP="007B48AD">
    <w:pPr>
      <w:jc w:val="both"/>
      <w:rPr>
        <w:sz w:val="20"/>
        <w:szCs w:val="20"/>
      </w:rPr>
    </w:pPr>
    <w:r>
      <w:rPr>
        <w:sz w:val="20"/>
        <w:szCs w:val="20"/>
      </w:rPr>
      <w:t>EMAn</w:t>
    </w:r>
    <w:r w:rsidRPr="00607FC1">
      <w:rPr>
        <w:sz w:val="20"/>
        <w:szCs w:val="20"/>
      </w:rPr>
      <w:t>ot_</w:t>
    </w:r>
    <w:r w:rsidR="007B48AD">
      <w:rPr>
        <w:sz w:val="20"/>
        <w:szCs w:val="20"/>
      </w:rPr>
      <w:t>28</w:t>
    </w:r>
    <w:r>
      <w:rPr>
        <w:sz w:val="20"/>
        <w:szCs w:val="20"/>
      </w:rPr>
      <w:t>0311</w:t>
    </w:r>
    <w:r w:rsidRPr="00607FC1">
      <w:rPr>
        <w:sz w:val="20"/>
        <w:szCs w:val="20"/>
      </w:rPr>
      <w:t>_</w:t>
    </w:r>
    <w:r w:rsidR="007B48AD">
      <w:rPr>
        <w:sz w:val="20"/>
        <w:szCs w:val="20"/>
      </w:rPr>
      <w:t>ebbk</w:t>
    </w:r>
    <w:r w:rsidRPr="00607FC1">
      <w:rPr>
        <w:sz w:val="20"/>
        <w:szCs w:val="20"/>
      </w:rPr>
      <w:t xml:space="preserve">; </w:t>
    </w:r>
    <w:r w:rsidR="007B48AD" w:rsidRPr="004C5B19">
      <w:rPr>
        <w:sz w:val="20"/>
        <w:szCs w:val="20"/>
      </w:rPr>
      <w:t>Ministru kabineta noteikumu projekts „</w:t>
    </w:r>
    <w:r w:rsidR="007B48AD" w:rsidRPr="004C5B19">
      <w:rPr>
        <w:bCs/>
        <w:sz w:val="20"/>
        <w:szCs w:val="20"/>
      </w:rPr>
      <w:t>Grozījumi Ministru kabineta 2010.gada 1.novembra noteikumos Nr.1024 „Elektroenerģijas pārvades un sadales būvju būvniecības kārtība””</w:t>
    </w:r>
  </w:p>
  <w:p w:rsidR="008F4302" w:rsidRPr="00586FE3" w:rsidRDefault="008F4302" w:rsidP="00684126">
    <w:pPr>
      <w:pStyle w:val="Footer"/>
      <w:jc w:val="both"/>
      <w:rPr>
        <w:sz w:val="20"/>
        <w:szCs w:val="20"/>
      </w:rPr>
    </w:pPr>
  </w:p>
  <w:p w:rsidR="008F4302" w:rsidRPr="00607FC1" w:rsidRDefault="008F430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2D" w:rsidRDefault="003E392D">
      <w:r>
        <w:separator/>
      </w:r>
    </w:p>
  </w:footnote>
  <w:footnote w:type="continuationSeparator" w:id="0">
    <w:p w:rsidR="003E392D" w:rsidRDefault="003E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391"/>
      <w:docPartObj>
        <w:docPartGallery w:val="Page Numbers (Top of Page)"/>
        <w:docPartUnique/>
      </w:docPartObj>
    </w:sdtPr>
    <w:sdtContent>
      <w:p w:rsidR="008F4302" w:rsidRDefault="00D876D1">
        <w:pPr>
          <w:pStyle w:val="Header"/>
          <w:jc w:val="center"/>
        </w:pPr>
        <w:fldSimple w:instr=" PAGE   \* MERGEFORMAT ">
          <w:r w:rsidR="003E392D">
            <w:rPr>
              <w:noProof/>
            </w:rPr>
            <w:t>1</w:t>
          </w:r>
        </w:fldSimple>
      </w:p>
    </w:sdtContent>
  </w:sdt>
  <w:p w:rsidR="008F4302" w:rsidRDefault="008F4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774"/>
    <w:multiLevelType w:val="hybridMultilevel"/>
    <w:tmpl w:val="0FE65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15274"/>
    <w:rsid w:val="00023BE0"/>
    <w:rsid w:val="00025A34"/>
    <w:rsid w:val="0008083E"/>
    <w:rsid w:val="00083D0E"/>
    <w:rsid w:val="00085923"/>
    <w:rsid w:val="00092EC2"/>
    <w:rsid w:val="000A4398"/>
    <w:rsid w:val="000B2F14"/>
    <w:rsid w:val="000C3A7F"/>
    <w:rsid w:val="000C4F32"/>
    <w:rsid w:val="000C5C51"/>
    <w:rsid w:val="000C624C"/>
    <w:rsid w:val="000D1157"/>
    <w:rsid w:val="000D7D82"/>
    <w:rsid w:val="000F0035"/>
    <w:rsid w:val="0012248A"/>
    <w:rsid w:val="00131719"/>
    <w:rsid w:val="00144309"/>
    <w:rsid w:val="00146184"/>
    <w:rsid w:val="00147B5F"/>
    <w:rsid w:val="0015761D"/>
    <w:rsid w:val="00171B35"/>
    <w:rsid w:val="00183897"/>
    <w:rsid w:val="001906E1"/>
    <w:rsid w:val="001A2E8A"/>
    <w:rsid w:val="001A6C2B"/>
    <w:rsid w:val="001A72AA"/>
    <w:rsid w:val="001B4DC7"/>
    <w:rsid w:val="001D1B66"/>
    <w:rsid w:val="001F72E1"/>
    <w:rsid w:val="00212C50"/>
    <w:rsid w:val="00213A4F"/>
    <w:rsid w:val="00230712"/>
    <w:rsid w:val="0028250F"/>
    <w:rsid w:val="002830FC"/>
    <w:rsid w:val="00292262"/>
    <w:rsid w:val="002B708A"/>
    <w:rsid w:val="002D7C67"/>
    <w:rsid w:val="002E584A"/>
    <w:rsid w:val="0030164A"/>
    <w:rsid w:val="00306170"/>
    <w:rsid w:val="00322ACC"/>
    <w:rsid w:val="00325030"/>
    <w:rsid w:val="003255EE"/>
    <w:rsid w:val="00355EED"/>
    <w:rsid w:val="00377D1F"/>
    <w:rsid w:val="003861BD"/>
    <w:rsid w:val="003938D5"/>
    <w:rsid w:val="003E2004"/>
    <w:rsid w:val="003E392D"/>
    <w:rsid w:val="003F7923"/>
    <w:rsid w:val="0043460D"/>
    <w:rsid w:val="00435C4E"/>
    <w:rsid w:val="00444F36"/>
    <w:rsid w:val="00470C42"/>
    <w:rsid w:val="004A69B3"/>
    <w:rsid w:val="004A72F4"/>
    <w:rsid w:val="004A7C3C"/>
    <w:rsid w:val="004C27A3"/>
    <w:rsid w:val="004E039F"/>
    <w:rsid w:val="00510E71"/>
    <w:rsid w:val="00515281"/>
    <w:rsid w:val="00516161"/>
    <w:rsid w:val="00525153"/>
    <w:rsid w:val="005502A9"/>
    <w:rsid w:val="005706CF"/>
    <w:rsid w:val="005905EA"/>
    <w:rsid w:val="005D52E5"/>
    <w:rsid w:val="005F499B"/>
    <w:rsid w:val="00606F0F"/>
    <w:rsid w:val="00607FC1"/>
    <w:rsid w:val="0061285C"/>
    <w:rsid w:val="006153C6"/>
    <w:rsid w:val="00634E3E"/>
    <w:rsid w:val="0063700E"/>
    <w:rsid w:val="00667AC4"/>
    <w:rsid w:val="00683362"/>
    <w:rsid w:val="00684126"/>
    <w:rsid w:val="0069091D"/>
    <w:rsid w:val="00693AC9"/>
    <w:rsid w:val="006A06DE"/>
    <w:rsid w:val="006B5BA5"/>
    <w:rsid w:val="006B6539"/>
    <w:rsid w:val="006B7369"/>
    <w:rsid w:val="006C6203"/>
    <w:rsid w:val="006E4BB6"/>
    <w:rsid w:val="006E56FB"/>
    <w:rsid w:val="006F320B"/>
    <w:rsid w:val="007135F5"/>
    <w:rsid w:val="007213EE"/>
    <w:rsid w:val="00731681"/>
    <w:rsid w:val="00752EA8"/>
    <w:rsid w:val="00763CEF"/>
    <w:rsid w:val="00764D5D"/>
    <w:rsid w:val="00774214"/>
    <w:rsid w:val="007A2129"/>
    <w:rsid w:val="007A4CFE"/>
    <w:rsid w:val="007A7613"/>
    <w:rsid w:val="007B48AD"/>
    <w:rsid w:val="007F11D4"/>
    <w:rsid w:val="00814312"/>
    <w:rsid w:val="008323C5"/>
    <w:rsid w:val="00840817"/>
    <w:rsid w:val="00871475"/>
    <w:rsid w:val="008932A5"/>
    <w:rsid w:val="0089380C"/>
    <w:rsid w:val="008A2240"/>
    <w:rsid w:val="008A3446"/>
    <w:rsid w:val="008C222E"/>
    <w:rsid w:val="008C3516"/>
    <w:rsid w:val="008D6852"/>
    <w:rsid w:val="008F4302"/>
    <w:rsid w:val="008F7768"/>
    <w:rsid w:val="00911250"/>
    <w:rsid w:val="009352A5"/>
    <w:rsid w:val="00944E33"/>
    <w:rsid w:val="00946975"/>
    <w:rsid w:val="0095727B"/>
    <w:rsid w:val="009622AF"/>
    <w:rsid w:val="009B086A"/>
    <w:rsid w:val="009B0D25"/>
    <w:rsid w:val="00A45F8E"/>
    <w:rsid w:val="00A57332"/>
    <w:rsid w:val="00A75B93"/>
    <w:rsid w:val="00AA2F10"/>
    <w:rsid w:val="00AB29EA"/>
    <w:rsid w:val="00AD12E3"/>
    <w:rsid w:val="00AE2232"/>
    <w:rsid w:val="00B21B97"/>
    <w:rsid w:val="00B27AAD"/>
    <w:rsid w:val="00B3519B"/>
    <w:rsid w:val="00B56B89"/>
    <w:rsid w:val="00B64DF5"/>
    <w:rsid w:val="00B8600D"/>
    <w:rsid w:val="00B91CA0"/>
    <w:rsid w:val="00BD4304"/>
    <w:rsid w:val="00C15728"/>
    <w:rsid w:val="00C52054"/>
    <w:rsid w:val="00C63108"/>
    <w:rsid w:val="00CA4C33"/>
    <w:rsid w:val="00CA6B76"/>
    <w:rsid w:val="00CB4654"/>
    <w:rsid w:val="00D04B59"/>
    <w:rsid w:val="00D34BD0"/>
    <w:rsid w:val="00D35394"/>
    <w:rsid w:val="00D751B0"/>
    <w:rsid w:val="00D85761"/>
    <w:rsid w:val="00D876D1"/>
    <w:rsid w:val="00DB08E1"/>
    <w:rsid w:val="00DC7B61"/>
    <w:rsid w:val="00DD528A"/>
    <w:rsid w:val="00DF02C2"/>
    <w:rsid w:val="00E40368"/>
    <w:rsid w:val="00E47D16"/>
    <w:rsid w:val="00E6657E"/>
    <w:rsid w:val="00EC4F25"/>
    <w:rsid w:val="00ED708F"/>
    <w:rsid w:val="00EE1FDB"/>
    <w:rsid w:val="00EE2530"/>
    <w:rsid w:val="00F00EF6"/>
    <w:rsid w:val="00F17D87"/>
    <w:rsid w:val="00F20DA3"/>
    <w:rsid w:val="00F25D11"/>
    <w:rsid w:val="00F25D4D"/>
    <w:rsid w:val="00F3698F"/>
    <w:rsid w:val="00F40385"/>
    <w:rsid w:val="00F421D7"/>
    <w:rsid w:val="00F54A75"/>
    <w:rsid w:val="00F813D1"/>
    <w:rsid w:val="00F87FA1"/>
    <w:rsid w:val="00FB4700"/>
    <w:rsid w:val="00FD02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paragraph" w:styleId="Heading4">
    <w:name w:val="heading 4"/>
    <w:basedOn w:val="Normal"/>
    <w:next w:val="Normal"/>
    <w:link w:val="Heading4Char"/>
    <w:semiHidden/>
    <w:unhideWhenUsed/>
    <w:qFormat/>
    <w:rsid w:val="00763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customStyle="1" w:styleId="Style7">
    <w:name w:val="Style7"/>
    <w:basedOn w:val="Heading4"/>
    <w:autoRedefine/>
    <w:rsid w:val="00763CEF"/>
    <w:pPr>
      <w:keepLines w:val="0"/>
      <w:spacing w:before="120" w:after="60"/>
    </w:pPr>
    <w:rPr>
      <w:rFonts w:ascii="Times New Roman" w:eastAsia="Times New Roman" w:hAnsi="Times New Roman" w:cs="Times New Roman"/>
      <w:iCs w:val="0"/>
      <w:color w:val="auto"/>
      <w:sz w:val="20"/>
      <w:szCs w:val="28"/>
    </w:rPr>
  </w:style>
  <w:style w:type="character" w:styleId="Strong">
    <w:name w:val="Strong"/>
    <w:basedOn w:val="DefaultParagraphFont"/>
    <w:qFormat/>
    <w:rsid w:val="00763CEF"/>
    <w:rPr>
      <w:b/>
      <w:bCs/>
    </w:rPr>
  </w:style>
  <w:style w:type="character" w:customStyle="1" w:styleId="Heading4Char">
    <w:name w:val="Heading 4 Char"/>
    <w:basedOn w:val="DefaultParagraphFont"/>
    <w:link w:val="Heading4"/>
    <w:semiHidden/>
    <w:rsid w:val="00763CEF"/>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B086A"/>
    <w:pPr>
      <w:ind w:left="720"/>
      <w:contextualSpacing/>
    </w:pPr>
  </w:style>
</w:styles>
</file>

<file path=word/webSettings.xml><?xml version="1.0" encoding="utf-8"?>
<w:webSettings xmlns:r="http://schemas.openxmlformats.org/officeDocument/2006/relationships" xmlns:w="http://schemas.openxmlformats.org/wordprocessingml/2006/main">
  <w:divs>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bunkovski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4050</Words>
  <Characters>2309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1.novembra noteikumos Nr.1024 „Elektroenerģijas pārvades un sadales būvju būvniecības kārtība” sākotnējās ietekmes novērtējuma ziņojums </vt:lpstr>
    </vt:vector>
  </TitlesOfParts>
  <Company>Ārlietu ministrija</Company>
  <LinksUpToDate>false</LinksUpToDate>
  <CharactersWithSpaces>6347</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1.novembra noteikumos Nr.1024 „Elektroenerģijas pārvades un sadales būvju būvniecības kārtība” sākotnējās ietekmes novērtējuma ziņojums </dc:title>
  <dc:subject>Sākotnējās ietekmes novērtējuma ziņotājs (anotācija)</dc:subject>
  <dc:creator>Jānis Bunkovskis</dc:creator>
  <cp:keywords/>
  <dc:description>janis.bunkovskis@em.gov.lv
67013170</dc:description>
  <cp:lastModifiedBy>BunkovskisJ</cp:lastModifiedBy>
  <cp:revision>8</cp:revision>
  <cp:lastPrinted>2011-03-03T08:10:00Z</cp:lastPrinted>
  <dcterms:created xsi:type="dcterms:W3CDTF">2011-03-25T12:56:00Z</dcterms:created>
  <dcterms:modified xsi:type="dcterms:W3CDTF">2011-03-28T13:24:00Z</dcterms:modified>
</cp:coreProperties>
</file>