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Pr="00941FC7" w:rsidRDefault="00BB09C5" w:rsidP="00941FC7">
      <w:pPr>
        <w:pStyle w:val="BodyText"/>
        <w:spacing w:after="240"/>
        <w:jc w:val="center"/>
        <w:rPr>
          <w:b/>
          <w:szCs w:val="28"/>
        </w:rPr>
      </w:pPr>
      <w:bookmarkStart w:id="0" w:name="OLE_LINK3"/>
      <w:bookmarkStart w:id="1" w:name="OLE_LINK1"/>
      <w:bookmarkStart w:id="2" w:name="OLE_LINK2"/>
      <w:r w:rsidRPr="00941FC7">
        <w:rPr>
          <w:b/>
          <w:szCs w:val="28"/>
        </w:rPr>
        <w:t>Ministru kabineta rīkojuma projekta „</w:t>
      </w:r>
      <w:r w:rsidR="00E40582">
        <w:rPr>
          <w:b/>
          <w:szCs w:val="28"/>
        </w:rPr>
        <w:t xml:space="preserve">Par valsts </w:t>
      </w:r>
      <w:r w:rsidR="0052676F" w:rsidRPr="00941FC7">
        <w:rPr>
          <w:b/>
          <w:szCs w:val="28"/>
        </w:rPr>
        <w:t xml:space="preserve">īpašuma </w:t>
      </w:r>
      <w:r w:rsidR="00E40582">
        <w:rPr>
          <w:b/>
          <w:szCs w:val="28"/>
        </w:rPr>
        <w:t xml:space="preserve">objekta </w:t>
      </w:r>
      <w:proofErr w:type="spellStart"/>
      <w:r w:rsidR="0052676F" w:rsidRPr="00941FC7">
        <w:rPr>
          <w:b/>
          <w:szCs w:val="28"/>
        </w:rPr>
        <w:t>Šampētera</w:t>
      </w:r>
      <w:proofErr w:type="spellEnd"/>
      <w:r w:rsidR="0052676F" w:rsidRPr="00941FC7">
        <w:rPr>
          <w:b/>
          <w:szCs w:val="28"/>
        </w:rPr>
        <w:t xml:space="preserve"> ielā 17A, Rīgā nodošanu privatizācijai</w:t>
      </w:r>
      <w:r w:rsidRPr="00941FC7">
        <w:rPr>
          <w:b/>
          <w:szCs w:val="28"/>
        </w:rPr>
        <w:t xml:space="preserve">” </w:t>
      </w:r>
      <w:r w:rsidR="00941FC7" w:rsidRPr="00941FC7">
        <w:rPr>
          <w:b/>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2599"/>
        <w:gridCol w:w="5967"/>
      </w:tblGrid>
      <w:tr w:rsidR="00941FC7" w:rsidRPr="0097106D" w:rsidTr="00941FC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I. Tiesību akta projekta izstrādes nepieciešamība</w:t>
            </w:r>
          </w:p>
        </w:tc>
      </w:tr>
      <w:tr w:rsidR="00941FC7" w:rsidRPr="0097106D" w:rsidTr="00941FC7">
        <w:trPr>
          <w:trHeight w:val="630"/>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1.</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Pamatojums</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spacing w:after="120"/>
              <w:ind w:firstLine="720"/>
              <w:jc w:val="both"/>
              <w:rPr>
                <w:sz w:val="28"/>
                <w:szCs w:val="28"/>
                <w:lang w:val="lv-LV"/>
              </w:rPr>
            </w:pPr>
            <w:r w:rsidRPr="00941FC7">
              <w:rPr>
                <w:sz w:val="28"/>
                <w:szCs w:val="28"/>
                <w:lang w:val="lv-LV"/>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941FC7" w:rsidRPr="00941FC7" w:rsidRDefault="00941FC7" w:rsidP="007E3DBD">
            <w:pPr>
              <w:spacing w:after="120"/>
              <w:ind w:firstLine="720"/>
              <w:jc w:val="both"/>
              <w:rPr>
                <w:sz w:val="28"/>
                <w:szCs w:val="28"/>
                <w:lang w:val="lv-LV"/>
              </w:rPr>
            </w:pPr>
            <w:r w:rsidRPr="00941FC7">
              <w:rPr>
                <w:sz w:val="28"/>
                <w:szCs w:val="28"/>
                <w:lang w:val="lv-LV"/>
              </w:rPr>
              <w:t xml:space="preserve">Saskaņā ar likuma 12.panta trešo daļu un Valsts un pašvaldību īpašuma privatizācijas un privatizācijas sertifikātu izmantošanas pabeigšanas likuma </w:t>
            </w:r>
            <w:r w:rsidR="004E4456">
              <w:rPr>
                <w:sz w:val="28"/>
                <w:szCs w:val="28"/>
                <w:lang w:val="lv-LV"/>
              </w:rPr>
              <w:t xml:space="preserve">(turpmāk – Pabeigšanas likums) </w:t>
            </w:r>
            <w:r w:rsidRPr="00941FC7">
              <w:rPr>
                <w:sz w:val="28"/>
                <w:szCs w:val="28"/>
                <w:lang w:val="lv-LV"/>
              </w:rPr>
              <w:t>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941FC7" w:rsidRPr="00941FC7" w:rsidRDefault="00941FC7" w:rsidP="007E3DBD">
            <w:pPr>
              <w:spacing w:after="120"/>
              <w:ind w:firstLine="720"/>
              <w:jc w:val="both"/>
              <w:rPr>
                <w:sz w:val="28"/>
                <w:szCs w:val="28"/>
                <w:lang w:val="lv-LV"/>
              </w:rPr>
            </w:pPr>
            <w:r w:rsidRPr="00941FC7">
              <w:rPr>
                <w:sz w:val="28"/>
                <w:szCs w:val="28"/>
                <w:lang w:val="lv-LV"/>
              </w:rPr>
              <w:t>Ekonomikas ministrija, atbilstoši Ministru kabineta 2009.gada 7.aprīļa noteikumiem Nr.300 “Ministru kabineta kārtības rullis”, nodrošina attiecīgā Ministru kabineta rīkojuma projekta iesniegšanu izskatīšanai Ministru kabineta sēdē.</w:t>
            </w:r>
          </w:p>
          <w:p w:rsidR="00941FC7" w:rsidRPr="00941FC7" w:rsidRDefault="00941FC7" w:rsidP="007E3DBD">
            <w:pPr>
              <w:spacing w:after="120"/>
              <w:ind w:firstLine="720"/>
              <w:jc w:val="both"/>
              <w:rPr>
                <w:sz w:val="28"/>
                <w:szCs w:val="28"/>
                <w:lang w:val="lv-LV"/>
              </w:rPr>
            </w:pPr>
            <w:r w:rsidRPr="00941FC7">
              <w:rPr>
                <w:sz w:val="28"/>
                <w:szCs w:val="28"/>
                <w:lang w:val="lv-LV"/>
              </w:rPr>
              <w:t xml:space="preserve">Pamatojoties uz likuma 12.panta pirmo, ceturto un sesto daļu, </w:t>
            </w:r>
            <w:r w:rsidR="004E4456">
              <w:rPr>
                <w:sz w:val="28"/>
                <w:szCs w:val="28"/>
                <w:lang w:val="lv-LV"/>
              </w:rPr>
              <w:t>P</w:t>
            </w:r>
            <w:r w:rsidRPr="00941FC7">
              <w:rPr>
                <w:sz w:val="28"/>
                <w:szCs w:val="28"/>
                <w:lang w:val="lv-LV"/>
              </w:rPr>
              <w:t xml:space="preserve">abeigšanas likuma 6.panta piekto daļu, tikai Ministru kabinets var pieņemt lēmumu par valsts īpašuma objektu nodošanu privatizācijai vai atteikumu nodot privatizācijai, iespējams vienlaicīgi nosakot atsevišķus valsts īpašuma objekta privatizācijas nosacījumus. </w:t>
            </w:r>
          </w:p>
          <w:p w:rsidR="00941FC7" w:rsidRPr="00941FC7" w:rsidRDefault="00941FC7" w:rsidP="007E3DBD">
            <w:pPr>
              <w:spacing w:after="120"/>
              <w:ind w:firstLine="720"/>
              <w:jc w:val="both"/>
              <w:rPr>
                <w:sz w:val="28"/>
                <w:szCs w:val="28"/>
                <w:lang w:val="lv-LV"/>
              </w:rPr>
            </w:pPr>
            <w:r w:rsidRPr="00941FC7">
              <w:rPr>
                <w:sz w:val="28"/>
                <w:szCs w:val="28"/>
                <w:lang w:val="lv-LV"/>
              </w:rPr>
              <w:t>Pamatojoties uz Administratīvā procesa likuma 51.pantu un 56.panta pirmo daļu, ar saņemtā privatizācijas ierosinājuma reģistrācijas brīdi ir ierosināta administratīvā lieta un to jāizskata iestādei atbilstoši savai kompetencei.</w:t>
            </w:r>
          </w:p>
          <w:p w:rsidR="00941FC7" w:rsidRPr="00941FC7" w:rsidRDefault="00941FC7" w:rsidP="007E3DBD">
            <w:pPr>
              <w:spacing w:after="120"/>
              <w:ind w:firstLine="720"/>
              <w:jc w:val="both"/>
              <w:rPr>
                <w:sz w:val="28"/>
                <w:szCs w:val="28"/>
                <w:lang w:val="lv-LV"/>
              </w:rPr>
            </w:pPr>
            <w:r w:rsidRPr="00941FC7">
              <w:rPr>
                <w:sz w:val="28"/>
                <w:szCs w:val="28"/>
                <w:lang w:val="lv-LV"/>
              </w:rPr>
              <w:lastRenderedPageBreak/>
              <w:t>Līdz ar to, Privatizācijas aģentūrai un Ekonomikas ministrijai savas kompetences ietvaros ir pienākums nodrošināt Ministru kabineta rīkojuma projekta par konkrētu valsts īpašuma objektu nodošanu privatizācijai vai atteikumu nodot privatizācijai, kas izstrādāts pamatojoties uz privatizācijas ierosinājumiem, iesniegšanu Ministru kabinetam izlemšanai.</w:t>
            </w:r>
          </w:p>
          <w:p w:rsidR="00941FC7" w:rsidRPr="00941FC7" w:rsidRDefault="00941FC7" w:rsidP="007E3DBD">
            <w:pPr>
              <w:spacing w:after="120"/>
              <w:ind w:firstLine="720"/>
              <w:jc w:val="both"/>
              <w:rPr>
                <w:sz w:val="28"/>
                <w:szCs w:val="28"/>
                <w:lang w:val="lv-LV"/>
              </w:rPr>
            </w:pPr>
            <w:r w:rsidRPr="00941FC7">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941FC7" w:rsidRPr="0097106D" w:rsidTr="00941FC7">
        <w:trPr>
          <w:trHeight w:val="472"/>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2.</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Pašreizējā situācija un problēmas</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spacing w:after="120"/>
              <w:ind w:firstLine="720"/>
              <w:jc w:val="both"/>
              <w:rPr>
                <w:b/>
                <w:bCs/>
                <w:sz w:val="28"/>
                <w:lang w:val="lv-LV"/>
              </w:rPr>
            </w:pPr>
            <w:r w:rsidRPr="00941FC7">
              <w:rPr>
                <w:b/>
                <w:bCs/>
                <w:sz w:val="28"/>
                <w:lang w:val="lv-LV"/>
              </w:rPr>
              <w:t>1. Nekustamā īpašuma sastāvs</w:t>
            </w:r>
          </w:p>
          <w:p w:rsidR="00941FC7" w:rsidRPr="00941FC7" w:rsidRDefault="00941FC7" w:rsidP="007E3DBD">
            <w:pPr>
              <w:spacing w:after="120"/>
              <w:ind w:firstLine="720"/>
              <w:jc w:val="both"/>
              <w:rPr>
                <w:sz w:val="28"/>
                <w:lang w:val="lv-LV"/>
              </w:rPr>
            </w:pPr>
            <w:r w:rsidRPr="00941FC7">
              <w:rPr>
                <w:sz w:val="28"/>
                <w:lang w:val="lv-LV"/>
              </w:rPr>
              <w:t>Nekustamais īpašums (nekustamā īpašuma kadastra Nr.0100 076 0233)</w:t>
            </w:r>
            <w:r w:rsidR="004E4456">
              <w:rPr>
                <w:sz w:val="28"/>
                <w:lang w:val="lv-LV"/>
              </w:rPr>
              <w:t xml:space="preserve"> </w:t>
            </w:r>
            <w:proofErr w:type="spellStart"/>
            <w:r w:rsidR="004E4456">
              <w:rPr>
                <w:sz w:val="28"/>
                <w:lang w:val="lv-LV"/>
              </w:rPr>
              <w:t>Šampētera</w:t>
            </w:r>
            <w:proofErr w:type="spellEnd"/>
            <w:r w:rsidR="004E4456">
              <w:rPr>
                <w:sz w:val="28"/>
                <w:lang w:val="lv-LV"/>
              </w:rPr>
              <w:t xml:space="preserve"> ielā 17A, Rīgā</w:t>
            </w:r>
            <w:r w:rsidRPr="00941FC7">
              <w:rPr>
                <w:sz w:val="28"/>
                <w:lang w:val="lv-LV"/>
              </w:rPr>
              <w:t xml:space="preserve"> sastāv no vienas zemes vienības 4112 m</w:t>
            </w:r>
            <w:r w:rsidRPr="00941FC7">
              <w:rPr>
                <w:sz w:val="28"/>
                <w:vertAlign w:val="superscript"/>
                <w:lang w:val="lv-LV"/>
              </w:rPr>
              <w:t>2</w:t>
            </w:r>
            <w:r w:rsidRPr="00941FC7">
              <w:rPr>
                <w:sz w:val="28"/>
                <w:lang w:val="lv-LV"/>
              </w:rPr>
              <w:t xml:space="preserve"> platībā un divām būvēm (būvju kadastra apzīmējumi 0100 076 0233 005 un 0100 076 0233 006) saskaņā ar Valsts zemes dienesta Kadastra Reģistra datiem.</w:t>
            </w:r>
          </w:p>
          <w:p w:rsidR="00941FC7" w:rsidRPr="00941FC7" w:rsidRDefault="00941FC7" w:rsidP="007E3DBD">
            <w:pPr>
              <w:spacing w:after="120"/>
              <w:ind w:firstLine="720"/>
              <w:jc w:val="both"/>
              <w:rPr>
                <w:b/>
                <w:bCs/>
                <w:sz w:val="28"/>
                <w:lang w:val="lv-LV"/>
              </w:rPr>
            </w:pPr>
            <w:r w:rsidRPr="00941FC7">
              <w:rPr>
                <w:b/>
                <w:bCs/>
                <w:sz w:val="28"/>
                <w:lang w:val="lv-LV"/>
              </w:rPr>
              <w:t>2. Īpašuma tiesības</w:t>
            </w:r>
          </w:p>
          <w:p w:rsidR="00941FC7" w:rsidRPr="00941FC7" w:rsidRDefault="00941FC7" w:rsidP="007E3DBD">
            <w:pPr>
              <w:spacing w:after="120"/>
              <w:ind w:firstLine="720"/>
              <w:jc w:val="both"/>
              <w:rPr>
                <w:sz w:val="28"/>
                <w:lang w:val="lv-LV"/>
              </w:rPr>
            </w:pPr>
            <w:r w:rsidRPr="00941FC7">
              <w:rPr>
                <w:sz w:val="28"/>
                <w:lang w:val="lv-LV"/>
              </w:rPr>
              <w:t>Zemesgabals 4112 m</w:t>
            </w:r>
            <w:r w:rsidRPr="00941FC7">
              <w:rPr>
                <w:sz w:val="28"/>
                <w:vertAlign w:val="superscript"/>
                <w:lang w:val="lv-LV"/>
              </w:rPr>
              <w:t>2</w:t>
            </w:r>
            <w:r w:rsidRPr="00941FC7">
              <w:rPr>
                <w:sz w:val="28"/>
                <w:lang w:val="lv-LV"/>
              </w:rPr>
              <w:t xml:space="preserve"> platībā </w:t>
            </w:r>
            <w:proofErr w:type="spellStart"/>
            <w:r w:rsidRPr="00941FC7">
              <w:rPr>
                <w:sz w:val="28"/>
                <w:lang w:val="lv-LV"/>
              </w:rPr>
              <w:t>Šampētera</w:t>
            </w:r>
            <w:proofErr w:type="spellEnd"/>
            <w:r w:rsidRPr="00941FC7">
              <w:rPr>
                <w:sz w:val="28"/>
                <w:lang w:val="lv-LV"/>
              </w:rPr>
              <w:t xml:space="preserve"> ielā 17A, Rīgā reģistrēts 2000.gada 2.novembrī Rīgas pilsētas zemesgrāmatas nodalījumā Nr.28375 ar kadastra Nr.0100 076 0233 uz Latvijas valsts vārda Finanšu ministrijas personā. Saskaņā a</w:t>
            </w:r>
            <w:r w:rsidR="00F62F89">
              <w:rPr>
                <w:sz w:val="28"/>
                <w:lang w:val="lv-LV"/>
              </w:rPr>
              <w:t xml:space="preserve">r Kadastra informācijas datiem un Civillikuma 968.pantu, </w:t>
            </w:r>
            <w:r w:rsidRPr="00941FC7">
              <w:rPr>
                <w:sz w:val="28"/>
                <w:lang w:val="lv-LV"/>
              </w:rPr>
              <w:t>uz zemesgabala atrodas divas valstij piekrītošas būves.</w:t>
            </w:r>
          </w:p>
          <w:p w:rsidR="00941FC7" w:rsidRPr="00941FC7" w:rsidRDefault="00941FC7" w:rsidP="007E3DBD">
            <w:pPr>
              <w:spacing w:after="120"/>
              <w:ind w:firstLine="720"/>
              <w:jc w:val="both"/>
              <w:rPr>
                <w:sz w:val="28"/>
                <w:lang w:val="lv-LV"/>
              </w:rPr>
            </w:pPr>
            <w:r w:rsidRPr="00941FC7">
              <w:rPr>
                <w:b/>
                <w:sz w:val="28"/>
                <w:lang w:val="lv-LV"/>
              </w:rPr>
              <w:t xml:space="preserve">4. Privatizācijas ierosinātājs – </w:t>
            </w:r>
            <w:r w:rsidRPr="00941FC7">
              <w:rPr>
                <w:sz w:val="28"/>
                <w:lang w:val="lv-LV"/>
              </w:rPr>
              <w:t xml:space="preserve">Anatols </w:t>
            </w:r>
            <w:proofErr w:type="spellStart"/>
            <w:r w:rsidRPr="00941FC7">
              <w:rPr>
                <w:sz w:val="28"/>
                <w:lang w:val="lv-LV"/>
              </w:rPr>
              <w:t>Gatčenko</w:t>
            </w:r>
            <w:proofErr w:type="spellEnd"/>
            <w:r w:rsidRPr="00941FC7">
              <w:rPr>
                <w:sz w:val="28"/>
                <w:lang w:val="lv-LV"/>
              </w:rPr>
              <w:t xml:space="preserve">. Ierosinājums par valsts īpašuma objekta </w:t>
            </w:r>
            <w:proofErr w:type="spellStart"/>
            <w:r w:rsidRPr="00941FC7">
              <w:rPr>
                <w:sz w:val="28"/>
                <w:lang w:val="lv-LV"/>
              </w:rPr>
              <w:t>Šampētera</w:t>
            </w:r>
            <w:proofErr w:type="spellEnd"/>
            <w:r w:rsidRPr="00941FC7">
              <w:rPr>
                <w:sz w:val="28"/>
                <w:lang w:val="lv-LV"/>
              </w:rPr>
              <w:t xml:space="preserve"> ielā 17A, Rīgā (kadastra Nr.0100 076 0233) nodošanu privatizācijai Privatizācijas aģentūrā saņemts 2006.gada 28.augustā un reģistrēts Privatizācijas ierosinājumu reģistrā ar Nr.1.340.</w:t>
            </w:r>
          </w:p>
          <w:p w:rsidR="00941FC7" w:rsidRPr="00941FC7" w:rsidRDefault="00941FC7" w:rsidP="007E3DBD">
            <w:pPr>
              <w:spacing w:after="120"/>
              <w:ind w:firstLine="720"/>
              <w:jc w:val="both"/>
              <w:rPr>
                <w:b/>
                <w:bCs/>
                <w:sz w:val="28"/>
                <w:lang w:val="lv-LV"/>
              </w:rPr>
            </w:pPr>
            <w:r w:rsidRPr="00941FC7">
              <w:rPr>
                <w:b/>
                <w:bCs/>
                <w:sz w:val="28"/>
                <w:lang w:val="lv-LV"/>
              </w:rPr>
              <w:t>5. Nekustamā īpašuma valdītājs</w:t>
            </w:r>
          </w:p>
          <w:p w:rsidR="00941FC7" w:rsidRPr="00941FC7" w:rsidRDefault="00941FC7" w:rsidP="007E3DBD">
            <w:pPr>
              <w:spacing w:after="120"/>
              <w:ind w:firstLine="720"/>
              <w:jc w:val="both"/>
              <w:rPr>
                <w:sz w:val="28"/>
                <w:lang w:val="lv-LV"/>
              </w:rPr>
            </w:pPr>
            <w:r w:rsidRPr="00941FC7">
              <w:rPr>
                <w:sz w:val="28"/>
                <w:lang w:val="lv-LV"/>
              </w:rPr>
              <w:t>Finanšu ministrija.</w:t>
            </w:r>
          </w:p>
          <w:p w:rsidR="00941FC7" w:rsidRPr="00941FC7" w:rsidRDefault="00941FC7" w:rsidP="007E3DBD">
            <w:pPr>
              <w:spacing w:after="120"/>
              <w:ind w:firstLine="720"/>
              <w:jc w:val="both"/>
              <w:rPr>
                <w:b/>
                <w:bCs/>
                <w:sz w:val="28"/>
                <w:lang w:val="lv-LV"/>
              </w:rPr>
            </w:pPr>
            <w:r w:rsidRPr="00941FC7">
              <w:rPr>
                <w:b/>
                <w:bCs/>
                <w:sz w:val="28"/>
                <w:lang w:val="lv-LV"/>
              </w:rPr>
              <w:t>6. Noma</w:t>
            </w:r>
          </w:p>
          <w:p w:rsidR="00941FC7" w:rsidRPr="00941FC7" w:rsidRDefault="00941FC7" w:rsidP="007E3DBD">
            <w:pPr>
              <w:spacing w:after="120"/>
              <w:ind w:firstLine="720"/>
              <w:jc w:val="both"/>
              <w:rPr>
                <w:sz w:val="28"/>
                <w:lang w:val="lv-LV"/>
              </w:rPr>
            </w:pPr>
            <w:r w:rsidRPr="00941FC7">
              <w:rPr>
                <w:sz w:val="28"/>
                <w:lang w:val="lv-LV"/>
              </w:rPr>
              <w:lastRenderedPageBreak/>
              <w:t>Iznomāta zeme.</w:t>
            </w:r>
          </w:p>
          <w:p w:rsidR="00941FC7" w:rsidRPr="00941FC7" w:rsidRDefault="00941FC7" w:rsidP="007E3DBD">
            <w:pPr>
              <w:spacing w:after="120"/>
              <w:ind w:firstLine="720"/>
              <w:jc w:val="both"/>
              <w:rPr>
                <w:sz w:val="28"/>
                <w:lang w:val="lv-LV"/>
              </w:rPr>
            </w:pPr>
            <w:r w:rsidRPr="00941FC7">
              <w:rPr>
                <w:sz w:val="28"/>
                <w:lang w:val="lv-LV"/>
              </w:rPr>
              <w:t>2007.gada 24.aprīlī starp valsts akciju sabiedrību „Valsts nekustamie īpašumi” un sabiedrību ar ierobežotu atbildību „RBSSKALS Alfa Investīcijas” noslēgts nomas līgums Nr.2454-Z/2 par zemesgabala 4112m</w:t>
            </w:r>
            <w:r w:rsidRPr="00941FC7">
              <w:rPr>
                <w:sz w:val="28"/>
                <w:vertAlign w:val="superscript"/>
                <w:lang w:val="lv-LV"/>
              </w:rPr>
              <w:t>2</w:t>
            </w:r>
            <w:r w:rsidRPr="00941FC7">
              <w:rPr>
                <w:sz w:val="28"/>
                <w:lang w:val="lv-LV"/>
              </w:rPr>
              <w:t xml:space="preserve"> platībā Rīgā</w:t>
            </w:r>
            <w:r w:rsidR="00DB6457">
              <w:rPr>
                <w:sz w:val="28"/>
                <w:lang w:val="lv-LV"/>
              </w:rPr>
              <w:t>,</w:t>
            </w:r>
            <w:r w:rsidRPr="00941FC7">
              <w:rPr>
                <w:sz w:val="28"/>
                <w:lang w:val="lv-LV"/>
              </w:rPr>
              <w:t xml:space="preserve"> </w:t>
            </w:r>
            <w:proofErr w:type="spellStart"/>
            <w:r w:rsidRPr="00941FC7">
              <w:rPr>
                <w:sz w:val="28"/>
                <w:lang w:val="lv-LV"/>
              </w:rPr>
              <w:t>Šampētera</w:t>
            </w:r>
            <w:proofErr w:type="spellEnd"/>
            <w:r w:rsidRPr="00941FC7">
              <w:rPr>
                <w:sz w:val="28"/>
                <w:lang w:val="lv-LV"/>
              </w:rPr>
              <w:t xml:space="preserve"> ielā 17A nomu uz laiku līdz 2019.gada 31.martam ar nomas maksu </w:t>
            </w:r>
            <w:smartTag w:uri="schemas-tilde-lv/tildestengine" w:element="currency2">
              <w:smartTagPr>
                <w:attr w:name="currency_text" w:val="Ls"/>
                <w:attr w:name="currency_value" w:val="155.34"/>
                <w:attr w:name="currency_key" w:val="LVL"/>
                <w:attr w:name="currency_id" w:val="48"/>
              </w:smartTagPr>
              <w:r w:rsidRPr="00941FC7">
                <w:rPr>
                  <w:sz w:val="28"/>
                  <w:lang w:val="lv-LV"/>
                </w:rPr>
                <w:t>Ls155,34</w:t>
              </w:r>
            </w:smartTag>
            <w:r w:rsidRPr="00941FC7">
              <w:rPr>
                <w:sz w:val="28"/>
                <w:lang w:val="lv-LV"/>
              </w:rPr>
              <w:t xml:space="preserve"> + PVN ceturksnī. Nomas līgums 2007.gada 24.aprīlī reģistrēts valsts akciju sabiedrībā „Valsts nekustamie īpašumi” ar Nr.2454-Z/2. Nomas tiesības 2007.gada 21.augustā nostiprinātas Rīgas pilsētas zemesgrāmatas nodalījumā Nr.28375.</w:t>
            </w:r>
          </w:p>
          <w:p w:rsidR="00941FC7" w:rsidRPr="00941FC7" w:rsidRDefault="00941FC7" w:rsidP="007E3DBD">
            <w:pPr>
              <w:spacing w:after="120"/>
              <w:ind w:firstLine="720"/>
              <w:jc w:val="both"/>
              <w:rPr>
                <w:b/>
                <w:bCs/>
                <w:sz w:val="28"/>
                <w:lang w:val="lv-LV"/>
              </w:rPr>
            </w:pPr>
            <w:r w:rsidRPr="00941FC7">
              <w:rPr>
                <w:b/>
                <w:bCs/>
                <w:sz w:val="28"/>
                <w:lang w:val="lv-LV"/>
              </w:rPr>
              <w:t>7. Pirmpirkuma tiesības</w:t>
            </w:r>
          </w:p>
          <w:p w:rsidR="00941FC7" w:rsidRPr="00941FC7" w:rsidRDefault="00941FC7" w:rsidP="007E3DBD">
            <w:pPr>
              <w:spacing w:after="120"/>
              <w:ind w:firstLine="720"/>
              <w:jc w:val="both"/>
              <w:rPr>
                <w:sz w:val="28"/>
                <w:lang w:val="lv-LV"/>
              </w:rPr>
            </w:pPr>
            <w:r w:rsidRPr="00941FC7">
              <w:rPr>
                <w:sz w:val="28"/>
                <w:lang w:val="lv-LV"/>
              </w:rPr>
              <w:t>Saskaņā ar Privatizācijas likuma 17.panta pirmās daļas 2.punktu nekustamā īpašuma nomniekam var tikt atzītas pirmpirkuma tiesības, ja tas nomā visu objektu ilgāk par gadu, nomas līgums reģistrēts likumā noteiktā kārtībā un nomniekam nav nomas maksas parādu.</w:t>
            </w:r>
          </w:p>
          <w:p w:rsidR="00941FC7" w:rsidRPr="00941FC7" w:rsidRDefault="00941FC7" w:rsidP="007E3DBD">
            <w:pPr>
              <w:spacing w:after="120"/>
              <w:ind w:firstLine="720"/>
              <w:jc w:val="both"/>
              <w:rPr>
                <w:b/>
                <w:bCs/>
                <w:sz w:val="28"/>
                <w:lang w:val="lv-LV"/>
              </w:rPr>
            </w:pPr>
            <w:r w:rsidRPr="00941FC7">
              <w:rPr>
                <w:b/>
                <w:bCs/>
                <w:sz w:val="28"/>
                <w:lang w:val="lv-LV"/>
              </w:rPr>
              <w:t>8. Nodošana privatizācijai</w:t>
            </w:r>
          </w:p>
          <w:p w:rsidR="00941FC7" w:rsidRPr="00DE01A2" w:rsidRDefault="00941FC7" w:rsidP="007E3DBD">
            <w:pPr>
              <w:spacing w:after="120"/>
              <w:ind w:firstLine="720"/>
              <w:jc w:val="both"/>
              <w:rPr>
                <w:sz w:val="28"/>
                <w:lang w:val="lv-LV"/>
              </w:rPr>
            </w:pPr>
            <w:r w:rsidRPr="00941FC7">
              <w:rPr>
                <w:sz w:val="28"/>
                <w:lang w:val="lv-LV"/>
              </w:rPr>
              <w:t>Valsts akciju sabiedrība „Valsts nekustamie īpašumi” 2007.gada 24.septembra vēstulē Nr.02-4/16428 informē, ka saskaņā ar nomas līguma 5.10.apakšpunktu nomniekam jālegalizē uz zemesgabala esošās būves un jāiereģistrē tās zemesgrāmatā uz valsts vārda.</w:t>
            </w:r>
          </w:p>
        </w:tc>
      </w:tr>
      <w:tr w:rsidR="00941FC7" w:rsidRPr="00941FC7" w:rsidTr="00941FC7">
        <w:trPr>
          <w:trHeight w:val="1071"/>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3.</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Saistītie politikas ietekmes novērtējumi un pētījumi</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spacing w:after="240"/>
              <w:ind w:firstLine="720"/>
              <w:jc w:val="both"/>
              <w:rPr>
                <w:color w:val="000000"/>
                <w:sz w:val="28"/>
                <w:lang w:val="lv-LV"/>
              </w:rPr>
            </w:pPr>
            <w:r w:rsidRPr="00941FC7">
              <w:rPr>
                <w:color w:val="000000"/>
                <w:sz w:val="28"/>
                <w:lang w:val="lv-LV"/>
              </w:rPr>
              <w:t>Nav.</w:t>
            </w:r>
          </w:p>
        </w:tc>
      </w:tr>
      <w:tr w:rsidR="00941FC7" w:rsidRPr="0097106D" w:rsidTr="00941FC7">
        <w:trPr>
          <w:trHeight w:val="384"/>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4.</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Tiesiskā regulējuma mērķis un būtība</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4E4456">
            <w:pPr>
              <w:pStyle w:val="BodyText"/>
              <w:spacing w:after="120"/>
              <w:ind w:firstLine="720"/>
            </w:pPr>
            <w:r w:rsidRPr="00941FC7">
              <w:t xml:space="preserve">Ministru kabineta rīkojuma projekts paredz saskaņā ar likuma 12.panta ceturto daļu un </w:t>
            </w:r>
            <w:r w:rsidR="004E4456">
              <w:t>P</w:t>
            </w:r>
            <w:r w:rsidRPr="00941FC7">
              <w:t>abeigšanas likuma 6.panta otro daļu nodot privatizācijai nekustamo īpašumu (nekustamā īpašuma kadastra Nr.0100 076 0233) – zemes vienību (kadastra apzīmējums 0100 076 0233) 4112 m</w:t>
            </w:r>
            <w:r w:rsidRPr="00941FC7">
              <w:rPr>
                <w:vertAlign w:val="superscript"/>
              </w:rPr>
              <w:t>2</w:t>
            </w:r>
            <w:r w:rsidRPr="00941FC7">
              <w:t xml:space="preserve"> platībā un divas būves (būvju kadastra apzīmējumi 0100 076 0233 005 un 0100 076 0233 006) </w:t>
            </w:r>
            <w:proofErr w:type="spellStart"/>
            <w:r w:rsidRPr="00941FC7">
              <w:t>Šampētera</w:t>
            </w:r>
            <w:proofErr w:type="spellEnd"/>
            <w:r w:rsidRPr="00941FC7">
              <w:t xml:space="preserve"> ielā 17A, Rīgā.</w:t>
            </w:r>
          </w:p>
        </w:tc>
      </w:tr>
      <w:tr w:rsidR="00941FC7" w:rsidRPr="00941FC7" w:rsidTr="00941FC7">
        <w:trPr>
          <w:trHeight w:val="476"/>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5.</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izstrādē iesaistītās institūcijas</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pStyle w:val="BodyText"/>
              <w:spacing w:after="120"/>
              <w:ind w:right="142" w:firstLine="720"/>
            </w:pPr>
            <w:r w:rsidRPr="00941FC7">
              <w:t>Nav.</w:t>
            </w:r>
          </w:p>
        </w:tc>
      </w:tr>
      <w:tr w:rsidR="00941FC7" w:rsidRPr="0097106D" w:rsidTr="00941FC7">
        <w:trPr>
          <w:trHeight w:val="1340"/>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6.</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Iemesli, kādēļ netika nodrošināta sabiedrības līdzdalība</w:t>
            </w:r>
          </w:p>
        </w:tc>
        <w:tc>
          <w:tcPr>
            <w:tcW w:w="596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pStyle w:val="BodyText"/>
              <w:spacing w:after="120"/>
              <w:ind w:firstLine="720"/>
            </w:pPr>
            <w:r w:rsidRPr="00941FC7">
              <w:t>Jautājuma būtība skar Ministru kabineta tiesības pieņemt lēmumu nodot privatizācijai vai atteikt nodot privatizācijai valsts īpašuma objektu,</w:t>
            </w:r>
            <w:r w:rsidRPr="00941FC7">
              <w:rPr>
                <w:szCs w:val="28"/>
              </w:rPr>
              <w:t xml:space="preserve"> pamatojoties uz likuma „Par valsts un pašvaldību īpašuma objektu privatizāciju” 12.panta pirmo, ceturto un sesto daļu un Valsts un pašvaldību īpašuma privatizācijas un privatizācijas sertifikātu izmantošanas pabeigšanas likuma 6.panta piekto daļu</w:t>
            </w:r>
            <w:r w:rsidRPr="00941FC7">
              <w:t>. Līdz ar to šis jautājums neparedz ieviest izmaiņas, kas varētu ietekmēt sabiedrības intereses.</w:t>
            </w:r>
          </w:p>
        </w:tc>
      </w:tr>
      <w:tr w:rsidR="00941FC7" w:rsidRPr="00605241" w:rsidTr="00941FC7">
        <w:trPr>
          <w:tblCellSpacing w:w="0" w:type="dxa"/>
        </w:trPr>
        <w:tc>
          <w:tcPr>
            <w:tcW w:w="535"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7.</w:t>
            </w:r>
          </w:p>
        </w:tc>
        <w:tc>
          <w:tcPr>
            <w:tcW w:w="2599"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Cita informācija</w:t>
            </w:r>
          </w:p>
        </w:tc>
        <w:tc>
          <w:tcPr>
            <w:tcW w:w="5967" w:type="dxa"/>
            <w:tcBorders>
              <w:top w:val="outset" w:sz="6" w:space="0" w:color="auto"/>
              <w:left w:val="outset" w:sz="6" w:space="0" w:color="auto"/>
              <w:bottom w:val="outset" w:sz="6" w:space="0" w:color="auto"/>
              <w:right w:val="outset" w:sz="6" w:space="0" w:color="auto"/>
            </w:tcBorders>
            <w:hideMark/>
          </w:tcPr>
          <w:p w:rsidR="00941FC7" w:rsidRPr="00DB6457" w:rsidRDefault="00DB6457" w:rsidP="004E4456">
            <w:pPr>
              <w:spacing w:after="120"/>
              <w:ind w:firstLine="720"/>
              <w:jc w:val="both"/>
              <w:rPr>
                <w:color w:val="000000"/>
                <w:sz w:val="28"/>
                <w:lang w:val="lv-LV"/>
              </w:rPr>
            </w:pPr>
            <w:r w:rsidRPr="00DB6457">
              <w:rPr>
                <w:bCs/>
                <w:sz w:val="28"/>
                <w:lang w:val="lv-LV"/>
              </w:rPr>
              <w:t>Nav.</w:t>
            </w:r>
          </w:p>
        </w:tc>
      </w:tr>
    </w:tbl>
    <w:bookmarkEnd w:id="0"/>
    <w:bookmarkEnd w:id="1"/>
    <w:bookmarkEnd w:id="2"/>
    <w:p w:rsidR="00BB09C5" w:rsidRPr="00941FC7" w:rsidRDefault="00BB09C5" w:rsidP="00941FC7">
      <w:pPr>
        <w:spacing w:before="120" w:after="120"/>
        <w:ind w:firstLine="720"/>
        <w:jc w:val="both"/>
        <w:rPr>
          <w:rFonts w:eastAsia="Times New Roman"/>
          <w:sz w:val="28"/>
          <w:lang w:val="lv-LV" w:eastAsia="lv-LV"/>
        </w:rPr>
      </w:pPr>
      <w:r w:rsidRPr="00941FC7">
        <w:rPr>
          <w:rFonts w:eastAsia="Times New Roman"/>
          <w:sz w:val="28"/>
          <w:lang w:val="lv-LV" w:eastAsia="lv-LV"/>
        </w:rPr>
        <w:t> </w:t>
      </w:r>
      <w:r w:rsidRPr="00941FC7">
        <w:rPr>
          <w:rFonts w:eastAsia="Times New Roman"/>
          <w:b/>
          <w:sz w:val="28"/>
          <w:lang w:val="lv-LV" w:eastAsia="lv-LV"/>
        </w:rPr>
        <w:t>II – VI sadaļa</w:t>
      </w:r>
      <w:r w:rsidRPr="00941FC7">
        <w:rPr>
          <w:rFonts w:eastAsia="Times New Roman"/>
          <w:sz w:val="28"/>
          <w:lang w:val="lv-LV" w:eastAsia="lv-LV"/>
        </w:rPr>
        <w:t xml:space="preserve"> – </w:t>
      </w:r>
      <w:r w:rsidR="00AB248D" w:rsidRPr="00941FC7">
        <w:rPr>
          <w:rFonts w:eastAsia="Times New Roman"/>
          <w:sz w:val="28"/>
          <w:lang w:val="lv-LV" w:eastAsia="lv-LV"/>
        </w:rPr>
        <w:t>nav attiecināms</w:t>
      </w:r>
      <w:r w:rsidRPr="00941FC7">
        <w:rPr>
          <w:rFonts w:eastAsia="Times New Roman"/>
          <w:sz w:val="28"/>
          <w:lang w:val="lv-LV" w:eastAsia="lv-LV"/>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
        <w:gridCol w:w="3193"/>
        <w:gridCol w:w="5400"/>
      </w:tblGrid>
      <w:tr w:rsidR="00941FC7" w:rsidRPr="0097106D" w:rsidTr="00941FC7">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VII. Tiesību akta projekta izpildes nodrošināšana un tās ietekme uz institūcijām</w:t>
            </w:r>
          </w:p>
        </w:tc>
      </w:tr>
      <w:tr w:rsidR="00941FC7" w:rsidRPr="0097106D" w:rsidTr="00941FC7">
        <w:trPr>
          <w:trHeight w:val="427"/>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1.</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ind w:firstLine="720"/>
              <w:jc w:val="both"/>
              <w:rPr>
                <w:rFonts w:eastAsia="Times New Roman"/>
                <w:sz w:val="28"/>
                <w:lang w:val="lv-LV" w:eastAsia="lv-LV"/>
              </w:rPr>
            </w:pPr>
            <w:r w:rsidRPr="00941FC7">
              <w:rPr>
                <w:rFonts w:eastAsia="Times New Roman"/>
                <w:sz w:val="28"/>
                <w:lang w:val="lv-LV" w:eastAsia="lv-LV"/>
              </w:rPr>
              <w:t>Projekta izpildi nodrošinās Privatizācijas aģentūra un Finanšu ministrija.</w:t>
            </w:r>
          </w:p>
        </w:tc>
      </w:tr>
      <w:tr w:rsidR="00941FC7" w:rsidRPr="0097106D" w:rsidTr="00941FC7">
        <w:trPr>
          <w:trHeight w:val="46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2.</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ind w:firstLine="720"/>
              <w:jc w:val="both"/>
              <w:rPr>
                <w:rFonts w:eastAsia="Times New Roman"/>
                <w:sz w:val="28"/>
                <w:lang w:val="lv-LV" w:eastAsia="lv-LV"/>
              </w:rPr>
            </w:pPr>
            <w:r w:rsidRPr="00941FC7">
              <w:rPr>
                <w:rFonts w:eastAsia="Times New Roman"/>
                <w:sz w:val="28"/>
                <w:lang w:val="lv-LV" w:eastAsia="lv-LV"/>
              </w:rPr>
              <w:t>Projekta izpilde tiks nodrošināta Privatizācija aģentūras funkciju ietvaros.</w:t>
            </w:r>
          </w:p>
        </w:tc>
      </w:tr>
      <w:tr w:rsidR="00941FC7" w:rsidRPr="00941FC7" w:rsidTr="00941FC7">
        <w:trPr>
          <w:trHeight w:val="725"/>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3.</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ind w:firstLine="720"/>
              <w:jc w:val="both"/>
              <w:rPr>
                <w:rFonts w:eastAsia="Times New Roman"/>
                <w:sz w:val="28"/>
                <w:lang w:val="lv-LV" w:eastAsia="lv-LV"/>
              </w:rPr>
            </w:pPr>
            <w:r w:rsidRPr="00941FC7">
              <w:rPr>
                <w:rFonts w:eastAsia="Times New Roman"/>
                <w:sz w:val="28"/>
                <w:lang w:val="lv-LV" w:eastAsia="lv-LV"/>
              </w:rPr>
              <w:t>Nav attiecināms.</w:t>
            </w:r>
          </w:p>
        </w:tc>
      </w:tr>
      <w:tr w:rsidR="00941FC7" w:rsidRPr="00941FC7" w:rsidTr="00941FC7">
        <w:trPr>
          <w:trHeight w:val="780"/>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4.</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ind w:firstLine="720"/>
              <w:jc w:val="both"/>
              <w:rPr>
                <w:rFonts w:eastAsia="Times New Roman"/>
                <w:sz w:val="28"/>
                <w:lang w:val="lv-LV" w:eastAsia="lv-LV"/>
              </w:rPr>
            </w:pPr>
            <w:r w:rsidRPr="00941FC7">
              <w:rPr>
                <w:rFonts w:eastAsia="Times New Roman"/>
                <w:sz w:val="28"/>
                <w:lang w:val="lv-LV" w:eastAsia="lv-LV"/>
              </w:rPr>
              <w:t>Nav attiecināms.</w:t>
            </w:r>
          </w:p>
        </w:tc>
      </w:tr>
      <w:tr w:rsidR="00941FC7" w:rsidRPr="00941FC7" w:rsidTr="00941FC7">
        <w:trPr>
          <w:trHeight w:val="70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5.</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ind w:firstLine="720"/>
              <w:jc w:val="both"/>
              <w:rPr>
                <w:rFonts w:eastAsia="Times New Roman"/>
                <w:sz w:val="28"/>
                <w:lang w:val="lv-LV" w:eastAsia="lv-LV"/>
              </w:rPr>
            </w:pPr>
            <w:r w:rsidRPr="00941FC7">
              <w:rPr>
                <w:rFonts w:eastAsia="Times New Roman"/>
                <w:sz w:val="28"/>
                <w:lang w:val="lv-LV" w:eastAsia="lv-LV"/>
              </w:rPr>
              <w:t>Nav attiecināms.</w:t>
            </w:r>
          </w:p>
        </w:tc>
      </w:tr>
      <w:tr w:rsidR="00941FC7" w:rsidRPr="0097106D" w:rsidTr="00941FC7">
        <w:trPr>
          <w:trHeight w:val="476"/>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6.</w:t>
            </w:r>
          </w:p>
        </w:tc>
        <w:tc>
          <w:tcPr>
            <w:tcW w:w="3193"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ind w:firstLine="720"/>
              <w:jc w:val="both"/>
              <w:rPr>
                <w:rFonts w:eastAsia="Times New Roman"/>
                <w:sz w:val="28"/>
                <w:lang w:val="lv-LV" w:eastAsia="lv-LV"/>
              </w:rPr>
            </w:pPr>
            <w:r w:rsidRPr="00851E09">
              <w:rPr>
                <w:rFonts w:eastAsia="Times New Roman"/>
                <w:sz w:val="28"/>
                <w:szCs w:val="28"/>
                <w:lang w:val="lv-LV" w:eastAsia="lv-LV"/>
              </w:rPr>
              <w:t xml:space="preserve">Ministru kabineta rīkojums tiks publicēts laikrakstā „Latvijas Vēstnesis” un lēmums tiks nosūtīts privatizācijas ierosinātājam </w:t>
            </w:r>
            <w:r w:rsidRPr="00851E09">
              <w:rPr>
                <w:rFonts w:eastAsia="Times New Roman"/>
                <w:sz w:val="28"/>
                <w:szCs w:val="28"/>
                <w:lang w:val="lv-LV" w:eastAsia="lv-LV"/>
              </w:rPr>
              <w:lastRenderedPageBreak/>
              <w:t>Administratīvā procesa likuma noteiktajā kārtībā.</w:t>
            </w:r>
            <w:r w:rsidRPr="00851E09">
              <w:rPr>
                <w:rFonts w:eastAsia="Times New Roman"/>
                <w:bCs/>
                <w:sz w:val="28"/>
                <w:szCs w:val="28"/>
                <w:lang w:val="lv-LV" w:eastAsia="lv-LV"/>
              </w:rPr>
              <w:t xml:space="preserve"> Ministru kabineta rīkojums būs pieejams Normatīvo aktu informācijas sistēmā (NAIS) un bezmaksas normatīvo aktu datu bāzē www.likumi.lv.</w:t>
            </w:r>
          </w:p>
        </w:tc>
      </w:tr>
    </w:tbl>
    <w:p w:rsidR="00BB09C5" w:rsidRPr="00941FC7" w:rsidRDefault="00BB09C5" w:rsidP="00941FC7">
      <w:pPr>
        <w:tabs>
          <w:tab w:val="left" w:pos="7655"/>
        </w:tabs>
        <w:spacing w:before="480" w:after="360"/>
        <w:rPr>
          <w:b/>
          <w:sz w:val="28"/>
          <w:lang w:val="lv-LV"/>
        </w:rPr>
      </w:pPr>
      <w:r w:rsidRPr="00941FC7">
        <w:rPr>
          <w:b/>
          <w:sz w:val="28"/>
          <w:lang w:val="lv-LV"/>
        </w:rPr>
        <w:lastRenderedPageBreak/>
        <w:t>Ekonomikas ministrs</w:t>
      </w:r>
      <w:r w:rsidRPr="00941FC7">
        <w:rPr>
          <w:b/>
          <w:sz w:val="28"/>
          <w:lang w:val="lv-LV"/>
        </w:rPr>
        <w:tab/>
        <w:t>A.Kampars</w:t>
      </w:r>
    </w:p>
    <w:p w:rsidR="00C7152A" w:rsidRPr="00941FC7" w:rsidRDefault="0052676F" w:rsidP="0052676F">
      <w:pPr>
        <w:tabs>
          <w:tab w:val="left" w:pos="7938"/>
        </w:tabs>
        <w:spacing w:before="720"/>
        <w:rPr>
          <w:b/>
          <w:sz w:val="28"/>
          <w:lang w:val="lv-LV"/>
        </w:rPr>
      </w:pPr>
      <w:r w:rsidRPr="00941FC7">
        <w:rPr>
          <w:b/>
          <w:sz w:val="28"/>
          <w:lang w:val="lv-LV"/>
        </w:rPr>
        <w:t>Vīza: valsts sekretārs</w:t>
      </w:r>
      <w:r w:rsidRPr="00941FC7">
        <w:rPr>
          <w:b/>
          <w:sz w:val="28"/>
          <w:lang w:val="lv-LV"/>
        </w:rPr>
        <w:tab/>
        <w:t>J.Pūce</w:t>
      </w:r>
    </w:p>
    <w:p w:rsidR="00BB09C5" w:rsidRPr="00941FC7" w:rsidRDefault="0097106D" w:rsidP="00941FC7">
      <w:pPr>
        <w:spacing w:before="1800"/>
        <w:rPr>
          <w:sz w:val="24"/>
          <w:szCs w:val="24"/>
          <w:lang w:val="lv-LV"/>
        </w:rPr>
      </w:pPr>
      <w:r>
        <w:rPr>
          <w:sz w:val="24"/>
          <w:szCs w:val="24"/>
          <w:lang w:val="lv-LV"/>
        </w:rPr>
        <w:t>28</w:t>
      </w:r>
      <w:r w:rsidR="00605241">
        <w:rPr>
          <w:sz w:val="24"/>
          <w:szCs w:val="24"/>
          <w:lang w:val="lv-LV"/>
        </w:rPr>
        <w:t>.10</w:t>
      </w:r>
      <w:r w:rsidR="009C2CF9" w:rsidRPr="00941FC7">
        <w:rPr>
          <w:sz w:val="24"/>
          <w:szCs w:val="24"/>
          <w:lang w:val="lv-LV"/>
        </w:rPr>
        <w:t>.2010</w:t>
      </w:r>
      <w:r>
        <w:rPr>
          <w:sz w:val="24"/>
          <w:szCs w:val="24"/>
          <w:lang w:val="lv-LV"/>
        </w:rPr>
        <w:t>. 09:48</w:t>
      </w:r>
    </w:p>
    <w:p w:rsidR="00BB09C5" w:rsidRPr="00941FC7" w:rsidRDefault="00DB6457" w:rsidP="00BB09C5">
      <w:pPr>
        <w:rPr>
          <w:sz w:val="24"/>
          <w:szCs w:val="24"/>
          <w:lang w:val="lv-LV"/>
        </w:rPr>
      </w:pPr>
      <w:r>
        <w:rPr>
          <w:sz w:val="24"/>
          <w:szCs w:val="24"/>
          <w:lang w:val="lv-LV"/>
        </w:rPr>
        <w:t>84</w:t>
      </w:r>
      <w:r w:rsidR="00F62F89">
        <w:rPr>
          <w:sz w:val="24"/>
          <w:szCs w:val="24"/>
          <w:lang w:val="lv-LV"/>
        </w:rPr>
        <w:t>8</w:t>
      </w:r>
    </w:p>
    <w:p w:rsidR="00BB09C5" w:rsidRPr="00941FC7" w:rsidRDefault="000930DC" w:rsidP="00BB09C5">
      <w:pPr>
        <w:rPr>
          <w:sz w:val="24"/>
          <w:szCs w:val="24"/>
          <w:lang w:val="lv-LV"/>
        </w:rPr>
      </w:pPr>
      <w:r w:rsidRPr="00941FC7">
        <w:rPr>
          <w:sz w:val="24"/>
          <w:szCs w:val="24"/>
          <w:lang w:val="lv-LV"/>
        </w:rPr>
        <w:t>Volfa</w:t>
      </w:r>
    </w:p>
    <w:p w:rsidR="00941FC7" w:rsidRPr="00941FC7" w:rsidRDefault="00BB09C5">
      <w:pPr>
        <w:rPr>
          <w:sz w:val="24"/>
          <w:szCs w:val="24"/>
          <w:lang w:val="lv-LV"/>
        </w:rPr>
      </w:pPr>
      <w:r w:rsidRPr="00941FC7">
        <w:rPr>
          <w:sz w:val="24"/>
          <w:szCs w:val="24"/>
          <w:lang w:val="lv-LV"/>
        </w:rPr>
        <w:t>67013158, Kristine.</w:t>
      </w:r>
      <w:r w:rsidR="001E5031" w:rsidRPr="00941FC7">
        <w:rPr>
          <w:sz w:val="24"/>
          <w:szCs w:val="24"/>
          <w:lang w:val="lv-LV"/>
        </w:rPr>
        <w:t>Volfa</w:t>
      </w:r>
      <w:r w:rsidRPr="00941FC7">
        <w:rPr>
          <w:sz w:val="24"/>
          <w:szCs w:val="24"/>
          <w:lang w:val="lv-LV"/>
        </w:rPr>
        <w:t>@em.gov.lv</w:t>
      </w:r>
    </w:p>
    <w:sectPr w:rsidR="00941FC7" w:rsidRPr="00941FC7" w:rsidSect="00941FC7">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17" w:rsidRDefault="005C2217" w:rsidP="00B014C2">
      <w:r>
        <w:separator/>
      </w:r>
    </w:p>
  </w:endnote>
  <w:endnote w:type="continuationSeparator" w:id="0">
    <w:p w:rsidR="005C2217" w:rsidRDefault="005C2217"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6F" w:rsidRPr="0052676F" w:rsidRDefault="0097106D" w:rsidP="0052676F">
    <w:pPr>
      <w:pStyle w:val="BodyText"/>
      <w:rPr>
        <w:sz w:val="24"/>
        <w:szCs w:val="24"/>
      </w:rPr>
    </w:pPr>
    <w:r>
      <w:rPr>
        <w:sz w:val="24"/>
        <w:szCs w:val="24"/>
      </w:rPr>
      <w:t>EMAnot_28</w:t>
    </w:r>
    <w:r w:rsidR="00605241">
      <w:rPr>
        <w:sz w:val="24"/>
        <w:szCs w:val="24"/>
      </w:rPr>
      <w:t>10</w:t>
    </w:r>
    <w:r w:rsidR="0052676F">
      <w:rPr>
        <w:sz w:val="24"/>
        <w:szCs w:val="24"/>
      </w:rPr>
      <w:t>10_</w:t>
    </w:r>
    <w:r w:rsidR="0052676F" w:rsidRPr="0052676F">
      <w:rPr>
        <w:sz w:val="24"/>
        <w:szCs w:val="24"/>
      </w:rPr>
      <w:t xml:space="preserve">sampetera; </w:t>
    </w:r>
    <w:r w:rsidR="00E40582" w:rsidRPr="0040017C">
      <w:rPr>
        <w:sz w:val="24"/>
        <w:szCs w:val="24"/>
      </w:rPr>
      <w:t xml:space="preserve">Ministru kabineta rīkojuma </w:t>
    </w:r>
    <w:r w:rsidR="00E40582" w:rsidRPr="0052676F">
      <w:rPr>
        <w:sz w:val="24"/>
        <w:szCs w:val="24"/>
      </w:rPr>
      <w:t xml:space="preserve">projekta “Par </w:t>
    </w:r>
    <w:r w:rsidR="00E40582">
      <w:rPr>
        <w:sz w:val="24"/>
        <w:szCs w:val="24"/>
      </w:rPr>
      <w:t>valsts</w:t>
    </w:r>
    <w:r w:rsidR="00E40582" w:rsidRPr="0052676F">
      <w:rPr>
        <w:sz w:val="24"/>
        <w:szCs w:val="24"/>
      </w:rPr>
      <w:t xml:space="preserve"> īpašuma </w:t>
    </w:r>
    <w:r w:rsidR="00E40582">
      <w:rPr>
        <w:sz w:val="24"/>
        <w:szCs w:val="24"/>
      </w:rPr>
      <w:t xml:space="preserve">objekta </w:t>
    </w:r>
    <w:proofErr w:type="spellStart"/>
    <w:r w:rsidR="00E40582" w:rsidRPr="0052676F">
      <w:rPr>
        <w:sz w:val="24"/>
        <w:szCs w:val="24"/>
      </w:rPr>
      <w:t>Šampētera</w:t>
    </w:r>
    <w:proofErr w:type="spellEnd"/>
    <w:r w:rsidR="00E40582" w:rsidRPr="0052676F">
      <w:rPr>
        <w:sz w:val="24"/>
        <w:szCs w:val="24"/>
      </w:rPr>
      <w:t xml:space="preserve"> ielā 17A, Rīgā nodošanu privatizācijai” </w:t>
    </w:r>
    <w:r w:rsidR="00E40582" w:rsidRPr="0052676F">
      <w:rPr>
        <w:bCs/>
        <w:sz w:val="24"/>
        <w:szCs w:val="24"/>
      </w:rPr>
      <w:t>sākotnējās ietekmes novērtējuma ziņojums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7C" w:rsidRPr="0052676F" w:rsidRDefault="00693123" w:rsidP="0052676F">
    <w:pPr>
      <w:pStyle w:val="BodyText"/>
      <w:rPr>
        <w:sz w:val="24"/>
        <w:szCs w:val="24"/>
      </w:rPr>
    </w:pPr>
    <w:r w:rsidRPr="0040017C">
      <w:rPr>
        <w:sz w:val="24"/>
        <w:szCs w:val="24"/>
      </w:rPr>
      <w:t>EMAnot_</w:t>
    </w:r>
    <w:r w:rsidR="0097106D">
      <w:rPr>
        <w:sz w:val="24"/>
        <w:szCs w:val="24"/>
      </w:rPr>
      <w:t>28</w:t>
    </w:r>
    <w:r w:rsidR="00605241">
      <w:rPr>
        <w:sz w:val="24"/>
        <w:szCs w:val="24"/>
      </w:rPr>
      <w:t>10</w:t>
    </w:r>
    <w:r w:rsidR="0052676F">
      <w:rPr>
        <w:sz w:val="24"/>
        <w:szCs w:val="24"/>
      </w:rPr>
      <w:t>10_sampetera</w:t>
    </w:r>
    <w:r w:rsidR="00E07DF2" w:rsidRPr="0040017C">
      <w:rPr>
        <w:sz w:val="24"/>
        <w:szCs w:val="24"/>
      </w:rPr>
      <w:t xml:space="preserve">; </w:t>
    </w:r>
    <w:bookmarkStart w:id="3" w:name="OLE_LINK5"/>
    <w:bookmarkStart w:id="4" w:name="OLE_LINK6"/>
    <w:bookmarkStart w:id="5" w:name="_Hlk252451321"/>
    <w:bookmarkStart w:id="6" w:name="OLE_LINK4"/>
    <w:bookmarkStart w:id="7" w:name="OLE_LINK7"/>
    <w:bookmarkStart w:id="8" w:name="_Hlk256596343"/>
    <w:r w:rsidR="00E07DF2" w:rsidRPr="0040017C">
      <w:rPr>
        <w:sz w:val="24"/>
        <w:szCs w:val="24"/>
      </w:rPr>
      <w:t xml:space="preserve">Ministru kabineta rīkojuma </w:t>
    </w:r>
    <w:r w:rsidR="00E07DF2" w:rsidRPr="0052676F">
      <w:rPr>
        <w:sz w:val="24"/>
        <w:szCs w:val="24"/>
      </w:rPr>
      <w:t>projekta “</w:t>
    </w:r>
    <w:r w:rsidR="0052676F" w:rsidRPr="0052676F">
      <w:rPr>
        <w:sz w:val="24"/>
        <w:szCs w:val="24"/>
      </w:rPr>
      <w:t xml:space="preserve">Par </w:t>
    </w:r>
    <w:r w:rsidR="00E40582">
      <w:rPr>
        <w:sz w:val="24"/>
        <w:szCs w:val="24"/>
      </w:rPr>
      <w:t>valsts</w:t>
    </w:r>
    <w:r w:rsidR="0052676F" w:rsidRPr="0052676F">
      <w:rPr>
        <w:sz w:val="24"/>
        <w:szCs w:val="24"/>
      </w:rPr>
      <w:t xml:space="preserve"> īpašuma </w:t>
    </w:r>
    <w:r w:rsidR="00E40582">
      <w:rPr>
        <w:sz w:val="24"/>
        <w:szCs w:val="24"/>
      </w:rPr>
      <w:t xml:space="preserve">objekta </w:t>
    </w:r>
    <w:proofErr w:type="spellStart"/>
    <w:r w:rsidR="0052676F" w:rsidRPr="0052676F">
      <w:rPr>
        <w:sz w:val="24"/>
        <w:szCs w:val="24"/>
      </w:rPr>
      <w:t>Šampētera</w:t>
    </w:r>
    <w:proofErr w:type="spellEnd"/>
    <w:r w:rsidR="0052676F" w:rsidRPr="0052676F">
      <w:rPr>
        <w:sz w:val="24"/>
        <w:szCs w:val="24"/>
      </w:rPr>
      <w:t xml:space="preserve"> ielā 17A, Rīgā nodošanu privatizācijai</w:t>
    </w:r>
    <w:r w:rsidR="00E07DF2" w:rsidRPr="0052676F">
      <w:rPr>
        <w:sz w:val="24"/>
        <w:szCs w:val="24"/>
      </w:rPr>
      <w:t xml:space="preserve">” </w:t>
    </w:r>
    <w:bookmarkEnd w:id="3"/>
    <w:bookmarkEnd w:id="4"/>
    <w:bookmarkEnd w:id="5"/>
    <w:r w:rsidR="0052676F" w:rsidRPr="0052676F">
      <w:rPr>
        <w:bCs/>
        <w:sz w:val="24"/>
        <w:szCs w:val="24"/>
      </w:rPr>
      <w:t>sākotnējās ietekmes novērtējuma ziņojums</w:t>
    </w:r>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17" w:rsidRDefault="005C2217" w:rsidP="00B014C2">
      <w:r>
        <w:separator/>
      </w:r>
    </w:p>
  </w:footnote>
  <w:footnote w:type="continuationSeparator" w:id="0">
    <w:p w:rsidR="005C2217" w:rsidRDefault="005C2217"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E07DF2" w:rsidRPr="00B014C2" w:rsidRDefault="00826C9E">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97106D">
          <w:rPr>
            <w:noProof/>
            <w:sz w:val="24"/>
            <w:szCs w:val="24"/>
          </w:rPr>
          <w:t>5</w:t>
        </w:r>
        <w:r w:rsidRPr="00B014C2">
          <w:rPr>
            <w:sz w:val="24"/>
            <w:szCs w:val="24"/>
          </w:rPr>
          <w:fldChar w:fldCharType="end"/>
        </w:r>
      </w:p>
    </w:sdtContent>
  </w:sdt>
  <w:p w:rsidR="00E07DF2" w:rsidRDefault="00E0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4167C"/>
    <w:rsid w:val="00050EA4"/>
    <w:rsid w:val="000729ED"/>
    <w:rsid w:val="0007428D"/>
    <w:rsid w:val="000778F5"/>
    <w:rsid w:val="000930DC"/>
    <w:rsid w:val="00097583"/>
    <w:rsid w:val="000B0719"/>
    <w:rsid w:val="000B2409"/>
    <w:rsid w:val="000D0388"/>
    <w:rsid w:val="000E409F"/>
    <w:rsid w:val="000F6E9E"/>
    <w:rsid w:val="001047E8"/>
    <w:rsid w:val="00115E25"/>
    <w:rsid w:val="0017312C"/>
    <w:rsid w:val="001831F7"/>
    <w:rsid w:val="001973A7"/>
    <w:rsid w:val="001C1BFF"/>
    <w:rsid w:val="001D384F"/>
    <w:rsid w:val="001D5E9C"/>
    <w:rsid w:val="001E5031"/>
    <w:rsid w:val="00210D4A"/>
    <w:rsid w:val="002236A9"/>
    <w:rsid w:val="00246DCB"/>
    <w:rsid w:val="00247529"/>
    <w:rsid w:val="002C20C8"/>
    <w:rsid w:val="002E6122"/>
    <w:rsid w:val="002F6D2C"/>
    <w:rsid w:val="003100FE"/>
    <w:rsid w:val="0033768E"/>
    <w:rsid w:val="00367F92"/>
    <w:rsid w:val="003B0784"/>
    <w:rsid w:val="003E3604"/>
    <w:rsid w:val="0040017C"/>
    <w:rsid w:val="00451F88"/>
    <w:rsid w:val="004527EA"/>
    <w:rsid w:val="00460A29"/>
    <w:rsid w:val="00482BCB"/>
    <w:rsid w:val="004C6F33"/>
    <w:rsid w:val="004E4456"/>
    <w:rsid w:val="004F262C"/>
    <w:rsid w:val="00510235"/>
    <w:rsid w:val="0052676F"/>
    <w:rsid w:val="00537A29"/>
    <w:rsid w:val="005422C3"/>
    <w:rsid w:val="00544C96"/>
    <w:rsid w:val="0058249F"/>
    <w:rsid w:val="005A56C1"/>
    <w:rsid w:val="005C2217"/>
    <w:rsid w:val="005C232C"/>
    <w:rsid w:val="005C6DDB"/>
    <w:rsid w:val="00605241"/>
    <w:rsid w:val="00672A2F"/>
    <w:rsid w:val="00693123"/>
    <w:rsid w:val="006D0B9B"/>
    <w:rsid w:val="006D6153"/>
    <w:rsid w:val="006F0C19"/>
    <w:rsid w:val="006F24A8"/>
    <w:rsid w:val="006F7C08"/>
    <w:rsid w:val="0077435A"/>
    <w:rsid w:val="007A14D0"/>
    <w:rsid w:val="007F0242"/>
    <w:rsid w:val="00812990"/>
    <w:rsid w:val="0082627F"/>
    <w:rsid w:val="008265EF"/>
    <w:rsid w:val="00826C9E"/>
    <w:rsid w:val="00827407"/>
    <w:rsid w:val="008A08CD"/>
    <w:rsid w:val="008A515D"/>
    <w:rsid w:val="008B1F9C"/>
    <w:rsid w:val="008D17E5"/>
    <w:rsid w:val="008D6725"/>
    <w:rsid w:val="008D78FF"/>
    <w:rsid w:val="008F5394"/>
    <w:rsid w:val="00941FC7"/>
    <w:rsid w:val="00970815"/>
    <w:rsid w:val="0097106D"/>
    <w:rsid w:val="009A504F"/>
    <w:rsid w:val="009C2CF9"/>
    <w:rsid w:val="009D6B85"/>
    <w:rsid w:val="009E182A"/>
    <w:rsid w:val="00A15971"/>
    <w:rsid w:val="00A3143F"/>
    <w:rsid w:val="00A326B1"/>
    <w:rsid w:val="00A425FC"/>
    <w:rsid w:val="00A52BA6"/>
    <w:rsid w:val="00A60E49"/>
    <w:rsid w:val="00A963C3"/>
    <w:rsid w:val="00AB248D"/>
    <w:rsid w:val="00AC0231"/>
    <w:rsid w:val="00B014C2"/>
    <w:rsid w:val="00B140EF"/>
    <w:rsid w:val="00B433E5"/>
    <w:rsid w:val="00B6151B"/>
    <w:rsid w:val="00B72EB4"/>
    <w:rsid w:val="00B81E82"/>
    <w:rsid w:val="00B924A4"/>
    <w:rsid w:val="00BB09C5"/>
    <w:rsid w:val="00BB1F37"/>
    <w:rsid w:val="00BF13E2"/>
    <w:rsid w:val="00C107B4"/>
    <w:rsid w:val="00C32F05"/>
    <w:rsid w:val="00C7152A"/>
    <w:rsid w:val="00C85068"/>
    <w:rsid w:val="00C85536"/>
    <w:rsid w:val="00CA181C"/>
    <w:rsid w:val="00CD27E1"/>
    <w:rsid w:val="00CE0B44"/>
    <w:rsid w:val="00D03BE9"/>
    <w:rsid w:val="00D17406"/>
    <w:rsid w:val="00D74282"/>
    <w:rsid w:val="00DB6457"/>
    <w:rsid w:val="00DD1EB0"/>
    <w:rsid w:val="00DE01A2"/>
    <w:rsid w:val="00DE67FC"/>
    <w:rsid w:val="00E07DF2"/>
    <w:rsid w:val="00E22EBE"/>
    <w:rsid w:val="00E40582"/>
    <w:rsid w:val="00E66BA7"/>
    <w:rsid w:val="00E90C7E"/>
    <w:rsid w:val="00EB263C"/>
    <w:rsid w:val="00ED377B"/>
    <w:rsid w:val="00EF335B"/>
    <w:rsid w:val="00F15932"/>
    <w:rsid w:val="00F16364"/>
    <w:rsid w:val="00F213B5"/>
    <w:rsid w:val="00F34BCD"/>
    <w:rsid w:val="00F62F89"/>
    <w:rsid w:val="00F768B2"/>
    <w:rsid w:val="00F80221"/>
    <w:rsid w:val="00FA6507"/>
    <w:rsid w:val="00FA7BB3"/>
    <w:rsid w:val="00FE70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941FC7"/>
    <w:pPr>
      <w:spacing w:before="75" w:after="75"/>
      <w:jc w:val="right"/>
    </w:pPr>
    <w:rPr>
      <w:rFonts w:eastAsia="Times New Roman"/>
      <w:sz w:val="24"/>
      <w:szCs w:val="24"/>
      <w:lang w:val="lv-LV" w:eastAsia="lv-LV"/>
    </w:rPr>
  </w:style>
  <w:style w:type="paragraph" w:customStyle="1" w:styleId="naiskr">
    <w:name w:val="naiskr"/>
    <w:basedOn w:val="Normal"/>
    <w:rsid w:val="00941FC7"/>
    <w:pPr>
      <w:spacing w:before="75" w:after="75"/>
    </w:pPr>
    <w:rPr>
      <w:rFonts w:eastAsia="Times New Roman"/>
      <w:sz w:val="24"/>
      <w:szCs w:val="24"/>
      <w:lang w:val="lv-LV" w:eastAsia="lv-LV"/>
    </w:rPr>
  </w:style>
  <w:style w:type="paragraph" w:customStyle="1" w:styleId="naisc">
    <w:name w:val="naisc"/>
    <w:basedOn w:val="Normal"/>
    <w:rsid w:val="00941FC7"/>
    <w:pPr>
      <w:spacing w:before="75" w:after="75"/>
      <w:jc w:val="center"/>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2753657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68266367">
      <w:bodyDiv w:val="1"/>
      <w:marLeft w:val="0"/>
      <w:marRight w:val="0"/>
      <w:marTop w:val="0"/>
      <w:marBottom w:val="0"/>
      <w:divBdr>
        <w:top w:val="none" w:sz="0" w:space="0" w:color="auto"/>
        <w:left w:val="none" w:sz="0" w:space="0" w:color="auto"/>
        <w:bottom w:val="none" w:sz="0" w:space="0" w:color="auto"/>
        <w:right w:val="none" w:sz="0" w:space="0" w:color="auto"/>
      </w:divBdr>
    </w:div>
    <w:div w:id="499196658">
      <w:bodyDiv w:val="1"/>
      <w:marLeft w:val="0"/>
      <w:marRight w:val="0"/>
      <w:marTop w:val="0"/>
      <w:marBottom w:val="0"/>
      <w:divBdr>
        <w:top w:val="none" w:sz="0" w:space="0" w:color="auto"/>
        <w:left w:val="none" w:sz="0" w:space="0" w:color="auto"/>
        <w:bottom w:val="none" w:sz="0" w:space="0" w:color="auto"/>
        <w:right w:val="none" w:sz="0" w:space="0" w:color="auto"/>
      </w:divBdr>
    </w:div>
    <w:div w:id="14376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4440</Words>
  <Characters>2532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Šampētera ielā 17A, Rīgā nodošanu privatizācijai” sākotnējās ietekmes novērtējuma ziņojums</vt:lpstr>
    </vt:vector>
  </TitlesOfParts>
  <Company>LR Ekonomikas ministrija</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Šampētera ielā 17A, Rīgā nodošanu privatizācijai” sākotnējās ietekmes novērtējuma ziņojums</dc:title>
  <dc:subject>sākotnējās ietekmes novērtējuma ziņojums</dc:subject>
  <dc:creator>Kristīne Volfa</dc:creator>
  <cp:keywords/>
  <dc:description>67013158, Kristine.Volfa@em.gov.lv</dc:description>
  <cp:lastModifiedBy>Kristīne Volfa</cp:lastModifiedBy>
  <cp:revision>9</cp:revision>
  <dcterms:created xsi:type="dcterms:W3CDTF">2010-03-17T10:03:00Z</dcterms:created>
  <dcterms:modified xsi:type="dcterms:W3CDTF">2010-10-28T06:48:00Z</dcterms:modified>
</cp:coreProperties>
</file>