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0C" w:rsidRPr="008E2E95" w:rsidRDefault="009622AF" w:rsidP="00774214">
      <w:pPr>
        <w:pStyle w:val="naisnod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bookmarkStart w:id="0" w:name="OLE_LINK1"/>
      <w:bookmarkStart w:id="1" w:name="OLE_LINK2"/>
      <w:r w:rsidRPr="008E2E95">
        <w:rPr>
          <w:b/>
          <w:bCs/>
          <w:sz w:val="26"/>
          <w:szCs w:val="26"/>
        </w:rPr>
        <w:t xml:space="preserve">Ministru kabineta </w:t>
      </w:r>
      <w:r w:rsidR="002364CF" w:rsidRPr="008E2E95">
        <w:rPr>
          <w:b/>
          <w:bCs/>
          <w:sz w:val="26"/>
          <w:szCs w:val="26"/>
        </w:rPr>
        <w:t>rīkojuma</w:t>
      </w:r>
      <w:r w:rsidR="0089380C" w:rsidRPr="008E2E95">
        <w:rPr>
          <w:b/>
          <w:bCs/>
          <w:sz w:val="26"/>
          <w:szCs w:val="26"/>
        </w:rPr>
        <w:t xml:space="preserve"> projekta</w:t>
      </w:r>
      <w:r w:rsidRPr="008E2E95">
        <w:rPr>
          <w:b/>
          <w:bCs/>
          <w:sz w:val="26"/>
          <w:szCs w:val="26"/>
        </w:rPr>
        <w:t xml:space="preserve"> </w:t>
      </w:r>
      <w:r w:rsidR="004D67E9" w:rsidRPr="008E2E95">
        <w:rPr>
          <w:b/>
          <w:bCs/>
          <w:sz w:val="26"/>
          <w:szCs w:val="26"/>
        </w:rPr>
        <w:t>„</w:t>
      </w:r>
      <w:r w:rsidR="002364CF" w:rsidRPr="008E2E95">
        <w:rPr>
          <w:b/>
          <w:sz w:val="26"/>
          <w:szCs w:val="26"/>
        </w:rPr>
        <w:t xml:space="preserve">Grozījums Ministru kabineta </w:t>
      </w:r>
      <w:r w:rsidR="002364CF" w:rsidRPr="008E2E95">
        <w:rPr>
          <w:rFonts w:eastAsia="Calibri"/>
          <w:b/>
          <w:sz w:val="26"/>
          <w:szCs w:val="26"/>
        </w:rPr>
        <w:t>2006.gada 1.augusta rīkojumā Nr.571 „</w:t>
      </w:r>
      <w:r w:rsidR="002364CF" w:rsidRPr="008E2E95">
        <w:rPr>
          <w:b/>
          <w:sz w:val="26"/>
          <w:szCs w:val="26"/>
        </w:rPr>
        <w:t>Par Enerģētikas attīstības pamatnostādnēm 2007.–2016.gadam”</w:t>
      </w:r>
      <w:r w:rsidR="004D67E9" w:rsidRPr="008E2E95">
        <w:rPr>
          <w:b/>
          <w:sz w:val="26"/>
          <w:szCs w:val="26"/>
        </w:rPr>
        <w:t>”</w:t>
      </w:r>
      <w:r w:rsidR="004D67E9" w:rsidRPr="008E2E95">
        <w:rPr>
          <w:b/>
          <w:bCs/>
          <w:sz w:val="26"/>
          <w:szCs w:val="26"/>
        </w:rPr>
        <w:t xml:space="preserve"> </w:t>
      </w:r>
      <w:r w:rsidR="003F7A44" w:rsidRPr="008E2E95">
        <w:rPr>
          <w:b/>
          <w:bCs/>
          <w:sz w:val="26"/>
          <w:szCs w:val="26"/>
        </w:rPr>
        <w:t xml:space="preserve">sākotnējās ietekmes novērtējuma ziņojums (anotācija) </w:t>
      </w:r>
    </w:p>
    <w:bookmarkEnd w:id="0"/>
    <w:bookmarkEnd w:id="1"/>
    <w:p w:rsidR="00774214" w:rsidRPr="00437897" w:rsidRDefault="00774214" w:rsidP="00774214">
      <w:pPr>
        <w:pStyle w:val="naisnod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9"/>
        <w:gridCol w:w="3030"/>
        <w:gridCol w:w="5542"/>
      </w:tblGrid>
      <w:tr w:rsidR="0089380C" w:rsidRPr="00437897" w:rsidTr="00710F3A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80C" w:rsidRPr="00437897" w:rsidRDefault="0089380C">
            <w:pPr>
              <w:pStyle w:val="naisc"/>
            </w:pPr>
            <w:r w:rsidRPr="00437897">
              <w:rPr>
                <w:b/>
                <w:bCs/>
              </w:rPr>
              <w:t> I. Tiesību akta projekta izstrādes nepieciešamība</w:t>
            </w:r>
          </w:p>
        </w:tc>
      </w:tr>
      <w:tr w:rsidR="0089380C" w:rsidRPr="00437897" w:rsidTr="00710F3A">
        <w:trPr>
          <w:trHeight w:val="630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1.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 w:rsidP="008C222E">
            <w:pPr>
              <w:pStyle w:val="naislab"/>
              <w:jc w:val="both"/>
            </w:pPr>
            <w:r w:rsidRPr="00437897">
              <w:t> Pamatojums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DB0" w:rsidRPr="00437897" w:rsidRDefault="00296DB0" w:rsidP="00296DB0">
            <w:pPr>
              <w:pStyle w:val="naislab"/>
              <w:spacing w:before="0" w:after="0"/>
              <w:jc w:val="both"/>
            </w:pPr>
            <w:r w:rsidRPr="00437897">
              <w:rPr>
                <w:bCs/>
              </w:rPr>
              <w:t>LR Ministru prezidenta 2011.gada 19.decembra rezolūcija Nr.12/SAN-2505</w:t>
            </w:r>
            <w:r w:rsidR="00633CF4" w:rsidRPr="00437897">
              <w:t xml:space="preserve"> par grozījumiem MK 2006.gada 1.augusta rīkojumā Nr.571 „Par Enerģētikas attīstības pamatnostādnēm 2007.-2016.gadam”</w:t>
            </w:r>
            <w:r w:rsidR="00853534" w:rsidRPr="00437897">
              <w:t>.</w:t>
            </w:r>
          </w:p>
          <w:p w:rsidR="002811FD" w:rsidRPr="00437897" w:rsidRDefault="002811FD" w:rsidP="00296DB0">
            <w:pPr>
              <w:pStyle w:val="naislab"/>
              <w:spacing w:before="0" w:after="0"/>
              <w:jc w:val="both"/>
            </w:pPr>
          </w:p>
        </w:tc>
      </w:tr>
      <w:tr w:rsidR="0089380C" w:rsidRPr="00437897" w:rsidTr="00710F3A">
        <w:trPr>
          <w:trHeight w:val="472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2.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 w:rsidP="008C222E">
            <w:pPr>
              <w:pStyle w:val="naiskr"/>
              <w:jc w:val="both"/>
            </w:pPr>
            <w:r w:rsidRPr="00437897">
              <w:t> Pašreizējā situācija un problēmas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D3C" w:rsidRPr="00E75D3C" w:rsidRDefault="00E75D3C" w:rsidP="00FE7D13">
            <w:pPr>
              <w:jc w:val="both"/>
            </w:pPr>
            <w:r>
              <w:t xml:space="preserve">Pašlaik Latvijas valdības enerģētikas politikas pamatprincipi, mērķi un rīcības virzieni turpmākajiem desmit gadiem, kā arī nozares ilgtermiņa attīstības tendences , nosaka vidējā termiņa politikas plānošanas dokuments Enerģētikas attīstības pamatnostādnes    2007.–2016.gadam </w:t>
            </w:r>
            <w:r w:rsidRPr="00E75D3C">
              <w:t>(turpmā</w:t>
            </w:r>
            <w:r>
              <w:t xml:space="preserve">k – Pamatnostādnes). </w:t>
            </w:r>
            <w:r w:rsidRPr="00E75D3C">
              <w:rPr>
                <w:rFonts w:eastAsia="Calibri"/>
              </w:rPr>
              <w:t xml:space="preserve">Izpildot Ministru kabineta 2006.gada 1.augusta rīkojuma Nr.571 4.punktu, Ekonomikas ministrija (turpmāk – Ministrija) 2010.gada 2.februārī </w:t>
            </w:r>
            <w:r w:rsidRPr="00E75D3C">
              <w:t xml:space="preserve">iesniedza </w:t>
            </w:r>
            <w:r w:rsidRPr="00E75D3C">
              <w:rPr>
                <w:rFonts w:eastAsia="Calibri"/>
              </w:rPr>
              <w:t xml:space="preserve">Ministru kabinetā </w:t>
            </w:r>
            <w:r w:rsidRPr="00E75D3C">
              <w:t>informatīvo ziņojumu</w:t>
            </w:r>
            <w:r w:rsidRPr="00E75D3C">
              <w:rPr>
                <w:rFonts w:eastAsia="Calibri"/>
              </w:rPr>
              <w:t xml:space="preserve"> </w:t>
            </w:r>
            <w:r w:rsidRPr="00E75D3C">
              <w:t>„P</w:t>
            </w:r>
            <w:r w:rsidRPr="00E75D3C">
              <w:rPr>
                <w:rFonts w:eastAsia="Calibri"/>
              </w:rPr>
              <w:t xml:space="preserve">ar </w:t>
            </w:r>
            <w:r w:rsidRPr="00E75D3C">
              <w:t>E</w:t>
            </w:r>
            <w:r w:rsidRPr="00E75D3C">
              <w:rPr>
                <w:rFonts w:eastAsia="Calibri"/>
              </w:rPr>
              <w:t>nerģ</w:t>
            </w:r>
            <w:r w:rsidRPr="00E75D3C">
              <w:t>ētikas attīstības pamatnostādnēm 2007.-2016.gadam”</w:t>
            </w:r>
            <w:r w:rsidR="003A5245">
              <w:t>,</w:t>
            </w:r>
            <w:r w:rsidRPr="00E75D3C">
              <w:t xml:space="preserve"> kurā informēja par</w:t>
            </w:r>
            <w:r w:rsidRPr="00E75D3C">
              <w:rPr>
                <w:rFonts w:eastAsia="Calibri"/>
              </w:rPr>
              <w:t xml:space="preserve"> </w:t>
            </w:r>
            <w:r w:rsidRPr="00E75D3C">
              <w:t xml:space="preserve">Pamatnostādnēs </w:t>
            </w:r>
            <w:r w:rsidRPr="00E75D3C">
              <w:rPr>
                <w:rFonts w:eastAsia="Calibri"/>
              </w:rPr>
              <w:t>noteikto uzdevumu izpildi</w:t>
            </w:r>
            <w:r>
              <w:t xml:space="preserve"> un </w:t>
            </w:r>
            <w:r w:rsidRPr="00E75D3C">
              <w:t>norādīja uz vairākiem objektīviem apstākļiem,</w:t>
            </w:r>
            <w:r>
              <w:t xml:space="preserve"> </w:t>
            </w:r>
            <w:r w:rsidRPr="00E75D3C">
              <w:rPr>
                <w:rFonts w:eastAsia="Calibri"/>
              </w:rPr>
              <w:t>kam sekas bija būtiska faktiskās situācijas atšķirība no 2006.gadā izteiktajām prognozēm par nozares attīstību</w:t>
            </w:r>
            <w:r>
              <w:rPr>
                <w:rFonts w:eastAsia="Calibri"/>
              </w:rPr>
              <w:t>.</w:t>
            </w:r>
            <w:r w:rsidR="008270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</w:t>
            </w:r>
            <w:r w:rsidR="008270B6">
              <w:rPr>
                <w:rFonts w:eastAsia="Calibri"/>
              </w:rPr>
              <w:t>ildot</w:t>
            </w:r>
            <w:r w:rsidRPr="00E75D3C">
              <w:t xml:space="preserve"> Ministru kabineta 2010.gada 2.februāra sēdes protokola </w:t>
            </w:r>
            <w:r w:rsidRPr="00E75D3C">
              <w:rPr>
                <w:bCs/>
                <w:color w:val="000000"/>
              </w:rPr>
              <w:t xml:space="preserve">Nr.6 33.§ 3.punktu, </w:t>
            </w:r>
            <w:r w:rsidRPr="00E75D3C">
              <w:t xml:space="preserve">strādājot pie Pamatnostādņu precizēšanas un analizējot aktuālo situāciju, Ministrija secināja, ka, </w:t>
            </w:r>
            <w:r w:rsidRPr="00E75D3C">
              <w:rPr>
                <w:rFonts w:eastAsia="Calibri"/>
              </w:rPr>
              <w:t>lai ilgtermiņā</w:t>
            </w:r>
            <w:r w:rsidRPr="00E75D3C">
              <w:t xml:space="preserve"> </w:t>
            </w:r>
            <w:r w:rsidRPr="00E75D3C">
              <w:rPr>
                <w:rFonts w:eastAsia="Calibri"/>
              </w:rPr>
              <w:t>no</w:t>
            </w:r>
            <w:r w:rsidR="008270B6">
              <w:rPr>
                <w:rFonts w:eastAsia="Calibri"/>
              </w:rPr>
              <w:t>drošinātu energoapgādes drošību un</w:t>
            </w:r>
            <w:r w:rsidRPr="00E75D3C">
              <w:rPr>
                <w:rFonts w:eastAsia="Calibri"/>
              </w:rPr>
              <w:t xml:space="preserve"> konkurētspēju enerģijas tirgū, </w:t>
            </w:r>
            <w:r w:rsidRPr="00E75D3C">
              <w:t xml:space="preserve">izvērsts enerģētikas sektora politikas plānošanas dokuments nevar tikt ierobežots ar 7 gadu periodu, kas pamatnostādnēm kā vidējā termiņa politikas plānošanas dokumentam noteikts ar Ministru kabineta 2006.gada 18.septembra rīkojumu Nr.705 apstiprinātajās Politikas plānošanas sistēmas attīstības pamatnostādnēs. </w:t>
            </w:r>
          </w:p>
          <w:p w:rsidR="008270B6" w:rsidRPr="008270B6" w:rsidRDefault="008270B6" w:rsidP="00FE7D13">
            <w:pPr>
              <w:jc w:val="both"/>
              <w:rPr>
                <w:rFonts w:eastAsia="Calibri"/>
              </w:rPr>
            </w:pPr>
            <w:r w:rsidRPr="008270B6">
              <w:t xml:space="preserve">Pamatojoties uz iepriekšminēto, Ministrija  </w:t>
            </w:r>
            <w:r w:rsidRPr="008270B6">
              <w:rPr>
                <w:rFonts w:eastAsia="Calibri"/>
              </w:rPr>
              <w:t xml:space="preserve">uzsāka darbu pie enerģētikas nozares attīstības plānošanas dokumenta „Enerģētikas stratēģija 2030” (turpmāk – Stratēģija) izstrādes. Stratēģijas sākotnējais projekts ir izstrādāts, </w:t>
            </w:r>
            <w:r>
              <w:rPr>
                <w:rFonts w:eastAsia="Calibri"/>
              </w:rPr>
              <w:t xml:space="preserve">pašlaik </w:t>
            </w:r>
            <w:r w:rsidRPr="008270B6">
              <w:rPr>
                <w:rFonts w:eastAsia="Calibri"/>
              </w:rPr>
              <w:t>noti</w:t>
            </w:r>
            <w:r>
              <w:rPr>
                <w:rFonts w:eastAsia="Calibri"/>
              </w:rPr>
              <w:t>e</w:t>
            </w:r>
            <w:r w:rsidRPr="008270B6">
              <w:rPr>
                <w:rFonts w:eastAsia="Calibri"/>
              </w:rPr>
              <w:t>k</w:t>
            </w:r>
            <w:r>
              <w:rPr>
                <w:rFonts w:eastAsia="Calibri"/>
              </w:rPr>
              <w:t xml:space="preserve"> diskusijas </w:t>
            </w:r>
            <w:r w:rsidRPr="008270B6">
              <w:rPr>
                <w:rFonts w:eastAsia="Calibri"/>
              </w:rPr>
              <w:t>ar nozares ekspertiem</w:t>
            </w:r>
            <w:r w:rsidR="003A5245">
              <w:rPr>
                <w:rFonts w:eastAsia="Calibri"/>
              </w:rPr>
              <w:t xml:space="preserve"> un tiek organizēta publiskā diskusija</w:t>
            </w:r>
            <w:r>
              <w:rPr>
                <w:rFonts w:eastAsia="Calibri"/>
              </w:rPr>
              <w:t>. Stratēģijas projektu plānots iesniegt Ministru kabinetā 2012.</w:t>
            </w:r>
            <w:r w:rsidRPr="008270B6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 xml:space="preserve">gada pirmajā ceturksnī. </w:t>
            </w:r>
          </w:p>
          <w:p w:rsidR="002811FD" w:rsidRPr="008270B6" w:rsidRDefault="008270B6" w:rsidP="00FE7D13">
            <w:pPr>
              <w:pStyle w:val="naiskr"/>
              <w:jc w:val="both"/>
            </w:pPr>
            <w:r w:rsidRPr="008270B6">
              <w:rPr>
                <w:rFonts w:eastAsia="Calibri"/>
              </w:rPr>
              <w:t xml:space="preserve">Ņemot vērā iepriekšminēto, Ministrija uzskata, ka Ministru kabineta 2006.gada 1.augusta rīkojuma Nr.571 </w:t>
            </w:r>
            <w:r w:rsidRPr="008270B6">
              <w:rPr>
                <w:rFonts w:eastAsia="Calibri"/>
              </w:rPr>
              <w:lastRenderedPageBreak/>
              <w:t>4.punkts „</w:t>
            </w:r>
            <w:r w:rsidRPr="008270B6">
              <w:t xml:space="preserve">Ekonomikas ministrijai, sākot ar 2007.gadu, katru gadu līdz 1.jūlijam iesniegt Ministru kabinetā </w:t>
            </w:r>
            <w:r w:rsidRPr="008270B6">
              <w:rPr>
                <w:bCs/>
              </w:rPr>
              <w:t xml:space="preserve">informatīvo ziņojumu par pamatnostādnēs noteikto uzdevumu izpildi” </w:t>
            </w:r>
            <w:r w:rsidRPr="008270B6">
              <w:rPr>
                <w:rFonts w:eastAsia="Calibri"/>
              </w:rPr>
              <w:t xml:space="preserve">ir zaudējis aktualitāti un ir nepieciešams veikt grozījumus rīkojumā, svītrojot 4.punktu. </w:t>
            </w:r>
          </w:p>
        </w:tc>
      </w:tr>
      <w:tr w:rsidR="0089380C" w:rsidRPr="00437897" w:rsidTr="00DD0D72">
        <w:trPr>
          <w:trHeight w:val="657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lastRenderedPageBreak/>
              <w:t> 3.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 w:rsidP="008C222E">
            <w:pPr>
              <w:pStyle w:val="naiskr"/>
              <w:jc w:val="both"/>
            </w:pPr>
            <w:r w:rsidRPr="00437897">
              <w:t> Saistītie politikas ietekmes novērtējumi un pētījumi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1A6C2B" w:rsidP="00964F2B">
            <w:pPr>
              <w:pStyle w:val="naiskr"/>
            </w:pPr>
            <w:r w:rsidRPr="00437897">
              <w:t> </w:t>
            </w:r>
            <w:r w:rsidR="00964F2B" w:rsidRPr="00437897">
              <w:t>Projekts šo jomu neskar.</w:t>
            </w:r>
          </w:p>
        </w:tc>
      </w:tr>
      <w:tr w:rsidR="0089380C" w:rsidRPr="00437897" w:rsidTr="00DD0D72">
        <w:trPr>
          <w:trHeight w:val="384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4.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 w:rsidP="008C222E">
            <w:pPr>
              <w:pStyle w:val="naiskr"/>
              <w:jc w:val="both"/>
            </w:pPr>
            <w:r w:rsidRPr="00437897">
              <w:t> Tiesiskā regulējuma mērķis un būtība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5AE" w:rsidRPr="00437897" w:rsidRDefault="002811FD" w:rsidP="002F2B39">
            <w:pPr>
              <w:pStyle w:val="naiskr"/>
              <w:jc w:val="both"/>
            </w:pPr>
            <w:r w:rsidRPr="00437897">
              <w:t>Projekts šo jomu neskar.</w:t>
            </w:r>
          </w:p>
        </w:tc>
      </w:tr>
      <w:tr w:rsidR="0089380C" w:rsidRPr="00437897" w:rsidTr="00DD0D72">
        <w:trPr>
          <w:trHeight w:val="476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5.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</w:pPr>
            <w:r w:rsidRPr="00437897">
              <w:t> Projekta izstrādē iesaistītās institūcijas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437897" w:rsidP="002F2B39">
            <w:pPr>
              <w:pStyle w:val="naiskr"/>
              <w:jc w:val="both"/>
            </w:pPr>
            <w:r w:rsidRPr="00437897">
              <w:t>Ekonomikas ministrija</w:t>
            </w:r>
            <w:r w:rsidR="00964F2B" w:rsidRPr="00437897">
              <w:t>.</w:t>
            </w:r>
          </w:p>
        </w:tc>
      </w:tr>
      <w:tr w:rsidR="00AA1613" w:rsidRPr="00437897" w:rsidTr="00DD0D72">
        <w:trPr>
          <w:trHeight w:val="652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613" w:rsidRPr="00437897" w:rsidRDefault="00AA1613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6.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613" w:rsidRPr="00437897" w:rsidRDefault="00AA1613" w:rsidP="008C222E">
            <w:pPr>
              <w:pStyle w:val="naiskr"/>
              <w:jc w:val="both"/>
            </w:pPr>
            <w:r w:rsidRPr="00437897">
              <w:t> Iemesli, kādēļ netika nodrošināta sabiedrības līdzdalība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613" w:rsidRPr="00437897" w:rsidRDefault="00437897" w:rsidP="002811FD">
            <w:pPr>
              <w:pStyle w:val="naiskr"/>
              <w:jc w:val="both"/>
            </w:pPr>
            <w:r w:rsidRPr="00437897">
              <w:t>Sabiedrības līdzdalība nav nepieciešama</w:t>
            </w:r>
            <w:r w:rsidR="002811FD" w:rsidRPr="00437897">
              <w:t>.</w:t>
            </w:r>
          </w:p>
        </w:tc>
      </w:tr>
      <w:tr w:rsidR="00AA1613" w:rsidRPr="00437897" w:rsidTr="00DD0D72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613" w:rsidRPr="00437897" w:rsidRDefault="00AA1613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7.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613" w:rsidRPr="00437897" w:rsidRDefault="00AA1613">
            <w:pPr>
              <w:pStyle w:val="naiskr"/>
            </w:pPr>
            <w:r w:rsidRPr="00437897">
              <w:t> Cita informācija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613" w:rsidRPr="00437897" w:rsidRDefault="002811FD" w:rsidP="000C2D9A">
            <w:pPr>
              <w:pStyle w:val="naiskr"/>
              <w:rPr>
                <w:bCs/>
                <w:kern w:val="36"/>
              </w:rPr>
            </w:pPr>
            <w:r w:rsidRPr="00437897">
              <w:t>Nav.</w:t>
            </w:r>
          </w:p>
        </w:tc>
      </w:tr>
    </w:tbl>
    <w:p w:rsidR="0089380C" w:rsidRPr="00437897" w:rsidRDefault="0089380C" w:rsidP="0089380C">
      <w:pPr>
        <w:pStyle w:val="naisf"/>
        <w:rPr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9"/>
        <w:gridCol w:w="3040"/>
        <w:gridCol w:w="5542"/>
      </w:tblGrid>
      <w:tr w:rsidR="0089380C" w:rsidRPr="00437897" w:rsidTr="00684126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80C" w:rsidRPr="00437897" w:rsidRDefault="0089380C">
            <w:pPr>
              <w:pStyle w:val="naisnod"/>
              <w:rPr>
                <w:b/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</w:t>
            </w:r>
            <w:r w:rsidRPr="00437897">
              <w:rPr>
                <w:b/>
                <w:sz w:val="26"/>
                <w:szCs w:val="26"/>
              </w:rPr>
              <w:t>II. Tiesību akta projekta ietekme uz sabiedrību</w:t>
            </w:r>
          </w:p>
        </w:tc>
      </w:tr>
      <w:tr w:rsidR="00AA1613" w:rsidRPr="00437897" w:rsidTr="009421E2">
        <w:trPr>
          <w:trHeight w:val="467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613" w:rsidRPr="00437897" w:rsidRDefault="00AA1613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1.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613" w:rsidRPr="00437897" w:rsidRDefault="00AA1613">
            <w:pPr>
              <w:pStyle w:val="naiskr"/>
            </w:pPr>
            <w:r w:rsidRPr="00437897">
              <w:t xml:space="preserve"> Sabiedrības </w:t>
            </w:r>
            <w:proofErr w:type="spellStart"/>
            <w:r w:rsidRPr="00437897">
              <w:t>mērķgrupa</w:t>
            </w:r>
            <w:proofErr w:type="spellEnd"/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613" w:rsidRPr="00437897" w:rsidRDefault="00AA1613" w:rsidP="002811FD">
            <w:pPr>
              <w:pStyle w:val="naiskr"/>
              <w:spacing w:before="0" w:after="0"/>
              <w:ind w:hanging="57"/>
              <w:jc w:val="both"/>
            </w:pPr>
            <w:r w:rsidRPr="00437897">
              <w:t>  </w:t>
            </w:r>
            <w:r w:rsidR="002811FD" w:rsidRPr="00437897">
              <w:rPr>
                <w:iCs/>
              </w:rPr>
              <w:t>Nav.</w:t>
            </w:r>
          </w:p>
        </w:tc>
      </w:tr>
      <w:tr w:rsidR="0089380C" w:rsidRPr="00437897" w:rsidTr="009421E2">
        <w:trPr>
          <w:trHeight w:val="523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2.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</w:pPr>
            <w:r w:rsidRPr="00437897">
              <w:t xml:space="preserve"> Citas sabiedrības grupas (bez </w:t>
            </w:r>
            <w:proofErr w:type="spellStart"/>
            <w:r w:rsidRPr="00437897">
              <w:t>mērķgrupas</w:t>
            </w:r>
            <w:proofErr w:type="spellEnd"/>
            <w:r w:rsidRPr="00437897">
              <w:t>), kuras tiesiskais regulējums arī ietekmē vai varētu ietekmēt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 w:rsidP="00437897">
            <w:pPr>
              <w:pStyle w:val="naiskr"/>
            </w:pPr>
            <w:r w:rsidRPr="00437897">
              <w:t> </w:t>
            </w:r>
            <w:r w:rsidR="00437897" w:rsidRPr="00437897">
              <w:t>Nav</w:t>
            </w:r>
            <w:r w:rsidR="00964F2B" w:rsidRPr="00437897">
              <w:t>.</w:t>
            </w:r>
          </w:p>
        </w:tc>
      </w:tr>
      <w:tr w:rsidR="0089380C" w:rsidRPr="00437897" w:rsidTr="009421E2">
        <w:trPr>
          <w:trHeight w:val="517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3.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Tiesiskā regulējuma finansiālā ietekme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FE7D13" w:rsidRDefault="007A7613" w:rsidP="002F2B39">
            <w:pPr>
              <w:pStyle w:val="naiskr"/>
              <w:jc w:val="both"/>
            </w:pPr>
            <w:r w:rsidRPr="00FE7D13">
              <w:t>Noteikumu projekts nerada finansiālo ietekmi valsts budžetam</w:t>
            </w:r>
            <w:r w:rsidR="001C0CBF" w:rsidRPr="00FE7D13">
              <w:t>.</w:t>
            </w:r>
          </w:p>
        </w:tc>
      </w:tr>
      <w:tr w:rsidR="0089380C" w:rsidRPr="00437897" w:rsidTr="009421E2">
        <w:trPr>
          <w:trHeight w:val="517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4.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Tiesiskā regulējuma nefinansiālā ietekme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437897" w:rsidP="00964F2B">
            <w:pPr>
              <w:pStyle w:val="naiskr"/>
              <w:jc w:val="both"/>
              <w:rPr>
                <w:sz w:val="26"/>
                <w:szCs w:val="26"/>
              </w:rPr>
            </w:pPr>
            <w:r w:rsidRPr="00437897">
              <w:t>Nav</w:t>
            </w:r>
            <w:r w:rsidR="002811FD" w:rsidRPr="00437897">
              <w:t>.</w:t>
            </w:r>
          </w:p>
        </w:tc>
      </w:tr>
      <w:tr w:rsidR="0089380C" w:rsidRPr="00437897" w:rsidTr="009421E2">
        <w:trPr>
          <w:trHeight w:val="531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5.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Administratīvās procedūras raksturojums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F2B" w:rsidRPr="00437897" w:rsidRDefault="0089380C" w:rsidP="00964F2B">
            <w:pPr>
              <w:pStyle w:val="naiskr"/>
              <w:jc w:val="both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</w:t>
            </w:r>
            <w:r w:rsidR="00964F2B" w:rsidRPr="00437897">
              <w:rPr>
                <w:sz w:val="26"/>
                <w:szCs w:val="26"/>
              </w:rPr>
              <w:t xml:space="preserve">Projekts šo jomu neskar. </w:t>
            </w:r>
          </w:p>
          <w:p w:rsidR="0089380C" w:rsidRPr="00437897" w:rsidRDefault="0089380C" w:rsidP="007A7613">
            <w:pPr>
              <w:pStyle w:val="naiskr"/>
              <w:jc w:val="both"/>
              <w:rPr>
                <w:sz w:val="26"/>
                <w:szCs w:val="26"/>
              </w:rPr>
            </w:pPr>
          </w:p>
        </w:tc>
      </w:tr>
      <w:tr w:rsidR="0089380C" w:rsidRPr="00437897" w:rsidTr="009421E2">
        <w:trPr>
          <w:trHeight w:val="357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6.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Administratīvo izmaksu monetārs novērtējums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 w:rsidP="00EE2530">
            <w:pPr>
              <w:pStyle w:val="naiskr"/>
              <w:jc w:val="both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</w:t>
            </w:r>
            <w:r w:rsidR="00964F2B" w:rsidRPr="00437897">
              <w:rPr>
                <w:sz w:val="26"/>
                <w:szCs w:val="26"/>
              </w:rPr>
              <w:t>Projekts šo jomu neskar.</w:t>
            </w:r>
          </w:p>
        </w:tc>
      </w:tr>
      <w:tr w:rsidR="0089380C" w:rsidRPr="00437897" w:rsidTr="009421E2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7.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Cita informācija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</w:t>
            </w:r>
            <w:r w:rsidR="00510E71" w:rsidRPr="00437897">
              <w:rPr>
                <w:sz w:val="26"/>
                <w:szCs w:val="26"/>
              </w:rPr>
              <w:t>Nav.</w:t>
            </w:r>
          </w:p>
        </w:tc>
      </w:tr>
    </w:tbl>
    <w:p w:rsidR="0089380C" w:rsidRPr="00437897" w:rsidRDefault="0089380C" w:rsidP="0089380C">
      <w:pPr>
        <w:pStyle w:val="naisf"/>
        <w:rPr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6"/>
        <w:gridCol w:w="3762"/>
        <w:gridCol w:w="4833"/>
      </w:tblGrid>
      <w:tr w:rsidR="0089380C" w:rsidRPr="00437897" w:rsidTr="009421E2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c"/>
              <w:rPr>
                <w:sz w:val="26"/>
                <w:szCs w:val="26"/>
              </w:rPr>
            </w:pPr>
            <w:r w:rsidRPr="00437897">
              <w:rPr>
                <w:b/>
                <w:bCs/>
                <w:sz w:val="26"/>
                <w:szCs w:val="26"/>
              </w:rPr>
              <w:t> VII. Tiesību akta projekta izpildes nodrošināšana un tās ietekme uz institūcijām</w:t>
            </w:r>
          </w:p>
        </w:tc>
      </w:tr>
      <w:tr w:rsidR="0089380C" w:rsidRPr="00437897" w:rsidTr="009421E2">
        <w:trPr>
          <w:trHeight w:val="427"/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1.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Projekta izpildē iesaistītās institūcijas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2811FD" w:rsidP="00307109">
            <w:pPr>
              <w:pStyle w:val="naiskr"/>
              <w:jc w:val="both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Ekonomikas ministrija</w:t>
            </w:r>
            <w:r w:rsidR="00C56A93" w:rsidRPr="00437897">
              <w:rPr>
                <w:sz w:val="26"/>
                <w:szCs w:val="26"/>
              </w:rPr>
              <w:t>.</w:t>
            </w:r>
          </w:p>
        </w:tc>
      </w:tr>
      <w:tr w:rsidR="0089380C" w:rsidRPr="00437897" w:rsidTr="009421E2">
        <w:trPr>
          <w:trHeight w:val="463"/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2.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Projekta izpildes ietekme uz pārvaldes funkcijām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2811FD" w:rsidP="00115B9B">
            <w:pPr>
              <w:pStyle w:val="naiskr"/>
              <w:jc w:val="both"/>
              <w:rPr>
                <w:sz w:val="26"/>
                <w:szCs w:val="26"/>
              </w:rPr>
            </w:pPr>
            <w:r w:rsidRPr="00437897">
              <w:t>Projekts šo jomu neskar.</w:t>
            </w:r>
          </w:p>
        </w:tc>
      </w:tr>
      <w:tr w:rsidR="0089380C" w:rsidRPr="00437897" w:rsidTr="009421E2">
        <w:trPr>
          <w:trHeight w:val="725"/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3.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Projekta izpildes ietekme uz pārvaldes institucionālo struktūru.</w:t>
            </w:r>
          </w:p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Jaunu institūciju izveide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</w:t>
            </w:r>
            <w:r w:rsidR="00115B9B" w:rsidRPr="00437897">
              <w:rPr>
                <w:sz w:val="26"/>
                <w:szCs w:val="26"/>
              </w:rPr>
              <w:t>Projekts šo jomu neskar.</w:t>
            </w:r>
          </w:p>
        </w:tc>
      </w:tr>
      <w:tr w:rsidR="0089380C" w:rsidRPr="00437897" w:rsidTr="009421E2">
        <w:trPr>
          <w:trHeight w:val="780"/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4.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Projekta izpildes ietekme uz pārvaldes institucionālo struktūru.</w:t>
            </w:r>
          </w:p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Esošu institūciju likvidācija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</w:t>
            </w:r>
            <w:r w:rsidR="00115B9B" w:rsidRPr="00437897">
              <w:rPr>
                <w:sz w:val="26"/>
                <w:szCs w:val="26"/>
              </w:rPr>
              <w:t>Projekts šo jomu neskar.</w:t>
            </w:r>
          </w:p>
        </w:tc>
      </w:tr>
      <w:tr w:rsidR="0089380C" w:rsidRPr="00437897" w:rsidTr="009421E2">
        <w:trPr>
          <w:trHeight w:val="703"/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5.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B9B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Projekta izpildes ietekme uz pārvaldes institucionālo struktūru.</w:t>
            </w:r>
          </w:p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Esošu institūciju reorganizācija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 w:rsidP="007C1A95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</w:t>
            </w:r>
            <w:r w:rsidR="00115B9B" w:rsidRPr="00437897">
              <w:rPr>
                <w:sz w:val="26"/>
                <w:szCs w:val="26"/>
              </w:rPr>
              <w:t>Projekts šo jomu neskar.</w:t>
            </w:r>
          </w:p>
        </w:tc>
      </w:tr>
      <w:tr w:rsidR="0089380C" w:rsidRPr="00437897" w:rsidTr="009421E2">
        <w:trPr>
          <w:trHeight w:val="476"/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6.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89380C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 Cita informācija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437897" w:rsidRDefault="007C1A95">
            <w:pPr>
              <w:pStyle w:val="naiskr"/>
              <w:rPr>
                <w:sz w:val="26"/>
                <w:szCs w:val="26"/>
              </w:rPr>
            </w:pPr>
            <w:r w:rsidRPr="00437897">
              <w:rPr>
                <w:sz w:val="26"/>
                <w:szCs w:val="26"/>
              </w:rPr>
              <w:t>Nav.</w:t>
            </w:r>
          </w:p>
        </w:tc>
      </w:tr>
    </w:tbl>
    <w:p w:rsidR="00435C4E" w:rsidRPr="00437897" w:rsidRDefault="00435C4E" w:rsidP="00435C4E">
      <w:pPr>
        <w:pStyle w:val="naisf"/>
        <w:tabs>
          <w:tab w:val="left" w:pos="5760"/>
        </w:tabs>
        <w:spacing w:before="0" w:after="0"/>
        <w:ind w:firstLine="720"/>
        <w:rPr>
          <w:sz w:val="26"/>
          <w:szCs w:val="26"/>
        </w:rPr>
      </w:pPr>
      <w:r w:rsidRPr="00437897">
        <w:rPr>
          <w:sz w:val="26"/>
          <w:szCs w:val="26"/>
        </w:rPr>
        <w:t>Anotācijas III, IV, V un VI sadaļa – </w:t>
      </w:r>
      <w:r w:rsidR="009421E2" w:rsidRPr="00437897">
        <w:rPr>
          <w:sz w:val="26"/>
          <w:szCs w:val="26"/>
        </w:rPr>
        <w:t>projekts šīs jomas neskar</w:t>
      </w:r>
    </w:p>
    <w:p w:rsidR="002364CF" w:rsidRDefault="002364CF" w:rsidP="002364CF">
      <w:pPr>
        <w:pStyle w:val="naisf"/>
        <w:tabs>
          <w:tab w:val="left" w:pos="6840"/>
        </w:tabs>
        <w:spacing w:before="0" w:after="0"/>
        <w:ind w:right="281"/>
        <w:rPr>
          <w:sz w:val="28"/>
          <w:szCs w:val="28"/>
        </w:rPr>
      </w:pPr>
    </w:p>
    <w:p w:rsidR="002364CF" w:rsidRDefault="002364CF" w:rsidP="002364CF">
      <w:pPr>
        <w:pStyle w:val="naisf"/>
        <w:tabs>
          <w:tab w:val="left" w:pos="6840"/>
        </w:tabs>
        <w:spacing w:before="0" w:after="0"/>
        <w:ind w:right="281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2364CF" w:rsidRDefault="002364CF" w:rsidP="002364CF">
      <w:pPr>
        <w:tabs>
          <w:tab w:val="left" w:pos="1308"/>
          <w:tab w:val="left" w:pos="5886"/>
        </w:tabs>
        <w:ind w:right="281"/>
      </w:pPr>
    </w:p>
    <w:p w:rsidR="002364CF" w:rsidRDefault="002364CF" w:rsidP="002364CF">
      <w:pPr>
        <w:pStyle w:val="naisf"/>
        <w:spacing w:before="0" w:after="0"/>
        <w:ind w:right="281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D.Pavļuts</w:t>
      </w:r>
      <w:proofErr w:type="spellEnd"/>
    </w:p>
    <w:p w:rsidR="002364CF" w:rsidRDefault="002364CF" w:rsidP="002364CF">
      <w:pPr>
        <w:pStyle w:val="naisf"/>
        <w:spacing w:before="0" w:after="0"/>
        <w:ind w:right="281"/>
        <w:rPr>
          <w:sz w:val="28"/>
          <w:szCs w:val="28"/>
        </w:rPr>
      </w:pPr>
    </w:p>
    <w:p w:rsidR="002364CF" w:rsidRDefault="002364CF" w:rsidP="002364CF">
      <w:pPr>
        <w:pStyle w:val="naisf"/>
        <w:spacing w:before="0" w:after="0"/>
        <w:ind w:right="281"/>
        <w:rPr>
          <w:sz w:val="28"/>
          <w:szCs w:val="28"/>
        </w:rPr>
      </w:pPr>
      <w:r>
        <w:rPr>
          <w:sz w:val="28"/>
          <w:szCs w:val="28"/>
        </w:rPr>
        <w:t>Iesniedzējs: 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D.Pavļuts</w:t>
      </w:r>
      <w:proofErr w:type="spellEnd"/>
    </w:p>
    <w:p w:rsidR="002364CF" w:rsidRDefault="002364CF" w:rsidP="002364CF">
      <w:pPr>
        <w:tabs>
          <w:tab w:val="left" w:pos="12099"/>
        </w:tabs>
        <w:ind w:right="281"/>
      </w:pPr>
    </w:p>
    <w:p w:rsidR="002364CF" w:rsidRDefault="002364CF" w:rsidP="002364CF">
      <w:pPr>
        <w:tabs>
          <w:tab w:val="left" w:pos="12099"/>
        </w:tabs>
        <w:ind w:right="281"/>
      </w:pPr>
    </w:p>
    <w:p w:rsidR="002364CF" w:rsidRDefault="002364CF" w:rsidP="002364CF">
      <w:pPr>
        <w:tabs>
          <w:tab w:val="left" w:pos="12099"/>
        </w:tabs>
        <w:ind w:left="654" w:right="281"/>
      </w:pPr>
      <w:r>
        <w:tab/>
      </w:r>
      <w:proofErr w:type="spellStart"/>
      <w:r>
        <w:t>D.Pavļuts</w:t>
      </w:r>
      <w:proofErr w:type="spellEnd"/>
      <w:r>
        <w:tab/>
      </w:r>
    </w:p>
    <w:p w:rsidR="002364CF" w:rsidRDefault="002364CF" w:rsidP="002364CF">
      <w:pPr>
        <w:pStyle w:val="naisf"/>
        <w:spacing w:before="0" w:after="0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J.Pūce</w:t>
      </w:r>
    </w:p>
    <w:p w:rsidR="002364CF" w:rsidRDefault="002364CF" w:rsidP="002364CF">
      <w:pPr>
        <w:pStyle w:val="naisf"/>
        <w:spacing w:before="0" w:after="0"/>
        <w:ind w:firstLine="426"/>
        <w:rPr>
          <w:sz w:val="28"/>
          <w:szCs w:val="28"/>
        </w:rPr>
      </w:pPr>
    </w:p>
    <w:p w:rsidR="002364CF" w:rsidRDefault="002364CF" w:rsidP="002364CF">
      <w:pPr>
        <w:rPr>
          <w:bCs/>
          <w:spacing w:val="-1"/>
          <w:sz w:val="20"/>
          <w:szCs w:val="20"/>
        </w:rPr>
      </w:pPr>
      <w:r>
        <w:rPr>
          <w:bCs/>
          <w:spacing w:val="-1"/>
          <w:sz w:val="20"/>
          <w:szCs w:val="20"/>
        </w:rPr>
        <w:t xml:space="preserve"> </w:t>
      </w:r>
    </w:p>
    <w:p w:rsidR="002364CF" w:rsidRDefault="00B351F7" w:rsidP="002364CF">
      <w:fldSimple w:instr=" DATE  \@ &quot;dd.MM.yyyy HH:mm&quot;  \* MERGEFORMAT ">
        <w:r>
          <w:rPr>
            <w:noProof/>
          </w:rPr>
          <w:t>30.12.2011 08:41</w:t>
        </w:r>
      </w:fldSimple>
    </w:p>
    <w:p w:rsidR="00644395" w:rsidRDefault="005E78DC" w:rsidP="002364CF">
      <w:fldSimple w:instr=" NUMWORDS   \* MERGEFORMAT ">
        <w:r>
          <w:rPr>
            <w:noProof/>
          </w:rPr>
          <w:t>508</w:t>
        </w:r>
      </w:fldSimple>
    </w:p>
    <w:p w:rsidR="002364CF" w:rsidRPr="0065358A" w:rsidRDefault="00BA5E30" w:rsidP="002364CF">
      <w:r>
        <w:t xml:space="preserve">E. </w:t>
      </w:r>
      <w:r w:rsidR="002364CF" w:rsidRPr="0065358A">
        <w:t>Luca-Ratfeldere</w:t>
      </w:r>
    </w:p>
    <w:p w:rsidR="002364CF" w:rsidRPr="0065358A" w:rsidRDefault="002364CF" w:rsidP="002364CF">
      <w:r w:rsidRPr="0065358A">
        <w:t>67013113</w:t>
      </w:r>
    </w:p>
    <w:p w:rsidR="00435C4E" w:rsidRPr="002364CF" w:rsidRDefault="002364CF" w:rsidP="00D751B0">
      <w:pPr>
        <w:rPr>
          <w:color w:val="FF0000"/>
          <w:sz w:val="26"/>
          <w:szCs w:val="26"/>
        </w:rPr>
      </w:pPr>
      <w:r w:rsidRPr="0065358A">
        <w:t>Elina.Luca-Ratfeldere@em.gov.lv</w:t>
      </w:r>
    </w:p>
    <w:sectPr w:rsidR="00435C4E" w:rsidRPr="002364CF" w:rsidSect="000C624C">
      <w:headerReference w:type="default" r:id="rId6"/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CC" w:rsidRDefault="00BD14CC">
      <w:r>
        <w:separator/>
      </w:r>
    </w:p>
  </w:endnote>
  <w:endnote w:type="continuationSeparator" w:id="0">
    <w:p w:rsidR="00BD14CC" w:rsidRDefault="00BD1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FD" w:rsidRPr="003F7A44" w:rsidRDefault="008270B6" w:rsidP="002364CF">
    <w:pPr>
      <w:pStyle w:val="naisnod"/>
      <w:spacing w:before="0" w:beforeAutospacing="0" w:after="0" w:afterAutospacing="0"/>
      <w:jc w:val="both"/>
      <w:rPr>
        <w:b/>
        <w:bCs/>
        <w:sz w:val="26"/>
        <w:szCs w:val="26"/>
      </w:rPr>
    </w:pPr>
    <w:r>
      <w:rPr>
        <w:sz w:val="20"/>
        <w:szCs w:val="20"/>
      </w:rPr>
      <w:t>EMAnot_2812</w:t>
    </w:r>
    <w:r w:rsidR="002811FD">
      <w:rPr>
        <w:sz w:val="20"/>
        <w:szCs w:val="20"/>
      </w:rPr>
      <w:t>11_Pamatnostadnes</w:t>
    </w:r>
    <w:r w:rsidR="002811FD" w:rsidRPr="00DD0D72">
      <w:rPr>
        <w:sz w:val="20"/>
        <w:szCs w:val="20"/>
      </w:rPr>
      <w:t xml:space="preserve">; </w:t>
    </w:r>
    <w:r w:rsidR="002811FD" w:rsidRPr="002364CF">
      <w:rPr>
        <w:bCs/>
        <w:sz w:val="20"/>
        <w:szCs w:val="20"/>
      </w:rPr>
      <w:t>Ministru kabineta rīkojuma projekta „</w:t>
    </w:r>
    <w:r w:rsidR="002811FD" w:rsidRPr="002364CF">
      <w:rPr>
        <w:sz w:val="20"/>
        <w:szCs w:val="20"/>
      </w:rPr>
      <w:t xml:space="preserve">Grozījums Ministru kabineta </w:t>
    </w:r>
    <w:r w:rsidR="002811FD" w:rsidRPr="002364CF">
      <w:rPr>
        <w:rFonts w:eastAsia="Calibri"/>
        <w:sz w:val="20"/>
        <w:szCs w:val="20"/>
      </w:rPr>
      <w:t>2006.gada 1.augusta rīkojumā Nr.571 „</w:t>
    </w:r>
    <w:r w:rsidR="002811FD" w:rsidRPr="002364CF">
      <w:rPr>
        <w:sz w:val="20"/>
        <w:szCs w:val="20"/>
      </w:rPr>
      <w:t>Par Enerģētikas attīstības pamatnostādnēm 2007.–2016.gadam””</w:t>
    </w:r>
    <w:r w:rsidR="002811FD" w:rsidRPr="002364CF">
      <w:rPr>
        <w:bCs/>
        <w:sz w:val="20"/>
        <w:szCs w:val="20"/>
      </w:rPr>
      <w:t xml:space="preserve"> sākotnējās ietekmes novērtējuma ziņojums (anotācija)</w:t>
    </w:r>
    <w:r w:rsidR="002811FD" w:rsidRPr="003F7A44">
      <w:rPr>
        <w:b/>
        <w:bCs/>
        <w:sz w:val="26"/>
        <w:szCs w:val="26"/>
      </w:rPr>
      <w:t xml:space="preserve"> </w:t>
    </w:r>
  </w:p>
  <w:p w:rsidR="002811FD" w:rsidRPr="00DD0D72" w:rsidRDefault="002811FD" w:rsidP="00DD0D72">
    <w:pPr>
      <w:pStyle w:val="naisnod"/>
      <w:spacing w:before="0" w:beforeAutospacing="0" w:after="0" w:afterAutospacing="0"/>
      <w:jc w:val="both"/>
      <w:rPr>
        <w:bCs/>
        <w:sz w:val="20"/>
        <w:szCs w:val="20"/>
      </w:rPr>
    </w:pPr>
  </w:p>
  <w:p w:rsidR="002811FD" w:rsidRPr="00607FC1" w:rsidRDefault="002811FD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CC" w:rsidRDefault="00BD14CC">
      <w:r>
        <w:separator/>
      </w:r>
    </w:p>
  </w:footnote>
  <w:footnote w:type="continuationSeparator" w:id="0">
    <w:p w:rsidR="00BD14CC" w:rsidRDefault="00BD1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4391"/>
      <w:docPartObj>
        <w:docPartGallery w:val="Page Numbers (Top of Page)"/>
        <w:docPartUnique/>
      </w:docPartObj>
    </w:sdtPr>
    <w:sdtContent>
      <w:p w:rsidR="002811FD" w:rsidRDefault="00B24269">
        <w:pPr>
          <w:pStyle w:val="Header"/>
          <w:jc w:val="center"/>
        </w:pPr>
        <w:fldSimple w:instr=" PAGE   \* MERGEFORMAT ">
          <w:r w:rsidR="005E78DC">
            <w:rPr>
              <w:noProof/>
            </w:rPr>
            <w:t>3</w:t>
          </w:r>
        </w:fldSimple>
      </w:p>
    </w:sdtContent>
  </w:sdt>
  <w:p w:rsidR="002811FD" w:rsidRDefault="002811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380C"/>
    <w:rsid w:val="00005F79"/>
    <w:rsid w:val="00015274"/>
    <w:rsid w:val="00023BE0"/>
    <w:rsid w:val="00065F75"/>
    <w:rsid w:val="000751CC"/>
    <w:rsid w:val="0008083E"/>
    <w:rsid w:val="00083D0E"/>
    <w:rsid w:val="00085923"/>
    <w:rsid w:val="00090B04"/>
    <w:rsid w:val="00091A47"/>
    <w:rsid w:val="00092EC2"/>
    <w:rsid w:val="000A20CA"/>
    <w:rsid w:val="000A4398"/>
    <w:rsid w:val="000B2F14"/>
    <w:rsid w:val="000C2D9A"/>
    <w:rsid w:val="000C3A7F"/>
    <w:rsid w:val="000C4F32"/>
    <w:rsid w:val="000C5C51"/>
    <w:rsid w:val="000C624C"/>
    <w:rsid w:val="000D7D82"/>
    <w:rsid w:val="000F0035"/>
    <w:rsid w:val="0010592B"/>
    <w:rsid w:val="00115B9B"/>
    <w:rsid w:val="00117CA8"/>
    <w:rsid w:val="001202B6"/>
    <w:rsid w:val="0012248A"/>
    <w:rsid w:val="00131719"/>
    <w:rsid w:val="00144309"/>
    <w:rsid w:val="00146184"/>
    <w:rsid w:val="00147B5F"/>
    <w:rsid w:val="00152D05"/>
    <w:rsid w:val="0015761D"/>
    <w:rsid w:val="00171B35"/>
    <w:rsid w:val="00181BC2"/>
    <w:rsid w:val="00183897"/>
    <w:rsid w:val="00197BE3"/>
    <w:rsid w:val="001A6C2B"/>
    <w:rsid w:val="001A72AA"/>
    <w:rsid w:val="001B4A32"/>
    <w:rsid w:val="001B4DC7"/>
    <w:rsid w:val="001C0CBF"/>
    <w:rsid w:val="001D1B66"/>
    <w:rsid w:val="001F1BCD"/>
    <w:rsid w:val="001F72E1"/>
    <w:rsid w:val="00212C50"/>
    <w:rsid w:val="00213A4F"/>
    <w:rsid w:val="0021467F"/>
    <w:rsid w:val="00230712"/>
    <w:rsid w:val="002364CF"/>
    <w:rsid w:val="002811FD"/>
    <w:rsid w:val="0028250F"/>
    <w:rsid w:val="002830FC"/>
    <w:rsid w:val="00292262"/>
    <w:rsid w:val="00296DB0"/>
    <w:rsid w:val="002B708A"/>
    <w:rsid w:val="002D7C67"/>
    <w:rsid w:val="002E584A"/>
    <w:rsid w:val="002F2B39"/>
    <w:rsid w:val="0030164A"/>
    <w:rsid w:val="00307109"/>
    <w:rsid w:val="00313298"/>
    <w:rsid w:val="003162F5"/>
    <w:rsid w:val="00322ACC"/>
    <w:rsid w:val="00325030"/>
    <w:rsid w:val="003255EE"/>
    <w:rsid w:val="00332B3F"/>
    <w:rsid w:val="00355EED"/>
    <w:rsid w:val="00360EEC"/>
    <w:rsid w:val="00377D1F"/>
    <w:rsid w:val="003861BD"/>
    <w:rsid w:val="003938D5"/>
    <w:rsid w:val="003A2002"/>
    <w:rsid w:val="003A221E"/>
    <w:rsid w:val="003A5245"/>
    <w:rsid w:val="003A6D77"/>
    <w:rsid w:val="003B65AE"/>
    <w:rsid w:val="003D2F6E"/>
    <w:rsid w:val="003E2004"/>
    <w:rsid w:val="003E6E20"/>
    <w:rsid w:val="003E705A"/>
    <w:rsid w:val="003F2BB9"/>
    <w:rsid w:val="003F7923"/>
    <w:rsid w:val="003F7A44"/>
    <w:rsid w:val="0043460D"/>
    <w:rsid w:val="00435C4E"/>
    <w:rsid w:val="00437897"/>
    <w:rsid w:val="004410C9"/>
    <w:rsid w:val="00443D93"/>
    <w:rsid w:val="00444F36"/>
    <w:rsid w:val="00452728"/>
    <w:rsid w:val="00457B66"/>
    <w:rsid w:val="004616D4"/>
    <w:rsid w:val="00470C42"/>
    <w:rsid w:val="004A7C3C"/>
    <w:rsid w:val="004B34C5"/>
    <w:rsid w:val="004C27A3"/>
    <w:rsid w:val="004D67E9"/>
    <w:rsid w:val="004F0038"/>
    <w:rsid w:val="00510E71"/>
    <w:rsid w:val="00515281"/>
    <w:rsid w:val="00516161"/>
    <w:rsid w:val="00525153"/>
    <w:rsid w:val="005502A9"/>
    <w:rsid w:val="00581469"/>
    <w:rsid w:val="0058287A"/>
    <w:rsid w:val="005905EA"/>
    <w:rsid w:val="00596B00"/>
    <w:rsid w:val="005D52E5"/>
    <w:rsid w:val="005D60E4"/>
    <w:rsid w:val="005E78DC"/>
    <w:rsid w:val="005F499B"/>
    <w:rsid w:val="00606F0F"/>
    <w:rsid w:val="00607FC1"/>
    <w:rsid w:val="0061285C"/>
    <w:rsid w:val="006153C6"/>
    <w:rsid w:val="006177A6"/>
    <w:rsid w:val="006279E3"/>
    <w:rsid w:val="00633CF4"/>
    <w:rsid w:val="0063700E"/>
    <w:rsid w:val="00644395"/>
    <w:rsid w:val="00662E99"/>
    <w:rsid w:val="00664D89"/>
    <w:rsid w:val="00667AC4"/>
    <w:rsid w:val="00683362"/>
    <w:rsid w:val="00684126"/>
    <w:rsid w:val="00684C53"/>
    <w:rsid w:val="0069091D"/>
    <w:rsid w:val="00693AC9"/>
    <w:rsid w:val="006974F4"/>
    <w:rsid w:val="006A06DE"/>
    <w:rsid w:val="006B5BA5"/>
    <w:rsid w:val="006B6539"/>
    <w:rsid w:val="006B6F27"/>
    <w:rsid w:val="006B7369"/>
    <w:rsid w:val="006C1054"/>
    <w:rsid w:val="006C390F"/>
    <w:rsid w:val="006C6203"/>
    <w:rsid w:val="006E4BB6"/>
    <w:rsid w:val="006E5148"/>
    <w:rsid w:val="006E56FB"/>
    <w:rsid w:val="006F320B"/>
    <w:rsid w:val="006F431E"/>
    <w:rsid w:val="00710F3A"/>
    <w:rsid w:val="007135F5"/>
    <w:rsid w:val="00720EFD"/>
    <w:rsid w:val="007213EE"/>
    <w:rsid w:val="00727BFD"/>
    <w:rsid w:val="00731681"/>
    <w:rsid w:val="00752EA8"/>
    <w:rsid w:val="00764D5D"/>
    <w:rsid w:val="00764F33"/>
    <w:rsid w:val="00774214"/>
    <w:rsid w:val="0079770B"/>
    <w:rsid w:val="007A2129"/>
    <w:rsid w:val="007A4CFE"/>
    <w:rsid w:val="007A7613"/>
    <w:rsid w:val="007C1A95"/>
    <w:rsid w:val="007D30CE"/>
    <w:rsid w:val="007E19D1"/>
    <w:rsid w:val="007F11D4"/>
    <w:rsid w:val="00814312"/>
    <w:rsid w:val="008270B6"/>
    <w:rsid w:val="008323C5"/>
    <w:rsid w:val="00840817"/>
    <w:rsid w:val="00853534"/>
    <w:rsid w:val="00871475"/>
    <w:rsid w:val="0089380C"/>
    <w:rsid w:val="008A2240"/>
    <w:rsid w:val="008A3446"/>
    <w:rsid w:val="008B4920"/>
    <w:rsid w:val="008C222E"/>
    <w:rsid w:val="008D6852"/>
    <w:rsid w:val="008E2E95"/>
    <w:rsid w:val="008F7768"/>
    <w:rsid w:val="009007CE"/>
    <w:rsid w:val="00911250"/>
    <w:rsid w:val="00922D54"/>
    <w:rsid w:val="00925158"/>
    <w:rsid w:val="009352A5"/>
    <w:rsid w:val="0094059E"/>
    <w:rsid w:val="009421E2"/>
    <w:rsid w:val="00944E33"/>
    <w:rsid w:val="00946975"/>
    <w:rsid w:val="0095727B"/>
    <w:rsid w:val="009622AF"/>
    <w:rsid w:val="00964F2B"/>
    <w:rsid w:val="00983F42"/>
    <w:rsid w:val="009B0D25"/>
    <w:rsid w:val="009B704F"/>
    <w:rsid w:val="009C4178"/>
    <w:rsid w:val="009C5B27"/>
    <w:rsid w:val="009F33F8"/>
    <w:rsid w:val="00A45F8E"/>
    <w:rsid w:val="00A55377"/>
    <w:rsid w:val="00A7178D"/>
    <w:rsid w:val="00A75B93"/>
    <w:rsid w:val="00AA1613"/>
    <w:rsid w:val="00AA2F10"/>
    <w:rsid w:val="00AA49CE"/>
    <w:rsid w:val="00AA51C0"/>
    <w:rsid w:val="00AC4D55"/>
    <w:rsid w:val="00AD12E3"/>
    <w:rsid w:val="00AD2C65"/>
    <w:rsid w:val="00AE2232"/>
    <w:rsid w:val="00AE57CA"/>
    <w:rsid w:val="00B15BB5"/>
    <w:rsid w:val="00B21B97"/>
    <w:rsid w:val="00B24269"/>
    <w:rsid w:val="00B2493A"/>
    <w:rsid w:val="00B27AAD"/>
    <w:rsid w:val="00B31BC4"/>
    <w:rsid w:val="00B3519B"/>
    <w:rsid w:val="00B351F7"/>
    <w:rsid w:val="00B47539"/>
    <w:rsid w:val="00B56B89"/>
    <w:rsid w:val="00B64182"/>
    <w:rsid w:val="00B6633A"/>
    <w:rsid w:val="00B71D07"/>
    <w:rsid w:val="00B8600D"/>
    <w:rsid w:val="00B90C13"/>
    <w:rsid w:val="00B91CA0"/>
    <w:rsid w:val="00BA5E30"/>
    <w:rsid w:val="00BB420A"/>
    <w:rsid w:val="00BD14CC"/>
    <w:rsid w:val="00BD4304"/>
    <w:rsid w:val="00BE3331"/>
    <w:rsid w:val="00BE6ACA"/>
    <w:rsid w:val="00BF2E38"/>
    <w:rsid w:val="00C10B63"/>
    <w:rsid w:val="00C23DA2"/>
    <w:rsid w:val="00C27CE7"/>
    <w:rsid w:val="00C43BF6"/>
    <w:rsid w:val="00C52054"/>
    <w:rsid w:val="00C56A93"/>
    <w:rsid w:val="00C60E5F"/>
    <w:rsid w:val="00C63108"/>
    <w:rsid w:val="00C641A5"/>
    <w:rsid w:val="00C64933"/>
    <w:rsid w:val="00CA4C33"/>
    <w:rsid w:val="00CA6B76"/>
    <w:rsid w:val="00CB4654"/>
    <w:rsid w:val="00CE37B4"/>
    <w:rsid w:val="00D04B59"/>
    <w:rsid w:val="00D34BD0"/>
    <w:rsid w:val="00D35394"/>
    <w:rsid w:val="00D411D3"/>
    <w:rsid w:val="00D721DB"/>
    <w:rsid w:val="00D751B0"/>
    <w:rsid w:val="00D85761"/>
    <w:rsid w:val="00DA34CD"/>
    <w:rsid w:val="00DB08E1"/>
    <w:rsid w:val="00DB116C"/>
    <w:rsid w:val="00DC3DE9"/>
    <w:rsid w:val="00DC7B61"/>
    <w:rsid w:val="00DD0D72"/>
    <w:rsid w:val="00DD2CDB"/>
    <w:rsid w:val="00DD528A"/>
    <w:rsid w:val="00E40368"/>
    <w:rsid w:val="00E6657E"/>
    <w:rsid w:val="00E75D3C"/>
    <w:rsid w:val="00E8796A"/>
    <w:rsid w:val="00EC4F25"/>
    <w:rsid w:val="00ED0E45"/>
    <w:rsid w:val="00ED708F"/>
    <w:rsid w:val="00EE1FDB"/>
    <w:rsid w:val="00EE2530"/>
    <w:rsid w:val="00EE300A"/>
    <w:rsid w:val="00F01C6E"/>
    <w:rsid w:val="00F17D87"/>
    <w:rsid w:val="00F20DA3"/>
    <w:rsid w:val="00F25D11"/>
    <w:rsid w:val="00F25D4D"/>
    <w:rsid w:val="00F3322B"/>
    <w:rsid w:val="00F3698F"/>
    <w:rsid w:val="00F40385"/>
    <w:rsid w:val="00F421D7"/>
    <w:rsid w:val="00F54A75"/>
    <w:rsid w:val="00F813D1"/>
    <w:rsid w:val="00F87FA1"/>
    <w:rsid w:val="00F92D34"/>
    <w:rsid w:val="00FA0B85"/>
    <w:rsid w:val="00FA545E"/>
    <w:rsid w:val="00FB4700"/>
    <w:rsid w:val="00FC642A"/>
    <w:rsid w:val="00FD02B2"/>
    <w:rsid w:val="00FE7D13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6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89380C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89380C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89380C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89380C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89380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40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408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4081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35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CharCharRakstz">
    <w:name w:val="Rakstz. Char Char Rakstz. Char Char Rakstz."/>
    <w:basedOn w:val="Normal"/>
    <w:rsid w:val="00F20D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Rakstz">
    <w:name w:val="Rakstz. Rakstz."/>
    <w:basedOn w:val="Normal"/>
    <w:rsid w:val="0012248A"/>
    <w:pPr>
      <w:spacing w:before="40"/>
    </w:pPr>
    <w:rPr>
      <w:lang w:val="pl-PL" w:eastAsia="pl-PL"/>
    </w:rPr>
  </w:style>
  <w:style w:type="character" w:styleId="CommentReference">
    <w:name w:val="annotation reference"/>
    <w:basedOn w:val="DefaultParagraphFont"/>
    <w:semiHidden/>
    <w:rsid w:val="006A06DE"/>
    <w:rPr>
      <w:sz w:val="16"/>
      <w:szCs w:val="16"/>
    </w:rPr>
  </w:style>
  <w:style w:type="paragraph" w:styleId="CommentText">
    <w:name w:val="annotation text"/>
    <w:basedOn w:val="Normal"/>
    <w:semiHidden/>
    <w:rsid w:val="006A06D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06DE"/>
    <w:rPr>
      <w:b/>
      <w:bCs/>
    </w:rPr>
  </w:style>
  <w:style w:type="character" w:styleId="Hyperlink">
    <w:name w:val="Hyperlink"/>
    <w:basedOn w:val="DefaultParagraphFont"/>
    <w:semiHidden/>
    <w:rsid w:val="00D751B0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D751B0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68412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708A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79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509</Words>
  <Characters>4063</Characters>
  <Application>Microsoft Office Word</Application>
  <DocSecurity>0</DocSecurity>
  <Lines>169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13.aprīļa noteikumos Nr.378 „Noteikumi par kapitālsabiedrību saraktu”</vt:lpstr>
    </vt:vector>
  </TitlesOfParts>
  <Company>Ārlietu ministrija</Company>
  <LinksUpToDate>false</LinksUpToDate>
  <CharactersWithSpaces>4479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mailto:elina.ergle@mfa.gov.lv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13.aprīļa noteikumos Nr.378 „Noteikumi par kapitālsabiedrību saraktu”</dc:title>
  <dc:subject>Sākotnējās ietekmes novērtējuma ziņotājs (anotācija)</dc:subject>
  <dc:creator>Jānis Bunkovskis</dc:creator>
  <cp:keywords/>
  <dc:description>janis.bunkovskis@em.gov.lv
67013170</dc:description>
  <cp:lastModifiedBy>Elīna Luca-Rātfeldere</cp:lastModifiedBy>
  <cp:revision>7</cp:revision>
  <cp:lastPrinted>2011-08-24T10:54:00Z</cp:lastPrinted>
  <dcterms:created xsi:type="dcterms:W3CDTF">2011-12-29T08:54:00Z</dcterms:created>
  <dcterms:modified xsi:type="dcterms:W3CDTF">2011-12-30T06:42:00Z</dcterms:modified>
</cp:coreProperties>
</file>