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D" w:rsidRPr="00506EBA" w:rsidRDefault="002422CD" w:rsidP="00D264A1">
      <w:pPr>
        <w:spacing w:after="12"/>
        <w:jc w:val="center"/>
        <w:rPr>
          <w:b/>
          <w:color w:val="000000" w:themeColor="text1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5"/>
      <w:r w:rsidRPr="00506EBA">
        <w:rPr>
          <w:b/>
          <w:color w:val="000000" w:themeColor="text1"/>
        </w:rPr>
        <w:t>Ministru kabineta noteikumu projekta</w:t>
      </w:r>
    </w:p>
    <w:p w:rsidR="008E1DF1" w:rsidRPr="00506EBA" w:rsidRDefault="00905962" w:rsidP="00D264A1">
      <w:pPr>
        <w:spacing w:after="12"/>
        <w:jc w:val="center"/>
        <w:rPr>
          <w:b/>
          <w:bCs/>
        </w:rPr>
      </w:pPr>
      <w:r w:rsidRPr="00506EBA">
        <w:rPr>
          <w:b/>
          <w:bCs/>
        </w:rPr>
        <w:t>„Grozījums</w:t>
      </w:r>
      <w:r w:rsidR="008E1DF1" w:rsidRPr="00506EBA">
        <w:rPr>
          <w:b/>
          <w:bCs/>
        </w:rPr>
        <w:t xml:space="preserve"> Ministru kabineta </w:t>
      </w:r>
      <w:r w:rsidR="008E1DF1" w:rsidRPr="00506EBA">
        <w:rPr>
          <w:b/>
        </w:rPr>
        <w:t xml:space="preserve">2010.gada 23.marta </w:t>
      </w:r>
      <w:r w:rsidR="008E1DF1" w:rsidRPr="00506EBA">
        <w:rPr>
          <w:b/>
          <w:bCs/>
        </w:rPr>
        <w:t>noteikumos Nr.271 „Ekonomikas ministrijas nolikums””</w:t>
      </w:r>
      <w:bookmarkEnd w:id="0"/>
      <w:bookmarkEnd w:id="1"/>
      <w:r w:rsidR="008E1DF1" w:rsidRPr="00506EBA">
        <w:rPr>
          <w:b/>
          <w:bCs/>
        </w:rPr>
        <w:t xml:space="preserve"> </w:t>
      </w:r>
    </w:p>
    <w:p w:rsidR="003925BB" w:rsidRPr="00506EBA" w:rsidRDefault="003925BB" w:rsidP="00D264A1">
      <w:pPr>
        <w:spacing w:after="12"/>
        <w:jc w:val="center"/>
        <w:rPr>
          <w:b/>
          <w:bCs/>
          <w:color w:val="000000" w:themeColor="text1"/>
        </w:rPr>
      </w:pPr>
      <w:r w:rsidRPr="00506EBA">
        <w:rPr>
          <w:b/>
          <w:bCs/>
          <w:color w:val="000000" w:themeColor="text1"/>
        </w:rPr>
        <w:t>sākotnējās ietekmes novērtējuma ziņojums (anotācija)</w:t>
      </w:r>
      <w:bookmarkEnd w:id="2"/>
      <w:bookmarkEnd w:id="3"/>
      <w:bookmarkEnd w:id="4"/>
    </w:p>
    <w:p w:rsidR="003925BB" w:rsidRPr="00506EBA" w:rsidRDefault="003925BB" w:rsidP="00D264A1">
      <w:pPr>
        <w:spacing w:after="12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913"/>
        <w:gridCol w:w="5953"/>
      </w:tblGrid>
      <w:tr w:rsidR="003925BB" w:rsidRPr="00506EBA" w:rsidTr="001A40E5">
        <w:trPr>
          <w:trHeight w:val="379"/>
        </w:trPr>
        <w:tc>
          <w:tcPr>
            <w:tcW w:w="9322" w:type="dxa"/>
            <w:gridSpan w:val="3"/>
            <w:vAlign w:val="center"/>
            <w:hideMark/>
          </w:tcPr>
          <w:p w:rsidR="003925BB" w:rsidRPr="00506EBA" w:rsidRDefault="003925BB" w:rsidP="00D264A1">
            <w:pPr>
              <w:spacing w:after="12"/>
              <w:jc w:val="center"/>
              <w:rPr>
                <w:b/>
                <w:color w:val="000000" w:themeColor="text1"/>
              </w:rPr>
            </w:pPr>
            <w:r w:rsidRPr="00506EBA">
              <w:rPr>
                <w:b/>
                <w:bCs/>
                <w:color w:val="000000" w:themeColor="text1"/>
              </w:rPr>
              <w:t>I. Tiesību akta projekta izstrādes nepieciešamība</w:t>
            </w:r>
          </w:p>
        </w:tc>
      </w:tr>
      <w:tr w:rsidR="003925BB" w:rsidRPr="00506EBA" w:rsidTr="00506EBA">
        <w:tc>
          <w:tcPr>
            <w:tcW w:w="456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1.</w:t>
            </w:r>
          </w:p>
        </w:tc>
        <w:tc>
          <w:tcPr>
            <w:tcW w:w="2913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Pamatojums</w:t>
            </w:r>
          </w:p>
        </w:tc>
        <w:tc>
          <w:tcPr>
            <w:tcW w:w="5953" w:type="dxa"/>
            <w:hideMark/>
          </w:tcPr>
          <w:p w:rsidR="00C45BBD" w:rsidRPr="00506EBA" w:rsidRDefault="00154154" w:rsidP="0087750C">
            <w:pPr>
              <w:jc w:val="both"/>
            </w:pPr>
            <w:r w:rsidRPr="00506EBA">
              <w:t>Ministru kabineta noteikumu projekta „</w:t>
            </w:r>
            <w:r w:rsidR="00905962" w:rsidRPr="00506EBA">
              <w:rPr>
                <w:bCs/>
              </w:rPr>
              <w:t>Grozījums</w:t>
            </w:r>
            <w:r w:rsidRPr="00506EBA">
              <w:rPr>
                <w:bCs/>
              </w:rPr>
              <w:t xml:space="preserve"> Ministru kabineta </w:t>
            </w:r>
            <w:r w:rsidRPr="00506EBA">
              <w:t xml:space="preserve">2010.gada 23.marta </w:t>
            </w:r>
            <w:r w:rsidRPr="00506EBA">
              <w:rPr>
                <w:bCs/>
              </w:rPr>
              <w:t>noteikumos Nr.271 „Ekonomikas ministrijas nolikums””</w:t>
            </w:r>
            <w:r w:rsidRPr="00506EBA">
              <w:t xml:space="preserve"> (turpmā</w:t>
            </w:r>
            <w:r w:rsidR="00FD1EEA" w:rsidRPr="00506EBA">
              <w:t>k –</w:t>
            </w:r>
            <w:r w:rsidR="00245C04" w:rsidRPr="00506EBA">
              <w:t xml:space="preserve"> </w:t>
            </w:r>
            <w:r w:rsidR="00FD1EEA" w:rsidRPr="00506EBA">
              <w:t>projekts) izstrādāšanas nepieciešamība izriet no</w:t>
            </w:r>
            <w:r w:rsidR="009B33DA" w:rsidRPr="00506EBA">
              <w:t xml:space="preserve"> </w:t>
            </w:r>
            <w:r w:rsidR="00FD1EEA" w:rsidRPr="00506EBA">
              <w:t>2011.gada 14.jū</w:t>
            </w:r>
            <w:r w:rsidR="0087750C">
              <w:t>lija</w:t>
            </w:r>
            <w:r w:rsidR="00FD1EEA" w:rsidRPr="00506EBA">
              <w:t xml:space="preserve"> grozījumiem likumā „Par sabiedrisko pakalpojumu regulatoriem”.</w:t>
            </w:r>
          </w:p>
        </w:tc>
      </w:tr>
      <w:tr w:rsidR="003925BB" w:rsidRPr="00506EBA" w:rsidTr="00506EBA">
        <w:trPr>
          <w:trHeight w:val="415"/>
        </w:trPr>
        <w:tc>
          <w:tcPr>
            <w:tcW w:w="456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2.</w:t>
            </w:r>
          </w:p>
        </w:tc>
        <w:tc>
          <w:tcPr>
            <w:tcW w:w="2913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Pašreizējā situācija un problēmas</w:t>
            </w:r>
          </w:p>
        </w:tc>
        <w:tc>
          <w:tcPr>
            <w:tcW w:w="5953" w:type="dxa"/>
            <w:hideMark/>
          </w:tcPr>
          <w:p w:rsidR="009B33DA" w:rsidRPr="00506EBA" w:rsidRDefault="00905962" w:rsidP="00C8572E">
            <w:pPr>
              <w:jc w:val="both"/>
              <w:rPr>
                <w:rFonts w:ascii="Verdana" w:hAnsi="Verdana"/>
              </w:rPr>
            </w:pPr>
            <w:r w:rsidRPr="00506EBA">
              <w:t>Šobrīd</w:t>
            </w:r>
            <w:r w:rsidRPr="00506EBA">
              <w:rPr>
                <w:bCs/>
              </w:rPr>
              <w:t xml:space="preserve"> </w:t>
            </w:r>
            <w:r w:rsidR="009B33DA" w:rsidRPr="00506EBA">
              <w:rPr>
                <w:bCs/>
              </w:rPr>
              <w:t xml:space="preserve">Ministru kabineta </w:t>
            </w:r>
            <w:r w:rsidR="009B33DA" w:rsidRPr="00506EBA">
              <w:t xml:space="preserve">2010.gada 23.marta </w:t>
            </w:r>
            <w:r w:rsidR="009B33DA" w:rsidRPr="00506EBA">
              <w:rPr>
                <w:bCs/>
              </w:rPr>
              <w:t>noteikumu Nr.271 „Ekonomikas ministrijas nolikums” (turpmāk - Ekonomi</w:t>
            </w:r>
            <w:r w:rsidR="00985660" w:rsidRPr="00506EBA">
              <w:rPr>
                <w:bCs/>
              </w:rPr>
              <w:t xml:space="preserve">kas ministrijas nolikums) </w:t>
            </w:r>
            <w:r w:rsidR="009B33DA" w:rsidRPr="00506EBA">
              <w:rPr>
                <w:bCs/>
              </w:rPr>
              <w:t>26.punkts noteic, ka m</w:t>
            </w:r>
            <w:r w:rsidR="009B33DA" w:rsidRPr="00506EBA">
              <w:t>inistrijas pārraudzībā ir atvasināta publiska persona – Sabiedrisko pakalpojumu regulēšanas komisija.</w:t>
            </w:r>
            <w:r w:rsidR="0060333B" w:rsidRPr="00506EBA">
              <w:t xml:space="preserve"> Ar</w:t>
            </w:r>
            <w:r w:rsidR="009B33DA" w:rsidRPr="00506EBA">
              <w:t xml:space="preserve"> 2011.gada 14.</w:t>
            </w:r>
            <w:r w:rsidR="0087750C" w:rsidRPr="00506EBA">
              <w:t>jū</w:t>
            </w:r>
            <w:r w:rsidR="0087750C">
              <w:t>lija</w:t>
            </w:r>
            <w:r w:rsidR="009B33DA" w:rsidRPr="00506EBA">
              <w:t xml:space="preserve"> grozījumi</w:t>
            </w:r>
            <w:r w:rsidR="0060333B" w:rsidRPr="00506EBA">
              <w:t>em</w:t>
            </w:r>
            <w:r w:rsidR="009B33DA" w:rsidRPr="00506EBA">
              <w:t xml:space="preserve"> likumā „Par sabiedrisko pakalpojumu regulatoriem”</w:t>
            </w:r>
            <w:r w:rsidR="0060333B" w:rsidRPr="00506EBA">
              <w:t xml:space="preserve"> paredzēts noteikt, ka Sabiedrisko pakalpojumu regulēšanas komisija ir institucionāli un funkcionāli neatkarīgs, pilntiesīgs, autonoms publisk</w:t>
            </w:r>
            <w:r w:rsidR="00245C04" w:rsidRPr="00506EBA">
              <w:t>o tiesību subjekts un patstāvīga</w:t>
            </w:r>
            <w:r w:rsidR="0060333B" w:rsidRPr="00506EBA">
              <w:t xml:space="preserve"> sava liku</w:t>
            </w:r>
            <w:r w:rsidRPr="00506EBA">
              <w:t xml:space="preserve">mā apstiprinātā budžeta izpildē, līdz ar to nepieciešams saskaņot minēto </w:t>
            </w:r>
            <w:r w:rsidR="00245C04" w:rsidRPr="00506EBA">
              <w:rPr>
                <w:bCs/>
              </w:rPr>
              <w:t>normatīvo aktu regulējum</w:t>
            </w:r>
            <w:r w:rsidRPr="00506EBA">
              <w:rPr>
                <w:bCs/>
              </w:rPr>
              <w:t>u</w:t>
            </w:r>
            <w:r w:rsidR="0060333B" w:rsidRPr="00506EBA">
              <w:t>.</w:t>
            </w:r>
          </w:p>
        </w:tc>
      </w:tr>
      <w:tr w:rsidR="003925BB" w:rsidRPr="00506EBA" w:rsidTr="00506EBA">
        <w:tc>
          <w:tcPr>
            <w:tcW w:w="456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3.</w:t>
            </w:r>
          </w:p>
        </w:tc>
        <w:tc>
          <w:tcPr>
            <w:tcW w:w="2913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Saistītie politikas ietekmes novērtējumi un pētījumi</w:t>
            </w:r>
          </w:p>
        </w:tc>
        <w:tc>
          <w:tcPr>
            <w:tcW w:w="5953" w:type="dxa"/>
            <w:hideMark/>
          </w:tcPr>
          <w:p w:rsidR="00101E11" w:rsidRPr="0087750C" w:rsidRDefault="0087750C" w:rsidP="0087750C">
            <w:pPr>
              <w:spacing w:after="12"/>
              <w:rPr>
                <w:color w:val="000000" w:themeColor="text1"/>
              </w:rPr>
            </w:pPr>
            <w:r w:rsidRPr="0087750C">
              <w:rPr>
                <w:iCs/>
              </w:rPr>
              <w:t>Projekts šo jomu neskar</w:t>
            </w:r>
            <w:r w:rsidR="00504759" w:rsidRPr="0087750C">
              <w:rPr>
                <w:color w:val="000000" w:themeColor="text1"/>
              </w:rPr>
              <w:t>.</w:t>
            </w:r>
          </w:p>
        </w:tc>
      </w:tr>
      <w:tr w:rsidR="003925BB" w:rsidRPr="00506EBA" w:rsidTr="00506EBA">
        <w:tc>
          <w:tcPr>
            <w:tcW w:w="456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4.</w:t>
            </w:r>
          </w:p>
        </w:tc>
        <w:tc>
          <w:tcPr>
            <w:tcW w:w="2913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Tiesiskā regulējuma mērķis un būtība</w:t>
            </w:r>
          </w:p>
        </w:tc>
        <w:tc>
          <w:tcPr>
            <w:tcW w:w="5953" w:type="dxa"/>
            <w:hideMark/>
          </w:tcPr>
          <w:p w:rsidR="00E07B2E" w:rsidRPr="00506EBA" w:rsidRDefault="00245C04" w:rsidP="00905962">
            <w:pPr>
              <w:jc w:val="both"/>
            </w:pPr>
            <w:r w:rsidRPr="00506EBA">
              <w:t>P</w:t>
            </w:r>
            <w:r w:rsidR="007319E0" w:rsidRPr="00506EBA">
              <w:t>rojekts</w:t>
            </w:r>
            <w:r w:rsidR="00D256BD" w:rsidRPr="00506EBA">
              <w:t xml:space="preserve"> paredz </w:t>
            </w:r>
            <w:r w:rsidR="0060333B" w:rsidRPr="00506EBA">
              <w:rPr>
                <w:bCs/>
              </w:rPr>
              <w:t xml:space="preserve">Ekonomikas ministrijas nolikumā </w:t>
            </w:r>
            <w:r w:rsidR="00D256BD" w:rsidRPr="00506EBA">
              <w:t>svītrot</w:t>
            </w:r>
            <w:r w:rsidR="0060333B" w:rsidRPr="00506EBA">
              <w:t xml:space="preserve"> </w:t>
            </w:r>
            <w:r w:rsidR="0060333B" w:rsidRPr="00506EBA">
              <w:rPr>
                <w:bCs/>
              </w:rPr>
              <w:t xml:space="preserve">26.punktu, kas noteic </w:t>
            </w:r>
            <w:r w:rsidR="0060333B" w:rsidRPr="00506EBA">
              <w:t xml:space="preserve">Sabiedrisko pakalpojumu regulēšanas komisiju kā </w:t>
            </w:r>
            <w:r w:rsidR="0060333B" w:rsidRPr="00506EBA">
              <w:rPr>
                <w:bCs/>
              </w:rPr>
              <w:t>Ekonomikas</w:t>
            </w:r>
            <w:r w:rsidR="0060333B" w:rsidRPr="00506EBA">
              <w:t xml:space="preserve"> ministrijas pārraudzībā esošu atvasinātu publisko personu.</w:t>
            </w:r>
            <w:r w:rsidR="0060333B" w:rsidRPr="00506EBA">
              <w:rPr>
                <w:bCs/>
              </w:rPr>
              <w:t xml:space="preserve"> </w:t>
            </w:r>
          </w:p>
        </w:tc>
      </w:tr>
      <w:tr w:rsidR="003925BB" w:rsidRPr="00506EBA" w:rsidTr="00506EBA">
        <w:tc>
          <w:tcPr>
            <w:tcW w:w="456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5.</w:t>
            </w:r>
          </w:p>
        </w:tc>
        <w:tc>
          <w:tcPr>
            <w:tcW w:w="2913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5953" w:type="dxa"/>
            <w:hideMark/>
          </w:tcPr>
          <w:p w:rsidR="00101E11" w:rsidRPr="00506EBA" w:rsidRDefault="00480684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 xml:space="preserve">Projektu izstrādāja </w:t>
            </w:r>
            <w:r w:rsidR="0060333B" w:rsidRPr="00506EBA">
              <w:rPr>
                <w:bCs/>
              </w:rPr>
              <w:t>Ekonomikas</w:t>
            </w:r>
            <w:r w:rsidR="0060333B" w:rsidRPr="00506EBA">
              <w:t xml:space="preserve"> ministrija</w:t>
            </w:r>
            <w:r w:rsidRPr="00506EBA">
              <w:rPr>
                <w:color w:val="000000" w:themeColor="text1"/>
              </w:rPr>
              <w:t>.</w:t>
            </w:r>
          </w:p>
        </w:tc>
      </w:tr>
      <w:tr w:rsidR="003925BB" w:rsidRPr="00506EBA" w:rsidTr="00506EBA">
        <w:tc>
          <w:tcPr>
            <w:tcW w:w="456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6.</w:t>
            </w:r>
          </w:p>
        </w:tc>
        <w:tc>
          <w:tcPr>
            <w:tcW w:w="2913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Iemesli, kādēļ netika nodrošināta sabiedrības līdzdalība</w:t>
            </w:r>
          </w:p>
        </w:tc>
        <w:tc>
          <w:tcPr>
            <w:tcW w:w="5953" w:type="dxa"/>
            <w:hideMark/>
          </w:tcPr>
          <w:p w:rsidR="00101E11" w:rsidRPr="00506EBA" w:rsidRDefault="007212CD" w:rsidP="00245C04">
            <w:pPr>
              <w:spacing w:after="12"/>
              <w:jc w:val="both"/>
            </w:pPr>
            <w:r w:rsidRPr="00506EBA">
              <w:t xml:space="preserve">Projekts </w:t>
            </w:r>
            <w:r w:rsidR="00245C04" w:rsidRPr="00506EBA">
              <w:t xml:space="preserve">precizē </w:t>
            </w:r>
            <w:r w:rsidR="00245C04" w:rsidRPr="00506EBA">
              <w:rPr>
                <w:bCs/>
              </w:rPr>
              <w:t>Ekonomikas ministrijas padotības iestāžu uzskatījumu</w:t>
            </w:r>
            <w:r w:rsidR="003D258F" w:rsidRPr="00506EBA">
              <w:rPr>
                <w:bCs/>
              </w:rPr>
              <w:t xml:space="preserve"> Ekonomikas ministrijas nolikumā</w:t>
            </w:r>
            <w:r w:rsidR="007319E0" w:rsidRPr="00506EBA">
              <w:t>,</w:t>
            </w:r>
            <w:r w:rsidR="000E687F" w:rsidRPr="00506EBA">
              <w:t xml:space="preserve"> t</w:t>
            </w:r>
            <w:r w:rsidRPr="00506EBA">
              <w:t>ādējādi p</w:t>
            </w:r>
            <w:r w:rsidR="00480684" w:rsidRPr="00506EBA">
              <w:rPr>
                <w:color w:val="000000" w:themeColor="text1"/>
              </w:rPr>
              <w:t>rojekts tiešā veidā neietekmē sabiedrības</w:t>
            </w:r>
            <w:r w:rsidRPr="00506EBA">
              <w:rPr>
                <w:color w:val="000000" w:themeColor="text1"/>
              </w:rPr>
              <w:t xml:space="preserve"> intereses.</w:t>
            </w:r>
            <w:r w:rsidR="00480684" w:rsidRPr="00506EBA">
              <w:rPr>
                <w:color w:val="000000" w:themeColor="text1"/>
              </w:rPr>
              <w:t xml:space="preserve"> </w:t>
            </w:r>
          </w:p>
        </w:tc>
      </w:tr>
      <w:tr w:rsidR="003925BB" w:rsidRPr="00506EBA" w:rsidTr="00506EBA">
        <w:tc>
          <w:tcPr>
            <w:tcW w:w="456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7.</w:t>
            </w:r>
          </w:p>
        </w:tc>
        <w:tc>
          <w:tcPr>
            <w:tcW w:w="2913" w:type="dxa"/>
            <w:hideMark/>
          </w:tcPr>
          <w:p w:rsidR="003925BB" w:rsidRPr="00506EBA" w:rsidRDefault="003925BB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 Cita informācija</w:t>
            </w:r>
          </w:p>
        </w:tc>
        <w:tc>
          <w:tcPr>
            <w:tcW w:w="5953" w:type="dxa"/>
            <w:hideMark/>
          </w:tcPr>
          <w:p w:rsidR="00101E11" w:rsidRPr="00506EBA" w:rsidRDefault="00101E11" w:rsidP="00D264A1">
            <w:pPr>
              <w:spacing w:after="12"/>
              <w:rPr>
                <w:color w:val="000000" w:themeColor="text1"/>
              </w:rPr>
            </w:pPr>
            <w:r w:rsidRPr="00506EBA">
              <w:rPr>
                <w:color w:val="000000" w:themeColor="text1"/>
              </w:rPr>
              <w:t>Nav</w:t>
            </w:r>
            <w:r w:rsidR="00580E1B" w:rsidRPr="00506EBA">
              <w:rPr>
                <w:color w:val="000000" w:themeColor="text1"/>
              </w:rPr>
              <w:t>.</w:t>
            </w:r>
          </w:p>
        </w:tc>
      </w:tr>
    </w:tbl>
    <w:p w:rsidR="003925BB" w:rsidRPr="00506EBA" w:rsidRDefault="003925BB" w:rsidP="00D264A1">
      <w:pPr>
        <w:spacing w:after="12"/>
        <w:rPr>
          <w:color w:val="000000" w:themeColor="text1"/>
        </w:rPr>
      </w:pPr>
      <w:r w:rsidRPr="00506EBA">
        <w:rPr>
          <w:color w:val="000000" w:themeColor="text1"/>
        </w:rPr>
        <w:t> </w:t>
      </w:r>
    </w:p>
    <w:p w:rsidR="00EC5E94" w:rsidRPr="00506EBA" w:rsidRDefault="00EC5E94" w:rsidP="00EC5E94">
      <w:pPr>
        <w:spacing w:after="12"/>
        <w:rPr>
          <w:i/>
          <w:iCs/>
          <w:color w:val="000000" w:themeColor="text1"/>
        </w:rPr>
      </w:pPr>
      <w:r w:rsidRPr="00506EBA">
        <w:rPr>
          <w:i/>
          <w:iCs/>
          <w:color w:val="000000" w:themeColor="text1"/>
        </w:rPr>
        <w:t xml:space="preserve">Anotācijas </w:t>
      </w:r>
      <w:r w:rsidR="00715C38" w:rsidRPr="00506EBA">
        <w:rPr>
          <w:i/>
          <w:iCs/>
          <w:color w:val="000000" w:themeColor="text1"/>
        </w:rPr>
        <w:t>II, III,</w:t>
      </w:r>
      <w:r w:rsidRPr="00506EBA">
        <w:rPr>
          <w:i/>
          <w:iCs/>
          <w:color w:val="000000" w:themeColor="text1"/>
        </w:rPr>
        <w:t xml:space="preserve"> </w:t>
      </w:r>
      <w:r w:rsidR="00245C04" w:rsidRPr="00506EBA">
        <w:rPr>
          <w:i/>
          <w:iCs/>
          <w:color w:val="000000" w:themeColor="text1"/>
        </w:rPr>
        <w:t xml:space="preserve">IV, </w:t>
      </w:r>
      <w:r w:rsidRPr="00506EBA">
        <w:rPr>
          <w:i/>
          <w:iCs/>
          <w:color w:val="000000" w:themeColor="text1"/>
        </w:rPr>
        <w:t>V, VI</w:t>
      </w:r>
      <w:r w:rsidR="00750693">
        <w:rPr>
          <w:i/>
          <w:iCs/>
          <w:color w:val="000000" w:themeColor="text1"/>
        </w:rPr>
        <w:t xml:space="preserve"> un</w:t>
      </w:r>
      <w:r w:rsidR="001A40E5" w:rsidRPr="00506EBA">
        <w:rPr>
          <w:i/>
          <w:iCs/>
          <w:color w:val="000000" w:themeColor="text1"/>
        </w:rPr>
        <w:t xml:space="preserve"> VII</w:t>
      </w:r>
      <w:r w:rsidR="00750693">
        <w:rPr>
          <w:i/>
          <w:iCs/>
          <w:color w:val="000000" w:themeColor="text1"/>
        </w:rPr>
        <w:t xml:space="preserve"> sadaļa </w:t>
      </w:r>
      <w:r w:rsidRPr="00506EBA">
        <w:rPr>
          <w:i/>
          <w:iCs/>
          <w:color w:val="000000" w:themeColor="text1"/>
        </w:rPr>
        <w:t>–</w:t>
      </w:r>
      <w:r w:rsidR="00750693">
        <w:rPr>
          <w:i/>
          <w:iCs/>
        </w:rPr>
        <w:t xml:space="preserve"> projekts šīs jomas neskar</w:t>
      </w:r>
      <w:r w:rsidRPr="00506EBA">
        <w:rPr>
          <w:i/>
          <w:iCs/>
          <w:color w:val="000000" w:themeColor="text1"/>
        </w:rPr>
        <w:t>.</w:t>
      </w:r>
    </w:p>
    <w:p w:rsidR="00EC5E94" w:rsidRPr="00506EBA" w:rsidRDefault="00EC5E94" w:rsidP="00A13300">
      <w:pPr>
        <w:spacing w:after="12"/>
        <w:rPr>
          <w:color w:val="000000" w:themeColor="text1"/>
        </w:rPr>
      </w:pPr>
      <w:r w:rsidRPr="00506EBA">
        <w:rPr>
          <w:color w:val="000000" w:themeColor="text1"/>
        </w:rPr>
        <w:t> </w:t>
      </w:r>
    </w:p>
    <w:p w:rsidR="00C30284" w:rsidRPr="00506EBA" w:rsidRDefault="00C30284" w:rsidP="00A13300">
      <w:pPr>
        <w:tabs>
          <w:tab w:val="left" w:pos="5812"/>
        </w:tabs>
        <w:spacing w:after="12"/>
        <w:rPr>
          <w:color w:val="000000" w:themeColor="text1"/>
        </w:rPr>
      </w:pPr>
    </w:p>
    <w:p w:rsidR="008E1DF1" w:rsidRPr="00506EBA" w:rsidRDefault="001A40E5" w:rsidP="008E1DF1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06EBA">
        <w:rPr>
          <w:rFonts w:ascii="Times New Roman" w:hAnsi="Times New Roman"/>
          <w:bCs/>
          <w:sz w:val="24"/>
          <w:szCs w:val="24"/>
        </w:rPr>
        <w:t xml:space="preserve">Ekonomikas ministrs </w:t>
      </w:r>
      <w:r w:rsidRPr="00506EBA">
        <w:rPr>
          <w:rFonts w:ascii="Times New Roman" w:hAnsi="Times New Roman"/>
          <w:bCs/>
          <w:sz w:val="24"/>
          <w:szCs w:val="24"/>
        </w:rPr>
        <w:tab/>
      </w:r>
      <w:r w:rsidRPr="00506EBA">
        <w:rPr>
          <w:rFonts w:ascii="Times New Roman" w:hAnsi="Times New Roman"/>
          <w:bCs/>
          <w:sz w:val="24"/>
          <w:szCs w:val="24"/>
        </w:rPr>
        <w:tab/>
      </w:r>
      <w:r w:rsidR="008E1DF1" w:rsidRPr="00506EBA">
        <w:rPr>
          <w:rFonts w:ascii="Times New Roman" w:hAnsi="Times New Roman"/>
          <w:bCs/>
          <w:sz w:val="24"/>
          <w:szCs w:val="24"/>
        </w:rPr>
        <w:tab/>
      </w:r>
      <w:r w:rsidR="008E1DF1" w:rsidRPr="00506EBA">
        <w:rPr>
          <w:rFonts w:ascii="Times New Roman" w:hAnsi="Times New Roman"/>
          <w:bCs/>
          <w:sz w:val="24"/>
          <w:szCs w:val="24"/>
        </w:rPr>
        <w:tab/>
      </w:r>
      <w:r w:rsidR="00506EBA" w:rsidRPr="00506EBA">
        <w:rPr>
          <w:rFonts w:ascii="Times New Roman" w:hAnsi="Times New Roman"/>
          <w:bCs/>
          <w:sz w:val="24"/>
          <w:szCs w:val="24"/>
        </w:rPr>
        <w:tab/>
      </w:r>
      <w:r w:rsidR="008E1DF1" w:rsidRPr="00506EBA">
        <w:rPr>
          <w:rFonts w:ascii="Times New Roman" w:hAnsi="Times New Roman"/>
          <w:bCs/>
          <w:sz w:val="24"/>
          <w:szCs w:val="24"/>
        </w:rPr>
        <w:tab/>
      </w:r>
      <w:r w:rsidR="008E1DF1" w:rsidRPr="00506EBA">
        <w:rPr>
          <w:rFonts w:ascii="Times New Roman" w:hAnsi="Times New Roman"/>
          <w:bCs/>
          <w:sz w:val="24"/>
          <w:szCs w:val="24"/>
        </w:rPr>
        <w:tab/>
      </w:r>
      <w:r w:rsidR="00506EBA">
        <w:rPr>
          <w:rFonts w:ascii="Times New Roman" w:hAnsi="Times New Roman"/>
          <w:bCs/>
          <w:sz w:val="24"/>
          <w:szCs w:val="24"/>
        </w:rPr>
        <w:t xml:space="preserve">              </w:t>
      </w:r>
      <w:r w:rsidR="008E1DF1" w:rsidRPr="00506EBA">
        <w:rPr>
          <w:rFonts w:ascii="Times New Roman" w:hAnsi="Times New Roman"/>
          <w:bCs/>
          <w:sz w:val="24"/>
          <w:szCs w:val="24"/>
        </w:rPr>
        <w:t xml:space="preserve">       A. Kampars </w:t>
      </w:r>
    </w:p>
    <w:p w:rsidR="008E1DF1" w:rsidRPr="00506EBA" w:rsidRDefault="008E1DF1" w:rsidP="008E1D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E1DF1" w:rsidRPr="00506EBA" w:rsidRDefault="008E1DF1" w:rsidP="008E1DF1">
      <w:pPr>
        <w:pStyle w:val="NoSpacing"/>
        <w:rPr>
          <w:rFonts w:ascii="Times New Roman" w:hAnsi="Times New Roman"/>
          <w:sz w:val="24"/>
          <w:szCs w:val="24"/>
        </w:rPr>
      </w:pPr>
    </w:p>
    <w:p w:rsidR="008E1DF1" w:rsidRPr="00506EBA" w:rsidRDefault="008E1DF1" w:rsidP="008E1DF1">
      <w:pPr>
        <w:pStyle w:val="NoSpacing"/>
        <w:rPr>
          <w:rFonts w:ascii="Times New Roman" w:hAnsi="Times New Roman"/>
          <w:sz w:val="24"/>
          <w:szCs w:val="24"/>
        </w:rPr>
      </w:pPr>
      <w:r w:rsidRPr="00506EBA">
        <w:rPr>
          <w:rFonts w:ascii="Times New Roman" w:hAnsi="Times New Roman"/>
          <w:bCs/>
          <w:sz w:val="24"/>
          <w:szCs w:val="24"/>
        </w:rPr>
        <w:t>Vīza:</w:t>
      </w:r>
    </w:p>
    <w:p w:rsidR="008E1DF1" w:rsidRPr="00506EBA" w:rsidRDefault="008E1DF1" w:rsidP="008E1DF1">
      <w:pPr>
        <w:pStyle w:val="NoSpacing"/>
        <w:rPr>
          <w:rFonts w:ascii="Times New Roman" w:hAnsi="Times New Roman"/>
          <w:sz w:val="24"/>
          <w:szCs w:val="24"/>
        </w:rPr>
      </w:pPr>
      <w:r w:rsidRPr="00506EBA">
        <w:rPr>
          <w:rFonts w:ascii="Times New Roman" w:hAnsi="Times New Roman"/>
          <w:sz w:val="24"/>
          <w:szCs w:val="24"/>
        </w:rPr>
        <w:t>Valsts sekretārs</w:t>
      </w:r>
      <w:r w:rsidRPr="00506EBA">
        <w:rPr>
          <w:rFonts w:ascii="Times New Roman" w:hAnsi="Times New Roman"/>
          <w:sz w:val="24"/>
          <w:szCs w:val="24"/>
        </w:rPr>
        <w:tab/>
      </w:r>
      <w:r w:rsidRPr="00506EBA">
        <w:rPr>
          <w:rFonts w:ascii="Times New Roman" w:hAnsi="Times New Roman"/>
          <w:sz w:val="24"/>
          <w:szCs w:val="24"/>
        </w:rPr>
        <w:tab/>
      </w:r>
      <w:r w:rsidRPr="00506EBA">
        <w:rPr>
          <w:rFonts w:ascii="Times New Roman" w:hAnsi="Times New Roman"/>
          <w:sz w:val="24"/>
          <w:szCs w:val="24"/>
        </w:rPr>
        <w:tab/>
      </w:r>
      <w:r w:rsidRPr="00506EBA">
        <w:rPr>
          <w:rFonts w:ascii="Times New Roman" w:hAnsi="Times New Roman"/>
          <w:sz w:val="24"/>
          <w:szCs w:val="24"/>
        </w:rPr>
        <w:tab/>
      </w:r>
      <w:r w:rsidRPr="00506EBA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506EBA">
        <w:rPr>
          <w:rFonts w:ascii="Times New Roman" w:hAnsi="Times New Roman"/>
          <w:sz w:val="24"/>
          <w:szCs w:val="24"/>
        </w:rPr>
        <w:t xml:space="preserve">                  </w:t>
      </w:r>
      <w:r w:rsidRPr="00506EBA">
        <w:rPr>
          <w:rFonts w:ascii="Times New Roman" w:hAnsi="Times New Roman"/>
          <w:sz w:val="24"/>
          <w:szCs w:val="24"/>
        </w:rPr>
        <w:t xml:space="preserve">             J. Pūce</w:t>
      </w:r>
    </w:p>
    <w:p w:rsidR="00715C38" w:rsidRPr="00506EBA" w:rsidRDefault="00715C38" w:rsidP="00D264A1">
      <w:pPr>
        <w:spacing w:after="12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506EBA" w:rsidRPr="00506EBA" w:rsidRDefault="00506EBA" w:rsidP="00D264A1">
      <w:pPr>
        <w:spacing w:after="12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8E1DF1" w:rsidRPr="00985660" w:rsidRDefault="00C8572E" w:rsidP="008E1D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</w:t>
      </w:r>
      <w:r w:rsidR="003D258F">
        <w:rPr>
          <w:color w:val="000000"/>
          <w:sz w:val="20"/>
          <w:szCs w:val="20"/>
        </w:rPr>
        <w:t>.08.2011. 1</w:t>
      </w:r>
      <w:r w:rsidR="00FB6B70">
        <w:rPr>
          <w:color w:val="000000"/>
          <w:sz w:val="20"/>
          <w:szCs w:val="20"/>
        </w:rPr>
        <w:t>5</w:t>
      </w:r>
      <w:r w:rsidR="008E1DF1" w:rsidRPr="00985660">
        <w:rPr>
          <w:color w:val="000000"/>
          <w:sz w:val="20"/>
          <w:szCs w:val="20"/>
        </w:rPr>
        <w:t>:</w:t>
      </w:r>
      <w:r w:rsidR="00FB6B70">
        <w:rPr>
          <w:color w:val="000000"/>
          <w:sz w:val="20"/>
          <w:szCs w:val="20"/>
        </w:rPr>
        <w:t>59</w:t>
      </w:r>
    </w:p>
    <w:p w:rsidR="008E1DF1" w:rsidRPr="00985660" w:rsidRDefault="00C8572E" w:rsidP="008E1D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233</w:t>
      </w:r>
    </w:p>
    <w:p w:rsidR="008E1DF1" w:rsidRPr="00985660" w:rsidRDefault="008E1DF1" w:rsidP="008E1DF1">
      <w:pPr>
        <w:suppressAutoHyphens/>
        <w:rPr>
          <w:bCs/>
          <w:sz w:val="20"/>
        </w:rPr>
      </w:pPr>
      <w:r w:rsidRPr="00985660">
        <w:rPr>
          <w:bCs/>
          <w:sz w:val="20"/>
        </w:rPr>
        <w:t>I.Zemļanskis</w:t>
      </w:r>
    </w:p>
    <w:p w:rsidR="008E1DF1" w:rsidRPr="00985660" w:rsidRDefault="008E1DF1" w:rsidP="008E1DF1">
      <w:pPr>
        <w:jc w:val="both"/>
        <w:rPr>
          <w:iCs/>
          <w:noProof/>
          <w:sz w:val="20"/>
          <w:lang w:bidi="lo-LA"/>
        </w:rPr>
      </w:pPr>
      <w:r w:rsidRPr="00985660">
        <w:rPr>
          <w:iCs/>
          <w:noProof/>
          <w:sz w:val="20"/>
          <w:lang w:bidi="lo-LA"/>
        </w:rPr>
        <w:t>67013142,</w:t>
      </w:r>
    </w:p>
    <w:p w:rsidR="00506EBA" w:rsidRPr="00506EBA" w:rsidRDefault="008E1DF1" w:rsidP="00506EBA">
      <w:pPr>
        <w:jc w:val="both"/>
        <w:rPr>
          <w:color w:val="000000"/>
          <w:sz w:val="28"/>
          <w:szCs w:val="28"/>
        </w:rPr>
      </w:pPr>
      <w:r w:rsidRPr="00985660">
        <w:rPr>
          <w:iCs/>
          <w:noProof/>
          <w:sz w:val="20"/>
          <w:lang w:bidi="lo-LA"/>
        </w:rPr>
        <w:t>Ivars.Zemlanskis@em.gov.lv</w:t>
      </w:r>
    </w:p>
    <w:sectPr w:rsidR="00506EBA" w:rsidRPr="00506EBA" w:rsidSect="00506EB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B7" w:rsidRDefault="00AE15B7">
      <w:r>
        <w:separator/>
      </w:r>
    </w:p>
  </w:endnote>
  <w:endnote w:type="continuationSeparator" w:id="0">
    <w:p w:rsidR="00AE15B7" w:rsidRDefault="00AE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EA" w:rsidRPr="00F107EA" w:rsidRDefault="00F107EA" w:rsidP="00F107EA">
    <w:pPr>
      <w:spacing w:after="12"/>
      <w:rPr>
        <w:bCs/>
        <w:color w:val="000000" w:themeColor="text1"/>
        <w:sz w:val="20"/>
        <w:szCs w:val="20"/>
      </w:rPr>
    </w:pPr>
    <w:r w:rsidRPr="008E1DF1">
      <w:rPr>
        <w:color w:val="000000" w:themeColor="text1"/>
        <w:sz w:val="20"/>
        <w:szCs w:val="20"/>
      </w:rPr>
      <w:t>EMAnot_</w:t>
    </w:r>
    <w:r>
      <w:rPr>
        <w:color w:val="000000" w:themeColor="text1"/>
        <w:sz w:val="20"/>
        <w:szCs w:val="20"/>
      </w:rPr>
      <w:t>04</w:t>
    </w:r>
    <w:r w:rsidRPr="008E1DF1">
      <w:rPr>
        <w:color w:val="000000" w:themeColor="text1"/>
        <w:sz w:val="20"/>
        <w:szCs w:val="20"/>
      </w:rPr>
      <w:t xml:space="preserve">0811_EM_nolikums; Ministru kabineta noteikumu projekta </w:t>
    </w:r>
    <w:r w:rsidRPr="008E1DF1">
      <w:rPr>
        <w:bCs/>
        <w:sz w:val="20"/>
        <w:szCs w:val="20"/>
      </w:rPr>
      <w:t xml:space="preserve">„Grozījumi Ministru kabineta </w:t>
    </w:r>
    <w:r w:rsidRPr="008E1DF1">
      <w:rPr>
        <w:sz w:val="20"/>
        <w:szCs w:val="20"/>
      </w:rPr>
      <w:t xml:space="preserve">2010.gada 23.marta </w:t>
    </w:r>
    <w:r w:rsidRPr="008E1DF1">
      <w:rPr>
        <w:bCs/>
        <w:sz w:val="20"/>
        <w:szCs w:val="20"/>
      </w:rPr>
      <w:t xml:space="preserve">noteikumos Nr.271 „Ekonomikas ministrijas nolikums”” </w:t>
    </w:r>
    <w:r w:rsidRPr="008E1DF1">
      <w:rPr>
        <w:bCs/>
        <w:color w:val="000000" w:themeColor="text1"/>
        <w:sz w:val="20"/>
        <w:szCs w:val="20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D" w:rsidRPr="008E1DF1" w:rsidRDefault="008E1DF1" w:rsidP="008E1DF1">
    <w:pPr>
      <w:spacing w:after="12"/>
      <w:rPr>
        <w:color w:val="000000" w:themeColor="text1"/>
        <w:sz w:val="20"/>
        <w:szCs w:val="20"/>
      </w:rPr>
    </w:pPr>
    <w:r w:rsidRPr="008E1DF1">
      <w:rPr>
        <w:color w:val="000000" w:themeColor="text1"/>
        <w:sz w:val="20"/>
        <w:szCs w:val="20"/>
      </w:rPr>
      <w:t>EM</w:t>
    </w:r>
    <w:r w:rsidR="000B2A0D" w:rsidRPr="008E1DF1">
      <w:rPr>
        <w:color w:val="000000" w:themeColor="text1"/>
        <w:sz w:val="20"/>
        <w:szCs w:val="20"/>
      </w:rPr>
      <w:t>Anot_</w:t>
    </w:r>
    <w:r w:rsidR="00C8572E">
      <w:rPr>
        <w:color w:val="000000" w:themeColor="text1"/>
        <w:sz w:val="20"/>
        <w:szCs w:val="20"/>
      </w:rPr>
      <w:t>29</w:t>
    </w:r>
    <w:r w:rsidRPr="008E1DF1">
      <w:rPr>
        <w:color w:val="000000" w:themeColor="text1"/>
        <w:sz w:val="20"/>
        <w:szCs w:val="20"/>
      </w:rPr>
      <w:t>08</w:t>
    </w:r>
    <w:r w:rsidR="000B2A0D" w:rsidRPr="008E1DF1">
      <w:rPr>
        <w:color w:val="000000" w:themeColor="text1"/>
        <w:sz w:val="20"/>
        <w:szCs w:val="20"/>
      </w:rPr>
      <w:t>11_</w:t>
    </w:r>
    <w:r w:rsidRPr="008E1DF1">
      <w:rPr>
        <w:color w:val="000000" w:themeColor="text1"/>
        <w:sz w:val="20"/>
        <w:szCs w:val="20"/>
      </w:rPr>
      <w:t>EM</w:t>
    </w:r>
    <w:r w:rsidR="000B2A0D" w:rsidRPr="008E1DF1">
      <w:rPr>
        <w:color w:val="000000" w:themeColor="text1"/>
        <w:sz w:val="20"/>
        <w:szCs w:val="20"/>
      </w:rPr>
      <w:t xml:space="preserve">_nolikums; </w:t>
    </w:r>
    <w:bookmarkStart w:id="5" w:name="OLE_LINK3"/>
    <w:bookmarkStart w:id="6" w:name="OLE_LINK4"/>
    <w:r w:rsidR="000B2A0D" w:rsidRPr="008E1DF1">
      <w:rPr>
        <w:color w:val="000000" w:themeColor="text1"/>
        <w:sz w:val="20"/>
        <w:szCs w:val="20"/>
      </w:rPr>
      <w:t xml:space="preserve">Ministru kabineta noteikumu projekta </w:t>
    </w:r>
    <w:bookmarkEnd w:id="5"/>
    <w:bookmarkEnd w:id="6"/>
    <w:r w:rsidRPr="008E1DF1">
      <w:rPr>
        <w:bCs/>
        <w:sz w:val="20"/>
        <w:szCs w:val="20"/>
      </w:rPr>
      <w:t>„Grozījum</w:t>
    </w:r>
    <w:r w:rsidR="00506EBA">
      <w:rPr>
        <w:bCs/>
        <w:sz w:val="20"/>
        <w:szCs w:val="20"/>
      </w:rPr>
      <w:t>s</w:t>
    </w:r>
    <w:r w:rsidRPr="008E1DF1">
      <w:rPr>
        <w:bCs/>
        <w:sz w:val="20"/>
        <w:szCs w:val="20"/>
      </w:rPr>
      <w:t xml:space="preserve"> Ministru kabineta </w:t>
    </w:r>
    <w:r w:rsidRPr="008E1DF1">
      <w:rPr>
        <w:sz w:val="20"/>
        <w:szCs w:val="20"/>
      </w:rPr>
      <w:t xml:space="preserve">2010.gada 23.marta </w:t>
    </w:r>
    <w:r w:rsidRPr="008E1DF1">
      <w:rPr>
        <w:bCs/>
        <w:sz w:val="20"/>
        <w:szCs w:val="20"/>
      </w:rPr>
      <w:t xml:space="preserve">noteikumos Nr.271 „Ekonomikas ministrijas nolikums”” </w:t>
    </w:r>
    <w:r w:rsidRPr="008E1DF1">
      <w:rPr>
        <w:bCs/>
        <w:color w:val="000000" w:themeColor="text1"/>
        <w:sz w:val="20"/>
        <w:szCs w:val="20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B7" w:rsidRDefault="00AE15B7">
      <w:r>
        <w:separator/>
      </w:r>
    </w:p>
  </w:footnote>
  <w:footnote w:type="continuationSeparator" w:id="0">
    <w:p w:rsidR="00AE15B7" w:rsidRDefault="00AE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D" w:rsidRDefault="00284600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0D" w:rsidRDefault="000B2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D" w:rsidRDefault="00284600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EBA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A0D" w:rsidRDefault="000B2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1623B"/>
    <w:multiLevelType w:val="hybridMultilevel"/>
    <w:tmpl w:val="1B749CDE"/>
    <w:lvl w:ilvl="0" w:tplc="4438AE1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3" w:hanging="360"/>
      </w:pPr>
    </w:lvl>
    <w:lvl w:ilvl="2" w:tplc="0426001B" w:tentative="1">
      <w:start w:val="1"/>
      <w:numFmt w:val="lowerRoman"/>
      <w:lvlText w:val="%3."/>
      <w:lvlJc w:val="right"/>
      <w:pPr>
        <w:ind w:left="2043" w:hanging="180"/>
      </w:pPr>
    </w:lvl>
    <w:lvl w:ilvl="3" w:tplc="0426000F" w:tentative="1">
      <w:start w:val="1"/>
      <w:numFmt w:val="decimal"/>
      <w:lvlText w:val="%4."/>
      <w:lvlJc w:val="left"/>
      <w:pPr>
        <w:ind w:left="2763" w:hanging="360"/>
      </w:pPr>
    </w:lvl>
    <w:lvl w:ilvl="4" w:tplc="04260019" w:tentative="1">
      <w:start w:val="1"/>
      <w:numFmt w:val="lowerLetter"/>
      <w:lvlText w:val="%5."/>
      <w:lvlJc w:val="left"/>
      <w:pPr>
        <w:ind w:left="3483" w:hanging="360"/>
      </w:pPr>
    </w:lvl>
    <w:lvl w:ilvl="5" w:tplc="0426001B" w:tentative="1">
      <w:start w:val="1"/>
      <w:numFmt w:val="lowerRoman"/>
      <w:lvlText w:val="%6."/>
      <w:lvlJc w:val="right"/>
      <w:pPr>
        <w:ind w:left="4203" w:hanging="180"/>
      </w:pPr>
    </w:lvl>
    <w:lvl w:ilvl="6" w:tplc="0426000F" w:tentative="1">
      <w:start w:val="1"/>
      <w:numFmt w:val="decimal"/>
      <w:lvlText w:val="%7."/>
      <w:lvlJc w:val="left"/>
      <w:pPr>
        <w:ind w:left="4923" w:hanging="360"/>
      </w:pPr>
    </w:lvl>
    <w:lvl w:ilvl="7" w:tplc="04260019" w:tentative="1">
      <w:start w:val="1"/>
      <w:numFmt w:val="lowerLetter"/>
      <w:lvlText w:val="%8."/>
      <w:lvlJc w:val="left"/>
      <w:pPr>
        <w:ind w:left="5643" w:hanging="360"/>
      </w:pPr>
    </w:lvl>
    <w:lvl w:ilvl="8" w:tplc="042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269D1"/>
    <w:multiLevelType w:val="hybridMultilevel"/>
    <w:tmpl w:val="543C0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F6456BC"/>
    <w:multiLevelType w:val="hybridMultilevel"/>
    <w:tmpl w:val="E0F0E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3296"/>
    <w:rsid w:val="00011D24"/>
    <w:rsid w:val="00011E99"/>
    <w:rsid w:val="00013FF4"/>
    <w:rsid w:val="00020FE1"/>
    <w:rsid w:val="00022E13"/>
    <w:rsid w:val="00026039"/>
    <w:rsid w:val="00030950"/>
    <w:rsid w:val="00032388"/>
    <w:rsid w:val="000335F0"/>
    <w:rsid w:val="00035CE2"/>
    <w:rsid w:val="00042FF6"/>
    <w:rsid w:val="000521EC"/>
    <w:rsid w:val="0005553B"/>
    <w:rsid w:val="0006041D"/>
    <w:rsid w:val="000604D2"/>
    <w:rsid w:val="0009005E"/>
    <w:rsid w:val="000941C5"/>
    <w:rsid w:val="000A10E1"/>
    <w:rsid w:val="000A261E"/>
    <w:rsid w:val="000A6451"/>
    <w:rsid w:val="000B064E"/>
    <w:rsid w:val="000B2A0D"/>
    <w:rsid w:val="000B3B66"/>
    <w:rsid w:val="000B69CF"/>
    <w:rsid w:val="000C14B8"/>
    <w:rsid w:val="000C2776"/>
    <w:rsid w:val="000C4C36"/>
    <w:rsid w:val="000C790C"/>
    <w:rsid w:val="000E687F"/>
    <w:rsid w:val="000F061D"/>
    <w:rsid w:val="000F157F"/>
    <w:rsid w:val="000F3DFA"/>
    <w:rsid w:val="000F4794"/>
    <w:rsid w:val="000F6F85"/>
    <w:rsid w:val="00101E11"/>
    <w:rsid w:val="0010594A"/>
    <w:rsid w:val="00110777"/>
    <w:rsid w:val="00124F12"/>
    <w:rsid w:val="00130DE3"/>
    <w:rsid w:val="001336E0"/>
    <w:rsid w:val="00144E3A"/>
    <w:rsid w:val="0015060C"/>
    <w:rsid w:val="00153F26"/>
    <w:rsid w:val="00154154"/>
    <w:rsid w:val="0016018A"/>
    <w:rsid w:val="00161F0E"/>
    <w:rsid w:val="00162129"/>
    <w:rsid w:val="00166F9F"/>
    <w:rsid w:val="00170E2A"/>
    <w:rsid w:val="00175FE2"/>
    <w:rsid w:val="00177394"/>
    <w:rsid w:val="0018264E"/>
    <w:rsid w:val="00182C18"/>
    <w:rsid w:val="00183CC2"/>
    <w:rsid w:val="001900E4"/>
    <w:rsid w:val="00190F88"/>
    <w:rsid w:val="001A4066"/>
    <w:rsid w:val="001A40E5"/>
    <w:rsid w:val="001A6AE4"/>
    <w:rsid w:val="001A757B"/>
    <w:rsid w:val="001B01FD"/>
    <w:rsid w:val="001B4A71"/>
    <w:rsid w:val="001C10C5"/>
    <w:rsid w:val="001C598C"/>
    <w:rsid w:val="001D4ED5"/>
    <w:rsid w:val="001D5B54"/>
    <w:rsid w:val="001D5DF5"/>
    <w:rsid w:val="001E008E"/>
    <w:rsid w:val="001E0DF1"/>
    <w:rsid w:val="001E1DBF"/>
    <w:rsid w:val="001E4639"/>
    <w:rsid w:val="001E4A7D"/>
    <w:rsid w:val="001F0DE2"/>
    <w:rsid w:val="001F15FF"/>
    <w:rsid w:val="001F43A8"/>
    <w:rsid w:val="001F529C"/>
    <w:rsid w:val="001F5CD6"/>
    <w:rsid w:val="002019AC"/>
    <w:rsid w:val="00201AC3"/>
    <w:rsid w:val="002052B0"/>
    <w:rsid w:val="0021263D"/>
    <w:rsid w:val="00213F0C"/>
    <w:rsid w:val="00214094"/>
    <w:rsid w:val="0021592D"/>
    <w:rsid w:val="00222D76"/>
    <w:rsid w:val="00223EB1"/>
    <w:rsid w:val="00227A72"/>
    <w:rsid w:val="002302F5"/>
    <w:rsid w:val="00231344"/>
    <w:rsid w:val="0023436E"/>
    <w:rsid w:val="002347C0"/>
    <w:rsid w:val="00241A6C"/>
    <w:rsid w:val="002422CD"/>
    <w:rsid w:val="00242D2B"/>
    <w:rsid w:val="00243E30"/>
    <w:rsid w:val="00245C04"/>
    <w:rsid w:val="00246CE7"/>
    <w:rsid w:val="00251F27"/>
    <w:rsid w:val="00261FD0"/>
    <w:rsid w:val="00262E2B"/>
    <w:rsid w:val="00270429"/>
    <w:rsid w:val="002707E6"/>
    <w:rsid w:val="002718EE"/>
    <w:rsid w:val="002723E9"/>
    <w:rsid w:val="00276959"/>
    <w:rsid w:val="00277929"/>
    <w:rsid w:val="0028027B"/>
    <w:rsid w:val="00283B82"/>
    <w:rsid w:val="00284600"/>
    <w:rsid w:val="002846E9"/>
    <w:rsid w:val="00284C34"/>
    <w:rsid w:val="00287422"/>
    <w:rsid w:val="0029066C"/>
    <w:rsid w:val="00295D05"/>
    <w:rsid w:val="002A40C3"/>
    <w:rsid w:val="002B320F"/>
    <w:rsid w:val="002B4F9F"/>
    <w:rsid w:val="002B50DB"/>
    <w:rsid w:val="002C12AB"/>
    <w:rsid w:val="002C662B"/>
    <w:rsid w:val="002C7CAC"/>
    <w:rsid w:val="002D3306"/>
    <w:rsid w:val="002D48AA"/>
    <w:rsid w:val="002D5C8E"/>
    <w:rsid w:val="002D7BAA"/>
    <w:rsid w:val="002D7F54"/>
    <w:rsid w:val="002E0B01"/>
    <w:rsid w:val="002E3FF4"/>
    <w:rsid w:val="002F2EF5"/>
    <w:rsid w:val="002F78C8"/>
    <w:rsid w:val="00300EAF"/>
    <w:rsid w:val="00301CF3"/>
    <w:rsid w:val="00303682"/>
    <w:rsid w:val="00305EC3"/>
    <w:rsid w:val="00316590"/>
    <w:rsid w:val="00316C84"/>
    <w:rsid w:val="003179CA"/>
    <w:rsid w:val="003242F8"/>
    <w:rsid w:val="0032715C"/>
    <w:rsid w:val="00330213"/>
    <w:rsid w:val="0033229D"/>
    <w:rsid w:val="00337CA5"/>
    <w:rsid w:val="0034277D"/>
    <w:rsid w:val="00345F27"/>
    <w:rsid w:val="00346752"/>
    <w:rsid w:val="00360B4F"/>
    <w:rsid w:val="00362478"/>
    <w:rsid w:val="0036706B"/>
    <w:rsid w:val="00375B25"/>
    <w:rsid w:val="00382C03"/>
    <w:rsid w:val="003925BB"/>
    <w:rsid w:val="00396542"/>
    <w:rsid w:val="0039685B"/>
    <w:rsid w:val="003A14A4"/>
    <w:rsid w:val="003A31A6"/>
    <w:rsid w:val="003A7F0C"/>
    <w:rsid w:val="003A7F79"/>
    <w:rsid w:val="003B0CA0"/>
    <w:rsid w:val="003B55CE"/>
    <w:rsid w:val="003B6404"/>
    <w:rsid w:val="003C353A"/>
    <w:rsid w:val="003C449B"/>
    <w:rsid w:val="003D1BCE"/>
    <w:rsid w:val="003D21FF"/>
    <w:rsid w:val="003D258F"/>
    <w:rsid w:val="003F0112"/>
    <w:rsid w:val="003F071A"/>
    <w:rsid w:val="003F160B"/>
    <w:rsid w:val="003F167F"/>
    <w:rsid w:val="003F250B"/>
    <w:rsid w:val="003F6D88"/>
    <w:rsid w:val="003F6E10"/>
    <w:rsid w:val="00400032"/>
    <w:rsid w:val="00400B5B"/>
    <w:rsid w:val="00405A00"/>
    <w:rsid w:val="00406CE0"/>
    <w:rsid w:val="00417C3D"/>
    <w:rsid w:val="00420870"/>
    <w:rsid w:val="0042412F"/>
    <w:rsid w:val="00425C4B"/>
    <w:rsid w:val="00427931"/>
    <w:rsid w:val="004360FD"/>
    <w:rsid w:val="00436D85"/>
    <w:rsid w:val="0043791B"/>
    <w:rsid w:val="004411C7"/>
    <w:rsid w:val="00441483"/>
    <w:rsid w:val="00441BCB"/>
    <w:rsid w:val="004448BC"/>
    <w:rsid w:val="0045176A"/>
    <w:rsid w:val="00455D0D"/>
    <w:rsid w:val="00456332"/>
    <w:rsid w:val="00461826"/>
    <w:rsid w:val="00466A5B"/>
    <w:rsid w:val="004678C9"/>
    <w:rsid w:val="00472C11"/>
    <w:rsid w:val="0047596B"/>
    <w:rsid w:val="004764AC"/>
    <w:rsid w:val="00477A78"/>
    <w:rsid w:val="004800F9"/>
    <w:rsid w:val="00480684"/>
    <w:rsid w:val="00487A85"/>
    <w:rsid w:val="004900B0"/>
    <w:rsid w:val="0049134A"/>
    <w:rsid w:val="004A1C30"/>
    <w:rsid w:val="004A43B6"/>
    <w:rsid w:val="004A58CB"/>
    <w:rsid w:val="004B1795"/>
    <w:rsid w:val="004B5362"/>
    <w:rsid w:val="004B56DD"/>
    <w:rsid w:val="004B5A1A"/>
    <w:rsid w:val="004B7373"/>
    <w:rsid w:val="004C020F"/>
    <w:rsid w:val="004C1AFD"/>
    <w:rsid w:val="004C49B6"/>
    <w:rsid w:val="004C558B"/>
    <w:rsid w:val="004D068B"/>
    <w:rsid w:val="004D7F2E"/>
    <w:rsid w:val="004E38C3"/>
    <w:rsid w:val="004E7B77"/>
    <w:rsid w:val="004F1F88"/>
    <w:rsid w:val="004F2FCB"/>
    <w:rsid w:val="004F5F1B"/>
    <w:rsid w:val="004F762F"/>
    <w:rsid w:val="00501531"/>
    <w:rsid w:val="00502374"/>
    <w:rsid w:val="00502D37"/>
    <w:rsid w:val="00504759"/>
    <w:rsid w:val="00504E12"/>
    <w:rsid w:val="005060A1"/>
    <w:rsid w:val="00506EBA"/>
    <w:rsid w:val="0050715D"/>
    <w:rsid w:val="00511030"/>
    <w:rsid w:val="00513D89"/>
    <w:rsid w:val="00514C25"/>
    <w:rsid w:val="00516072"/>
    <w:rsid w:val="005178CA"/>
    <w:rsid w:val="005332EC"/>
    <w:rsid w:val="00534418"/>
    <w:rsid w:val="005353AB"/>
    <w:rsid w:val="0054570D"/>
    <w:rsid w:val="00545B96"/>
    <w:rsid w:val="005474A6"/>
    <w:rsid w:val="005510C7"/>
    <w:rsid w:val="00553D22"/>
    <w:rsid w:val="005560BC"/>
    <w:rsid w:val="005573BE"/>
    <w:rsid w:val="00560461"/>
    <w:rsid w:val="00566289"/>
    <w:rsid w:val="00572700"/>
    <w:rsid w:val="00580468"/>
    <w:rsid w:val="00580E1B"/>
    <w:rsid w:val="0058118F"/>
    <w:rsid w:val="005813CA"/>
    <w:rsid w:val="0058603B"/>
    <w:rsid w:val="00587A53"/>
    <w:rsid w:val="00593FDF"/>
    <w:rsid w:val="0059431B"/>
    <w:rsid w:val="00597C7D"/>
    <w:rsid w:val="005A39CC"/>
    <w:rsid w:val="005A47D4"/>
    <w:rsid w:val="005B4730"/>
    <w:rsid w:val="005B4B51"/>
    <w:rsid w:val="005B5A3F"/>
    <w:rsid w:val="005B7CB2"/>
    <w:rsid w:val="005C4819"/>
    <w:rsid w:val="005E05D7"/>
    <w:rsid w:val="005E41E7"/>
    <w:rsid w:val="005E450F"/>
    <w:rsid w:val="0060208E"/>
    <w:rsid w:val="00602EFC"/>
    <w:rsid w:val="0060333B"/>
    <w:rsid w:val="006033C6"/>
    <w:rsid w:val="0062298A"/>
    <w:rsid w:val="00626514"/>
    <w:rsid w:val="00626589"/>
    <w:rsid w:val="006334DB"/>
    <w:rsid w:val="006339A0"/>
    <w:rsid w:val="006368E0"/>
    <w:rsid w:val="00640D4E"/>
    <w:rsid w:val="006413A8"/>
    <w:rsid w:val="00642E56"/>
    <w:rsid w:val="00651E00"/>
    <w:rsid w:val="00655466"/>
    <w:rsid w:val="00657D50"/>
    <w:rsid w:val="00661EF2"/>
    <w:rsid w:val="00671220"/>
    <w:rsid w:val="00674572"/>
    <w:rsid w:val="006774C5"/>
    <w:rsid w:val="006860B8"/>
    <w:rsid w:val="00687763"/>
    <w:rsid w:val="00692B0D"/>
    <w:rsid w:val="00693E0E"/>
    <w:rsid w:val="00696C67"/>
    <w:rsid w:val="006A1AE3"/>
    <w:rsid w:val="006B2CD4"/>
    <w:rsid w:val="006B41A1"/>
    <w:rsid w:val="006C30E1"/>
    <w:rsid w:val="006C4607"/>
    <w:rsid w:val="006C71B0"/>
    <w:rsid w:val="006C7308"/>
    <w:rsid w:val="006D2735"/>
    <w:rsid w:val="006D48F1"/>
    <w:rsid w:val="006E0E67"/>
    <w:rsid w:val="006F086D"/>
    <w:rsid w:val="006F45BE"/>
    <w:rsid w:val="006F6336"/>
    <w:rsid w:val="007004FC"/>
    <w:rsid w:val="00706670"/>
    <w:rsid w:val="00711CBD"/>
    <w:rsid w:val="00715C38"/>
    <w:rsid w:val="00720F5C"/>
    <w:rsid w:val="007212CD"/>
    <w:rsid w:val="0072417C"/>
    <w:rsid w:val="007319E0"/>
    <w:rsid w:val="00734450"/>
    <w:rsid w:val="007355BB"/>
    <w:rsid w:val="00745F67"/>
    <w:rsid w:val="0075039E"/>
    <w:rsid w:val="00750693"/>
    <w:rsid w:val="00752D9D"/>
    <w:rsid w:val="00754784"/>
    <w:rsid w:val="00757C6E"/>
    <w:rsid w:val="00761002"/>
    <w:rsid w:val="00762BDA"/>
    <w:rsid w:val="007723B2"/>
    <w:rsid w:val="007771E8"/>
    <w:rsid w:val="007805FD"/>
    <w:rsid w:val="00784422"/>
    <w:rsid w:val="00785463"/>
    <w:rsid w:val="00794042"/>
    <w:rsid w:val="00794466"/>
    <w:rsid w:val="007945D3"/>
    <w:rsid w:val="007A0F54"/>
    <w:rsid w:val="007A1537"/>
    <w:rsid w:val="007A552C"/>
    <w:rsid w:val="007A6467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10040"/>
    <w:rsid w:val="00811BEA"/>
    <w:rsid w:val="00816695"/>
    <w:rsid w:val="00816FC3"/>
    <w:rsid w:val="0082023A"/>
    <w:rsid w:val="00821A7A"/>
    <w:rsid w:val="008253F8"/>
    <w:rsid w:val="008256B9"/>
    <w:rsid w:val="00826D70"/>
    <w:rsid w:val="00831908"/>
    <w:rsid w:val="008325E4"/>
    <w:rsid w:val="00832A2B"/>
    <w:rsid w:val="008345E0"/>
    <w:rsid w:val="0084055F"/>
    <w:rsid w:val="008419F0"/>
    <w:rsid w:val="00842598"/>
    <w:rsid w:val="00845811"/>
    <w:rsid w:val="00846994"/>
    <w:rsid w:val="00850451"/>
    <w:rsid w:val="00852042"/>
    <w:rsid w:val="008534C9"/>
    <w:rsid w:val="0085599D"/>
    <w:rsid w:val="00855AE3"/>
    <w:rsid w:val="00855C49"/>
    <w:rsid w:val="008563FC"/>
    <w:rsid w:val="00857614"/>
    <w:rsid w:val="0087510C"/>
    <w:rsid w:val="0087750C"/>
    <w:rsid w:val="00890AA4"/>
    <w:rsid w:val="00891563"/>
    <w:rsid w:val="00893EDB"/>
    <w:rsid w:val="008965FF"/>
    <w:rsid w:val="0089738E"/>
    <w:rsid w:val="008B4114"/>
    <w:rsid w:val="008B42A6"/>
    <w:rsid w:val="008B5FDB"/>
    <w:rsid w:val="008B7DCD"/>
    <w:rsid w:val="008C3E65"/>
    <w:rsid w:val="008C50F4"/>
    <w:rsid w:val="008C5649"/>
    <w:rsid w:val="008D025A"/>
    <w:rsid w:val="008E1DF1"/>
    <w:rsid w:val="008E44A2"/>
    <w:rsid w:val="008E697D"/>
    <w:rsid w:val="008F4EFE"/>
    <w:rsid w:val="008F561C"/>
    <w:rsid w:val="008F684F"/>
    <w:rsid w:val="00903263"/>
    <w:rsid w:val="00905962"/>
    <w:rsid w:val="00906A21"/>
    <w:rsid w:val="009079C3"/>
    <w:rsid w:val="00907A53"/>
    <w:rsid w:val="00910462"/>
    <w:rsid w:val="00910C9B"/>
    <w:rsid w:val="00911A30"/>
    <w:rsid w:val="009125A1"/>
    <w:rsid w:val="00915AB1"/>
    <w:rsid w:val="00917532"/>
    <w:rsid w:val="009235BA"/>
    <w:rsid w:val="00924023"/>
    <w:rsid w:val="00924CE2"/>
    <w:rsid w:val="00925B9F"/>
    <w:rsid w:val="00931AED"/>
    <w:rsid w:val="00940CF8"/>
    <w:rsid w:val="009476A3"/>
    <w:rsid w:val="0095334F"/>
    <w:rsid w:val="00955205"/>
    <w:rsid w:val="00965897"/>
    <w:rsid w:val="0096765C"/>
    <w:rsid w:val="009706C9"/>
    <w:rsid w:val="009727E4"/>
    <w:rsid w:val="0097708A"/>
    <w:rsid w:val="00985660"/>
    <w:rsid w:val="009934C5"/>
    <w:rsid w:val="00994C0F"/>
    <w:rsid w:val="0099726E"/>
    <w:rsid w:val="009A7E9E"/>
    <w:rsid w:val="009B22D7"/>
    <w:rsid w:val="009B26F9"/>
    <w:rsid w:val="009B33DA"/>
    <w:rsid w:val="009B72ED"/>
    <w:rsid w:val="009C2FB0"/>
    <w:rsid w:val="009C6DEB"/>
    <w:rsid w:val="009D6504"/>
    <w:rsid w:val="009E12D7"/>
    <w:rsid w:val="009E5995"/>
    <w:rsid w:val="009E661A"/>
    <w:rsid w:val="009F20CC"/>
    <w:rsid w:val="009F3E68"/>
    <w:rsid w:val="009F62E2"/>
    <w:rsid w:val="00A00DB9"/>
    <w:rsid w:val="00A06781"/>
    <w:rsid w:val="00A074C3"/>
    <w:rsid w:val="00A130FF"/>
    <w:rsid w:val="00A13300"/>
    <w:rsid w:val="00A1509C"/>
    <w:rsid w:val="00A15EB4"/>
    <w:rsid w:val="00A33525"/>
    <w:rsid w:val="00A335E0"/>
    <w:rsid w:val="00A34260"/>
    <w:rsid w:val="00A4485C"/>
    <w:rsid w:val="00A50310"/>
    <w:rsid w:val="00A5759D"/>
    <w:rsid w:val="00A608D3"/>
    <w:rsid w:val="00A6182A"/>
    <w:rsid w:val="00A6220D"/>
    <w:rsid w:val="00A63529"/>
    <w:rsid w:val="00A66D42"/>
    <w:rsid w:val="00A70CFD"/>
    <w:rsid w:val="00A72A0B"/>
    <w:rsid w:val="00A81E42"/>
    <w:rsid w:val="00A83F79"/>
    <w:rsid w:val="00A863A7"/>
    <w:rsid w:val="00A864FE"/>
    <w:rsid w:val="00A86F41"/>
    <w:rsid w:val="00A87D04"/>
    <w:rsid w:val="00A950C5"/>
    <w:rsid w:val="00AA0FF8"/>
    <w:rsid w:val="00AA1D25"/>
    <w:rsid w:val="00AA6C01"/>
    <w:rsid w:val="00AA7B7F"/>
    <w:rsid w:val="00AB0BFB"/>
    <w:rsid w:val="00AB2B1A"/>
    <w:rsid w:val="00AB397F"/>
    <w:rsid w:val="00AB5832"/>
    <w:rsid w:val="00AC0F97"/>
    <w:rsid w:val="00AC3C69"/>
    <w:rsid w:val="00AC51F2"/>
    <w:rsid w:val="00AD3C11"/>
    <w:rsid w:val="00AD5054"/>
    <w:rsid w:val="00AD72E8"/>
    <w:rsid w:val="00AE15B7"/>
    <w:rsid w:val="00AE5066"/>
    <w:rsid w:val="00AE5E24"/>
    <w:rsid w:val="00AE61B7"/>
    <w:rsid w:val="00AE6CBA"/>
    <w:rsid w:val="00AE79AD"/>
    <w:rsid w:val="00AF35E4"/>
    <w:rsid w:val="00AF5CDE"/>
    <w:rsid w:val="00B01822"/>
    <w:rsid w:val="00B07E55"/>
    <w:rsid w:val="00B11A57"/>
    <w:rsid w:val="00B132F8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24B6"/>
    <w:rsid w:val="00B64BB1"/>
    <w:rsid w:val="00B66472"/>
    <w:rsid w:val="00B73166"/>
    <w:rsid w:val="00B801D1"/>
    <w:rsid w:val="00B8426C"/>
    <w:rsid w:val="00B91B8D"/>
    <w:rsid w:val="00B94E90"/>
    <w:rsid w:val="00BA468B"/>
    <w:rsid w:val="00BA6177"/>
    <w:rsid w:val="00BA70A3"/>
    <w:rsid w:val="00BB0A82"/>
    <w:rsid w:val="00BB7C94"/>
    <w:rsid w:val="00BC0A9D"/>
    <w:rsid w:val="00BD0198"/>
    <w:rsid w:val="00BD2C14"/>
    <w:rsid w:val="00BD52E0"/>
    <w:rsid w:val="00BE436A"/>
    <w:rsid w:val="00BF204E"/>
    <w:rsid w:val="00BF40ED"/>
    <w:rsid w:val="00BF5BC2"/>
    <w:rsid w:val="00C1133D"/>
    <w:rsid w:val="00C1226F"/>
    <w:rsid w:val="00C128C5"/>
    <w:rsid w:val="00C13C35"/>
    <w:rsid w:val="00C15A9A"/>
    <w:rsid w:val="00C226EA"/>
    <w:rsid w:val="00C23C00"/>
    <w:rsid w:val="00C2538E"/>
    <w:rsid w:val="00C27A08"/>
    <w:rsid w:val="00C30284"/>
    <w:rsid w:val="00C31312"/>
    <w:rsid w:val="00C326C6"/>
    <w:rsid w:val="00C32F46"/>
    <w:rsid w:val="00C35295"/>
    <w:rsid w:val="00C36ADD"/>
    <w:rsid w:val="00C36E74"/>
    <w:rsid w:val="00C40595"/>
    <w:rsid w:val="00C41621"/>
    <w:rsid w:val="00C44618"/>
    <w:rsid w:val="00C449FA"/>
    <w:rsid w:val="00C45BBD"/>
    <w:rsid w:val="00C45FE1"/>
    <w:rsid w:val="00C515FE"/>
    <w:rsid w:val="00C5384F"/>
    <w:rsid w:val="00C56964"/>
    <w:rsid w:val="00C604B9"/>
    <w:rsid w:val="00C656D5"/>
    <w:rsid w:val="00C66ECE"/>
    <w:rsid w:val="00C67103"/>
    <w:rsid w:val="00C71BB9"/>
    <w:rsid w:val="00C7328C"/>
    <w:rsid w:val="00C8572E"/>
    <w:rsid w:val="00C903C5"/>
    <w:rsid w:val="00C91581"/>
    <w:rsid w:val="00C927D3"/>
    <w:rsid w:val="00C94C28"/>
    <w:rsid w:val="00CB0247"/>
    <w:rsid w:val="00CB3440"/>
    <w:rsid w:val="00CB5EBE"/>
    <w:rsid w:val="00CB76BF"/>
    <w:rsid w:val="00CC0216"/>
    <w:rsid w:val="00CC1692"/>
    <w:rsid w:val="00CD06C2"/>
    <w:rsid w:val="00CD0996"/>
    <w:rsid w:val="00CD138B"/>
    <w:rsid w:val="00CD3E31"/>
    <w:rsid w:val="00CD6367"/>
    <w:rsid w:val="00CD74A3"/>
    <w:rsid w:val="00CE0527"/>
    <w:rsid w:val="00CE5B23"/>
    <w:rsid w:val="00CE6A14"/>
    <w:rsid w:val="00CF70AD"/>
    <w:rsid w:val="00CF7729"/>
    <w:rsid w:val="00D00059"/>
    <w:rsid w:val="00D06708"/>
    <w:rsid w:val="00D107FA"/>
    <w:rsid w:val="00D12275"/>
    <w:rsid w:val="00D12766"/>
    <w:rsid w:val="00D13912"/>
    <w:rsid w:val="00D20FF4"/>
    <w:rsid w:val="00D24D2C"/>
    <w:rsid w:val="00D255F2"/>
    <w:rsid w:val="00D256BD"/>
    <w:rsid w:val="00D25A29"/>
    <w:rsid w:val="00D264A1"/>
    <w:rsid w:val="00D3317B"/>
    <w:rsid w:val="00D35881"/>
    <w:rsid w:val="00D40A09"/>
    <w:rsid w:val="00D505B9"/>
    <w:rsid w:val="00D5070D"/>
    <w:rsid w:val="00D628EC"/>
    <w:rsid w:val="00D63DB3"/>
    <w:rsid w:val="00D646A5"/>
    <w:rsid w:val="00D71957"/>
    <w:rsid w:val="00D804C7"/>
    <w:rsid w:val="00D91644"/>
    <w:rsid w:val="00D97F58"/>
    <w:rsid w:val="00DA5621"/>
    <w:rsid w:val="00DA7DA5"/>
    <w:rsid w:val="00DB0187"/>
    <w:rsid w:val="00DB073B"/>
    <w:rsid w:val="00DB78F0"/>
    <w:rsid w:val="00DC2E43"/>
    <w:rsid w:val="00DD095C"/>
    <w:rsid w:val="00DD1020"/>
    <w:rsid w:val="00DD1330"/>
    <w:rsid w:val="00DD7DC5"/>
    <w:rsid w:val="00DE0B83"/>
    <w:rsid w:val="00DE1A81"/>
    <w:rsid w:val="00DE1C13"/>
    <w:rsid w:val="00DE204B"/>
    <w:rsid w:val="00DE3EC6"/>
    <w:rsid w:val="00DE443B"/>
    <w:rsid w:val="00DE4E10"/>
    <w:rsid w:val="00DF2CC8"/>
    <w:rsid w:val="00E00B12"/>
    <w:rsid w:val="00E02ABF"/>
    <w:rsid w:val="00E07B2E"/>
    <w:rsid w:val="00E1258C"/>
    <w:rsid w:val="00E14995"/>
    <w:rsid w:val="00E179CD"/>
    <w:rsid w:val="00E21CED"/>
    <w:rsid w:val="00E225EF"/>
    <w:rsid w:val="00E23E8D"/>
    <w:rsid w:val="00E31B2A"/>
    <w:rsid w:val="00E37F98"/>
    <w:rsid w:val="00E424BB"/>
    <w:rsid w:val="00E46559"/>
    <w:rsid w:val="00E6670C"/>
    <w:rsid w:val="00E775FE"/>
    <w:rsid w:val="00E776E8"/>
    <w:rsid w:val="00E92C1F"/>
    <w:rsid w:val="00E95D4B"/>
    <w:rsid w:val="00EB1317"/>
    <w:rsid w:val="00EB199F"/>
    <w:rsid w:val="00EC23F7"/>
    <w:rsid w:val="00EC4BD8"/>
    <w:rsid w:val="00EC5E94"/>
    <w:rsid w:val="00EC63EB"/>
    <w:rsid w:val="00EC6AB5"/>
    <w:rsid w:val="00EC6BA3"/>
    <w:rsid w:val="00ED2DD7"/>
    <w:rsid w:val="00ED412F"/>
    <w:rsid w:val="00ED6FEA"/>
    <w:rsid w:val="00EE7193"/>
    <w:rsid w:val="00EE795C"/>
    <w:rsid w:val="00EF260B"/>
    <w:rsid w:val="00EF36B2"/>
    <w:rsid w:val="00F107EA"/>
    <w:rsid w:val="00F201EC"/>
    <w:rsid w:val="00F208A9"/>
    <w:rsid w:val="00F21AAE"/>
    <w:rsid w:val="00F2475B"/>
    <w:rsid w:val="00F30E27"/>
    <w:rsid w:val="00F4155E"/>
    <w:rsid w:val="00F41D75"/>
    <w:rsid w:val="00F44C99"/>
    <w:rsid w:val="00F505E7"/>
    <w:rsid w:val="00F5139D"/>
    <w:rsid w:val="00F51721"/>
    <w:rsid w:val="00F63CA8"/>
    <w:rsid w:val="00F63DAC"/>
    <w:rsid w:val="00F7454F"/>
    <w:rsid w:val="00F77988"/>
    <w:rsid w:val="00F77A59"/>
    <w:rsid w:val="00F77F48"/>
    <w:rsid w:val="00F87BB5"/>
    <w:rsid w:val="00F92B06"/>
    <w:rsid w:val="00F94313"/>
    <w:rsid w:val="00F959AF"/>
    <w:rsid w:val="00FA3910"/>
    <w:rsid w:val="00FB13CB"/>
    <w:rsid w:val="00FB30F1"/>
    <w:rsid w:val="00FB53E7"/>
    <w:rsid w:val="00FB6B70"/>
    <w:rsid w:val="00FC7383"/>
    <w:rsid w:val="00FD1EEA"/>
    <w:rsid w:val="00FD25D2"/>
    <w:rsid w:val="00FD2863"/>
    <w:rsid w:val="00FE1B0A"/>
    <w:rsid w:val="00FF205F"/>
    <w:rsid w:val="00FF5C1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436A"/>
    <w:rPr>
      <w:sz w:val="24"/>
      <w:szCs w:val="24"/>
    </w:rPr>
  </w:style>
  <w:style w:type="paragraph" w:customStyle="1" w:styleId="naispant">
    <w:name w:val="naispant"/>
    <w:basedOn w:val="Normal"/>
    <w:rsid w:val="00C45FE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D256BD"/>
  </w:style>
  <w:style w:type="paragraph" w:styleId="ListParagraph">
    <w:name w:val="List Paragraph"/>
    <w:basedOn w:val="Normal"/>
    <w:uiPriority w:val="34"/>
    <w:qFormat/>
    <w:rsid w:val="009B26F9"/>
    <w:pPr>
      <w:ind w:left="720"/>
      <w:contextualSpacing/>
    </w:pPr>
  </w:style>
  <w:style w:type="paragraph" w:styleId="NoSpacing">
    <w:name w:val="No Spacing"/>
    <w:uiPriority w:val="1"/>
    <w:qFormat/>
    <w:rsid w:val="008E1DF1"/>
    <w:rPr>
      <w:rFonts w:ascii="Calibri" w:eastAsia="Calibri" w:hAnsi="Calibri"/>
      <w:sz w:val="22"/>
      <w:szCs w:val="22"/>
      <w:lang w:eastAsia="en-US"/>
    </w:rPr>
  </w:style>
  <w:style w:type="paragraph" w:customStyle="1" w:styleId="RakstzCharChar">
    <w:name w:val="Rakstz. Char Char"/>
    <w:basedOn w:val="Normal"/>
    <w:rsid w:val="00C45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54154"/>
    <w:pPr>
      <w:spacing w:before="4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D965-E32D-4A41-A0EA-B7E808FD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projekta„Grozījumi Ministru kabineta 2010.gada 23.marta noteikumos Nr.271 „Ekonomikas ministrijas nolikums”” sākotnējās ietekmes novērtējuma ziņojums (anotācija)</vt:lpstr>
      <vt:lpstr>Ministru kabineta noteikumu projekta"Grozījumi Ministru kabineta 2003. gada 29. aprīļa noteikumos Nr. 243 "Tieslietu ministrijas nolikums"" sākotnējās ietekmes novērtējuma ziņojums (anotācija)</vt:lpstr>
      <vt:lpstr>Ministru kabineta noteikumu projekta „Grozījumi Ministru kabineta 2009. gada 3. februāra noteikumos Nr.108 „Normatīvo aktu projektu sagatavošanas noteikumi”” anotācija</vt:lpstr>
    </vt:vector>
  </TitlesOfParts>
  <Company>Tieslietu ministrija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projekta„Grozījumi Ministru kabineta 2010.gada 23.marta noteikumos Nr.271 „Ekonomikas ministrijas nolikums”” sākotnējās ietekmes novērtējuma ziņojums (anotācija)</dc:title>
  <dc:subject>Sākotnējās ietekmes novērtējuma ziņojums </dc:subject>
  <dc:creator>Ivars Zemļanskis</dc:creator>
  <cp:keywords/>
  <dc:description>Ivars.Zemlanskis@em.gov.lv, 67013142</dc:description>
  <cp:lastModifiedBy>Ivars Zemļanskis</cp:lastModifiedBy>
  <cp:revision>13</cp:revision>
  <cp:lastPrinted>2011-08-05T07:26:00Z</cp:lastPrinted>
  <dcterms:created xsi:type="dcterms:W3CDTF">2011-03-24T13:03:00Z</dcterms:created>
  <dcterms:modified xsi:type="dcterms:W3CDTF">2011-08-29T12:59:00Z</dcterms:modified>
</cp:coreProperties>
</file>