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A4" w:rsidRDefault="006714A4" w:rsidP="00BF60FC">
      <w:pPr>
        <w:spacing w:after="0" w:line="240" w:lineRule="auto"/>
        <w:jc w:val="center"/>
        <w:rPr>
          <w:rFonts w:ascii="Times New Roman" w:eastAsia="Times New Roman" w:hAnsi="Times New Roman"/>
          <w:b/>
          <w:sz w:val="28"/>
          <w:szCs w:val="28"/>
          <w:lang w:eastAsia="lv-LV"/>
        </w:rPr>
      </w:pPr>
      <w:bookmarkStart w:id="0" w:name="OLE_LINK6"/>
      <w:bookmarkStart w:id="1" w:name="OLE_LINK7"/>
      <w:bookmarkStart w:id="2" w:name="OLE_LINK9"/>
      <w:bookmarkStart w:id="3" w:name="OLE_LINK10"/>
      <w:bookmarkStart w:id="4" w:name="OLE_LINK1"/>
      <w:bookmarkStart w:id="5" w:name="OLE_LINK2"/>
      <w:bookmarkStart w:id="6" w:name="OLE_LINK3"/>
      <w:bookmarkStart w:id="7" w:name="OLE_LINK8"/>
      <w:bookmarkStart w:id="8" w:name="OLE_LINK4"/>
      <w:bookmarkStart w:id="9" w:name="OLE_LINK5"/>
    </w:p>
    <w:p w:rsidR="001F5390" w:rsidRPr="00942390" w:rsidRDefault="001F5390" w:rsidP="00BF60FC">
      <w:pPr>
        <w:spacing w:after="0" w:line="240" w:lineRule="auto"/>
        <w:jc w:val="center"/>
        <w:rPr>
          <w:rFonts w:ascii="Times New Roman" w:eastAsia="Times New Roman" w:hAnsi="Times New Roman"/>
          <w:b/>
          <w:sz w:val="26"/>
          <w:szCs w:val="26"/>
          <w:lang w:eastAsia="lv-LV"/>
        </w:rPr>
      </w:pPr>
      <w:r w:rsidRPr="00942390">
        <w:rPr>
          <w:rFonts w:ascii="Times New Roman" w:eastAsia="Times New Roman" w:hAnsi="Times New Roman"/>
          <w:b/>
          <w:sz w:val="28"/>
          <w:szCs w:val="28"/>
          <w:lang w:eastAsia="lv-LV"/>
        </w:rPr>
        <w:t xml:space="preserve">Ministru kabineta noteikumu projekta </w:t>
      </w:r>
      <w:bookmarkEnd w:id="0"/>
      <w:bookmarkEnd w:id="1"/>
      <w:r w:rsidR="004551DF" w:rsidRPr="00942390">
        <w:rPr>
          <w:rFonts w:ascii="Times New Roman" w:eastAsia="Times New Roman" w:hAnsi="Times New Roman"/>
          <w:b/>
          <w:sz w:val="28"/>
          <w:szCs w:val="28"/>
          <w:lang w:eastAsia="lv-LV"/>
        </w:rPr>
        <w:t>„</w:t>
      </w:r>
      <w:r w:rsidR="003F0121" w:rsidRPr="00942390">
        <w:rPr>
          <w:rFonts w:ascii="Times New Roman" w:eastAsia="Times New Roman" w:hAnsi="Times New Roman"/>
          <w:b/>
          <w:sz w:val="28"/>
          <w:szCs w:val="28"/>
          <w:lang w:eastAsia="lv-LV"/>
        </w:rPr>
        <w:t>Grozījum</w:t>
      </w:r>
      <w:r w:rsidR="00921B49" w:rsidRPr="00942390">
        <w:rPr>
          <w:rFonts w:ascii="Times New Roman" w:eastAsia="Times New Roman" w:hAnsi="Times New Roman"/>
          <w:b/>
          <w:sz w:val="28"/>
          <w:szCs w:val="28"/>
          <w:lang w:eastAsia="lv-LV"/>
        </w:rPr>
        <w:t>i</w:t>
      </w:r>
      <w:r w:rsidR="003F0121" w:rsidRPr="00942390">
        <w:rPr>
          <w:rFonts w:ascii="Times New Roman" w:eastAsia="Times New Roman" w:hAnsi="Times New Roman"/>
          <w:b/>
          <w:sz w:val="28"/>
          <w:szCs w:val="28"/>
          <w:lang w:eastAsia="lv-LV"/>
        </w:rPr>
        <w:t xml:space="preserve"> Ministru kabineta 2010.gada 13.aprīļa noteikumos Nr.361 „Noteikumi par darbības programmas „Uzņēmējdarbība un inovācijas” papildinājuma 2.1.2.1.1.apakšaktivitāti „Kompetences centri””</w:t>
      </w:r>
      <w:r w:rsidR="002C62C4" w:rsidRPr="00942390">
        <w:rPr>
          <w:rFonts w:ascii="Times New Roman" w:eastAsia="Times New Roman" w:hAnsi="Times New Roman"/>
          <w:b/>
          <w:sz w:val="28"/>
          <w:szCs w:val="28"/>
          <w:lang w:eastAsia="lv-LV"/>
        </w:rPr>
        <w:t>”</w:t>
      </w:r>
      <w:r w:rsidR="004551DF" w:rsidRPr="00942390">
        <w:rPr>
          <w:rFonts w:ascii="Times New Roman" w:eastAsia="Times New Roman" w:hAnsi="Times New Roman"/>
          <w:b/>
          <w:sz w:val="28"/>
          <w:szCs w:val="28"/>
          <w:lang w:eastAsia="lv-LV"/>
        </w:rPr>
        <w:t xml:space="preserve"> </w:t>
      </w:r>
      <w:r w:rsidRPr="00942390">
        <w:rPr>
          <w:rFonts w:ascii="Times New Roman" w:eastAsia="Times New Roman" w:hAnsi="Times New Roman"/>
          <w:b/>
          <w:sz w:val="28"/>
          <w:szCs w:val="28"/>
          <w:lang w:eastAsia="lv-LV"/>
        </w:rPr>
        <w:t>sākotnējās ietekmes novērtējuma ziņojums (anotācija)</w:t>
      </w:r>
      <w:bookmarkEnd w:id="2"/>
      <w:bookmarkEnd w:id="3"/>
    </w:p>
    <w:bookmarkEnd w:id="4"/>
    <w:bookmarkEnd w:id="5"/>
    <w:bookmarkEnd w:id="6"/>
    <w:bookmarkEnd w:id="7"/>
    <w:bookmarkEnd w:id="8"/>
    <w:bookmarkEnd w:id="9"/>
    <w:p w:rsidR="001F5390" w:rsidRDefault="001F5390" w:rsidP="001F5390">
      <w:pPr>
        <w:spacing w:after="0" w:line="240" w:lineRule="auto"/>
        <w:rPr>
          <w:rFonts w:ascii="Times New Roman" w:hAnsi="Times New Roman"/>
          <w:b/>
          <w:sz w:val="28"/>
          <w:szCs w:val="28"/>
        </w:rPr>
      </w:pPr>
    </w:p>
    <w:p w:rsidR="006714A4" w:rsidRPr="00942390" w:rsidRDefault="006714A4" w:rsidP="001F5390">
      <w:pPr>
        <w:spacing w:after="0" w:line="240" w:lineRule="auto"/>
        <w:rPr>
          <w:rFonts w:ascii="Times New Roman" w:hAnsi="Times New Roman"/>
          <w:b/>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2"/>
        <w:gridCol w:w="6095"/>
      </w:tblGrid>
      <w:tr w:rsidR="00D40CFC" w:rsidRPr="00942390" w:rsidTr="00E4531E">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942390" w:rsidRDefault="00D40CFC" w:rsidP="00D40CFC">
            <w:pPr>
              <w:spacing w:after="0" w:line="240" w:lineRule="auto"/>
              <w:jc w:val="center"/>
              <w:rPr>
                <w:rFonts w:ascii="Times New Roman" w:eastAsia="Times New Roman" w:hAnsi="Times New Roman"/>
                <w:b/>
                <w:sz w:val="28"/>
                <w:szCs w:val="28"/>
                <w:lang w:eastAsia="lv-LV"/>
              </w:rPr>
            </w:pPr>
            <w:r w:rsidRPr="00942390">
              <w:rPr>
                <w:rFonts w:ascii="Times New Roman" w:eastAsia="Times New Roman" w:hAnsi="Times New Roman"/>
                <w:b/>
                <w:sz w:val="28"/>
                <w:szCs w:val="28"/>
                <w:lang w:eastAsia="lv-LV"/>
              </w:rPr>
              <w:t>I.Tiesību akta projekta izstrādes nepieciešamība</w:t>
            </w:r>
          </w:p>
        </w:tc>
      </w:tr>
      <w:tr w:rsidR="00D40CFC" w:rsidRPr="00942390" w:rsidTr="00087656">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ind w:firstLine="567"/>
              <w:jc w:val="both"/>
              <w:rPr>
                <w:rFonts w:ascii="Times New Roman" w:hAnsi="Times New Roman"/>
                <w:sz w:val="28"/>
                <w:szCs w:val="28"/>
              </w:rPr>
            </w:pPr>
            <w:r w:rsidRPr="00942390">
              <w:rPr>
                <w:rFonts w:ascii="Times New Roman" w:hAnsi="Times New Roman"/>
                <w:sz w:val="28"/>
                <w:szCs w:val="28"/>
              </w:rPr>
              <w:t>Noteikumu projekts sagatavots, pamatojoties uz Eirop</w:t>
            </w:r>
            <w:r w:rsidR="00087656" w:rsidRPr="00942390">
              <w:rPr>
                <w:rFonts w:ascii="Times New Roman" w:hAnsi="Times New Roman"/>
                <w:sz w:val="28"/>
                <w:szCs w:val="28"/>
              </w:rPr>
              <w:t xml:space="preserve">as Savienības struktūrfondu un Kohēzijas fonda vadības likuma </w:t>
            </w:r>
            <w:r w:rsidRPr="00942390">
              <w:rPr>
                <w:rFonts w:ascii="Times New Roman" w:hAnsi="Times New Roman"/>
                <w:sz w:val="28"/>
                <w:szCs w:val="28"/>
              </w:rPr>
              <w:t>18.panta 10.punktu.</w:t>
            </w:r>
          </w:p>
        </w:tc>
      </w:tr>
      <w:tr w:rsidR="00D40CFC" w:rsidRPr="00942390" w:rsidTr="00087656">
        <w:trPr>
          <w:trHeight w:val="360"/>
        </w:trPr>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C4159E" w:rsidRPr="00942390" w:rsidRDefault="00CE2B00" w:rsidP="00CE2B00">
            <w:pPr>
              <w:spacing w:after="0" w:line="240" w:lineRule="auto"/>
              <w:ind w:firstLine="567"/>
              <w:jc w:val="both"/>
              <w:rPr>
                <w:rFonts w:ascii="Times New Roman" w:hAnsi="Times New Roman"/>
                <w:bCs/>
                <w:color w:val="000000"/>
                <w:sz w:val="28"/>
                <w:szCs w:val="28"/>
              </w:rPr>
            </w:pPr>
            <w:r w:rsidRPr="00942390">
              <w:rPr>
                <w:rFonts w:ascii="Times New Roman" w:hAnsi="Times New Roman"/>
                <w:bCs/>
                <w:color w:val="000000"/>
                <w:sz w:val="28"/>
                <w:szCs w:val="28"/>
              </w:rPr>
              <w:t xml:space="preserve">Kompetences centri ir ilgtermiņa projekti, kuri līdz 2015.gadam nodrošina finansējumu pētījumiem un jaunu produktu izstrādei. </w:t>
            </w:r>
          </w:p>
          <w:p w:rsidR="002D692B" w:rsidRPr="00942390" w:rsidRDefault="0067523B" w:rsidP="00184062">
            <w:pPr>
              <w:spacing w:after="0" w:line="240" w:lineRule="auto"/>
              <w:ind w:firstLine="567"/>
              <w:jc w:val="both"/>
              <w:rPr>
                <w:rFonts w:ascii="Times New Roman" w:hAnsi="Times New Roman"/>
                <w:bCs/>
                <w:color w:val="000000"/>
                <w:sz w:val="28"/>
                <w:szCs w:val="28"/>
              </w:rPr>
            </w:pPr>
            <w:r w:rsidRPr="00942390">
              <w:rPr>
                <w:rFonts w:ascii="Times New Roman" w:hAnsi="Times New Roman"/>
                <w:bCs/>
                <w:color w:val="000000"/>
                <w:sz w:val="28"/>
                <w:szCs w:val="28"/>
              </w:rPr>
              <w:t>Šobrīd ir izveidoti seši kompetences centri</w:t>
            </w:r>
            <w:r w:rsidR="003A278C" w:rsidRPr="00942390">
              <w:rPr>
                <w:rFonts w:ascii="Times New Roman" w:hAnsi="Times New Roman"/>
                <w:bCs/>
                <w:color w:val="000000"/>
                <w:sz w:val="28"/>
                <w:szCs w:val="28"/>
              </w:rPr>
              <w:t xml:space="preserve"> </w:t>
            </w:r>
            <w:r w:rsidR="003A278C" w:rsidRPr="00942390">
              <w:rPr>
                <w:rFonts w:ascii="Times New Roman" w:hAnsi="Times New Roman"/>
                <w:b/>
                <w:bCs/>
                <w:color w:val="000000"/>
                <w:sz w:val="28"/>
                <w:szCs w:val="28"/>
              </w:rPr>
              <w:t>(2.1.2.1.1.apakšaktivitātē „Kompetences centri” netiek plānotas jaunas atlases)</w:t>
            </w:r>
            <w:r w:rsidR="00691F4E" w:rsidRPr="00942390">
              <w:rPr>
                <w:rFonts w:ascii="Times New Roman" w:hAnsi="Times New Roman"/>
                <w:bCs/>
                <w:color w:val="000000"/>
                <w:sz w:val="28"/>
                <w:szCs w:val="28"/>
              </w:rPr>
              <w:t>, kas aptver šādas</w:t>
            </w:r>
            <w:r w:rsidRPr="00942390">
              <w:rPr>
                <w:rFonts w:ascii="Times New Roman" w:hAnsi="Times New Roman"/>
                <w:bCs/>
                <w:color w:val="000000"/>
                <w:sz w:val="28"/>
                <w:szCs w:val="28"/>
              </w:rPr>
              <w:t xml:space="preserve"> </w:t>
            </w:r>
            <w:r w:rsidR="00691F4E" w:rsidRPr="00942390">
              <w:rPr>
                <w:rFonts w:ascii="Times New Roman" w:hAnsi="Times New Roman"/>
                <w:bCs/>
                <w:color w:val="000000"/>
                <w:sz w:val="28"/>
                <w:szCs w:val="28"/>
              </w:rPr>
              <w:t xml:space="preserve">nozares  - </w:t>
            </w:r>
            <w:r w:rsidRPr="00942390">
              <w:rPr>
                <w:rFonts w:ascii="Times New Roman" w:hAnsi="Times New Roman"/>
                <w:bCs/>
                <w:color w:val="000000"/>
                <w:sz w:val="28"/>
                <w:szCs w:val="28"/>
              </w:rPr>
              <w:t xml:space="preserve">ķīmija un farmācija, informācijas un komunikāciju tehnoloģijas, kokapstrāde, transporta tehnika,  elektriskās un kosmosa iekārta kā arī vides, biotehnoloģiju, </w:t>
            </w:r>
            <w:proofErr w:type="spellStart"/>
            <w:r w:rsidRPr="00942390">
              <w:rPr>
                <w:rFonts w:ascii="Times New Roman" w:hAnsi="Times New Roman"/>
                <w:bCs/>
                <w:color w:val="000000"/>
                <w:sz w:val="28"/>
                <w:szCs w:val="28"/>
              </w:rPr>
              <w:t>bioenerģijas</w:t>
            </w:r>
            <w:proofErr w:type="spellEnd"/>
            <w:r w:rsidRPr="00942390">
              <w:rPr>
                <w:rFonts w:ascii="Times New Roman" w:hAnsi="Times New Roman"/>
                <w:bCs/>
                <w:color w:val="000000"/>
                <w:sz w:val="28"/>
                <w:szCs w:val="28"/>
              </w:rPr>
              <w:t xml:space="preserve"> un </w:t>
            </w:r>
            <w:proofErr w:type="spellStart"/>
            <w:r w:rsidRPr="00942390">
              <w:rPr>
                <w:rFonts w:ascii="Times New Roman" w:hAnsi="Times New Roman"/>
                <w:bCs/>
                <w:color w:val="000000"/>
                <w:sz w:val="28"/>
                <w:szCs w:val="28"/>
              </w:rPr>
              <w:t>nanostrukturēto</w:t>
            </w:r>
            <w:proofErr w:type="spellEnd"/>
            <w:r w:rsidRPr="00942390">
              <w:rPr>
                <w:rFonts w:ascii="Times New Roman" w:hAnsi="Times New Roman"/>
                <w:bCs/>
                <w:color w:val="000000"/>
                <w:sz w:val="28"/>
                <w:szCs w:val="28"/>
              </w:rPr>
              <w:t xml:space="preserve"> un daudzfunkcionālo materiālu, konstrukciju un tehnoloģiju nozares.</w:t>
            </w:r>
            <w:r w:rsidR="00163774" w:rsidRPr="00942390">
              <w:rPr>
                <w:rFonts w:ascii="Times New Roman" w:hAnsi="Times New Roman"/>
                <w:bCs/>
                <w:color w:val="000000"/>
                <w:sz w:val="28"/>
                <w:szCs w:val="28"/>
              </w:rPr>
              <w:t xml:space="preserve"> </w:t>
            </w:r>
            <w:r w:rsidR="00953CF1" w:rsidRPr="00942390">
              <w:rPr>
                <w:rFonts w:ascii="Times New Roman" w:hAnsi="Times New Roman"/>
                <w:bCs/>
                <w:color w:val="000000"/>
                <w:sz w:val="28"/>
                <w:szCs w:val="28"/>
              </w:rPr>
              <w:t>Kompetences centru dibinātāji ir Latvijas zinātniskās institūcijas un katra</w:t>
            </w:r>
            <w:r w:rsidR="00184062" w:rsidRPr="00942390">
              <w:rPr>
                <w:rFonts w:ascii="Times New Roman" w:hAnsi="Times New Roman"/>
                <w:bCs/>
                <w:color w:val="000000"/>
                <w:sz w:val="28"/>
                <w:szCs w:val="28"/>
              </w:rPr>
              <w:t xml:space="preserve">s nozares vadošie </w:t>
            </w:r>
            <w:r w:rsidR="00953CF1" w:rsidRPr="00942390">
              <w:rPr>
                <w:rFonts w:ascii="Times New Roman" w:hAnsi="Times New Roman"/>
                <w:bCs/>
                <w:color w:val="000000"/>
                <w:sz w:val="28"/>
                <w:szCs w:val="28"/>
              </w:rPr>
              <w:t xml:space="preserve">komersanti, kā piemēram, </w:t>
            </w:r>
            <w:r w:rsidR="00962302" w:rsidRPr="00942390">
              <w:rPr>
                <w:rFonts w:ascii="Times New Roman" w:hAnsi="Times New Roman"/>
                <w:bCs/>
                <w:color w:val="000000"/>
                <w:sz w:val="28"/>
                <w:szCs w:val="28"/>
              </w:rPr>
              <w:t>AS "</w:t>
            </w:r>
            <w:proofErr w:type="spellStart"/>
            <w:r w:rsidR="00962302" w:rsidRPr="00942390">
              <w:rPr>
                <w:rFonts w:ascii="Times New Roman" w:hAnsi="Times New Roman"/>
                <w:bCs/>
                <w:color w:val="000000"/>
                <w:sz w:val="28"/>
                <w:szCs w:val="28"/>
              </w:rPr>
              <w:t>Grindeks</w:t>
            </w:r>
            <w:proofErr w:type="spellEnd"/>
            <w:r w:rsidR="00962302" w:rsidRPr="00942390">
              <w:rPr>
                <w:rFonts w:ascii="Times New Roman" w:hAnsi="Times New Roman"/>
                <w:bCs/>
                <w:color w:val="000000"/>
                <w:sz w:val="28"/>
                <w:szCs w:val="28"/>
              </w:rPr>
              <w:t>"</w:t>
            </w:r>
            <w:r w:rsidR="00953CF1" w:rsidRPr="00942390">
              <w:rPr>
                <w:rFonts w:ascii="Times New Roman" w:hAnsi="Times New Roman"/>
                <w:bCs/>
                <w:color w:val="000000"/>
                <w:sz w:val="28"/>
                <w:szCs w:val="28"/>
              </w:rPr>
              <w:t xml:space="preserve">, </w:t>
            </w:r>
            <w:r w:rsidR="00962302" w:rsidRPr="00942390">
              <w:rPr>
                <w:rFonts w:ascii="Times New Roman" w:hAnsi="Times New Roman"/>
                <w:bCs/>
                <w:color w:val="000000"/>
                <w:sz w:val="28"/>
                <w:szCs w:val="28"/>
              </w:rPr>
              <w:t>AS "</w:t>
            </w:r>
            <w:proofErr w:type="spellStart"/>
            <w:r w:rsidR="00962302" w:rsidRPr="00942390">
              <w:rPr>
                <w:rFonts w:ascii="Times New Roman" w:hAnsi="Times New Roman"/>
                <w:bCs/>
                <w:color w:val="000000"/>
                <w:sz w:val="28"/>
                <w:szCs w:val="28"/>
              </w:rPr>
              <w:t>Olainfarm</w:t>
            </w:r>
            <w:proofErr w:type="spellEnd"/>
            <w:r w:rsidR="00962302" w:rsidRPr="00942390">
              <w:rPr>
                <w:rFonts w:ascii="Times New Roman" w:hAnsi="Times New Roman"/>
                <w:bCs/>
                <w:color w:val="000000"/>
                <w:sz w:val="28"/>
                <w:szCs w:val="28"/>
              </w:rPr>
              <w:t>"</w:t>
            </w:r>
            <w:r w:rsidR="00953CF1" w:rsidRPr="00942390">
              <w:rPr>
                <w:rFonts w:ascii="Times New Roman" w:hAnsi="Times New Roman"/>
                <w:bCs/>
                <w:color w:val="000000"/>
                <w:sz w:val="28"/>
                <w:szCs w:val="28"/>
              </w:rPr>
              <w:t xml:space="preserve">, </w:t>
            </w:r>
            <w:r w:rsidR="00962302" w:rsidRPr="00942390">
              <w:rPr>
                <w:rFonts w:ascii="Times New Roman" w:hAnsi="Times New Roman"/>
                <w:bCs/>
                <w:color w:val="000000"/>
                <w:sz w:val="28"/>
                <w:szCs w:val="28"/>
              </w:rPr>
              <w:t>SIA "</w:t>
            </w:r>
            <w:proofErr w:type="spellStart"/>
            <w:r w:rsidR="00962302" w:rsidRPr="00942390">
              <w:rPr>
                <w:rFonts w:ascii="Times New Roman" w:hAnsi="Times New Roman"/>
                <w:bCs/>
                <w:color w:val="000000"/>
                <w:sz w:val="28"/>
                <w:szCs w:val="28"/>
              </w:rPr>
              <w:t>Silvanols</w:t>
            </w:r>
            <w:proofErr w:type="spellEnd"/>
            <w:r w:rsidR="00962302" w:rsidRPr="00942390">
              <w:rPr>
                <w:rFonts w:ascii="Times New Roman" w:hAnsi="Times New Roman"/>
                <w:bCs/>
                <w:color w:val="000000"/>
                <w:sz w:val="28"/>
                <w:szCs w:val="28"/>
              </w:rPr>
              <w:t>"</w:t>
            </w:r>
            <w:r w:rsidR="00953CF1" w:rsidRPr="00942390">
              <w:rPr>
                <w:rFonts w:ascii="Times New Roman" w:hAnsi="Times New Roman"/>
                <w:bCs/>
                <w:color w:val="000000"/>
                <w:sz w:val="28"/>
                <w:szCs w:val="28"/>
              </w:rPr>
              <w:t xml:space="preserve">, </w:t>
            </w:r>
            <w:r w:rsidR="00205D79" w:rsidRPr="00942390">
              <w:rPr>
                <w:rFonts w:ascii="Times New Roman" w:hAnsi="Times New Roman"/>
                <w:bCs/>
                <w:color w:val="000000"/>
                <w:sz w:val="28"/>
                <w:szCs w:val="28"/>
              </w:rPr>
              <w:t>AS „Latvijas Finieris”</w:t>
            </w:r>
            <w:r w:rsidR="00953CF1" w:rsidRPr="00942390">
              <w:rPr>
                <w:rFonts w:ascii="Times New Roman" w:hAnsi="Times New Roman"/>
                <w:bCs/>
                <w:color w:val="000000"/>
                <w:sz w:val="28"/>
                <w:szCs w:val="28"/>
              </w:rPr>
              <w:t xml:space="preserve">, </w:t>
            </w:r>
            <w:r w:rsidR="00205D79" w:rsidRPr="00942390">
              <w:rPr>
                <w:rFonts w:ascii="Times New Roman" w:hAnsi="Times New Roman"/>
                <w:bCs/>
                <w:color w:val="000000"/>
                <w:sz w:val="28"/>
                <w:szCs w:val="28"/>
              </w:rPr>
              <w:t>AS "ALFA RPAR"</w:t>
            </w:r>
            <w:r w:rsidR="00953CF1" w:rsidRPr="00942390">
              <w:rPr>
                <w:rFonts w:ascii="Times New Roman" w:hAnsi="Times New Roman"/>
                <w:bCs/>
                <w:color w:val="000000"/>
                <w:sz w:val="28"/>
                <w:szCs w:val="28"/>
              </w:rPr>
              <w:t xml:space="preserve">, </w:t>
            </w:r>
            <w:r w:rsidR="00205D79" w:rsidRPr="00942390">
              <w:rPr>
                <w:rFonts w:ascii="Times New Roman" w:hAnsi="Times New Roman"/>
                <w:bCs/>
                <w:color w:val="000000"/>
                <w:sz w:val="28"/>
                <w:szCs w:val="28"/>
              </w:rPr>
              <w:t>SIA "Hanzas elektronika"</w:t>
            </w:r>
            <w:r w:rsidR="00953CF1" w:rsidRPr="00942390">
              <w:rPr>
                <w:rFonts w:ascii="Times New Roman" w:hAnsi="Times New Roman"/>
                <w:bCs/>
                <w:color w:val="000000"/>
                <w:sz w:val="28"/>
                <w:szCs w:val="28"/>
              </w:rPr>
              <w:t xml:space="preserve">, </w:t>
            </w:r>
            <w:r w:rsidR="00205D79" w:rsidRPr="00942390">
              <w:rPr>
                <w:rFonts w:ascii="Times New Roman" w:hAnsi="Times New Roman"/>
                <w:bCs/>
                <w:color w:val="000000"/>
                <w:sz w:val="28"/>
                <w:szCs w:val="28"/>
              </w:rPr>
              <w:t>AS „Sidrabe”</w:t>
            </w:r>
            <w:r w:rsidR="00953CF1" w:rsidRPr="00942390">
              <w:rPr>
                <w:rFonts w:ascii="Times New Roman" w:hAnsi="Times New Roman"/>
                <w:bCs/>
                <w:color w:val="000000"/>
                <w:sz w:val="28"/>
                <w:szCs w:val="28"/>
              </w:rPr>
              <w:t xml:space="preserve">, </w:t>
            </w:r>
            <w:r w:rsidR="00205D79" w:rsidRPr="00942390">
              <w:rPr>
                <w:rFonts w:ascii="Times New Roman" w:hAnsi="Times New Roman"/>
                <w:bCs/>
                <w:color w:val="000000"/>
                <w:sz w:val="28"/>
                <w:szCs w:val="28"/>
              </w:rPr>
              <w:t>SIA „</w:t>
            </w:r>
            <w:proofErr w:type="spellStart"/>
            <w:r w:rsidR="00205D79" w:rsidRPr="00942390">
              <w:rPr>
                <w:rFonts w:ascii="Times New Roman" w:hAnsi="Times New Roman"/>
                <w:bCs/>
                <w:color w:val="000000"/>
                <w:sz w:val="28"/>
                <w:szCs w:val="28"/>
              </w:rPr>
              <w:t>GroGlass</w:t>
            </w:r>
            <w:proofErr w:type="spellEnd"/>
            <w:r w:rsidR="00205D79" w:rsidRPr="00942390">
              <w:rPr>
                <w:rFonts w:ascii="Times New Roman" w:hAnsi="Times New Roman"/>
                <w:bCs/>
                <w:color w:val="000000"/>
                <w:sz w:val="28"/>
                <w:szCs w:val="28"/>
              </w:rPr>
              <w:t>”</w:t>
            </w:r>
            <w:r w:rsidR="00953CF1" w:rsidRPr="00942390">
              <w:rPr>
                <w:rFonts w:ascii="Times New Roman" w:hAnsi="Times New Roman"/>
                <w:bCs/>
                <w:color w:val="000000"/>
                <w:sz w:val="28"/>
                <w:szCs w:val="28"/>
              </w:rPr>
              <w:t xml:space="preserve"> </w:t>
            </w:r>
            <w:proofErr w:type="spellStart"/>
            <w:r w:rsidR="00953CF1" w:rsidRPr="00942390">
              <w:rPr>
                <w:rFonts w:ascii="Times New Roman" w:hAnsi="Times New Roman"/>
                <w:bCs/>
                <w:color w:val="000000"/>
                <w:sz w:val="28"/>
                <w:szCs w:val="28"/>
              </w:rPr>
              <w:t>u.c</w:t>
            </w:r>
            <w:proofErr w:type="spellEnd"/>
            <w:r w:rsidR="00953CF1" w:rsidRPr="00942390">
              <w:rPr>
                <w:rFonts w:ascii="Times New Roman" w:hAnsi="Times New Roman"/>
                <w:bCs/>
                <w:color w:val="000000"/>
                <w:sz w:val="28"/>
                <w:szCs w:val="28"/>
              </w:rPr>
              <w:t>.</w:t>
            </w:r>
            <w:r w:rsidR="002D692B" w:rsidRPr="00942390">
              <w:rPr>
                <w:rFonts w:ascii="Times New Roman" w:hAnsi="Times New Roman"/>
                <w:bCs/>
                <w:color w:val="000000"/>
                <w:sz w:val="28"/>
                <w:szCs w:val="28"/>
              </w:rPr>
              <w:t xml:space="preserve"> </w:t>
            </w:r>
          </w:p>
          <w:p w:rsidR="00905E90" w:rsidRPr="00942390" w:rsidRDefault="00012B3B" w:rsidP="00184062">
            <w:pPr>
              <w:spacing w:after="0" w:line="240" w:lineRule="auto"/>
              <w:ind w:firstLine="567"/>
              <w:jc w:val="both"/>
              <w:rPr>
                <w:rFonts w:ascii="Times New Roman" w:hAnsi="Times New Roman"/>
                <w:bCs/>
                <w:color w:val="000000"/>
                <w:sz w:val="28"/>
                <w:szCs w:val="28"/>
              </w:rPr>
            </w:pPr>
            <w:r w:rsidRPr="00942390">
              <w:rPr>
                <w:rFonts w:ascii="Times New Roman" w:hAnsi="Times New Roman"/>
                <w:bCs/>
                <w:color w:val="000000"/>
                <w:sz w:val="28"/>
                <w:szCs w:val="28"/>
              </w:rPr>
              <w:t>Katram kompetences centra</w:t>
            </w:r>
            <w:r w:rsidR="00143D0C" w:rsidRPr="00942390">
              <w:rPr>
                <w:rFonts w:ascii="Times New Roman" w:hAnsi="Times New Roman"/>
                <w:bCs/>
                <w:color w:val="000000"/>
                <w:sz w:val="28"/>
                <w:szCs w:val="28"/>
              </w:rPr>
              <w:t>m</w:t>
            </w:r>
            <w:r w:rsidRPr="00942390">
              <w:rPr>
                <w:rFonts w:ascii="Times New Roman" w:hAnsi="Times New Roman"/>
                <w:bCs/>
                <w:color w:val="000000"/>
                <w:sz w:val="28"/>
                <w:szCs w:val="28"/>
              </w:rPr>
              <w:t xml:space="preserve"> ir iezīmēts publiskais līdzfinansējums  6,25 </w:t>
            </w:r>
            <w:proofErr w:type="spellStart"/>
            <w:r w:rsidRPr="00942390">
              <w:rPr>
                <w:rFonts w:ascii="Times New Roman" w:hAnsi="Times New Roman"/>
                <w:bCs/>
                <w:color w:val="000000"/>
                <w:sz w:val="28"/>
                <w:szCs w:val="28"/>
              </w:rPr>
              <w:t>milj</w:t>
            </w:r>
            <w:proofErr w:type="spellEnd"/>
            <w:r w:rsidRPr="00942390">
              <w:rPr>
                <w:rFonts w:ascii="Times New Roman" w:hAnsi="Times New Roman"/>
                <w:bCs/>
                <w:color w:val="000000"/>
                <w:sz w:val="28"/>
                <w:szCs w:val="28"/>
              </w:rPr>
              <w:t xml:space="preserve">. latu apjomā jeb 37,37 </w:t>
            </w:r>
            <w:proofErr w:type="spellStart"/>
            <w:r w:rsidRPr="00942390">
              <w:rPr>
                <w:rFonts w:ascii="Times New Roman" w:hAnsi="Times New Roman"/>
                <w:bCs/>
                <w:color w:val="000000"/>
                <w:sz w:val="28"/>
                <w:szCs w:val="28"/>
              </w:rPr>
              <w:t>milj.latu</w:t>
            </w:r>
            <w:proofErr w:type="spellEnd"/>
            <w:r w:rsidRPr="00942390">
              <w:rPr>
                <w:rFonts w:ascii="Times New Roman" w:hAnsi="Times New Roman"/>
                <w:bCs/>
                <w:color w:val="000000"/>
                <w:sz w:val="28"/>
                <w:szCs w:val="28"/>
              </w:rPr>
              <w:t xml:space="preserve"> visiem sešiem kompetenču centriem. </w:t>
            </w:r>
            <w:r w:rsidR="002D692B" w:rsidRPr="00942390">
              <w:rPr>
                <w:rFonts w:ascii="Times New Roman" w:hAnsi="Times New Roman"/>
                <w:bCs/>
                <w:color w:val="000000"/>
                <w:sz w:val="28"/>
                <w:szCs w:val="28"/>
              </w:rPr>
              <w:t xml:space="preserve">Līdz 2012.gada 31.decembrim visi kompetences centri kopā ir veikuši pētījumus par 3,7 </w:t>
            </w:r>
            <w:proofErr w:type="spellStart"/>
            <w:r w:rsidR="002D692B" w:rsidRPr="00942390">
              <w:rPr>
                <w:rFonts w:ascii="Times New Roman" w:hAnsi="Times New Roman"/>
                <w:bCs/>
                <w:color w:val="000000"/>
                <w:sz w:val="28"/>
                <w:szCs w:val="28"/>
              </w:rPr>
              <w:t>milj.latu</w:t>
            </w:r>
            <w:proofErr w:type="spellEnd"/>
            <w:r w:rsidR="00A952FC" w:rsidRPr="00942390">
              <w:rPr>
                <w:rFonts w:ascii="Times New Roman" w:hAnsi="Times New Roman"/>
                <w:bCs/>
                <w:color w:val="000000"/>
                <w:sz w:val="28"/>
                <w:szCs w:val="28"/>
              </w:rPr>
              <w:t>, kas ir tikai 10% no tiem pieejamā finansējuma</w:t>
            </w:r>
            <w:r w:rsidR="002D692B" w:rsidRPr="00942390">
              <w:rPr>
                <w:rFonts w:ascii="Times New Roman" w:hAnsi="Times New Roman"/>
                <w:bCs/>
                <w:color w:val="000000"/>
                <w:sz w:val="28"/>
                <w:szCs w:val="28"/>
              </w:rPr>
              <w:t>.</w:t>
            </w:r>
          </w:p>
          <w:p w:rsidR="002D692B" w:rsidRPr="00942390" w:rsidRDefault="00143D0C" w:rsidP="002D692B">
            <w:pPr>
              <w:spacing w:after="0" w:line="240" w:lineRule="auto"/>
              <w:ind w:firstLine="567"/>
              <w:jc w:val="both"/>
              <w:rPr>
                <w:rFonts w:ascii="Times New Roman" w:hAnsi="Times New Roman"/>
                <w:bCs/>
                <w:color w:val="000000"/>
                <w:sz w:val="28"/>
                <w:szCs w:val="28"/>
              </w:rPr>
            </w:pPr>
            <w:r w:rsidRPr="00942390">
              <w:rPr>
                <w:rFonts w:ascii="Times New Roman" w:hAnsi="Times New Roman"/>
                <w:bCs/>
                <w:color w:val="000000"/>
                <w:sz w:val="28"/>
                <w:szCs w:val="28"/>
              </w:rPr>
              <w:t>Finansējuma saņēmēji</w:t>
            </w:r>
            <w:r w:rsidR="002D692B" w:rsidRPr="00942390">
              <w:rPr>
                <w:rFonts w:ascii="Times New Roman" w:hAnsi="Times New Roman"/>
                <w:bCs/>
                <w:color w:val="000000"/>
                <w:sz w:val="28"/>
                <w:szCs w:val="28"/>
              </w:rPr>
              <w:t xml:space="preserve"> ir norādījuši uz </w:t>
            </w:r>
            <w:r w:rsidRPr="00942390">
              <w:rPr>
                <w:rFonts w:ascii="Times New Roman" w:hAnsi="Times New Roman"/>
                <w:bCs/>
                <w:color w:val="000000"/>
                <w:sz w:val="28"/>
                <w:szCs w:val="28"/>
              </w:rPr>
              <w:t>šādām</w:t>
            </w:r>
            <w:r w:rsidR="002D692B" w:rsidRPr="00942390">
              <w:rPr>
                <w:rFonts w:ascii="Times New Roman" w:hAnsi="Times New Roman"/>
                <w:bCs/>
                <w:color w:val="000000"/>
                <w:sz w:val="28"/>
                <w:szCs w:val="28"/>
              </w:rPr>
              <w:t xml:space="preserve"> problēmām, kas apgrūtina sekmīgu kompetenču centru projektu īstenošanu:</w:t>
            </w:r>
          </w:p>
          <w:p w:rsidR="00741AC2" w:rsidRPr="00942390" w:rsidRDefault="00741AC2" w:rsidP="00741AC2">
            <w:pPr>
              <w:pStyle w:val="ListParagraph"/>
              <w:numPr>
                <w:ilvl w:val="0"/>
                <w:numId w:val="11"/>
              </w:num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Iepirkuma procedūras regulējums;</w:t>
            </w:r>
          </w:p>
          <w:p w:rsidR="00741AC2" w:rsidRPr="00942390" w:rsidRDefault="00741AC2" w:rsidP="00741AC2">
            <w:pPr>
              <w:pStyle w:val="ListParagraph"/>
              <w:numPr>
                <w:ilvl w:val="0"/>
                <w:numId w:val="11"/>
              </w:num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Avansa saņemšanas kārtība un ar to saistītās izmaksas;</w:t>
            </w:r>
          </w:p>
          <w:p w:rsidR="00741AC2" w:rsidRPr="00942390" w:rsidRDefault="00741AC2" w:rsidP="00741AC2">
            <w:pPr>
              <w:pStyle w:val="ListParagraph"/>
              <w:numPr>
                <w:ilvl w:val="0"/>
                <w:numId w:val="11"/>
              </w:num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Papildus intensitātes saņemšanas kārtība;</w:t>
            </w:r>
          </w:p>
          <w:p w:rsidR="00961D59" w:rsidRPr="00942390" w:rsidRDefault="00741AC2" w:rsidP="00741AC2">
            <w:pPr>
              <w:pStyle w:val="ListParagraph"/>
              <w:numPr>
                <w:ilvl w:val="0"/>
                <w:numId w:val="11"/>
              </w:num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lastRenderedPageBreak/>
              <w:t>Vidējā termiņa pārvērtēšanas termiņš</w:t>
            </w:r>
            <w:r w:rsidR="00961D59" w:rsidRPr="00942390">
              <w:rPr>
                <w:rFonts w:ascii="Times New Roman" w:hAnsi="Times New Roman"/>
                <w:bCs/>
                <w:color w:val="000000"/>
                <w:sz w:val="28"/>
                <w:szCs w:val="28"/>
              </w:rPr>
              <w:t>.</w:t>
            </w:r>
          </w:p>
          <w:p w:rsidR="00741AC2" w:rsidRPr="00942390" w:rsidRDefault="00741AC2" w:rsidP="00961D59">
            <w:pPr>
              <w:spacing w:after="0" w:line="240" w:lineRule="auto"/>
              <w:jc w:val="both"/>
              <w:rPr>
                <w:rFonts w:ascii="Times New Roman" w:hAnsi="Times New Roman"/>
                <w:bCs/>
                <w:color w:val="000000"/>
                <w:sz w:val="28"/>
                <w:szCs w:val="28"/>
              </w:rPr>
            </w:pPr>
          </w:p>
          <w:p w:rsidR="00961D59" w:rsidRPr="00942390" w:rsidRDefault="00961D59" w:rsidP="00961D59">
            <w:p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Pamatojoties uz augstāk minētajām problēmām, Ekonomikas ministrija ir izstrādājusi </w:t>
            </w:r>
            <w:r w:rsidR="0019608F" w:rsidRPr="00942390">
              <w:rPr>
                <w:rFonts w:ascii="Times New Roman" w:hAnsi="Times New Roman"/>
                <w:b/>
                <w:bCs/>
                <w:color w:val="000000"/>
                <w:sz w:val="28"/>
                <w:szCs w:val="28"/>
              </w:rPr>
              <w:t>Ministr</w:t>
            </w:r>
            <w:r w:rsidR="0001364D" w:rsidRPr="00942390">
              <w:rPr>
                <w:rFonts w:ascii="Times New Roman" w:hAnsi="Times New Roman"/>
                <w:b/>
                <w:bCs/>
                <w:color w:val="000000"/>
                <w:sz w:val="28"/>
                <w:szCs w:val="28"/>
              </w:rPr>
              <w:t>u</w:t>
            </w:r>
            <w:r w:rsidR="0019608F" w:rsidRPr="00942390">
              <w:rPr>
                <w:rFonts w:ascii="Times New Roman" w:hAnsi="Times New Roman"/>
                <w:b/>
                <w:bCs/>
                <w:color w:val="000000"/>
                <w:sz w:val="28"/>
                <w:szCs w:val="28"/>
              </w:rPr>
              <w:t xml:space="preserve"> kabineta </w:t>
            </w:r>
            <w:r w:rsidR="0001364D" w:rsidRPr="00942390">
              <w:rPr>
                <w:rFonts w:ascii="Times New Roman" w:hAnsi="Times New Roman"/>
                <w:b/>
                <w:bCs/>
                <w:color w:val="000000"/>
                <w:sz w:val="28"/>
                <w:szCs w:val="28"/>
              </w:rPr>
              <w:t xml:space="preserve">2010.gada 13.aprīļa </w:t>
            </w:r>
            <w:r w:rsidR="0019608F" w:rsidRPr="00942390">
              <w:rPr>
                <w:rFonts w:ascii="Times New Roman" w:hAnsi="Times New Roman"/>
                <w:b/>
                <w:bCs/>
                <w:color w:val="000000"/>
                <w:sz w:val="28"/>
                <w:szCs w:val="28"/>
              </w:rPr>
              <w:t xml:space="preserve">noteikumu Nr.361 „Noteikumi par darbības programmas „Uzņēmējdarbība un inovācijas” papildinājuma 2.1.2.1.1.apakšaktivitāti „Kompetences centri””  (turpmāk - </w:t>
            </w:r>
            <w:r w:rsidRPr="00942390">
              <w:rPr>
                <w:rFonts w:ascii="Times New Roman" w:hAnsi="Times New Roman"/>
                <w:b/>
                <w:bCs/>
                <w:color w:val="000000"/>
                <w:sz w:val="28"/>
                <w:szCs w:val="28"/>
              </w:rPr>
              <w:t>M</w:t>
            </w:r>
            <w:r w:rsidR="0019608F" w:rsidRPr="00942390">
              <w:rPr>
                <w:rFonts w:ascii="Times New Roman" w:hAnsi="Times New Roman"/>
                <w:b/>
                <w:bCs/>
                <w:color w:val="000000"/>
                <w:sz w:val="28"/>
                <w:szCs w:val="28"/>
              </w:rPr>
              <w:t>K</w:t>
            </w:r>
            <w:r w:rsidRPr="00942390">
              <w:rPr>
                <w:rFonts w:ascii="Times New Roman" w:hAnsi="Times New Roman"/>
                <w:b/>
                <w:bCs/>
                <w:color w:val="000000"/>
                <w:sz w:val="28"/>
                <w:szCs w:val="28"/>
              </w:rPr>
              <w:t xml:space="preserve"> </w:t>
            </w:r>
            <w:r w:rsidR="0019608F" w:rsidRPr="00942390">
              <w:rPr>
                <w:rFonts w:ascii="Times New Roman" w:hAnsi="Times New Roman"/>
                <w:b/>
                <w:bCs/>
                <w:color w:val="000000"/>
                <w:sz w:val="28"/>
                <w:szCs w:val="28"/>
              </w:rPr>
              <w:t xml:space="preserve">noteikumi </w:t>
            </w:r>
            <w:r w:rsidRPr="00942390">
              <w:rPr>
                <w:rFonts w:ascii="Times New Roman" w:hAnsi="Times New Roman"/>
                <w:b/>
                <w:bCs/>
                <w:color w:val="000000"/>
                <w:sz w:val="28"/>
                <w:szCs w:val="28"/>
              </w:rPr>
              <w:t>Nr.361</w:t>
            </w:r>
            <w:r w:rsidR="0019608F" w:rsidRPr="00942390">
              <w:rPr>
                <w:rFonts w:ascii="Times New Roman" w:hAnsi="Times New Roman"/>
                <w:b/>
                <w:bCs/>
                <w:color w:val="000000"/>
                <w:sz w:val="28"/>
                <w:szCs w:val="28"/>
              </w:rPr>
              <w:t>)</w:t>
            </w:r>
            <w:r w:rsidRPr="00942390">
              <w:rPr>
                <w:rFonts w:ascii="Times New Roman" w:hAnsi="Times New Roman"/>
                <w:bCs/>
                <w:color w:val="000000"/>
                <w:sz w:val="28"/>
                <w:szCs w:val="28"/>
              </w:rPr>
              <w:t xml:space="preserve"> grozījumu projektu, paredzot:</w:t>
            </w:r>
          </w:p>
          <w:p w:rsidR="00ED2EA1" w:rsidRPr="00942390" w:rsidRDefault="00ED2EA1" w:rsidP="00961D59">
            <w:pPr>
              <w:spacing w:after="0" w:line="240" w:lineRule="auto"/>
              <w:jc w:val="both"/>
              <w:rPr>
                <w:rFonts w:ascii="Times New Roman" w:hAnsi="Times New Roman"/>
                <w:bCs/>
                <w:color w:val="000000"/>
                <w:sz w:val="28"/>
                <w:szCs w:val="28"/>
              </w:rPr>
            </w:pPr>
          </w:p>
          <w:p w:rsidR="004A4EB7" w:rsidRPr="00942390" w:rsidRDefault="00961D59" w:rsidP="004A4EB7">
            <w:p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 -</w:t>
            </w:r>
            <w:r w:rsidR="00645410" w:rsidRPr="00942390">
              <w:rPr>
                <w:rFonts w:ascii="Times New Roman" w:hAnsi="Times New Roman"/>
                <w:bCs/>
                <w:color w:val="000000"/>
                <w:sz w:val="28"/>
                <w:szCs w:val="28"/>
              </w:rPr>
              <w:t xml:space="preserve">2013.gada 1.septembrī </w:t>
            </w:r>
            <w:r w:rsidR="0030556F" w:rsidRPr="00942390">
              <w:rPr>
                <w:rFonts w:ascii="Times New Roman" w:hAnsi="Times New Roman"/>
                <w:b/>
                <w:bCs/>
                <w:color w:val="000000"/>
                <w:sz w:val="28"/>
                <w:szCs w:val="28"/>
              </w:rPr>
              <w:t xml:space="preserve">stājās </w:t>
            </w:r>
            <w:r w:rsidR="00645410" w:rsidRPr="00942390">
              <w:rPr>
                <w:rFonts w:ascii="Times New Roman" w:hAnsi="Times New Roman"/>
                <w:b/>
                <w:bCs/>
                <w:color w:val="000000"/>
                <w:sz w:val="28"/>
                <w:szCs w:val="28"/>
              </w:rPr>
              <w:t xml:space="preserve">spēkā </w:t>
            </w:r>
            <w:r w:rsidR="008909DA" w:rsidRPr="00942390">
              <w:rPr>
                <w:rFonts w:ascii="Times New Roman" w:hAnsi="Times New Roman"/>
                <w:b/>
                <w:bCs/>
                <w:color w:val="000000"/>
                <w:sz w:val="28"/>
                <w:szCs w:val="28"/>
              </w:rPr>
              <w:t>M</w:t>
            </w:r>
            <w:r w:rsidR="00EA0546" w:rsidRPr="00942390">
              <w:rPr>
                <w:rFonts w:ascii="Times New Roman" w:hAnsi="Times New Roman"/>
                <w:b/>
                <w:bCs/>
                <w:color w:val="000000"/>
                <w:sz w:val="28"/>
                <w:szCs w:val="28"/>
              </w:rPr>
              <w:t xml:space="preserve">inistru kabineta </w:t>
            </w:r>
            <w:r w:rsidR="00623590" w:rsidRPr="00942390">
              <w:rPr>
                <w:rFonts w:ascii="Times New Roman" w:hAnsi="Times New Roman"/>
                <w:b/>
                <w:bCs/>
                <w:color w:val="000000"/>
                <w:sz w:val="28"/>
                <w:szCs w:val="28"/>
              </w:rPr>
              <w:t xml:space="preserve">2013.gada 4.jūnija </w:t>
            </w:r>
            <w:r w:rsidR="008909DA" w:rsidRPr="00942390">
              <w:rPr>
                <w:rFonts w:ascii="Times New Roman" w:hAnsi="Times New Roman"/>
                <w:bCs/>
                <w:color w:val="000000"/>
                <w:sz w:val="28"/>
                <w:szCs w:val="28"/>
              </w:rPr>
              <w:t>noteikumi Nr.299 „Noteikumi par iepirkuma procedūru un tās piemērošanas kārtību pasūtītāja finansētiem projektiem”</w:t>
            </w:r>
            <w:r w:rsidR="0030556F" w:rsidRPr="00942390">
              <w:rPr>
                <w:rFonts w:ascii="Times New Roman" w:hAnsi="Times New Roman"/>
                <w:bCs/>
                <w:color w:val="000000"/>
                <w:sz w:val="28"/>
                <w:szCs w:val="28"/>
              </w:rPr>
              <w:t xml:space="preserve"> </w:t>
            </w:r>
            <w:r w:rsidR="0030556F" w:rsidRPr="00942390">
              <w:rPr>
                <w:rFonts w:ascii="Times New Roman" w:hAnsi="Times New Roman"/>
                <w:b/>
                <w:bCs/>
                <w:color w:val="000000"/>
                <w:sz w:val="28"/>
                <w:szCs w:val="28"/>
              </w:rPr>
              <w:t xml:space="preserve">(turpmāk </w:t>
            </w:r>
            <w:r w:rsidR="00D01283" w:rsidRPr="00942390">
              <w:rPr>
                <w:rFonts w:ascii="Times New Roman" w:hAnsi="Times New Roman"/>
                <w:b/>
                <w:bCs/>
                <w:color w:val="000000"/>
                <w:sz w:val="28"/>
                <w:szCs w:val="28"/>
              </w:rPr>
              <w:t>–</w:t>
            </w:r>
            <w:r w:rsidR="0030556F" w:rsidRPr="00942390">
              <w:rPr>
                <w:rFonts w:ascii="Times New Roman" w:hAnsi="Times New Roman"/>
                <w:b/>
                <w:bCs/>
                <w:color w:val="000000"/>
                <w:sz w:val="28"/>
                <w:szCs w:val="28"/>
              </w:rPr>
              <w:t xml:space="preserve"> </w:t>
            </w:r>
            <w:r w:rsidR="00D01283" w:rsidRPr="00942390">
              <w:rPr>
                <w:rFonts w:ascii="Times New Roman" w:hAnsi="Times New Roman"/>
                <w:b/>
                <w:bCs/>
                <w:color w:val="000000"/>
                <w:sz w:val="28"/>
                <w:szCs w:val="28"/>
              </w:rPr>
              <w:t>MK noteikumi Nr.299</w:t>
            </w:r>
            <w:r w:rsidR="0030556F" w:rsidRPr="00942390">
              <w:rPr>
                <w:rFonts w:ascii="Times New Roman" w:hAnsi="Times New Roman"/>
                <w:b/>
                <w:bCs/>
                <w:color w:val="000000"/>
                <w:sz w:val="28"/>
                <w:szCs w:val="28"/>
              </w:rPr>
              <w:t>)</w:t>
            </w:r>
            <w:r w:rsidR="001D4955" w:rsidRPr="00942390">
              <w:rPr>
                <w:rFonts w:ascii="Times New Roman" w:hAnsi="Times New Roman"/>
                <w:bCs/>
                <w:color w:val="000000"/>
                <w:sz w:val="28"/>
                <w:szCs w:val="28"/>
              </w:rPr>
              <w:t>, kuri precizēs līdz šim spēkā esošās iepirkumu normas</w:t>
            </w:r>
            <w:r w:rsidR="003D292D" w:rsidRPr="00942390">
              <w:rPr>
                <w:rFonts w:ascii="Times New Roman" w:hAnsi="Times New Roman"/>
                <w:bCs/>
                <w:color w:val="000000"/>
                <w:sz w:val="28"/>
                <w:szCs w:val="28"/>
              </w:rPr>
              <w:t xml:space="preserve"> un nodrošinās efektīvākas iepirkumu procedūras. </w:t>
            </w:r>
            <w:r w:rsidRPr="00942390">
              <w:rPr>
                <w:rFonts w:ascii="Times New Roman" w:hAnsi="Times New Roman"/>
                <w:bCs/>
                <w:color w:val="000000"/>
                <w:sz w:val="28"/>
                <w:szCs w:val="28"/>
              </w:rPr>
              <w:t>Līdz ar to Ministru kabineta noteikumu projektā svītrotas</w:t>
            </w:r>
            <w:r w:rsidR="001D4955" w:rsidRPr="00942390">
              <w:rPr>
                <w:rFonts w:ascii="Times New Roman" w:hAnsi="Times New Roman"/>
                <w:bCs/>
                <w:color w:val="000000"/>
                <w:sz w:val="28"/>
                <w:szCs w:val="28"/>
              </w:rPr>
              <w:t xml:space="preserve"> MK noteikum</w:t>
            </w:r>
            <w:r w:rsidRPr="00942390">
              <w:rPr>
                <w:rFonts w:ascii="Times New Roman" w:hAnsi="Times New Roman"/>
                <w:bCs/>
                <w:color w:val="000000"/>
                <w:sz w:val="28"/>
                <w:szCs w:val="28"/>
              </w:rPr>
              <w:t xml:space="preserve">os Nr.361 ietvertās </w:t>
            </w:r>
            <w:r w:rsidR="001D4955" w:rsidRPr="00942390">
              <w:rPr>
                <w:rFonts w:ascii="Times New Roman" w:hAnsi="Times New Roman"/>
                <w:bCs/>
                <w:color w:val="000000"/>
                <w:sz w:val="28"/>
                <w:szCs w:val="28"/>
              </w:rPr>
              <w:t xml:space="preserve"> </w:t>
            </w:r>
            <w:r w:rsidR="00ED2EA1" w:rsidRPr="00942390">
              <w:rPr>
                <w:rFonts w:ascii="Times New Roman" w:hAnsi="Times New Roman"/>
                <w:bCs/>
                <w:color w:val="000000"/>
                <w:sz w:val="28"/>
                <w:szCs w:val="28"/>
              </w:rPr>
              <w:t>speciālās iepirkuma normas;</w:t>
            </w:r>
          </w:p>
          <w:p w:rsidR="00ED2EA1" w:rsidRPr="00942390" w:rsidRDefault="00ED2EA1" w:rsidP="004A4EB7">
            <w:pPr>
              <w:spacing w:after="0" w:line="240" w:lineRule="auto"/>
              <w:jc w:val="both"/>
              <w:rPr>
                <w:rFonts w:ascii="Times New Roman" w:hAnsi="Times New Roman"/>
                <w:bCs/>
                <w:color w:val="000000"/>
                <w:sz w:val="28"/>
                <w:szCs w:val="28"/>
              </w:rPr>
            </w:pPr>
          </w:p>
          <w:p w:rsidR="002C3A31" w:rsidRPr="00942390" w:rsidRDefault="004A4EB7" w:rsidP="004A4EB7">
            <w:pPr>
              <w:spacing w:after="0"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 - š</w:t>
            </w:r>
            <w:r w:rsidR="003D292D" w:rsidRPr="00942390">
              <w:rPr>
                <w:rFonts w:ascii="Times New Roman" w:hAnsi="Times New Roman"/>
                <w:bCs/>
                <w:color w:val="000000"/>
                <w:sz w:val="28"/>
                <w:szCs w:val="28"/>
              </w:rPr>
              <w:t>obrīd kompet</w:t>
            </w:r>
            <w:r w:rsidR="00F96C41" w:rsidRPr="00942390">
              <w:rPr>
                <w:rFonts w:ascii="Times New Roman" w:hAnsi="Times New Roman"/>
                <w:bCs/>
                <w:color w:val="000000"/>
                <w:sz w:val="28"/>
                <w:szCs w:val="28"/>
              </w:rPr>
              <w:t>ences centri var saņemt avansus pret b</w:t>
            </w:r>
            <w:r w:rsidR="00A952FC" w:rsidRPr="00942390">
              <w:rPr>
                <w:rFonts w:ascii="Times New Roman" w:hAnsi="Times New Roman"/>
                <w:bCs/>
                <w:color w:val="000000"/>
                <w:sz w:val="28"/>
                <w:szCs w:val="28"/>
              </w:rPr>
              <w:t>ankas garantijām. T</w:t>
            </w:r>
            <w:r w:rsidR="00F96C41" w:rsidRPr="00942390">
              <w:rPr>
                <w:rFonts w:ascii="Times New Roman" w:hAnsi="Times New Roman"/>
                <w:bCs/>
                <w:color w:val="000000"/>
                <w:sz w:val="28"/>
                <w:szCs w:val="28"/>
              </w:rPr>
              <w:t xml:space="preserve">āpēc katru reizi, kad daļa no avansa tiek dzēsta, ir </w:t>
            </w:r>
            <w:r w:rsidR="002C3A31" w:rsidRPr="00942390">
              <w:rPr>
                <w:rFonts w:ascii="Times New Roman" w:hAnsi="Times New Roman"/>
                <w:bCs/>
                <w:color w:val="000000"/>
                <w:sz w:val="28"/>
                <w:szCs w:val="28"/>
              </w:rPr>
              <w:t xml:space="preserve">jāmaksā bankas komisija par garantijas izmaiņām. </w:t>
            </w:r>
            <w:r w:rsidR="00741AC2" w:rsidRPr="00942390">
              <w:rPr>
                <w:rFonts w:ascii="Times New Roman" w:hAnsi="Times New Roman"/>
                <w:bCs/>
                <w:color w:val="000000"/>
                <w:sz w:val="28"/>
                <w:szCs w:val="28"/>
              </w:rPr>
              <w:t>Ekonomikas ministrija p</w:t>
            </w:r>
            <w:r w:rsidR="002C3A31" w:rsidRPr="00942390">
              <w:rPr>
                <w:rFonts w:ascii="Times New Roman" w:hAnsi="Times New Roman"/>
                <w:bCs/>
                <w:color w:val="000000"/>
                <w:sz w:val="28"/>
                <w:szCs w:val="28"/>
              </w:rPr>
              <w:t xml:space="preserve">ēc konsultācijām ar komercbankām </w:t>
            </w:r>
            <w:r w:rsidR="00741AC2" w:rsidRPr="00942390">
              <w:rPr>
                <w:rFonts w:ascii="Times New Roman" w:hAnsi="Times New Roman"/>
                <w:bCs/>
                <w:color w:val="000000"/>
                <w:sz w:val="28"/>
                <w:szCs w:val="28"/>
              </w:rPr>
              <w:t>ir secinājusi</w:t>
            </w:r>
            <w:r w:rsidR="002C3A31" w:rsidRPr="00942390">
              <w:rPr>
                <w:rFonts w:ascii="Times New Roman" w:hAnsi="Times New Roman"/>
                <w:bCs/>
                <w:color w:val="000000"/>
                <w:sz w:val="28"/>
                <w:szCs w:val="28"/>
              </w:rPr>
              <w:t xml:space="preserve">, ka </w:t>
            </w:r>
            <w:r w:rsidR="00741AC2" w:rsidRPr="00942390">
              <w:rPr>
                <w:rFonts w:ascii="Times New Roman" w:hAnsi="Times New Roman"/>
                <w:bCs/>
                <w:color w:val="000000"/>
                <w:sz w:val="28"/>
                <w:szCs w:val="28"/>
              </w:rPr>
              <w:t xml:space="preserve">bankas garantija var tikt aizstāta ar darījuma konta atvēršanu. </w:t>
            </w:r>
            <w:r w:rsidR="00012B3B" w:rsidRPr="00942390">
              <w:rPr>
                <w:rFonts w:ascii="Times New Roman" w:hAnsi="Times New Roman"/>
                <w:bCs/>
                <w:color w:val="000000"/>
                <w:sz w:val="28"/>
                <w:szCs w:val="28"/>
              </w:rPr>
              <w:t>D</w:t>
            </w:r>
            <w:r w:rsidR="002C3A31" w:rsidRPr="00942390">
              <w:rPr>
                <w:rFonts w:ascii="Times New Roman" w:hAnsi="Times New Roman"/>
                <w:bCs/>
                <w:color w:val="000000"/>
                <w:sz w:val="28"/>
                <w:szCs w:val="28"/>
              </w:rPr>
              <w:t xml:space="preserve">arījuma konta apkalpošanas komisijas ir mazākas nekā </w:t>
            </w:r>
            <w:r w:rsidR="00A952FC" w:rsidRPr="00942390">
              <w:rPr>
                <w:rFonts w:ascii="Times New Roman" w:hAnsi="Times New Roman"/>
                <w:bCs/>
                <w:color w:val="000000"/>
                <w:sz w:val="28"/>
                <w:szCs w:val="28"/>
              </w:rPr>
              <w:t>komisijas par garantijas izmaiņām.</w:t>
            </w:r>
            <w:r w:rsidR="00415524" w:rsidRPr="00942390">
              <w:rPr>
                <w:rFonts w:ascii="Times New Roman" w:hAnsi="Times New Roman"/>
                <w:bCs/>
                <w:color w:val="000000"/>
                <w:sz w:val="28"/>
                <w:szCs w:val="28"/>
              </w:rPr>
              <w:t xml:space="preserve"> </w:t>
            </w:r>
            <w:r w:rsidR="004D1D72" w:rsidRPr="00942390">
              <w:rPr>
                <w:rFonts w:ascii="Times New Roman" w:hAnsi="Times New Roman"/>
                <w:bCs/>
                <w:color w:val="000000"/>
                <w:sz w:val="28"/>
                <w:szCs w:val="28"/>
              </w:rPr>
              <w:t>Papildus tam,</w:t>
            </w:r>
            <w:r w:rsidR="00415524" w:rsidRPr="00942390">
              <w:rPr>
                <w:rFonts w:ascii="Times New Roman" w:hAnsi="Times New Roman"/>
                <w:bCs/>
                <w:color w:val="000000"/>
                <w:sz w:val="28"/>
                <w:szCs w:val="28"/>
              </w:rPr>
              <w:t xml:space="preserve"> darījuma konta apkalpošanas izmaksas </w:t>
            </w:r>
            <w:r w:rsidR="00741AC2" w:rsidRPr="00942390">
              <w:rPr>
                <w:rFonts w:ascii="Times New Roman" w:hAnsi="Times New Roman"/>
                <w:bCs/>
                <w:color w:val="000000"/>
                <w:sz w:val="28"/>
                <w:szCs w:val="28"/>
              </w:rPr>
              <w:t>var tikt iekļautas</w:t>
            </w:r>
            <w:r w:rsidR="00415524" w:rsidRPr="00942390">
              <w:rPr>
                <w:rFonts w:ascii="Times New Roman" w:hAnsi="Times New Roman"/>
                <w:bCs/>
                <w:color w:val="000000"/>
                <w:sz w:val="28"/>
                <w:szCs w:val="28"/>
              </w:rPr>
              <w:t xml:space="preserve"> pie attiecināmajām izmaksām. </w:t>
            </w:r>
            <w:r w:rsidRPr="00942390">
              <w:rPr>
                <w:rFonts w:ascii="Times New Roman" w:hAnsi="Times New Roman"/>
                <w:bCs/>
                <w:color w:val="000000"/>
                <w:sz w:val="28"/>
                <w:szCs w:val="28"/>
              </w:rPr>
              <w:t>Līdz ar to Kompetences centriem tiek</w:t>
            </w:r>
            <w:r w:rsidR="00741AC2" w:rsidRPr="00942390">
              <w:rPr>
                <w:rFonts w:ascii="Times New Roman" w:hAnsi="Times New Roman"/>
                <w:bCs/>
                <w:color w:val="000000"/>
                <w:sz w:val="28"/>
                <w:szCs w:val="28"/>
              </w:rPr>
              <w:t xml:space="preserve"> </w:t>
            </w:r>
            <w:r w:rsidRPr="00942390">
              <w:rPr>
                <w:rFonts w:ascii="Times New Roman" w:hAnsi="Times New Roman"/>
                <w:bCs/>
                <w:color w:val="000000"/>
                <w:sz w:val="28"/>
                <w:szCs w:val="28"/>
              </w:rPr>
              <w:t xml:space="preserve">atvieglota avansa saņemšanas kārtība, kas ir atšķirīga no Ministru kabineta 2010.gada 9.novembra noteikumos Nr.1041 </w:t>
            </w:r>
          </w:p>
          <w:p w:rsidR="00882502" w:rsidRPr="00942390" w:rsidRDefault="004A4EB7" w:rsidP="00ED2EA1">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„Kārtība, kādā paredzami valsts budžeta līdzekļi Eiropas Savienības struktūrfondu un Kohēzijas fonda līdzfinansēto projektu īstenošanai, kā arī maksājumu veikšanas un izdevumu deklarācijas sagatavošanas kārtība” (turpmāk – MK noteikumi Nr.1041) paredzētā avansa piešķiršanas regulējuma un uzskatāma par speciālajām tiesību normām. </w:t>
            </w:r>
            <w:r w:rsidRPr="00942390">
              <w:rPr>
                <w:rFonts w:ascii="Times New Roman" w:hAnsi="Times New Roman"/>
                <w:bCs/>
                <w:color w:val="000000"/>
                <w:sz w:val="28"/>
                <w:szCs w:val="28"/>
              </w:rPr>
              <w:lastRenderedPageBreak/>
              <w:t>Tiesiskais pamatojums šāda speciāla regulējuma izstrādei ir kompetences centra aktivitātes specifika, proti, aktivitātes ir plānota kā ilgtermiņa aktivitāte – projekta īstenošana</w:t>
            </w:r>
            <w:r w:rsidR="00ED2EA1" w:rsidRPr="00942390">
              <w:rPr>
                <w:rFonts w:ascii="Times New Roman" w:hAnsi="Times New Roman"/>
                <w:bCs/>
                <w:color w:val="000000"/>
                <w:sz w:val="28"/>
                <w:szCs w:val="28"/>
              </w:rPr>
              <w:t xml:space="preserve"> ir pieci</w:t>
            </w:r>
            <w:r w:rsidRPr="00942390">
              <w:rPr>
                <w:rFonts w:ascii="Times New Roman" w:hAnsi="Times New Roman"/>
                <w:bCs/>
                <w:color w:val="000000"/>
                <w:sz w:val="28"/>
                <w:szCs w:val="28"/>
              </w:rPr>
              <w:t xml:space="preserve"> gadi, savukārt MK noteikumi Nr.1041 izstrādāti standarta aktivitāšu īstenošanai</w:t>
            </w:r>
            <w:r w:rsidR="00ED2EA1" w:rsidRPr="00942390">
              <w:rPr>
                <w:rFonts w:ascii="Times New Roman" w:hAnsi="Times New Roman"/>
                <w:bCs/>
                <w:color w:val="000000"/>
                <w:sz w:val="28"/>
                <w:szCs w:val="28"/>
              </w:rPr>
              <w:t xml:space="preserve">. </w:t>
            </w:r>
            <w:r w:rsidR="005F3B64" w:rsidRPr="00942390">
              <w:rPr>
                <w:rFonts w:ascii="Times New Roman" w:hAnsi="Times New Roman"/>
                <w:bCs/>
                <w:color w:val="000000"/>
                <w:sz w:val="28"/>
                <w:szCs w:val="28"/>
              </w:rPr>
              <w:t>MK noteikumos Nr.1041 cita starpā ir noteiktas tiesības Ministru kabineta noteikumos par aktivitātes īstenošanu paredzēt</w:t>
            </w:r>
            <w:r w:rsidR="00ED2EA1" w:rsidRPr="00942390">
              <w:rPr>
                <w:rFonts w:ascii="Times New Roman" w:hAnsi="Times New Roman"/>
                <w:bCs/>
                <w:color w:val="000000"/>
                <w:sz w:val="28"/>
                <w:szCs w:val="28"/>
              </w:rPr>
              <w:t xml:space="preserve"> avansa piešķiršanas kārtību. Ievērojot augstāk norādīto, Ekonomikas ministrija ir paredzējusi bankas garantiju aizstāt ar darījuma konta atvēršanu, kā arī papildināt attiecināmās izmaksas ar darījuma konta apkalpošanas izmaksām</w:t>
            </w:r>
            <w:r w:rsidR="00882502" w:rsidRPr="00942390">
              <w:rPr>
                <w:rFonts w:ascii="Times New Roman" w:hAnsi="Times New Roman"/>
                <w:bCs/>
                <w:color w:val="000000"/>
                <w:sz w:val="28"/>
                <w:szCs w:val="28"/>
              </w:rPr>
              <w:t>.</w:t>
            </w:r>
          </w:p>
          <w:p w:rsidR="009713B5" w:rsidRPr="00942390" w:rsidRDefault="00882502"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Jāņem vērā, ka kompetenču centru saņemt</w:t>
            </w:r>
            <w:r w:rsidR="00AD6677" w:rsidRPr="00942390">
              <w:rPr>
                <w:rFonts w:ascii="Times New Roman" w:hAnsi="Times New Roman"/>
                <w:b/>
                <w:bCs/>
                <w:color w:val="000000"/>
                <w:sz w:val="28"/>
                <w:szCs w:val="28"/>
              </w:rPr>
              <w:t>os</w:t>
            </w:r>
            <w:r w:rsidRPr="00942390">
              <w:rPr>
                <w:rFonts w:ascii="Times New Roman" w:hAnsi="Times New Roman"/>
                <w:b/>
                <w:bCs/>
                <w:color w:val="000000"/>
                <w:sz w:val="28"/>
                <w:szCs w:val="28"/>
              </w:rPr>
              <w:t xml:space="preserve"> avans</w:t>
            </w:r>
            <w:r w:rsidR="00AD6677" w:rsidRPr="00942390">
              <w:rPr>
                <w:rFonts w:ascii="Times New Roman" w:hAnsi="Times New Roman"/>
                <w:b/>
                <w:bCs/>
                <w:color w:val="000000"/>
                <w:sz w:val="28"/>
                <w:szCs w:val="28"/>
              </w:rPr>
              <w:t xml:space="preserve">us Latvijas Investīciju un attīstības aģentūra (Valsts Kase) ir </w:t>
            </w:r>
            <w:r w:rsidRPr="00942390">
              <w:rPr>
                <w:rFonts w:ascii="Times New Roman" w:hAnsi="Times New Roman"/>
                <w:b/>
                <w:bCs/>
                <w:color w:val="000000"/>
                <w:sz w:val="28"/>
                <w:szCs w:val="28"/>
              </w:rPr>
              <w:t>iekļ</w:t>
            </w:r>
            <w:r w:rsidR="00AD6677" w:rsidRPr="00942390">
              <w:rPr>
                <w:rFonts w:ascii="Times New Roman" w:hAnsi="Times New Roman"/>
                <w:b/>
                <w:bCs/>
                <w:color w:val="000000"/>
                <w:sz w:val="28"/>
                <w:szCs w:val="28"/>
              </w:rPr>
              <w:t>āvusi</w:t>
            </w:r>
            <w:r w:rsidRPr="00942390">
              <w:rPr>
                <w:rFonts w:ascii="Times New Roman" w:hAnsi="Times New Roman"/>
                <w:b/>
                <w:bCs/>
                <w:color w:val="000000"/>
                <w:sz w:val="28"/>
                <w:szCs w:val="28"/>
              </w:rPr>
              <w:t xml:space="preserve"> izdevumu deklarācijā </w:t>
            </w:r>
            <w:r w:rsidR="00433456" w:rsidRPr="00942390">
              <w:rPr>
                <w:rFonts w:ascii="Times New Roman" w:hAnsi="Times New Roman"/>
                <w:b/>
                <w:bCs/>
                <w:color w:val="000000"/>
                <w:sz w:val="28"/>
                <w:szCs w:val="28"/>
              </w:rPr>
              <w:t>Eiropas Komisijai</w:t>
            </w:r>
            <w:r w:rsidR="001E117B" w:rsidRPr="00942390">
              <w:rPr>
                <w:rFonts w:ascii="Times New Roman" w:hAnsi="Times New Roman"/>
                <w:b/>
                <w:bCs/>
                <w:color w:val="000000"/>
                <w:sz w:val="28"/>
                <w:szCs w:val="28"/>
              </w:rPr>
              <w:t xml:space="preserve">. Atbilstoši Padomes 2006.gada 11.jūlija Regulas (EK) Nr.1083/2006, ar ko paredz vispārīgus noteikumus par Eiropas Reģionālās attīstības fondu, Eiropas Sociālo fondu un Kohēzijas fondu un atceļ Regulu (EK) Nr.1260/1999, 78.panta 2.(a) un (c) punktiem avansi, kam nav bankas garantijas, nav iekļaujami izdevumu deklarācijā. Tāpēc pēc MK noteikumu Nr.361 grozījumiem un avansu pārcelšanas un darījumu kontiem, </w:t>
            </w:r>
            <w:r w:rsidR="00AD6677" w:rsidRPr="00942390">
              <w:rPr>
                <w:rFonts w:ascii="Times New Roman" w:hAnsi="Times New Roman"/>
                <w:b/>
                <w:bCs/>
                <w:color w:val="000000"/>
                <w:sz w:val="28"/>
                <w:szCs w:val="28"/>
              </w:rPr>
              <w:t>Latvijas Investīciju un attīstības aģentūrai (Valsts Kasei) b</w:t>
            </w:r>
            <w:r w:rsidR="001E117B" w:rsidRPr="00942390">
              <w:rPr>
                <w:rFonts w:ascii="Times New Roman" w:hAnsi="Times New Roman"/>
                <w:b/>
                <w:bCs/>
                <w:color w:val="000000"/>
                <w:sz w:val="28"/>
                <w:szCs w:val="28"/>
              </w:rPr>
              <w:t>ūs nepieciešams precizēt izdevumu deklarāciju EK</w:t>
            </w:r>
            <w:r w:rsidR="009713B5" w:rsidRPr="00942390">
              <w:rPr>
                <w:rFonts w:ascii="Times New Roman" w:hAnsi="Times New Roman"/>
                <w:b/>
                <w:bCs/>
                <w:color w:val="000000"/>
                <w:sz w:val="28"/>
                <w:szCs w:val="28"/>
              </w:rPr>
              <w:t>.</w:t>
            </w:r>
          </w:p>
          <w:p w:rsidR="004A4EB7" w:rsidRPr="00942390" w:rsidRDefault="00FB1E03"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 xml:space="preserve">Precīza avansu summa, kas tiks pārcelta uz darījuma kontiem būs zināma 2013.gada beigās, jo Latvijas Investīciju un attīstības aģentūra turpina vērtēt kompetences centru iesniegtos maksājumu pieprasījumus un dzēst avansus, bet varam prognozēt, ka uz darījuma kontiem tiks pārcelti avansi kopsummā par apmēram 9 </w:t>
            </w:r>
            <w:proofErr w:type="spellStart"/>
            <w:r w:rsidRPr="00942390">
              <w:rPr>
                <w:rFonts w:ascii="Times New Roman" w:hAnsi="Times New Roman"/>
                <w:b/>
                <w:bCs/>
                <w:color w:val="000000"/>
                <w:sz w:val="28"/>
                <w:szCs w:val="28"/>
              </w:rPr>
              <w:t>milj.LVL</w:t>
            </w:r>
            <w:proofErr w:type="spellEnd"/>
            <w:r w:rsidRPr="00942390">
              <w:rPr>
                <w:rFonts w:ascii="Times New Roman" w:hAnsi="Times New Roman"/>
                <w:b/>
                <w:bCs/>
                <w:color w:val="000000"/>
                <w:sz w:val="28"/>
                <w:szCs w:val="28"/>
              </w:rPr>
              <w:t xml:space="preserve">. Tad, kad avansi tiks pārcelti uz darījuma kontiem, Latvijas Investīciju un attīstības aģentūra informēs maksājumu iestādi par nepieciešamību veikt darījumu pārgrāmatojumus, norādot ka nedzēstie avansi </w:t>
            </w:r>
            <w:r w:rsidRPr="00942390">
              <w:rPr>
                <w:rFonts w:ascii="Times New Roman" w:hAnsi="Times New Roman"/>
                <w:b/>
                <w:bCs/>
                <w:color w:val="000000"/>
                <w:sz w:val="28"/>
                <w:szCs w:val="28"/>
              </w:rPr>
              <w:lastRenderedPageBreak/>
              <w:t>vairs neatbilst regulas 1083/2006 78.panta 2.(a) un (c) punktiem. Valsts Kase kā sertifikācijas iestāde, pamatojoties uz veiktajiem datu labojumiem, precizēs nākamo izdevumu deklarāciju EK</w:t>
            </w:r>
            <w:r w:rsidR="00ED2EA1" w:rsidRPr="00942390">
              <w:rPr>
                <w:rFonts w:ascii="Times New Roman" w:hAnsi="Times New Roman"/>
                <w:b/>
                <w:bCs/>
                <w:color w:val="000000"/>
                <w:sz w:val="28"/>
                <w:szCs w:val="28"/>
              </w:rPr>
              <w:t>;</w:t>
            </w:r>
          </w:p>
          <w:p w:rsidR="00ED2EA1" w:rsidRPr="00942390" w:rsidRDefault="00673FF8" w:rsidP="00ED2EA1">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-MK noteikumi Nr.361 šobrīd paredz, ka papildus intensitāti par pētījumu publicēšanu var saņemt pēc tam, kad pētījums (raksts) ir publicēts zinātniskās žurnālā un publikācija ir iekļauta zinātniskā datu bāzē</w:t>
            </w:r>
            <w:r w:rsidR="00306989" w:rsidRPr="00942390">
              <w:rPr>
                <w:rFonts w:ascii="Times New Roman" w:hAnsi="Times New Roman"/>
                <w:bCs/>
                <w:color w:val="000000"/>
                <w:sz w:val="28"/>
                <w:szCs w:val="28"/>
              </w:rPr>
              <w:t xml:space="preserve"> </w:t>
            </w:r>
            <w:r w:rsidR="00306989" w:rsidRPr="00942390">
              <w:rPr>
                <w:rFonts w:ascii="Times New Roman" w:hAnsi="Times New Roman"/>
                <w:b/>
                <w:bCs/>
                <w:color w:val="000000"/>
                <w:sz w:val="28"/>
                <w:szCs w:val="28"/>
              </w:rPr>
              <w:t xml:space="preserve">(Web </w:t>
            </w:r>
            <w:proofErr w:type="spellStart"/>
            <w:r w:rsidR="00306989" w:rsidRPr="00942390">
              <w:rPr>
                <w:rFonts w:ascii="Times New Roman" w:hAnsi="Times New Roman"/>
                <w:b/>
                <w:bCs/>
                <w:color w:val="000000"/>
                <w:sz w:val="28"/>
                <w:szCs w:val="28"/>
              </w:rPr>
              <w:t>of</w:t>
            </w:r>
            <w:proofErr w:type="spellEnd"/>
            <w:r w:rsidR="00306989" w:rsidRPr="00942390">
              <w:rPr>
                <w:rFonts w:ascii="Times New Roman" w:hAnsi="Times New Roman"/>
                <w:b/>
                <w:bCs/>
                <w:color w:val="000000"/>
                <w:sz w:val="28"/>
                <w:szCs w:val="28"/>
              </w:rPr>
              <w:t xml:space="preserve"> </w:t>
            </w:r>
            <w:proofErr w:type="spellStart"/>
            <w:r w:rsidR="00306989" w:rsidRPr="00942390">
              <w:rPr>
                <w:rFonts w:ascii="Times New Roman" w:hAnsi="Times New Roman"/>
                <w:b/>
                <w:bCs/>
                <w:color w:val="000000"/>
                <w:sz w:val="28"/>
                <w:szCs w:val="28"/>
              </w:rPr>
              <w:t>Science</w:t>
            </w:r>
            <w:proofErr w:type="spellEnd"/>
            <w:r w:rsidR="00306989" w:rsidRPr="00942390">
              <w:rPr>
                <w:rFonts w:ascii="Times New Roman" w:hAnsi="Times New Roman"/>
                <w:b/>
                <w:bCs/>
                <w:color w:val="000000"/>
                <w:sz w:val="28"/>
                <w:szCs w:val="28"/>
              </w:rPr>
              <w:t>, SCOPUS vai ERIH (A vai B))</w:t>
            </w:r>
            <w:r w:rsidRPr="00942390">
              <w:rPr>
                <w:rFonts w:ascii="Times New Roman" w:hAnsi="Times New Roman"/>
                <w:bCs/>
                <w:color w:val="000000"/>
                <w:sz w:val="28"/>
                <w:szCs w:val="28"/>
              </w:rPr>
              <w:t>. Kompetences centri ir ierosinājuši</w:t>
            </w:r>
            <w:r w:rsidR="001B3DF7" w:rsidRPr="00942390">
              <w:rPr>
                <w:rFonts w:ascii="Times New Roman" w:hAnsi="Times New Roman"/>
                <w:bCs/>
                <w:color w:val="000000"/>
                <w:sz w:val="28"/>
                <w:szCs w:val="28"/>
              </w:rPr>
              <w:t xml:space="preserve"> </w:t>
            </w:r>
            <w:r w:rsidR="001C036D" w:rsidRPr="00942390">
              <w:rPr>
                <w:rFonts w:ascii="Times New Roman" w:hAnsi="Times New Roman"/>
                <w:b/>
                <w:bCs/>
                <w:color w:val="000000"/>
                <w:sz w:val="28"/>
                <w:szCs w:val="28"/>
              </w:rPr>
              <w:t>paredzēt iespēju</w:t>
            </w:r>
            <w:r w:rsidR="001C036D" w:rsidRPr="00942390">
              <w:rPr>
                <w:rFonts w:ascii="Times New Roman" w:hAnsi="Times New Roman"/>
                <w:bCs/>
                <w:color w:val="000000"/>
                <w:sz w:val="28"/>
                <w:szCs w:val="28"/>
              </w:rPr>
              <w:t xml:space="preserve">, ka papildus intensitāti var izmaksāt </w:t>
            </w:r>
            <w:r w:rsidR="00F83E1F" w:rsidRPr="00942390">
              <w:rPr>
                <w:rFonts w:ascii="Times New Roman" w:hAnsi="Times New Roman"/>
                <w:b/>
                <w:bCs/>
                <w:color w:val="000000"/>
                <w:sz w:val="28"/>
                <w:szCs w:val="28"/>
              </w:rPr>
              <w:t>ātrāk – pēc tam, kad</w:t>
            </w:r>
            <w:r w:rsidR="001C036D" w:rsidRPr="00942390">
              <w:rPr>
                <w:rFonts w:ascii="Times New Roman" w:hAnsi="Times New Roman"/>
                <w:b/>
                <w:bCs/>
                <w:color w:val="000000"/>
                <w:sz w:val="28"/>
                <w:szCs w:val="28"/>
              </w:rPr>
              <w:t xml:space="preserve"> pētījuma rezultātus plaša izplata tādās tehniskās un zinātniskās konferencēs, kuru konferenču rakstu krājumus indeksē Web </w:t>
            </w:r>
            <w:proofErr w:type="spellStart"/>
            <w:r w:rsidR="001C036D" w:rsidRPr="00942390">
              <w:rPr>
                <w:rFonts w:ascii="Times New Roman" w:hAnsi="Times New Roman"/>
                <w:b/>
                <w:bCs/>
                <w:color w:val="000000"/>
                <w:sz w:val="28"/>
                <w:szCs w:val="28"/>
              </w:rPr>
              <w:t>of</w:t>
            </w:r>
            <w:proofErr w:type="spellEnd"/>
            <w:r w:rsidR="001C036D" w:rsidRPr="00942390">
              <w:rPr>
                <w:rFonts w:ascii="Times New Roman" w:hAnsi="Times New Roman"/>
                <w:b/>
                <w:bCs/>
                <w:color w:val="000000"/>
                <w:sz w:val="28"/>
                <w:szCs w:val="28"/>
              </w:rPr>
              <w:t xml:space="preserve"> </w:t>
            </w:r>
            <w:proofErr w:type="spellStart"/>
            <w:r w:rsidR="001C036D" w:rsidRPr="00942390">
              <w:rPr>
                <w:rFonts w:ascii="Times New Roman" w:hAnsi="Times New Roman"/>
                <w:b/>
                <w:bCs/>
                <w:color w:val="000000"/>
                <w:sz w:val="28"/>
                <w:szCs w:val="28"/>
              </w:rPr>
              <w:t>Science</w:t>
            </w:r>
            <w:proofErr w:type="spellEnd"/>
            <w:r w:rsidR="001C036D" w:rsidRPr="00942390">
              <w:rPr>
                <w:rFonts w:ascii="Times New Roman" w:hAnsi="Times New Roman"/>
                <w:b/>
                <w:bCs/>
                <w:color w:val="000000"/>
                <w:sz w:val="28"/>
                <w:szCs w:val="28"/>
              </w:rPr>
              <w:t xml:space="preserve"> vai SCOPUS datu bāzēs. Ja tiek veikti vairāki saistīti pētījumi, tad papildus intensitāti izmaksā par to pētījumu, kura rezultāti tiek publicēti (izplatīti</w:t>
            </w:r>
            <w:r w:rsidR="00700C0C" w:rsidRPr="00942390">
              <w:rPr>
                <w:rFonts w:ascii="Times New Roman" w:hAnsi="Times New Roman"/>
                <w:b/>
                <w:bCs/>
                <w:color w:val="000000"/>
                <w:sz w:val="28"/>
                <w:szCs w:val="28"/>
              </w:rPr>
              <w:t>). Papildus tam tiek precizēts, ka žurnāla rakstā ir jāpublicē nozīmīgie pētījuma rezultāti un rakstā nodrošina atsauci uz vietni vai interneta resursu, kur  ievietoti visi pētījumu rezultāti</w:t>
            </w:r>
            <w:r w:rsidR="00970304" w:rsidRPr="00942390">
              <w:rPr>
                <w:rFonts w:ascii="Times New Roman" w:hAnsi="Times New Roman"/>
                <w:bCs/>
                <w:color w:val="000000"/>
                <w:sz w:val="28"/>
                <w:szCs w:val="28"/>
              </w:rPr>
              <w:t>;</w:t>
            </w:r>
          </w:p>
          <w:p w:rsidR="00867ABC" w:rsidRPr="00942390" w:rsidRDefault="00ED2EA1" w:rsidP="00ED2EA1">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 -</w:t>
            </w:r>
            <w:r w:rsidR="005A4B45" w:rsidRPr="00942390">
              <w:rPr>
                <w:rFonts w:ascii="Times New Roman" w:hAnsi="Times New Roman"/>
                <w:bCs/>
                <w:color w:val="000000"/>
                <w:sz w:val="28"/>
                <w:szCs w:val="28"/>
              </w:rPr>
              <w:t xml:space="preserve"> </w:t>
            </w:r>
            <w:r w:rsidR="001C036D" w:rsidRPr="00942390">
              <w:rPr>
                <w:rFonts w:ascii="Times New Roman" w:hAnsi="Times New Roman"/>
                <w:b/>
                <w:bCs/>
                <w:color w:val="000000"/>
                <w:sz w:val="28"/>
                <w:szCs w:val="28"/>
              </w:rPr>
              <w:t>MK noteikumi Nr.361 šobrīd paredz, ka līdz 2013.gada 30.novembrim ir jāveic kompetences centru projektu pārvērtēšana vidējam termiņam. Pārvērtēšana plānota ar diviem mērķiem: (a) izvērtēt līdz 2013.gada 30.jūnijam sasniegtos rādītājus un (b) nepieciešamības gadījumā veikt grozījumus līgumā par kompetences centra projekta īstenošanu.</w:t>
            </w:r>
          </w:p>
          <w:p w:rsidR="005F1597" w:rsidRPr="00942390" w:rsidRDefault="0060677B" w:rsidP="00ED2EA1">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„Kompetenču centru” programma tika apturēta 2011.gada 22.decembrī un pilnībā atjaunota 2013.gada 1.janvārī. Attiecīgi lielākā daļa pētījumu ir uzsākti tikai 2013.gada sākumā. </w:t>
            </w:r>
            <w:r w:rsidR="001C036D" w:rsidRPr="00942390">
              <w:rPr>
                <w:rFonts w:ascii="Times New Roman" w:hAnsi="Times New Roman"/>
                <w:b/>
                <w:bCs/>
                <w:color w:val="000000"/>
                <w:sz w:val="28"/>
                <w:szCs w:val="28"/>
              </w:rPr>
              <w:t xml:space="preserve">Tāpēc līdz 2013.gada 30.jūnijam vēl nav sasniegti pietiekoši nozīmīgi rādītāji, lai varētu veikt kvalitatīvu rādītāju izvērtēšanu. Līdz ar to rādītāju izvērtēšanu ir nepieciešams pārcelt par gadu – uz 2014.gada 30.novembri. </w:t>
            </w:r>
          </w:p>
          <w:p w:rsidR="00DA6BC9" w:rsidRPr="00942390" w:rsidRDefault="001C036D"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lastRenderedPageBreak/>
              <w:t xml:space="preserve">Ja kāds kompetences centrs nebūs spējīgs </w:t>
            </w:r>
            <w:r w:rsidR="008E6317" w:rsidRPr="00942390">
              <w:rPr>
                <w:rFonts w:ascii="Times New Roman" w:hAnsi="Times New Roman"/>
                <w:b/>
                <w:bCs/>
                <w:color w:val="000000"/>
                <w:sz w:val="28"/>
                <w:szCs w:val="28"/>
              </w:rPr>
              <w:t>apgūt</w:t>
            </w:r>
            <w:r w:rsidRPr="00942390">
              <w:rPr>
                <w:rFonts w:ascii="Times New Roman" w:hAnsi="Times New Roman"/>
                <w:b/>
                <w:bCs/>
                <w:color w:val="000000"/>
                <w:sz w:val="28"/>
                <w:szCs w:val="28"/>
              </w:rPr>
              <w:t xml:space="preserve"> visu tam rezervēto finansējumu, 2014.gada beigās vairs nebūs iespējams pārdalīt brīvo finansējumu citiem projektiem. Tāpēc joprojām saglabājās nepieciešamība vēlākais 2014.gada sākumā veikt grozījumus līgumā par kompetences centra projekta īstenošanu. </w:t>
            </w:r>
          </w:p>
          <w:p w:rsidR="00B07ADA" w:rsidRPr="00942390" w:rsidRDefault="001C036D"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Tāpēc 2013.gada 30.novembrī plānotā kompetences centru projektu pārvērtēšana vidējam termiņam tiek sadalīta divās daļās: (a) rādītāju izvērtēšana un (b) finanšu progresa izvērtēšana. Kā minēts augstāk, rādītāju izvērtēšana tiek pārcelta uz 2014.gada 30.novembri. Savukārt finanšu progresa izvērtēšana tiks veikta 2014.gada sākumā.</w:t>
            </w:r>
          </w:p>
          <w:p w:rsidR="00FA3F71" w:rsidRPr="00942390" w:rsidRDefault="001C036D"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 xml:space="preserve">Finanšu progresa izvērtēšanas mērķis ir pārliecināties, ka kompetences centrs ir spējīgs </w:t>
            </w:r>
            <w:r w:rsidR="008E6317" w:rsidRPr="00942390">
              <w:rPr>
                <w:rFonts w:ascii="Times New Roman" w:hAnsi="Times New Roman"/>
                <w:b/>
                <w:bCs/>
                <w:color w:val="000000"/>
                <w:sz w:val="28"/>
                <w:szCs w:val="28"/>
              </w:rPr>
              <w:t>apgū</w:t>
            </w:r>
            <w:r w:rsidRPr="00942390">
              <w:rPr>
                <w:rFonts w:ascii="Times New Roman" w:hAnsi="Times New Roman"/>
                <w:b/>
                <w:bCs/>
                <w:color w:val="000000"/>
                <w:sz w:val="28"/>
                <w:szCs w:val="28"/>
              </w:rPr>
              <w:t>t tam rezervēto finansējumu. Tāpēc tiek vērtēti tie pētījumi, kurus kompetences centrs bija plānojis uzsākt līdz 2013.gada 31.decembrim, bet nav uzsācis līdz 2013.gada 31.decembrim. Tomēr pastāv iespēja, ka kompetences centrs visus neuzsāktos pētījumu</w:t>
            </w:r>
            <w:r w:rsidR="00483CA9" w:rsidRPr="00942390">
              <w:rPr>
                <w:rFonts w:ascii="Times New Roman" w:hAnsi="Times New Roman"/>
                <w:b/>
                <w:bCs/>
                <w:color w:val="000000"/>
                <w:sz w:val="28"/>
                <w:szCs w:val="28"/>
              </w:rPr>
              <w:t>s</w:t>
            </w:r>
            <w:r w:rsidRPr="00942390">
              <w:rPr>
                <w:rFonts w:ascii="Times New Roman" w:hAnsi="Times New Roman"/>
                <w:b/>
                <w:bCs/>
                <w:color w:val="000000"/>
                <w:sz w:val="28"/>
                <w:szCs w:val="28"/>
              </w:rPr>
              <w:t xml:space="preserve"> pārplāno pēc 2013.gada 31.decembra. Tāpēc ir jāvērtē arī kopējais kompetences centra progress. Ja kompetences centrs līdz 2013.gada 31.decembrim ir uzsācis mazāk nekā 50% no visiem pētījumiem (rēķinot pēc pētījumu summas), tad ir jāvērtē arī tie pētījumi, kurus ir plānots uzsākt pēc 2013.gada 31.decembra. </w:t>
            </w:r>
          </w:p>
          <w:p w:rsidR="00A843B5" w:rsidRPr="00942390" w:rsidRDefault="001C036D"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 xml:space="preserve">Pamatojoties uz pārvērtēšanas rezultātiem, sadarbības iestāde var pieņemt lēmumu samazināt līgumu par kompetences centra projekta īstenošanu par visu vai daļu no neuzsākto pētījumu summas. Jāņem vērā, ka daļa no neuzsāktajiem pētījumiem ir saistīti ar kādu no uzsāktajiem pētījumiem. Tāpēc līgumu summu var samazināt par neuzsāktiem pētījumiem, kuri neietekmē uzsāktu pētījumu pabeigšanu. </w:t>
            </w:r>
          </w:p>
          <w:p w:rsidR="00A843B5" w:rsidRPr="00942390" w:rsidRDefault="001C036D"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lastRenderedPageBreak/>
              <w:t>Pēc tam, kad būs pabeigta finanšu progresa izvērtēšana</w:t>
            </w:r>
            <w:r w:rsidR="00483CA9" w:rsidRPr="00942390">
              <w:rPr>
                <w:rFonts w:ascii="Times New Roman" w:hAnsi="Times New Roman"/>
                <w:b/>
                <w:bCs/>
                <w:color w:val="000000"/>
                <w:sz w:val="28"/>
                <w:szCs w:val="28"/>
              </w:rPr>
              <w:t>, kas</w:t>
            </w:r>
            <w:r w:rsidRPr="00942390">
              <w:rPr>
                <w:rFonts w:ascii="Times New Roman" w:hAnsi="Times New Roman"/>
                <w:b/>
                <w:bCs/>
                <w:color w:val="000000"/>
                <w:sz w:val="28"/>
                <w:szCs w:val="28"/>
              </w:rPr>
              <w:t xml:space="preserve"> tiks veikta 2014.gada sākumā, atbrīvo</w:t>
            </w:r>
            <w:r w:rsidR="00483CA9" w:rsidRPr="00942390">
              <w:rPr>
                <w:rFonts w:ascii="Times New Roman" w:hAnsi="Times New Roman"/>
                <w:b/>
                <w:bCs/>
                <w:color w:val="000000"/>
                <w:sz w:val="28"/>
                <w:szCs w:val="28"/>
              </w:rPr>
              <w:t>to</w:t>
            </w:r>
            <w:r w:rsidRPr="00942390">
              <w:rPr>
                <w:rFonts w:ascii="Times New Roman" w:hAnsi="Times New Roman"/>
                <w:b/>
                <w:bCs/>
                <w:color w:val="000000"/>
                <w:sz w:val="28"/>
                <w:szCs w:val="28"/>
              </w:rPr>
              <w:t xml:space="preserve"> finansējumu varēs pārdalīt u</w:t>
            </w:r>
            <w:r w:rsidR="004A456C" w:rsidRPr="00942390">
              <w:rPr>
                <w:rFonts w:ascii="Times New Roman" w:hAnsi="Times New Roman"/>
                <w:b/>
                <w:bCs/>
                <w:color w:val="000000"/>
                <w:sz w:val="28"/>
                <w:szCs w:val="28"/>
              </w:rPr>
              <w:t xml:space="preserve">z tiem kompetenču centriem, kuri </w:t>
            </w:r>
            <w:r w:rsidR="0055394C" w:rsidRPr="00942390">
              <w:rPr>
                <w:rFonts w:ascii="Times New Roman" w:hAnsi="Times New Roman"/>
                <w:b/>
                <w:bCs/>
                <w:color w:val="000000"/>
                <w:sz w:val="28"/>
                <w:szCs w:val="28"/>
              </w:rPr>
              <w:t xml:space="preserve">ir spējīgi </w:t>
            </w:r>
            <w:r w:rsidR="008E6317" w:rsidRPr="00942390">
              <w:rPr>
                <w:rFonts w:ascii="Times New Roman" w:hAnsi="Times New Roman"/>
                <w:b/>
                <w:bCs/>
                <w:color w:val="000000"/>
                <w:sz w:val="28"/>
                <w:szCs w:val="28"/>
              </w:rPr>
              <w:t>apgū</w:t>
            </w:r>
            <w:r w:rsidR="0055394C" w:rsidRPr="00942390">
              <w:rPr>
                <w:rFonts w:ascii="Times New Roman" w:hAnsi="Times New Roman"/>
                <w:b/>
                <w:bCs/>
                <w:color w:val="000000"/>
                <w:sz w:val="28"/>
                <w:szCs w:val="28"/>
              </w:rPr>
              <w:t>t papildus finansējumu. Tāpēc ir nepieciešams palielināt viena projekta maksimālo summu līdz 8 250 000 latiem</w:t>
            </w:r>
            <w:r w:rsidRPr="00942390">
              <w:rPr>
                <w:rFonts w:ascii="Times New Roman" w:hAnsi="Times New Roman"/>
                <w:b/>
                <w:bCs/>
                <w:color w:val="000000"/>
                <w:sz w:val="28"/>
                <w:szCs w:val="28"/>
              </w:rPr>
              <w:t>.</w:t>
            </w:r>
          </w:p>
          <w:p w:rsidR="0069047B" w:rsidRPr="00942390" w:rsidRDefault="003D7B4E"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Vienlaikus</w:t>
            </w:r>
            <w:r w:rsidR="001C036D" w:rsidRPr="00942390">
              <w:rPr>
                <w:rFonts w:ascii="Times New Roman" w:hAnsi="Times New Roman"/>
                <w:b/>
                <w:bCs/>
                <w:color w:val="000000"/>
                <w:sz w:val="28"/>
                <w:szCs w:val="28"/>
              </w:rPr>
              <w:t xml:space="preserve"> ir nepieciešams atrunāt procedūru, kādā kompetences centri varēs pieteikties papildus finansējumam. Tāpēc MK noteikumu Nr.361 grozījumos ir nepieciešams noteikt, ka papildus finansējumam var pieteikties tie kompetences centri, kuri var </w:t>
            </w:r>
            <w:r w:rsidR="008E6317" w:rsidRPr="00942390">
              <w:rPr>
                <w:rFonts w:ascii="Times New Roman" w:hAnsi="Times New Roman"/>
                <w:b/>
                <w:bCs/>
                <w:color w:val="000000"/>
                <w:sz w:val="28"/>
                <w:szCs w:val="28"/>
              </w:rPr>
              <w:t>apgū</w:t>
            </w:r>
            <w:r w:rsidR="001C036D" w:rsidRPr="00942390">
              <w:rPr>
                <w:rFonts w:ascii="Times New Roman" w:hAnsi="Times New Roman"/>
                <w:b/>
                <w:bCs/>
                <w:color w:val="000000"/>
                <w:sz w:val="28"/>
                <w:szCs w:val="28"/>
              </w:rPr>
              <w:t>t visu tie</w:t>
            </w:r>
            <w:r w:rsidRPr="00942390">
              <w:rPr>
                <w:rFonts w:ascii="Times New Roman" w:hAnsi="Times New Roman"/>
                <w:b/>
                <w:bCs/>
                <w:color w:val="000000"/>
                <w:sz w:val="28"/>
                <w:szCs w:val="28"/>
              </w:rPr>
              <w:t>m</w:t>
            </w:r>
            <w:r w:rsidR="001C036D" w:rsidRPr="00942390">
              <w:rPr>
                <w:rFonts w:ascii="Times New Roman" w:hAnsi="Times New Roman"/>
                <w:b/>
                <w:bCs/>
                <w:color w:val="000000"/>
                <w:sz w:val="28"/>
                <w:szCs w:val="28"/>
              </w:rPr>
              <w:t xml:space="preserve"> jau pieejamo finansējumu (</w:t>
            </w:r>
            <w:proofErr w:type="spellStart"/>
            <w:r w:rsidR="001C036D" w:rsidRPr="00942390">
              <w:rPr>
                <w:rFonts w:ascii="Times New Roman" w:hAnsi="Times New Roman"/>
                <w:b/>
                <w:bCs/>
                <w:color w:val="000000"/>
                <w:sz w:val="28"/>
                <w:szCs w:val="28"/>
              </w:rPr>
              <w:t>t.i</w:t>
            </w:r>
            <w:proofErr w:type="spellEnd"/>
            <w:r w:rsidR="001C036D" w:rsidRPr="00942390">
              <w:rPr>
                <w:rFonts w:ascii="Times New Roman" w:hAnsi="Times New Roman"/>
                <w:b/>
                <w:bCs/>
                <w:color w:val="000000"/>
                <w:sz w:val="28"/>
                <w:szCs w:val="28"/>
              </w:rPr>
              <w:t>. viņiem nav samazināt līguma summa). Ja kompetences centru pieprasījums pēc papildus finansējuma ir lielāks nekā pieejamais brīvais finansējums, tad brīvo finansējumu sadala vienādās daļās starp visiem kompetences centriem, kuri pieteikušies</w:t>
            </w:r>
            <w:r w:rsidR="0069047B" w:rsidRPr="00942390">
              <w:rPr>
                <w:rFonts w:ascii="Times New Roman" w:hAnsi="Times New Roman"/>
                <w:b/>
                <w:bCs/>
                <w:color w:val="000000"/>
                <w:sz w:val="28"/>
                <w:szCs w:val="28"/>
              </w:rPr>
              <w:t>.</w:t>
            </w:r>
          </w:p>
          <w:p w:rsidR="00ED2EA1" w:rsidRPr="00942390" w:rsidRDefault="001C036D" w:rsidP="00ED2EA1">
            <w:pPr>
              <w:shd w:val="clear" w:color="auto" w:fill="FFFFFF"/>
              <w:spacing w:line="240" w:lineRule="auto"/>
              <w:jc w:val="both"/>
              <w:rPr>
                <w:rFonts w:ascii="Times New Roman" w:hAnsi="Times New Roman"/>
                <w:b/>
                <w:bCs/>
                <w:color w:val="000000"/>
                <w:sz w:val="28"/>
                <w:szCs w:val="28"/>
              </w:rPr>
            </w:pPr>
            <w:r w:rsidRPr="00942390">
              <w:rPr>
                <w:rFonts w:ascii="Times New Roman" w:hAnsi="Times New Roman"/>
                <w:b/>
                <w:bCs/>
                <w:color w:val="000000"/>
                <w:sz w:val="28"/>
                <w:szCs w:val="28"/>
              </w:rPr>
              <w:t>Brīdī, kad kompetences centrs piesakās papildus finansējumam, sadarbības iestādei ir jāpārbauda vai kompetences centrs un sadarbības partneri atbilst MK noteikumu Nr.361</w:t>
            </w:r>
            <w:r w:rsidR="0035312A">
              <w:rPr>
                <w:rFonts w:ascii="Times New Roman" w:hAnsi="Times New Roman"/>
                <w:b/>
                <w:bCs/>
                <w:color w:val="000000"/>
                <w:sz w:val="28"/>
                <w:szCs w:val="28"/>
              </w:rPr>
              <w:t xml:space="preserve"> nosacījumiem</w:t>
            </w:r>
            <w:r w:rsidR="0035312A" w:rsidRPr="00942390">
              <w:rPr>
                <w:rFonts w:ascii="Times New Roman" w:hAnsi="Times New Roman"/>
                <w:b/>
                <w:bCs/>
                <w:color w:val="000000"/>
                <w:sz w:val="28"/>
                <w:szCs w:val="28"/>
              </w:rPr>
              <w:t>, jo j</w:t>
            </w:r>
            <w:r w:rsidR="0035312A" w:rsidRPr="00942390">
              <w:rPr>
                <w:rFonts w:ascii="Times New Roman" w:hAnsi="Times New Roman"/>
                <w:b/>
                <w:bCs/>
                <w:sz w:val="28"/>
                <w:szCs w:val="28"/>
              </w:rPr>
              <w:t xml:space="preserve">auna finansējuma piešķiršana ir uzskatāma </w:t>
            </w:r>
            <w:r w:rsidR="003E53D4">
              <w:rPr>
                <w:rFonts w:ascii="Times New Roman" w:hAnsi="Times New Roman"/>
                <w:b/>
                <w:bCs/>
                <w:sz w:val="28"/>
                <w:szCs w:val="28"/>
              </w:rPr>
              <w:t xml:space="preserve">par jaunu </w:t>
            </w:r>
            <w:r w:rsidR="0035312A" w:rsidRPr="00942390">
              <w:rPr>
                <w:rFonts w:ascii="Times New Roman" w:hAnsi="Times New Roman"/>
                <w:b/>
                <w:bCs/>
                <w:sz w:val="28"/>
                <w:szCs w:val="28"/>
              </w:rPr>
              <w:t>valsts atbalst</w:t>
            </w:r>
            <w:r w:rsidR="003E53D4">
              <w:rPr>
                <w:rFonts w:ascii="Times New Roman" w:hAnsi="Times New Roman"/>
                <w:b/>
                <w:bCs/>
                <w:sz w:val="28"/>
                <w:szCs w:val="28"/>
              </w:rPr>
              <w:t>u</w:t>
            </w:r>
            <w:r w:rsidR="0035312A">
              <w:rPr>
                <w:rFonts w:ascii="Times New Roman" w:hAnsi="Times New Roman"/>
                <w:b/>
                <w:bCs/>
                <w:color w:val="000000"/>
                <w:sz w:val="28"/>
                <w:szCs w:val="28"/>
              </w:rPr>
              <w:t>. T</w:t>
            </w:r>
            <w:r w:rsidRPr="00942390">
              <w:rPr>
                <w:rFonts w:ascii="Times New Roman" w:hAnsi="Times New Roman"/>
                <w:b/>
                <w:bCs/>
                <w:color w:val="000000"/>
                <w:sz w:val="28"/>
                <w:szCs w:val="28"/>
              </w:rPr>
              <w:t>ai skaitā</w:t>
            </w:r>
            <w:r w:rsidR="003E53D4">
              <w:rPr>
                <w:rFonts w:ascii="Times New Roman" w:hAnsi="Times New Roman"/>
                <w:b/>
                <w:bCs/>
                <w:color w:val="000000"/>
                <w:sz w:val="28"/>
                <w:szCs w:val="28"/>
              </w:rPr>
              <w:t xml:space="preserve"> jāveic pārbaude </w:t>
            </w:r>
            <w:r w:rsidRPr="00942390">
              <w:rPr>
                <w:rFonts w:ascii="Times New Roman" w:hAnsi="Times New Roman"/>
                <w:b/>
                <w:bCs/>
                <w:color w:val="000000"/>
                <w:sz w:val="28"/>
                <w:szCs w:val="28"/>
              </w:rPr>
              <w:t xml:space="preserve"> attiecībā uz grūtībās nonākuša </w:t>
            </w:r>
            <w:r w:rsidR="003D7B4E" w:rsidRPr="00942390">
              <w:rPr>
                <w:rFonts w:ascii="Times New Roman" w:hAnsi="Times New Roman"/>
                <w:b/>
                <w:bCs/>
                <w:color w:val="000000"/>
                <w:sz w:val="28"/>
                <w:szCs w:val="28"/>
              </w:rPr>
              <w:t>komersanta</w:t>
            </w:r>
            <w:r w:rsidRPr="00942390">
              <w:rPr>
                <w:rFonts w:ascii="Times New Roman" w:hAnsi="Times New Roman"/>
                <w:b/>
                <w:bCs/>
                <w:color w:val="000000"/>
                <w:sz w:val="28"/>
                <w:szCs w:val="28"/>
              </w:rPr>
              <w:t xml:space="preserve"> </w:t>
            </w:r>
            <w:r w:rsidR="0035312A">
              <w:rPr>
                <w:rFonts w:ascii="Times New Roman" w:hAnsi="Times New Roman"/>
                <w:b/>
                <w:bCs/>
                <w:color w:val="000000"/>
                <w:sz w:val="28"/>
                <w:szCs w:val="28"/>
              </w:rPr>
              <w:t>definīciju</w:t>
            </w:r>
            <w:r w:rsidR="00942390" w:rsidRPr="00942390">
              <w:rPr>
                <w:rFonts w:ascii="Times New Roman" w:hAnsi="Times New Roman"/>
                <w:b/>
                <w:bCs/>
                <w:sz w:val="28"/>
                <w:szCs w:val="28"/>
              </w:rPr>
              <w:t>, kura ir ietverta MK noteikumu Nr.361 15.punktā</w:t>
            </w:r>
            <w:r w:rsidR="00865DE9" w:rsidRPr="00942390">
              <w:rPr>
                <w:rFonts w:ascii="Times New Roman" w:hAnsi="Times New Roman"/>
                <w:b/>
                <w:bCs/>
                <w:sz w:val="28"/>
                <w:szCs w:val="28"/>
              </w:rPr>
              <w:t>. Attiecīgi ir nepieciešams precizēt grūtībās nonākuša komersanta definīciju, kura ir ietverta MK noteikumu Nr.361 15.punktā</w:t>
            </w:r>
            <w:r w:rsidR="0035312A">
              <w:rPr>
                <w:rFonts w:ascii="Times New Roman" w:hAnsi="Times New Roman"/>
                <w:b/>
                <w:bCs/>
                <w:sz w:val="28"/>
                <w:szCs w:val="28"/>
              </w:rPr>
              <w:t xml:space="preserve"> atbilstoši aktuālajai definīcijas redakcijai</w:t>
            </w:r>
            <w:r w:rsidRPr="00942390">
              <w:rPr>
                <w:rFonts w:ascii="Times New Roman" w:hAnsi="Times New Roman"/>
                <w:b/>
                <w:bCs/>
                <w:color w:val="000000"/>
                <w:sz w:val="28"/>
                <w:szCs w:val="28"/>
              </w:rPr>
              <w:t>;</w:t>
            </w:r>
          </w:p>
          <w:p w:rsidR="00EB7586" w:rsidRPr="00942390" w:rsidRDefault="00BF159A" w:rsidP="00EB7586">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kuriem sadarbības iestāde</w:t>
            </w:r>
            <w:r w:rsidR="00EB7586" w:rsidRPr="00942390">
              <w:rPr>
                <w:rFonts w:ascii="Times New Roman" w:hAnsi="Times New Roman"/>
                <w:bCs/>
                <w:color w:val="000000"/>
                <w:sz w:val="28"/>
                <w:szCs w:val="28"/>
              </w:rPr>
              <w:t xml:space="preserve"> </w:t>
            </w:r>
            <w:r w:rsidRPr="00942390">
              <w:rPr>
                <w:rFonts w:ascii="Times New Roman" w:hAnsi="Times New Roman"/>
                <w:bCs/>
                <w:color w:val="000000"/>
                <w:sz w:val="28"/>
                <w:szCs w:val="28"/>
              </w:rPr>
              <w:t xml:space="preserve">būs noslēgusi civiltiesiskus līgumus par projekta īstenošanu. Tādejādi, lai nodrošinātu, ka attiecīgās normas tiks ievērotas </w:t>
            </w:r>
            <w:r w:rsidRPr="00942390">
              <w:rPr>
                <w:rFonts w:ascii="Times New Roman" w:hAnsi="Times New Roman"/>
                <w:bCs/>
                <w:color w:val="000000"/>
                <w:sz w:val="28"/>
                <w:szCs w:val="28"/>
              </w:rPr>
              <w:lastRenderedPageBreak/>
              <w:t>sadarbības iestāde ierosinās veikt grozījumus noslēgtajos līgumos atbilstoši spēkā esošajam tiesiskajam regulējumam.</w:t>
            </w:r>
          </w:p>
          <w:p w:rsidR="00EB7586" w:rsidRPr="00942390" w:rsidRDefault="00BF159A" w:rsidP="00EB7586">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Ekonomikas ministrija ir izvērtējusi iespējamos riskus, kas saistīti ar finansējuma saņēmēja tiesiskās paļāvības principa un tiesiskās noteiktības principa pārkāpumiem, ierosinot grozījumus MK noteikumos Nr.361. Ierosinātie grozījumi ir tiešā cēloņsakarībā ar nepieciešamību veikt grozījumus jau noslēgtajos līgumos par projektu īstenošanu, tādejādi mainot projekta īstenošanas nosacījumus. Līdz ar to MK noteikumos Nr.361 iekļautās normas ir attiecināmas jau uz nodibinātām līgumattiecībām, proti, jaunās normas tiks piemērotas uz jau nodibinātām un turpinātām tiesiskām attiecībām</w:t>
            </w:r>
            <w:r w:rsidR="00CE1F31" w:rsidRPr="00942390">
              <w:rPr>
                <w:rFonts w:ascii="Times New Roman" w:hAnsi="Times New Roman"/>
                <w:bCs/>
                <w:color w:val="000000"/>
                <w:sz w:val="28"/>
                <w:szCs w:val="28"/>
              </w:rPr>
              <w:t xml:space="preserve">. </w:t>
            </w:r>
          </w:p>
          <w:p w:rsidR="00EB7586" w:rsidRPr="00942390" w:rsidRDefault="00BF159A" w:rsidP="00EB7586">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Atbilstoši demokrātiskas republikas jēdzienam valsts pienākums savā rīcība ir ievērot tiesiskas valsts pamatprincipus, tai skaitā tiesiskās paļāvības un 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proofErr w:type="spellStart"/>
            <w:r w:rsidRPr="00942390">
              <w:rPr>
                <w:rFonts w:ascii="Times New Roman" w:hAnsi="Times New Roman"/>
                <w:bCs/>
                <w:color w:val="000000"/>
                <w:sz w:val="28"/>
                <w:szCs w:val="28"/>
              </w:rPr>
              <w:t>sk</w:t>
            </w:r>
            <w:proofErr w:type="spellEnd"/>
            <w:r w:rsidRPr="00942390">
              <w:rPr>
                <w:rFonts w:ascii="Times New Roman" w:hAnsi="Times New Roman"/>
                <w:bCs/>
                <w:color w:val="000000"/>
                <w:sz w:val="28"/>
                <w:szCs w:val="28"/>
              </w:rPr>
              <w:t>. Satversmes tiesas 2010.gada 6.decembra sprieduma lietā Nr.2010-25-01 4.punktu).</w:t>
            </w:r>
          </w:p>
          <w:p w:rsidR="00EB7586" w:rsidRPr="00942390" w:rsidRDefault="00BF159A" w:rsidP="00EB7586">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Noteikumu projektā iekļautās prasības uzskatāmas par finansējuma saņēmējiem labvēlīgākām, proti, </w:t>
            </w:r>
            <w:r w:rsidR="00CE1F31" w:rsidRPr="00942390">
              <w:rPr>
                <w:rFonts w:ascii="Times New Roman" w:hAnsi="Times New Roman"/>
                <w:bCs/>
                <w:color w:val="000000"/>
                <w:sz w:val="28"/>
                <w:szCs w:val="28"/>
              </w:rPr>
              <w:t xml:space="preserve">pagarina vidējā termiņa pārvērtēšanu līdz 2014.gada jūnijam, samazina avansa apkalpošanas izmaksas, </w:t>
            </w:r>
            <w:r w:rsidR="00721058" w:rsidRPr="00942390">
              <w:rPr>
                <w:rFonts w:ascii="Times New Roman" w:hAnsi="Times New Roman"/>
                <w:bCs/>
                <w:color w:val="000000"/>
                <w:sz w:val="28"/>
                <w:szCs w:val="28"/>
              </w:rPr>
              <w:t xml:space="preserve">atvieglo </w:t>
            </w:r>
            <w:r w:rsidR="00CE1F31" w:rsidRPr="00942390">
              <w:rPr>
                <w:rFonts w:ascii="Times New Roman" w:hAnsi="Times New Roman"/>
                <w:bCs/>
                <w:color w:val="000000"/>
                <w:sz w:val="28"/>
                <w:szCs w:val="28"/>
              </w:rPr>
              <w:t>papi</w:t>
            </w:r>
            <w:r w:rsidR="00721058" w:rsidRPr="00942390">
              <w:rPr>
                <w:rFonts w:ascii="Times New Roman" w:hAnsi="Times New Roman"/>
                <w:bCs/>
                <w:color w:val="000000"/>
                <w:sz w:val="28"/>
                <w:szCs w:val="28"/>
              </w:rPr>
              <w:t xml:space="preserve">ldus intensitātes saņemšanas kārtību, iepirkuma procedūras norises atvieglojumi. Līdz ar to Ekonomikas ministrija secina, ka veiktie grozījumi </w:t>
            </w:r>
            <w:r w:rsidR="00721058" w:rsidRPr="00942390">
              <w:rPr>
                <w:rFonts w:ascii="Times New Roman" w:hAnsi="Times New Roman"/>
                <w:bCs/>
                <w:color w:val="000000"/>
                <w:sz w:val="28"/>
                <w:szCs w:val="28"/>
              </w:rPr>
              <w:lastRenderedPageBreak/>
              <w:t>nodrošina saprātīgu līdzsvaru starp personas paļāvību un tām interesēm, kuru nodrošināšanas labad regulējums tiek mainīts.</w:t>
            </w:r>
            <w:r w:rsidR="00EB7586" w:rsidRPr="00942390">
              <w:rPr>
                <w:rFonts w:ascii="Times New Roman" w:hAnsi="Times New Roman"/>
                <w:bCs/>
                <w:color w:val="000000"/>
                <w:sz w:val="28"/>
                <w:szCs w:val="28"/>
              </w:rPr>
              <w:t xml:space="preserve"> </w:t>
            </w:r>
          </w:p>
          <w:p w:rsidR="0060677B" w:rsidRPr="00942390" w:rsidRDefault="00BF159A" w:rsidP="00EB7586">
            <w:pPr>
              <w:shd w:val="clear" w:color="auto" w:fill="FFFFFF"/>
              <w:spacing w:line="240" w:lineRule="auto"/>
              <w:jc w:val="both"/>
              <w:rPr>
                <w:rFonts w:ascii="Times New Roman" w:hAnsi="Times New Roman"/>
                <w:bCs/>
                <w:color w:val="000000"/>
                <w:sz w:val="28"/>
                <w:szCs w:val="28"/>
              </w:rPr>
            </w:pPr>
            <w:r w:rsidRPr="00942390">
              <w:rPr>
                <w:rFonts w:ascii="Times New Roman" w:hAnsi="Times New Roman"/>
                <w:bCs/>
                <w:color w:val="000000"/>
                <w:sz w:val="28"/>
                <w:szCs w:val="28"/>
              </w:rPr>
              <w:t xml:space="preserve">Papildu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 </w:t>
            </w:r>
            <w:r w:rsidR="00415524" w:rsidRPr="00942390">
              <w:rPr>
                <w:rFonts w:ascii="Times New Roman" w:hAnsi="Times New Roman"/>
                <w:bCs/>
                <w:color w:val="000000"/>
                <w:sz w:val="28"/>
                <w:szCs w:val="28"/>
              </w:rPr>
              <w:t xml:space="preserve"> </w:t>
            </w:r>
          </w:p>
          <w:p w:rsidR="00645410" w:rsidRPr="00942390" w:rsidRDefault="00645410" w:rsidP="00415524">
            <w:pPr>
              <w:spacing w:after="0" w:line="240" w:lineRule="auto"/>
              <w:ind w:firstLine="567"/>
              <w:jc w:val="both"/>
              <w:rPr>
                <w:rFonts w:ascii="Times New Roman" w:hAnsi="Times New Roman"/>
                <w:bCs/>
                <w:color w:val="000000"/>
                <w:sz w:val="28"/>
                <w:szCs w:val="28"/>
              </w:rPr>
            </w:pPr>
            <w:r w:rsidRPr="00942390">
              <w:rPr>
                <w:rFonts w:ascii="Times New Roman" w:hAnsi="Times New Roman"/>
                <w:bCs/>
                <w:color w:val="000000"/>
                <w:sz w:val="28"/>
                <w:szCs w:val="28"/>
              </w:rPr>
              <w:t xml:space="preserve"> </w:t>
            </w:r>
          </w:p>
        </w:tc>
      </w:tr>
      <w:tr w:rsidR="00D40CFC" w:rsidRPr="00942390" w:rsidTr="00087656">
        <w:trPr>
          <w:trHeight w:val="360"/>
        </w:trPr>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lastRenderedPageBreak/>
              <w:t>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722173" w:rsidP="00D40CFC">
            <w:pPr>
              <w:spacing w:after="0" w:line="240" w:lineRule="auto"/>
              <w:ind w:firstLine="567"/>
              <w:jc w:val="both"/>
              <w:rPr>
                <w:rFonts w:ascii="Times New Roman" w:hAnsi="Times New Roman"/>
                <w:color w:val="000000"/>
                <w:sz w:val="28"/>
                <w:szCs w:val="28"/>
              </w:rPr>
            </w:pPr>
            <w:r w:rsidRPr="00942390">
              <w:rPr>
                <w:rFonts w:ascii="Times New Roman" w:hAnsi="Times New Roman"/>
                <w:color w:val="000000"/>
                <w:sz w:val="28"/>
                <w:szCs w:val="28"/>
              </w:rPr>
              <w:t>Projekts šo jomu neskar.</w:t>
            </w:r>
          </w:p>
        </w:tc>
      </w:tr>
      <w:tr w:rsidR="00D40CFC" w:rsidRPr="00942390" w:rsidTr="00087656">
        <w:trPr>
          <w:trHeight w:val="1068"/>
        </w:trPr>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C3807" w:rsidRPr="00942390" w:rsidRDefault="000D18C9" w:rsidP="00D24811">
            <w:pPr>
              <w:spacing w:after="0" w:line="240" w:lineRule="auto"/>
              <w:ind w:firstLine="567"/>
              <w:jc w:val="both"/>
              <w:rPr>
                <w:rFonts w:ascii="Times New Roman" w:hAnsi="Times New Roman"/>
                <w:bCs/>
                <w:sz w:val="28"/>
                <w:szCs w:val="28"/>
              </w:rPr>
            </w:pPr>
            <w:r w:rsidRPr="00942390">
              <w:rPr>
                <w:rFonts w:ascii="Times New Roman" w:hAnsi="Times New Roman"/>
                <w:bCs/>
                <w:sz w:val="28"/>
                <w:szCs w:val="28"/>
              </w:rPr>
              <w:t>Noteikumu projekts paredz veikt grozījumu MK noteikumos Nr.361:</w:t>
            </w:r>
          </w:p>
          <w:p w:rsidR="00B30C24" w:rsidRPr="00942390" w:rsidRDefault="00925C66" w:rsidP="003B694B">
            <w:pPr>
              <w:keepNext/>
              <w:keepLines/>
              <w:numPr>
                <w:ilvl w:val="0"/>
                <w:numId w:val="9"/>
              </w:numPr>
              <w:spacing w:before="200" w:after="0" w:line="240" w:lineRule="auto"/>
              <w:jc w:val="both"/>
              <w:outlineLvl w:val="1"/>
              <w:rPr>
                <w:rFonts w:ascii="Times New Roman" w:hAnsi="Times New Roman"/>
                <w:b/>
                <w:bCs/>
                <w:sz w:val="28"/>
                <w:szCs w:val="28"/>
              </w:rPr>
            </w:pPr>
            <w:r w:rsidRPr="00942390">
              <w:rPr>
                <w:rFonts w:ascii="Times New Roman" w:hAnsi="Times New Roman"/>
                <w:b/>
                <w:bCs/>
                <w:sz w:val="28"/>
                <w:szCs w:val="28"/>
              </w:rPr>
              <w:t>j</w:t>
            </w:r>
            <w:r w:rsidR="005955F7" w:rsidRPr="00942390">
              <w:rPr>
                <w:rFonts w:ascii="Times New Roman" w:hAnsi="Times New Roman"/>
                <w:b/>
                <w:bCs/>
                <w:sz w:val="28"/>
                <w:szCs w:val="28"/>
              </w:rPr>
              <w:t xml:space="preserve">auna finansējuma piešķiršana ir uzskatāma </w:t>
            </w:r>
            <w:r w:rsidR="00865DE9" w:rsidRPr="00942390">
              <w:rPr>
                <w:rFonts w:ascii="Times New Roman" w:hAnsi="Times New Roman"/>
                <w:b/>
                <w:bCs/>
                <w:sz w:val="28"/>
                <w:szCs w:val="28"/>
              </w:rPr>
              <w:t xml:space="preserve">par jaunu </w:t>
            </w:r>
            <w:r w:rsidR="005955F7" w:rsidRPr="00942390">
              <w:rPr>
                <w:rFonts w:ascii="Times New Roman" w:hAnsi="Times New Roman"/>
                <w:b/>
                <w:bCs/>
                <w:sz w:val="28"/>
                <w:szCs w:val="28"/>
              </w:rPr>
              <w:t>valsts atbalst</w:t>
            </w:r>
            <w:r w:rsidR="00865DE9" w:rsidRPr="00942390">
              <w:rPr>
                <w:rFonts w:ascii="Times New Roman" w:hAnsi="Times New Roman"/>
                <w:b/>
                <w:bCs/>
                <w:sz w:val="28"/>
                <w:szCs w:val="28"/>
              </w:rPr>
              <w:t>u</w:t>
            </w:r>
            <w:r w:rsidRPr="00942390">
              <w:rPr>
                <w:rFonts w:ascii="Times New Roman" w:hAnsi="Times New Roman"/>
                <w:b/>
                <w:bCs/>
                <w:sz w:val="28"/>
                <w:szCs w:val="28"/>
              </w:rPr>
              <w:t xml:space="preserve">. Tāpēc </w:t>
            </w:r>
            <w:r w:rsidR="005955F7" w:rsidRPr="00942390">
              <w:rPr>
                <w:rFonts w:ascii="Times New Roman" w:hAnsi="Times New Roman"/>
                <w:b/>
                <w:bCs/>
                <w:sz w:val="28"/>
                <w:szCs w:val="28"/>
              </w:rPr>
              <w:t xml:space="preserve">piešķirot jaunu finansējumu, jāizvērtē visi nepieciešamie valsts atbalsta nosacījumi, </w:t>
            </w:r>
            <w:proofErr w:type="spellStart"/>
            <w:r w:rsidR="005955F7" w:rsidRPr="00942390">
              <w:rPr>
                <w:rFonts w:ascii="Times New Roman" w:hAnsi="Times New Roman"/>
                <w:b/>
                <w:bCs/>
                <w:sz w:val="28"/>
                <w:szCs w:val="28"/>
              </w:rPr>
              <w:t>t.sk</w:t>
            </w:r>
            <w:proofErr w:type="spellEnd"/>
            <w:r w:rsidR="005955F7" w:rsidRPr="00942390">
              <w:rPr>
                <w:rFonts w:ascii="Times New Roman" w:hAnsi="Times New Roman"/>
                <w:b/>
                <w:bCs/>
                <w:sz w:val="28"/>
                <w:szCs w:val="28"/>
              </w:rPr>
              <w:t xml:space="preserve">. </w:t>
            </w:r>
            <w:r w:rsidR="00865DE9" w:rsidRPr="00942390">
              <w:rPr>
                <w:rFonts w:ascii="Times New Roman" w:hAnsi="Times New Roman"/>
                <w:b/>
                <w:bCs/>
                <w:sz w:val="28"/>
                <w:szCs w:val="28"/>
              </w:rPr>
              <w:t>grūtībās nonākuša komersanta definīcija, kura ir ietverta MK noteikumu Nr.361 15.punktā</w:t>
            </w:r>
            <w:r w:rsidR="005955F7" w:rsidRPr="00942390">
              <w:rPr>
                <w:rFonts w:ascii="Times New Roman" w:hAnsi="Times New Roman"/>
                <w:b/>
                <w:bCs/>
                <w:sz w:val="28"/>
                <w:szCs w:val="28"/>
              </w:rPr>
              <w:t xml:space="preserve">. </w:t>
            </w:r>
            <w:r w:rsidR="00942390" w:rsidRPr="00942390">
              <w:rPr>
                <w:rFonts w:ascii="Times New Roman" w:hAnsi="Times New Roman"/>
                <w:b/>
                <w:bCs/>
                <w:sz w:val="28"/>
                <w:szCs w:val="28"/>
              </w:rPr>
              <w:t>Attiecīgi ir nepieciešams precizēt grūtībās nonākuša komersanta definīciju, kura ir ietverta MK noteikumu Nr.361 15.punktā</w:t>
            </w:r>
            <w:r w:rsidR="0035312A">
              <w:rPr>
                <w:rFonts w:ascii="Times New Roman" w:hAnsi="Times New Roman"/>
                <w:b/>
                <w:bCs/>
                <w:sz w:val="28"/>
                <w:szCs w:val="28"/>
              </w:rPr>
              <w:t xml:space="preserve"> atbilstoši aktuālajai definīcijas redakcija</w:t>
            </w:r>
            <w:r w:rsidR="009B262C" w:rsidRPr="00942390">
              <w:rPr>
                <w:rFonts w:ascii="Times New Roman" w:hAnsi="Times New Roman"/>
                <w:b/>
                <w:bCs/>
                <w:sz w:val="28"/>
                <w:szCs w:val="28"/>
              </w:rPr>
              <w:t>;</w:t>
            </w:r>
          </w:p>
          <w:p w:rsidR="00FC0B7E" w:rsidRPr="00942390" w:rsidRDefault="00CD1FEC" w:rsidP="003B694B">
            <w:pPr>
              <w:numPr>
                <w:ilvl w:val="0"/>
                <w:numId w:val="9"/>
              </w:numPr>
              <w:spacing w:after="0" w:line="240" w:lineRule="auto"/>
              <w:jc w:val="both"/>
              <w:rPr>
                <w:rFonts w:ascii="Times New Roman" w:hAnsi="Times New Roman"/>
                <w:bCs/>
                <w:sz w:val="28"/>
                <w:szCs w:val="28"/>
              </w:rPr>
            </w:pPr>
            <w:r w:rsidRPr="00942390">
              <w:rPr>
                <w:rFonts w:ascii="Times New Roman" w:hAnsi="Times New Roman"/>
                <w:bCs/>
                <w:sz w:val="28"/>
                <w:szCs w:val="28"/>
              </w:rPr>
              <w:t>svītrot no MK noteikumiem Nr.361 speciālās iepirkuma normas, kuras tur bija iestrādātas kā pagaidu risinājums, kamēr nav stājušies spēkā MK noteikumi Nr.299;</w:t>
            </w:r>
          </w:p>
          <w:p w:rsidR="00415524" w:rsidRPr="00942390" w:rsidRDefault="00C344F3" w:rsidP="003B694B">
            <w:pPr>
              <w:numPr>
                <w:ilvl w:val="0"/>
                <w:numId w:val="9"/>
              </w:numPr>
              <w:spacing w:after="0" w:line="240" w:lineRule="auto"/>
              <w:jc w:val="both"/>
              <w:rPr>
                <w:rFonts w:ascii="Times New Roman" w:hAnsi="Times New Roman"/>
                <w:bCs/>
                <w:sz w:val="28"/>
                <w:szCs w:val="28"/>
              </w:rPr>
            </w:pPr>
            <w:r w:rsidRPr="00942390">
              <w:rPr>
                <w:rFonts w:ascii="Times New Roman" w:hAnsi="Times New Roman"/>
                <w:bCs/>
                <w:sz w:val="28"/>
                <w:szCs w:val="28"/>
              </w:rPr>
              <w:t>avansa dzēšanai aizstāt bankas garantiju ar darījuma kontu un darījuma konta apkalpošanas izmaksas paredzēt kā attiecināmas izmaksas;</w:t>
            </w:r>
          </w:p>
          <w:p w:rsidR="00415524" w:rsidRPr="00942390" w:rsidRDefault="001C036D" w:rsidP="003B694B">
            <w:pPr>
              <w:numPr>
                <w:ilvl w:val="0"/>
                <w:numId w:val="9"/>
              </w:numPr>
              <w:spacing w:after="0" w:line="240" w:lineRule="auto"/>
              <w:jc w:val="both"/>
              <w:rPr>
                <w:rFonts w:ascii="Times New Roman" w:hAnsi="Times New Roman"/>
                <w:b/>
                <w:bCs/>
                <w:sz w:val="28"/>
                <w:szCs w:val="28"/>
              </w:rPr>
            </w:pPr>
            <w:r w:rsidRPr="00942390">
              <w:rPr>
                <w:rFonts w:ascii="Times New Roman" w:hAnsi="Times New Roman"/>
                <w:b/>
                <w:bCs/>
                <w:sz w:val="28"/>
                <w:szCs w:val="28"/>
              </w:rPr>
              <w:t xml:space="preserve">paredzēt iespēju, ka papildus intensitāti var izmaksāt ātrāk – pēc tam, kad pētījuma rezultātus plaša izplata tādās tehniskās un zinātniskās konferencēs, </w:t>
            </w:r>
            <w:r w:rsidRPr="00942390">
              <w:rPr>
                <w:rFonts w:ascii="Times New Roman" w:hAnsi="Times New Roman"/>
                <w:b/>
                <w:bCs/>
                <w:sz w:val="28"/>
                <w:szCs w:val="28"/>
              </w:rPr>
              <w:lastRenderedPageBreak/>
              <w:t xml:space="preserve">kuru konferenču rakstu krājumus indeksē Web </w:t>
            </w:r>
            <w:proofErr w:type="spellStart"/>
            <w:r w:rsidRPr="00942390">
              <w:rPr>
                <w:rFonts w:ascii="Times New Roman" w:hAnsi="Times New Roman"/>
                <w:b/>
                <w:bCs/>
                <w:sz w:val="28"/>
                <w:szCs w:val="28"/>
              </w:rPr>
              <w:t>of</w:t>
            </w:r>
            <w:proofErr w:type="spellEnd"/>
            <w:r w:rsidRPr="00942390">
              <w:rPr>
                <w:rFonts w:ascii="Times New Roman" w:hAnsi="Times New Roman"/>
                <w:b/>
                <w:bCs/>
                <w:sz w:val="28"/>
                <w:szCs w:val="28"/>
              </w:rPr>
              <w:t xml:space="preserve"> </w:t>
            </w:r>
            <w:proofErr w:type="spellStart"/>
            <w:r w:rsidRPr="00942390">
              <w:rPr>
                <w:rFonts w:ascii="Times New Roman" w:hAnsi="Times New Roman"/>
                <w:b/>
                <w:bCs/>
                <w:sz w:val="28"/>
                <w:szCs w:val="28"/>
              </w:rPr>
              <w:t>Science</w:t>
            </w:r>
            <w:proofErr w:type="spellEnd"/>
            <w:r w:rsidRPr="00942390">
              <w:rPr>
                <w:rFonts w:ascii="Times New Roman" w:hAnsi="Times New Roman"/>
                <w:b/>
                <w:bCs/>
                <w:sz w:val="28"/>
                <w:szCs w:val="28"/>
              </w:rPr>
              <w:t xml:space="preserve"> vai SCOPUS datu bāzēs. </w:t>
            </w:r>
            <w:r w:rsidR="00700C0C" w:rsidRPr="00942390">
              <w:rPr>
                <w:rFonts w:ascii="Times New Roman" w:hAnsi="Times New Roman"/>
                <w:b/>
                <w:bCs/>
                <w:sz w:val="28"/>
                <w:szCs w:val="28"/>
              </w:rPr>
              <w:t xml:space="preserve">Ja tiek veikti vairāki saistīti pētījumi, tad papildus intensitāti izmaksā par to pētījumu, kura rezultāti tiek publicēti (izplatīti). </w:t>
            </w:r>
            <w:r w:rsidRPr="00942390">
              <w:rPr>
                <w:rFonts w:ascii="Times New Roman" w:hAnsi="Times New Roman"/>
                <w:b/>
                <w:bCs/>
                <w:sz w:val="28"/>
                <w:szCs w:val="28"/>
              </w:rPr>
              <w:t>Papildus tam tiek precizēts, ka žurnāla rakstā ir jāpublicē nozīmīgie pētījuma rezultāti un rakstā nodrošina atsauci uz vietni vai interneta resursu, kur  ievietoti visi pētījumu rezultāti</w:t>
            </w:r>
            <w:r w:rsidR="00970304" w:rsidRPr="00942390">
              <w:rPr>
                <w:rFonts w:ascii="Times New Roman" w:hAnsi="Times New Roman"/>
                <w:b/>
                <w:bCs/>
                <w:sz w:val="28"/>
                <w:szCs w:val="28"/>
              </w:rPr>
              <w:t>;</w:t>
            </w:r>
          </w:p>
          <w:p w:rsidR="007D0E03" w:rsidRPr="00942390" w:rsidRDefault="001C036D" w:rsidP="00037972">
            <w:pPr>
              <w:numPr>
                <w:ilvl w:val="0"/>
                <w:numId w:val="9"/>
              </w:numPr>
              <w:spacing w:after="0" w:line="240" w:lineRule="auto"/>
              <w:jc w:val="both"/>
              <w:rPr>
                <w:rFonts w:ascii="Times New Roman" w:hAnsi="Times New Roman"/>
                <w:b/>
                <w:bCs/>
                <w:sz w:val="28"/>
                <w:szCs w:val="28"/>
              </w:rPr>
            </w:pPr>
            <w:r w:rsidRPr="00942390">
              <w:rPr>
                <w:rFonts w:ascii="Times New Roman" w:hAnsi="Times New Roman"/>
                <w:b/>
                <w:bCs/>
                <w:sz w:val="28"/>
                <w:szCs w:val="28"/>
              </w:rPr>
              <w:t>2013.gada 30.novembrī plānotā kompetences centru projektu pārvērtēšana vidējam termiņam tiek sadalīta divās daļās: (a) rādītāju izvērtēšana un (b) finanšu progresa izvērtēšana. Rādītāju izvērtēšana tiek pārcelta uz 2014.gada 30.novembri. Savukārt finanšu progresa izvērtēšana tiks veikta 2014.gada sākumā;</w:t>
            </w:r>
          </w:p>
          <w:p w:rsidR="00415524" w:rsidRPr="00942390" w:rsidRDefault="001C036D" w:rsidP="00A06310">
            <w:pPr>
              <w:numPr>
                <w:ilvl w:val="0"/>
                <w:numId w:val="9"/>
              </w:numPr>
              <w:spacing w:after="0" w:line="240" w:lineRule="auto"/>
              <w:jc w:val="both"/>
              <w:rPr>
                <w:rFonts w:ascii="Times New Roman" w:hAnsi="Times New Roman"/>
                <w:bCs/>
                <w:sz w:val="28"/>
                <w:szCs w:val="28"/>
              </w:rPr>
            </w:pPr>
            <w:r w:rsidRPr="00942390">
              <w:rPr>
                <w:rFonts w:ascii="Times New Roman" w:hAnsi="Times New Roman"/>
                <w:b/>
                <w:bCs/>
                <w:sz w:val="28"/>
                <w:szCs w:val="28"/>
              </w:rPr>
              <w:t>lai apgūtu visu pieejamo finansējumu</w:t>
            </w:r>
            <w:r w:rsidR="00700C0C" w:rsidRPr="00942390">
              <w:rPr>
                <w:rFonts w:ascii="Times New Roman" w:hAnsi="Times New Roman"/>
                <w:b/>
                <w:bCs/>
                <w:sz w:val="28"/>
                <w:szCs w:val="28"/>
              </w:rPr>
              <w:t xml:space="preserve">, pēc </w:t>
            </w:r>
            <w:r w:rsidRPr="00942390">
              <w:rPr>
                <w:rFonts w:ascii="Times New Roman" w:hAnsi="Times New Roman"/>
                <w:b/>
                <w:bCs/>
                <w:sz w:val="28"/>
                <w:szCs w:val="28"/>
              </w:rPr>
              <w:t>2014.gada sākumā plānot</w:t>
            </w:r>
            <w:r w:rsidR="00700C0C" w:rsidRPr="00942390">
              <w:rPr>
                <w:rFonts w:ascii="Times New Roman" w:hAnsi="Times New Roman"/>
                <w:b/>
                <w:bCs/>
                <w:sz w:val="28"/>
                <w:szCs w:val="28"/>
              </w:rPr>
              <w:t>ās</w:t>
            </w:r>
            <w:r w:rsidRPr="00942390">
              <w:rPr>
                <w:rFonts w:ascii="Times New Roman" w:hAnsi="Times New Roman"/>
                <w:b/>
                <w:bCs/>
                <w:sz w:val="28"/>
                <w:szCs w:val="28"/>
              </w:rPr>
              <w:t xml:space="preserve"> vidēja termiņa novērtēšan</w:t>
            </w:r>
            <w:r w:rsidR="00700C0C" w:rsidRPr="00942390">
              <w:rPr>
                <w:rFonts w:ascii="Times New Roman" w:hAnsi="Times New Roman"/>
                <w:b/>
                <w:bCs/>
                <w:sz w:val="28"/>
                <w:szCs w:val="28"/>
              </w:rPr>
              <w:t xml:space="preserve">as </w:t>
            </w:r>
            <w:r w:rsidRPr="00942390">
              <w:rPr>
                <w:rFonts w:ascii="Times New Roman" w:hAnsi="Times New Roman"/>
                <w:b/>
                <w:bCs/>
                <w:sz w:val="28"/>
                <w:szCs w:val="28"/>
              </w:rPr>
              <w:t xml:space="preserve">tiks veikta neapgūto līdzekļu pārdale uz tiem kompetenču centriem, kuri ir spējīgi </w:t>
            </w:r>
            <w:r w:rsidR="008E6317" w:rsidRPr="00942390">
              <w:rPr>
                <w:rFonts w:ascii="Times New Roman" w:hAnsi="Times New Roman"/>
                <w:b/>
                <w:bCs/>
                <w:sz w:val="28"/>
                <w:szCs w:val="28"/>
              </w:rPr>
              <w:t>apgū</w:t>
            </w:r>
            <w:r w:rsidRPr="00942390">
              <w:rPr>
                <w:rFonts w:ascii="Times New Roman" w:hAnsi="Times New Roman"/>
                <w:b/>
                <w:bCs/>
                <w:sz w:val="28"/>
                <w:szCs w:val="28"/>
              </w:rPr>
              <w:t>t papildus finansējumu</w:t>
            </w:r>
            <w:r w:rsidR="00A06310">
              <w:rPr>
                <w:rFonts w:ascii="Times New Roman" w:hAnsi="Times New Roman"/>
                <w:b/>
                <w:bCs/>
                <w:sz w:val="28"/>
                <w:szCs w:val="28"/>
              </w:rPr>
              <w:t xml:space="preserve">. </w:t>
            </w:r>
            <w:r w:rsidRPr="00942390">
              <w:rPr>
                <w:rFonts w:ascii="Times New Roman" w:hAnsi="Times New Roman"/>
                <w:b/>
                <w:bCs/>
                <w:sz w:val="28"/>
                <w:szCs w:val="28"/>
              </w:rPr>
              <w:t>Tāpēc ir nepieciešams palielināt viena projekta maksimālo summu līdz 8 250 000 latiem</w:t>
            </w:r>
            <w:r w:rsidR="001D0BCF" w:rsidRPr="00942390">
              <w:rPr>
                <w:rFonts w:ascii="Times New Roman" w:hAnsi="Times New Roman"/>
                <w:b/>
                <w:bCs/>
                <w:sz w:val="28"/>
                <w:szCs w:val="28"/>
              </w:rPr>
              <w:t xml:space="preserve"> un noteikt procedūru kā tiks veikta neapgūto līdzekļu pārdale</w:t>
            </w:r>
            <w:r w:rsidRPr="00942390">
              <w:rPr>
                <w:rFonts w:ascii="Times New Roman" w:hAnsi="Times New Roman"/>
                <w:b/>
                <w:bCs/>
                <w:sz w:val="28"/>
                <w:szCs w:val="28"/>
              </w:rPr>
              <w:t>.</w:t>
            </w:r>
            <w:r w:rsidR="00FB6CBD" w:rsidRPr="00942390">
              <w:rPr>
                <w:rFonts w:ascii="Times New Roman" w:hAnsi="Times New Roman"/>
                <w:bCs/>
                <w:sz w:val="28"/>
                <w:szCs w:val="28"/>
              </w:rPr>
              <w:t xml:space="preserve"> </w:t>
            </w:r>
          </w:p>
        </w:tc>
      </w:tr>
      <w:tr w:rsidR="00D40CFC" w:rsidRPr="00942390" w:rsidTr="00087656">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lastRenderedPageBreak/>
              <w:t>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2C38BE" w:rsidP="00D40CFC">
            <w:pPr>
              <w:spacing w:after="0" w:line="240" w:lineRule="auto"/>
              <w:ind w:right="142" w:firstLine="567"/>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Projekts šo jomu neskar.</w:t>
            </w:r>
          </w:p>
        </w:tc>
      </w:tr>
      <w:tr w:rsidR="00D40CFC" w:rsidRPr="00942390" w:rsidTr="00087656">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5D2187" w:rsidP="005D2187">
            <w:pPr>
              <w:spacing w:after="0" w:line="240" w:lineRule="auto"/>
              <w:ind w:right="142" w:firstLine="567"/>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Projekts izsūtīts viedokļa sniegšanai kompetenču centriem (projektu īstenotājiem).</w:t>
            </w:r>
          </w:p>
        </w:tc>
      </w:tr>
      <w:tr w:rsidR="00D40CFC" w:rsidRPr="00942390" w:rsidTr="00087656">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942390" w:rsidRDefault="008D678E" w:rsidP="00D40CFC">
            <w:pPr>
              <w:spacing w:after="0" w:line="240" w:lineRule="auto"/>
              <w:ind w:firstLine="567"/>
              <w:jc w:val="both"/>
              <w:rPr>
                <w:rFonts w:ascii="Times New Roman" w:hAnsi="Times New Roman"/>
                <w:sz w:val="28"/>
                <w:szCs w:val="28"/>
              </w:rPr>
            </w:pPr>
            <w:r w:rsidRPr="00942390">
              <w:rPr>
                <w:rFonts w:ascii="Times New Roman" w:hAnsi="Times New Roman"/>
                <w:sz w:val="28"/>
                <w:szCs w:val="28"/>
              </w:rPr>
              <w:t>Projekts šo jomu neskar.</w:t>
            </w:r>
          </w:p>
        </w:tc>
      </w:tr>
    </w:tbl>
    <w:p w:rsidR="00D40CFC" w:rsidRDefault="00D40CFC" w:rsidP="00D40CFC">
      <w:pPr>
        <w:spacing w:after="0" w:line="240" w:lineRule="auto"/>
        <w:jc w:val="center"/>
        <w:rPr>
          <w:rFonts w:ascii="Times New Roman" w:eastAsia="Arial Unicode MS" w:hAnsi="Times New Roman"/>
          <w:b/>
          <w:sz w:val="28"/>
          <w:szCs w:val="28"/>
        </w:rPr>
      </w:pPr>
    </w:p>
    <w:p w:rsidR="006714A4" w:rsidRPr="00942390" w:rsidRDefault="006714A4" w:rsidP="00D40CFC">
      <w:pPr>
        <w:spacing w:after="0" w:line="240" w:lineRule="auto"/>
        <w:jc w:val="center"/>
        <w:rPr>
          <w:rFonts w:ascii="Times New Roman" w:eastAsia="Arial Unicode MS" w:hAnsi="Times New Roman"/>
          <w:b/>
          <w:sz w:val="28"/>
          <w:szCs w:val="28"/>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456"/>
        <w:gridCol w:w="2976"/>
        <w:gridCol w:w="5924"/>
      </w:tblGrid>
      <w:tr w:rsidR="00D40CFC" w:rsidRPr="00942390" w:rsidTr="004955C6">
        <w:tc>
          <w:tcPr>
            <w:tcW w:w="9356" w:type="dxa"/>
            <w:gridSpan w:val="3"/>
            <w:vAlign w:val="center"/>
          </w:tcPr>
          <w:p w:rsidR="00D40CFC" w:rsidRPr="00942390" w:rsidRDefault="00D40CFC" w:rsidP="0096683F">
            <w:pPr>
              <w:spacing w:after="0" w:line="240" w:lineRule="auto"/>
              <w:jc w:val="center"/>
              <w:rPr>
                <w:rFonts w:ascii="Times New Roman" w:eastAsia="Times New Roman" w:hAnsi="Times New Roman"/>
                <w:b/>
                <w:bCs/>
                <w:sz w:val="28"/>
                <w:szCs w:val="28"/>
                <w:lang w:eastAsia="lv-LV"/>
              </w:rPr>
            </w:pPr>
            <w:r w:rsidRPr="00942390">
              <w:rPr>
                <w:rFonts w:ascii="Times New Roman" w:eastAsia="Times New Roman" w:hAnsi="Times New Roman"/>
                <w:b/>
                <w:bCs/>
                <w:sz w:val="28"/>
                <w:szCs w:val="28"/>
                <w:lang w:eastAsia="lv-LV"/>
              </w:rPr>
              <w:t>II. Tiesību akta projekta ietekme uz sabiedrību</w:t>
            </w:r>
          </w:p>
        </w:tc>
      </w:tr>
      <w:tr w:rsidR="00D40CFC" w:rsidRPr="00942390" w:rsidTr="00087656">
        <w:trPr>
          <w:trHeight w:val="467"/>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1.</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 xml:space="preserve">Sabiedrības </w:t>
            </w:r>
            <w:proofErr w:type="spellStart"/>
            <w:r w:rsidRPr="00942390">
              <w:rPr>
                <w:rFonts w:ascii="Times New Roman" w:eastAsia="Times New Roman" w:hAnsi="Times New Roman"/>
                <w:sz w:val="28"/>
                <w:szCs w:val="28"/>
                <w:lang w:eastAsia="lv-LV"/>
              </w:rPr>
              <w:t>mērķgrupa</w:t>
            </w:r>
            <w:proofErr w:type="spellEnd"/>
          </w:p>
        </w:tc>
        <w:tc>
          <w:tcPr>
            <w:tcW w:w="5924" w:type="dxa"/>
          </w:tcPr>
          <w:p w:rsidR="00382775" w:rsidRPr="00942390" w:rsidRDefault="005A5F0D" w:rsidP="0096683F">
            <w:pPr>
              <w:spacing w:after="0" w:line="240" w:lineRule="auto"/>
              <w:ind w:firstLine="448"/>
              <w:jc w:val="both"/>
              <w:rPr>
                <w:rFonts w:ascii="Times New Roman" w:eastAsia="Times New Roman" w:hAnsi="Times New Roman"/>
                <w:iCs/>
                <w:sz w:val="28"/>
                <w:szCs w:val="28"/>
                <w:lang w:eastAsia="lv-LV"/>
              </w:rPr>
            </w:pPr>
            <w:r w:rsidRPr="00942390">
              <w:rPr>
                <w:rFonts w:ascii="Times New Roman" w:eastAsia="Times New Roman" w:hAnsi="Times New Roman"/>
                <w:iCs/>
                <w:sz w:val="28"/>
                <w:szCs w:val="28"/>
                <w:lang w:eastAsia="lv-LV"/>
              </w:rPr>
              <w:t>K</w:t>
            </w:r>
            <w:r w:rsidR="00382775" w:rsidRPr="00942390">
              <w:rPr>
                <w:rFonts w:ascii="Times New Roman" w:eastAsia="Times New Roman" w:hAnsi="Times New Roman"/>
                <w:iCs/>
                <w:sz w:val="28"/>
                <w:szCs w:val="28"/>
                <w:lang w:eastAsia="lv-LV"/>
              </w:rPr>
              <w:t>omersanti</w:t>
            </w:r>
            <w:r w:rsidR="002C38BE" w:rsidRPr="00942390">
              <w:rPr>
                <w:rFonts w:ascii="Times New Roman" w:eastAsia="Times New Roman" w:hAnsi="Times New Roman"/>
                <w:iCs/>
                <w:sz w:val="28"/>
                <w:szCs w:val="28"/>
                <w:lang w:eastAsia="lv-LV"/>
              </w:rPr>
              <w:t>.</w:t>
            </w:r>
          </w:p>
        </w:tc>
      </w:tr>
      <w:tr w:rsidR="00D40CFC" w:rsidRPr="00942390" w:rsidTr="00087656">
        <w:trPr>
          <w:trHeight w:val="523"/>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lastRenderedPageBreak/>
              <w:t>2.</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 xml:space="preserve">Citas sabiedrības grupas (bez </w:t>
            </w:r>
            <w:proofErr w:type="spellStart"/>
            <w:r w:rsidRPr="00942390">
              <w:rPr>
                <w:rFonts w:ascii="Times New Roman" w:eastAsia="Times New Roman" w:hAnsi="Times New Roman"/>
                <w:sz w:val="28"/>
                <w:szCs w:val="28"/>
                <w:lang w:eastAsia="lv-LV"/>
              </w:rPr>
              <w:t>mērķgrupas</w:t>
            </w:r>
            <w:proofErr w:type="spellEnd"/>
            <w:r w:rsidRPr="00942390">
              <w:rPr>
                <w:rFonts w:ascii="Times New Roman" w:eastAsia="Times New Roman" w:hAnsi="Times New Roman"/>
                <w:sz w:val="28"/>
                <w:szCs w:val="28"/>
                <w:lang w:eastAsia="lv-LV"/>
              </w:rPr>
              <w:t>), kuras tiesiskais regulējums arī ietekmē vai varētu ietekmēt</w:t>
            </w:r>
          </w:p>
        </w:tc>
        <w:tc>
          <w:tcPr>
            <w:tcW w:w="5924" w:type="dxa"/>
          </w:tcPr>
          <w:p w:rsidR="00D40CFC" w:rsidRPr="00942390" w:rsidRDefault="002C38BE" w:rsidP="0096683F">
            <w:pPr>
              <w:spacing w:after="0" w:line="240" w:lineRule="auto"/>
              <w:ind w:firstLine="450"/>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Projekts šo jomu neskar.</w:t>
            </w:r>
          </w:p>
        </w:tc>
      </w:tr>
      <w:tr w:rsidR="00D40CFC" w:rsidRPr="00942390" w:rsidTr="00087656">
        <w:trPr>
          <w:trHeight w:val="517"/>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3.</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Tiesiskā regulējuma finansiālā ietekme</w:t>
            </w:r>
          </w:p>
        </w:tc>
        <w:tc>
          <w:tcPr>
            <w:tcW w:w="5924" w:type="dxa"/>
          </w:tcPr>
          <w:p w:rsidR="00D40CFC" w:rsidRPr="00942390" w:rsidRDefault="002C38BE" w:rsidP="0096683F">
            <w:pPr>
              <w:spacing w:after="0" w:line="240" w:lineRule="auto"/>
              <w:ind w:firstLine="450"/>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Projekts šo jomu neskar.</w:t>
            </w:r>
          </w:p>
        </w:tc>
      </w:tr>
      <w:tr w:rsidR="00D40CFC" w:rsidRPr="00942390" w:rsidTr="00087656">
        <w:trPr>
          <w:trHeight w:val="517"/>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4.</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Tiesiskā regulējuma nefinansiālā ietekme</w:t>
            </w:r>
          </w:p>
        </w:tc>
        <w:tc>
          <w:tcPr>
            <w:tcW w:w="5924" w:type="dxa"/>
          </w:tcPr>
          <w:p w:rsidR="00D40CFC" w:rsidRPr="00942390" w:rsidRDefault="00D40CFC" w:rsidP="0096683F">
            <w:pPr>
              <w:spacing w:after="0" w:line="240" w:lineRule="auto"/>
              <w:ind w:firstLine="450"/>
              <w:jc w:val="both"/>
              <w:rPr>
                <w:rFonts w:ascii="Times New Roman" w:eastAsia="Times New Roman" w:hAnsi="Times New Roman"/>
                <w:iCs/>
                <w:sz w:val="28"/>
                <w:szCs w:val="28"/>
                <w:lang w:eastAsia="lv-LV"/>
              </w:rPr>
            </w:pPr>
            <w:r w:rsidRPr="00942390">
              <w:rPr>
                <w:rFonts w:ascii="Times New Roman" w:eastAsia="Times New Roman" w:hAnsi="Times New Roman"/>
                <w:color w:val="000000"/>
                <w:sz w:val="28"/>
                <w:szCs w:val="28"/>
                <w:lang w:eastAsia="lv-LV"/>
              </w:rPr>
              <w:t>Projekts šo jomu neskar.</w:t>
            </w:r>
          </w:p>
        </w:tc>
      </w:tr>
      <w:tr w:rsidR="00D40CFC" w:rsidRPr="00942390" w:rsidTr="00087656">
        <w:trPr>
          <w:trHeight w:val="531"/>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5.</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Administratīvās procedūras raksturojums</w:t>
            </w:r>
          </w:p>
        </w:tc>
        <w:tc>
          <w:tcPr>
            <w:tcW w:w="5924" w:type="dxa"/>
          </w:tcPr>
          <w:p w:rsidR="00D40CFC" w:rsidRPr="00942390" w:rsidRDefault="00D40CFC" w:rsidP="0096683F">
            <w:pPr>
              <w:spacing w:after="0" w:line="240" w:lineRule="auto"/>
              <w:ind w:firstLine="450"/>
              <w:rPr>
                <w:rFonts w:ascii="Times New Roman" w:eastAsia="Times New Roman" w:hAnsi="Times New Roman"/>
                <w:sz w:val="28"/>
                <w:szCs w:val="28"/>
                <w:lang w:eastAsia="lv-LV"/>
              </w:rPr>
            </w:pPr>
            <w:r w:rsidRPr="00942390">
              <w:rPr>
                <w:rFonts w:ascii="Times New Roman" w:eastAsia="Times New Roman" w:hAnsi="Times New Roman"/>
                <w:color w:val="000000"/>
                <w:sz w:val="28"/>
                <w:szCs w:val="28"/>
                <w:lang w:eastAsia="lv-LV"/>
              </w:rPr>
              <w:t>Projekts šo jomu neskar.</w:t>
            </w:r>
          </w:p>
        </w:tc>
      </w:tr>
      <w:tr w:rsidR="00D40CFC" w:rsidRPr="00942390" w:rsidTr="00087656">
        <w:trPr>
          <w:trHeight w:val="357"/>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6.</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Administratīvo izmaksu monetārs novērtējums</w:t>
            </w:r>
          </w:p>
        </w:tc>
        <w:tc>
          <w:tcPr>
            <w:tcW w:w="5924" w:type="dxa"/>
          </w:tcPr>
          <w:p w:rsidR="00D40CFC" w:rsidRPr="00942390" w:rsidRDefault="00D40CFC" w:rsidP="0096683F">
            <w:pPr>
              <w:spacing w:after="0" w:line="240" w:lineRule="auto"/>
              <w:ind w:firstLine="450"/>
              <w:rPr>
                <w:rFonts w:ascii="Times New Roman" w:eastAsia="Times New Roman" w:hAnsi="Times New Roman"/>
                <w:sz w:val="28"/>
                <w:szCs w:val="28"/>
                <w:lang w:eastAsia="lv-LV"/>
              </w:rPr>
            </w:pPr>
            <w:r w:rsidRPr="00942390">
              <w:rPr>
                <w:rFonts w:ascii="Times New Roman" w:eastAsia="Times New Roman" w:hAnsi="Times New Roman"/>
                <w:color w:val="000000"/>
                <w:sz w:val="28"/>
                <w:szCs w:val="28"/>
                <w:lang w:eastAsia="lv-LV"/>
              </w:rPr>
              <w:t>Projekts šo jomu neskar.</w:t>
            </w:r>
          </w:p>
        </w:tc>
      </w:tr>
      <w:tr w:rsidR="00D40CFC" w:rsidRPr="00942390" w:rsidTr="00087656">
        <w:trPr>
          <w:trHeight w:val="489"/>
        </w:trPr>
        <w:tc>
          <w:tcPr>
            <w:tcW w:w="45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7.</w:t>
            </w:r>
          </w:p>
        </w:tc>
        <w:tc>
          <w:tcPr>
            <w:tcW w:w="2976" w:type="dxa"/>
          </w:tcPr>
          <w:p w:rsidR="00D40CFC" w:rsidRPr="00942390" w:rsidRDefault="00D40CFC" w:rsidP="0096683F">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Cita informācija</w:t>
            </w:r>
          </w:p>
        </w:tc>
        <w:tc>
          <w:tcPr>
            <w:tcW w:w="5924" w:type="dxa"/>
          </w:tcPr>
          <w:p w:rsidR="00D40CFC" w:rsidRPr="00942390" w:rsidRDefault="00D40CFC" w:rsidP="0096683F">
            <w:pPr>
              <w:spacing w:after="0" w:line="240" w:lineRule="auto"/>
              <w:ind w:firstLine="450"/>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Nav.</w:t>
            </w:r>
          </w:p>
        </w:tc>
      </w:tr>
    </w:tbl>
    <w:p w:rsidR="00830152" w:rsidRDefault="00830152" w:rsidP="00D40CFC">
      <w:pPr>
        <w:spacing w:after="0" w:line="240" w:lineRule="auto"/>
        <w:jc w:val="center"/>
        <w:rPr>
          <w:rFonts w:ascii="Times New Roman" w:hAnsi="Times New Roman"/>
          <w:b/>
          <w:sz w:val="28"/>
          <w:szCs w:val="28"/>
        </w:rPr>
      </w:pPr>
    </w:p>
    <w:p w:rsidR="006714A4" w:rsidRPr="00942390" w:rsidRDefault="006714A4" w:rsidP="00D40CFC">
      <w:pPr>
        <w:spacing w:after="0" w:line="240" w:lineRule="auto"/>
        <w:jc w:val="center"/>
        <w:rPr>
          <w:rFonts w:ascii="Times New Roman" w:hAnsi="Times New Roman"/>
          <w:b/>
          <w:sz w:val="28"/>
          <w:szCs w:val="28"/>
        </w:rPr>
      </w:pPr>
    </w:p>
    <w:p w:rsidR="00D40CFC" w:rsidRPr="00942390" w:rsidRDefault="00830152" w:rsidP="00D40CFC">
      <w:pPr>
        <w:spacing w:after="0" w:line="240" w:lineRule="auto"/>
        <w:jc w:val="center"/>
        <w:rPr>
          <w:rFonts w:ascii="Times New Roman" w:eastAsia="Arial Unicode MS" w:hAnsi="Times New Roman"/>
          <w:b/>
          <w:sz w:val="28"/>
          <w:szCs w:val="28"/>
        </w:rPr>
      </w:pPr>
      <w:r w:rsidRPr="00942390">
        <w:rPr>
          <w:rFonts w:ascii="Times New Roman" w:hAnsi="Times New Roman"/>
          <w:b/>
          <w:sz w:val="28"/>
          <w:szCs w:val="28"/>
        </w:rPr>
        <w:t>Anotācijas III.</w:t>
      </w:r>
      <w:r w:rsidR="00326739" w:rsidRPr="00942390">
        <w:rPr>
          <w:rFonts w:ascii="Times New Roman" w:hAnsi="Times New Roman"/>
          <w:b/>
          <w:sz w:val="28"/>
          <w:szCs w:val="28"/>
        </w:rPr>
        <w:t xml:space="preserve"> un</w:t>
      </w:r>
      <w:r w:rsidR="003F0121" w:rsidRPr="00942390">
        <w:rPr>
          <w:rFonts w:ascii="Times New Roman" w:hAnsi="Times New Roman"/>
          <w:b/>
          <w:sz w:val="28"/>
          <w:szCs w:val="28"/>
        </w:rPr>
        <w:t xml:space="preserve"> IV. </w:t>
      </w:r>
      <w:r w:rsidRPr="00942390">
        <w:rPr>
          <w:rFonts w:ascii="Times New Roman" w:hAnsi="Times New Roman"/>
          <w:b/>
          <w:sz w:val="28"/>
          <w:szCs w:val="28"/>
        </w:rPr>
        <w:t>sadaļa</w:t>
      </w:r>
      <w:r w:rsidR="003F0121" w:rsidRPr="00942390">
        <w:rPr>
          <w:rFonts w:ascii="Times New Roman" w:hAnsi="Times New Roman"/>
          <w:b/>
          <w:sz w:val="28"/>
          <w:szCs w:val="28"/>
        </w:rPr>
        <w:t>s</w:t>
      </w:r>
      <w:r w:rsidRPr="00942390">
        <w:rPr>
          <w:rFonts w:ascii="Times New Roman" w:hAnsi="Times New Roman"/>
          <w:b/>
          <w:sz w:val="28"/>
          <w:szCs w:val="28"/>
        </w:rPr>
        <w:t xml:space="preserve"> – projekts šo jomu neskar</w:t>
      </w:r>
    </w:p>
    <w:p w:rsidR="00830152" w:rsidRDefault="00830152" w:rsidP="00D40CFC">
      <w:pPr>
        <w:tabs>
          <w:tab w:val="left" w:pos="7655"/>
        </w:tabs>
        <w:spacing w:after="0" w:line="240" w:lineRule="auto"/>
        <w:jc w:val="both"/>
        <w:rPr>
          <w:rFonts w:ascii="Times New Roman" w:hAnsi="Times New Roman"/>
          <w:bCs/>
          <w:sz w:val="28"/>
          <w:szCs w:val="28"/>
        </w:rPr>
      </w:pPr>
    </w:p>
    <w:p w:rsidR="006714A4" w:rsidRPr="00942390" w:rsidRDefault="006714A4" w:rsidP="00D40CFC">
      <w:pPr>
        <w:tabs>
          <w:tab w:val="left" w:pos="7655"/>
        </w:tabs>
        <w:spacing w:after="0" w:line="240" w:lineRule="auto"/>
        <w:jc w:val="both"/>
        <w:rPr>
          <w:rFonts w:ascii="Times New Roman" w:hAnsi="Times New Roman"/>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71"/>
        <w:gridCol w:w="1734"/>
        <w:gridCol w:w="6816"/>
      </w:tblGrid>
      <w:tr w:rsidR="00326739" w:rsidRPr="00942390" w:rsidTr="00056FEB">
        <w:trPr>
          <w:tblCellSpacing w:w="15" w:type="dxa"/>
        </w:trPr>
        <w:tc>
          <w:tcPr>
            <w:tcW w:w="0" w:type="auto"/>
            <w:gridSpan w:val="3"/>
            <w:shd w:val="clear" w:color="auto" w:fill="auto"/>
            <w:hideMark/>
          </w:tcPr>
          <w:p w:rsidR="00326739" w:rsidRPr="00942390" w:rsidRDefault="00326739" w:rsidP="00056FEB">
            <w:pPr>
              <w:jc w:val="center"/>
              <w:rPr>
                <w:rFonts w:ascii="Times New Roman" w:eastAsia="Times New Roman" w:hAnsi="Times New Roman"/>
                <w:b/>
                <w:bCs/>
                <w:sz w:val="28"/>
                <w:szCs w:val="28"/>
                <w:lang w:eastAsia="lv-LV"/>
              </w:rPr>
            </w:pPr>
            <w:r w:rsidRPr="00942390">
              <w:rPr>
                <w:rFonts w:ascii="Times New Roman" w:eastAsia="Times New Roman" w:hAnsi="Times New Roman"/>
                <w:b/>
                <w:bCs/>
                <w:sz w:val="28"/>
                <w:szCs w:val="28"/>
                <w:lang w:eastAsia="lv-LV"/>
              </w:rPr>
              <w:t>V. Tiesību akta projekta atbilstība Latvijas Republikas starptautiskajām saistībām</w:t>
            </w:r>
          </w:p>
        </w:tc>
      </w:tr>
      <w:tr w:rsidR="00326739" w:rsidRPr="00942390" w:rsidTr="00326739">
        <w:trPr>
          <w:tblCellSpacing w:w="15" w:type="dxa"/>
        </w:trPr>
        <w:tc>
          <w:tcPr>
            <w:tcW w:w="0" w:type="auto"/>
            <w:shd w:val="clear" w:color="auto" w:fill="auto"/>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1.</w:t>
            </w:r>
          </w:p>
        </w:tc>
        <w:tc>
          <w:tcPr>
            <w:tcW w:w="936" w:type="pct"/>
            <w:shd w:val="clear" w:color="auto" w:fill="auto"/>
            <w:hideMark/>
          </w:tcPr>
          <w:p w:rsidR="00326739" w:rsidRPr="00942390" w:rsidRDefault="00326739"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Saistības pret Eiropas Savienību</w:t>
            </w:r>
          </w:p>
        </w:tc>
        <w:tc>
          <w:tcPr>
            <w:tcW w:w="3720" w:type="pct"/>
            <w:shd w:val="clear" w:color="auto" w:fill="auto"/>
            <w:hideMark/>
          </w:tcPr>
          <w:p w:rsidR="00326739" w:rsidRPr="00942390" w:rsidRDefault="00326739" w:rsidP="00056FEB">
            <w:pPr>
              <w:pStyle w:val="naiskr"/>
              <w:spacing w:before="0" w:after="0"/>
              <w:jc w:val="both"/>
              <w:rPr>
                <w:sz w:val="28"/>
                <w:szCs w:val="28"/>
              </w:rPr>
            </w:pPr>
            <w:r w:rsidRPr="00942390">
              <w:rPr>
                <w:sz w:val="28"/>
                <w:szCs w:val="28"/>
              </w:rPr>
              <w:t>Komisijas 2008.gada 6.augusta Regula (EK) Nr.800/2008, kas atzīst noteiktas atbalsta kategorijas par saderīgām ar kopējo tirgu, piemērojot Līguma 87. un 88.pantu (vispārējā grupu atbrīvojuma regula) (turpmāk – Komisijas Regula Nr.800/2008);</w:t>
            </w:r>
          </w:p>
        </w:tc>
      </w:tr>
      <w:tr w:rsidR="00326739" w:rsidRPr="00942390" w:rsidTr="00326739">
        <w:trPr>
          <w:tblCellSpacing w:w="15" w:type="dxa"/>
        </w:trPr>
        <w:tc>
          <w:tcPr>
            <w:tcW w:w="0" w:type="auto"/>
            <w:shd w:val="clear" w:color="auto" w:fill="auto"/>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2.</w:t>
            </w:r>
          </w:p>
        </w:tc>
        <w:tc>
          <w:tcPr>
            <w:tcW w:w="936" w:type="pct"/>
            <w:shd w:val="clear" w:color="auto" w:fill="auto"/>
            <w:hideMark/>
          </w:tcPr>
          <w:p w:rsidR="00326739" w:rsidRPr="00942390" w:rsidRDefault="00326739"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Citas starptautiskās saistības</w:t>
            </w:r>
          </w:p>
        </w:tc>
        <w:tc>
          <w:tcPr>
            <w:tcW w:w="3720" w:type="pct"/>
            <w:shd w:val="clear" w:color="auto" w:fill="auto"/>
            <w:hideMark/>
          </w:tcPr>
          <w:p w:rsidR="00326739" w:rsidRPr="00942390" w:rsidRDefault="00326739"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Noteikumu projekts šo jomu neskar.</w:t>
            </w:r>
          </w:p>
        </w:tc>
      </w:tr>
      <w:tr w:rsidR="00326739" w:rsidRPr="00942390" w:rsidTr="00326739">
        <w:trPr>
          <w:tblCellSpacing w:w="15" w:type="dxa"/>
        </w:trPr>
        <w:tc>
          <w:tcPr>
            <w:tcW w:w="0" w:type="auto"/>
            <w:shd w:val="clear" w:color="auto" w:fill="auto"/>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3.</w:t>
            </w:r>
          </w:p>
        </w:tc>
        <w:tc>
          <w:tcPr>
            <w:tcW w:w="936" w:type="pct"/>
            <w:shd w:val="clear" w:color="auto" w:fill="auto"/>
            <w:hideMark/>
          </w:tcPr>
          <w:p w:rsidR="00326739" w:rsidRPr="00942390" w:rsidRDefault="00326739"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Cita informācija</w:t>
            </w:r>
          </w:p>
        </w:tc>
        <w:tc>
          <w:tcPr>
            <w:tcW w:w="3720" w:type="pct"/>
            <w:shd w:val="clear" w:color="auto" w:fill="auto"/>
            <w:hideMark/>
          </w:tcPr>
          <w:p w:rsidR="00326739" w:rsidRPr="00942390" w:rsidRDefault="00326739" w:rsidP="00056FEB">
            <w:pPr>
              <w:jc w:val="both"/>
              <w:rPr>
                <w:rFonts w:ascii="Times New Roman" w:eastAsia="Times New Roman" w:hAnsi="Times New Roman"/>
                <w:sz w:val="28"/>
                <w:szCs w:val="28"/>
                <w:lang w:eastAsia="lv-LV"/>
              </w:rPr>
            </w:pPr>
          </w:p>
        </w:tc>
      </w:tr>
    </w:tbl>
    <w:p w:rsidR="00326739" w:rsidRDefault="00326739" w:rsidP="00326739">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 </w:t>
      </w:r>
    </w:p>
    <w:p w:rsidR="006714A4" w:rsidRDefault="006714A4" w:rsidP="00326739">
      <w:pPr>
        <w:rPr>
          <w:rFonts w:ascii="Times New Roman" w:eastAsia="Times New Roman" w:hAnsi="Times New Roman"/>
          <w:sz w:val="28"/>
          <w:szCs w:val="28"/>
          <w:lang w:eastAsia="lv-LV"/>
        </w:rPr>
      </w:pPr>
    </w:p>
    <w:p w:rsidR="006714A4" w:rsidRDefault="006714A4" w:rsidP="00326739">
      <w:pPr>
        <w:rPr>
          <w:rFonts w:ascii="Times New Roman" w:eastAsia="Times New Roman" w:hAnsi="Times New Roman"/>
          <w:sz w:val="28"/>
          <w:szCs w:val="28"/>
          <w:lang w:eastAsia="lv-LV"/>
        </w:rPr>
      </w:pPr>
    </w:p>
    <w:p w:rsidR="006714A4" w:rsidRDefault="006714A4" w:rsidP="00326739">
      <w:pPr>
        <w:rPr>
          <w:rFonts w:ascii="Times New Roman" w:eastAsia="Times New Roman" w:hAnsi="Times New Roman"/>
          <w:sz w:val="28"/>
          <w:szCs w:val="28"/>
          <w:lang w:eastAsia="lv-LV"/>
        </w:rPr>
      </w:pPr>
    </w:p>
    <w:p w:rsidR="006714A4" w:rsidRPr="00942390" w:rsidRDefault="006714A4" w:rsidP="00326739">
      <w:pPr>
        <w:rPr>
          <w:rFonts w:ascii="Times New Roman" w:eastAsia="Times New Roman" w:hAnsi="Times New Roman"/>
          <w:sz w:val="28"/>
          <w:szCs w:val="28"/>
          <w:lang w:eastAsia="lv-LV"/>
        </w:rPr>
      </w:pPr>
    </w:p>
    <w:tbl>
      <w:tblPr>
        <w:tblW w:w="0" w:type="auto"/>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6"/>
        <w:gridCol w:w="1291"/>
        <w:gridCol w:w="61"/>
        <w:gridCol w:w="2521"/>
        <w:gridCol w:w="3714"/>
      </w:tblGrid>
      <w:tr w:rsidR="00326739" w:rsidRPr="00942390" w:rsidTr="00BC17A3">
        <w:trPr>
          <w:tblCellSpacing w:w="15" w:type="dxa"/>
        </w:trPr>
        <w:tc>
          <w:tcPr>
            <w:tcW w:w="920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jc w:val="center"/>
              <w:rPr>
                <w:rFonts w:ascii="Times New Roman" w:eastAsia="Times New Roman" w:hAnsi="Times New Roman"/>
                <w:b/>
                <w:bCs/>
                <w:sz w:val="28"/>
                <w:szCs w:val="28"/>
                <w:lang w:eastAsia="lv-LV"/>
              </w:rPr>
            </w:pPr>
            <w:r w:rsidRPr="00942390">
              <w:rPr>
                <w:rFonts w:ascii="Times New Roman" w:eastAsia="Times New Roman" w:hAnsi="Times New Roman"/>
                <w:b/>
                <w:bCs/>
                <w:sz w:val="28"/>
                <w:szCs w:val="28"/>
                <w:lang w:eastAsia="lv-LV"/>
              </w:rPr>
              <w:t>1.tabula</w:t>
            </w:r>
            <w:r w:rsidRPr="00942390">
              <w:rPr>
                <w:rFonts w:ascii="Times New Roman" w:eastAsia="Times New Roman" w:hAnsi="Times New Roman"/>
                <w:b/>
                <w:bCs/>
                <w:sz w:val="28"/>
                <w:szCs w:val="28"/>
                <w:lang w:eastAsia="lv-LV"/>
              </w:rPr>
              <w:br/>
              <w:t>Tiesību akta projekta atbilstība ES tiesību aktiem</w:t>
            </w:r>
          </w:p>
        </w:tc>
      </w:tr>
      <w:tr w:rsidR="00326739" w:rsidRPr="00942390" w:rsidTr="00BC17A3">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Attiecīgā ES tiesību akta datums, numurs un nosaukums</w:t>
            </w:r>
          </w:p>
        </w:tc>
        <w:tc>
          <w:tcPr>
            <w:tcW w:w="75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pStyle w:val="naiskr"/>
              <w:spacing w:before="0" w:after="0"/>
              <w:jc w:val="both"/>
              <w:rPr>
                <w:sz w:val="28"/>
                <w:szCs w:val="28"/>
              </w:rPr>
            </w:pPr>
            <w:r w:rsidRPr="00942390">
              <w:rPr>
                <w:sz w:val="28"/>
                <w:szCs w:val="28"/>
              </w:rPr>
              <w:t>Komisijas 2008.gada 6.augusta Regula (EK) Nr.800/2008, kas atzīst noteiktas atbalsta kategorijas par saderīgām ar kopējo tirgu, piemērojot Līguma 87. un 88.pantu (vispārējā grupu atbrīvojuma regula) (turpmāk – Komisijas Regula Nr.800/2008);</w:t>
            </w:r>
          </w:p>
        </w:tc>
      </w:tr>
      <w:tr w:rsidR="00326739" w:rsidRPr="00942390" w:rsidTr="00BC17A3">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jc w:val="cente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A</w:t>
            </w:r>
          </w:p>
        </w:tc>
        <w:tc>
          <w:tcPr>
            <w:tcW w:w="12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jc w:val="cente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B</w:t>
            </w:r>
          </w:p>
        </w:tc>
        <w:tc>
          <w:tcPr>
            <w:tcW w:w="25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jc w:val="cente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C</w:t>
            </w:r>
          </w:p>
        </w:tc>
        <w:tc>
          <w:tcPr>
            <w:tcW w:w="36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326739" w:rsidP="00056FEB">
            <w:pPr>
              <w:jc w:val="cente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D</w:t>
            </w:r>
          </w:p>
        </w:tc>
      </w:tr>
      <w:tr w:rsidR="00326739" w:rsidRPr="00942390" w:rsidTr="00BC17A3">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hideMark/>
          </w:tcPr>
          <w:p w:rsidR="00326739" w:rsidRPr="00942390" w:rsidRDefault="00326739" w:rsidP="00056FEB">
            <w:pPr>
              <w:pStyle w:val="naiskr"/>
              <w:spacing w:before="0" w:after="0"/>
              <w:jc w:val="both"/>
              <w:rPr>
                <w:sz w:val="28"/>
                <w:szCs w:val="28"/>
              </w:rPr>
            </w:pPr>
            <w:r w:rsidRPr="00942390">
              <w:rPr>
                <w:sz w:val="28"/>
                <w:szCs w:val="28"/>
              </w:rPr>
              <w:t xml:space="preserve">Attiecīgā ES tiesību akta panta numurs (uzskaitot katru tiesību akta </w:t>
            </w:r>
            <w:r w:rsidRPr="00942390">
              <w:rPr>
                <w:sz w:val="28"/>
                <w:szCs w:val="28"/>
              </w:rPr>
              <w:br/>
              <w:t>vienību – pantu, daļu, punktu, apakšpunktu)</w:t>
            </w:r>
          </w:p>
        </w:tc>
        <w:tc>
          <w:tcPr>
            <w:tcW w:w="1261" w:type="dxa"/>
            <w:tcBorders>
              <w:top w:val="outset" w:sz="6" w:space="0" w:color="auto"/>
              <w:left w:val="outset" w:sz="6" w:space="0" w:color="auto"/>
              <w:bottom w:val="outset" w:sz="6" w:space="0" w:color="auto"/>
              <w:right w:val="outset" w:sz="6" w:space="0" w:color="auto"/>
            </w:tcBorders>
            <w:shd w:val="clear" w:color="auto" w:fill="auto"/>
            <w:hideMark/>
          </w:tcPr>
          <w:p w:rsidR="00326739" w:rsidRPr="00942390" w:rsidRDefault="00326739" w:rsidP="00056FEB">
            <w:pPr>
              <w:pStyle w:val="naiskr"/>
              <w:spacing w:before="0" w:after="0"/>
              <w:jc w:val="both"/>
              <w:rPr>
                <w:sz w:val="28"/>
                <w:szCs w:val="28"/>
              </w:rPr>
            </w:pPr>
            <w:r w:rsidRPr="00942390">
              <w:rPr>
                <w:sz w:val="28"/>
                <w:szCs w:val="28"/>
              </w:rPr>
              <w:t>Projekta vienība, kas pārņem vai ievieš katru šīs tabulas A ailē minēto ES tiesību akta vienību</w:t>
            </w:r>
          </w:p>
        </w:tc>
        <w:tc>
          <w:tcPr>
            <w:tcW w:w="2552" w:type="dxa"/>
            <w:gridSpan w:val="2"/>
            <w:tcBorders>
              <w:top w:val="outset" w:sz="6" w:space="0" w:color="auto"/>
              <w:left w:val="outset" w:sz="6" w:space="0" w:color="auto"/>
              <w:bottom w:val="outset" w:sz="6" w:space="0" w:color="auto"/>
              <w:right w:val="outset" w:sz="6" w:space="0" w:color="auto"/>
            </w:tcBorders>
            <w:shd w:val="clear" w:color="auto" w:fill="auto"/>
            <w:hideMark/>
          </w:tcPr>
          <w:p w:rsidR="00326739" w:rsidRPr="00942390" w:rsidRDefault="00326739" w:rsidP="00056FEB">
            <w:pPr>
              <w:pStyle w:val="naiskr"/>
              <w:spacing w:before="0" w:after="0"/>
              <w:jc w:val="both"/>
              <w:rPr>
                <w:sz w:val="28"/>
                <w:szCs w:val="28"/>
              </w:rPr>
            </w:pPr>
            <w:r w:rsidRPr="00942390">
              <w:rPr>
                <w:sz w:val="28"/>
                <w:szCs w:val="28"/>
              </w:rPr>
              <w:t>Informācija par to, vai šīs tabulas A ailē minētās ES tiesību akta vienības tiek pārņemtas vai ieviestas pilnībā vai daļēji.</w:t>
            </w:r>
          </w:p>
          <w:p w:rsidR="00326739" w:rsidRPr="00942390" w:rsidRDefault="00326739" w:rsidP="00056FEB">
            <w:pPr>
              <w:pStyle w:val="naiskr"/>
              <w:spacing w:before="0" w:after="0"/>
              <w:jc w:val="both"/>
              <w:rPr>
                <w:sz w:val="28"/>
                <w:szCs w:val="28"/>
              </w:rPr>
            </w:pPr>
            <w:r w:rsidRPr="00942390">
              <w:rPr>
                <w:sz w:val="28"/>
                <w:szCs w:val="28"/>
              </w:rPr>
              <w:t>Ja attiecīgā ES tiesību akta vienība tiek pārņemta vai ieviesta daļēji, – sniedz attiecīgu skaidrojumu, kā arī precīzi norāda, kad un kādā veidā ES tiesību akta vienība tiks pārņemta vai ieviesta pilnībā.</w:t>
            </w:r>
          </w:p>
          <w:p w:rsidR="00326739" w:rsidRPr="00942390" w:rsidRDefault="00326739" w:rsidP="00056FEB">
            <w:pPr>
              <w:pStyle w:val="naiskr"/>
              <w:spacing w:before="0" w:after="0"/>
              <w:jc w:val="both"/>
              <w:rPr>
                <w:sz w:val="28"/>
                <w:szCs w:val="28"/>
              </w:rPr>
            </w:pPr>
            <w:r w:rsidRPr="00942390">
              <w:rPr>
                <w:sz w:val="28"/>
                <w:szCs w:val="28"/>
              </w:rPr>
              <w:t>Norāda institūciju, kas ir atbildīga par šo saistību izpildi pilnībā</w:t>
            </w:r>
          </w:p>
        </w:tc>
        <w:tc>
          <w:tcPr>
            <w:tcW w:w="3669" w:type="dxa"/>
            <w:tcBorders>
              <w:top w:val="outset" w:sz="6" w:space="0" w:color="auto"/>
              <w:left w:val="outset" w:sz="6" w:space="0" w:color="auto"/>
              <w:bottom w:val="outset" w:sz="6" w:space="0" w:color="auto"/>
              <w:right w:val="outset" w:sz="6" w:space="0" w:color="auto"/>
            </w:tcBorders>
            <w:shd w:val="clear" w:color="auto" w:fill="auto"/>
            <w:hideMark/>
          </w:tcPr>
          <w:p w:rsidR="00326739" w:rsidRPr="00942390" w:rsidRDefault="00326739" w:rsidP="00056FEB">
            <w:pPr>
              <w:pStyle w:val="naiskr"/>
              <w:spacing w:before="0" w:after="0"/>
              <w:jc w:val="both"/>
              <w:rPr>
                <w:sz w:val="28"/>
                <w:szCs w:val="28"/>
              </w:rPr>
            </w:pPr>
            <w:r w:rsidRPr="00942390">
              <w:rPr>
                <w:sz w:val="28"/>
                <w:szCs w:val="28"/>
              </w:rPr>
              <w:t>Informācija par to, vai šīs tabulas B ailē minētās projekta vienības paredz stingrākas prasības nekā šīs tabulas A ailē minētās ES tiesību akta vienības.</w:t>
            </w:r>
          </w:p>
          <w:p w:rsidR="00326739" w:rsidRPr="00942390" w:rsidRDefault="00326739" w:rsidP="00056FEB">
            <w:pPr>
              <w:pStyle w:val="naiskr"/>
              <w:spacing w:before="0" w:after="0"/>
              <w:jc w:val="both"/>
              <w:rPr>
                <w:sz w:val="28"/>
                <w:szCs w:val="28"/>
              </w:rPr>
            </w:pPr>
            <w:r w:rsidRPr="00942390">
              <w:rPr>
                <w:sz w:val="28"/>
                <w:szCs w:val="28"/>
              </w:rPr>
              <w:t xml:space="preserve">Ja projekts satur stingrākas prasības nekā attiecīgais ES tiesību </w:t>
            </w:r>
            <w:smartTag w:uri="schemas-tilde-lv/tildestengine" w:element="veidnes">
              <w:smartTagPr>
                <w:attr w:name="text" w:val="akts"/>
                <w:attr w:name="baseform" w:val="akts"/>
                <w:attr w:name="id" w:val="-1"/>
              </w:smartTagPr>
              <w:r w:rsidRPr="00942390">
                <w:rPr>
                  <w:sz w:val="28"/>
                  <w:szCs w:val="28"/>
                </w:rPr>
                <w:t>akts</w:t>
              </w:r>
            </w:smartTag>
            <w:r w:rsidRPr="00942390">
              <w:rPr>
                <w:sz w:val="28"/>
                <w:szCs w:val="28"/>
              </w:rPr>
              <w:t>, – norāda pamatojumu un samērīgumu.</w:t>
            </w:r>
          </w:p>
          <w:p w:rsidR="00326739" w:rsidRPr="00942390" w:rsidRDefault="00326739" w:rsidP="00056FEB">
            <w:pPr>
              <w:pStyle w:val="naiskr"/>
              <w:spacing w:before="0" w:after="0"/>
              <w:jc w:val="both"/>
              <w:rPr>
                <w:sz w:val="28"/>
                <w:szCs w:val="28"/>
              </w:rPr>
            </w:pPr>
            <w:r w:rsidRPr="00942390">
              <w:rPr>
                <w:sz w:val="28"/>
                <w:szCs w:val="28"/>
              </w:rPr>
              <w:t>Norāda iespējamās alternatīvas (</w:t>
            </w:r>
            <w:proofErr w:type="spellStart"/>
            <w:r w:rsidRPr="00942390">
              <w:rPr>
                <w:sz w:val="28"/>
                <w:szCs w:val="28"/>
              </w:rPr>
              <w:t>t.sk</w:t>
            </w:r>
            <w:proofErr w:type="spellEnd"/>
            <w:r w:rsidRPr="00942390">
              <w:rPr>
                <w:sz w:val="28"/>
                <w:szCs w:val="28"/>
              </w:rPr>
              <w:t>. alternatīvas, kas neparedz tiesiskā regulējuma izstrādi) – kādos gadījumos būtu iespējams izvairīties no stingrāku prasību noteikšanas, nekā paredzēts attiecīgajos ES tiesību aktos.</w:t>
            </w:r>
          </w:p>
        </w:tc>
      </w:tr>
      <w:tr w:rsidR="00326739" w:rsidRPr="00942390" w:rsidTr="00BC17A3">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C344F3" w:rsidP="00BC17A3">
            <w:pPr>
              <w:pStyle w:val="naiskr"/>
              <w:spacing w:before="0" w:after="0"/>
              <w:jc w:val="both"/>
              <w:rPr>
                <w:i/>
              </w:rPr>
            </w:pPr>
            <w:r w:rsidRPr="00942390">
              <w:rPr>
                <w:i/>
              </w:rPr>
              <w:t xml:space="preserve">Komisijas Regulas Nr.800/2008 31.panta </w:t>
            </w:r>
            <w:r w:rsidRPr="00942390">
              <w:rPr>
                <w:i/>
              </w:rPr>
              <w:lastRenderedPageBreak/>
              <w:t>4.punkta (b) apakšpunkta (</w:t>
            </w:r>
            <w:proofErr w:type="spellStart"/>
            <w:r w:rsidRPr="00942390">
              <w:rPr>
                <w:i/>
              </w:rPr>
              <w:t>iii</w:t>
            </w:r>
            <w:proofErr w:type="spellEnd"/>
            <w:r w:rsidRPr="00942390">
              <w:rPr>
                <w:i/>
              </w:rPr>
              <w:t>) uzskaitījums</w:t>
            </w:r>
          </w:p>
        </w:tc>
        <w:tc>
          <w:tcPr>
            <w:tcW w:w="12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C344F3" w:rsidP="00BC17A3">
            <w:pPr>
              <w:pStyle w:val="naiskr"/>
              <w:spacing w:before="0" w:after="0"/>
              <w:jc w:val="both"/>
              <w:rPr>
                <w:i/>
              </w:rPr>
            </w:pPr>
            <w:r w:rsidRPr="00942390">
              <w:rPr>
                <w:b/>
                <w:i/>
              </w:rPr>
              <w:lastRenderedPageBreak/>
              <w:t xml:space="preserve">Noteikumu projekta </w:t>
            </w:r>
            <w:r w:rsidR="0064553C" w:rsidRPr="00942390">
              <w:rPr>
                <w:b/>
                <w:i/>
              </w:rPr>
              <w:t>6</w:t>
            </w:r>
            <w:r w:rsidRPr="00942390">
              <w:rPr>
                <w:b/>
                <w:i/>
              </w:rPr>
              <w:t xml:space="preserve">.punkts </w:t>
            </w:r>
          </w:p>
        </w:tc>
        <w:tc>
          <w:tcPr>
            <w:tcW w:w="25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C344F3" w:rsidP="00056FEB">
            <w:pPr>
              <w:pStyle w:val="naiskr"/>
              <w:spacing w:before="0" w:after="0"/>
              <w:jc w:val="both"/>
              <w:rPr>
                <w:i/>
              </w:rPr>
            </w:pPr>
            <w:r w:rsidRPr="00942390">
              <w:rPr>
                <w:i/>
              </w:rPr>
              <w:t>ieviesta pilnībā</w:t>
            </w:r>
          </w:p>
        </w:tc>
        <w:tc>
          <w:tcPr>
            <w:tcW w:w="36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739" w:rsidRPr="00942390" w:rsidRDefault="00C344F3" w:rsidP="00056FEB">
            <w:pPr>
              <w:pStyle w:val="naiskr"/>
              <w:spacing w:before="0" w:after="0"/>
              <w:jc w:val="both"/>
              <w:rPr>
                <w:i/>
              </w:rPr>
            </w:pPr>
            <w:r w:rsidRPr="00942390">
              <w:rPr>
                <w:i/>
              </w:rPr>
              <w:t>neparedz stingrākas prasības</w:t>
            </w:r>
          </w:p>
        </w:tc>
      </w:tr>
      <w:tr w:rsidR="0064553C" w:rsidRPr="00942390" w:rsidTr="00BC17A3">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1F6" w:rsidRPr="00942390" w:rsidRDefault="001C036D" w:rsidP="004C61F6">
            <w:pPr>
              <w:pStyle w:val="naiskr"/>
              <w:spacing w:after="0"/>
              <w:jc w:val="both"/>
              <w:rPr>
                <w:b/>
                <w:i/>
              </w:rPr>
            </w:pPr>
            <w:r w:rsidRPr="00942390">
              <w:rPr>
                <w:b/>
                <w:i/>
              </w:rPr>
              <w:lastRenderedPageBreak/>
              <w:t>Komisijas Regulas Nr.800/2008 1.panta 7.punkta (a) apakšpunkts un 7.punkta pēdējā rindkopa;</w:t>
            </w:r>
          </w:p>
          <w:p w:rsidR="0064553C" w:rsidRPr="00942390" w:rsidRDefault="001C036D" w:rsidP="004C61F6">
            <w:pPr>
              <w:pStyle w:val="naiskr"/>
              <w:spacing w:before="0" w:after="0"/>
              <w:jc w:val="both"/>
              <w:rPr>
                <w:b/>
                <w:i/>
              </w:rPr>
            </w:pPr>
            <w:r w:rsidRPr="00942390">
              <w:rPr>
                <w:b/>
                <w:i/>
              </w:rPr>
              <w:t>Komisijas paziņojums Kopienas pamatnostādnes par valsts atbalstu grūtībās nonākušu uzņēmumu glābšanai un pārstrukturēšanai – 10.punkta (a) un (c) apakšpunkti un 12.punkts;</w:t>
            </w:r>
          </w:p>
        </w:tc>
        <w:tc>
          <w:tcPr>
            <w:tcW w:w="12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53C" w:rsidRPr="00942390" w:rsidRDefault="001C036D" w:rsidP="00BC17A3">
            <w:pPr>
              <w:pStyle w:val="naiskr"/>
              <w:spacing w:before="0" w:after="0"/>
              <w:jc w:val="both"/>
              <w:rPr>
                <w:b/>
                <w:i/>
              </w:rPr>
            </w:pPr>
            <w:r w:rsidRPr="00942390">
              <w:rPr>
                <w:b/>
                <w:i/>
              </w:rPr>
              <w:t>Noteikumu projekta 1.punkts (15.4.apakšpunkts)</w:t>
            </w:r>
          </w:p>
        </w:tc>
        <w:tc>
          <w:tcPr>
            <w:tcW w:w="25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53C" w:rsidRPr="00942390" w:rsidRDefault="001C036D" w:rsidP="00056FEB">
            <w:pPr>
              <w:pStyle w:val="naiskr"/>
              <w:spacing w:before="0" w:after="0"/>
              <w:jc w:val="both"/>
              <w:rPr>
                <w:b/>
                <w:i/>
              </w:rPr>
            </w:pPr>
            <w:r w:rsidRPr="00942390">
              <w:rPr>
                <w:b/>
                <w:i/>
              </w:rPr>
              <w:t>ieviesta pilnībā</w:t>
            </w:r>
          </w:p>
        </w:tc>
        <w:tc>
          <w:tcPr>
            <w:tcW w:w="36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53C" w:rsidRPr="00942390" w:rsidRDefault="001C036D" w:rsidP="00056FEB">
            <w:pPr>
              <w:pStyle w:val="naiskr"/>
              <w:spacing w:before="0" w:after="0"/>
              <w:jc w:val="both"/>
              <w:rPr>
                <w:b/>
                <w:i/>
              </w:rPr>
            </w:pPr>
            <w:r w:rsidRPr="00942390">
              <w:rPr>
                <w:b/>
                <w:i/>
              </w:rPr>
              <w:t>neparedz stingrākas prasības</w:t>
            </w:r>
          </w:p>
        </w:tc>
      </w:tr>
      <w:tr w:rsidR="0064553C" w:rsidRPr="00942390" w:rsidTr="00BC17A3">
        <w:trPr>
          <w:tblCellSpacing w:w="15" w:type="dxa"/>
        </w:trPr>
        <w:tc>
          <w:tcPr>
            <w:tcW w:w="298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4553C" w:rsidRPr="00942390" w:rsidRDefault="0064553C"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Kā ir izmantota ES tiesību aktā paredzētā rīcības brīvība dalībvalstij pārņemt vai ieviest noteiktas ES tiesību akta normas.</w:t>
            </w:r>
          </w:p>
        </w:tc>
        <w:tc>
          <w:tcPr>
            <w:tcW w:w="6190" w:type="dxa"/>
            <w:gridSpan w:val="2"/>
            <w:tcBorders>
              <w:top w:val="outset" w:sz="6" w:space="0" w:color="auto"/>
              <w:left w:val="outset" w:sz="6" w:space="0" w:color="auto"/>
              <w:bottom w:val="outset" w:sz="6" w:space="0" w:color="auto"/>
              <w:right w:val="outset" w:sz="6" w:space="0" w:color="auto"/>
            </w:tcBorders>
            <w:shd w:val="clear" w:color="auto" w:fill="auto"/>
            <w:hideMark/>
          </w:tcPr>
          <w:p w:rsidR="0064553C" w:rsidRPr="00942390" w:rsidRDefault="0064553C"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Nav attiecināms.</w:t>
            </w:r>
          </w:p>
        </w:tc>
      </w:tr>
      <w:tr w:rsidR="0064553C" w:rsidRPr="00942390" w:rsidTr="00BC17A3">
        <w:trPr>
          <w:tblCellSpacing w:w="15" w:type="dxa"/>
        </w:trPr>
        <w:tc>
          <w:tcPr>
            <w:tcW w:w="298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4553C" w:rsidRPr="00942390" w:rsidRDefault="0064553C"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 xml:space="preserve">Saistības sniegt paziņojumu ES institūcijām un ES dalībvalstīm atbilstoši normatīvajiem aktiem, kas regulē informācijas sniegšanu par tehnisko </w:t>
            </w:r>
            <w:r w:rsidRPr="00942390">
              <w:rPr>
                <w:rFonts w:ascii="Times New Roman" w:eastAsia="Times New Roman" w:hAnsi="Times New Roman"/>
                <w:sz w:val="28"/>
                <w:szCs w:val="28"/>
                <w:lang w:eastAsia="lv-LV"/>
              </w:rPr>
              <w:lastRenderedPageBreak/>
              <w:t>noteikumu, valsts atbalsta piešķiršanas un finanšu noteikumu (attiecībā uz monetāro politiku) projektiem</w:t>
            </w:r>
          </w:p>
        </w:tc>
        <w:tc>
          <w:tcPr>
            <w:tcW w:w="6190" w:type="dxa"/>
            <w:gridSpan w:val="2"/>
            <w:tcBorders>
              <w:top w:val="outset" w:sz="6" w:space="0" w:color="auto"/>
              <w:left w:val="outset" w:sz="6" w:space="0" w:color="auto"/>
              <w:bottom w:val="outset" w:sz="6" w:space="0" w:color="auto"/>
              <w:right w:val="outset" w:sz="6" w:space="0" w:color="auto"/>
            </w:tcBorders>
            <w:shd w:val="clear" w:color="auto" w:fill="auto"/>
            <w:hideMark/>
          </w:tcPr>
          <w:p w:rsidR="0064553C" w:rsidRPr="00942390" w:rsidRDefault="0064553C" w:rsidP="00056FEB">
            <w:pPr>
              <w:jc w:val="both"/>
              <w:rPr>
                <w:rFonts w:ascii="Times New Roman" w:eastAsia="Times New Roman" w:hAnsi="Times New Roman"/>
                <w:b/>
                <w:sz w:val="28"/>
                <w:szCs w:val="28"/>
                <w:lang w:eastAsia="lv-LV"/>
              </w:rPr>
            </w:pPr>
            <w:r w:rsidRPr="00942390">
              <w:rPr>
                <w:rFonts w:ascii="Times New Roman" w:eastAsia="Times New Roman" w:hAnsi="Times New Roman"/>
                <w:b/>
                <w:sz w:val="28"/>
                <w:szCs w:val="28"/>
                <w:lang w:eastAsia="lv-LV"/>
              </w:rPr>
              <w:lastRenderedPageBreak/>
              <w:t>Par atbalsta programmas grozījumiem saskaņā ar Komisijas Regulas Nr.800/2008 9.panta 1.punktu EK ir jānosūta kopsavilkuma informācija 20 darbdienu laikā pēc MK noteikumu (grozījumu) spēkā stāšanās.</w:t>
            </w:r>
          </w:p>
        </w:tc>
      </w:tr>
      <w:tr w:rsidR="0064553C" w:rsidRPr="00942390" w:rsidTr="00BC17A3">
        <w:trPr>
          <w:tblCellSpacing w:w="15" w:type="dxa"/>
        </w:trPr>
        <w:tc>
          <w:tcPr>
            <w:tcW w:w="2983" w:type="dxa"/>
            <w:gridSpan w:val="3"/>
            <w:tcBorders>
              <w:top w:val="outset" w:sz="6" w:space="0" w:color="auto"/>
              <w:left w:val="outset" w:sz="6" w:space="0" w:color="auto"/>
              <w:bottom w:val="outset" w:sz="6" w:space="0" w:color="auto"/>
              <w:right w:val="outset" w:sz="6" w:space="0" w:color="auto"/>
            </w:tcBorders>
            <w:shd w:val="clear" w:color="auto" w:fill="auto"/>
            <w:hideMark/>
          </w:tcPr>
          <w:p w:rsidR="0064553C" w:rsidRPr="00942390" w:rsidRDefault="0064553C"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lastRenderedPageBreak/>
              <w:t>Cita informācija</w:t>
            </w:r>
          </w:p>
        </w:tc>
        <w:tc>
          <w:tcPr>
            <w:tcW w:w="6190" w:type="dxa"/>
            <w:gridSpan w:val="2"/>
            <w:tcBorders>
              <w:top w:val="outset" w:sz="6" w:space="0" w:color="auto"/>
              <w:left w:val="outset" w:sz="6" w:space="0" w:color="auto"/>
              <w:bottom w:val="outset" w:sz="6" w:space="0" w:color="auto"/>
              <w:right w:val="outset" w:sz="6" w:space="0" w:color="auto"/>
            </w:tcBorders>
            <w:shd w:val="clear" w:color="auto" w:fill="auto"/>
            <w:hideMark/>
          </w:tcPr>
          <w:p w:rsidR="0064553C" w:rsidRPr="00942390" w:rsidRDefault="0064553C" w:rsidP="00056FEB">
            <w:pPr>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Nav</w:t>
            </w:r>
          </w:p>
        </w:tc>
      </w:tr>
    </w:tbl>
    <w:p w:rsidR="00326739" w:rsidRDefault="00326739" w:rsidP="00326739">
      <w:pPr>
        <w:tabs>
          <w:tab w:val="left" w:pos="7655"/>
        </w:tabs>
        <w:jc w:val="both"/>
        <w:rPr>
          <w:rFonts w:ascii="Times New Roman" w:hAnsi="Times New Roman"/>
          <w:bCs/>
          <w:sz w:val="28"/>
          <w:szCs w:val="28"/>
        </w:rPr>
      </w:pPr>
      <w:r w:rsidRPr="00942390">
        <w:rPr>
          <w:rFonts w:ascii="Times New Roman" w:hAnsi="Times New Roman"/>
          <w:bCs/>
          <w:sz w:val="28"/>
          <w:szCs w:val="28"/>
        </w:rPr>
        <w:t xml:space="preserve"> </w:t>
      </w:r>
    </w:p>
    <w:p w:rsidR="006714A4" w:rsidRPr="00942390" w:rsidRDefault="006714A4" w:rsidP="00326739">
      <w:pPr>
        <w:tabs>
          <w:tab w:val="left" w:pos="7655"/>
        </w:tabs>
        <w:jc w:val="both"/>
        <w:rPr>
          <w:rFonts w:ascii="Times New Roman" w:hAnsi="Times New Roman"/>
          <w:bCs/>
          <w:sz w:val="28"/>
          <w:szCs w:val="28"/>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7"/>
        <w:gridCol w:w="4536"/>
      </w:tblGrid>
      <w:tr w:rsidR="00326739" w:rsidRPr="00942390" w:rsidTr="00056FEB">
        <w:tc>
          <w:tcPr>
            <w:tcW w:w="9214" w:type="dxa"/>
            <w:gridSpan w:val="3"/>
          </w:tcPr>
          <w:p w:rsidR="00326739" w:rsidRPr="00942390" w:rsidRDefault="00326739" w:rsidP="00056FEB">
            <w:pPr>
              <w:jc w:val="center"/>
              <w:rPr>
                <w:rFonts w:ascii="Times New Roman" w:eastAsia="Times New Roman" w:hAnsi="Times New Roman"/>
                <w:b/>
                <w:sz w:val="28"/>
                <w:szCs w:val="28"/>
                <w:lang w:eastAsia="lv-LV"/>
              </w:rPr>
            </w:pPr>
            <w:r w:rsidRPr="00942390">
              <w:rPr>
                <w:rFonts w:ascii="Times New Roman" w:hAnsi="Times New Roman"/>
                <w:b/>
                <w:bCs/>
                <w:sz w:val="28"/>
                <w:szCs w:val="28"/>
              </w:rPr>
              <w:t>VI. Sabiedrības līdzdalība un šīs līdzdalības rezultāti</w:t>
            </w:r>
          </w:p>
        </w:tc>
      </w:tr>
      <w:tr w:rsidR="00326739" w:rsidRPr="00942390" w:rsidTr="00056FEB">
        <w:tc>
          <w:tcPr>
            <w:tcW w:w="851" w:type="dxa"/>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1.</w:t>
            </w:r>
          </w:p>
        </w:tc>
        <w:tc>
          <w:tcPr>
            <w:tcW w:w="3827" w:type="dxa"/>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hAnsi="Times New Roman"/>
                <w:sz w:val="28"/>
                <w:szCs w:val="28"/>
              </w:rPr>
              <w:t>Sabiedrības informēšana par projekta izstrādes uzsākšanu</w:t>
            </w:r>
          </w:p>
        </w:tc>
        <w:tc>
          <w:tcPr>
            <w:tcW w:w="4536" w:type="dxa"/>
            <w:hideMark/>
          </w:tcPr>
          <w:p w:rsidR="00326739" w:rsidRPr="00942390" w:rsidRDefault="00326739" w:rsidP="00056FEB">
            <w:pPr>
              <w:ind w:left="124"/>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Projekts izsūtīts viedokļa sniegšanai kompetenču centriem (projektu īstenotājiem).</w:t>
            </w:r>
          </w:p>
        </w:tc>
      </w:tr>
      <w:tr w:rsidR="00326739" w:rsidRPr="00942390" w:rsidTr="00056FEB">
        <w:tc>
          <w:tcPr>
            <w:tcW w:w="851" w:type="dxa"/>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2.</w:t>
            </w:r>
          </w:p>
        </w:tc>
        <w:tc>
          <w:tcPr>
            <w:tcW w:w="3827" w:type="dxa"/>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hAnsi="Times New Roman"/>
                <w:sz w:val="28"/>
                <w:szCs w:val="28"/>
              </w:rPr>
              <w:t>Sabiedrības līdzdalība projekta izstrādē</w:t>
            </w:r>
          </w:p>
        </w:tc>
        <w:tc>
          <w:tcPr>
            <w:tcW w:w="4536" w:type="dxa"/>
            <w:hideMark/>
          </w:tcPr>
          <w:p w:rsidR="00326739" w:rsidRPr="00942390" w:rsidRDefault="00326739" w:rsidP="00056FEB">
            <w:pPr>
              <w:ind w:left="124"/>
              <w:jc w:val="both"/>
              <w:rPr>
                <w:rFonts w:ascii="Times New Roman" w:eastAsia="Times New Roman" w:hAnsi="Times New Roman"/>
                <w:iCs/>
                <w:sz w:val="28"/>
                <w:szCs w:val="28"/>
                <w:lang w:eastAsia="lv-LV"/>
              </w:rPr>
            </w:pPr>
            <w:r w:rsidRPr="00942390">
              <w:rPr>
                <w:rFonts w:ascii="Times New Roman" w:eastAsia="Times New Roman" w:hAnsi="Times New Roman"/>
                <w:sz w:val="28"/>
                <w:szCs w:val="28"/>
                <w:lang w:eastAsia="lv-LV"/>
              </w:rPr>
              <w:t>Projekts izsūtīts viedokļa sniegšanai kompetenču centriem (projektu īstenotājiem).</w:t>
            </w:r>
          </w:p>
        </w:tc>
      </w:tr>
      <w:tr w:rsidR="00326739" w:rsidRPr="00942390" w:rsidTr="00056FEB">
        <w:trPr>
          <w:trHeight w:val="930"/>
        </w:trPr>
        <w:tc>
          <w:tcPr>
            <w:tcW w:w="851" w:type="dxa"/>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3.</w:t>
            </w:r>
          </w:p>
        </w:tc>
        <w:tc>
          <w:tcPr>
            <w:tcW w:w="3827" w:type="dxa"/>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hAnsi="Times New Roman"/>
                <w:sz w:val="28"/>
                <w:szCs w:val="28"/>
              </w:rPr>
              <w:t>Sabiedrības līdzdalības rezultāti</w:t>
            </w:r>
          </w:p>
        </w:tc>
        <w:tc>
          <w:tcPr>
            <w:tcW w:w="4536" w:type="dxa"/>
            <w:hideMark/>
          </w:tcPr>
          <w:p w:rsidR="00326739" w:rsidRPr="00942390" w:rsidRDefault="00326739" w:rsidP="009F4EB9">
            <w:pPr>
              <w:ind w:left="124"/>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Projekts izsūtīts viedokļa sniegšanai kompetenču centriem (projektu īstenotājiem).</w:t>
            </w:r>
          </w:p>
        </w:tc>
      </w:tr>
      <w:tr w:rsidR="00326739" w:rsidRPr="00942390" w:rsidTr="00056FEB">
        <w:trPr>
          <w:trHeight w:val="927"/>
        </w:trPr>
        <w:tc>
          <w:tcPr>
            <w:tcW w:w="851" w:type="dxa"/>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4.</w:t>
            </w:r>
          </w:p>
        </w:tc>
        <w:tc>
          <w:tcPr>
            <w:tcW w:w="3827" w:type="dxa"/>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hAnsi="Times New Roman"/>
                <w:sz w:val="28"/>
                <w:szCs w:val="28"/>
              </w:rPr>
              <w:t>Saeimas un ekspertu līdzdalība</w:t>
            </w:r>
          </w:p>
        </w:tc>
        <w:tc>
          <w:tcPr>
            <w:tcW w:w="4536" w:type="dxa"/>
            <w:hideMark/>
          </w:tcPr>
          <w:p w:rsidR="00326739" w:rsidRPr="00942390" w:rsidRDefault="00326739" w:rsidP="00056FEB">
            <w:pPr>
              <w:ind w:firstLine="284"/>
              <w:jc w:val="both"/>
              <w:rPr>
                <w:rFonts w:ascii="Times New Roman" w:eastAsia="Times New Roman" w:hAnsi="Times New Roman"/>
                <w:sz w:val="28"/>
                <w:szCs w:val="28"/>
                <w:lang w:eastAsia="lv-LV"/>
              </w:rPr>
            </w:pPr>
            <w:r w:rsidRPr="00942390">
              <w:rPr>
                <w:rFonts w:ascii="Times New Roman" w:hAnsi="Times New Roman"/>
                <w:sz w:val="28"/>
                <w:szCs w:val="28"/>
              </w:rPr>
              <w:t>Konsultācijas nebija nepieciešams rīkot.</w:t>
            </w:r>
          </w:p>
        </w:tc>
      </w:tr>
      <w:tr w:rsidR="00326739" w:rsidRPr="00942390" w:rsidTr="00056FEB">
        <w:trPr>
          <w:trHeight w:val="912"/>
        </w:trPr>
        <w:tc>
          <w:tcPr>
            <w:tcW w:w="851" w:type="dxa"/>
          </w:tcPr>
          <w:p w:rsidR="00326739" w:rsidRPr="00942390" w:rsidRDefault="00326739" w:rsidP="00056FEB">
            <w:pPr>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5.</w:t>
            </w:r>
          </w:p>
        </w:tc>
        <w:tc>
          <w:tcPr>
            <w:tcW w:w="3827" w:type="dxa"/>
            <w:hideMark/>
          </w:tcPr>
          <w:p w:rsidR="00326739" w:rsidRPr="00942390" w:rsidRDefault="00326739" w:rsidP="00056FEB">
            <w:pPr>
              <w:rPr>
                <w:rFonts w:ascii="Times New Roman" w:eastAsia="Times New Roman" w:hAnsi="Times New Roman"/>
                <w:sz w:val="28"/>
                <w:szCs w:val="28"/>
                <w:lang w:eastAsia="lv-LV"/>
              </w:rPr>
            </w:pPr>
            <w:r w:rsidRPr="00942390">
              <w:rPr>
                <w:rFonts w:ascii="Times New Roman" w:hAnsi="Times New Roman"/>
                <w:sz w:val="28"/>
                <w:szCs w:val="28"/>
              </w:rPr>
              <w:t>Cita informācija</w:t>
            </w:r>
          </w:p>
        </w:tc>
        <w:tc>
          <w:tcPr>
            <w:tcW w:w="4536" w:type="dxa"/>
            <w:hideMark/>
          </w:tcPr>
          <w:p w:rsidR="00326739" w:rsidRPr="00942390" w:rsidRDefault="00326739" w:rsidP="00056FEB">
            <w:pPr>
              <w:ind w:firstLine="284"/>
              <w:jc w:val="both"/>
              <w:rPr>
                <w:rFonts w:ascii="Times New Roman" w:eastAsia="Times New Roman" w:hAnsi="Times New Roman"/>
                <w:sz w:val="28"/>
                <w:szCs w:val="28"/>
                <w:lang w:eastAsia="lv-LV"/>
              </w:rPr>
            </w:pPr>
            <w:r w:rsidRPr="00942390">
              <w:rPr>
                <w:rFonts w:ascii="Times New Roman" w:eastAsia="Times New Roman" w:hAnsi="Times New Roman"/>
                <w:iCs/>
                <w:sz w:val="28"/>
                <w:szCs w:val="28"/>
                <w:lang w:eastAsia="lv-LV"/>
              </w:rPr>
              <w:t>Nav. </w:t>
            </w:r>
          </w:p>
        </w:tc>
      </w:tr>
    </w:tbl>
    <w:p w:rsidR="00326739" w:rsidRPr="00942390" w:rsidRDefault="00326739" w:rsidP="00D40CFC">
      <w:pPr>
        <w:tabs>
          <w:tab w:val="left" w:pos="7655"/>
        </w:tabs>
        <w:spacing w:after="0" w:line="240" w:lineRule="auto"/>
        <w:jc w:val="both"/>
        <w:rPr>
          <w:rFonts w:ascii="Times New Roman" w:hAnsi="Times New Roman"/>
          <w:bCs/>
          <w:sz w:val="28"/>
          <w:szCs w:val="28"/>
        </w:rPr>
      </w:pPr>
    </w:p>
    <w:p w:rsidR="00326739" w:rsidRDefault="00326739" w:rsidP="00D40CFC">
      <w:pPr>
        <w:tabs>
          <w:tab w:val="left" w:pos="7655"/>
        </w:tabs>
        <w:spacing w:after="0" w:line="240" w:lineRule="auto"/>
        <w:jc w:val="both"/>
        <w:rPr>
          <w:rFonts w:ascii="Times New Roman" w:hAnsi="Times New Roman"/>
          <w:bCs/>
          <w:sz w:val="28"/>
          <w:szCs w:val="28"/>
        </w:rPr>
      </w:pPr>
    </w:p>
    <w:p w:rsidR="006714A4" w:rsidRPr="00942390" w:rsidRDefault="006714A4" w:rsidP="00D40CFC">
      <w:pPr>
        <w:tabs>
          <w:tab w:val="left" w:pos="7655"/>
        </w:tabs>
        <w:spacing w:after="0" w:line="240" w:lineRule="auto"/>
        <w:jc w:val="both"/>
        <w:rPr>
          <w:rFonts w:ascii="Times New Roman" w:hAnsi="Times New Roman"/>
          <w:bCs/>
          <w:sz w:val="28"/>
          <w:szCs w:val="28"/>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6"/>
        <w:gridCol w:w="3118"/>
        <w:gridCol w:w="5670"/>
      </w:tblGrid>
      <w:tr w:rsidR="00D40CFC" w:rsidRPr="00942390" w:rsidTr="004955C6">
        <w:tc>
          <w:tcPr>
            <w:tcW w:w="9214" w:type="dxa"/>
            <w:gridSpan w:val="3"/>
          </w:tcPr>
          <w:p w:rsidR="00D40CFC" w:rsidRPr="00942390" w:rsidRDefault="00D40CFC" w:rsidP="00D40CFC">
            <w:pPr>
              <w:spacing w:after="0" w:line="240" w:lineRule="auto"/>
              <w:jc w:val="center"/>
              <w:rPr>
                <w:rFonts w:ascii="Times New Roman" w:eastAsia="Times New Roman" w:hAnsi="Times New Roman"/>
                <w:b/>
                <w:sz w:val="28"/>
                <w:szCs w:val="28"/>
                <w:lang w:eastAsia="lv-LV"/>
              </w:rPr>
            </w:pPr>
            <w:r w:rsidRPr="00942390">
              <w:rPr>
                <w:rFonts w:ascii="Times New Roman" w:eastAsia="Times New Roman" w:hAnsi="Times New Roman"/>
                <w:b/>
                <w:sz w:val="28"/>
                <w:szCs w:val="28"/>
                <w:lang w:eastAsia="lv-LV"/>
              </w:rPr>
              <w:t>VII. Tiesību akta projekta izpildes nodrošināšana un tās ietekme uz institūcijām</w:t>
            </w:r>
          </w:p>
        </w:tc>
      </w:tr>
      <w:tr w:rsidR="00D40CFC" w:rsidRPr="00942390" w:rsidTr="00087656">
        <w:tc>
          <w:tcPr>
            <w:tcW w:w="426" w:type="dxa"/>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1.</w:t>
            </w:r>
          </w:p>
        </w:tc>
        <w:tc>
          <w:tcPr>
            <w:tcW w:w="3118" w:type="dxa"/>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Projekta izpildē iesaistītās institūcijas</w:t>
            </w:r>
          </w:p>
        </w:tc>
        <w:tc>
          <w:tcPr>
            <w:tcW w:w="5670" w:type="dxa"/>
            <w:hideMark/>
          </w:tcPr>
          <w:p w:rsidR="00D40CFC" w:rsidRPr="00942390" w:rsidRDefault="00190309" w:rsidP="00830152">
            <w:pPr>
              <w:spacing w:after="0" w:line="240" w:lineRule="auto"/>
              <w:ind w:firstLine="485"/>
              <w:jc w:val="both"/>
              <w:rPr>
                <w:rFonts w:ascii="Times New Roman" w:eastAsia="Times New Roman" w:hAnsi="Times New Roman"/>
                <w:sz w:val="28"/>
                <w:szCs w:val="28"/>
                <w:lang w:eastAsia="lv-LV"/>
              </w:rPr>
            </w:pPr>
            <w:r w:rsidRPr="00942390">
              <w:rPr>
                <w:rFonts w:ascii="Times New Roman" w:hAnsi="Times New Roman"/>
                <w:sz w:val="28"/>
                <w:szCs w:val="28"/>
                <w:lang w:eastAsia="lv-LV"/>
              </w:rPr>
              <w:t>Nav.</w:t>
            </w:r>
          </w:p>
        </w:tc>
      </w:tr>
      <w:tr w:rsidR="00D40CFC" w:rsidRPr="00942390" w:rsidTr="00087656">
        <w:tc>
          <w:tcPr>
            <w:tcW w:w="426" w:type="dxa"/>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2.</w:t>
            </w:r>
          </w:p>
        </w:tc>
        <w:tc>
          <w:tcPr>
            <w:tcW w:w="3118" w:type="dxa"/>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 xml:space="preserve">Projekta izpildes ietekme </w:t>
            </w:r>
            <w:r w:rsidRPr="00942390">
              <w:rPr>
                <w:rFonts w:ascii="Times New Roman" w:eastAsia="Times New Roman" w:hAnsi="Times New Roman"/>
                <w:sz w:val="28"/>
                <w:szCs w:val="28"/>
                <w:lang w:eastAsia="lv-LV"/>
              </w:rPr>
              <w:lastRenderedPageBreak/>
              <w:t>uz pārvaldes funkcijā</w:t>
            </w:r>
          </w:p>
        </w:tc>
        <w:tc>
          <w:tcPr>
            <w:tcW w:w="5670" w:type="dxa"/>
            <w:hideMark/>
          </w:tcPr>
          <w:p w:rsidR="00D40CFC" w:rsidRPr="00942390" w:rsidRDefault="00190309" w:rsidP="00830152">
            <w:pPr>
              <w:spacing w:after="0" w:line="240" w:lineRule="auto"/>
              <w:ind w:firstLine="485"/>
              <w:jc w:val="both"/>
              <w:rPr>
                <w:rFonts w:ascii="Times New Roman" w:eastAsia="Times New Roman" w:hAnsi="Times New Roman"/>
                <w:sz w:val="28"/>
                <w:szCs w:val="28"/>
                <w:lang w:eastAsia="lv-LV"/>
              </w:rPr>
            </w:pPr>
            <w:r w:rsidRPr="00942390">
              <w:rPr>
                <w:rFonts w:ascii="Times New Roman" w:hAnsi="Times New Roman"/>
                <w:sz w:val="28"/>
                <w:szCs w:val="28"/>
                <w:lang w:eastAsia="lv-LV"/>
              </w:rPr>
              <w:lastRenderedPageBreak/>
              <w:t>Nav.</w:t>
            </w:r>
          </w:p>
        </w:tc>
      </w:tr>
      <w:tr w:rsidR="00D40CFC" w:rsidRPr="00942390" w:rsidTr="00087656">
        <w:trPr>
          <w:trHeight w:val="930"/>
        </w:trPr>
        <w:tc>
          <w:tcPr>
            <w:tcW w:w="426" w:type="dxa"/>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lastRenderedPageBreak/>
              <w:t>3.</w:t>
            </w:r>
          </w:p>
        </w:tc>
        <w:tc>
          <w:tcPr>
            <w:tcW w:w="3118" w:type="dxa"/>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Projekta izpildes ietekme uz pārvaldes institucionālo struktūru. Jaunu institūciju izveide</w:t>
            </w:r>
          </w:p>
        </w:tc>
        <w:tc>
          <w:tcPr>
            <w:tcW w:w="5670" w:type="dxa"/>
            <w:hideMark/>
          </w:tcPr>
          <w:p w:rsidR="00D40CFC" w:rsidRPr="00942390" w:rsidRDefault="00830152" w:rsidP="00D40CFC">
            <w:pPr>
              <w:spacing w:after="0" w:line="240" w:lineRule="auto"/>
              <w:ind w:firstLine="485"/>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Noteikumu projekta izpildei nav nepieciešams radīt jaunas institūcijas.</w:t>
            </w:r>
          </w:p>
        </w:tc>
      </w:tr>
      <w:tr w:rsidR="00D40CFC" w:rsidRPr="00942390" w:rsidTr="00087656">
        <w:trPr>
          <w:trHeight w:val="927"/>
        </w:trPr>
        <w:tc>
          <w:tcPr>
            <w:tcW w:w="426" w:type="dxa"/>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4.</w:t>
            </w:r>
          </w:p>
        </w:tc>
        <w:tc>
          <w:tcPr>
            <w:tcW w:w="3118" w:type="dxa"/>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Projekta izpildes ietekmes uz pārvaldes institucionālo struktūru. Esošu institūciju likvidācija</w:t>
            </w:r>
          </w:p>
        </w:tc>
        <w:tc>
          <w:tcPr>
            <w:tcW w:w="5670" w:type="dxa"/>
            <w:hideMark/>
          </w:tcPr>
          <w:p w:rsidR="00D40CFC" w:rsidRPr="00942390" w:rsidRDefault="00D40CFC" w:rsidP="00D40CFC">
            <w:pPr>
              <w:spacing w:after="0" w:line="240" w:lineRule="auto"/>
              <w:ind w:firstLine="284"/>
              <w:jc w:val="both"/>
              <w:rPr>
                <w:rFonts w:ascii="Times New Roman" w:eastAsia="Times New Roman" w:hAnsi="Times New Roman"/>
                <w:sz w:val="28"/>
                <w:szCs w:val="28"/>
                <w:lang w:eastAsia="lv-LV"/>
              </w:rPr>
            </w:pPr>
            <w:r w:rsidRPr="00942390">
              <w:rPr>
                <w:rFonts w:ascii="Times New Roman" w:eastAsia="Times New Roman" w:hAnsi="Times New Roman"/>
                <w:iCs/>
                <w:sz w:val="28"/>
                <w:szCs w:val="28"/>
                <w:lang w:eastAsia="lv-LV"/>
              </w:rPr>
              <w:t>Projekts šo jomu neskar. </w:t>
            </w:r>
          </w:p>
        </w:tc>
      </w:tr>
      <w:tr w:rsidR="00D40CFC" w:rsidRPr="00942390" w:rsidTr="00087656">
        <w:trPr>
          <w:trHeight w:val="912"/>
        </w:trPr>
        <w:tc>
          <w:tcPr>
            <w:tcW w:w="426" w:type="dxa"/>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5.</w:t>
            </w:r>
          </w:p>
        </w:tc>
        <w:tc>
          <w:tcPr>
            <w:tcW w:w="3118" w:type="dxa"/>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Projekta izpildes ietekmes uz pārvaldes institucionālo struktūru. Esošu institūciju reorganizācija</w:t>
            </w:r>
          </w:p>
        </w:tc>
        <w:tc>
          <w:tcPr>
            <w:tcW w:w="5670" w:type="dxa"/>
            <w:hideMark/>
          </w:tcPr>
          <w:p w:rsidR="00D40CFC" w:rsidRPr="00942390" w:rsidRDefault="00D40CFC" w:rsidP="00D40CFC">
            <w:pPr>
              <w:spacing w:after="0" w:line="240" w:lineRule="auto"/>
              <w:ind w:firstLine="284"/>
              <w:jc w:val="both"/>
              <w:rPr>
                <w:rFonts w:ascii="Times New Roman" w:eastAsia="Times New Roman" w:hAnsi="Times New Roman"/>
                <w:sz w:val="28"/>
                <w:szCs w:val="28"/>
                <w:lang w:eastAsia="lv-LV"/>
              </w:rPr>
            </w:pPr>
            <w:r w:rsidRPr="00942390">
              <w:rPr>
                <w:rFonts w:ascii="Times New Roman" w:eastAsia="Times New Roman" w:hAnsi="Times New Roman"/>
                <w:iCs/>
                <w:sz w:val="28"/>
                <w:szCs w:val="28"/>
                <w:lang w:eastAsia="lv-LV"/>
              </w:rPr>
              <w:t>Projekts šo jomu neskar. </w:t>
            </w:r>
          </w:p>
        </w:tc>
      </w:tr>
      <w:tr w:rsidR="00D40CFC" w:rsidRPr="00942390" w:rsidTr="00087656">
        <w:tc>
          <w:tcPr>
            <w:tcW w:w="426" w:type="dxa"/>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6.</w:t>
            </w:r>
          </w:p>
        </w:tc>
        <w:tc>
          <w:tcPr>
            <w:tcW w:w="3118" w:type="dxa"/>
            <w:hideMark/>
          </w:tcPr>
          <w:p w:rsidR="00D40CFC" w:rsidRPr="00942390" w:rsidRDefault="00D40CFC" w:rsidP="00D40CFC">
            <w:pPr>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Cita informācija</w:t>
            </w:r>
          </w:p>
        </w:tc>
        <w:tc>
          <w:tcPr>
            <w:tcW w:w="5670" w:type="dxa"/>
            <w:hideMark/>
          </w:tcPr>
          <w:p w:rsidR="00D40CFC" w:rsidRPr="00942390" w:rsidRDefault="00D40CFC" w:rsidP="00D40CFC">
            <w:pPr>
              <w:spacing w:after="0" w:line="240" w:lineRule="auto"/>
              <w:ind w:firstLine="284"/>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Nav.</w:t>
            </w:r>
          </w:p>
        </w:tc>
      </w:tr>
    </w:tbl>
    <w:p w:rsidR="00087656" w:rsidRDefault="00087656" w:rsidP="00830152">
      <w:pPr>
        <w:tabs>
          <w:tab w:val="right" w:pos="9071"/>
        </w:tabs>
        <w:spacing w:after="0" w:line="240" w:lineRule="auto"/>
        <w:jc w:val="both"/>
        <w:rPr>
          <w:rFonts w:ascii="Times New Roman" w:eastAsia="Times New Roman" w:hAnsi="Times New Roman"/>
          <w:sz w:val="28"/>
          <w:szCs w:val="28"/>
          <w:lang w:eastAsia="lv-LV"/>
        </w:rPr>
      </w:pPr>
    </w:p>
    <w:p w:rsidR="006714A4" w:rsidRDefault="006714A4" w:rsidP="00830152">
      <w:pPr>
        <w:tabs>
          <w:tab w:val="right" w:pos="9071"/>
        </w:tabs>
        <w:spacing w:after="0" w:line="240" w:lineRule="auto"/>
        <w:jc w:val="both"/>
        <w:rPr>
          <w:rFonts w:ascii="Times New Roman" w:eastAsia="Times New Roman" w:hAnsi="Times New Roman"/>
          <w:sz w:val="28"/>
          <w:szCs w:val="28"/>
          <w:lang w:eastAsia="lv-LV"/>
        </w:rPr>
      </w:pPr>
    </w:p>
    <w:p w:rsidR="006714A4" w:rsidRDefault="006714A4" w:rsidP="00830152">
      <w:pPr>
        <w:tabs>
          <w:tab w:val="right" w:pos="9071"/>
        </w:tabs>
        <w:spacing w:after="0" w:line="240" w:lineRule="auto"/>
        <w:jc w:val="both"/>
        <w:rPr>
          <w:rFonts w:ascii="Times New Roman" w:eastAsia="Times New Roman" w:hAnsi="Times New Roman"/>
          <w:sz w:val="28"/>
          <w:szCs w:val="28"/>
          <w:lang w:eastAsia="lv-LV"/>
        </w:rPr>
      </w:pPr>
    </w:p>
    <w:p w:rsidR="006714A4" w:rsidRPr="00942390" w:rsidRDefault="006714A4" w:rsidP="00830152">
      <w:pPr>
        <w:tabs>
          <w:tab w:val="right" w:pos="9071"/>
        </w:tabs>
        <w:spacing w:after="0" w:line="240" w:lineRule="auto"/>
        <w:jc w:val="both"/>
        <w:rPr>
          <w:rFonts w:ascii="Times New Roman" w:eastAsia="Times New Roman" w:hAnsi="Times New Roman"/>
          <w:sz w:val="28"/>
          <w:szCs w:val="28"/>
          <w:lang w:eastAsia="lv-LV"/>
        </w:rPr>
      </w:pPr>
    </w:p>
    <w:p w:rsidR="0034089F" w:rsidRPr="00942390" w:rsidRDefault="009D0A29" w:rsidP="00F73EDB">
      <w:pPr>
        <w:tabs>
          <w:tab w:val="right" w:pos="9071"/>
        </w:tabs>
        <w:spacing w:after="0" w:line="240" w:lineRule="auto"/>
        <w:jc w:val="both"/>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Ekonomikas ministrs</w:t>
      </w:r>
      <w:r w:rsidR="00830152" w:rsidRPr="00942390">
        <w:rPr>
          <w:rFonts w:ascii="Times New Roman" w:eastAsia="Times New Roman" w:hAnsi="Times New Roman"/>
          <w:sz w:val="28"/>
          <w:szCs w:val="28"/>
          <w:lang w:eastAsia="lv-LV"/>
        </w:rPr>
        <w:tab/>
      </w:r>
      <w:proofErr w:type="spellStart"/>
      <w:r w:rsidRPr="00942390">
        <w:rPr>
          <w:rFonts w:ascii="Times New Roman" w:eastAsia="Times New Roman" w:hAnsi="Times New Roman"/>
          <w:sz w:val="28"/>
          <w:szCs w:val="28"/>
          <w:lang w:eastAsia="lv-LV"/>
        </w:rPr>
        <w:t>D.Pavļuts</w:t>
      </w:r>
      <w:proofErr w:type="spellEnd"/>
    </w:p>
    <w:p w:rsidR="0059148A" w:rsidRDefault="0059148A" w:rsidP="009D0A29">
      <w:pPr>
        <w:keepLines/>
        <w:widowControl w:val="0"/>
        <w:tabs>
          <w:tab w:val="left" w:pos="8222"/>
        </w:tabs>
        <w:spacing w:after="0" w:line="240" w:lineRule="auto"/>
        <w:rPr>
          <w:rFonts w:ascii="Times New Roman" w:eastAsia="Times New Roman" w:hAnsi="Times New Roman"/>
          <w:sz w:val="28"/>
          <w:szCs w:val="28"/>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8"/>
          <w:szCs w:val="28"/>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8"/>
          <w:szCs w:val="28"/>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8"/>
          <w:szCs w:val="28"/>
          <w:lang w:eastAsia="lv-LV"/>
        </w:rPr>
      </w:pPr>
    </w:p>
    <w:p w:rsidR="006714A4" w:rsidRPr="00942390" w:rsidRDefault="006714A4" w:rsidP="009D0A29">
      <w:pPr>
        <w:keepLines/>
        <w:widowControl w:val="0"/>
        <w:tabs>
          <w:tab w:val="left" w:pos="8222"/>
        </w:tabs>
        <w:spacing w:after="0" w:line="240" w:lineRule="auto"/>
        <w:rPr>
          <w:rFonts w:ascii="Times New Roman" w:eastAsia="Times New Roman" w:hAnsi="Times New Roman"/>
          <w:sz w:val="28"/>
          <w:szCs w:val="28"/>
          <w:lang w:eastAsia="lv-LV"/>
        </w:rPr>
      </w:pPr>
    </w:p>
    <w:p w:rsidR="000862E6" w:rsidRPr="00942390" w:rsidRDefault="000862E6" w:rsidP="00830152">
      <w:pPr>
        <w:keepLines/>
        <w:widowControl w:val="0"/>
        <w:tabs>
          <w:tab w:val="right" w:pos="9071"/>
        </w:tabs>
        <w:spacing w:after="0" w:line="240" w:lineRule="auto"/>
        <w:rPr>
          <w:rFonts w:ascii="Times New Roman" w:eastAsia="Times New Roman" w:hAnsi="Times New Roman"/>
          <w:sz w:val="28"/>
          <w:szCs w:val="28"/>
          <w:lang w:eastAsia="lv-LV"/>
        </w:rPr>
      </w:pPr>
    </w:p>
    <w:p w:rsidR="00B15765" w:rsidRPr="00942390" w:rsidRDefault="009D0A29" w:rsidP="00B15765">
      <w:pPr>
        <w:keepLines/>
        <w:widowControl w:val="0"/>
        <w:tabs>
          <w:tab w:val="right" w:pos="9071"/>
        </w:tabs>
        <w:spacing w:after="0" w:line="240" w:lineRule="auto"/>
        <w:rPr>
          <w:rFonts w:ascii="Times New Roman" w:eastAsia="Times New Roman" w:hAnsi="Times New Roman"/>
          <w:sz w:val="28"/>
          <w:szCs w:val="28"/>
          <w:lang w:eastAsia="lv-LV"/>
        </w:rPr>
      </w:pPr>
      <w:r w:rsidRPr="00942390">
        <w:rPr>
          <w:rFonts w:ascii="Times New Roman" w:eastAsia="Times New Roman" w:hAnsi="Times New Roman"/>
          <w:sz w:val="28"/>
          <w:szCs w:val="28"/>
          <w:lang w:eastAsia="lv-LV"/>
        </w:rPr>
        <w:t>Valsts sekretār</w:t>
      </w:r>
      <w:r w:rsidR="00FE35E6" w:rsidRPr="00942390">
        <w:rPr>
          <w:rFonts w:ascii="Times New Roman" w:eastAsia="Times New Roman" w:hAnsi="Times New Roman"/>
          <w:sz w:val="28"/>
          <w:szCs w:val="28"/>
          <w:lang w:eastAsia="lv-LV"/>
        </w:rPr>
        <w:t>s</w:t>
      </w:r>
      <w:r w:rsidR="00830152" w:rsidRPr="00942390">
        <w:rPr>
          <w:rFonts w:ascii="Times New Roman" w:eastAsia="Times New Roman" w:hAnsi="Times New Roman"/>
          <w:sz w:val="28"/>
          <w:szCs w:val="28"/>
          <w:lang w:eastAsia="lv-LV"/>
        </w:rPr>
        <w:tab/>
      </w:r>
      <w:r w:rsidR="003F6F98">
        <w:rPr>
          <w:rFonts w:ascii="Times New Roman" w:eastAsia="Times New Roman" w:hAnsi="Times New Roman"/>
          <w:sz w:val="28"/>
          <w:szCs w:val="28"/>
          <w:lang w:eastAsia="lv-LV"/>
        </w:rPr>
        <w:t>J.Pūce</w:t>
      </w:r>
    </w:p>
    <w:p w:rsidR="0059148A" w:rsidRDefault="0059148A"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6714A4" w:rsidRPr="00942390" w:rsidRDefault="006714A4" w:rsidP="009D0A29">
      <w:pPr>
        <w:keepLines/>
        <w:widowControl w:val="0"/>
        <w:tabs>
          <w:tab w:val="left" w:pos="8222"/>
        </w:tabs>
        <w:spacing w:after="0" w:line="240" w:lineRule="auto"/>
        <w:rPr>
          <w:rFonts w:ascii="Times New Roman" w:eastAsia="Times New Roman" w:hAnsi="Times New Roman"/>
          <w:sz w:val="26"/>
          <w:szCs w:val="26"/>
          <w:lang w:eastAsia="lv-LV"/>
        </w:rPr>
      </w:pPr>
    </w:p>
    <w:p w:rsidR="005015DB" w:rsidRPr="00942390" w:rsidRDefault="00062023" w:rsidP="00AE550C">
      <w:pPr>
        <w:widowControl w:val="0"/>
        <w:spacing w:after="0" w:line="240" w:lineRule="auto"/>
        <w:jc w:val="both"/>
        <w:rPr>
          <w:rFonts w:ascii="Times New Roman" w:eastAsia="Times New Roman" w:hAnsi="Times New Roman"/>
        </w:rPr>
      </w:pPr>
      <w:r w:rsidRPr="00942390">
        <w:rPr>
          <w:rFonts w:ascii="Times New Roman" w:eastAsia="Times New Roman" w:hAnsi="Times New Roman"/>
        </w:rPr>
        <w:fldChar w:fldCharType="begin"/>
      </w:r>
      <w:r w:rsidR="00D25876" w:rsidRPr="00942390">
        <w:rPr>
          <w:rFonts w:ascii="Times New Roman" w:eastAsia="Times New Roman" w:hAnsi="Times New Roman"/>
        </w:rPr>
        <w:instrText xml:space="preserve"> TIME \@ "dd.MM.yyyy HH:mm" </w:instrText>
      </w:r>
      <w:r w:rsidRPr="00942390">
        <w:rPr>
          <w:rFonts w:ascii="Times New Roman" w:eastAsia="Times New Roman" w:hAnsi="Times New Roman"/>
        </w:rPr>
        <w:fldChar w:fldCharType="separate"/>
      </w:r>
      <w:r w:rsidR="006B02A4">
        <w:rPr>
          <w:rFonts w:ascii="Times New Roman" w:eastAsia="Times New Roman" w:hAnsi="Times New Roman"/>
          <w:noProof/>
        </w:rPr>
        <w:t>31.10.2013 11:33</w:t>
      </w:r>
      <w:r w:rsidRPr="00942390">
        <w:rPr>
          <w:rFonts w:ascii="Times New Roman" w:eastAsia="Times New Roman" w:hAnsi="Times New Roman"/>
        </w:rPr>
        <w:fldChar w:fldCharType="end"/>
      </w:r>
      <w:bookmarkStart w:id="10" w:name="_GoBack"/>
      <w:bookmarkEnd w:id="10"/>
    </w:p>
    <w:p w:rsidR="00AE550C" w:rsidRPr="00942390" w:rsidRDefault="00076626" w:rsidP="00AE550C">
      <w:pPr>
        <w:widowControl w:val="0"/>
        <w:spacing w:after="0" w:line="240" w:lineRule="auto"/>
        <w:jc w:val="both"/>
        <w:rPr>
          <w:rFonts w:ascii="Times New Roman" w:eastAsia="Times New Roman" w:hAnsi="Times New Roman"/>
        </w:rPr>
      </w:pPr>
      <w:fldSimple w:instr=" NUMWORDS   \* MERGEFORMAT ">
        <w:r w:rsidR="006B02A4" w:rsidRPr="006B02A4">
          <w:rPr>
            <w:rFonts w:ascii="Times New Roman" w:eastAsia="Times New Roman" w:hAnsi="Times New Roman"/>
            <w:noProof/>
          </w:rPr>
          <w:t>2563</w:t>
        </w:r>
      </w:fldSimple>
    </w:p>
    <w:p w:rsidR="009A4D8D" w:rsidRPr="00942390" w:rsidRDefault="009A4D8D" w:rsidP="009A4D8D">
      <w:pPr>
        <w:widowControl w:val="0"/>
        <w:spacing w:after="0" w:line="240" w:lineRule="auto"/>
        <w:jc w:val="both"/>
        <w:rPr>
          <w:rFonts w:ascii="Times New Roman" w:eastAsia="Times New Roman" w:hAnsi="Times New Roman"/>
        </w:rPr>
      </w:pPr>
      <w:r w:rsidRPr="00942390">
        <w:rPr>
          <w:rFonts w:ascii="Times New Roman" w:eastAsia="Times New Roman" w:hAnsi="Times New Roman"/>
        </w:rPr>
        <w:t xml:space="preserve">Gatis </w:t>
      </w:r>
      <w:proofErr w:type="spellStart"/>
      <w:r w:rsidRPr="00942390">
        <w:rPr>
          <w:rFonts w:ascii="Times New Roman" w:eastAsia="Times New Roman" w:hAnsi="Times New Roman"/>
        </w:rPr>
        <w:t>Silovs</w:t>
      </w:r>
      <w:proofErr w:type="spellEnd"/>
    </w:p>
    <w:p w:rsidR="00D40CFC" w:rsidRPr="00F73EDB" w:rsidRDefault="009A4D8D" w:rsidP="009A4D8D">
      <w:pPr>
        <w:widowControl w:val="0"/>
        <w:spacing w:after="0" w:line="240" w:lineRule="auto"/>
        <w:jc w:val="both"/>
        <w:rPr>
          <w:rFonts w:ascii="Times New Roman" w:eastAsia="Times New Roman" w:hAnsi="Times New Roman"/>
        </w:rPr>
      </w:pPr>
      <w:r w:rsidRPr="00942390">
        <w:rPr>
          <w:rFonts w:ascii="Times New Roman" w:eastAsia="Times New Roman" w:hAnsi="Times New Roman"/>
        </w:rPr>
        <w:t>67013209, Gatis.Silovs@em.gov.lv</w:t>
      </w:r>
    </w:p>
    <w:sectPr w:rsidR="00D40CFC" w:rsidRPr="00F73EDB" w:rsidSect="00D40CF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0C" w:rsidRDefault="00BD720C" w:rsidP="002A617A">
      <w:pPr>
        <w:spacing w:after="0" w:line="240" w:lineRule="auto"/>
      </w:pPr>
      <w:r>
        <w:separator/>
      </w:r>
    </w:p>
  </w:endnote>
  <w:endnote w:type="continuationSeparator" w:id="0">
    <w:p w:rsidR="00BD720C" w:rsidRDefault="00BD720C"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D1" w:rsidRDefault="00EF2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AC" w:rsidRDefault="00076626" w:rsidP="002A617A">
    <w:pPr>
      <w:spacing w:after="0" w:line="240" w:lineRule="auto"/>
      <w:jc w:val="both"/>
      <w:outlineLvl w:val="0"/>
    </w:pPr>
    <w:fldSimple w:instr=" FILENAME   \* MERGEFORMAT ">
      <w:r w:rsidR="00EF25D1" w:rsidRPr="00EF25D1">
        <w:rPr>
          <w:rFonts w:ascii="Times New Roman" w:hAnsi="Times New Roman"/>
          <w:noProof/>
          <w:sz w:val="20"/>
          <w:szCs w:val="20"/>
          <w:lang w:val="en-AU"/>
        </w:rPr>
        <w:t>EMAnot_311013_groz361</w:t>
      </w:r>
    </w:fldSimple>
    <w:r w:rsidR="00063EAC">
      <w:rPr>
        <w:rFonts w:ascii="Times New Roman" w:hAnsi="Times New Roman"/>
        <w:sz w:val="20"/>
        <w:szCs w:val="20"/>
        <w:lang w:val="en-AU"/>
      </w:rPr>
      <w:t>;</w:t>
    </w:r>
    <w:r w:rsidR="00063EAC">
      <w:t xml:space="preserve"> </w:t>
    </w:r>
    <w:r w:rsidR="00063EAC" w:rsidRPr="003F0121">
      <w:rPr>
        <w:rFonts w:ascii="Times New Roman" w:eastAsia="Times New Roman" w:hAnsi="Times New Roman"/>
        <w:sz w:val="20"/>
        <w:szCs w:val="20"/>
        <w:lang w:eastAsia="lv-LV"/>
      </w:rPr>
      <w:t>Ministru kabineta noteikumu projekta „Grozījum</w:t>
    </w:r>
    <w:r w:rsidR="00063EAC">
      <w:rPr>
        <w:rFonts w:ascii="Times New Roman" w:eastAsia="Times New Roman" w:hAnsi="Times New Roman"/>
        <w:sz w:val="20"/>
        <w:szCs w:val="20"/>
        <w:lang w:eastAsia="lv-LV"/>
      </w:rPr>
      <w:t>i</w:t>
    </w:r>
    <w:r w:rsidR="00063EAC" w:rsidRPr="003F0121">
      <w:rPr>
        <w:rFonts w:ascii="Times New Roman" w:eastAsia="Times New Roman" w:hAnsi="Times New Roman"/>
        <w:sz w:val="20"/>
        <w:szCs w:val="20"/>
        <w:lang w:eastAsia="lv-LV"/>
      </w:rPr>
      <w:t xml:space="preserve"> Ministru kabineta 2010.gada 13.aprīļa noteikumos Nr.361 „Noteikumi par darbības programmas „Uzņēmējdarbība un inovācijas” papildinājuma 2.1.2.1.1.apakšaktivitāti „Kompetences centri”””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D1" w:rsidRDefault="00EF2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0C" w:rsidRDefault="00BD720C" w:rsidP="002A617A">
      <w:pPr>
        <w:spacing w:after="0" w:line="240" w:lineRule="auto"/>
      </w:pPr>
      <w:r>
        <w:separator/>
      </w:r>
    </w:p>
  </w:footnote>
  <w:footnote w:type="continuationSeparator" w:id="0">
    <w:p w:rsidR="00BD720C" w:rsidRDefault="00BD720C" w:rsidP="002A6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D1" w:rsidRDefault="00EF2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220"/>
      <w:docPartObj>
        <w:docPartGallery w:val="Page Numbers (Top of Page)"/>
        <w:docPartUnique/>
      </w:docPartObj>
    </w:sdtPr>
    <w:sdtEndPr/>
    <w:sdtContent>
      <w:p w:rsidR="00063EAC" w:rsidRDefault="004D08E2">
        <w:pPr>
          <w:pStyle w:val="Header"/>
          <w:jc w:val="center"/>
        </w:pPr>
        <w:r>
          <w:fldChar w:fldCharType="begin"/>
        </w:r>
        <w:r>
          <w:instrText xml:space="preserve"> PAGE   \* MERGEFORMAT </w:instrText>
        </w:r>
        <w:r>
          <w:fldChar w:fldCharType="separate"/>
        </w:r>
        <w:r w:rsidR="006B02A4">
          <w:rPr>
            <w:noProof/>
          </w:rPr>
          <w:t>14</w:t>
        </w:r>
        <w:r>
          <w:rPr>
            <w:noProof/>
          </w:rPr>
          <w:fldChar w:fldCharType="end"/>
        </w:r>
      </w:p>
    </w:sdtContent>
  </w:sdt>
  <w:p w:rsidR="00063EAC" w:rsidRDefault="00063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D1" w:rsidRDefault="00EF2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6A"/>
    <w:multiLevelType w:val="hybridMultilevel"/>
    <w:tmpl w:val="15804E5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E9B7D7A"/>
    <w:multiLevelType w:val="hybridMultilevel"/>
    <w:tmpl w:val="0EEA7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9D6B36"/>
    <w:multiLevelType w:val="hybridMultilevel"/>
    <w:tmpl w:val="E468FBA2"/>
    <w:lvl w:ilvl="0" w:tplc="148A72D6">
      <w:start w:val="2"/>
      <w:numFmt w:val="bullet"/>
      <w:lvlText w:val="-"/>
      <w:lvlJc w:val="left"/>
      <w:pPr>
        <w:ind w:left="1002" w:hanging="360"/>
      </w:pPr>
      <w:rPr>
        <w:rFonts w:ascii="Times New Roman" w:eastAsia="Calibr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3">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5">
    <w:nsid w:val="400825EB"/>
    <w:multiLevelType w:val="hybridMultilevel"/>
    <w:tmpl w:val="013E27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06F1A72"/>
    <w:multiLevelType w:val="hybridMultilevel"/>
    <w:tmpl w:val="874CE6B4"/>
    <w:lvl w:ilvl="0" w:tplc="CF16113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9">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7BFF30FE"/>
    <w:multiLevelType w:val="multilevel"/>
    <w:tmpl w:val="3626B4FA"/>
    <w:lvl w:ilvl="0">
      <w:start w:val="1"/>
      <w:numFmt w:val="decimal"/>
      <w:lvlText w:val="%1."/>
      <w:lvlJc w:val="left"/>
      <w:pPr>
        <w:ind w:left="4472"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9"/>
  </w:num>
  <w:num w:numId="2">
    <w:abstractNumId w:val="3"/>
  </w:num>
  <w:num w:numId="3">
    <w:abstractNumId w:val="7"/>
  </w:num>
  <w:num w:numId="4">
    <w:abstractNumId w:val="8"/>
  </w:num>
  <w:num w:numId="5">
    <w:abstractNumId w:val="4"/>
  </w:num>
  <w:num w:numId="6">
    <w:abstractNumId w:val="0"/>
  </w:num>
  <w:num w:numId="7">
    <w:abstractNumId w:val="10"/>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390"/>
    <w:rsid w:val="000068AE"/>
    <w:rsid w:val="00012B3B"/>
    <w:rsid w:val="0001364D"/>
    <w:rsid w:val="00016B4F"/>
    <w:rsid w:val="0003090B"/>
    <w:rsid w:val="00037972"/>
    <w:rsid w:val="00041564"/>
    <w:rsid w:val="0005498A"/>
    <w:rsid w:val="00055697"/>
    <w:rsid w:val="00056FEB"/>
    <w:rsid w:val="00062023"/>
    <w:rsid w:val="00063EAC"/>
    <w:rsid w:val="00070EB1"/>
    <w:rsid w:val="00076626"/>
    <w:rsid w:val="0007664C"/>
    <w:rsid w:val="00081420"/>
    <w:rsid w:val="0008312B"/>
    <w:rsid w:val="00084AAA"/>
    <w:rsid w:val="000862E6"/>
    <w:rsid w:val="00087656"/>
    <w:rsid w:val="00091360"/>
    <w:rsid w:val="000959F1"/>
    <w:rsid w:val="000A2391"/>
    <w:rsid w:val="000A265E"/>
    <w:rsid w:val="000A4721"/>
    <w:rsid w:val="000B0A65"/>
    <w:rsid w:val="000B4468"/>
    <w:rsid w:val="000C14EA"/>
    <w:rsid w:val="000C52BE"/>
    <w:rsid w:val="000C5EDA"/>
    <w:rsid w:val="000C7336"/>
    <w:rsid w:val="000D18C9"/>
    <w:rsid w:val="000D50B4"/>
    <w:rsid w:val="000E132D"/>
    <w:rsid w:val="000E6514"/>
    <w:rsid w:val="000F5281"/>
    <w:rsid w:val="00104E81"/>
    <w:rsid w:val="001059E3"/>
    <w:rsid w:val="0010698D"/>
    <w:rsid w:val="00110D18"/>
    <w:rsid w:val="0012668C"/>
    <w:rsid w:val="0013507F"/>
    <w:rsid w:val="00143D0C"/>
    <w:rsid w:val="00147057"/>
    <w:rsid w:val="00156B99"/>
    <w:rsid w:val="001574D6"/>
    <w:rsid w:val="001623CA"/>
    <w:rsid w:val="00163774"/>
    <w:rsid w:val="00166EC2"/>
    <w:rsid w:val="001752EE"/>
    <w:rsid w:val="001767C4"/>
    <w:rsid w:val="00177353"/>
    <w:rsid w:val="0017753D"/>
    <w:rsid w:val="001776F3"/>
    <w:rsid w:val="00184062"/>
    <w:rsid w:val="0018572A"/>
    <w:rsid w:val="00190309"/>
    <w:rsid w:val="0019608F"/>
    <w:rsid w:val="001B3DF7"/>
    <w:rsid w:val="001C036D"/>
    <w:rsid w:val="001C1CD3"/>
    <w:rsid w:val="001C4C5C"/>
    <w:rsid w:val="001D0BCF"/>
    <w:rsid w:val="001D237D"/>
    <w:rsid w:val="001D4955"/>
    <w:rsid w:val="001E117B"/>
    <w:rsid w:val="001E2FA1"/>
    <w:rsid w:val="001F13F7"/>
    <w:rsid w:val="001F5390"/>
    <w:rsid w:val="00200CC0"/>
    <w:rsid w:val="00205D79"/>
    <w:rsid w:val="00210846"/>
    <w:rsid w:val="00220629"/>
    <w:rsid w:val="002246B9"/>
    <w:rsid w:val="00235430"/>
    <w:rsid w:val="0024454E"/>
    <w:rsid w:val="00246F26"/>
    <w:rsid w:val="00247050"/>
    <w:rsid w:val="00252BAC"/>
    <w:rsid w:val="00254A66"/>
    <w:rsid w:val="00257D62"/>
    <w:rsid w:val="0026167B"/>
    <w:rsid w:val="00261ADC"/>
    <w:rsid w:val="00274103"/>
    <w:rsid w:val="00281EE5"/>
    <w:rsid w:val="002A2B48"/>
    <w:rsid w:val="002A617A"/>
    <w:rsid w:val="002B0628"/>
    <w:rsid w:val="002B79F8"/>
    <w:rsid w:val="002C00B8"/>
    <w:rsid w:val="002C2CF3"/>
    <w:rsid w:val="002C38BE"/>
    <w:rsid w:val="002C3A31"/>
    <w:rsid w:val="002C62C4"/>
    <w:rsid w:val="002D3E21"/>
    <w:rsid w:val="002D57D1"/>
    <w:rsid w:val="002D692B"/>
    <w:rsid w:val="002E3369"/>
    <w:rsid w:val="002F7672"/>
    <w:rsid w:val="00302968"/>
    <w:rsid w:val="0030556F"/>
    <w:rsid w:val="00306989"/>
    <w:rsid w:val="00316BEC"/>
    <w:rsid w:val="00324BD1"/>
    <w:rsid w:val="00326739"/>
    <w:rsid w:val="003323E4"/>
    <w:rsid w:val="00333E7E"/>
    <w:rsid w:val="0034089F"/>
    <w:rsid w:val="0035312A"/>
    <w:rsid w:val="0035409A"/>
    <w:rsid w:val="00362A2D"/>
    <w:rsid w:val="003659ED"/>
    <w:rsid w:val="003665C8"/>
    <w:rsid w:val="00373199"/>
    <w:rsid w:val="003760A8"/>
    <w:rsid w:val="00377CB1"/>
    <w:rsid w:val="00381D15"/>
    <w:rsid w:val="00382775"/>
    <w:rsid w:val="0039072F"/>
    <w:rsid w:val="0039288B"/>
    <w:rsid w:val="00393F2F"/>
    <w:rsid w:val="00394DDA"/>
    <w:rsid w:val="0039710A"/>
    <w:rsid w:val="003A278C"/>
    <w:rsid w:val="003B694B"/>
    <w:rsid w:val="003D292D"/>
    <w:rsid w:val="003D3362"/>
    <w:rsid w:val="003D7B4E"/>
    <w:rsid w:val="003E03B1"/>
    <w:rsid w:val="003E53D4"/>
    <w:rsid w:val="003F0121"/>
    <w:rsid w:val="003F411F"/>
    <w:rsid w:val="003F6F98"/>
    <w:rsid w:val="00410B41"/>
    <w:rsid w:val="00415524"/>
    <w:rsid w:val="004164FD"/>
    <w:rsid w:val="0041734C"/>
    <w:rsid w:val="00427944"/>
    <w:rsid w:val="00433456"/>
    <w:rsid w:val="00440056"/>
    <w:rsid w:val="004459F6"/>
    <w:rsid w:val="004551DF"/>
    <w:rsid w:val="00455855"/>
    <w:rsid w:val="00457E6B"/>
    <w:rsid w:val="00463B28"/>
    <w:rsid w:val="0046602F"/>
    <w:rsid w:val="00471788"/>
    <w:rsid w:val="0047183D"/>
    <w:rsid w:val="00476C6D"/>
    <w:rsid w:val="00483401"/>
    <w:rsid w:val="00483CA9"/>
    <w:rsid w:val="00486B9C"/>
    <w:rsid w:val="004955C6"/>
    <w:rsid w:val="004A2A30"/>
    <w:rsid w:val="004A456C"/>
    <w:rsid w:val="004A4EB7"/>
    <w:rsid w:val="004A66E5"/>
    <w:rsid w:val="004A6C77"/>
    <w:rsid w:val="004B5AAC"/>
    <w:rsid w:val="004C013A"/>
    <w:rsid w:val="004C3677"/>
    <w:rsid w:val="004C3807"/>
    <w:rsid w:val="004C61F6"/>
    <w:rsid w:val="004D08E2"/>
    <w:rsid w:val="004D1D72"/>
    <w:rsid w:val="004D2BCD"/>
    <w:rsid w:val="004F067D"/>
    <w:rsid w:val="004F19D2"/>
    <w:rsid w:val="004F3C75"/>
    <w:rsid w:val="004F78FD"/>
    <w:rsid w:val="005015DB"/>
    <w:rsid w:val="005160F6"/>
    <w:rsid w:val="00520733"/>
    <w:rsid w:val="005273EA"/>
    <w:rsid w:val="00545A32"/>
    <w:rsid w:val="00550AB7"/>
    <w:rsid w:val="0055394C"/>
    <w:rsid w:val="0055435B"/>
    <w:rsid w:val="00556AAE"/>
    <w:rsid w:val="005635FC"/>
    <w:rsid w:val="005718C9"/>
    <w:rsid w:val="0059148A"/>
    <w:rsid w:val="00591FBC"/>
    <w:rsid w:val="005955F7"/>
    <w:rsid w:val="005A1F02"/>
    <w:rsid w:val="005A41B8"/>
    <w:rsid w:val="005A4B45"/>
    <w:rsid w:val="005A5F0D"/>
    <w:rsid w:val="005B47DE"/>
    <w:rsid w:val="005B6B8D"/>
    <w:rsid w:val="005B796D"/>
    <w:rsid w:val="005C23D6"/>
    <w:rsid w:val="005C2A2D"/>
    <w:rsid w:val="005C699A"/>
    <w:rsid w:val="005D1B1B"/>
    <w:rsid w:val="005D2187"/>
    <w:rsid w:val="005E59E6"/>
    <w:rsid w:val="005E6AF0"/>
    <w:rsid w:val="005F1597"/>
    <w:rsid w:val="005F3B64"/>
    <w:rsid w:val="005F5686"/>
    <w:rsid w:val="0060677B"/>
    <w:rsid w:val="00606F47"/>
    <w:rsid w:val="00607320"/>
    <w:rsid w:val="00623590"/>
    <w:rsid w:val="00645410"/>
    <w:rsid w:val="0064553C"/>
    <w:rsid w:val="00646AAE"/>
    <w:rsid w:val="00651B95"/>
    <w:rsid w:val="00664470"/>
    <w:rsid w:val="006661F7"/>
    <w:rsid w:val="006714A4"/>
    <w:rsid w:val="00672059"/>
    <w:rsid w:val="00673FF8"/>
    <w:rsid w:val="0067523B"/>
    <w:rsid w:val="006841F8"/>
    <w:rsid w:val="00690078"/>
    <w:rsid w:val="0069047B"/>
    <w:rsid w:val="00691F4E"/>
    <w:rsid w:val="00693559"/>
    <w:rsid w:val="006A35FF"/>
    <w:rsid w:val="006A555B"/>
    <w:rsid w:val="006B02A4"/>
    <w:rsid w:val="006B1D41"/>
    <w:rsid w:val="006B71CA"/>
    <w:rsid w:val="006B7E2E"/>
    <w:rsid w:val="006C2C05"/>
    <w:rsid w:val="006C4803"/>
    <w:rsid w:val="006C7599"/>
    <w:rsid w:val="006D40A3"/>
    <w:rsid w:val="006E24E5"/>
    <w:rsid w:val="006E46A0"/>
    <w:rsid w:val="00700C0C"/>
    <w:rsid w:val="00704BD6"/>
    <w:rsid w:val="007075A1"/>
    <w:rsid w:val="0070784B"/>
    <w:rsid w:val="0071798D"/>
    <w:rsid w:val="0072088F"/>
    <w:rsid w:val="00721058"/>
    <w:rsid w:val="00722173"/>
    <w:rsid w:val="00726610"/>
    <w:rsid w:val="00726CF6"/>
    <w:rsid w:val="0073598F"/>
    <w:rsid w:val="00741AC2"/>
    <w:rsid w:val="007554F0"/>
    <w:rsid w:val="00764551"/>
    <w:rsid w:val="00793129"/>
    <w:rsid w:val="00795D22"/>
    <w:rsid w:val="007A140C"/>
    <w:rsid w:val="007A1B81"/>
    <w:rsid w:val="007B08DD"/>
    <w:rsid w:val="007B36ED"/>
    <w:rsid w:val="007B3C49"/>
    <w:rsid w:val="007B4044"/>
    <w:rsid w:val="007B5BE9"/>
    <w:rsid w:val="007B702A"/>
    <w:rsid w:val="007D0E03"/>
    <w:rsid w:val="007E5A2F"/>
    <w:rsid w:val="007F5CB9"/>
    <w:rsid w:val="00800F62"/>
    <w:rsid w:val="00813DD9"/>
    <w:rsid w:val="00815C8D"/>
    <w:rsid w:val="00817F69"/>
    <w:rsid w:val="00830152"/>
    <w:rsid w:val="00840469"/>
    <w:rsid w:val="00841BA6"/>
    <w:rsid w:val="00841CEA"/>
    <w:rsid w:val="00850E4D"/>
    <w:rsid w:val="00853732"/>
    <w:rsid w:val="00861CFB"/>
    <w:rsid w:val="00865DE9"/>
    <w:rsid w:val="0086664C"/>
    <w:rsid w:val="0086761E"/>
    <w:rsid w:val="00867ABC"/>
    <w:rsid w:val="00877E5C"/>
    <w:rsid w:val="00881F0A"/>
    <w:rsid w:val="00882502"/>
    <w:rsid w:val="008909DA"/>
    <w:rsid w:val="008A26D9"/>
    <w:rsid w:val="008A3287"/>
    <w:rsid w:val="008B5293"/>
    <w:rsid w:val="008C34E8"/>
    <w:rsid w:val="008C7560"/>
    <w:rsid w:val="008D034C"/>
    <w:rsid w:val="008D678E"/>
    <w:rsid w:val="008D772C"/>
    <w:rsid w:val="008E376B"/>
    <w:rsid w:val="008E6317"/>
    <w:rsid w:val="00900593"/>
    <w:rsid w:val="00905E90"/>
    <w:rsid w:val="00921B49"/>
    <w:rsid w:val="009230E5"/>
    <w:rsid w:val="00925C66"/>
    <w:rsid w:val="00927483"/>
    <w:rsid w:val="0093424E"/>
    <w:rsid w:val="00942390"/>
    <w:rsid w:val="00946A43"/>
    <w:rsid w:val="00953CF1"/>
    <w:rsid w:val="00955B37"/>
    <w:rsid w:val="00961D59"/>
    <w:rsid w:val="00962302"/>
    <w:rsid w:val="00962519"/>
    <w:rsid w:val="0096357C"/>
    <w:rsid w:val="00964A74"/>
    <w:rsid w:val="0096683F"/>
    <w:rsid w:val="00970304"/>
    <w:rsid w:val="009713B5"/>
    <w:rsid w:val="00973298"/>
    <w:rsid w:val="00975498"/>
    <w:rsid w:val="009A2D76"/>
    <w:rsid w:val="009A4D8D"/>
    <w:rsid w:val="009B262C"/>
    <w:rsid w:val="009B30E1"/>
    <w:rsid w:val="009B3CFC"/>
    <w:rsid w:val="009C0BC7"/>
    <w:rsid w:val="009D0A29"/>
    <w:rsid w:val="009E50AC"/>
    <w:rsid w:val="009F40BA"/>
    <w:rsid w:val="009F4EB9"/>
    <w:rsid w:val="00A009DB"/>
    <w:rsid w:val="00A00AC9"/>
    <w:rsid w:val="00A02022"/>
    <w:rsid w:val="00A02A1C"/>
    <w:rsid w:val="00A06310"/>
    <w:rsid w:val="00A076FE"/>
    <w:rsid w:val="00A11A29"/>
    <w:rsid w:val="00A3157F"/>
    <w:rsid w:val="00A34F88"/>
    <w:rsid w:val="00A46DC0"/>
    <w:rsid w:val="00A502EF"/>
    <w:rsid w:val="00A5262D"/>
    <w:rsid w:val="00A56B69"/>
    <w:rsid w:val="00A654F1"/>
    <w:rsid w:val="00A71CCF"/>
    <w:rsid w:val="00A843B5"/>
    <w:rsid w:val="00A84527"/>
    <w:rsid w:val="00A85897"/>
    <w:rsid w:val="00A952FC"/>
    <w:rsid w:val="00AA354F"/>
    <w:rsid w:val="00AA5EF1"/>
    <w:rsid w:val="00AD0F6A"/>
    <w:rsid w:val="00AD1DDF"/>
    <w:rsid w:val="00AD40FA"/>
    <w:rsid w:val="00AD6677"/>
    <w:rsid w:val="00AD75DF"/>
    <w:rsid w:val="00AE550C"/>
    <w:rsid w:val="00B051B5"/>
    <w:rsid w:val="00B05732"/>
    <w:rsid w:val="00B07ADA"/>
    <w:rsid w:val="00B14A9C"/>
    <w:rsid w:val="00B15765"/>
    <w:rsid w:val="00B20311"/>
    <w:rsid w:val="00B30C24"/>
    <w:rsid w:val="00B3705D"/>
    <w:rsid w:val="00B37492"/>
    <w:rsid w:val="00B472AF"/>
    <w:rsid w:val="00B77F84"/>
    <w:rsid w:val="00B80EBE"/>
    <w:rsid w:val="00BA26A3"/>
    <w:rsid w:val="00BA30F2"/>
    <w:rsid w:val="00BA5702"/>
    <w:rsid w:val="00BB24DF"/>
    <w:rsid w:val="00BB4BE5"/>
    <w:rsid w:val="00BC17A3"/>
    <w:rsid w:val="00BC455F"/>
    <w:rsid w:val="00BD0812"/>
    <w:rsid w:val="00BD720C"/>
    <w:rsid w:val="00BE751E"/>
    <w:rsid w:val="00BF159A"/>
    <w:rsid w:val="00BF5664"/>
    <w:rsid w:val="00BF60FC"/>
    <w:rsid w:val="00C003A9"/>
    <w:rsid w:val="00C02FB1"/>
    <w:rsid w:val="00C108B6"/>
    <w:rsid w:val="00C127AA"/>
    <w:rsid w:val="00C128B0"/>
    <w:rsid w:val="00C15BF2"/>
    <w:rsid w:val="00C17A6D"/>
    <w:rsid w:val="00C17F63"/>
    <w:rsid w:val="00C23E77"/>
    <w:rsid w:val="00C344F3"/>
    <w:rsid w:val="00C3707E"/>
    <w:rsid w:val="00C40D18"/>
    <w:rsid w:val="00C4159E"/>
    <w:rsid w:val="00C42195"/>
    <w:rsid w:val="00C548F1"/>
    <w:rsid w:val="00C5621B"/>
    <w:rsid w:val="00C60E12"/>
    <w:rsid w:val="00C61603"/>
    <w:rsid w:val="00C63E47"/>
    <w:rsid w:val="00C675E8"/>
    <w:rsid w:val="00C72558"/>
    <w:rsid w:val="00C823C7"/>
    <w:rsid w:val="00C914FF"/>
    <w:rsid w:val="00CA0CB4"/>
    <w:rsid w:val="00CA0E1D"/>
    <w:rsid w:val="00CA4846"/>
    <w:rsid w:val="00CB650F"/>
    <w:rsid w:val="00CB6CD5"/>
    <w:rsid w:val="00CC3DD6"/>
    <w:rsid w:val="00CD1FEC"/>
    <w:rsid w:val="00CD6D5E"/>
    <w:rsid w:val="00CE1F31"/>
    <w:rsid w:val="00CE2B00"/>
    <w:rsid w:val="00CE75D8"/>
    <w:rsid w:val="00CF3103"/>
    <w:rsid w:val="00CF789E"/>
    <w:rsid w:val="00D01283"/>
    <w:rsid w:val="00D023F4"/>
    <w:rsid w:val="00D064BE"/>
    <w:rsid w:val="00D06CBA"/>
    <w:rsid w:val="00D11862"/>
    <w:rsid w:val="00D147C5"/>
    <w:rsid w:val="00D15397"/>
    <w:rsid w:val="00D15A51"/>
    <w:rsid w:val="00D24811"/>
    <w:rsid w:val="00D25876"/>
    <w:rsid w:val="00D25D79"/>
    <w:rsid w:val="00D30171"/>
    <w:rsid w:val="00D40CFC"/>
    <w:rsid w:val="00D42566"/>
    <w:rsid w:val="00D45E5C"/>
    <w:rsid w:val="00D5361F"/>
    <w:rsid w:val="00D54D48"/>
    <w:rsid w:val="00D61469"/>
    <w:rsid w:val="00D74D37"/>
    <w:rsid w:val="00D91E71"/>
    <w:rsid w:val="00D928E0"/>
    <w:rsid w:val="00DA0D37"/>
    <w:rsid w:val="00DA0D38"/>
    <w:rsid w:val="00DA6BC9"/>
    <w:rsid w:val="00DB0743"/>
    <w:rsid w:val="00DB55A7"/>
    <w:rsid w:val="00DB5908"/>
    <w:rsid w:val="00DD01E7"/>
    <w:rsid w:val="00DD5EA7"/>
    <w:rsid w:val="00DD60BA"/>
    <w:rsid w:val="00DE2585"/>
    <w:rsid w:val="00DF1A56"/>
    <w:rsid w:val="00DF54DD"/>
    <w:rsid w:val="00E0184B"/>
    <w:rsid w:val="00E026F6"/>
    <w:rsid w:val="00E03735"/>
    <w:rsid w:val="00E14159"/>
    <w:rsid w:val="00E4531E"/>
    <w:rsid w:val="00E47581"/>
    <w:rsid w:val="00E5072F"/>
    <w:rsid w:val="00E50FD4"/>
    <w:rsid w:val="00E5274E"/>
    <w:rsid w:val="00E5519A"/>
    <w:rsid w:val="00E8269A"/>
    <w:rsid w:val="00E8323E"/>
    <w:rsid w:val="00E92A51"/>
    <w:rsid w:val="00EA0297"/>
    <w:rsid w:val="00EA0546"/>
    <w:rsid w:val="00EA5810"/>
    <w:rsid w:val="00EA5C79"/>
    <w:rsid w:val="00EA6403"/>
    <w:rsid w:val="00EB2087"/>
    <w:rsid w:val="00EB45B5"/>
    <w:rsid w:val="00EB7586"/>
    <w:rsid w:val="00EC07A8"/>
    <w:rsid w:val="00ED1967"/>
    <w:rsid w:val="00ED2EA1"/>
    <w:rsid w:val="00ED47E6"/>
    <w:rsid w:val="00EE00CE"/>
    <w:rsid w:val="00EF25D1"/>
    <w:rsid w:val="00EF2A3B"/>
    <w:rsid w:val="00F0720F"/>
    <w:rsid w:val="00F07DF3"/>
    <w:rsid w:val="00F13235"/>
    <w:rsid w:val="00F17392"/>
    <w:rsid w:val="00F17574"/>
    <w:rsid w:val="00F2068C"/>
    <w:rsid w:val="00F2132D"/>
    <w:rsid w:val="00F221F1"/>
    <w:rsid w:val="00F35F02"/>
    <w:rsid w:val="00F443F6"/>
    <w:rsid w:val="00F46223"/>
    <w:rsid w:val="00F50CFF"/>
    <w:rsid w:val="00F6461D"/>
    <w:rsid w:val="00F73EDB"/>
    <w:rsid w:val="00F75C72"/>
    <w:rsid w:val="00F83E1F"/>
    <w:rsid w:val="00F84F92"/>
    <w:rsid w:val="00F906C8"/>
    <w:rsid w:val="00F9482F"/>
    <w:rsid w:val="00F95433"/>
    <w:rsid w:val="00F96C41"/>
    <w:rsid w:val="00FA3F71"/>
    <w:rsid w:val="00FB1E03"/>
    <w:rsid w:val="00FB371E"/>
    <w:rsid w:val="00FB6CBD"/>
    <w:rsid w:val="00FC0B7E"/>
    <w:rsid w:val="00FC2747"/>
    <w:rsid w:val="00FD1B98"/>
    <w:rsid w:val="00FE35E6"/>
    <w:rsid w:val="00FE3B56"/>
    <w:rsid w:val="00FE5AFF"/>
    <w:rsid w:val="00FF24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361F"/>
    <w:rPr>
      <w:rFonts w:ascii="Tahoma" w:hAnsi="Tahoma" w:cs="Tahoma"/>
      <w:sz w:val="16"/>
      <w:szCs w:val="16"/>
    </w:rPr>
  </w:style>
  <w:style w:type="paragraph" w:styleId="Revision">
    <w:name w:val="Revision"/>
    <w:hidden/>
    <w:uiPriority w:val="99"/>
    <w:semiHidden/>
    <w:rsid w:val="00FB371E"/>
    <w:rPr>
      <w:sz w:val="22"/>
      <w:szCs w:val="22"/>
      <w:lang w:eastAsia="en-US"/>
    </w:rPr>
  </w:style>
  <w:style w:type="character" w:styleId="CommentReference">
    <w:name w:val="annotation reference"/>
    <w:uiPriority w:val="99"/>
    <w:semiHidden/>
    <w:unhideWhenUsed/>
    <w:rsid w:val="004551DF"/>
    <w:rPr>
      <w:sz w:val="16"/>
      <w:szCs w:val="16"/>
    </w:rPr>
  </w:style>
  <w:style w:type="paragraph" w:styleId="CommentText">
    <w:name w:val="annotation text"/>
    <w:basedOn w:val="Normal"/>
    <w:link w:val="CommentTextChar"/>
    <w:uiPriority w:val="99"/>
    <w:semiHidden/>
    <w:unhideWhenUsed/>
    <w:rsid w:val="004551DF"/>
    <w:pPr>
      <w:spacing w:line="240" w:lineRule="auto"/>
    </w:pPr>
    <w:rPr>
      <w:sz w:val="20"/>
      <w:szCs w:val="20"/>
    </w:rPr>
  </w:style>
  <w:style w:type="character" w:customStyle="1" w:styleId="CommentTextChar">
    <w:name w:val="Comment Text Char"/>
    <w:link w:val="CommentText"/>
    <w:uiPriority w:val="99"/>
    <w:semiHidden/>
    <w:rsid w:val="004551DF"/>
    <w:rPr>
      <w:sz w:val="20"/>
      <w:szCs w:val="20"/>
    </w:rPr>
  </w:style>
  <w:style w:type="character" w:styleId="Hyperlink">
    <w:name w:val="Hyperlink"/>
    <w:uiPriority w:val="99"/>
    <w:unhideWhenUsed/>
    <w:rsid w:val="004D2BCD"/>
    <w:rPr>
      <w:color w:val="0000FF"/>
      <w:u w:val="single"/>
    </w:rPr>
  </w:style>
  <w:style w:type="paragraph" w:styleId="EndnoteText">
    <w:name w:val="endnote text"/>
    <w:basedOn w:val="Normal"/>
    <w:link w:val="EndnoteTextChar"/>
    <w:uiPriority w:val="99"/>
    <w:semiHidden/>
    <w:unhideWhenUsed/>
    <w:rsid w:val="006B1D41"/>
    <w:rPr>
      <w:sz w:val="20"/>
      <w:szCs w:val="20"/>
    </w:rPr>
  </w:style>
  <w:style w:type="character" w:customStyle="1" w:styleId="EndnoteTextChar">
    <w:name w:val="Endnote Text Char"/>
    <w:link w:val="EndnoteText"/>
    <w:uiPriority w:val="99"/>
    <w:semiHidden/>
    <w:rsid w:val="006B1D41"/>
    <w:rPr>
      <w:lang w:val="lv-LV"/>
    </w:rPr>
  </w:style>
  <w:style w:type="character" w:styleId="EndnoteReference">
    <w:name w:val="endnote reference"/>
    <w:uiPriority w:val="99"/>
    <w:semiHidden/>
    <w:unhideWhenUsed/>
    <w:rsid w:val="006B1D41"/>
    <w:rPr>
      <w:vertAlign w:val="superscript"/>
    </w:rPr>
  </w:style>
  <w:style w:type="paragraph" w:customStyle="1" w:styleId="naiskr">
    <w:name w:val="naiskr"/>
    <w:basedOn w:val="Normal"/>
    <w:rsid w:val="00326739"/>
    <w:pPr>
      <w:spacing w:before="75" w:after="75" w:line="240" w:lineRule="auto"/>
    </w:pPr>
    <w:rPr>
      <w:rFonts w:ascii="Times New Roman" w:eastAsia="Times New Roman" w:hAnsi="Times New Roman"/>
      <w:sz w:val="24"/>
      <w:szCs w:val="24"/>
      <w:lang w:eastAsia="lv-LV"/>
    </w:rPr>
  </w:style>
  <w:style w:type="paragraph" w:styleId="BodyText2">
    <w:name w:val="Body Text 2"/>
    <w:basedOn w:val="Normal"/>
    <w:link w:val="BodyText2Char"/>
    <w:uiPriority w:val="99"/>
    <w:semiHidden/>
    <w:unhideWhenUsed/>
    <w:rsid w:val="00BF159A"/>
    <w:pPr>
      <w:spacing w:after="120" w:line="480" w:lineRule="auto"/>
    </w:pPr>
    <w:rPr>
      <w:rFonts w:ascii="Times New Roman" w:hAnsi="Times New Roman"/>
      <w:sz w:val="20"/>
      <w:szCs w:val="20"/>
      <w:lang w:val="en-AU"/>
    </w:rPr>
  </w:style>
  <w:style w:type="character" w:customStyle="1" w:styleId="BodyText2Char">
    <w:name w:val="Body Text 2 Char"/>
    <w:basedOn w:val="DefaultParagraphFont"/>
    <w:link w:val="BodyText2"/>
    <w:uiPriority w:val="99"/>
    <w:semiHidden/>
    <w:rsid w:val="00BF159A"/>
    <w:rPr>
      <w:rFonts w:ascii="Times New Roman" w:hAnsi="Times New Roman"/>
      <w:lang w:val="en-AU" w:eastAsia="en-US"/>
    </w:rPr>
  </w:style>
  <w:style w:type="character" w:customStyle="1" w:styleId="apple-converted-space">
    <w:name w:val="apple-converted-space"/>
    <w:basedOn w:val="DefaultParagraphFont"/>
    <w:rsid w:val="004A4EB7"/>
  </w:style>
  <w:style w:type="paragraph" w:styleId="CommentSubject">
    <w:name w:val="annotation subject"/>
    <w:basedOn w:val="CommentText"/>
    <w:next w:val="CommentText"/>
    <w:link w:val="CommentSubjectChar"/>
    <w:uiPriority w:val="99"/>
    <w:semiHidden/>
    <w:unhideWhenUsed/>
    <w:rsid w:val="00483CA9"/>
    <w:rPr>
      <w:b/>
      <w:bCs/>
    </w:rPr>
  </w:style>
  <w:style w:type="character" w:customStyle="1" w:styleId="CommentSubjectChar">
    <w:name w:val="Comment Subject Char"/>
    <w:basedOn w:val="CommentTextChar"/>
    <w:link w:val="CommentSubject"/>
    <w:uiPriority w:val="99"/>
    <w:semiHidden/>
    <w:rsid w:val="00483CA9"/>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 w:id="2006396146">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480"/>
          <w:marBottom w:val="240"/>
          <w:divBdr>
            <w:top w:val="none" w:sz="0" w:space="0" w:color="auto"/>
            <w:left w:val="none" w:sz="0" w:space="0" w:color="auto"/>
            <w:bottom w:val="none" w:sz="0" w:space="0" w:color="auto"/>
            <w:right w:val="none" w:sz="0" w:space="0" w:color="auto"/>
          </w:divBdr>
        </w:div>
        <w:div w:id="15107135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3DF2-03C6-4DFB-8C93-9B78BA2F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2586</Words>
  <Characters>18029</Characters>
  <Application>Microsoft Office Word</Application>
  <DocSecurity>0</DocSecurity>
  <Lines>693</Lines>
  <Paragraphs>176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13.aprīļa noteikumos Nr.361 „Noteikumi par darbības programmas „Uzņēmējdarbība un inovācijas” papildinājuma 2.1.2.1.1.apakšaktivitāti „Kompetences centri””” sākotnējās ietekmes no</vt:lpstr>
    </vt:vector>
  </TitlesOfParts>
  <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13.aprīļa noteikumos Nr.361 „Noteikumi par darbības programmas „Uzņēmējdarbība un inovācijas” papildinājuma 2.1.2.1.1.apakšaktivitāti „Kompetences centri””” sākotnējās ietekmes novērtējuma ziņojums (anotācija)</dc:title>
  <dc:subject>Sākotnējās ietekmes novērtējuma ziņojums (anotācija)</dc:subject>
  <dc:creator>Gatis Silovs</dc:creator>
  <cp:keywords/>
  <dc:description>67013209, Gatis.Silovs@em.gov.lv</dc:description>
  <cp:lastModifiedBy>Gatis Silovs</cp:lastModifiedBy>
  <cp:revision>29</cp:revision>
  <dcterms:created xsi:type="dcterms:W3CDTF">2013-10-18T14:24:00Z</dcterms:created>
  <dcterms:modified xsi:type="dcterms:W3CDTF">2013-10-31T09:33:00Z</dcterms:modified>
</cp:coreProperties>
</file>