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3F" w:rsidRPr="00CE3D3F" w:rsidRDefault="00467328" w:rsidP="00CE3D3F">
      <w:pPr>
        <w:spacing w:after="240" w:line="240" w:lineRule="auto"/>
        <w:jc w:val="right"/>
        <w:rPr>
          <w:rFonts w:ascii="Times New Roman" w:hAnsi="Times New Roman" w:cs="Times New Roman"/>
          <w:sz w:val="24"/>
          <w:szCs w:val="24"/>
        </w:rPr>
      </w:pPr>
      <w:r>
        <w:rPr>
          <w:rFonts w:ascii="Times New Roman" w:eastAsiaTheme="majorEastAsia" w:hAnsi="Times New Roman" w:cs="Times New Roman"/>
          <w:bCs/>
          <w:sz w:val="24"/>
          <w:szCs w:val="24"/>
        </w:rPr>
        <w:t>P</w:t>
      </w:r>
      <w:r w:rsidR="00CE3D3F" w:rsidRPr="00CE3D3F">
        <w:rPr>
          <w:rFonts w:ascii="Times New Roman" w:eastAsiaTheme="majorEastAsia" w:hAnsi="Times New Roman" w:cs="Times New Roman"/>
          <w:bCs/>
          <w:sz w:val="24"/>
          <w:szCs w:val="24"/>
        </w:rPr>
        <w:t>ielikums</w:t>
      </w:r>
    </w:p>
    <w:p w:rsidR="00CE3D3F" w:rsidRPr="008D46BC" w:rsidRDefault="00CE3D3F" w:rsidP="00CE3D3F">
      <w:pPr>
        <w:spacing w:after="240" w:line="240" w:lineRule="auto"/>
        <w:jc w:val="center"/>
        <w:rPr>
          <w:rFonts w:ascii="Times New Roman" w:hAnsi="Times New Roman" w:cs="Times New Roman"/>
        </w:rPr>
      </w:pPr>
      <w:r w:rsidRPr="008D46BC">
        <w:rPr>
          <w:rFonts w:ascii="Times New Roman" w:hAnsi="Times New Roman" w:cs="Times New Roman"/>
          <w:b/>
        </w:rPr>
        <w:t>Energoefektivitātes</w:t>
      </w:r>
      <w:r w:rsidRPr="008D46BC">
        <w:rPr>
          <w:rFonts w:ascii="Times New Roman" w:hAnsi="Times New Roman" w:cs="Times New Roman"/>
        </w:rPr>
        <w:t xml:space="preserve"> </w:t>
      </w:r>
      <w:r w:rsidRPr="008D46BC">
        <w:rPr>
          <w:rFonts w:ascii="Times New Roman" w:hAnsi="Times New Roman" w:cs="Times New Roman"/>
          <w:b/>
        </w:rPr>
        <w:t>shēmas</w:t>
      </w:r>
    </w:p>
    <w:tbl>
      <w:tblPr>
        <w:tblStyle w:val="TableGrid"/>
        <w:tblW w:w="14567" w:type="dxa"/>
        <w:tblLayout w:type="fixed"/>
        <w:tblLook w:val="04A0" w:firstRow="1" w:lastRow="0" w:firstColumn="1" w:lastColumn="0" w:noHBand="0" w:noVBand="1"/>
      </w:tblPr>
      <w:tblGrid>
        <w:gridCol w:w="1101"/>
        <w:gridCol w:w="2008"/>
        <w:gridCol w:w="1535"/>
        <w:gridCol w:w="3402"/>
        <w:gridCol w:w="1560"/>
        <w:gridCol w:w="992"/>
        <w:gridCol w:w="2268"/>
        <w:gridCol w:w="1701"/>
      </w:tblGrid>
      <w:tr w:rsidR="00CE3D3F" w:rsidRPr="008D46BC" w:rsidTr="00CE3D3F">
        <w:tc>
          <w:tcPr>
            <w:tcW w:w="1101"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Valsts</w:t>
            </w:r>
          </w:p>
        </w:tc>
        <w:tc>
          <w:tcPr>
            <w:tcW w:w="2008"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Attiecināmais enerģijas tirgus</w:t>
            </w:r>
          </w:p>
        </w:tc>
        <w:tc>
          <w:tcPr>
            <w:tcW w:w="1535"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Attiecināmie lietotāji</w:t>
            </w:r>
          </w:p>
        </w:tc>
        <w:tc>
          <w:tcPr>
            <w:tcW w:w="3402"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Atbalstāmās darbības</w:t>
            </w:r>
          </w:p>
        </w:tc>
        <w:tc>
          <w:tcPr>
            <w:tcW w:w="1560"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Finanšu avoti</w:t>
            </w:r>
          </w:p>
        </w:tc>
        <w:tc>
          <w:tcPr>
            <w:tcW w:w="992"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Soda sankcijas</w:t>
            </w:r>
          </w:p>
        </w:tc>
        <w:tc>
          <w:tcPr>
            <w:tcW w:w="2268"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Ietaupījuma mērķi</w:t>
            </w:r>
          </w:p>
        </w:tc>
        <w:tc>
          <w:tcPr>
            <w:tcW w:w="1701"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Sertifikātu tirgus</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Dānija</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Centrālās siltumapgādes sistēmas (160 uzņēmumi), dabasgāze, elektroenerģija (kopā 75 uzņēmumi), nafta</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Attiecas uz visu galapatēriņu, izņemot transportu</w:t>
            </w:r>
          </w:p>
        </w:tc>
        <w:tc>
          <w:tcPr>
            <w:tcW w:w="340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AER iekārtas, kas samazina patērēto enerģiju. Biomasas, biogāzes un atkritumu izmantošana, ja pieaug lietderības </w:t>
            </w:r>
            <w:proofErr w:type="spellStart"/>
            <w:r w:rsidRPr="008D46BC">
              <w:rPr>
                <w:rFonts w:ascii="Times New Roman" w:hAnsi="Times New Roman" w:cs="Times New Roman"/>
              </w:rPr>
              <w:t>koef</w:t>
            </w:r>
            <w:proofErr w:type="spellEnd"/>
            <w:r w:rsidRPr="008D46BC">
              <w:rPr>
                <w:rFonts w:ascii="Times New Roman" w:hAnsi="Times New Roman" w:cs="Times New Roman"/>
              </w:rPr>
              <w:t>.</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Komunālie uzņēmumi var atgūt izmaksas caur tarifiem</w:t>
            </w: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 </w:t>
            </w:r>
          </w:p>
          <w:p w:rsidR="00CE3D3F" w:rsidRPr="008D46BC" w:rsidRDefault="00CE3D3F" w:rsidP="003F05E3">
            <w:pPr>
              <w:rPr>
                <w:rFonts w:ascii="Times New Roman" w:hAnsi="Times New Roman" w:cs="Times New Roman"/>
              </w:rPr>
            </w:pPr>
            <w:r w:rsidRPr="008D46BC">
              <w:rPr>
                <w:rFonts w:ascii="Times New Roman" w:hAnsi="Times New Roman" w:cs="Times New Roman"/>
              </w:rPr>
              <w:t>Vidējās izmaksas 5 eiro centi par kWh</w:t>
            </w:r>
          </w:p>
        </w:tc>
        <w:tc>
          <w:tcPr>
            <w:tcW w:w="992" w:type="dxa"/>
          </w:tcPr>
          <w:p w:rsidR="00CE3D3F" w:rsidRPr="008D46BC" w:rsidRDefault="00CE3D3F" w:rsidP="003F05E3">
            <w:pPr>
              <w:rPr>
                <w:rFonts w:ascii="Times New Roman" w:hAnsi="Times New Roman" w:cs="Times New Roman"/>
              </w:rPr>
            </w:pP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4</w:t>
            </w:r>
            <w:r w:rsidR="00320393">
              <w:rPr>
                <w:rFonts w:ascii="Times New Roman" w:hAnsi="Times New Roman" w:cs="Times New Roman"/>
              </w:rPr>
              <w:t> </w:t>
            </w:r>
            <w:r w:rsidRPr="008D46BC">
              <w:rPr>
                <w:rFonts w:ascii="Times New Roman" w:hAnsi="Times New Roman" w:cs="Times New Roman"/>
              </w:rPr>
              <w:t>% ietaupījums 2020. gadā salīdzinot ar 2006. gadu</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Ikgadējais enerģijas ietaupījuma mērķis 6,1 PJ (0,15 </w:t>
            </w:r>
            <w:proofErr w:type="spellStart"/>
            <w:r w:rsidRPr="008D46BC">
              <w:rPr>
                <w:rFonts w:ascii="Times New Roman" w:hAnsi="Times New Roman" w:cs="Times New Roman"/>
              </w:rPr>
              <w:t>Mtoe</w:t>
            </w:r>
            <w:proofErr w:type="spellEnd"/>
            <w:r w:rsidRPr="008D46BC">
              <w:rPr>
                <w:rFonts w:ascii="Times New Roman" w:hAnsi="Times New Roman" w:cs="Times New Roman"/>
              </w:rPr>
              <w:t>) (1,5</w:t>
            </w:r>
            <w:r w:rsidR="00320393">
              <w:rPr>
                <w:rFonts w:ascii="Times New Roman" w:hAnsi="Times New Roman" w:cs="Times New Roman"/>
              </w:rPr>
              <w:t> </w:t>
            </w:r>
            <w:r w:rsidRPr="008D46BC">
              <w:rPr>
                <w:rFonts w:ascii="Times New Roman" w:hAnsi="Times New Roman" w:cs="Times New Roman"/>
              </w:rPr>
              <w:t>% no kopējā enerģijas galapatēriņa)</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50% no mērķa jāsasniedz elektroenerģijas operatoriem, 30</w:t>
            </w:r>
            <w:r w:rsidR="00320393">
              <w:rPr>
                <w:rFonts w:ascii="Times New Roman" w:hAnsi="Times New Roman" w:cs="Times New Roman"/>
              </w:rPr>
              <w:t> </w:t>
            </w:r>
            <w:r w:rsidRPr="008D46BC">
              <w:rPr>
                <w:rFonts w:ascii="Times New Roman" w:hAnsi="Times New Roman" w:cs="Times New Roman"/>
              </w:rPr>
              <w:t>% - siltumapgādes, 20</w:t>
            </w:r>
            <w:r w:rsidR="00320393">
              <w:rPr>
                <w:rFonts w:ascii="Times New Roman" w:hAnsi="Times New Roman" w:cs="Times New Roman"/>
              </w:rPr>
              <w:t> </w:t>
            </w:r>
            <w:r w:rsidRPr="008D46BC">
              <w:rPr>
                <w:rFonts w:ascii="Times New Roman" w:hAnsi="Times New Roman" w:cs="Times New Roman"/>
              </w:rPr>
              <w:t>% - dabasgāzes</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Attiecināmie uzņēmumi ar sertifikātiem var tirgoties tikai savā starpā, tomēr var tikt slēgts līgums ar privāto sektoru par enerģijas ietaupījumu</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Beļģija</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Elektroenerģijas sadales sistēmas operatori (16)</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Dzīvojamo ēku sektors, rūpniecības un pakalpojumu sektori, kas nav </w:t>
            </w:r>
            <w:proofErr w:type="spellStart"/>
            <w:r w:rsidRPr="008D46BC">
              <w:rPr>
                <w:rFonts w:ascii="Times New Roman" w:hAnsi="Times New Roman" w:cs="Times New Roman"/>
              </w:rPr>
              <w:t>energointensīvi</w:t>
            </w:r>
            <w:proofErr w:type="spellEnd"/>
          </w:p>
        </w:tc>
        <w:tc>
          <w:tcPr>
            <w:tcW w:w="340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Informatīvās kampaņas, energoauditi, ēku siltināšana, apkures katlu nomaiņa</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Sociāliem klientiem:</w:t>
            </w:r>
          </w:p>
          <w:p w:rsidR="00CE3D3F" w:rsidRPr="008D46BC" w:rsidRDefault="00CE3D3F" w:rsidP="003F05E3">
            <w:pPr>
              <w:rPr>
                <w:rFonts w:ascii="Times New Roman" w:hAnsi="Times New Roman" w:cs="Times New Roman"/>
              </w:rPr>
            </w:pPr>
            <w:r w:rsidRPr="008D46BC">
              <w:rPr>
                <w:rFonts w:ascii="Times New Roman" w:hAnsi="Times New Roman" w:cs="Times New Roman"/>
              </w:rPr>
              <w:t>kuponi 150 eiro vērtībā visefektīvākajiem ledusskapjiem un veļas mazgājamām mašīnām, 800 eiro prēmija apkures katliem, enerģijas patēriņa mērījumi, jumta vai bēniņu siltināšana</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Sistēmas operatoriem budžetā jāiekļauj enerģijas ietaupījuma pienākums</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0,025 eiro izmaksas par katru ietaupīto kWh</w:t>
            </w:r>
          </w:p>
        </w:tc>
        <w:tc>
          <w:tcPr>
            <w:tcW w:w="99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0,1 eiro par kWh</w:t>
            </w: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Elektroenerģijas sadales sistēmas operatoriem 3,5%</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Tiem, kuru galalietotāju skaits ir &lt;2500, ietaupījuma mērķis 2,5</w:t>
            </w:r>
            <w:r w:rsidR="00320393">
              <w:rPr>
                <w:rFonts w:ascii="Times New Roman" w:hAnsi="Times New Roman" w:cs="Times New Roman"/>
              </w:rPr>
              <w:t> </w:t>
            </w:r>
            <w:r w:rsidRPr="008D46BC">
              <w:rPr>
                <w:rFonts w:ascii="Times New Roman" w:hAnsi="Times New Roman" w:cs="Times New Roman"/>
              </w:rPr>
              <w:t>% (Rēķinot attiecībā pret rādītāju pirms diviem gadiem)</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Nav iespējas tirgoties ar sertifikātiem</w:t>
            </w:r>
            <w:r w:rsidR="00277C23">
              <w:rPr>
                <w:rFonts w:ascii="Times New Roman" w:hAnsi="Times New Roman" w:cs="Times New Roman"/>
              </w:rPr>
              <w:t>, bet tie kalpo kā enerģijas ietaupījuma apliecinoši dokumenti</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Francija</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Elektroenerģija, dabasgāze, LPG, siltumapgāde dzesēšana, apkures degviela, transporta degviela </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Visi galapatēriņa sektori, izņemot rūpniecības uzņēmumus, kas pakļauti ETS</w:t>
            </w:r>
          </w:p>
        </w:tc>
        <w:tc>
          <w:tcPr>
            <w:tcW w:w="3402" w:type="dxa"/>
          </w:tcPr>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 xml:space="preserve">Dzīvojamo ēku siltināšana, apkure, karstā ūdens sagatavošana, apgaismojums, sadzīves tehnika, ventilācija </w:t>
            </w:r>
            <w:proofErr w:type="spellStart"/>
            <w:r w:rsidRPr="008D46BC">
              <w:rPr>
                <w:rFonts w:ascii="Times New Roman" w:hAnsi="Times New Roman" w:cs="Times New Roman"/>
              </w:rPr>
              <w:t>u.c</w:t>
            </w:r>
            <w:proofErr w:type="spellEnd"/>
            <w:r w:rsidRPr="008D46BC">
              <w:rPr>
                <w:rFonts w:ascii="Times New Roman" w:hAnsi="Times New Roman" w:cs="Times New Roman"/>
              </w:rPr>
              <w:t>.</w:t>
            </w:r>
          </w:p>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 xml:space="preserve">Tirdzniecības ēku siltināšana, apkure, karstā ūdens sagatavošana, apgaismojums, ventilācija </w:t>
            </w:r>
            <w:proofErr w:type="spellStart"/>
            <w:r w:rsidRPr="008D46BC">
              <w:rPr>
                <w:rFonts w:ascii="Times New Roman" w:hAnsi="Times New Roman" w:cs="Times New Roman"/>
              </w:rPr>
              <w:t>u.c</w:t>
            </w:r>
            <w:proofErr w:type="spellEnd"/>
            <w:r w:rsidRPr="008D46BC">
              <w:rPr>
                <w:rFonts w:ascii="Times New Roman" w:hAnsi="Times New Roman" w:cs="Times New Roman"/>
              </w:rPr>
              <w:t>.</w:t>
            </w:r>
          </w:p>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 xml:space="preserve">Ražošanas ēku apgaismojums, ražošanas iekārtas, siltuma atgūšana </w:t>
            </w:r>
            <w:proofErr w:type="spellStart"/>
            <w:r w:rsidRPr="008D46BC">
              <w:rPr>
                <w:rFonts w:ascii="Times New Roman" w:hAnsi="Times New Roman" w:cs="Times New Roman"/>
              </w:rPr>
              <w:t>u.c</w:t>
            </w:r>
            <w:proofErr w:type="spellEnd"/>
            <w:r w:rsidRPr="008D46BC">
              <w:rPr>
                <w:rFonts w:ascii="Times New Roman" w:hAnsi="Times New Roman" w:cs="Times New Roman"/>
              </w:rPr>
              <w:t>.</w:t>
            </w:r>
          </w:p>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Transporta izmantošana efektīvākā veidā.</w:t>
            </w:r>
          </w:p>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 xml:space="preserve">Lauksaimniecības procesu </w:t>
            </w:r>
            <w:proofErr w:type="spellStart"/>
            <w:r w:rsidRPr="008D46BC">
              <w:rPr>
                <w:rFonts w:ascii="Times New Roman" w:hAnsi="Times New Roman" w:cs="Times New Roman"/>
              </w:rPr>
              <w:t>efektivizācija</w:t>
            </w:r>
            <w:proofErr w:type="spellEnd"/>
            <w:r w:rsidRPr="008D46BC">
              <w:rPr>
                <w:rFonts w:ascii="Times New Roman" w:hAnsi="Times New Roman" w:cs="Times New Roman"/>
              </w:rPr>
              <w:t>.</w:t>
            </w:r>
          </w:p>
          <w:p w:rsidR="00CE3D3F" w:rsidRPr="008D46BC" w:rsidRDefault="00CE3D3F" w:rsidP="003F05E3">
            <w:pPr>
              <w:ind w:left="15"/>
              <w:jc w:val="both"/>
              <w:rPr>
                <w:rFonts w:ascii="Times New Roman" w:hAnsi="Times New Roman" w:cs="Times New Roman"/>
              </w:rPr>
            </w:pPr>
            <w:r w:rsidRPr="008D46BC">
              <w:rPr>
                <w:rFonts w:ascii="Times New Roman" w:hAnsi="Times New Roman" w:cs="Times New Roman"/>
              </w:rPr>
              <w:t xml:space="preserve">Apkures sistēmas, ielu apgaismojums </w:t>
            </w:r>
            <w:proofErr w:type="spellStart"/>
            <w:r w:rsidRPr="008D46BC">
              <w:rPr>
                <w:rFonts w:ascii="Times New Roman" w:hAnsi="Times New Roman" w:cs="Times New Roman"/>
              </w:rPr>
              <w:t>u.c</w:t>
            </w:r>
            <w:proofErr w:type="spellEnd"/>
            <w:r w:rsidRPr="008D46BC">
              <w:rPr>
                <w:rFonts w:ascii="Times New Roman" w:hAnsi="Times New Roman" w:cs="Times New Roman"/>
              </w:rPr>
              <w:t>.</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Izmaksas 0,4 eiro centi par kWh</w:t>
            </w:r>
          </w:p>
        </w:tc>
        <w:tc>
          <w:tcPr>
            <w:tcW w:w="99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2 eiro centi par kWh</w:t>
            </w: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7,77 </w:t>
            </w:r>
            <w:proofErr w:type="spellStart"/>
            <w:r w:rsidRPr="008D46BC">
              <w:rPr>
                <w:rFonts w:ascii="Times New Roman" w:hAnsi="Times New Roman" w:cs="Times New Roman"/>
              </w:rPr>
              <w:t>TWh</w:t>
            </w:r>
            <w:proofErr w:type="spellEnd"/>
            <w:r w:rsidRPr="008D46BC">
              <w:rPr>
                <w:rFonts w:ascii="Times New Roman" w:hAnsi="Times New Roman" w:cs="Times New Roman"/>
              </w:rPr>
              <w:t xml:space="preserve">/gadā (0,67 </w:t>
            </w:r>
            <w:proofErr w:type="spellStart"/>
            <w:r w:rsidRPr="008D46BC">
              <w:rPr>
                <w:rFonts w:ascii="Times New Roman" w:hAnsi="Times New Roman" w:cs="Times New Roman"/>
              </w:rPr>
              <w:t>Mtoe</w:t>
            </w:r>
            <w:proofErr w:type="spellEnd"/>
            <w:r w:rsidRPr="008D46BC">
              <w:rPr>
                <w:rFonts w:ascii="Times New Roman" w:hAnsi="Times New Roman" w:cs="Times New Roman"/>
              </w:rPr>
              <w:t>) (0,95</w:t>
            </w:r>
            <w:r w:rsidR="00320393">
              <w:rPr>
                <w:rFonts w:ascii="Times New Roman" w:hAnsi="Times New Roman" w:cs="Times New Roman"/>
              </w:rPr>
              <w:t> </w:t>
            </w:r>
            <w:r w:rsidRPr="008D46BC">
              <w:rPr>
                <w:rFonts w:ascii="Times New Roman" w:hAnsi="Times New Roman" w:cs="Times New Roman"/>
              </w:rPr>
              <w:t>% no mājsaimniecību un pakalpojumu sektora ēku patēriņa, 28 PJ)</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Iespēja tirgoties savā starpā un ar trešajām pusēm</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Itālija</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Elektroenerģijas (14) un gāzes (62) sadales sistēmas operatori, kuriem ir vairāk nekā 50 000 klientu</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Visi galapatēriņa sektori (izņemot saules paneļi &lt;20 kW)</w:t>
            </w:r>
          </w:p>
        </w:tc>
        <w:tc>
          <w:tcPr>
            <w:tcW w:w="340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Tehnoloģiju nomaiņa un ar to saistītas informatīvas kampaņas</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Izmaksu atgūšanas mehānisms atbildīgajām pusēm tiek finansēts caur elektroenerģijas un dabasgāzes tarifiem</w:t>
            </w:r>
          </w:p>
        </w:tc>
        <w:tc>
          <w:tcPr>
            <w:tcW w:w="99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Ir finansiāli sodi. Tie tiek pagarināti, ja ir izpildītas vismaz 60</w:t>
            </w:r>
            <w:r w:rsidR="00320393">
              <w:rPr>
                <w:rFonts w:ascii="Times New Roman" w:hAnsi="Times New Roman" w:cs="Times New Roman"/>
              </w:rPr>
              <w:t> </w:t>
            </w:r>
            <w:r w:rsidRPr="008D46BC">
              <w:rPr>
                <w:rFonts w:ascii="Times New Roman" w:hAnsi="Times New Roman" w:cs="Times New Roman"/>
              </w:rPr>
              <w:t>% no prasībām</w:t>
            </w: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55 PJ/gadā (1,3 </w:t>
            </w:r>
            <w:proofErr w:type="spellStart"/>
            <w:r w:rsidRPr="008D46BC">
              <w:rPr>
                <w:rFonts w:ascii="Times New Roman" w:hAnsi="Times New Roman" w:cs="Times New Roman"/>
              </w:rPr>
              <w:t>Mtoe</w:t>
            </w:r>
            <w:proofErr w:type="spellEnd"/>
            <w:r w:rsidRPr="008D46BC">
              <w:rPr>
                <w:rFonts w:ascii="Times New Roman" w:hAnsi="Times New Roman" w:cs="Times New Roman"/>
              </w:rPr>
              <w:t>) (Kopējais patēriņš gadā ~8300 PJ) apmēram 0,7</w:t>
            </w:r>
            <w:r w:rsidR="00320393">
              <w:rPr>
                <w:rFonts w:ascii="Times New Roman" w:hAnsi="Times New Roman" w:cs="Times New Roman"/>
              </w:rPr>
              <w:t> </w:t>
            </w:r>
            <w:r w:rsidRPr="008D46BC">
              <w:rPr>
                <w:rFonts w:ascii="Times New Roman" w:hAnsi="Times New Roman" w:cs="Times New Roman"/>
              </w:rPr>
              <w:t>%</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Elektroenerģijas sektoram lielākā daļa no mērķa</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Ir tirdzniecības sistēma, kurā var iesaistīties trešās personas</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Polija</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Uzņēmumi, kas pārdod elektroenerģiju, siltumenerģiju un gāzi galalietotājiem</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Izņēmums ir siltumenerģijas </w:t>
            </w:r>
            <w:r w:rsidRPr="008D46BC">
              <w:rPr>
                <w:rFonts w:ascii="Times New Roman" w:hAnsi="Times New Roman" w:cs="Times New Roman"/>
              </w:rPr>
              <w:lastRenderedPageBreak/>
              <w:t>ražotājs, kura jauda ir zem 5 MW</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 xml:space="preserve">Mājsaimniecības, uzņēmumi un rūpniecības sektori: galalietotāju energoefektivitātei, enerģijas ietaupījumi </w:t>
            </w:r>
            <w:r w:rsidRPr="008D46BC">
              <w:rPr>
                <w:rFonts w:ascii="Times New Roman" w:hAnsi="Times New Roman" w:cs="Times New Roman"/>
              </w:rPr>
              <w:lastRenderedPageBreak/>
              <w:t>pašu ēkās, kā arī enerģijas pārvades un sadales zudumu samazināšanai</w:t>
            </w:r>
          </w:p>
        </w:tc>
        <w:tc>
          <w:tcPr>
            <w:tcW w:w="340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Reizi 10 gados publiskajām ēkām energoaudits</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Enerģijas ražošanas, sadales, pārvades sistēmu un galapatēriņa sektora modernizācija</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Tarifu paaugstināšana elektroenerģijai, siltumenerģijai un dabasgāzei. </w:t>
            </w:r>
          </w:p>
        </w:tc>
        <w:tc>
          <w:tcPr>
            <w:tcW w:w="99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150 līdz 450 Ls par 1 </w:t>
            </w:r>
            <w:proofErr w:type="spellStart"/>
            <w:r w:rsidRPr="008D46BC">
              <w:rPr>
                <w:rFonts w:ascii="Times New Roman" w:hAnsi="Times New Roman" w:cs="Times New Roman"/>
              </w:rPr>
              <w:t>toe</w:t>
            </w:r>
            <w:proofErr w:type="spellEnd"/>
            <w:r w:rsidRPr="008D46BC">
              <w:rPr>
                <w:rFonts w:ascii="Times New Roman" w:hAnsi="Times New Roman" w:cs="Times New Roman"/>
              </w:rPr>
              <w:t xml:space="preserve"> (11,63 </w:t>
            </w:r>
            <w:proofErr w:type="spellStart"/>
            <w:r w:rsidRPr="008D46BC">
              <w:rPr>
                <w:rFonts w:ascii="Times New Roman" w:hAnsi="Times New Roman" w:cs="Times New Roman"/>
              </w:rPr>
              <w:t>MWh</w:t>
            </w:r>
            <w:proofErr w:type="spellEnd"/>
            <w:r w:rsidRPr="008D46BC">
              <w:rPr>
                <w:rFonts w:ascii="Times New Roman" w:hAnsi="Times New Roman" w:cs="Times New Roman"/>
              </w:rPr>
              <w:t>)</w:t>
            </w: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Sagaidāms 25586 </w:t>
            </w:r>
            <w:proofErr w:type="spellStart"/>
            <w:r w:rsidRPr="008D46BC">
              <w:rPr>
                <w:rFonts w:ascii="Times New Roman" w:hAnsi="Times New Roman" w:cs="Times New Roman"/>
              </w:rPr>
              <w:t>GWh</w:t>
            </w:r>
            <w:proofErr w:type="spellEnd"/>
            <w:r w:rsidRPr="008D46BC">
              <w:rPr>
                <w:rFonts w:ascii="Times New Roman" w:hAnsi="Times New Roman" w:cs="Times New Roman"/>
              </w:rPr>
              <w:t xml:space="preserve"> (92,1 PJ, 2,2 </w:t>
            </w:r>
            <w:proofErr w:type="spellStart"/>
            <w:r w:rsidRPr="008D46BC">
              <w:rPr>
                <w:rFonts w:ascii="Times New Roman" w:hAnsi="Times New Roman" w:cs="Times New Roman"/>
              </w:rPr>
              <w:t>Mtoe</w:t>
            </w:r>
            <w:proofErr w:type="spellEnd"/>
            <w:r w:rsidRPr="008D46BC">
              <w:rPr>
                <w:rFonts w:ascii="Times New Roman" w:hAnsi="Times New Roman" w:cs="Times New Roman"/>
              </w:rPr>
              <w:t>) ietaupījums 2016. gadā salīdzinot ar 2013. gadu</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Darboties sāk 2013. gadā</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Ir tirdzniecības sistēma, kurā var iesaistīties trešās personas</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Sertifikāts par aktivitāti ar vairāk kā 10 </w:t>
            </w:r>
            <w:proofErr w:type="spellStart"/>
            <w:r w:rsidRPr="008D46BC">
              <w:rPr>
                <w:rFonts w:ascii="Times New Roman" w:hAnsi="Times New Roman" w:cs="Times New Roman"/>
              </w:rPr>
              <w:t>toe</w:t>
            </w:r>
            <w:proofErr w:type="spellEnd"/>
            <w:r w:rsidRPr="008D46BC">
              <w:rPr>
                <w:rFonts w:ascii="Times New Roman" w:hAnsi="Times New Roman" w:cs="Times New Roman"/>
              </w:rPr>
              <w:t xml:space="preserve"> </w:t>
            </w:r>
            <w:r w:rsidRPr="008D46BC">
              <w:rPr>
                <w:rFonts w:ascii="Times New Roman" w:hAnsi="Times New Roman" w:cs="Times New Roman"/>
              </w:rPr>
              <w:lastRenderedPageBreak/>
              <w:t>ietaupījumu</w:t>
            </w:r>
          </w:p>
        </w:tc>
      </w:tr>
      <w:tr w:rsidR="00CE3D3F" w:rsidRPr="008D46BC" w:rsidTr="003F05E3">
        <w:tc>
          <w:tcPr>
            <w:tcW w:w="11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Apvienotā karaliste</w:t>
            </w:r>
          </w:p>
        </w:tc>
        <w:tc>
          <w:tcPr>
            <w:tcW w:w="200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Elektroenerģijas un gāzes tirgus (6 operatori)</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Arī elektroenerģijas mazumtirgotāji, kas gadā saražo &gt;10 </w:t>
            </w:r>
            <w:proofErr w:type="spellStart"/>
            <w:r w:rsidRPr="008D46BC">
              <w:rPr>
                <w:rFonts w:ascii="Times New Roman" w:hAnsi="Times New Roman" w:cs="Times New Roman"/>
              </w:rPr>
              <w:t>TWh</w:t>
            </w:r>
            <w:proofErr w:type="spellEnd"/>
            <w:r w:rsidRPr="008D46BC">
              <w:rPr>
                <w:rFonts w:ascii="Times New Roman" w:hAnsi="Times New Roman" w:cs="Times New Roman"/>
              </w:rPr>
              <w:t xml:space="preserve"> (11)</w:t>
            </w:r>
          </w:p>
        </w:tc>
        <w:tc>
          <w:tcPr>
            <w:tcW w:w="1535"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Sadales operatori ar &gt;50 000 klientiem</w:t>
            </w:r>
          </w:p>
        </w:tc>
        <w:tc>
          <w:tcPr>
            <w:tcW w:w="340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Mērķi: energoefektivitātes uzlabošana, palielināt saražoto elektroenerģiju un siltumenerģiju </w:t>
            </w:r>
            <w:proofErr w:type="spellStart"/>
            <w:r w:rsidRPr="008D46BC">
              <w:rPr>
                <w:rFonts w:ascii="Times New Roman" w:hAnsi="Times New Roman" w:cs="Times New Roman"/>
              </w:rPr>
              <w:t>mikro-ģenerācijā,</w:t>
            </w:r>
            <w:proofErr w:type="spellEnd"/>
            <w:r w:rsidRPr="008D46BC">
              <w:rPr>
                <w:rFonts w:ascii="Times New Roman" w:hAnsi="Times New Roman" w:cs="Times New Roman"/>
              </w:rPr>
              <w:t xml:space="preserve"> palielināt siltumenerģijas apjomus, kas iegūta no koksnes, samazināt enerģijas patēriņu</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Tarifu pieaugums</w:t>
            </w:r>
          </w:p>
          <w:p w:rsidR="00CE3D3F" w:rsidRPr="008D46BC" w:rsidRDefault="00CE3D3F" w:rsidP="003F05E3">
            <w:pPr>
              <w:rPr>
                <w:rFonts w:ascii="Times New Roman" w:hAnsi="Times New Roman" w:cs="Times New Roman"/>
              </w:rPr>
            </w:pPr>
            <w:r w:rsidRPr="008D46BC">
              <w:rPr>
                <w:rFonts w:ascii="Times New Roman" w:hAnsi="Times New Roman" w:cs="Times New Roman"/>
              </w:rPr>
              <w:t>Izmaksas: elektroenerģijai 1,8 L</w:t>
            </w:r>
            <w:r>
              <w:rPr>
                <w:rFonts w:ascii="Times New Roman" w:hAnsi="Times New Roman" w:cs="Times New Roman"/>
              </w:rPr>
              <w:t>VL</w:t>
            </w:r>
            <w:r w:rsidRPr="008D46BC">
              <w:rPr>
                <w:rFonts w:ascii="Times New Roman" w:hAnsi="Times New Roman" w:cs="Times New Roman"/>
              </w:rPr>
              <w:t>/</w:t>
            </w:r>
            <w:proofErr w:type="spellStart"/>
            <w:r w:rsidRPr="008D46BC">
              <w:rPr>
                <w:rFonts w:ascii="Times New Roman" w:hAnsi="Times New Roman" w:cs="Times New Roman"/>
              </w:rPr>
              <w:t>MWh</w:t>
            </w:r>
            <w:proofErr w:type="spellEnd"/>
            <w:r w:rsidRPr="008D46BC">
              <w:rPr>
                <w:rFonts w:ascii="Times New Roman" w:hAnsi="Times New Roman" w:cs="Times New Roman"/>
              </w:rPr>
              <w:t>, gāzei 49,3 L</w:t>
            </w:r>
            <w:r>
              <w:rPr>
                <w:rFonts w:ascii="Times New Roman" w:hAnsi="Times New Roman" w:cs="Times New Roman"/>
              </w:rPr>
              <w:t>VL</w:t>
            </w:r>
            <w:r w:rsidRPr="008D46BC">
              <w:rPr>
                <w:rFonts w:ascii="Times New Roman" w:hAnsi="Times New Roman" w:cs="Times New Roman"/>
              </w:rPr>
              <w:t>/</w:t>
            </w:r>
            <w:proofErr w:type="spellStart"/>
            <w:r w:rsidRPr="008D46BC">
              <w:rPr>
                <w:rFonts w:ascii="Times New Roman" w:hAnsi="Times New Roman" w:cs="Times New Roman"/>
              </w:rPr>
              <w:t>MWh</w:t>
            </w:r>
            <w:proofErr w:type="spellEnd"/>
          </w:p>
        </w:tc>
        <w:tc>
          <w:tcPr>
            <w:tcW w:w="992" w:type="dxa"/>
          </w:tcPr>
          <w:p w:rsidR="00CE3D3F" w:rsidRPr="008D46BC" w:rsidRDefault="00CE3D3F" w:rsidP="003F05E3">
            <w:pPr>
              <w:rPr>
                <w:rFonts w:ascii="Times New Roman" w:hAnsi="Times New Roman" w:cs="Times New Roman"/>
              </w:rPr>
            </w:pPr>
          </w:p>
        </w:tc>
        <w:tc>
          <w:tcPr>
            <w:tcW w:w="2268"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Mērķi attiecas uz CO2 ietaupījumu</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Ar sertifikātiem tirgoties var tikai attiecināmās puses</w:t>
            </w:r>
          </w:p>
        </w:tc>
      </w:tr>
    </w:tbl>
    <w:p w:rsidR="00CE3D3F" w:rsidRPr="002E00EB" w:rsidRDefault="00CE3D3F" w:rsidP="00CE3D3F">
      <w:pPr>
        <w:spacing w:before="240" w:after="240" w:line="240" w:lineRule="auto"/>
        <w:jc w:val="center"/>
        <w:rPr>
          <w:rFonts w:ascii="Times New Roman" w:hAnsi="Times New Roman" w:cs="Times New Roman"/>
          <w:b/>
          <w:bCs/>
        </w:rPr>
      </w:pPr>
      <w:r w:rsidRPr="002E00EB">
        <w:rPr>
          <w:rFonts w:ascii="Times New Roman" w:hAnsi="Times New Roman" w:cs="Times New Roman"/>
          <w:b/>
          <w:bCs/>
        </w:rPr>
        <w:t>Energoefektivitātes pienākuma shēmu piemēri</w:t>
      </w:r>
    </w:p>
    <w:p w:rsidR="00CE3D3F" w:rsidRPr="005D2C1E" w:rsidRDefault="00CE3D3F" w:rsidP="00CE3D3F">
      <w:pPr>
        <w:spacing w:after="240" w:line="240" w:lineRule="auto"/>
        <w:jc w:val="both"/>
        <w:rPr>
          <w:rFonts w:ascii="Times New Roman" w:hAnsi="Times New Roman" w:cs="Times New Roman"/>
          <w:b/>
        </w:rPr>
      </w:pPr>
      <w:r w:rsidRPr="005D2C1E">
        <w:rPr>
          <w:rFonts w:ascii="Times New Roman" w:hAnsi="Times New Roman" w:cs="Times New Roman"/>
          <w:b/>
        </w:rPr>
        <w:t>Dānijas EPS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EPS Dānijā darbojas kopš 2006.</w:t>
      </w:r>
      <w:r w:rsidR="00320393">
        <w:rPr>
          <w:rFonts w:ascii="Times New Roman" w:hAnsi="Times New Roman" w:cs="Times New Roman"/>
        </w:rPr>
        <w:t> </w:t>
      </w:r>
      <w:r w:rsidRPr="005D2C1E">
        <w:rPr>
          <w:rFonts w:ascii="Times New Roman" w:hAnsi="Times New Roman" w:cs="Times New Roman"/>
        </w:rPr>
        <w:t>gada, kad tā nomainīja uzņēmumu energovadības shēmu (kura tika izveidota kā informācijas nodrošināšanas un  padomu sniegšanas shēma) ieviešanu. EPS izstrādāja Dānijas Klimata, enerģijas un būvniecības ministrija, bet to ievieš un pārrauga Dānijas Enerģētikas aģentūra. EPS attiecas uz visu enerģijas galapatēriņu, izņemot transportu un tajā tiek ietverti komersanti kas piegādā elektroenerģiju, dabasgāzi un centralizēto siltumenerģiju. EPS Dānijā tiek iekļauti visi atbilstošo jomu uzņēmumi. Noteikts, ka 50</w:t>
      </w:r>
      <w:r w:rsidR="00320393">
        <w:rPr>
          <w:rFonts w:ascii="Times New Roman" w:hAnsi="Times New Roman" w:cs="Times New Roman"/>
        </w:rPr>
        <w:t> </w:t>
      </w:r>
      <w:r w:rsidRPr="005D2C1E">
        <w:rPr>
          <w:rFonts w:ascii="Times New Roman" w:hAnsi="Times New Roman" w:cs="Times New Roman"/>
        </w:rPr>
        <w:t>% no aprēķinātā mērķa ir jādod elektroenerģijas sadales kompānijām, 30</w:t>
      </w:r>
      <w:r w:rsidR="00320393">
        <w:rPr>
          <w:rFonts w:ascii="Times New Roman" w:hAnsi="Times New Roman" w:cs="Times New Roman"/>
        </w:rPr>
        <w:t> </w:t>
      </w:r>
      <w:r w:rsidRPr="005D2C1E">
        <w:rPr>
          <w:rFonts w:ascii="Times New Roman" w:hAnsi="Times New Roman" w:cs="Times New Roman"/>
        </w:rPr>
        <w:t>% siltumapgādes kompānijām, bet 20</w:t>
      </w:r>
      <w:r w:rsidR="00320393">
        <w:rPr>
          <w:rFonts w:ascii="Times New Roman" w:hAnsi="Times New Roman" w:cs="Times New Roman"/>
        </w:rPr>
        <w:t> </w:t>
      </w:r>
      <w:r w:rsidRPr="005D2C1E">
        <w:rPr>
          <w:rFonts w:ascii="Times New Roman" w:hAnsi="Times New Roman" w:cs="Times New Roman"/>
        </w:rPr>
        <w:t>%</w:t>
      </w:r>
      <w:r w:rsidR="00320393">
        <w:rPr>
          <w:rFonts w:ascii="Times New Roman" w:hAnsi="Times New Roman" w:cs="Times New Roman"/>
        </w:rPr>
        <w:t> </w:t>
      </w:r>
      <w:r w:rsidRPr="005D2C1E">
        <w:rPr>
          <w:rFonts w:ascii="Times New Roman" w:hAnsi="Times New Roman" w:cs="Times New Roman"/>
        </w:rPr>
        <w:t>- dabasgāzes kompānijām.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 xml:space="preserve">EPS galvenais mērķis komunālo pakalpojumu uzņēmumu iesaistīšanās, lai palielinātu kopējos enerģijas ietaupījumus, koncentrējoties uz ietaupījumiem enerģijas galapatēriņā, kas citādi netiktu īstenoti bez uzņēmumu iesaistes. Uzņēmumiem jāsasniedz  izmaksu ziņā visefektīvāko enerģijas ietaupījumu un tiem ir atļauts īstenot energoefektivitātes pasākumus ārpus savas piegādes zonas un enerģijas veida. Lielākie uzņēmumi var veidot savā struktūrā atsevišķu vienību energoefektivitātes pasākumu realizēšanai, bet var arī izmantot trešās personas pakalpojumus, piemēram </w:t>
      </w:r>
      <w:proofErr w:type="spellStart"/>
      <w:r w:rsidRPr="005D2C1E">
        <w:rPr>
          <w:rFonts w:ascii="Times New Roman" w:hAnsi="Times New Roman" w:cs="Times New Roman"/>
        </w:rPr>
        <w:t>energoservisa</w:t>
      </w:r>
      <w:proofErr w:type="spellEnd"/>
      <w:r w:rsidRPr="005D2C1E">
        <w:rPr>
          <w:rFonts w:ascii="Times New Roman" w:hAnsi="Times New Roman" w:cs="Times New Roman"/>
        </w:rPr>
        <w:t xml:space="preserve"> pakalpojumu kompāniju (turpmāk - ESKO) vai iekārtu uzstādītājus. Izveidotā EPS pieļauj, ka tajā iesaistītie dalībnieki var savstarpēji tirgoties ar enerģijas ietaupījumiem.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Dānijas EPS paredz, ka visiem sasniegtajiem enerģijas ietaupījumiem ir jābūt detalizēti dokumentētiem un neatkarīgiem verificētiem. Visām EPS iesaistītajām atbildīgajām pusēm ir jābūt ieviestai kvalitātes vadības sistēmai un skaidri nodalītiem un uzskaitītiem tiem finanšu līdzekļiem, kuri tiek izmantoti EPS realizēšanai. Turklāt ik gadu Dānijas Enerģētikas aģentūra izlases veidā veic pārbaudes aktivitāšu īstenošanas vietās.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Ir divas metodes enerģijas ietaupījumu aprēķināšanai: 1) lietojot standartizētus vidējo ietaupījumu rādītājus, kas aprēķināti pēc standarta darbībām mājsaimniecībās; 2) īpaši inženiertehniskie aprēķini, ko izmanto tur, kur nav vienotas rādītāja vērtības, piemēram, sarežģītākām ēkām un struktūrām.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lastRenderedPageBreak/>
        <w:t>Dānijā izmantotās sistēmas īpatnība ir tā, ka enerģijas ietaupījumi netiek uzskaitīti kumulatīvi, bet gan kā ietaupījumi tikai vienā gadā. Laika periodā no 2010. līdz 2012.</w:t>
      </w:r>
      <w:r w:rsidR="00320393">
        <w:rPr>
          <w:rFonts w:ascii="Times New Roman" w:hAnsi="Times New Roman" w:cs="Times New Roman"/>
        </w:rPr>
        <w:t> </w:t>
      </w:r>
      <w:r w:rsidRPr="005D2C1E">
        <w:rPr>
          <w:rFonts w:ascii="Times New Roman" w:hAnsi="Times New Roman" w:cs="Times New Roman"/>
        </w:rPr>
        <w:t>gadam EPS noteiktais ietaupījumu mērķis bija 6,1</w:t>
      </w:r>
      <w:r w:rsidR="00320393">
        <w:rPr>
          <w:rFonts w:ascii="Times New Roman" w:hAnsi="Times New Roman" w:cs="Times New Roman"/>
        </w:rPr>
        <w:t> </w:t>
      </w:r>
      <w:r w:rsidRPr="005D2C1E">
        <w:rPr>
          <w:rFonts w:ascii="Times New Roman" w:hAnsi="Times New Roman" w:cs="Times New Roman"/>
        </w:rPr>
        <w:t>PJ, kas deva  50</w:t>
      </w:r>
      <w:r w:rsidR="00320393">
        <w:rPr>
          <w:rFonts w:ascii="Times New Roman" w:hAnsi="Times New Roman" w:cs="Times New Roman"/>
        </w:rPr>
        <w:t> </w:t>
      </w:r>
      <w:r w:rsidRPr="005D2C1E">
        <w:rPr>
          <w:rFonts w:ascii="Times New Roman" w:hAnsi="Times New Roman" w:cs="Times New Roman"/>
        </w:rPr>
        <w:t>% no Dānijā plānotajiem enerģijas ietaupījumiem.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Laika posmā no 2006. līdz 2009.gadam EPS iesais</w:t>
      </w:r>
      <w:r w:rsidR="00320393">
        <w:rPr>
          <w:rFonts w:ascii="Times New Roman" w:hAnsi="Times New Roman" w:cs="Times New Roman"/>
        </w:rPr>
        <w:t xml:space="preserve">tītajiem uzņēmumiem vidēji </w:t>
      </w:r>
      <w:r w:rsidRPr="005D2C1E">
        <w:rPr>
          <w:rFonts w:ascii="Times New Roman" w:hAnsi="Times New Roman" w:cs="Times New Roman"/>
        </w:rPr>
        <w:t xml:space="preserve">pakalpojumu izmaksa bija 4,5 </w:t>
      </w:r>
      <w:proofErr w:type="spellStart"/>
      <w:r w:rsidRPr="005D2C1E">
        <w:rPr>
          <w:rFonts w:ascii="Times New Roman" w:hAnsi="Times New Roman" w:cs="Times New Roman"/>
        </w:rPr>
        <w:t>eirocenti</w:t>
      </w:r>
      <w:proofErr w:type="spellEnd"/>
      <w:r w:rsidRPr="005D2C1E">
        <w:rPr>
          <w:rFonts w:ascii="Times New Roman" w:hAnsi="Times New Roman" w:cs="Times New Roman"/>
        </w:rPr>
        <w:t xml:space="preserve"> par vienu kWh. Šajos izdevumos ietilpa administratīvie maksājumi Dānijas Enerģētikas aģentūrai (EPS ieviesējam) un  izdevumi par uzņēmuma EPS administrēšanu un kvalitātes nodrošināšanu. 2012.</w:t>
      </w:r>
      <w:r w:rsidR="00320393">
        <w:rPr>
          <w:rFonts w:ascii="Times New Roman" w:hAnsi="Times New Roman" w:cs="Times New Roman"/>
        </w:rPr>
        <w:t> </w:t>
      </w:r>
      <w:r w:rsidRPr="005D2C1E">
        <w:rPr>
          <w:rFonts w:ascii="Times New Roman" w:hAnsi="Times New Roman" w:cs="Times New Roman"/>
        </w:rPr>
        <w:t xml:space="preserve">gadā tika veikts pirmais novērtējums par EPS izmaksām. Novērtējumā norādīts, ka EPS iesaistītie uzņēmumi vidēji  ir izdevuši 5,0 </w:t>
      </w:r>
      <w:proofErr w:type="spellStart"/>
      <w:r w:rsidRPr="005D2C1E">
        <w:rPr>
          <w:rFonts w:ascii="Times New Roman" w:hAnsi="Times New Roman" w:cs="Times New Roman"/>
        </w:rPr>
        <w:t>eirocenti</w:t>
      </w:r>
      <w:proofErr w:type="spellEnd"/>
      <w:r w:rsidRPr="005D2C1E">
        <w:rPr>
          <w:rFonts w:ascii="Times New Roman" w:hAnsi="Times New Roman" w:cs="Times New Roman"/>
        </w:rPr>
        <w:t xml:space="preserve">/kWh (ietaupītais). EPS iesaistītie uzņēmumi drīkst atgūt izmaksas caur tarifiem. </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 xml:space="preserve">Dānijas EPS var tikt uzskaitīti enerģijas ietaupījumi visos galapatēriņa sektoros izņemot transporta sektoru. Var tikt ieskaitīti pārvades un sadales tīklu zudumu, zudumu transformatoros, sūkņos, mērierīcēs, regulatoros </w:t>
      </w:r>
      <w:proofErr w:type="spellStart"/>
      <w:r w:rsidRPr="005D2C1E">
        <w:rPr>
          <w:rFonts w:ascii="Times New Roman" w:hAnsi="Times New Roman" w:cs="Times New Roman"/>
        </w:rPr>
        <w:t>u.c</w:t>
      </w:r>
      <w:proofErr w:type="spellEnd"/>
      <w:r w:rsidRPr="005D2C1E">
        <w:rPr>
          <w:rFonts w:ascii="Times New Roman" w:hAnsi="Times New Roman" w:cs="Times New Roman"/>
        </w:rPr>
        <w:t xml:space="preserve">. samazinājumi. Ieskaita arī atjaunojamās enerģijas iekārtas, kas samazina nepieciešamo enerģijas patēriņu. Ieguvums no lokālas saules kolektoru sistēmas netiek ieskaitīts kopējos ietaupījumos. Biomasas, biogāzes un atkritumu izmantošana enerģijas ražošanā netiek uzskatīta par ietaupījumiem. Izņēmums ir gadījumā, ja pieaug enerģijas ražošanas lietderības koeficients.   </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Dānijas pieredzes secinājumi:</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 xml:space="preserve">1)EPS ieviešana praktiski neietekmē valsts budžetu un ir viens no efektīvākajiem pieejamajiem instrumentiem energoefektivitātes paaugstināšanai. </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2)EPS izmaksas ir brīvi pieejamas regulējošām institūcijām un sabiedrībai.</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3)EPS ieviešana deva būtisku ierosmi ESKO tirgus attīstībai Dānijā, radot pieprasījumu pēc ESKO pakalpojumiem.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4)EPS dod vismaz 50</w:t>
      </w:r>
      <w:r w:rsidR="00320393">
        <w:rPr>
          <w:rFonts w:ascii="Times New Roman" w:hAnsi="Times New Roman" w:cs="Times New Roman"/>
        </w:rPr>
        <w:t> </w:t>
      </w:r>
      <w:r w:rsidRPr="005D2C1E">
        <w:rPr>
          <w:rFonts w:ascii="Times New Roman" w:hAnsi="Times New Roman" w:cs="Times New Roman"/>
        </w:rPr>
        <w:t>% no kopējiem enerģijas ietaupījumiem Dānijā. To veicina arī adekvāti izveidotā soda sankciju sistēma par enerģijas ietaupījumu mērķa nesasniegšanu - līdz pat darbības licences zaudēšanai,</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5)Uzlikto mērķi ir sasnieguši visi EPS iesaistītie uzņēmumi,</w:t>
      </w:r>
    </w:p>
    <w:p w:rsidR="00CE3D3F" w:rsidRPr="005D2C1E" w:rsidRDefault="00CE3D3F" w:rsidP="00CE3D3F">
      <w:pPr>
        <w:spacing w:after="240" w:line="240" w:lineRule="auto"/>
        <w:jc w:val="both"/>
        <w:rPr>
          <w:rFonts w:ascii="Times New Roman" w:hAnsi="Times New Roman" w:cs="Times New Roman"/>
        </w:rPr>
      </w:pPr>
      <w:r w:rsidRPr="005D2C1E">
        <w:rPr>
          <w:rFonts w:ascii="Times New Roman" w:hAnsi="Times New Roman" w:cs="Times New Roman"/>
        </w:rPr>
        <w:t>6)Būtiski pieaudzis to tirgus dalībnieku skaits, kas patērētājiem piedāvā energoefektivitātes paaugstināšanas pasākumus gan kā savu galveno, gan papildus darbības jomu, tādējādi nodrošinot patērētājiem pietiekamu izvēli.</w:t>
      </w:r>
    </w:p>
    <w:p w:rsidR="00CE3D3F" w:rsidRPr="005D2C1E" w:rsidRDefault="00CE3D3F" w:rsidP="00CE3D3F">
      <w:pPr>
        <w:spacing w:after="240" w:line="240" w:lineRule="auto"/>
        <w:jc w:val="both"/>
        <w:rPr>
          <w:rFonts w:ascii="Times New Roman" w:hAnsi="Times New Roman" w:cs="Times New Roman"/>
          <w:b/>
        </w:rPr>
      </w:pPr>
      <w:r w:rsidRPr="005D2C1E">
        <w:rPr>
          <w:rFonts w:ascii="Times New Roman" w:hAnsi="Times New Roman" w:cs="Times New Roman"/>
          <w:b/>
        </w:rPr>
        <w:t>Francijas ESC</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Francijā enerģijas ietaupījumu sertifikātu shēmu (turpmāk - ESC) ieviesa 2005.</w:t>
      </w:r>
      <w:r w:rsidR="00320393">
        <w:rPr>
          <w:rFonts w:ascii="Times New Roman" w:hAnsi="Times New Roman" w:cs="Times New Roman"/>
        </w:rPr>
        <w:t> </w:t>
      </w:r>
      <w:r w:rsidRPr="005D2C1E">
        <w:rPr>
          <w:rFonts w:ascii="Times New Roman" w:hAnsi="Times New Roman" w:cs="Times New Roman"/>
        </w:rPr>
        <w:t>gadā ar mērķi apgūt iespējamos enerģijas ietaupījumus arī pie maziem un nelieliem patērētājiem, sevišķi esošajās ēkās. Enerģijas ietaupījumu mērķis tiek aprēķināts, ņemot par pamatu uzņēmumu iepriekšējo trīs gadu enerģijas pārdošanas apjomus. ESC izstrādāja Francijas Ekoloģijas, ilgtspējīgas attīstības, transporta un mājokļu ministrija (MEDDTL), to ievieš un pārrauga Francijas vides un enerģētikas aģentūra  (ADEME). ADEME veic tehnisko analīzi un progresa novērtējumu, izstrādā nepieciešamos palīgmateriālus, kā arī organizē informatīvās kampaņas sabiedriskajam sektoram un uzņēmējiem. ESC attiecas uz visiem enerģijas piegādātājiem, kuru ikgadējie enerģijas pārdošanas apjomi pārsniedz: 400</w:t>
      </w:r>
      <w:r w:rsidR="00320393">
        <w:rPr>
          <w:rFonts w:ascii="Times New Roman" w:hAnsi="Times New Roman" w:cs="Times New Roman"/>
        </w:rPr>
        <w:t> </w:t>
      </w:r>
      <w:proofErr w:type="spellStart"/>
      <w:r w:rsidRPr="005D2C1E">
        <w:rPr>
          <w:rFonts w:ascii="Times New Roman" w:hAnsi="Times New Roman" w:cs="Times New Roman"/>
        </w:rPr>
        <w:t>GWh</w:t>
      </w:r>
      <w:proofErr w:type="spellEnd"/>
      <w:r w:rsidRPr="005D2C1E">
        <w:rPr>
          <w:rFonts w:ascii="Times New Roman" w:hAnsi="Times New Roman" w:cs="Times New Roman"/>
        </w:rPr>
        <w:t xml:space="preserve">/gadā - elektroenerģija un dabas gāze; 400 </w:t>
      </w:r>
      <w:proofErr w:type="spellStart"/>
      <w:r w:rsidRPr="005D2C1E">
        <w:rPr>
          <w:rFonts w:ascii="Times New Roman" w:hAnsi="Times New Roman" w:cs="Times New Roman"/>
        </w:rPr>
        <w:t>GWh</w:t>
      </w:r>
      <w:proofErr w:type="spellEnd"/>
      <w:r w:rsidRPr="005D2C1E">
        <w:rPr>
          <w:rFonts w:ascii="Times New Roman" w:hAnsi="Times New Roman" w:cs="Times New Roman"/>
        </w:rPr>
        <w:t xml:space="preserve">/gadā - apkure/dzesēšana; 500 m3/gadā - krāšņu kurināmais; 7 000 t/gadā - sašķidrinātā naftas gāze, degviela - 7000 m3/gadā. Obligātais mērķis tiek aprēķināti ņemot vērā to tirgus daļu dzīvojamajās un komerciālajās ēkās: elektroenerģija </w:t>
      </w:r>
      <w:r w:rsidR="00320393">
        <w:rPr>
          <w:rFonts w:ascii="Times New Roman" w:hAnsi="Times New Roman" w:cs="Times New Roman"/>
        </w:rPr>
        <w:t>–</w:t>
      </w:r>
      <w:r w:rsidRPr="005D2C1E">
        <w:rPr>
          <w:rFonts w:ascii="Times New Roman" w:hAnsi="Times New Roman" w:cs="Times New Roman"/>
        </w:rPr>
        <w:t xml:space="preserve"> 57</w:t>
      </w:r>
      <w:r w:rsidR="00320393">
        <w:rPr>
          <w:rFonts w:ascii="Times New Roman" w:hAnsi="Times New Roman" w:cs="Times New Roman"/>
        </w:rPr>
        <w:t> </w:t>
      </w:r>
      <w:r w:rsidRPr="005D2C1E">
        <w:rPr>
          <w:rFonts w:ascii="Times New Roman" w:hAnsi="Times New Roman" w:cs="Times New Roman"/>
        </w:rPr>
        <w:t xml:space="preserve">%, dabas gāze - 26%, krāšņu kurināmais </w:t>
      </w:r>
      <w:r w:rsidR="00320393">
        <w:rPr>
          <w:rFonts w:ascii="Times New Roman" w:hAnsi="Times New Roman" w:cs="Times New Roman"/>
        </w:rPr>
        <w:t>–</w:t>
      </w:r>
      <w:r w:rsidRPr="005D2C1E">
        <w:rPr>
          <w:rFonts w:ascii="Times New Roman" w:hAnsi="Times New Roman" w:cs="Times New Roman"/>
        </w:rPr>
        <w:t xml:space="preserve"> 13</w:t>
      </w:r>
      <w:r w:rsidR="00320393">
        <w:rPr>
          <w:rFonts w:ascii="Times New Roman" w:hAnsi="Times New Roman" w:cs="Times New Roman"/>
        </w:rPr>
        <w:t> </w:t>
      </w:r>
      <w:r w:rsidRPr="005D2C1E">
        <w:rPr>
          <w:rFonts w:ascii="Times New Roman" w:hAnsi="Times New Roman" w:cs="Times New Roman"/>
        </w:rPr>
        <w:t xml:space="preserve">%, sašķidrinātā naftas gāze </w:t>
      </w:r>
      <w:r w:rsidR="00320393">
        <w:rPr>
          <w:rFonts w:ascii="Times New Roman" w:hAnsi="Times New Roman" w:cs="Times New Roman"/>
        </w:rPr>
        <w:t>–</w:t>
      </w:r>
      <w:r w:rsidRPr="005D2C1E">
        <w:rPr>
          <w:rFonts w:ascii="Times New Roman" w:hAnsi="Times New Roman" w:cs="Times New Roman"/>
        </w:rPr>
        <w:t xml:space="preserve"> 3</w:t>
      </w:r>
      <w:r w:rsidR="00320393">
        <w:rPr>
          <w:rFonts w:ascii="Times New Roman" w:hAnsi="Times New Roman" w:cs="Times New Roman"/>
        </w:rPr>
        <w:t> </w:t>
      </w:r>
      <w:r w:rsidRPr="005D2C1E">
        <w:rPr>
          <w:rFonts w:ascii="Times New Roman" w:hAnsi="Times New Roman" w:cs="Times New Roman"/>
        </w:rPr>
        <w:t xml:space="preserve">% un apkure un dzesēšana </w:t>
      </w:r>
      <w:r w:rsidR="00320393">
        <w:rPr>
          <w:rFonts w:ascii="Times New Roman" w:hAnsi="Times New Roman" w:cs="Times New Roman"/>
        </w:rPr>
        <w:t>–</w:t>
      </w:r>
      <w:r w:rsidRPr="005D2C1E">
        <w:rPr>
          <w:rFonts w:ascii="Times New Roman" w:hAnsi="Times New Roman" w:cs="Times New Roman"/>
        </w:rPr>
        <w:t xml:space="preserve"> 1</w:t>
      </w:r>
      <w:r w:rsidR="00320393">
        <w:rPr>
          <w:rFonts w:ascii="Times New Roman" w:hAnsi="Times New Roman" w:cs="Times New Roman"/>
        </w:rPr>
        <w:t> </w:t>
      </w:r>
      <w:r w:rsidRPr="005D2C1E">
        <w:rPr>
          <w:rFonts w:ascii="Times New Roman" w:hAnsi="Times New Roman" w:cs="Times New Roman"/>
        </w:rPr>
        <w:t>%. ESC iekļautās Francijas lielākajām energokompānijām EDF (Francijas Elektroenerģija) un GDF (Francijas gāze) jāsasniedz 80% no noteiktajiem ietaupījumiem.</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ESC shēmā ir ieviesta aprēķinu mērvienība kWh „</w:t>
      </w:r>
      <w:proofErr w:type="spellStart"/>
      <w:r w:rsidRPr="005D2C1E">
        <w:rPr>
          <w:rFonts w:ascii="Times New Roman" w:hAnsi="Times New Roman" w:cs="Times New Roman"/>
        </w:rPr>
        <w:t>cumac</w:t>
      </w:r>
      <w:proofErr w:type="spellEnd"/>
      <w:r w:rsidRPr="005D2C1E">
        <w:rPr>
          <w:rFonts w:ascii="Times New Roman" w:hAnsi="Times New Roman" w:cs="Times New Roman"/>
        </w:rPr>
        <w:t>”, kas nozīmē - kumulatīvs un aktualizēts. Tā nav fizikāla enerģijas mērvienība, bet speciāli izveidota mērvienība darbībām ar statistikas datiem. Ietaupījums tiek novērtēts noteiktā laika periodā (parasti iekārtas dzīves laikā ) un ņem vērā nākotnes tirgus efekta iespaidu uz ietaupījumiem. 2006.</w:t>
      </w:r>
      <w:r w:rsidR="00320393">
        <w:rPr>
          <w:rFonts w:ascii="Times New Roman" w:hAnsi="Times New Roman" w:cs="Times New Roman"/>
        </w:rPr>
        <w:t> </w:t>
      </w:r>
      <w:r w:rsidRPr="005D2C1E">
        <w:rPr>
          <w:rFonts w:ascii="Times New Roman" w:hAnsi="Times New Roman" w:cs="Times New Roman"/>
        </w:rPr>
        <w:t>gadā energoefektivitātes pasākumiem tika noteikts 4</w:t>
      </w:r>
      <w:r w:rsidR="00320393">
        <w:rPr>
          <w:rFonts w:ascii="Times New Roman" w:hAnsi="Times New Roman" w:cs="Times New Roman"/>
        </w:rPr>
        <w:t> </w:t>
      </w:r>
      <w:r w:rsidRPr="005D2C1E">
        <w:rPr>
          <w:rFonts w:ascii="Times New Roman" w:hAnsi="Times New Roman" w:cs="Times New Roman"/>
        </w:rPr>
        <w:t xml:space="preserve">% vērtības zudums. Noteiktais ietaupījums ESC pirmajam periodam no </w:t>
      </w:r>
      <w:r w:rsidRPr="005D2C1E">
        <w:rPr>
          <w:rFonts w:ascii="Times New Roman" w:hAnsi="Times New Roman" w:cs="Times New Roman"/>
        </w:rPr>
        <w:lastRenderedPageBreak/>
        <w:t>2006. līdz 2009.</w:t>
      </w:r>
      <w:r w:rsidR="00320393">
        <w:rPr>
          <w:rFonts w:ascii="Times New Roman" w:hAnsi="Times New Roman" w:cs="Times New Roman"/>
        </w:rPr>
        <w:t> </w:t>
      </w:r>
      <w:r w:rsidRPr="005D2C1E">
        <w:rPr>
          <w:rFonts w:ascii="Times New Roman" w:hAnsi="Times New Roman" w:cs="Times New Roman"/>
        </w:rPr>
        <w:t xml:space="preserve">gadam ir 54 </w:t>
      </w:r>
      <w:proofErr w:type="spellStart"/>
      <w:r w:rsidRPr="005D2C1E">
        <w:rPr>
          <w:rFonts w:ascii="Times New Roman" w:hAnsi="Times New Roman" w:cs="Times New Roman"/>
        </w:rPr>
        <w:t>TWh</w:t>
      </w:r>
      <w:proofErr w:type="spellEnd"/>
      <w:r w:rsidRPr="005D2C1E">
        <w:rPr>
          <w:rFonts w:ascii="Times New Roman" w:hAnsi="Times New Roman" w:cs="Times New Roman"/>
        </w:rPr>
        <w:t xml:space="preserve"> </w:t>
      </w:r>
      <w:proofErr w:type="spellStart"/>
      <w:r w:rsidRPr="005D2C1E">
        <w:rPr>
          <w:rFonts w:ascii="Times New Roman" w:hAnsi="Times New Roman" w:cs="Times New Roman"/>
        </w:rPr>
        <w:t>cumac</w:t>
      </w:r>
      <w:proofErr w:type="spellEnd"/>
      <w:r w:rsidRPr="005D2C1E">
        <w:rPr>
          <w:rFonts w:ascii="Times New Roman" w:hAnsi="Times New Roman" w:cs="Times New Roman"/>
        </w:rPr>
        <w:t>, bet 2011.</w:t>
      </w:r>
      <w:r w:rsidR="00320393">
        <w:rPr>
          <w:rFonts w:ascii="Times New Roman" w:hAnsi="Times New Roman" w:cs="Times New Roman"/>
        </w:rPr>
        <w:t> </w:t>
      </w:r>
      <w:r w:rsidRPr="005D2C1E">
        <w:rPr>
          <w:rFonts w:ascii="Times New Roman" w:hAnsi="Times New Roman" w:cs="Times New Roman"/>
        </w:rPr>
        <w:t>-</w:t>
      </w:r>
      <w:r w:rsidR="00320393">
        <w:rPr>
          <w:rFonts w:ascii="Times New Roman" w:hAnsi="Times New Roman" w:cs="Times New Roman"/>
        </w:rPr>
        <w:t> </w:t>
      </w:r>
      <w:r w:rsidRPr="005D2C1E">
        <w:rPr>
          <w:rFonts w:ascii="Times New Roman" w:hAnsi="Times New Roman" w:cs="Times New Roman"/>
        </w:rPr>
        <w:t>2014.</w:t>
      </w:r>
      <w:r w:rsidR="00320393">
        <w:rPr>
          <w:rFonts w:ascii="Times New Roman" w:hAnsi="Times New Roman" w:cs="Times New Roman"/>
        </w:rPr>
        <w:t> </w:t>
      </w:r>
      <w:r w:rsidRPr="005D2C1E">
        <w:rPr>
          <w:rFonts w:ascii="Times New Roman" w:hAnsi="Times New Roman" w:cs="Times New Roman"/>
        </w:rPr>
        <w:t xml:space="preserve">gadam - 345 </w:t>
      </w:r>
      <w:proofErr w:type="spellStart"/>
      <w:r w:rsidRPr="005D2C1E">
        <w:rPr>
          <w:rFonts w:ascii="Times New Roman" w:hAnsi="Times New Roman" w:cs="Times New Roman"/>
        </w:rPr>
        <w:t>TWh</w:t>
      </w:r>
      <w:proofErr w:type="spellEnd"/>
      <w:r w:rsidRPr="005D2C1E">
        <w:rPr>
          <w:rFonts w:ascii="Times New Roman" w:hAnsi="Times New Roman" w:cs="Times New Roman"/>
        </w:rPr>
        <w:t xml:space="preserve"> </w:t>
      </w:r>
      <w:proofErr w:type="spellStart"/>
      <w:r w:rsidRPr="005D2C1E">
        <w:rPr>
          <w:rFonts w:ascii="Times New Roman" w:hAnsi="Times New Roman" w:cs="Times New Roman"/>
        </w:rPr>
        <w:t>cumac</w:t>
      </w:r>
      <w:proofErr w:type="spellEnd"/>
      <w:r w:rsidRPr="005D2C1E">
        <w:rPr>
          <w:rFonts w:ascii="Times New Roman" w:hAnsi="Times New Roman" w:cs="Times New Roman"/>
        </w:rPr>
        <w:t xml:space="preserve">. Ja ESC iesaistītais uzņēmums nepilda savas saistības tad tam ir jāmaksā soda nauda 2 </w:t>
      </w:r>
      <w:proofErr w:type="spellStart"/>
      <w:r w:rsidRPr="005D2C1E">
        <w:rPr>
          <w:rFonts w:ascii="Times New Roman" w:hAnsi="Times New Roman" w:cs="Times New Roman"/>
        </w:rPr>
        <w:t>euro</w:t>
      </w:r>
      <w:proofErr w:type="spellEnd"/>
      <w:r w:rsidRPr="005D2C1E">
        <w:rPr>
          <w:rFonts w:ascii="Times New Roman" w:hAnsi="Times New Roman" w:cs="Times New Roman"/>
        </w:rPr>
        <w:t xml:space="preserve"> </w:t>
      </w:r>
      <w:proofErr w:type="spellStart"/>
      <w:r w:rsidRPr="005D2C1E">
        <w:rPr>
          <w:rFonts w:ascii="Times New Roman" w:hAnsi="Times New Roman" w:cs="Times New Roman"/>
        </w:rPr>
        <w:t>cent</w:t>
      </w:r>
      <w:proofErr w:type="spellEnd"/>
      <w:r w:rsidRPr="005D2C1E">
        <w:rPr>
          <w:rFonts w:ascii="Times New Roman" w:hAnsi="Times New Roman" w:cs="Times New Roman"/>
        </w:rPr>
        <w:t xml:space="preserve">/kWh </w:t>
      </w:r>
      <w:proofErr w:type="spellStart"/>
      <w:r w:rsidRPr="005D2C1E">
        <w:rPr>
          <w:rFonts w:ascii="Times New Roman" w:hAnsi="Times New Roman" w:cs="Times New Roman"/>
        </w:rPr>
        <w:t>cumac</w:t>
      </w:r>
      <w:proofErr w:type="spellEnd"/>
      <w:r w:rsidRPr="005D2C1E">
        <w:rPr>
          <w:rFonts w:ascii="Times New Roman" w:hAnsi="Times New Roman" w:cs="Times New Roman"/>
        </w:rPr>
        <w:t>.</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 xml:space="preserve">ESC nosacījumi pieļauj izmaksu iekļaušanu regulētajos tarifos, bet neviens uzņēmums līdz šim šo iespēju nav izmantojis. Atbildīgajām pusēm ir trīs iespējas sasniegt noteikto mērķi: realizēt energoefektivitātes programmas galapatēriņā, ESC ietvaros pirkt ietaupījumu sertifikātus vai maksāt soda naudu. ESC izsniedz par 210 standartizētiem energoefektivitātes pasākumiem, kuriem ir aprēķināti enerģijas ietaupījumi. Piemēram, dzīvojamo ēku sektorā noteikti 65 standartizēti energoefektivitātes pasākumi, </w:t>
      </w:r>
      <w:proofErr w:type="spellStart"/>
      <w:r w:rsidRPr="005D2C1E">
        <w:rPr>
          <w:rFonts w:ascii="Times New Roman" w:hAnsi="Times New Roman" w:cs="Times New Roman"/>
        </w:rPr>
        <w:t>komercēkām</w:t>
      </w:r>
      <w:proofErr w:type="spellEnd"/>
      <w:r w:rsidRPr="005D2C1E">
        <w:rPr>
          <w:rFonts w:ascii="Times New Roman" w:hAnsi="Times New Roman" w:cs="Times New Roman"/>
        </w:rPr>
        <w:t xml:space="preserve"> 85 pasākumi (piemēram, ēku siltināšana, apkure, apgaismojums, ventilācija), bet transporta sektorā 16 pasākumi (piemēram, </w:t>
      </w:r>
      <w:proofErr w:type="spellStart"/>
      <w:r w:rsidRPr="005D2C1E">
        <w:rPr>
          <w:rFonts w:ascii="Times New Roman" w:hAnsi="Times New Roman" w:cs="Times New Roman"/>
        </w:rPr>
        <w:t>eko</w:t>
      </w:r>
      <w:proofErr w:type="spellEnd"/>
      <w:r w:rsidRPr="005D2C1E">
        <w:rPr>
          <w:rFonts w:ascii="Times New Roman" w:hAnsi="Times New Roman" w:cs="Times New Roman"/>
        </w:rPr>
        <w:t xml:space="preserve"> braukšana, riepu marķējums). 2011.</w:t>
      </w:r>
      <w:r w:rsidR="00320393">
        <w:rPr>
          <w:rFonts w:ascii="Times New Roman" w:hAnsi="Times New Roman" w:cs="Times New Roman"/>
        </w:rPr>
        <w:t> </w:t>
      </w:r>
      <w:r w:rsidRPr="005D2C1E">
        <w:rPr>
          <w:rFonts w:ascii="Times New Roman" w:hAnsi="Times New Roman" w:cs="Times New Roman"/>
        </w:rPr>
        <w:t>gadā tika izveidota nacionālā ESC koordinācijas iestāde, lai vienkāršotu ESC izsniegšanu, kontroli un sankciju piemērošanu. ESC ir elektronisks reģistrs un katram dalībniekam ir savs sertifikātu konts.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ESC novērtējums 2006.</w:t>
      </w:r>
      <w:r w:rsidR="00320393">
        <w:rPr>
          <w:rFonts w:ascii="Times New Roman" w:hAnsi="Times New Roman" w:cs="Times New Roman"/>
        </w:rPr>
        <w:t> </w:t>
      </w:r>
      <w:r w:rsidRPr="005D2C1E">
        <w:rPr>
          <w:rFonts w:ascii="Times New Roman" w:hAnsi="Times New Roman" w:cs="Times New Roman"/>
        </w:rPr>
        <w:t>-</w:t>
      </w:r>
      <w:r w:rsidR="00320393">
        <w:rPr>
          <w:rFonts w:ascii="Times New Roman" w:hAnsi="Times New Roman" w:cs="Times New Roman"/>
        </w:rPr>
        <w:t> </w:t>
      </w:r>
      <w:r w:rsidRPr="005D2C1E">
        <w:rPr>
          <w:rFonts w:ascii="Times New Roman" w:hAnsi="Times New Roman" w:cs="Times New Roman"/>
        </w:rPr>
        <w:t>2009.</w:t>
      </w:r>
      <w:r w:rsidR="00320393">
        <w:rPr>
          <w:rFonts w:ascii="Times New Roman" w:hAnsi="Times New Roman" w:cs="Times New Roman"/>
        </w:rPr>
        <w:t> </w:t>
      </w:r>
      <w:r w:rsidRPr="005D2C1E">
        <w:rPr>
          <w:rFonts w:ascii="Times New Roman" w:hAnsi="Times New Roman" w:cs="Times New Roman"/>
        </w:rPr>
        <w:t xml:space="preserve">gadam uzrāda, ka sasniegtais enerģijas ietaupījums bija 65,2 </w:t>
      </w:r>
      <w:proofErr w:type="spellStart"/>
      <w:r w:rsidRPr="005D2C1E">
        <w:rPr>
          <w:rFonts w:ascii="Times New Roman" w:hAnsi="Times New Roman" w:cs="Times New Roman"/>
        </w:rPr>
        <w:t>TWh</w:t>
      </w:r>
      <w:proofErr w:type="spellEnd"/>
      <w:r w:rsidRPr="005D2C1E">
        <w:rPr>
          <w:rFonts w:ascii="Times New Roman" w:hAnsi="Times New Roman" w:cs="Times New Roman"/>
        </w:rPr>
        <w:t xml:space="preserve"> </w:t>
      </w:r>
      <w:proofErr w:type="spellStart"/>
      <w:r w:rsidRPr="005D2C1E">
        <w:rPr>
          <w:rFonts w:ascii="Times New Roman" w:hAnsi="Times New Roman" w:cs="Times New Roman"/>
        </w:rPr>
        <w:t>cumac</w:t>
      </w:r>
      <w:proofErr w:type="spellEnd"/>
      <w:r w:rsidRPr="005D2C1E">
        <w:rPr>
          <w:rFonts w:ascii="Times New Roman" w:hAnsi="Times New Roman" w:cs="Times New Roman"/>
        </w:rPr>
        <w:t>, kas ir par 21</w:t>
      </w:r>
      <w:r w:rsidR="00320393">
        <w:rPr>
          <w:rFonts w:ascii="Times New Roman" w:hAnsi="Times New Roman" w:cs="Times New Roman"/>
        </w:rPr>
        <w:t> </w:t>
      </w:r>
      <w:r w:rsidRPr="005D2C1E">
        <w:rPr>
          <w:rFonts w:ascii="Times New Roman" w:hAnsi="Times New Roman" w:cs="Times New Roman"/>
        </w:rPr>
        <w:t>% vairāk nekā tika plānots. 83,8</w:t>
      </w:r>
      <w:r w:rsidR="00320393">
        <w:rPr>
          <w:rFonts w:ascii="Times New Roman" w:hAnsi="Times New Roman" w:cs="Times New Roman"/>
        </w:rPr>
        <w:t> </w:t>
      </w:r>
      <w:r w:rsidRPr="005D2C1E">
        <w:rPr>
          <w:rFonts w:ascii="Times New Roman" w:hAnsi="Times New Roman" w:cs="Times New Roman"/>
        </w:rPr>
        <w:t>% ietaupījumu tika panākts dzīvojamajās ēkās. Novērtētās izmaksas</w:t>
      </w:r>
      <w:r w:rsidR="00320393">
        <w:rPr>
          <w:rFonts w:ascii="Times New Roman" w:hAnsi="Times New Roman" w:cs="Times New Roman"/>
        </w:rPr>
        <w:t xml:space="preserve"> ESC shēmas dalībniekiem ir 210 </w:t>
      </w:r>
      <w:proofErr w:type="spellStart"/>
      <w:r w:rsidRPr="005D2C1E">
        <w:rPr>
          <w:rFonts w:ascii="Times New Roman" w:hAnsi="Times New Roman" w:cs="Times New Roman"/>
        </w:rPr>
        <w:t>milj</w:t>
      </w:r>
      <w:proofErr w:type="spellEnd"/>
      <w:r w:rsidRPr="005D2C1E">
        <w:rPr>
          <w:rFonts w:ascii="Times New Roman" w:hAnsi="Times New Roman" w:cs="Times New Roman"/>
        </w:rPr>
        <w:t xml:space="preserve"> </w:t>
      </w:r>
      <w:proofErr w:type="spellStart"/>
      <w:r w:rsidRPr="005D2C1E">
        <w:rPr>
          <w:rFonts w:ascii="Times New Roman" w:hAnsi="Times New Roman" w:cs="Times New Roman"/>
        </w:rPr>
        <w:t>euro</w:t>
      </w:r>
      <w:proofErr w:type="spellEnd"/>
      <w:r w:rsidRPr="005D2C1E">
        <w:rPr>
          <w:rFonts w:ascii="Times New Roman" w:hAnsi="Times New Roman" w:cs="Times New Roman"/>
        </w:rPr>
        <w:t xml:space="preserve">, jeb 0,39 </w:t>
      </w:r>
      <w:proofErr w:type="spellStart"/>
      <w:r w:rsidRPr="005D2C1E">
        <w:rPr>
          <w:rFonts w:ascii="Times New Roman" w:hAnsi="Times New Roman" w:cs="Times New Roman"/>
        </w:rPr>
        <w:t>euro</w:t>
      </w:r>
      <w:proofErr w:type="spellEnd"/>
      <w:r w:rsidRPr="005D2C1E">
        <w:rPr>
          <w:rFonts w:ascii="Times New Roman" w:hAnsi="Times New Roman" w:cs="Times New Roman"/>
        </w:rPr>
        <w:t xml:space="preserve"> centi/kWh </w:t>
      </w:r>
      <w:proofErr w:type="spellStart"/>
      <w:r w:rsidRPr="005D2C1E">
        <w:rPr>
          <w:rFonts w:ascii="Times New Roman" w:hAnsi="Times New Roman" w:cs="Times New Roman"/>
        </w:rPr>
        <w:t>cumac</w:t>
      </w:r>
      <w:proofErr w:type="spellEnd"/>
      <w:r w:rsidRPr="005D2C1E">
        <w:rPr>
          <w:rFonts w:ascii="Times New Roman" w:hAnsi="Times New Roman" w:cs="Times New Roman"/>
        </w:rPr>
        <w:t xml:space="preserve">. </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Francijas pieredzes secinājumi:</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1)Standartizētie enerģijas ietaupījumi palīdz un iedrošina uzņēmumus realizēt energoefektivitātes pasākumus (iepriekš aprēķināmi rezultāti), kā arī samazina darījumu izmaksas.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2)Nestandartizētiem ietaupījumiem jāizstrādā aprēķinu vadlīnijas.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3)Uzņēmumi var realizēt energoefektivitātes pasākumus visos enerģijas galapatēriņa sektoros.</w:t>
      </w:r>
    </w:p>
    <w:p w:rsidR="00CE3D3F" w:rsidRPr="005D2C1E" w:rsidRDefault="00CE3D3F" w:rsidP="00CE3D3F">
      <w:pPr>
        <w:spacing w:after="0" w:line="240" w:lineRule="auto"/>
        <w:jc w:val="both"/>
        <w:rPr>
          <w:rFonts w:ascii="Times New Roman" w:hAnsi="Times New Roman" w:cs="Times New Roman"/>
        </w:rPr>
      </w:pPr>
      <w:r w:rsidRPr="005D2C1E">
        <w:rPr>
          <w:rFonts w:ascii="Times New Roman" w:hAnsi="Times New Roman" w:cs="Times New Roman"/>
        </w:rPr>
        <w:t>4)Lai iegūtu ESC, jāiesniedz pierādījumi par veiktajiem pasākumiem.</w:t>
      </w:r>
    </w:p>
    <w:p w:rsidR="00CE3D3F" w:rsidRPr="005D2C1E" w:rsidRDefault="00CE3D3F" w:rsidP="00CE3D3F">
      <w:pPr>
        <w:spacing w:after="240" w:line="240" w:lineRule="auto"/>
        <w:jc w:val="both"/>
        <w:rPr>
          <w:rFonts w:ascii="Times New Roman" w:hAnsi="Times New Roman" w:cs="Times New Roman"/>
        </w:rPr>
      </w:pPr>
      <w:r w:rsidRPr="005D2C1E">
        <w:rPr>
          <w:rFonts w:ascii="Times New Roman" w:hAnsi="Times New Roman" w:cs="Times New Roman"/>
        </w:rPr>
        <w:t>5)Rezultātu pārbaude  izlases kārtībā veic aģentūra ADEME.</w:t>
      </w:r>
    </w:p>
    <w:p w:rsidR="00CE3D3F" w:rsidRPr="008D46BC" w:rsidRDefault="00CE3D3F" w:rsidP="00CE3D3F">
      <w:pPr>
        <w:spacing w:after="240" w:line="240" w:lineRule="auto"/>
        <w:jc w:val="center"/>
        <w:rPr>
          <w:rFonts w:ascii="Times New Roman" w:hAnsi="Times New Roman" w:cs="Times New Roman"/>
          <w:b/>
        </w:rPr>
      </w:pPr>
      <w:r w:rsidRPr="008D46BC">
        <w:rPr>
          <w:rFonts w:ascii="Times New Roman" w:hAnsi="Times New Roman" w:cs="Times New Roman"/>
          <w:b/>
        </w:rPr>
        <w:t>Energoefektivitātes fondi</w:t>
      </w:r>
    </w:p>
    <w:tbl>
      <w:tblPr>
        <w:tblStyle w:val="TableGrid"/>
        <w:tblW w:w="0" w:type="auto"/>
        <w:tblLayout w:type="fixed"/>
        <w:tblLook w:val="04A0" w:firstRow="1" w:lastRow="0" w:firstColumn="1" w:lastColumn="0" w:noHBand="0" w:noVBand="1"/>
      </w:tblPr>
      <w:tblGrid>
        <w:gridCol w:w="1242"/>
        <w:gridCol w:w="1560"/>
        <w:gridCol w:w="1701"/>
        <w:gridCol w:w="5244"/>
        <w:gridCol w:w="2694"/>
        <w:gridCol w:w="2126"/>
      </w:tblGrid>
      <w:tr w:rsidR="00CE3D3F" w:rsidRPr="008D46BC" w:rsidTr="00CE3D3F">
        <w:tc>
          <w:tcPr>
            <w:tcW w:w="1242"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Valsts</w:t>
            </w:r>
          </w:p>
        </w:tc>
        <w:tc>
          <w:tcPr>
            <w:tcW w:w="1560"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Attiecināmais enerģijas tirgus</w:t>
            </w:r>
          </w:p>
        </w:tc>
        <w:tc>
          <w:tcPr>
            <w:tcW w:w="1701"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Attiecināmie lietotāji</w:t>
            </w:r>
          </w:p>
        </w:tc>
        <w:tc>
          <w:tcPr>
            <w:tcW w:w="5244"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Atbalstāmās darbības</w:t>
            </w:r>
          </w:p>
        </w:tc>
        <w:tc>
          <w:tcPr>
            <w:tcW w:w="2694"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Finanšu avoti</w:t>
            </w:r>
          </w:p>
        </w:tc>
        <w:tc>
          <w:tcPr>
            <w:tcW w:w="2126" w:type="dxa"/>
            <w:vAlign w:val="center"/>
          </w:tcPr>
          <w:p w:rsidR="00CE3D3F" w:rsidRPr="008D46BC" w:rsidRDefault="00CE3D3F" w:rsidP="00CE3D3F">
            <w:pPr>
              <w:jc w:val="center"/>
              <w:rPr>
                <w:rFonts w:ascii="Times New Roman" w:hAnsi="Times New Roman" w:cs="Times New Roman"/>
                <w:b/>
              </w:rPr>
            </w:pPr>
            <w:r w:rsidRPr="008D46BC">
              <w:rPr>
                <w:rFonts w:ascii="Times New Roman" w:hAnsi="Times New Roman" w:cs="Times New Roman"/>
                <w:b/>
              </w:rPr>
              <w:t>Ietaupījuma mērķi</w:t>
            </w:r>
          </w:p>
        </w:tc>
      </w:tr>
      <w:tr w:rsidR="00CE3D3F" w:rsidRPr="008D46BC" w:rsidTr="003F05E3">
        <w:tc>
          <w:tcPr>
            <w:tcW w:w="124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Slovēnija</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Fosilās degvielas, elektroenerģijas un centrālās siltumapgādes sektors</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Mājsaimniecību, pakalpojumu, rūpniecības un transporta sektors</w:t>
            </w:r>
          </w:p>
        </w:tc>
        <w:tc>
          <w:tcPr>
            <w:tcW w:w="5244"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Atviegloti aizdevumi un subsīdijas.</w:t>
            </w: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Privātmājās </w:t>
            </w:r>
            <w:proofErr w:type="spellStart"/>
            <w:r w:rsidRPr="008D46BC">
              <w:rPr>
                <w:rFonts w:ascii="Times New Roman" w:hAnsi="Times New Roman" w:cs="Times New Roman"/>
              </w:rPr>
              <w:t>solārās</w:t>
            </w:r>
            <w:proofErr w:type="spellEnd"/>
            <w:r w:rsidRPr="008D46BC">
              <w:rPr>
                <w:rFonts w:ascii="Times New Roman" w:hAnsi="Times New Roman" w:cs="Times New Roman"/>
              </w:rPr>
              <w:t xml:space="preserve"> apkures, granulu vai malkas katlu, </w:t>
            </w:r>
            <w:proofErr w:type="spellStart"/>
            <w:r w:rsidRPr="008D46BC">
              <w:rPr>
                <w:rFonts w:ascii="Times New Roman" w:hAnsi="Times New Roman" w:cs="Times New Roman"/>
              </w:rPr>
              <w:t>siltumsūkņu</w:t>
            </w:r>
            <w:proofErr w:type="spellEnd"/>
            <w:r w:rsidRPr="008D46BC">
              <w:rPr>
                <w:rFonts w:ascii="Times New Roman" w:hAnsi="Times New Roman" w:cs="Times New Roman"/>
              </w:rPr>
              <w:t xml:space="preserve"> uzstādīšana, logu nomaiņa, ārsienu, bēniņu, jumta siltināšana, rekuperācijas sistēmas, zema enerģijas patēriņa ēku būvniecība vai iegāde, dzīvokļa iegāde daudzdzīvokļu ēkās, kas celtas vai renovētas pēc pasīvās ēkas standarta</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Subsīdijas daudzdzīvokļu ēku renovācijai</w:t>
            </w:r>
          </w:p>
          <w:p w:rsidR="00CE3D3F" w:rsidRPr="008D46BC" w:rsidRDefault="00CE3D3F" w:rsidP="003F05E3">
            <w:pPr>
              <w:rPr>
                <w:rFonts w:ascii="Times New Roman" w:hAnsi="Times New Roman" w:cs="Times New Roman"/>
              </w:rPr>
            </w:pPr>
            <w:r w:rsidRPr="008D46BC">
              <w:rPr>
                <w:rFonts w:ascii="Times New Roman" w:hAnsi="Times New Roman" w:cs="Times New Roman"/>
              </w:rPr>
              <w:t>Subsīdijas pašvaldību ēkām, kurās atrodas publiskās apmācību iestādes</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Energoauditu, CHP un AER elektroenerģijas ražošanas iekārtas zem 10 MW līdzfinansējums</w:t>
            </w:r>
          </w:p>
        </w:tc>
        <w:tc>
          <w:tcPr>
            <w:tcW w:w="2694"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Energoresursu tirgotāji daļu no pārdošanas ieņēmumiem novirza fondā</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p>
        </w:tc>
        <w:tc>
          <w:tcPr>
            <w:tcW w:w="2126"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Enerģijas ietaupījums 4,3 </w:t>
            </w:r>
            <w:proofErr w:type="spellStart"/>
            <w:r w:rsidRPr="008D46BC">
              <w:rPr>
                <w:rFonts w:ascii="Times New Roman" w:hAnsi="Times New Roman" w:cs="Times New Roman"/>
              </w:rPr>
              <w:t>TWh</w:t>
            </w:r>
            <w:proofErr w:type="spellEnd"/>
            <w:r w:rsidRPr="008D46BC">
              <w:rPr>
                <w:rFonts w:ascii="Times New Roman" w:hAnsi="Times New Roman" w:cs="Times New Roman"/>
              </w:rPr>
              <w:t xml:space="preserve"> (0,366 </w:t>
            </w:r>
            <w:proofErr w:type="spellStart"/>
            <w:r w:rsidRPr="008D46BC">
              <w:rPr>
                <w:rFonts w:ascii="Times New Roman" w:hAnsi="Times New Roman" w:cs="Times New Roman"/>
              </w:rPr>
              <w:t>Mtoe</w:t>
            </w:r>
            <w:proofErr w:type="spellEnd"/>
            <w:r w:rsidRPr="008D46BC">
              <w:rPr>
                <w:rFonts w:ascii="Times New Roman" w:hAnsi="Times New Roman" w:cs="Times New Roman"/>
              </w:rPr>
              <w:t>, 15,3 PJ) 2008. – 2016. gadam</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No 2002. gada visām jaunām ēkām 25 % savs atjaunojamās enerģijas avots</w:t>
            </w:r>
          </w:p>
        </w:tc>
      </w:tr>
      <w:tr w:rsidR="00CE3D3F" w:rsidRPr="008D46BC" w:rsidTr="003F05E3">
        <w:tc>
          <w:tcPr>
            <w:tcW w:w="1242"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lastRenderedPageBreak/>
              <w:t>Norvēģija</w:t>
            </w:r>
          </w:p>
        </w:tc>
        <w:tc>
          <w:tcPr>
            <w:tcW w:w="1560"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Siltumenerģijas tirgus, elektroenerģijas tirgus, gāzes tirgus</w:t>
            </w:r>
          </w:p>
        </w:tc>
        <w:tc>
          <w:tcPr>
            <w:tcW w:w="1701"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Saņēmēji bez ierobežojuma</w:t>
            </w:r>
          </w:p>
        </w:tc>
        <w:tc>
          <w:tcPr>
            <w:tcW w:w="5244"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Atjaunojamās enerģijas ražošanai no biomasas, biogāzes, saules, ģeotermālā, vēja, viļņiem un ūdens. </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Koģenerācijas staciju un siltumapgādes un dzesēšanas sistēmu būvniecība.</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Energoefektivitātes pasākumi</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Jaunu tehnoloģiju attīstība</w:t>
            </w:r>
          </w:p>
        </w:tc>
        <w:tc>
          <w:tcPr>
            <w:tcW w:w="2694"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Nodeva elektroenerģijas sadales tarifiem (0,9 L</w:t>
            </w:r>
            <w:r>
              <w:rPr>
                <w:rFonts w:ascii="Times New Roman" w:hAnsi="Times New Roman" w:cs="Times New Roman"/>
              </w:rPr>
              <w:t>VL</w:t>
            </w:r>
            <w:r w:rsidRPr="008D46BC">
              <w:rPr>
                <w:rFonts w:ascii="Times New Roman" w:hAnsi="Times New Roman" w:cs="Times New Roman"/>
              </w:rPr>
              <w:t>/</w:t>
            </w:r>
            <w:proofErr w:type="spellStart"/>
            <w:r w:rsidRPr="008D46BC">
              <w:rPr>
                <w:rFonts w:ascii="Times New Roman" w:hAnsi="Times New Roman" w:cs="Times New Roman"/>
              </w:rPr>
              <w:t>MWh</w:t>
            </w:r>
            <w:proofErr w:type="spellEnd"/>
            <w:r w:rsidRPr="008D46BC">
              <w:rPr>
                <w:rFonts w:ascii="Times New Roman" w:hAnsi="Times New Roman" w:cs="Times New Roman"/>
              </w:rPr>
              <w:t>)</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Valsts budžeta finansējums</w:t>
            </w:r>
          </w:p>
          <w:p w:rsidR="00CE3D3F" w:rsidRPr="008D46BC" w:rsidRDefault="00CE3D3F" w:rsidP="003F05E3">
            <w:pPr>
              <w:rPr>
                <w:rFonts w:ascii="Times New Roman" w:hAnsi="Times New Roman" w:cs="Times New Roman"/>
              </w:rPr>
            </w:pPr>
          </w:p>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Procenti no valsts noguldījuma centrālajā bankā (2007. </w:t>
            </w:r>
            <w:proofErr w:type="spellStart"/>
            <w:r w:rsidRPr="008D46BC">
              <w:rPr>
                <w:rFonts w:ascii="Times New Roman" w:hAnsi="Times New Roman" w:cs="Times New Roman"/>
              </w:rPr>
              <w:t>g</w:t>
            </w:r>
            <w:proofErr w:type="spellEnd"/>
            <w:r w:rsidRPr="008D46BC">
              <w:rPr>
                <w:rFonts w:ascii="Times New Roman" w:hAnsi="Times New Roman" w:cs="Times New Roman"/>
              </w:rPr>
              <w:t xml:space="preserve">. 40 </w:t>
            </w:r>
            <w:proofErr w:type="spellStart"/>
            <w:r w:rsidRPr="008D46BC">
              <w:rPr>
                <w:rFonts w:ascii="Times New Roman" w:hAnsi="Times New Roman" w:cs="Times New Roman"/>
              </w:rPr>
              <w:t>milj</w:t>
            </w:r>
            <w:proofErr w:type="spellEnd"/>
            <w:r w:rsidRPr="008D46BC">
              <w:rPr>
                <w:rFonts w:ascii="Times New Roman" w:hAnsi="Times New Roman" w:cs="Times New Roman"/>
              </w:rPr>
              <w:t>.)</w:t>
            </w:r>
          </w:p>
        </w:tc>
        <w:tc>
          <w:tcPr>
            <w:tcW w:w="2126" w:type="dxa"/>
          </w:tcPr>
          <w:p w:rsidR="00CE3D3F" w:rsidRPr="008D46BC" w:rsidRDefault="00CE3D3F" w:rsidP="003F05E3">
            <w:pPr>
              <w:rPr>
                <w:rFonts w:ascii="Times New Roman" w:hAnsi="Times New Roman" w:cs="Times New Roman"/>
              </w:rPr>
            </w:pPr>
            <w:r w:rsidRPr="008D46BC">
              <w:rPr>
                <w:rFonts w:ascii="Times New Roman" w:hAnsi="Times New Roman" w:cs="Times New Roman"/>
              </w:rPr>
              <w:t xml:space="preserve">Samazināt enerģijas patēriņu par 40 </w:t>
            </w:r>
            <w:proofErr w:type="spellStart"/>
            <w:r w:rsidRPr="008D46BC">
              <w:rPr>
                <w:rFonts w:ascii="Times New Roman" w:hAnsi="Times New Roman" w:cs="Times New Roman"/>
              </w:rPr>
              <w:t>TWh</w:t>
            </w:r>
            <w:proofErr w:type="spellEnd"/>
            <w:r w:rsidRPr="008D46BC">
              <w:rPr>
                <w:rFonts w:ascii="Times New Roman" w:hAnsi="Times New Roman" w:cs="Times New Roman"/>
              </w:rPr>
              <w:t xml:space="preserve"> laika posmā no 2001. – 2020. gadam (144 PJ, 3,44 </w:t>
            </w:r>
            <w:proofErr w:type="spellStart"/>
            <w:r w:rsidRPr="008D46BC">
              <w:rPr>
                <w:rFonts w:ascii="Times New Roman" w:hAnsi="Times New Roman" w:cs="Times New Roman"/>
              </w:rPr>
              <w:t>Mtoe</w:t>
            </w:r>
            <w:proofErr w:type="spellEnd"/>
            <w:r w:rsidRPr="008D46BC">
              <w:rPr>
                <w:rFonts w:ascii="Times New Roman" w:hAnsi="Times New Roman" w:cs="Times New Roman"/>
              </w:rPr>
              <w:t>)</w:t>
            </w:r>
          </w:p>
        </w:tc>
      </w:tr>
    </w:tbl>
    <w:p w:rsidR="009B6751" w:rsidRDefault="00277C23"/>
    <w:p w:rsidR="00FC6BB9" w:rsidRDefault="00FC6BB9"/>
    <w:p w:rsidR="00FC6BB9" w:rsidRPr="009C579D" w:rsidRDefault="00FC6BB9" w:rsidP="00FC6B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Ekonomikas ministrs</w:t>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D</w:t>
      </w:r>
      <w:r w:rsidRPr="009C579D">
        <w:rPr>
          <w:rFonts w:ascii="Times New Roman" w:hAnsi="Times New Roman" w:cs="Times New Roman"/>
          <w:color w:val="000000"/>
          <w:sz w:val="28"/>
          <w:szCs w:val="28"/>
        </w:rPr>
        <w:t>.</w:t>
      </w:r>
      <w:r>
        <w:rPr>
          <w:rFonts w:ascii="Times New Roman" w:hAnsi="Times New Roman" w:cs="Times New Roman"/>
          <w:color w:val="000000"/>
          <w:sz w:val="28"/>
          <w:szCs w:val="28"/>
        </w:rPr>
        <w:t>Pavļuts</w:t>
      </w:r>
      <w:proofErr w:type="spellEnd"/>
    </w:p>
    <w:p w:rsidR="00FC6BB9" w:rsidRPr="009C579D" w:rsidRDefault="00FC6BB9" w:rsidP="00FC6BB9">
      <w:pPr>
        <w:spacing w:after="0" w:line="240" w:lineRule="auto"/>
        <w:jc w:val="both"/>
        <w:rPr>
          <w:rFonts w:ascii="Times New Roman" w:hAnsi="Times New Roman" w:cs="Times New Roman"/>
          <w:color w:val="000000"/>
          <w:sz w:val="28"/>
          <w:szCs w:val="28"/>
        </w:rPr>
      </w:pPr>
    </w:p>
    <w:p w:rsidR="00FC6BB9" w:rsidRPr="009C579D" w:rsidRDefault="00FC6BB9" w:rsidP="00FC6BB9">
      <w:pPr>
        <w:spacing w:after="0" w:line="240" w:lineRule="auto"/>
        <w:jc w:val="both"/>
        <w:rPr>
          <w:rFonts w:ascii="Times New Roman" w:hAnsi="Times New Roman" w:cs="Times New Roman"/>
          <w:color w:val="000000"/>
          <w:sz w:val="28"/>
          <w:szCs w:val="28"/>
        </w:rPr>
      </w:pPr>
    </w:p>
    <w:p w:rsidR="00FC6BB9" w:rsidRPr="009C579D" w:rsidRDefault="00B87BE6" w:rsidP="00FC6B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Vī</w:t>
      </w:r>
      <w:r w:rsidR="00FC6BB9" w:rsidRPr="009C579D">
        <w:rPr>
          <w:rFonts w:ascii="Times New Roman" w:hAnsi="Times New Roman" w:cs="Times New Roman"/>
          <w:color w:val="000000"/>
          <w:sz w:val="28"/>
          <w:szCs w:val="28"/>
        </w:rPr>
        <w:t>z</w:t>
      </w:r>
      <w:r>
        <w:rPr>
          <w:rFonts w:ascii="Times New Roman" w:hAnsi="Times New Roman" w:cs="Times New Roman"/>
          <w:color w:val="000000"/>
          <w:sz w:val="28"/>
          <w:szCs w:val="28"/>
        </w:rPr>
        <w:t>a</w:t>
      </w:r>
      <w:r w:rsidR="00FC6BB9" w:rsidRPr="009C579D">
        <w:rPr>
          <w:rFonts w:ascii="Times New Roman" w:hAnsi="Times New Roman" w:cs="Times New Roman"/>
          <w:color w:val="000000"/>
          <w:sz w:val="28"/>
          <w:szCs w:val="28"/>
        </w:rPr>
        <w:t>:</w:t>
      </w:r>
    </w:p>
    <w:p w:rsidR="00FC6BB9" w:rsidRPr="009C579D" w:rsidRDefault="00FC6BB9" w:rsidP="00FC6BB9">
      <w:pPr>
        <w:spacing w:after="0" w:line="240" w:lineRule="auto"/>
        <w:jc w:val="both"/>
        <w:rPr>
          <w:rFonts w:ascii="Times New Roman" w:hAnsi="Times New Roman" w:cs="Times New Roman"/>
          <w:color w:val="000000"/>
          <w:sz w:val="28"/>
          <w:szCs w:val="28"/>
        </w:rPr>
      </w:pPr>
      <w:r w:rsidRPr="009C579D">
        <w:rPr>
          <w:rFonts w:ascii="Times New Roman" w:hAnsi="Times New Roman" w:cs="Times New Roman"/>
          <w:color w:val="000000"/>
          <w:sz w:val="28"/>
          <w:szCs w:val="28"/>
        </w:rPr>
        <w:t>Valsts sekretār</w:t>
      </w:r>
      <w:r>
        <w:rPr>
          <w:rFonts w:ascii="Times New Roman" w:hAnsi="Times New Roman" w:cs="Times New Roman"/>
          <w:color w:val="000000"/>
          <w:sz w:val="28"/>
          <w:szCs w:val="28"/>
        </w:rPr>
        <w:t>s</w:t>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sidRPr="009C579D">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J</w:t>
      </w:r>
      <w:r w:rsidRPr="009C579D">
        <w:rPr>
          <w:rFonts w:ascii="Times New Roman" w:hAnsi="Times New Roman" w:cs="Times New Roman"/>
          <w:color w:val="000000"/>
          <w:sz w:val="28"/>
          <w:szCs w:val="28"/>
        </w:rPr>
        <w:t>.</w:t>
      </w:r>
      <w:r>
        <w:rPr>
          <w:rFonts w:ascii="Times New Roman" w:hAnsi="Times New Roman" w:cs="Times New Roman"/>
          <w:color w:val="000000"/>
          <w:sz w:val="28"/>
          <w:szCs w:val="28"/>
        </w:rPr>
        <w:t>Pūce</w:t>
      </w: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Default="00FC6BB9" w:rsidP="00FC6BB9">
      <w:pPr>
        <w:spacing w:after="0" w:line="240" w:lineRule="auto"/>
        <w:jc w:val="both"/>
        <w:rPr>
          <w:rFonts w:ascii="Times New Roman" w:hAnsi="Times New Roman" w:cs="Times New Roman"/>
          <w:color w:val="000000"/>
          <w:sz w:val="28"/>
          <w:szCs w:val="28"/>
        </w:rPr>
      </w:pPr>
    </w:p>
    <w:p w:rsidR="00FC6BB9" w:rsidRPr="00C977B1" w:rsidRDefault="00FC6BB9" w:rsidP="00FC6BB9">
      <w:pPr>
        <w:spacing w:after="0" w:line="240" w:lineRule="auto"/>
        <w:jc w:val="both"/>
        <w:rPr>
          <w:rFonts w:ascii="Times New Roman" w:hAnsi="Times New Roman" w:cs="Times New Roman"/>
          <w:color w:val="000000"/>
          <w:sz w:val="28"/>
          <w:szCs w:val="28"/>
        </w:rPr>
      </w:pPr>
    </w:p>
    <w:p w:rsidR="00FC6BB9" w:rsidRPr="00C341F4" w:rsidRDefault="00EC708D" w:rsidP="00FC6BB9">
      <w:pPr>
        <w:spacing w:after="0" w:line="240" w:lineRule="auto"/>
        <w:outlineLvl w:val="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04</w:t>
      </w:r>
      <w:r w:rsidR="00FC6BB9" w:rsidRPr="00C341F4">
        <w:rPr>
          <w:rFonts w:ascii="Times New Roman" w:eastAsia="Times New Roman" w:hAnsi="Times New Roman" w:cs="Times New Roman"/>
          <w:kern w:val="28"/>
          <w:sz w:val="20"/>
          <w:szCs w:val="20"/>
        </w:rPr>
        <w:t>.0</w:t>
      </w:r>
      <w:r>
        <w:rPr>
          <w:rFonts w:ascii="Times New Roman" w:eastAsia="Times New Roman" w:hAnsi="Times New Roman" w:cs="Times New Roman"/>
          <w:kern w:val="28"/>
          <w:sz w:val="20"/>
          <w:szCs w:val="20"/>
        </w:rPr>
        <w:t>6</w:t>
      </w:r>
      <w:r w:rsidR="00FC6BB9" w:rsidRPr="00C341F4">
        <w:rPr>
          <w:rFonts w:ascii="Times New Roman" w:eastAsia="Times New Roman" w:hAnsi="Times New Roman" w:cs="Times New Roman"/>
          <w:kern w:val="28"/>
          <w:sz w:val="20"/>
          <w:szCs w:val="20"/>
        </w:rPr>
        <w:t xml:space="preserve">.2013 </w:t>
      </w:r>
      <w:r w:rsidR="00FC6BB9">
        <w:rPr>
          <w:rFonts w:ascii="Times New Roman" w:eastAsia="Times New Roman" w:hAnsi="Times New Roman" w:cs="Times New Roman"/>
          <w:kern w:val="28"/>
          <w:sz w:val="20"/>
          <w:szCs w:val="20"/>
        </w:rPr>
        <w:t>1</w:t>
      </w:r>
      <w:r>
        <w:rPr>
          <w:rFonts w:ascii="Times New Roman" w:eastAsia="Times New Roman" w:hAnsi="Times New Roman" w:cs="Times New Roman"/>
          <w:kern w:val="28"/>
          <w:sz w:val="20"/>
          <w:szCs w:val="20"/>
        </w:rPr>
        <w:t>0</w:t>
      </w:r>
      <w:r w:rsidR="00FC6BB9">
        <w:rPr>
          <w:rFonts w:ascii="Times New Roman" w:eastAsia="Times New Roman" w:hAnsi="Times New Roman" w:cs="Times New Roman"/>
          <w:kern w:val="28"/>
          <w:sz w:val="20"/>
          <w:szCs w:val="20"/>
        </w:rPr>
        <w:t>:</w:t>
      </w:r>
      <w:r>
        <w:rPr>
          <w:rFonts w:ascii="Times New Roman" w:eastAsia="Times New Roman" w:hAnsi="Times New Roman" w:cs="Times New Roman"/>
          <w:kern w:val="28"/>
          <w:sz w:val="20"/>
          <w:szCs w:val="20"/>
        </w:rPr>
        <w:t>15</w:t>
      </w:r>
    </w:p>
    <w:p w:rsidR="00A23BAF" w:rsidRDefault="00A23BAF" w:rsidP="00FC6BB9">
      <w:pPr>
        <w:spacing w:after="0" w:line="240" w:lineRule="auto"/>
        <w:outlineLvl w:val="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fldChar w:fldCharType="begin"/>
      </w:r>
      <w:r>
        <w:rPr>
          <w:rFonts w:ascii="Times New Roman" w:eastAsia="Times New Roman" w:hAnsi="Times New Roman" w:cs="Times New Roman"/>
          <w:kern w:val="28"/>
          <w:sz w:val="20"/>
          <w:szCs w:val="20"/>
        </w:rPr>
        <w:instrText xml:space="preserve"> NUMWORDS   \* MERGEFORMAT </w:instrText>
      </w:r>
      <w:r>
        <w:rPr>
          <w:rFonts w:ascii="Times New Roman" w:eastAsia="Times New Roman" w:hAnsi="Times New Roman" w:cs="Times New Roman"/>
          <w:kern w:val="28"/>
          <w:sz w:val="20"/>
          <w:szCs w:val="20"/>
        </w:rPr>
        <w:fldChar w:fldCharType="separate"/>
      </w:r>
      <w:r w:rsidR="00277C23">
        <w:rPr>
          <w:rFonts w:ascii="Times New Roman" w:eastAsia="Times New Roman" w:hAnsi="Times New Roman" w:cs="Times New Roman"/>
          <w:noProof/>
          <w:kern w:val="28"/>
          <w:sz w:val="20"/>
          <w:szCs w:val="20"/>
        </w:rPr>
        <w:t>1791</w:t>
      </w:r>
      <w:r>
        <w:rPr>
          <w:rFonts w:ascii="Times New Roman" w:eastAsia="Times New Roman" w:hAnsi="Times New Roman" w:cs="Times New Roman"/>
          <w:kern w:val="28"/>
          <w:sz w:val="20"/>
          <w:szCs w:val="20"/>
        </w:rPr>
        <w:fldChar w:fldCharType="end"/>
      </w:r>
      <w:bookmarkStart w:id="0" w:name="_GoBack"/>
      <w:bookmarkEnd w:id="0"/>
    </w:p>
    <w:p w:rsidR="00FC6BB9" w:rsidRPr="00B66BE2" w:rsidRDefault="00FC6BB9" w:rsidP="00FC6BB9">
      <w:pPr>
        <w:spacing w:after="0" w:line="240" w:lineRule="auto"/>
        <w:outlineLvl w:val="0"/>
        <w:rPr>
          <w:rFonts w:ascii="Times New Roman" w:eastAsia="Times New Roman" w:hAnsi="Times New Roman" w:cs="Times New Roman"/>
          <w:kern w:val="28"/>
          <w:sz w:val="20"/>
          <w:szCs w:val="20"/>
        </w:rPr>
      </w:pPr>
      <w:r w:rsidRPr="00B66BE2">
        <w:rPr>
          <w:rFonts w:ascii="Times New Roman" w:eastAsia="Times New Roman" w:hAnsi="Times New Roman" w:cs="Times New Roman"/>
          <w:kern w:val="28"/>
          <w:sz w:val="20"/>
          <w:szCs w:val="20"/>
        </w:rPr>
        <w:t>A</w:t>
      </w:r>
      <w:r w:rsidRPr="00C341F4">
        <w:rPr>
          <w:rFonts w:ascii="Times New Roman" w:eastAsia="Times New Roman" w:hAnsi="Times New Roman" w:cs="Times New Roman"/>
          <w:kern w:val="28"/>
          <w:sz w:val="20"/>
          <w:szCs w:val="20"/>
        </w:rPr>
        <w:t>.</w:t>
      </w:r>
      <w:r w:rsidRPr="00B66BE2">
        <w:rPr>
          <w:rFonts w:ascii="Times New Roman" w:eastAsia="Times New Roman" w:hAnsi="Times New Roman" w:cs="Times New Roman"/>
          <w:kern w:val="28"/>
          <w:sz w:val="20"/>
          <w:szCs w:val="20"/>
        </w:rPr>
        <w:t>Pētersone</w:t>
      </w:r>
      <w:r w:rsidRPr="00C341F4">
        <w:rPr>
          <w:rFonts w:ascii="Times New Roman" w:eastAsia="Times New Roman" w:hAnsi="Times New Roman" w:cs="Times New Roman"/>
          <w:kern w:val="28"/>
          <w:sz w:val="20"/>
          <w:szCs w:val="20"/>
        </w:rPr>
        <w:t>, 67082</w:t>
      </w:r>
      <w:r w:rsidRPr="00B66BE2">
        <w:rPr>
          <w:rFonts w:ascii="Times New Roman" w:eastAsia="Times New Roman" w:hAnsi="Times New Roman" w:cs="Times New Roman"/>
          <w:kern w:val="28"/>
          <w:sz w:val="20"/>
          <w:szCs w:val="20"/>
        </w:rPr>
        <w:t>170</w:t>
      </w:r>
    </w:p>
    <w:p w:rsidR="00FC6BB9" w:rsidRPr="00FC6BB9" w:rsidRDefault="00277C23" w:rsidP="00FC6BB9">
      <w:pPr>
        <w:spacing w:after="0" w:line="240" w:lineRule="auto"/>
        <w:outlineLvl w:val="0"/>
        <w:rPr>
          <w:rFonts w:ascii="Times New Roman" w:eastAsia="Times New Roman" w:hAnsi="Times New Roman" w:cs="Times New Roman"/>
          <w:kern w:val="28"/>
          <w:sz w:val="20"/>
          <w:szCs w:val="20"/>
        </w:rPr>
      </w:pPr>
      <w:hyperlink r:id="rId8" w:history="1">
        <w:r w:rsidR="00FC6BB9" w:rsidRPr="00FC6BB9">
          <w:rPr>
            <w:rFonts w:ascii="Times New Roman" w:eastAsia="Times New Roman" w:hAnsi="Times New Roman" w:cs="Times New Roman"/>
            <w:kern w:val="28"/>
            <w:sz w:val="20"/>
            <w:szCs w:val="20"/>
          </w:rPr>
          <w:t>andzela.petersone@em.gov.lv</w:t>
        </w:r>
      </w:hyperlink>
      <w:r w:rsidR="00FC6BB9" w:rsidRPr="00B66BE2">
        <w:rPr>
          <w:rFonts w:ascii="Times New Roman" w:eastAsia="Times New Roman" w:hAnsi="Times New Roman" w:cs="Times New Roman"/>
          <w:kern w:val="28"/>
          <w:sz w:val="20"/>
          <w:szCs w:val="20"/>
        </w:rPr>
        <w:t xml:space="preserve">  </w:t>
      </w:r>
    </w:p>
    <w:sectPr w:rsidR="00FC6BB9" w:rsidRPr="00FC6BB9" w:rsidSect="00CE3D3F">
      <w:footerReference w:type="default" r:id="rId9"/>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0B" w:rsidRDefault="0060360B" w:rsidP="00AD3202">
      <w:pPr>
        <w:spacing w:after="0" w:line="240" w:lineRule="auto"/>
      </w:pPr>
      <w:r>
        <w:separator/>
      </w:r>
    </w:p>
  </w:endnote>
  <w:endnote w:type="continuationSeparator" w:id="0">
    <w:p w:rsidR="0060360B" w:rsidRDefault="0060360B" w:rsidP="00AD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02" w:rsidRDefault="00AD3202">
    <w:pPr>
      <w:pStyle w:val="Footer"/>
    </w:pPr>
    <w:r w:rsidRPr="00AD3202">
      <w:rPr>
        <w:rFonts w:ascii="Times New Roman" w:hAnsi="Times New Roman" w:cs="Times New Roman"/>
        <w:sz w:val="24"/>
        <w:szCs w:val="24"/>
      </w:rPr>
      <w:fldChar w:fldCharType="begin"/>
    </w:r>
    <w:r w:rsidRPr="00AD3202">
      <w:rPr>
        <w:rFonts w:ascii="Times New Roman" w:hAnsi="Times New Roman" w:cs="Times New Roman"/>
        <w:sz w:val="24"/>
        <w:szCs w:val="24"/>
      </w:rPr>
      <w:instrText xml:space="preserve"> FILENAME   \* MERGEFORMAT </w:instrText>
    </w:r>
    <w:r w:rsidRPr="00AD3202">
      <w:rPr>
        <w:rFonts w:ascii="Times New Roman" w:hAnsi="Times New Roman" w:cs="Times New Roman"/>
        <w:sz w:val="24"/>
        <w:szCs w:val="24"/>
      </w:rPr>
      <w:fldChar w:fldCharType="separate"/>
    </w:r>
    <w:r w:rsidR="00277C23">
      <w:rPr>
        <w:rFonts w:ascii="Times New Roman" w:hAnsi="Times New Roman" w:cs="Times New Roman"/>
        <w:noProof/>
        <w:sz w:val="24"/>
        <w:szCs w:val="24"/>
      </w:rPr>
      <w:t>EMKonc_040613_piel_VSS_665</w:t>
    </w:r>
    <w:r w:rsidRPr="00AD3202">
      <w:rPr>
        <w:rFonts w:ascii="Times New Roman" w:hAnsi="Times New Roman" w:cs="Times New Roman"/>
        <w:sz w:val="24"/>
        <w:szCs w:val="24"/>
      </w:rPr>
      <w:fldChar w:fldCharType="end"/>
    </w:r>
    <w:r w:rsidR="00EC708D">
      <w:rPr>
        <w:rFonts w:ascii="Times New Roman" w:hAnsi="Times New Roman" w:cs="Times New Roman"/>
        <w:sz w:val="24"/>
        <w:szCs w:val="24"/>
      </w:rPr>
      <w:t>;</w:t>
    </w:r>
    <w:r w:rsidRPr="00AD3202">
      <w:rPr>
        <w:rFonts w:ascii="Times New Roman" w:hAnsi="Times New Roman" w:cs="Times New Roman"/>
        <w:sz w:val="24"/>
        <w:szCs w:val="24"/>
      </w:rPr>
      <w:t xml:space="preserve"> 1. pielikums koncepcijai par </w:t>
    </w:r>
    <w:r w:rsidRPr="0019700F">
      <w:rPr>
        <w:rFonts w:ascii="Times New Roman" w:hAnsi="Times New Roman" w:cs="Times New Roman"/>
        <w:sz w:val="24"/>
        <w:szCs w:val="24"/>
      </w:rPr>
      <w:t>Direktīvas 2012/27/ES par energoefektivitāti  prasību pārņemšanu normatīvajos aktos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0B" w:rsidRDefault="0060360B" w:rsidP="00AD3202">
      <w:pPr>
        <w:spacing w:after="0" w:line="240" w:lineRule="auto"/>
      </w:pPr>
      <w:r>
        <w:separator/>
      </w:r>
    </w:p>
  </w:footnote>
  <w:footnote w:type="continuationSeparator" w:id="0">
    <w:p w:rsidR="0060360B" w:rsidRDefault="0060360B" w:rsidP="00AD3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3F"/>
    <w:rsid w:val="000E347A"/>
    <w:rsid w:val="00277C23"/>
    <w:rsid w:val="002C126C"/>
    <w:rsid w:val="00320393"/>
    <w:rsid w:val="00322C42"/>
    <w:rsid w:val="00387B8D"/>
    <w:rsid w:val="00467328"/>
    <w:rsid w:val="00495A31"/>
    <w:rsid w:val="0060360B"/>
    <w:rsid w:val="0095157F"/>
    <w:rsid w:val="0099439B"/>
    <w:rsid w:val="009B7224"/>
    <w:rsid w:val="00A04F84"/>
    <w:rsid w:val="00A23BAF"/>
    <w:rsid w:val="00AD3202"/>
    <w:rsid w:val="00B87BE6"/>
    <w:rsid w:val="00C160D8"/>
    <w:rsid w:val="00CE3D3F"/>
    <w:rsid w:val="00D841FE"/>
    <w:rsid w:val="00DA6C29"/>
    <w:rsid w:val="00EC708D"/>
    <w:rsid w:val="00F21C48"/>
    <w:rsid w:val="00FC6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F"/>
    <w:rPr>
      <w:rFonts w:asciiTheme="minorHAnsi" w:hAnsiTheme="minorHAnsi"/>
      <w:sz w:val="22"/>
    </w:rPr>
  </w:style>
  <w:style w:type="paragraph" w:styleId="Heading1">
    <w:name w:val="heading 1"/>
    <w:basedOn w:val="Normal"/>
    <w:next w:val="Normal"/>
    <w:link w:val="Heading1Char"/>
    <w:uiPriority w:val="9"/>
    <w:qFormat/>
    <w:rsid w:val="00CE3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3F"/>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CE3D3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6BB9"/>
    <w:rPr>
      <w:strike w:val="0"/>
      <w:dstrike w:val="0"/>
      <w:color w:val="7C0F0F"/>
      <w:u w:val="none"/>
      <w:effect w:val="none"/>
    </w:rPr>
  </w:style>
  <w:style w:type="paragraph" w:styleId="Header">
    <w:name w:val="header"/>
    <w:basedOn w:val="Normal"/>
    <w:link w:val="HeaderChar"/>
    <w:uiPriority w:val="99"/>
    <w:unhideWhenUsed/>
    <w:rsid w:val="00AD3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202"/>
    <w:rPr>
      <w:rFonts w:asciiTheme="minorHAnsi" w:hAnsiTheme="minorHAnsi"/>
      <w:sz w:val="22"/>
    </w:rPr>
  </w:style>
  <w:style w:type="paragraph" w:styleId="Footer">
    <w:name w:val="footer"/>
    <w:basedOn w:val="Normal"/>
    <w:link w:val="FooterChar"/>
    <w:uiPriority w:val="99"/>
    <w:unhideWhenUsed/>
    <w:rsid w:val="00AD3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20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F"/>
    <w:rPr>
      <w:rFonts w:asciiTheme="minorHAnsi" w:hAnsiTheme="minorHAnsi"/>
      <w:sz w:val="22"/>
    </w:rPr>
  </w:style>
  <w:style w:type="paragraph" w:styleId="Heading1">
    <w:name w:val="heading 1"/>
    <w:basedOn w:val="Normal"/>
    <w:next w:val="Normal"/>
    <w:link w:val="Heading1Char"/>
    <w:uiPriority w:val="9"/>
    <w:qFormat/>
    <w:rsid w:val="00CE3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3F"/>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CE3D3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6BB9"/>
    <w:rPr>
      <w:strike w:val="0"/>
      <w:dstrike w:val="0"/>
      <w:color w:val="7C0F0F"/>
      <w:u w:val="none"/>
      <w:effect w:val="none"/>
    </w:rPr>
  </w:style>
  <w:style w:type="paragraph" w:styleId="Header">
    <w:name w:val="header"/>
    <w:basedOn w:val="Normal"/>
    <w:link w:val="HeaderChar"/>
    <w:uiPriority w:val="99"/>
    <w:unhideWhenUsed/>
    <w:rsid w:val="00AD3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202"/>
    <w:rPr>
      <w:rFonts w:asciiTheme="minorHAnsi" w:hAnsiTheme="minorHAnsi"/>
      <w:sz w:val="22"/>
    </w:rPr>
  </w:style>
  <w:style w:type="paragraph" w:styleId="Footer">
    <w:name w:val="footer"/>
    <w:basedOn w:val="Normal"/>
    <w:link w:val="FooterChar"/>
    <w:uiPriority w:val="99"/>
    <w:unhideWhenUsed/>
    <w:rsid w:val="00AD3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20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petersone@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C733-E01A-4974-9AF8-E6303154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1813</Words>
  <Characters>12677</Characters>
  <Application>Microsoft Office Word</Application>
  <DocSecurity>0</DocSecurity>
  <Lines>487</Lines>
  <Paragraphs>159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Beihmanis</dc:creator>
  <cp:keywords/>
  <dc:description/>
  <cp:lastModifiedBy>Kārlis Beihmanis</cp:lastModifiedBy>
  <cp:revision>8</cp:revision>
  <cp:lastPrinted>2013-11-19T12:05:00Z</cp:lastPrinted>
  <dcterms:created xsi:type="dcterms:W3CDTF">2013-08-05T09:26:00Z</dcterms:created>
  <dcterms:modified xsi:type="dcterms:W3CDTF">2013-11-19T12:05:00Z</dcterms:modified>
</cp:coreProperties>
</file>