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52" w:rsidRPr="00867282" w:rsidRDefault="00DD1B52" w:rsidP="00E10E47">
      <w:pPr>
        <w:spacing w:after="0" w:line="240" w:lineRule="auto"/>
        <w:jc w:val="right"/>
        <w:rPr>
          <w:rFonts w:ascii="Times New Roman" w:hAnsi="Times New Roman" w:cs="Times New Roman"/>
          <w:sz w:val="28"/>
          <w:szCs w:val="28"/>
        </w:rPr>
      </w:pPr>
      <w:r w:rsidRPr="00867282">
        <w:rPr>
          <w:rFonts w:ascii="Times New Roman" w:hAnsi="Times New Roman" w:cs="Times New Roman"/>
          <w:sz w:val="28"/>
          <w:szCs w:val="28"/>
        </w:rPr>
        <w:t>Projekts</w:t>
      </w:r>
    </w:p>
    <w:p w:rsidR="00DD1B52" w:rsidRPr="00867282" w:rsidRDefault="00DD1B52" w:rsidP="00E10E47">
      <w:pPr>
        <w:spacing w:after="0" w:line="240" w:lineRule="auto"/>
        <w:ind w:left="5670" w:right="57" w:firstLine="142"/>
        <w:jc w:val="right"/>
        <w:rPr>
          <w:rFonts w:ascii="Times New Roman" w:hAnsi="Times New Roman" w:cs="Times New Roman"/>
          <w:sz w:val="28"/>
          <w:szCs w:val="28"/>
        </w:rPr>
      </w:pPr>
      <w:r w:rsidRPr="00867282">
        <w:rPr>
          <w:rFonts w:ascii="Times New Roman" w:hAnsi="Times New Roman" w:cs="Times New Roman"/>
          <w:sz w:val="28"/>
          <w:szCs w:val="28"/>
        </w:rPr>
        <w:t xml:space="preserve">(Ministru kabineta </w:t>
      </w:r>
    </w:p>
    <w:p w:rsidR="00DD1B52" w:rsidRPr="00867282" w:rsidRDefault="00DD1B52" w:rsidP="00E10E47">
      <w:pPr>
        <w:spacing w:after="0" w:line="240" w:lineRule="auto"/>
        <w:ind w:left="5670" w:right="57" w:firstLine="142"/>
        <w:jc w:val="right"/>
        <w:rPr>
          <w:rFonts w:ascii="Times New Roman" w:hAnsi="Times New Roman" w:cs="Times New Roman"/>
          <w:sz w:val="28"/>
          <w:szCs w:val="28"/>
        </w:rPr>
      </w:pPr>
      <w:r w:rsidRPr="00867282">
        <w:rPr>
          <w:rFonts w:ascii="Times New Roman" w:hAnsi="Times New Roman" w:cs="Times New Roman"/>
          <w:sz w:val="28"/>
          <w:szCs w:val="28"/>
        </w:rPr>
        <w:t>2013.gada ___._________</w:t>
      </w:r>
    </w:p>
    <w:p w:rsidR="00DD1B52" w:rsidRPr="00867282" w:rsidRDefault="00DD1B52" w:rsidP="00E10E47">
      <w:pPr>
        <w:spacing w:after="0" w:line="240" w:lineRule="auto"/>
        <w:ind w:left="5670" w:right="57" w:firstLine="142"/>
        <w:jc w:val="right"/>
        <w:rPr>
          <w:rFonts w:ascii="Times New Roman" w:hAnsi="Times New Roman" w:cs="Times New Roman"/>
          <w:sz w:val="28"/>
          <w:szCs w:val="28"/>
        </w:rPr>
      </w:pPr>
      <w:r w:rsidRPr="00867282">
        <w:rPr>
          <w:rFonts w:ascii="Times New Roman" w:hAnsi="Times New Roman" w:cs="Times New Roman"/>
          <w:sz w:val="28"/>
          <w:szCs w:val="28"/>
        </w:rPr>
        <w:t xml:space="preserve">rīkojums </w:t>
      </w:r>
      <w:proofErr w:type="spellStart"/>
      <w:r w:rsidRPr="00867282">
        <w:rPr>
          <w:rFonts w:ascii="Times New Roman" w:hAnsi="Times New Roman" w:cs="Times New Roman"/>
          <w:sz w:val="28"/>
          <w:szCs w:val="28"/>
        </w:rPr>
        <w:t>Nr</w:t>
      </w:r>
      <w:proofErr w:type="spellEnd"/>
      <w:r w:rsidRPr="00867282">
        <w:rPr>
          <w:rFonts w:ascii="Times New Roman" w:hAnsi="Times New Roman" w:cs="Times New Roman"/>
          <w:sz w:val="28"/>
          <w:szCs w:val="28"/>
        </w:rPr>
        <w:t>.____)</w:t>
      </w:r>
    </w:p>
    <w:p w:rsidR="00DD1B52" w:rsidRDefault="00DD1B52" w:rsidP="00E10E47">
      <w:pPr>
        <w:spacing w:after="0" w:line="240" w:lineRule="auto"/>
      </w:pPr>
    </w:p>
    <w:p w:rsidR="00DD1B52" w:rsidRDefault="00DD1B52" w:rsidP="00E10E47">
      <w:pPr>
        <w:spacing w:after="0" w:line="240" w:lineRule="auto"/>
        <w:rPr>
          <w:b/>
          <w:bCs/>
        </w:rPr>
      </w:pPr>
    </w:p>
    <w:p w:rsidR="00DD1B52" w:rsidRDefault="00DD1B52" w:rsidP="00E10E47">
      <w:pPr>
        <w:spacing w:after="0" w:line="240" w:lineRule="auto"/>
        <w:rPr>
          <w:b/>
          <w:bCs/>
        </w:rPr>
      </w:pPr>
    </w:p>
    <w:p w:rsidR="00DD1B52" w:rsidRDefault="00DD1B52" w:rsidP="00E10E47">
      <w:pPr>
        <w:spacing w:after="0" w:line="240" w:lineRule="auto"/>
        <w:rPr>
          <w:b/>
          <w:bCs/>
        </w:rPr>
      </w:pPr>
    </w:p>
    <w:p w:rsidR="00DD1B52" w:rsidRDefault="00DD1B52" w:rsidP="00E10E47">
      <w:pPr>
        <w:spacing w:after="0" w:line="240" w:lineRule="auto"/>
        <w:rPr>
          <w:b/>
          <w:bCs/>
        </w:rPr>
      </w:pPr>
    </w:p>
    <w:p w:rsidR="00DD1B52" w:rsidRDefault="00DD1B52" w:rsidP="00E10E47">
      <w:pPr>
        <w:spacing w:after="0" w:line="240" w:lineRule="auto"/>
        <w:rPr>
          <w:b/>
          <w:bCs/>
        </w:rPr>
      </w:pPr>
    </w:p>
    <w:p w:rsidR="00DD1B52" w:rsidRDefault="00DD1B52" w:rsidP="00E10E47">
      <w:pPr>
        <w:spacing w:after="0" w:line="240" w:lineRule="auto"/>
        <w:rPr>
          <w:b/>
          <w:bCs/>
        </w:rPr>
      </w:pPr>
    </w:p>
    <w:p w:rsidR="00CE2651" w:rsidRDefault="00DD1B52" w:rsidP="00E10E47">
      <w:pPr>
        <w:spacing w:after="0" w:line="240" w:lineRule="auto"/>
        <w:jc w:val="center"/>
        <w:rPr>
          <w:rFonts w:ascii="Times New Roman" w:hAnsi="Times New Roman" w:cs="Times New Roman"/>
          <w:b/>
          <w:color w:val="000000"/>
          <w:sz w:val="28"/>
          <w:szCs w:val="28"/>
        </w:rPr>
      </w:pPr>
      <w:r w:rsidRPr="002221DA">
        <w:rPr>
          <w:rFonts w:ascii="Times New Roman" w:hAnsi="Times New Roman" w:cs="Times New Roman"/>
          <w:b/>
          <w:color w:val="000000"/>
          <w:sz w:val="28"/>
          <w:szCs w:val="28"/>
        </w:rPr>
        <w:t xml:space="preserve">Koncepcija par </w:t>
      </w:r>
      <w:r w:rsidRPr="00BC78D6">
        <w:rPr>
          <w:rFonts w:ascii="Times New Roman" w:hAnsi="Times New Roman" w:cs="Times New Roman"/>
          <w:b/>
          <w:color w:val="000000"/>
          <w:sz w:val="28"/>
          <w:szCs w:val="28"/>
        </w:rPr>
        <w:t>Eiropas Parlamenta un Padomes 2012.gada 25.oktobra Direktīvas 2012/27/ES par energoefektivitāti, ar ko groza Direktīvas 2009/125/EK un 2010/30/ES un atceļ Direktīvas 2004/8/EK un 2006/32/EK prasīb</w:t>
      </w:r>
      <w:r>
        <w:rPr>
          <w:rFonts w:ascii="Times New Roman" w:hAnsi="Times New Roman" w:cs="Times New Roman"/>
          <w:b/>
          <w:color w:val="000000"/>
          <w:sz w:val="28"/>
          <w:szCs w:val="28"/>
        </w:rPr>
        <w:t>u pārņemšanu normatīvajos aktos</w:t>
      </w:r>
    </w:p>
    <w:p w:rsidR="00CE2651" w:rsidRDefault="00CE2651">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DD1B52" w:rsidRPr="00BC78D6" w:rsidRDefault="00DD1B52" w:rsidP="00E10E47">
      <w:pPr>
        <w:spacing w:after="0" w:line="240" w:lineRule="auto"/>
        <w:jc w:val="center"/>
        <w:rPr>
          <w:b/>
          <w:bCs/>
          <w:sz w:val="28"/>
          <w:szCs w:val="28"/>
        </w:rPr>
      </w:pPr>
    </w:p>
    <w:sdt>
      <w:sdtPr>
        <w:rPr>
          <w:rFonts w:ascii="Times New Roman" w:eastAsiaTheme="minorHAnsi" w:hAnsi="Times New Roman" w:cs="Times New Roman"/>
          <w:b w:val="0"/>
          <w:bCs w:val="0"/>
          <w:color w:val="auto"/>
          <w:sz w:val="22"/>
          <w:szCs w:val="22"/>
          <w:lang w:val="lv-LV" w:eastAsia="en-US"/>
        </w:rPr>
        <w:id w:val="603387414"/>
        <w:docPartObj>
          <w:docPartGallery w:val="Table of Contents"/>
          <w:docPartUnique/>
        </w:docPartObj>
      </w:sdtPr>
      <w:sdtEndPr>
        <w:rPr>
          <w:noProof/>
        </w:rPr>
      </w:sdtEndPr>
      <w:sdtContent>
        <w:p w:rsidR="000610D5" w:rsidRPr="009116D2" w:rsidRDefault="00932B21" w:rsidP="00932B21">
          <w:pPr>
            <w:pStyle w:val="TOCHeading"/>
            <w:jc w:val="center"/>
            <w:rPr>
              <w:rFonts w:ascii="Times New Roman" w:hAnsi="Times New Roman" w:cs="Times New Roman"/>
            </w:rPr>
          </w:pPr>
          <w:r w:rsidRPr="009116D2">
            <w:rPr>
              <w:rFonts w:ascii="Times New Roman" w:eastAsiaTheme="minorHAnsi" w:hAnsi="Times New Roman" w:cs="Times New Roman"/>
              <w:bCs w:val="0"/>
              <w:color w:val="auto"/>
              <w:lang w:val="lv-LV" w:eastAsia="en-US"/>
            </w:rPr>
            <w:t>Saturs</w:t>
          </w:r>
        </w:p>
        <w:p w:rsidR="00725CED" w:rsidRDefault="000610D5">
          <w:pPr>
            <w:pStyle w:val="TOC1"/>
            <w:tabs>
              <w:tab w:val="right" w:leader="dot" w:pos="9061"/>
            </w:tabs>
            <w:rPr>
              <w:rFonts w:eastAsiaTheme="minorEastAsia"/>
              <w:noProof/>
              <w:lang w:eastAsia="lv-LV"/>
            </w:rPr>
          </w:pPr>
          <w:r w:rsidRPr="009116D2">
            <w:rPr>
              <w:rFonts w:ascii="Times New Roman" w:hAnsi="Times New Roman" w:cs="Times New Roman"/>
            </w:rPr>
            <w:fldChar w:fldCharType="begin"/>
          </w:r>
          <w:r w:rsidRPr="009116D2">
            <w:rPr>
              <w:rFonts w:ascii="Times New Roman" w:hAnsi="Times New Roman" w:cs="Times New Roman"/>
            </w:rPr>
            <w:instrText xml:space="preserve"> TOC \o "1-3" \h \z \u </w:instrText>
          </w:r>
          <w:r w:rsidRPr="009116D2">
            <w:rPr>
              <w:rFonts w:ascii="Times New Roman" w:hAnsi="Times New Roman" w:cs="Times New Roman"/>
            </w:rPr>
            <w:fldChar w:fldCharType="separate"/>
          </w:r>
          <w:hyperlink w:anchor="_Toc372269901" w:history="1">
            <w:r w:rsidR="00725CED" w:rsidRPr="00D1370E">
              <w:rPr>
                <w:rStyle w:val="Hyperlink"/>
                <w:rFonts w:ascii="Times New Roman" w:hAnsi="Times New Roman" w:cs="Times New Roman"/>
                <w:i/>
                <w:noProof/>
              </w:rPr>
              <w:t>Kopsavilkums</w:t>
            </w:r>
            <w:r w:rsidR="00725CED">
              <w:rPr>
                <w:noProof/>
                <w:webHidden/>
              </w:rPr>
              <w:tab/>
            </w:r>
            <w:r w:rsidR="00725CED">
              <w:rPr>
                <w:noProof/>
                <w:webHidden/>
              </w:rPr>
              <w:fldChar w:fldCharType="begin"/>
            </w:r>
            <w:r w:rsidR="00725CED">
              <w:rPr>
                <w:noProof/>
                <w:webHidden/>
              </w:rPr>
              <w:instrText xml:space="preserve"> PAGEREF _Toc372269901 \h </w:instrText>
            </w:r>
            <w:r w:rsidR="00725CED">
              <w:rPr>
                <w:noProof/>
                <w:webHidden/>
              </w:rPr>
            </w:r>
            <w:r w:rsidR="00725CED">
              <w:rPr>
                <w:noProof/>
                <w:webHidden/>
              </w:rPr>
              <w:fldChar w:fldCharType="separate"/>
            </w:r>
            <w:r w:rsidR="008B1A99">
              <w:rPr>
                <w:noProof/>
                <w:webHidden/>
              </w:rPr>
              <w:t>3</w:t>
            </w:r>
            <w:r w:rsidR="00725CED">
              <w:rPr>
                <w:noProof/>
                <w:webHidden/>
              </w:rPr>
              <w:fldChar w:fldCharType="end"/>
            </w:r>
          </w:hyperlink>
        </w:p>
        <w:p w:rsidR="00725CED" w:rsidRDefault="00E33C69">
          <w:pPr>
            <w:pStyle w:val="TOC1"/>
            <w:tabs>
              <w:tab w:val="right" w:leader="dot" w:pos="9061"/>
            </w:tabs>
            <w:rPr>
              <w:rFonts w:eastAsiaTheme="minorEastAsia"/>
              <w:noProof/>
              <w:lang w:eastAsia="lv-LV"/>
            </w:rPr>
          </w:pPr>
          <w:hyperlink w:anchor="_Toc372269902" w:history="1">
            <w:r w:rsidR="00725CED" w:rsidRPr="00D1370E">
              <w:rPr>
                <w:rStyle w:val="Hyperlink"/>
                <w:rFonts w:ascii="Times New Roman" w:hAnsi="Times New Roman" w:cs="Times New Roman"/>
                <w:noProof/>
              </w:rPr>
              <w:t>Ievads</w:t>
            </w:r>
            <w:r w:rsidR="00725CED">
              <w:rPr>
                <w:noProof/>
                <w:webHidden/>
              </w:rPr>
              <w:tab/>
            </w:r>
            <w:r w:rsidR="00725CED">
              <w:rPr>
                <w:noProof/>
                <w:webHidden/>
              </w:rPr>
              <w:fldChar w:fldCharType="begin"/>
            </w:r>
            <w:r w:rsidR="00725CED">
              <w:rPr>
                <w:noProof/>
                <w:webHidden/>
              </w:rPr>
              <w:instrText xml:space="preserve"> PAGEREF _Toc372269902 \h </w:instrText>
            </w:r>
            <w:r w:rsidR="00725CED">
              <w:rPr>
                <w:noProof/>
                <w:webHidden/>
              </w:rPr>
            </w:r>
            <w:r w:rsidR="00725CED">
              <w:rPr>
                <w:noProof/>
                <w:webHidden/>
              </w:rPr>
              <w:fldChar w:fldCharType="separate"/>
            </w:r>
            <w:r w:rsidR="008B1A99">
              <w:rPr>
                <w:noProof/>
                <w:webHidden/>
              </w:rPr>
              <w:t>6</w:t>
            </w:r>
            <w:r w:rsidR="00725CED">
              <w:rPr>
                <w:noProof/>
                <w:webHidden/>
              </w:rPr>
              <w:fldChar w:fldCharType="end"/>
            </w:r>
          </w:hyperlink>
        </w:p>
        <w:p w:rsidR="00725CED" w:rsidRDefault="00E33C69">
          <w:pPr>
            <w:pStyle w:val="TOC1"/>
            <w:tabs>
              <w:tab w:val="left" w:pos="440"/>
              <w:tab w:val="right" w:leader="dot" w:pos="9061"/>
            </w:tabs>
            <w:rPr>
              <w:rFonts w:eastAsiaTheme="minorEastAsia"/>
              <w:noProof/>
              <w:lang w:eastAsia="lv-LV"/>
            </w:rPr>
          </w:pPr>
          <w:hyperlink w:anchor="_Toc372269903" w:history="1">
            <w:r w:rsidR="00725CED" w:rsidRPr="00D1370E">
              <w:rPr>
                <w:rStyle w:val="Hyperlink"/>
                <w:rFonts w:ascii="Times New Roman" w:hAnsi="Times New Roman" w:cs="Times New Roman"/>
                <w:noProof/>
              </w:rPr>
              <w:t>1.</w:t>
            </w:r>
            <w:r w:rsidR="00725CED">
              <w:rPr>
                <w:rFonts w:eastAsiaTheme="minorEastAsia"/>
                <w:noProof/>
                <w:lang w:eastAsia="lv-LV"/>
              </w:rPr>
              <w:tab/>
            </w:r>
            <w:r w:rsidR="00725CED" w:rsidRPr="00D1370E">
              <w:rPr>
                <w:rStyle w:val="Hyperlink"/>
                <w:rFonts w:ascii="Times New Roman" w:hAnsi="Times New Roman" w:cs="Times New Roman"/>
                <w:noProof/>
              </w:rPr>
              <w:t>Situācijas izklāsts</w:t>
            </w:r>
            <w:r w:rsidR="00725CED">
              <w:rPr>
                <w:noProof/>
                <w:webHidden/>
              </w:rPr>
              <w:tab/>
            </w:r>
            <w:r w:rsidR="00725CED">
              <w:rPr>
                <w:noProof/>
                <w:webHidden/>
              </w:rPr>
              <w:fldChar w:fldCharType="begin"/>
            </w:r>
            <w:r w:rsidR="00725CED">
              <w:rPr>
                <w:noProof/>
                <w:webHidden/>
              </w:rPr>
              <w:instrText xml:space="preserve"> PAGEREF _Toc372269903 \h </w:instrText>
            </w:r>
            <w:r w:rsidR="00725CED">
              <w:rPr>
                <w:noProof/>
                <w:webHidden/>
              </w:rPr>
            </w:r>
            <w:r w:rsidR="00725CED">
              <w:rPr>
                <w:noProof/>
                <w:webHidden/>
              </w:rPr>
              <w:fldChar w:fldCharType="separate"/>
            </w:r>
            <w:r w:rsidR="008B1A99">
              <w:rPr>
                <w:noProof/>
                <w:webHidden/>
              </w:rPr>
              <w:t>7</w:t>
            </w:r>
            <w:r w:rsidR="00725CED">
              <w:rPr>
                <w:noProof/>
                <w:webHidden/>
              </w:rPr>
              <w:fldChar w:fldCharType="end"/>
            </w:r>
          </w:hyperlink>
        </w:p>
        <w:p w:rsidR="00725CED" w:rsidRDefault="00E33C69">
          <w:pPr>
            <w:pStyle w:val="TOC2"/>
            <w:tabs>
              <w:tab w:val="left" w:pos="880"/>
              <w:tab w:val="right" w:leader="dot" w:pos="9061"/>
            </w:tabs>
            <w:rPr>
              <w:rFonts w:eastAsiaTheme="minorEastAsia"/>
              <w:noProof/>
              <w:lang w:eastAsia="lv-LV"/>
            </w:rPr>
          </w:pPr>
          <w:hyperlink w:anchor="_Toc372269904" w:history="1">
            <w:r w:rsidR="00725CED" w:rsidRPr="00D1370E">
              <w:rPr>
                <w:rStyle w:val="Hyperlink"/>
                <w:rFonts w:ascii="Times New Roman" w:hAnsi="Times New Roman" w:cs="Times New Roman"/>
                <w:noProof/>
              </w:rPr>
              <w:t>1.1.</w:t>
            </w:r>
            <w:r w:rsidR="00725CED">
              <w:rPr>
                <w:rFonts w:eastAsiaTheme="minorEastAsia"/>
                <w:noProof/>
                <w:lang w:eastAsia="lv-LV"/>
              </w:rPr>
              <w:tab/>
            </w:r>
            <w:r w:rsidR="00725CED" w:rsidRPr="00D1370E">
              <w:rPr>
                <w:rStyle w:val="Hyperlink"/>
                <w:rFonts w:ascii="Times New Roman" w:hAnsi="Times New Roman" w:cs="Times New Roman"/>
                <w:noProof/>
              </w:rPr>
              <w:t>Esošā politika</w:t>
            </w:r>
            <w:r w:rsidR="00725CED">
              <w:rPr>
                <w:noProof/>
                <w:webHidden/>
              </w:rPr>
              <w:tab/>
            </w:r>
            <w:r w:rsidR="00725CED">
              <w:rPr>
                <w:noProof/>
                <w:webHidden/>
              </w:rPr>
              <w:fldChar w:fldCharType="begin"/>
            </w:r>
            <w:r w:rsidR="00725CED">
              <w:rPr>
                <w:noProof/>
                <w:webHidden/>
              </w:rPr>
              <w:instrText xml:space="preserve"> PAGEREF _Toc372269904 \h </w:instrText>
            </w:r>
            <w:r w:rsidR="00725CED">
              <w:rPr>
                <w:noProof/>
                <w:webHidden/>
              </w:rPr>
            </w:r>
            <w:r w:rsidR="00725CED">
              <w:rPr>
                <w:noProof/>
                <w:webHidden/>
              </w:rPr>
              <w:fldChar w:fldCharType="separate"/>
            </w:r>
            <w:r w:rsidR="008B1A99">
              <w:rPr>
                <w:noProof/>
                <w:webHidden/>
              </w:rPr>
              <w:t>7</w:t>
            </w:r>
            <w:r w:rsidR="00725CED">
              <w:rPr>
                <w:noProof/>
                <w:webHidden/>
              </w:rPr>
              <w:fldChar w:fldCharType="end"/>
            </w:r>
          </w:hyperlink>
        </w:p>
        <w:p w:rsidR="00725CED" w:rsidRDefault="00E33C69">
          <w:pPr>
            <w:pStyle w:val="TOC2"/>
            <w:tabs>
              <w:tab w:val="left" w:pos="880"/>
              <w:tab w:val="right" w:leader="dot" w:pos="9061"/>
            </w:tabs>
            <w:rPr>
              <w:rFonts w:eastAsiaTheme="minorEastAsia"/>
              <w:noProof/>
              <w:lang w:eastAsia="lv-LV"/>
            </w:rPr>
          </w:pPr>
          <w:hyperlink w:anchor="_Toc372269905" w:history="1">
            <w:r w:rsidR="00725CED" w:rsidRPr="00D1370E">
              <w:rPr>
                <w:rStyle w:val="Hyperlink"/>
                <w:rFonts w:ascii="Times New Roman" w:hAnsi="Times New Roman" w:cs="Times New Roman"/>
                <w:noProof/>
              </w:rPr>
              <w:t>1.2.</w:t>
            </w:r>
            <w:r w:rsidR="00725CED">
              <w:rPr>
                <w:rFonts w:eastAsiaTheme="minorEastAsia"/>
                <w:noProof/>
                <w:lang w:eastAsia="lv-LV"/>
              </w:rPr>
              <w:tab/>
            </w:r>
            <w:r w:rsidR="00725CED" w:rsidRPr="00D1370E">
              <w:rPr>
                <w:rStyle w:val="Hyperlink"/>
                <w:rFonts w:ascii="Times New Roman" w:hAnsi="Times New Roman" w:cs="Times New Roman"/>
                <w:noProof/>
              </w:rPr>
              <w:t>Direktīvas pamatprasības - Latvijas energoefektivitātes mērķis un tā sasniegšanas pasākumi</w:t>
            </w:r>
            <w:r w:rsidR="00725CED">
              <w:rPr>
                <w:noProof/>
                <w:webHidden/>
              </w:rPr>
              <w:tab/>
            </w:r>
            <w:r w:rsidR="00725CED">
              <w:rPr>
                <w:noProof/>
                <w:webHidden/>
              </w:rPr>
              <w:fldChar w:fldCharType="begin"/>
            </w:r>
            <w:r w:rsidR="00725CED">
              <w:rPr>
                <w:noProof/>
                <w:webHidden/>
              </w:rPr>
              <w:instrText xml:space="preserve"> PAGEREF _Toc372269905 \h </w:instrText>
            </w:r>
            <w:r w:rsidR="00725CED">
              <w:rPr>
                <w:noProof/>
                <w:webHidden/>
              </w:rPr>
            </w:r>
            <w:r w:rsidR="00725CED">
              <w:rPr>
                <w:noProof/>
                <w:webHidden/>
              </w:rPr>
              <w:fldChar w:fldCharType="separate"/>
            </w:r>
            <w:r w:rsidR="008B1A99">
              <w:rPr>
                <w:noProof/>
                <w:webHidden/>
              </w:rPr>
              <w:t>9</w:t>
            </w:r>
            <w:r w:rsidR="00725CED">
              <w:rPr>
                <w:noProof/>
                <w:webHidden/>
              </w:rPr>
              <w:fldChar w:fldCharType="end"/>
            </w:r>
          </w:hyperlink>
        </w:p>
        <w:p w:rsidR="00725CED" w:rsidRDefault="00E33C69">
          <w:pPr>
            <w:pStyle w:val="TOC1"/>
            <w:tabs>
              <w:tab w:val="left" w:pos="440"/>
              <w:tab w:val="right" w:leader="dot" w:pos="9061"/>
            </w:tabs>
            <w:rPr>
              <w:rFonts w:eastAsiaTheme="minorEastAsia"/>
              <w:noProof/>
              <w:lang w:eastAsia="lv-LV"/>
            </w:rPr>
          </w:pPr>
          <w:hyperlink w:anchor="_Toc372269906" w:history="1">
            <w:r w:rsidR="00725CED" w:rsidRPr="00D1370E">
              <w:rPr>
                <w:rStyle w:val="Hyperlink"/>
                <w:rFonts w:ascii="Times New Roman" w:hAnsi="Times New Roman" w:cs="Times New Roman"/>
                <w:noProof/>
              </w:rPr>
              <w:t>2.</w:t>
            </w:r>
            <w:r w:rsidR="00725CED">
              <w:rPr>
                <w:rFonts w:eastAsiaTheme="minorEastAsia"/>
                <w:noProof/>
                <w:lang w:eastAsia="lv-LV"/>
              </w:rPr>
              <w:tab/>
            </w:r>
            <w:r w:rsidR="00725CED" w:rsidRPr="00D1370E">
              <w:rPr>
                <w:rStyle w:val="Hyperlink"/>
                <w:rFonts w:ascii="Times New Roman" w:hAnsi="Times New Roman" w:cs="Times New Roman"/>
                <w:noProof/>
              </w:rPr>
              <w:t>Problēmu risinājumu varianti</w:t>
            </w:r>
            <w:r w:rsidR="00725CED">
              <w:rPr>
                <w:noProof/>
                <w:webHidden/>
              </w:rPr>
              <w:tab/>
            </w:r>
            <w:r w:rsidR="00725CED">
              <w:rPr>
                <w:noProof/>
                <w:webHidden/>
              </w:rPr>
              <w:fldChar w:fldCharType="begin"/>
            </w:r>
            <w:r w:rsidR="00725CED">
              <w:rPr>
                <w:noProof/>
                <w:webHidden/>
              </w:rPr>
              <w:instrText xml:space="preserve"> PAGEREF _Toc372269906 \h </w:instrText>
            </w:r>
            <w:r w:rsidR="00725CED">
              <w:rPr>
                <w:noProof/>
                <w:webHidden/>
              </w:rPr>
            </w:r>
            <w:r w:rsidR="00725CED">
              <w:rPr>
                <w:noProof/>
                <w:webHidden/>
              </w:rPr>
              <w:fldChar w:fldCharType="separate"/>
            </w:r>
            <w:r w:rsidR="008B1A99">
              <w:rPr>
                <w:noProof/>
                <w:webHidden/>
              </w:rPr>
              <w:t>13</w:t>
            </w:r>
            <w:r w:rsidR="00725CED">
              <w:rPr>
                <w:noProof/>
                <w:webHidden/>
              </w:rPr>
              <w:fldChar w:fldCharType="end"/>
            </w:r>
          </w:hyperlink>
        </w:p>
        <w:p w:rsidR="00725CED" w:rsidRDefault="00E33C69">
          <w:pPr>
            <w:pStyle w:val="TOC2"/>
            <w:tabs>
              <w:tab w:val="left" w:pos="880"/>
              <w:tab w:val="right" w:leader="dot" w:pos="9061"/>
            </w:tabs>
            <w:rPr>
              <w:rFonts w:eastAsiaTheme="minorEastAsia"/>
              <w:noProof/>
              <w:lang w:eastAsia="lv-LV"/>
            </w:rPr>
          </w:pPr>
          <w:hyperlink w:anchor="_Toc372269907" w:history="1">
            <w:r w:rsidR="00725CED" w:rsidRPr="00D1370E">
              <w:rPr>
                <w:rStyle w:val="Hyperlink"/>
                <w:rFonts w:ascii="Times New Roman" w:hAnsi="Times New Roman" w:cs="Times New Roman"/>
                <w:noProof/>
              </w:rPr>
              <w:t>2.1.</w:t>
            </w:r>
            <w:r w:rsidR="00725CED">
              <w:rPr>
                <w:rFonts w:eastAsiaTheme="minorEastAsia"/>
                <w:noProof/>
                <w:lang w:eastAsia="lv-LV"/>
              </w:rPr>
              <w:tab/>
            </w:r>
            <w:r w:rsidR="00725CED" w:rsidRPr="00D1370E">
              <w:rPr>
                <w:rStyle w:val="Hyperlink"/>
                <w:rFonts w:ascii="Times New Roman" w:hAnsi="Times New Roman" w:cs="Times New Roman"/>
                <w:noProof/>
              </w:rPr>
              <w:t>Ēku renovācija (4.</w:t>
            </w:r>
            <w:r w:rsidR="00725CED" w:rsidRPr="00D1370E">
              <w:rPr>
                <w:rStyle w:val="Hyperlink"/>
                <w:noProof/>
              </w:rPr>
              <w:t> </w:t>
            </w:r>
            <w:r w:rsidR="00725CED" w:rsidRPr="00D1370E">
              <w:rPr>
                <w:rStyle w:val="Hyperlink"/>
                <w:rFonts w:ascii="Times New Roman" w:hAnsi="Times New Roman" w:cs="Times New Roman"/>
                <w:noProof/>
              </w:rPr>
              <w:t>pants)</w:t>
            </w:r>
            <w:r w:rsidR="00725CED">
              <w:rPr>
                <w:noProof/>
                <w:webHidden/>
              </w:rPr>
              <w:tab/>
            </w:r>
            <w:r w:rsidR="00725CED">
              <w:rPr>
                <w:noProof/>
                <w:webHidden/>
              </w:rPr>
              <w:fldChar w:fldCharType="begin"/>
            </w:r>
            <w:r w:rsidR="00725CED">
              <w:rPr>
                <w:noProof/>
                <w:webHidden/>
              </w:rPr>
              <w:instrText xml:space="preserve"> PAGEREF _Toc372269907 \h </w:instrText>
            </w:r>
            <w:r w:rsidR="00725CED">
              <w:rPr>
                <w:noProof/>
                <w:webHidden/>
              </w:rPr>
            </w:r>
            <w:r w:rsidR="00725CED">
              <w:rPr>
                <w:noProof/>
                <w:webHidden/>
              </w:rPr>
              <w:fldChar w:fldCharType="separate"/>
            </w:r>
            <w:r w:rsidR="008B1A99">
              <w:rPr>
                <w:noProof/>
                <w:webHidden/>
              </w:rPr>
              <w:t>14</w:t>
            </w:r>
            <w:r w:rsidR="00725CED">
              <w:rPr>
                <w:noProof/>
                <w:webHidden/>
              </w:rPr>
              <w:fldChar w:fldCharType="end"/>
            </w:r>
          </w:hyperlink>
        </w:p>
        <w:p w:rsidR="00725CED" w:rsidRDefault="00E33C69">
          <w:pPr>
            <w:pStyle w:val="TOC2"/>
            <w:tabs>
              <w:tab w:val="left" w:pos="880"/>
              <w:tab w:val="right" w:leader="dot" w:pos="9061"/>
            </w:tabs>
            <w:rPr>
              <w:rFonts w:eastAsiaTheme="minorEastAsia"/>
              <w:noProof/>
              <w:lang w:eastAsia="lv-LV"/>
            </w:rPr>
          </w:pPr>
          <w:hyperlink w:anchor="_Toc372269908" w:history="1">
            <w:r w:rsidR="00725CED" w:rsidRPr="00D1370E">
              <w:rPr>
                <w:rStyle w:val="Hyperlink"/>
                <w:rFonts w:ascii="Times New Roman" w:hAnsi="Times New Roman" w:cs="Times New Roman"/>
                <w:noProof/>
              </w:rPr>
              <w:t>2.2.</w:t>
            </w:r>
            <w:r w:rsidR="00725CED">
              <w:rPr>
                <w:rFonts w:eastAsiaTheme="minorEastAsia"/>
                <w:noProof/>
                <w:lang w:eastAsia="lv-LV"/>
              </w:rPr>
              <w:tab/>
            </w:r>
            <w:r w:rsidR="00725CED" w:rsidRPr="00D1370E">
              <w:rPr>
                <w:rStyle w:val="Hyperlink"/>
                <w:rFonts w:ascii="Times New Roman" w:hAnsi="Times New Roman" w:cs="Times New Roman"/>
                <w:noProof/>
              </w:rPr>
              <w:t>Publisko struktūru ēkas (5. pants)</w:t>
            </w:r>
            <w:r w:rsidR="00725CED">
              <w:rPr>
                <w:noProof/>
                <w:webHidden/>
              </w:rPr>
              <w:tab/>
            </w:r>
            <w:r w:rsidR="00725CED">
              <w:rPr>
                <w:noProof/>
                <w:webHidden/>
              </w:rPr>
              <w:fldChar w:fldCharType="begin"/>
            </w:r>
            <w:r w:rsidR="00725CED">
              <w:rPr>
                <w:noProof/>
                <w:webHidden/>
              </w:rPr>
              <w:instrText xml:space="preserve"> PAGEREF _Toc372269908 \h </w:instrText>
            </w:r>
            <w:r w:rsidR="00725CED">
              <w:rPr>
                <w:noProof/>
                <w:webHidden/>
              </w:rPr>
            </w:r>
            <w:r w:rsidR="00725CED">
              <w:rPr>
                <w:noProof/>
                <w:webHidden/>
              </w:rPr>
              <w:fldChar w:fldCharType="separate"/>
            </w:r>
            <w:r w:rsidR="008B1A99">
              <w:rPr>
                <w:noProof/>
                <w:webHidden/>
              </w:rPr>
              <w:t>14</w:t>
            </w:r>
            <w:r w:rsidR="00725CED">
              <w:rPr>
                <w:noProof/>
                <w:webHidden/>
              </w:rPr>
              <w:fldChar w:fldCharType="end"/>
            </w:r>
          </w:hyperlink>
        </w:p>
        <w:p w:rsidR="00725CED" w:rsidRDefault="00E33C69">
          <w:pPr>
            <w:pStyle w:val="TOC3"/>
            <w:tabs>
              <w:tab w:val="left" w:pos="1320"/>
            </w:tabs>
            <w:rPr>
              <w:rFonts w:asciiTheme="minorHAnsi" w:eastAsiaTheme="minorEastAsia" w:hAnsiTheme="minorHAnsi" w:cstheme="minorBidi"/>
              <w:lang w:eastAsia="lv-LV"/>
            </w:rPr>
          </w:pPr>
          <w:hyperlink w:anchor="_Toc372269909" w:history="1">
            <w:r w:rsidR="00725CED" w:rsidRPr="00D1370E">
              <w:rPr>
                <w:rStyle w:val="Hyperlink"/>
              </w:rPr>
              <w:t>2.2.1.</w:t>
            </w:r>
            <w:r w:rsidR="00725CED">
              <w:rPr>
                <w:rFonts w:asciiTheme="minorHAnsi" w:eastAsiaTheme="minorEastAsia" w:hAnsiTheme="minorHAnsi" w:cstheme="minorBidi"/>
                <w:lang w:eastAsia="lv-LV"/>
              </w:rPr>
              <w:tab/>
            </w:r>
            <w:r w:rsidR="00725CED" w:rsidRPr="00D1370E">
              <w:rPr>
                <w:rStyle w:val="Hyperlink"/>
              </w:rPr>
              <w:t>Direktīvas prasības</w:t>
            </w:r>
            <w:r w:rsidR="00725CED">
              <w:rPr>
                <w:webHidden/>
              </w:rPr>
              <w:tab/>
            </w:r>
            <w:r w:rsidR="00725CED">
              <w:rPr>
                <w:webHidden/>
              </w:rPr>
              <w:fldChar w:fldCharType="begin"/>
            </w:r>
            <w:r w:rsidR="00725CED">
              <w:rPr>
                <w:webHidden/>
              </w:rPr>
              <w:instrText xml:space="preserve"> PAGEREF _Toc372269909 \h </w:instrText>
            </w:r>
            <w:r w:rsidR="00725CED">
              <w:rPr>
                <w:webHidden/>
              </w:rPr>
            </w:r>
            <w:r w:rsidR="00725CED">
              <w:rPr>
                <w:webHidden/>
              </w:rPr>
              <w:fldChar w:fldCharType="separate"/>
            </w:r>
            <w:r w:rsidR="008B1A99">
              <w:rPr>
                <w:webHidden/>
              </w:rPr>
              <w:t>14</w:t>
            </w:r>
            <w:r w:rsidR="00725CED">
              <w:rPr>
                <w:webHidden/>
              </w:rPr>
              <w:fldChar w:fldCharType="end"/>
            </w:r>
          </w:hyperlink>
        </w:p>
        <w:p w:rsidR="00725CED" w:rsidRDefault="00E33C69">
          <w:pPr>
            <w:pStyle w:val="TOC3"/>
            <w:tabs>
              <w:tab w:val="left" w:pos="1320"/>
            </w:tabs>
            <w:rPr>
              <w:rFonts w:asciiTheme="minorHAnsi" w:eastAsiaTheme="minorEastAsia" w:hAnsiTheme="minorHAnsi" w:cstheme="minorBidi"/>
              <w:lang w:eastAsia="lv-LV"/>
            </w:rPr>
          </w:pPr>
          <w:hyperlink w:anchor="_Toc372269910" w:history="1">
            <w:r w:rsidR="00725CED" w:rsidRPr="00D1370E">
              <w:rPr>
                <w:rStyle w:val="Hyperlink"/>
              </w:rPr>
              <w:t>2.2.2.</w:t>
            </w:r>
            <w:r w:rsidR="00725CED">
              <w:rPr>
                <w:rFonts w:asciiTheme="minorHAnsi" w:eastAsiaTheme="minorEastAsia" w:hAnsiTheme="minorHAnsi" w:cstheme="minorBidi"/>
                <w:lang w:eastAsia="lv-LV"/>
              </w:rPr>
              <w:tab/>
            </w:r>
            <w:r w:rsidR="00725CED" w:rsidRPr="00D1370E">
              <w:rPr>
                <w:rStyle w:val="Hyperlink"/>
              </w:rPr>
              <w:t>Risinājuma varianti un to ietekme</w:t>
            </w:r>
            <w:r w:rsidR="00725CED">
              <w:rPr>
                <w:webHidden/>
              </w:rPr>
              <w:tab/>
            </w:r>
            <w:r w:rsidR="00725CED">
              <w:rPr>
                <w:webHidden/>
              </w:rPr>
              <w:fldChar w:fldCharType="begin"/>
            </w:r>
            <w:r w:rsidR="00725CED">
              <w:rPr>
                <w:webHidden/>
              </w:rPr>
              <w:instrText xml:space="preserve"> PAGEREF _Toc372269910 \h </w:instrText>
            </w:r>
            <w:r w:rsidR="00725CED">
              <w:rPr>
                <w:webHidden/>
              </w:rPr>
            </w:r>
            <w:r w:rsidR="00725CED">
              <w:rPr>
                <w:webHidden/>
              </w:rPr>
              <w:fldChar w:fldCharType="separate"/>
            </w:r>
            <w:r w:rsidR="008B1A99">
              <w:rPr>
                <w:webHidden/>
              </w:rPr>
              <w:t>16</w:t>
            </w:r>
            <w:r w:rsidR="00725CED">
              <w:rPr>
                <w:webHidden/>
              </w:rPr>
              <w:fldChar w:fldCharType="end"/>
            </w:r>
          </w:hyperlink>
        </w:p>
        <w:p w:rsidR="00725CED" w:rsidRDefault="00E33C69">
          <w:pPr>
            <w:pStyle w:val="TOC2"/>
            <w:tabs>
              <w:tab w:val="right" w:leader="dot" w:pos="9061"/>
            </w:tabs>
            <w:rPr>
              <w:rFonts w:eastAsiaTheme="minorEastAsia"/>
              <w:noProof/>
              <w:lang w:eastAsia="lv-LV"/>
            </w:rPr>
          </w:pPr>
          <w:hyperlink w:anchor="_Toc372269911" w:history="1">
            <w:r w:rsidR="00725CED" w:rsidRPr="00D1370E">
              <w:rPr>
                <w:rStyle w:val="Hyperlink"/>
                <w:rFonts w:ascii="Times New Roman" w:hAnsi="Times New Roman"/>
                <w:noProof/>
              </w:rPr>
              <w:t>2.3. Energoefektivitātes pienākumu shēmas (7. pants)</w:t>
            </w:r>
            <w:r w:rsidR="00725CED">
              <w:rPr>
                <w:noProof/>
                <w:webHidden/>
              </w:rPr>
              <w:tab/>
            </w:r>
            <w:r w:rsidR="00725CED">
              <w:rPr>
                <w:noProof/>
                <w:webHidden/>
              </w:rPr>
              <w:fldChar w:fldCharType="begin"/>
            </w:r>
            <w:r w:rsidR="00725CED">
              <w:rPr>
                <w:noProof/>
                <w:webHidden/>
              </w:rPr>
              <w:instrText xml:space="preserve"> PAGEREF _Toc372269911 \h </w:instrText>
            </w:r>
            <w:r w:rsidR="00725CED">
              <w:rPr>
                <w:noProof/>
                <w:webHidden/>
              </w:rPr>
            </w:r>
            <w:r w:rsidR="00725CED">
              <w:rPr>
                <w:noProof/>
                <w:webHidden/>
              </w:rPr>
              <w:fldChar w:fldCharType="separate"/>
            </w:r>
            <w:r w:rsidR="008B1A99">
              <w:rPr>
                <w:noProof/>
                <w:webHidden/>
              </w:rPr>
              <w:t>17</w:t>
            </w:r>
            <w:r w:rsidR="00725CED">
              <w:rPr>
                <w:noProof/>
                <w:webHidden/>
              </w:rPr>
              <w:fldChar w:fldCharType="end"/>
            </w:r>
          </w:hyperlink>
        </w:p>
        <w:p w:rsidR="00725CED" w:rsidRDefault="00E33C69">
          <w:pPr>
            <w:pStyle w:val="TOC3"/>
            <w:rPr>
              <w:rFonts w:asciiTheme="minorHAnsi" w:eastAsiaTheme="minorEastAsia" w:hAnsiTheme="minorHAnsi" w:cstheme="minorBidi"/>
              <w:lang w:eastAsia="lv-LV"/>
            </w:rPr>
          </w:pPr>
          <w:hyperlink w:anchor="_Toc372269912" w:history="1">
            <w:r w:rsidR="00725CED" w:rsidRPr="00D1370E">
              <w:rPr>
                <w:rStyle w:val="Hyperlink"/>
              </w:rPr>
              <w:t>2.3.1. Direktīvas prasības</w:t>
            </w:r>
            <w:r w:rsidR="00725CED">
              <w:rPr>
                <w:webHidden/>
              </w:rPr>
              <w:tab/>
            </w:r>
            <w:r w:rsidR="00725CED">
              <w:rPr>
                <w:webHidden/>
              </w:rPr>
              <w:fldChar w:fldCharType="begin"/>
            </w:r>
            <w:r w:rsidR="00725CED">
              <w:rPr>
                <w:webHidden/>
              </w:rPr>
              <w:instrText xml:space="preserve"> PAGEREF _Toc372269912 \h </w:instrText>
            </w:r>
            <w:r w:rsidR="00725CED">
              <w:rPr>
                <w:webHidden/>
              </w:rPr>
            </w:r>
            <w:r w:rsidR="00725CED">
              <w:rPr>
                <w:webHidden/>
              </w:rPr>
              <w:fldChar w:fldCharType="separate"/>
            </w:r>
            <w:r w:rsidR="008B1A99">
              <w:rPr>
                <w:webHidden/>
              </w:rPr>
              <w:t>17</w:t>
            </w:r>
            <w:r w:rsidR="00725CED">
              <w:rPr>
                <w:webHidden/>
              </w:rPr>
              <w:fldChar w:fldCharType="end"/>
            </w:r>
          </w:hyperlink>
        </w:p>
        <w:p w:rsidR="00725CED" w:rsidRDefault="00E33C69">
          <w:pPr>
            <w:pStyle w:val="TOC2"/>
            <w:tabs>
              <w:tab w:val="right" w:leader="dot" w:pos="9061"/>
            </w:tabs>
            <w:rPr>
              <w:rFonts w:eastAsiaTheme="minorEastAsia"/>
              <w:noProof/>
              <w:lang w:eastAsia="lv-LV"/>
            </w:rPr>
          </w:pPr>
          <w:hyperlink w:anchor="_Toc372269913" w:history="1">
            <w:r w:rsidR="00725CED" w:rsidRPr="00D1370E">
              <w:rPr>
                <w:rStyle w:val="Hyperlink"/>
                <w:rFonts w:ascii="Times New Roman" w:hAnsi="Times New Roman" w:cs="Times New Roman"/>
                <w:noProof/>
              </w:rPr>
              <w:t>2.4. Siltumapgādes un dzesēšanas efektivitātes veicināšana (14. pants)</w:t>
            </w:r>
            <w:r w:rsidR="00725CED">
              <w:rPr>
                <w:noProof/>
                <w:webHidden/>
              </w:rPr>
              <w:tab/>
            </w:r>
            <w:r w:rsidR="00725CED">
              <w:rPr>
                <w:noProof/>
                <w:webHidden/>
              </w:rPr>
              <w:fldChar w:fldCharType="begin"/>
            </w:r>
            <w:r w:rsidR="00725CED">
              <w:rPr>
                <w:noProof/>
                <w:webHidden/>
              </w:rPr>
              <w:instrText xml:space="preserve"> PAGEREF _Toc372269913 \h </w:instrText>
            </w:r>
            <w:r w:rsidR="00725CED">
              <w:rPr>
                <w:noProof/>
                <w:webHidden/>
              </w:rPr>
            </w:r>
            <w:r w:rsidR="00725CED">
              <w:rPr>
                <w:noProof/>
                <w:webHidden/>
              </w:rPr>
              <w:fldChar w:fldCharType="separate"/>
            </w:r>
            <w:r w:rsidR="008B1A99">
              <w:rPr>
                <w:noProof/>
                <w:webHidden/>
              </w:rPr>
              <w:t>30</w:t>
            </w:r>
            <w:r w:rsidR="00725CED">
              <w:rPr>
                <w:noProof/>
                <w:webHidden/>
              </w:rPr>
              <w:fldChar w:fldCharType="end"/>
            </w:r>
          </w:hyperlink>
        </w:p>
        <w:p w:rsidR="00725CED" w:rsidRDefault="00E33C69">
          <w:pPr>
            <w:pStyle w:val="TOC3"/>
            <w:rPr>
              <w:rFonts w:asciiTheme="minorHAnsi" w:eastAsiaTheme="minorEastAsia" w:hAnsiTheme="minorHAnsi" w:cstheme="minorBidi"/>
              <w:lang w:eastAsia="lv-LV"/>
            </w:rPr>
          </w:pPr>
          <w:hyperlink w:anchor="_Toc372269914" w:history="1">
            <w:r w:rsidR="00725CED" w:rsidRPr="00D1370E">
              <w:rPr>
                <w:rStyle w:val="Hyperlink"/>
              </w:rPr>
              <w:t>2.4.1. Direktīvas prasības</w:t>
            </w:r>
            <w:r w:rsidR="00725CED">
              <w:rPr>
                <w:webHidden/>
              </w:rPr>
              <w:tab/>
            </w:r>
            <w:r w:rsidR="00725CED">
              <w:rPr>
                <w:webHidden/>
              </w:rPr>
              <w:fldChar w:fldCharType="begin"/>
            </w:r>
            <w:r w:rsidR="00725CED">
              <w:rPr>
                <w:webHidden/>
              </w:rPr>
              <w:instrText xml:space="preserve"> PAGEREF _Toc372269914 \h </w:instrText>
            </w:r>
            <w:r w:rsidR="00725CED">
              <w:rPr>
                <w:webHidden/>
              </w:rPr>
            </w:r>
            <w:r w:rsidR="00725CED">
              <w:rPr>
                <w:webHidden/>
              </w:rPr>
              <w:fldChar w:fldCharType="separate"/>
            </w:r>
            <w:r w:rsidR="008B1A99">
              <w:rPr>
                <w:webHidden/>
              </w:rPr>
              <w:t>30</w:t>
            </w:r>
            <w:r w:rsidR="00725CED">
              <w:rPr>
                <w:webHidden/>
              </w:rPr>
              <w:fldChar w:fldCharType="end"/>
            </w:r>
          </w:hyperlink>
        </w:p>
        <w:p w:rsidR="00725CED" w:rsidRDefault="00E33C69">
          <w:pPr>
            <w:pStyle w:val="TOC2"/>
            <w:tabs>
              <w:tab w:val="right" w:leader="dot" w:pos="9061"/>
            </w:tabs>
            <w:rPr>
              <w:rFonts w:eastAsiaTheme="minorEastAsia"/>
              <w:noProof/>
              <w:lang w:eastAsia="lv-LV"/>
            </w:rPr>
          </w:pPr>
          <w:hyperlink w:anchor="_Toc372269915" w:history="1">
            <w:r w:rsidR="00725CED" w:rsidRPr="00D1370E">
              <w:rPr>
                <w:rStyle w:val="Hyperlink"/>
                <w:rFonts w:ascii="Times New Roman" w:hAnsi="Times New Roman" w:cs="Times New Roman"/>
                <w:noProof/>
              </w:rPr>
              <w:t>2.5. Enerģijas pārveide, pārvade un sadale (15. pants)</w:t>
            </w:r>
            <w:r w:rsidR="00725CED">
              <w:rPr>
                <w:noProof/>
                <w:webHidden/>
              </w:rPr>
              <w:tab/>
            </w:r>
            <w:r w:rsidR="00725CED">
              <w:rPr>
                <w:noProof/>
                <w:webHidden/>
              </w:rPr>
              <w:fldChar w:fldCharType="begin"/>
            </w:r>
            <w:r w:rsidR="00725CED">
              <w:rPr>
                <w:noProof/>
                <w:webHidden/>
              </w:rPr>
              <w:instrText xml:space="preserve"> PAGEREF _Toc372269915 \h </w:instrText>
            </w:r>
            <w:r w:rsidR="00725CED">
              <w:rPr>
                <w:noProof/>
                <w:webHidden/>
              </w:rPr>
            </w:r>
            <w:r w:rsidR="00725CED">
              <w:rPr>
                <w:noProof/>
                <w:webHidden/>
              </w:rPr>
              <w:fldChar w:fldCharType="separate"/>
            </w:r>
            <w:r w:rsidR="008B1A99">
              <w:rPr>
                <w:noProof/>
                <w:webHidden/>
              </w:rPr>
              <w:t>32</w:t>
            </w:r>
            <w:r w:rsidR="00725CED">
              <w:rPr>
                <w:noProof/>
                <w:webHidden/>
              </w:rPr>
              <w:fldChar w:fldCharType="end"/>
            </w:r>
          </w:hyperlink>
        </w:p>
        <w:p w:rsidR="00725CED" w:rsidRDefault="00E33C69">
          <w:pPr>
            <w:pStyle w:val="TOC2"/>
            <w:tabs>
              <w:tab w:val="right" w:leader="dot" w:pos="9061"/>
            </w:tabs>
            <w:rPr>
              <w:rFonts w:eastAsiaTheme="minorEastAsia"/>
              <w:noProof/>
              <w:lang w:eastAsia="lv-LV"/>
            </w:rPr>
          </w:pPr>
          <w:hyperlink w:anchor="_Toc372269916" w:history="1">
            <w:r w:rsidR="00725CED" w:rsidRPr="00D1370E">
              <w:rPr>
                <w:rStyle w:val="Hyperlink"/>
                <w:rFonts w:ascii="Times New Roman" w:hAnsi="Times New Roman" w:cs="Times New Roman"/>
                <w:noProof/>
              </w:rPr>
              <w:t>2.6. Valsts energoefektivitātes fonds, finansēšana un tehnisks atbalsts (20. pants)</w:t>
            </w:r>
            <w:r w:rsidR="00725CED">
              <w:rPr>
                <w:noProof/>
                <w:webHidden/>
              </w:rPr>
              <w:tab/>
            </w:r>
            <w:r w:rsidR="00725CED">
              <w:rPr>
                <w:noProof/>
                <w:webHidden/>
              </w:rPr>
              <w:fldChar w:fldCharType="begin"/>
            </w:r>
            <w:r w:rsidR="00725CED">
              <w:rPr>
                <w:noProof/>
                <w:webHidden/>
              </w:rPr>
              <w:instrText xml:space="preserve"> PAGEREF _Toc372269916 \h </w:instrText>
            </w:r>
            <w:r w:rsidR="00725CED">
              <w:rPr>
                <w:noProof/>
                <w:webHidden/>
              </w:rPr>
            </w:r>
            <w:r w:rsidR="00725CED">
              <w:rPr>
                <w:noProof/>
                <w:webHidden/>
              </w:rPr>
              <w:fldChar w:fldCharType="separate"/>
            </w:r>
            <w:r w:rsidR="008B1A99">
              <w:rPr>
                <w:noProof/>
                <w:webHidden/>
              </w:rPr>
              <w:t>33</w:t>
            </w:r>
            <w:r w:rsidR="00725CED">
              <w:rPr>
                <w:noProof/>
                <w:webHidden/>
              </w:rPr>
              <w:fldChar w:fldCharType="end"/>
            </w:r>
          </w:hyperlink>
        </w:p>
        <w:p w:rsidR="00725CED" w:rsidRDefault="00E33C69">
          <w:pPr>
            <w:pStyle w:val="TOC3"/>
            <w:rPr>
              <w:rFonts w:asciiTheme="minorHAnsi" w:eastAsiaTheme="minorEastAsia" w:hAnsiTheme="minorHAnsi" w:cstheme="minorBidi"/>
              <w:lang w:eastAsia="lv-LV"/>
            </w:rPr>
          </w:pPr>
          <w:hyperlink w:anchor="_Toc372269917" w:history="1">
            <w:r w:rsidR="00725CED" w:rsidRPr="00D1370E">
              <w:rPr>
                <w:rStyle w:val="Hyperlink"/>
              </w:rPr>
              <w:t>2.6.1. Direktīvas prasības</w:t>
            </w:r>
            <w:r w:rsidR="00725CED">
              <w:rPr>
                <w:webHidden/>
              </w:rPr>
              <w:tab/>
            </w:r>
            <w:r w:rsidR="00725CED">
              <w:rPr>
                <w:webHidden/>
              </w:rPr>
              <w:fldChar w:fldCharType="begin"/>
            </w:r>
            <w:r w:rsidR="00725CED">
              <w:rPr>
                <w:webHidden/>
              </w:rPr>
              <w:instrText xml:space="preserve"> PAGEREF _Toc372269917 \h </w:instrText>
            </w:r>
            <w:r w:rsidR="00725CED">
              <w:rPr>
                <w:webHidden/>
              </w:rPr>
            </w:r>
            <w:r w:rsidR="00725CED">
              <w:rPr>
                <w:webHidden/>
              </w:rPr>
              <w:fldChar w:fldCharType="separate"/>
            </w:r>
            <w:r w:rsidR="008B1A99">
              <w:rPr>
                <w:webHidden/>
              </w:rPr>
              <w:t>33</w:t>
            </w:r>
            <w:r w:rsidR="00725CED">
              <w:rPr>
                <w:webHidden/>
              </w:rPr>
              <w:fldChar w:fldCharType="end"/>
            </w:r>
          </w:hyperlink>
        </w:p>
        <w:p w:rsidR="00725CED" w:rsidRDefault="00E33C69">
          <w:pPr>
            <w:pStyle w:val="TOC1"/>
            <w:tabs>
              <w:tab w:val="left" w:pos="440"/>
              <w:tab w:val="right" w:leader="dot" w:pos="9061"/>
            </w:tabs>
            <w:rPr>
              <w:rFonts w:eastAsiaTheme="minorEastAsia"/>
              <w:noProof/>
              <w:lang w:eastAsia="lv-LV"/>
            </w:rPr>
          </w:pPr>
          <w:hyperlink w:anchor="_Toc372269918" w:history="1">
            <w:r w:rsidR="00725CED" w:rsidRPr="00D1370E">
              <w:rPr>
                <w:rStyle w:val="Hyperlink"/>
                <w:rFonts w:ascii="Times New Roman" w:hAnsi="Times New Roman" w:cs="Times New Roman"/>
                <w:noProof/>
              </w:rPr>
              <w:t>3.</w:t>
            </w:r>
            <w:r w:rsidR="00725CED">
              <w:rPr>
                <w:rFonts w:eastAsiaTheme="minorEastAsia"/>
                <w:noProof/>
                <w:lang w:eastAsia="lv-LV"/>
              </w:rPr>
              <w:tab/>
            </w:r>
            <w:r w:rsidR="00725CED" w:rsidRPr="00D1370E">
              <w:rPr>
                <w:rStyle w:val="Hyperlink"/>
                <w:rFonts w:ascii="Times New Roman" w:hAnsi="Times New Roman" w:cs="Times New Roman"/>
                <w:noProof/>
              </w:rPr>
              <w:t>Risinājuma variantu ietekme uz valsts un pašvaldību budžetiem</w:t>
            </w:r>
            <w:r w:rsidR="00725CED">
              <w:rPr>
                <w:noProof/>
                <w:webHidden/>
              </w:rPr>
              <w:tab/>
            </w:r>
            <w:r w:rsidR="00725CED">
              <w:rPr>
                <w:noProof/>
                <w:webHidden/>
              </w:rPr>
              <w:fldChar w:fldCharType="begin"/>
            </w:r>
            <w:r w:rsidR="00725CED">
              <w:rPr>
                <w:noProof/>
                <w:webHidden/>
              </w:rPr>
              <w:instrText xml:space="preserve"> PAGEREF _Toc372269918 \h </w:instrText>
            </w:r>
            <w:r w:rsidR="00725CED">
              <w:rPr>
                <w:noProof/>
                <w:webHidden/>
              </w:rPr>
            </w:r>
            <w:r w:rsidR="00725CED">
              <w:rPr>
                <w:noProof/>
                <w:webHidden/>
              </w:rPr>
              <w:fldChar w:fldCharType="separate"/>
            </w:r>
            <w:r w:rsidR="008B1A99">
              <w:rPr>
                <w:noProof/>
                <w:webHidden/>
              </w:rPr>
              <w:t>35</w:t>
            </w:r>
            <w:r w:rsidR="00725CED">
              <w:rPr>
                <w:noProof/>
                <w:webHidden/>
              </w:rPr>
              <w:fldChar w:fldCharType="end"/>
            </w:r>
          </w:hyperlink>
        </w:p>
        <w:p w:rsidR="00725CED" w:rsidRDefault="00E33C69">
          <w:pPr>
            <w:pStyle w:val="TOC1"/>
            <w:tabs>
              <w:tab w:val="left" w:pos="440"/>
              <w:tab w:val="right" w:leader="dot" w:pos="9061"/>
            </w:tabs>
            <w:rPr>
              <w:rFonts w:eastAsiaTheme="minorEastAsia"/>
              <w:noProof/>
              <w:lang w:eastAsia="lv-LV"/>
            </w:rPr>
          </w:pPr>
          <w:hyperlink w:anchor="_Toc372269919" w:history="1">
            <w:r w:rsidR="00725CED" w:rsidRPr="00D1370E">
              <w:rPr>
                <w:rStyle w:val="Hyperlink"/>
                <w:rFonts w:ascii="Times New Roman" w:hAnsi="Times New Roman" w:cs="Times New Roman"/>
                <w:noProof/>
              </w:rPr>
              <w:t>4.</w:t>
            </w:r>
            <w:r w:rsidR="00725CED">
              <w:rPr>
                <w:rFonts w:eastAsiaTheme="minorEastAsia"/>
                <w:noProof/>
                <w:lang w:eastAsia="lv-LV"/>
              </w:rPr>
              <w:tab/>
            </w:r>
            <w:r w:rsidR="00725CED" w:rsidRPr="00D1370E">
              <w:rPr>
                <w:rStyle w:val="Hyperlink"/>
                <w:rFonts w:ascii="Times New Roman" w:hAnsi="Times New Roman" w:cs="Times New Roman"/>
                <w:noProof/>
              </w:rPr>
              <w:t>Priekšlikumi turpmākās rīcības plānojumam</w:t>
            </w:r>
            <w:r w:rsidR="00725CED">
              <w:rPr>
                <w:noProof/>
                <w:webHidden/>
              </w:rPr>
              <w:tab/>
            </w:r>
            <w:r w:rsidR="00725CED">
              <w:rPr>
                <w:noProof/>
                <w:webHidden/>
              </w:rPr>
              <w:fldChar w:fldCharType="begin"/>
            </w:r>
            <w:r w:rsidR="00725CED">
              <w:rPr>
                <w:noProof/>
                <w:webHidden/>
              </w:rPr>
              <w:instrText xml:space="preserve"> PAGEREF _Toc372269919 \h </w:instrText>
            </w:r>
            <w:r w:rsidR="00725CED">
              <w:rPr>
                <w:noProof/>
                <w:webHidden/>
              </w:rPr>
            </w:r>
            <w:r w:rsidR="00725CED">
              <w:rPr>
                <w:noProof/>
                <w:webHidden/>
              </w:rPr>
              <w:fldChar w:fldCharType="separate"/>
            </w:r>
            <w:r w:rsidR="008B1A99">
              <w:rPr>
                <w:noProof/>
                <w:webHidden/>
              </w:rPr>
              <w:t>36</w:t>
            </w:r>
            <w:r w:rsidR="00725CED">
              <w:rPr>
                <w:noProof/>
                <w:webHidden/>
              </w:rPr>
              <w:fldChar w:fldCharType="end"/>
            </w:r>
          </w:hyperlink>
        </w:p>
        <w:p w:rsidR="000610D5" w:rsidRDefault="000610D5">
          <w:r w:rsidRPr="009116D2">
            <w:rPr>
              <w:rFonts w:ascii="Times New Roman" w:hAnsi="Times New Roman" w:cs="Times New Roman"/>
              <w:b/>
              <w:bCs/>
              <w:noProof/>
            </w:rPr>
            <w:fldChar w:fldCharType="end"/>
          </w:r>
        </w:p>
      </w:sdtContent>
    </w:sdt>
    <w:p w:rsidR="00F333E9" w:rsidRDefault="00F333E9" w:rsidP="00E10E47">
      <w:pPr>
        <w:spacing w:after="0" w:line="240" w:lineRule="auto"/>
        <w:rPr>
          <w:rFonts w:ascii="Times New Roman" w:eastAsiaTheme="majorEastAsia" w:hAnsi="Times New Roman" w:cs="Times New Roman"/>
          <w:b/>
          <w:bCs/>
          <w:sz w:val="28"/>
          <w:szCs w:val="28"/>
        </w:rPr>
      </w:pPr>
      <w:r>
        <w:rPr>
          <w:rFonts w:ascii="Times New Roman" w:hAnsi="Times New Roman" w:cs="Times New Roman"/>
        </w:rPr>
        <w:br w:type="page"/>
      </w:r>
    </w:p>
    <w:p w:rsidR="00F94EAC" w:rsidRPr="001C30A2" w:rsidRDefault="00F94EAC" w:rsidP="006A3C3F">
      <w:pPr>
        <w:pStyle w:val="Heading1"/>
        <w:spacing w:before="0" w:line="240" w:lineRule="auto"/>
        <w:jc w:val="center"/>
        <w:rPr>
          <w:rFonts w:ascii="Times New Roman" w:hAnsi="Times New Roman" w:cs="Times New Roman"/>
          <w:i/>
          <w:color w:val="auto"/>
        </w:rPr>
      </w:pPr>
      <w:bookmarkStart w:id="0" w:name="_Toc372269901"/>
      <w:r w:rsidRPr="001C30A2">
        <w:rPr>
          <w:rFonts w:ascii="Times New Roman" w:hAnsi="Times New Roman" w:cs="Times New Roman"/>
          <w:i/>
          <w:color w:val="auto"/>
        </w:rPr>
        <w:lastRenderedPageBreak/>
        <w:t>Kopsavilkums</w:t>
      </w:r>
      <w:bookmarkEnd w:id="0"/>
    </w:p>
    <w:p w:rsidR="00F94EAC" w:rsidRDefault="00F94EAC" w:rsidP="006A3C3F">
      <w:pPr>
        <w:spacing w:after="0" w:line="240" w:lineRule="auto"/>
        <w:ind w:firstLine="720"/>
        <w:jc w:val="both"/>
        <w:rPr>
          <w:rFonts w:ascii="Times New Roman" w:hAnsi="Times New Roman" w:cs="Times New Roman"/>
          <w:sz w:val="28"/>
          <w:szCs w:val="28"/>
        </w:rPr>
      </w:pPr>
      <w:r w:rsidRPr="0075575D">
        <w:rPr>
          <w:rFonts w:ascii="Times New Roman" w:hAnsi="Times New Roman" w:cs="Times New Roman"/>
          <w:sz w:val="28"/>
          <w:szCs w:val="28"/>
        </w:rPr>
        <w:t xml:space="preserve">Koncepcija par </w:t>
      </w:r>
      <w:r w:rsidRPr="0075575D">
        <w:rPr>
          <w:rFonts w:ascii="Times New Roman" w:hAnsi="Times New Roman" w:cs="Times New Roman"/>
          <w:i/>
          <w:sz w:val="28"/>
          <w:szCs w:val="28"/>
        </w:rPr>
        <w:t xml:space="preserve">Eiropas Parlamenta un Padomes 2012. gada 25. oktobra Direktīvas 2012/27/ES </w:t>
      </w:r>
      <w:r w:rsidR="009E432D" w:rsidRPr="0075575D">
        <w:rPr>
          <w:rFonts w:ascii="Times New Roman" w:hAnsi="Times New Roman" w:cs="Times New Roman"/>
          <w:i/>
          <w:sz w:val="28"/>
          <w:szCs w:val="28"/>
        </w:rPr>
        <w:t>par energoefektivitāti</w:t>
      </w:r>
      <w:r w:rsidRPr="0075575D">
        <w:rPr>
          <w:rFonts w:ascii="Times New Roman" w:hAnsi="Times New Roman" w:cs="Times New Roman"/>
          <w:i/>
          <w:sz w:val="28"/>
          <w:szCs w:val="28"/>
        </w:rPr>
        <w:t>, ar ko groza Direktīvas 2009/125/EK un 2010/30/ES un atceļ Direktīvas 2004/8/EK un 2006/32/EK</w:t>
      </w:r>
      <w:r w:rsidR="00CC44AE">
        <w:rPr>
          <w:rFonts w:ascii="Times New Roman" w:hAnsi="Times New Roman" w:cs="Times New Roman"/>
          <w:i/>
          <w:sz w:val="28"/>
          <w:szCs w:val="28"/>
        </w:rPr>
        <w:t xml:space="preserve"> </w:t>
      </w:r>
      <w:r w:rsidR="00CC44AE" w:rsidRPr="00CC44AE">
        <w:rPr>
          <w:rFonts w:ascii="Times New Roman" w:hAnsi="Times New Roman" w:cs="Times New Roman"/>
          <w:sz w:val="28"/>
          <w:szCs w:val="28"/>
        </w:rPr>
        <w:t>(turpmāk – Direktīva 2012/27/ES)</w:t>
      </w:r>
      <w:r w:rsidRPr="0075575D">
        <w:rPr>
          <w:rFonts w:ascii="Times New Roman" w:hAnsi="Times New Roman" w:cs="Times New Roman"/>
          <w:sz w:val="28"/>
          <w:szCs w:val="28"/>
        </w:rPr>
        <w:t xml:space="preserve"> ieviešanu </w:t>
      </w:r>
      <w:r w:rsidR="005922CF">
        <w:rPr>
          <w:rFonts w:ascii="Times New Roman" w:hAnsi="Times New Roman" w:cs="Times New Roman"/>
          <w:sz w:val="28"/>
          <w:szCs w:val="28"/>
        </w:rPr>
        <w:t xml:space="preserve">(turpmāk – Koncepcija) </w:t>
      </w:r>
      <w:r w:rsidRPr="0075575D">
        <w:rPr>
          <w:rFonts w:ascii="Times New Roman" w:hAnsi="Times New Roman" w:cs="Times New Roman"/>
          <w:sz w:val="28"/>
          <w:szCs w:val="28"/>
        </w:rPr>
        <w:t xml:space="preserve">izstrādāta, jo atsevišķas direktīvas normas piedāvā ES dalībvalstīm izvēles iespējas to ieviešanā. Direktīva </w:t>
      </w:r>
      <w:r w:rsidR="00CC44AE" w:rsidRPr="00CC44AE">
        <w:rPr>
          <w:rFonts w:ascii="Times New Roman" w:hAnsi="Times New Roman" w:cs="Times New Roman"/>
          <w:sz w:val="28"/>
          <w:szCs w:val="28"/>
        </w:rPr>
        <w:t xml:space="preserve">2012/27/ES </w:t>
      </w:r>
      <w:r w:rsidRPr="0075575D">
        <w:rPr>
          <w:rFonts w:ascii="Times New Roman" w:hAnsi="Times New Roman" w:cs="Times New Roman"/>
          <w:sz w:val="28"/>
          <w:szCs w:val="28"/>
        </w:rPr>
        <w:t xml:space="preserve">nosaka </w:t>
      </w:r>
      <w:r w:rsidR="00CC44AE">
        <w:rPr>
          <w:rFonts w:ascii="Times New Roman" w:hAnsi="Times New Roman" w:cs="Times New Roman"/>
          <w:sz w:val="28"/>
          <w:szCs w:val="28"/>
        </w:rPr>
        <w:t xml:space="preserve">arī </w:t>
      </w:r>
      <w:r w:rsidRPr="0075575D">
        <w:rPr>
          <w:rFonts w:ascii="Times New Roman" w:hAnsi="Times New Roman" w:cs="Times New Roman"/>
          <w:sz w:val="28"/>
          <w:szCs w:val="28"/>
        </w:rPr>
        <w:t xml:space="preserve">vairākus apjomīgas ziņošanas pienākumus, kas jāizpilda pirms </w:t>
      </w:r>
      <w:r w:rsidR="00CC44AE">
        <w:rPr>
          <w:rFonts w:ascii="Times New Roman" w:hAnsi="Times New Roman" w:cs="Times New Roman"/>
          <w:sz w:val="28"/>
          <w:szCs w:val="28"/>
        </w:rPr>
        <w:t xml:space="preserve">tās noteiktā </w:t>
      </w:r>
      <w:r w:rsidRPr="0075575D">
        <w:rPr>
          <w:rFonts w:ascii="Times New Roman" w:hAnsi="Times New Roman" w:cs="Times New Roman"/>
          <w:sz w:val="28"/>
          <w:szCs w:val="28"/>
        </w:rPr>
        <w:t>ieviešanas termiņa</w:t>
      </w:r>
      <w:r w:rsidR="00CC44AE">
        <w:rPr>
          <w:rFonts w:ascii="Times New Roman" w:hAnsi="Times New Roman" w:cs="Times New Roman"/>
          <w:sz w:val="28"/>
          <w:szCs w:val="28"/>
        </w:rPr>
        <w:t xml:space="preserve"> – 2014.</w:t>
      </w:r>
      <w:r w:rsidR="009116D2">
        <w:rPr>
          <w:rFonts w:ascii="Times New Roman" w:hAnsi="Times New Roman" w:cs="Times New Roman"/>
          <w:sz w:val="28"/>
          <w:szCs w:val="28"/>
        </w:rPr>
        <w:t> </w:t>
      </w:r>
      <w:r w:rsidR="00CC44AE">
        <w:rPr>
          <w:rFonts w:ascii="Times New Roman" w:hAnsi="Times New Roman" w:cs="Times New Roman"/>
          <w:sz w:val="28"/>
          <w:szCs w:val="28"/>
        </w:rPr>
        <w:t>gada 5.</w:t>
      </w:r>
      <w:r w:rsidR="009116D2">
        <w:rPr>
          <w:rFonts w:ascii="Times New Roman" w:hAnsi="Times New Roman" w:cs="Times New Roman"/>
          <w:sz w:val="28"/>
          <w:szCs w:val="28"/>
        </w:rPr>
        <w:t> </w:t>
      </w:r>
      <w:r w:rsidR="00CC44AE">
        <w:rPr>
          <w:rFonts w:ascii="Times New Roman" w:hAnsi="Times New Roman" w:cs="Times New Roman"/>
          <w:sz w:val="28"/>
          <w:szCs w:val="28"/>
        </w:rPr>
        <w:t>jūnija</w:t>
      </w:r>
      <w:r w:rsidR="0075575D">
        <w:rPr>
          <w:rFonts w:ascii="Times New Roman" w:hAnsi="Times New Roman" w:cs="Times New Roman"/>
          <w:sz w:val="28"/>
          <w:szCs w:val="28"/>
        </w:rPr>
        <w:t xml:space="preserve">. Tāpēc </w:t>
      </w:r>
      <w:r w:rsidR="0075575D" w:rsidRPr="0075575D">
        <w:rPr>
          <w:rFonts w:ascii="Times New Roman" w:hAnsi="Times New Roman" w:cs="Times New Roman"/>
          <w:sz w:val="28"/>
          <w:szCs w:val="28"/>
        </w:rPr>
        <w:t xml:space="preserve">pirms attiecīgu normatīvo aktu izstrādes ir nepieciešams Ministru kabineta konceptuāls lēmums par </w:t>
      </w:r>
      <w:r w:rsidR="0075575D">
        <w:rPr>
          <w:rFonts w:ascii="Times New Roman" w:hAnsi="Times New Roman" w:cs="Times New Roman"/>
          <w:sz w:val="28"/>
          <w:szCs w:val="28"/>
        </w:rPr>
        <w:t xml:space="preserve">direktīvas </w:t>
      </w:r>
      <w:r w:rsidR="0075575D" w:rsidRPr="0075575D">
        <w:rPr>
          <w:rFonts w:ascii="Times New Roman" w:hAnsi="Times New Roman" w:cs="Times New Roman"/>
          <w:sz w:val="28"/>
          <w:szCs w:val="28"/>
        </w:rPr>
        <w:t>4.</w:t>
      </w:r>
      <w:r w:rsidR="00A66210">
        <w:rPr>
          <w:rFonts w:ascii="Times New Roman" w:hAnsi="Times New Roman" w:cs="Times New Roman"/>
          <w:sz w:val="28"/>
          <w:szCs w:val="28"/>
        </w:rPr>
        <w:t> </w:t>
      </w:r>
      <w:r w:rsidR="0075575D" w:rsidRPr="0075575D">
        <w:rPr>
          <w:rFonts w:ascii="Times New Roman" w:hAnsi="Times New Roman" w:cs="Times New Roman"/>
          <w:sz w:val="28"/>
          <w:szCs w:val="28"/>
        </w:rPr>
        <w:t xml:space="preserve">panta, 5. panta, 7. panta </w:t>
      </w:r>
      <w:r w:rsidR="007A0554">
        <w:rPr>
          <w:rFonts w:ascii="Times New Roman" w:hAnsi="Times New Roman" w:cs="Times New Roman"/>
          <w:sz w:val="28"/>
          <w:szCs w:val="28"/>
        </w:rPr>
        <w:t>14.</w:t>
      </w:r>
      <w:r w:rsidR="00A66210">
        <w:rPr>
          <w:rFonts w:ascii="Times New Roman" w:hAnsi="Times New Roman" w:cs="Times New Roman"/>
          <w:sz w:val="28"/>
          <w:szCs w:val="28"/>
        </w:rPr>
        <w:t> </w:t>
      </w:r>
      <w:r w:rsidR="007A0554">
        <w:rPr>
          <w:rFonts w:ascii="Times New Roman" w:hAnsi="Times New Roman" w:cs="Times New Roman"/>
          <w:sz w:val="28"/>
          <w:szCs w:val="28"/>
        </w:rPr>
        <w:t xml:space="preserve">panta </w:t>
      </w:r>
      <w:r w:rsidR="0075575D" w:rsidRPr="0075575D">
        <w:rPr>
          <w:rFonts w:ascii="Times New Roman" w:hAnsi="Times New Roman" w:cs="Times New Roman"/>
          <w:sz w:val="28"/>
          <w:szCs w:val="28"/>
        </w:rPr>
        <w:t>un 20. panta ieviešanas risinājumiem</w:t>
      </w:r>
      <w:r w:rsidR="0075575D">
        <w:rPr>
          <w:rFonts w:ascii="Times New Roman" w:hAnsi="Times New Roman" w:cs="Times New Roman"/>
          <w:sz w:val="28"/>
          <w:szCs w:val="28"/>
        </w:rPr>
        <w:t xml:space="preserve">, kā arī turpmāko rīcības plānojumu. </w:t>
      </w:r>
    </w:p>
    <w:p w:rsidR="007A0554" w:rsidRDefault="007A0554" w:rsidP="006A3C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Minētie panti ir būtiski, jo nosaka valsts saistības (mērķus) atsevišķos enerģijas galapatēriņa sektoros, kā arī pienākumu ieviest noteiktus pasākumus šo mērķu sasniegšanai. 5.</w:t>
      </w:r>
      <w:r w:rsidR="00A66210">
        <w:rPr>
          <w:rFonts w:ascii="Times New Roman" w:hAnsi="Times New Roman" w:cs="Times New Roman"/>
          <w:sz w:val="28"/>
          <w:szCs w:val="28"/>
        </w:rPr>
        <w:t> </w:t>
      </w:r>
      <w:r>
        <w:rPr>
          <w:rFonts w:ascii="Times New Roman" w:hAnsi="Times New Roman" w:cs="Times New Roman"/>
          <w:sz w:val="28"/>
          <w:szCs w:val="28"/>
        </w:rPr>
        <w:t>pants paredz obligātu</w:t>
      </w:r>
      <w:r w:rsidR="00B84381">
        <w:rPr>
          <w:rFonts w:ascii="Times New Roman" w:hAnsi="Times New Roman" w:cs="Times New Roman"/>
          <w:sz w:val="28"/>
          <w:szCs w:val="28"/>
        </w:rPr>
        <w:t xml:space="preserve"> centrālās valdības</w:t>
      </w:r>
      <w:r>
        <w:rPr>
          <w:rFonts w:ascii="Times New Roman" w:hAnsi="Times New Roman" w:cs="Times New Roman"/>
          <w:sz w:val="28"/>
          <w:szCs w:val="28"/>
        </w:rPr>
        <w:t xml:space="preserve"> ēku</w:t>
      </w:r>
      <w:r w:rsidR="009E432D">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3</w:t>
      </w:r>
      <w:r w:rsidR="00A66210">
        <w:rPr>
          <w:rFonts w:ascii="Times New Roman" w:hAnsi="Times New Roman" w:cs="Times New Roman"/>
          <w:sz w:val="28"/>
          <w:szCs w:val="28"/>
        </w:rPr>
        <w:t> </w:t>
      </w:r>
      <w:r>
        <w:rPr>
          <w:rFonts w:ascii="Times New Roman" w:hAnsi="Times New Roman" w:cs="Times New Roman"/>
          <w:sz w:val="28"/>
          <w:szCs w:val="28"/>
        </w:rPr>
        <w:t>% platības ikgadēju renovāciju, bet 7.</w:t>
      </w:r>
      <w:r w:rsidR="00A66210">
        <w:rPr>
          <w:rFonts w:ascii="Times New Roman" w:hAnsi="Times New Roman" w:cs="Times New Roman"/>
          <w:sz w:val="28"/>
          <w:szCs w:val="28"/>
        </w:rPr>
        <w:t> </w:t>
      </w:r>
      <w:r>
        <w:rPr>
          <w:rFonts w:ascii="Times New Roman" w:hAnsi="Times New Roman" w:cs="Times New Roman"/>
          <w:sz w:val="28"/>
          <w:szCs w:val="28"/>
        </w:rPr>
        <w:t>pants – obligātu enerģijas ietaupījumu 1,5</w:t>
      </w:r>
      <w:r w:rsidR="00A66210">
        <w:rPr>
          <w:rFonts w:ascii="Times New Roman" w:hAnsi="Times New Roman" w:cs="Times New Roman"/>
          <w:sz w:val="28"/>
          <w:szCs w:val="28"/>
        </w:rPr>
        <w:t> </w:t>
      </w:r>
      <w:r w:rsidR="00EF0F70">
        <w:rPr>
          <w:rFonts w:ascii="Times New Roman" w:hAnsi="Times New Roman" w:cs="Times New Roman"/>
          <w:sz w:val="28"/>
          <w:szCs w:val="28"/>
        </w:rPr>
        <w:t>% apjomā no galalietotājiem</w:t>
      </w:r>
      <w:r>
        <w:rPr>
          <w:rFonts w:ascii="Times New Roman" w:hAnsi="Times New Roman" w:cs="Times New Roman"/>
          <w:sz w:val="28"/>
          <w:szCs w:val="28"/>
        </w:rPr>
        <w:t xml:space="preserve"> piegādātās enerģijas. </w:t>
      </w:r>
      <w:r w:rsidR="00B83171">
        <w:rPr>
          <w:rFonts w:ascii="Times New Roman" w:hAnsi="Times New Roman" w:cs="Times New Roman"/>
          <w:sz w:val="28"/>
          <w:szCs w:val="28"/>
        </w:rPr>
        <w:t xml:space="preserve">Papildus tam </w:t>
      </w:r>
      <w:r>
        <w:rPr>
          <w:rFonts w:ascii="Times New Roman" w:hAnsi="Times New Roman" w:cs="Times New Roman"/>
          <w:sz w:val="28"/>
          <w:szCs w:val="28"/>
        </w:rPr>
        <w:t>14.</w:t>
      </w:r>
      <w:r w:rsidR="00A66210">
        <w:rPr>
          <w:rFonts w:ascii="Times New Roman" w:hAnsi="Times New Roman" w:cs="Times New Roman"/>
          <w:sz w:val="28"/>
          <w:szCs w:val="28"/>
        </w:rPr>
        <w:t> </w:t>
      </w:r>
      <w:r>
        <w:rPr>
          <w:rFonts w:ascii="Times New Roman" w:hAnsi="Times New Roman" w:cs="Times New Roman"/>
          <w:sz w:val="28"/>
          <w:szCs w:val="28"/>
        </w:rPr>
        <w:t>pants nosaka valsts un komersantu obligātos pienākumus siltumapgādes potenciāla novērtēšanā un apgūšanā, veicot izmaksu un ieguvumu novērtējumu atsevišķu iekārtu un valsts līmenī. 20.</w:t>
      </w:r>
      <w:r w:rsidR="00A66210">
        <w:rPr>
          <w:rFonts w:ascii="Times New Roman" w:hAnsi="Times New Roman" w:cs="Times New Roman"/>
          <w:sz w:val="28"/>
          <w:szCs w:val="28"/>
        </w:rPr>
        <w:t> </w:t>
      </w:r>
      <w:r>
        <w:rPr>
          <w:rFonts w:ascii="Times New Roman" w:hAnsi="Times New Roman" w:cs="Times New Roman"/>
          <w:sz w:val="28"/>
          <w:szCs w:val="28"/>
        </w:rPr>
        <w:t>pants nosaka valsts energoefektivitātes fonda</w:t>
      </w:r>
      <w:r w:rsidR="00B83171">
        <w:rPr>
          <w:rFonts w:ascii="Times New Roman" w:hAnsi="Times New Roman" w:cs="Times New Roman"/>
          <w:sz w:val="28"/>
          <w:szCs w:val="28"/>
        </w:rPr>
        <w:t xml:space="preserve"> izveides mērķus un darbības iespējas.</w:t>
      </w:r>
    </w:p>
    <w:p w:rsidR="00CC44AE" w:rsidRDefault="00813AAA" w:rsidP="006A3C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Koncepcijā noteikti šādi</w:t>
      </w:r>
      <w:r w:rsidR="008E3273" w:rsidRPr="00830648">
        <w:rPr>
          <w:rFonts w:ascii="Times New Roman" w:hAnsi="Times New Roman" w:cs="Times New Roman"/>
          <w:sz w:val="28"/>
          <w:szCs w:val="28"/>
        </w:rPr>
        <w:t xml:space="preserve"> risinājumu varianti Direktīvas </w:t>
      </w:r>
      <w:r w:rsidR="006D5B74">
        <w:rPr>
          <w:rFonts w:ascii="Times New Roman" w:hAnsi="Times New Roman" w:cs="Times New Roman"/>
          <w:sz w:val="28"/>
          <w:szCs w:val="28"/>
        </w:rPr>
        <w:t xml:space="preserve">2012/27/ES </w:t>
      </w:r>
      <w:r w:rsidR="008E3273" w:rsidRPr="00830648">
        <w:rPr>
          <w:rFonts w:ascii="Times New Roman" w:hAnsi="Times New Roman" w:cs="Times New Roman"/>
          <w:sz w:val="28"/>
          <w:szCs w:val="28"/>
        </w:rPr>
        <w:t>pārņemšanai</w:t>
      </w:r>
      <w:r w:rsidR="00CC44AE">
        <w:rPr>
          <w:rFonts w:ascii="Times New Roman" w:hAnsi="Times New Roman" w:cs="Times New Roman"/>
          <w:sz w:val="28"/>
          <w:szCs w:val="28"/>
        </w:rPr>
        <w:t>:</w:t>
      </w:r>
    </w:p>
    <w:p w:rsidR="000468F7" w:rsidRDefault="000468F7" w:rsidP="006A3C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6D5B74">
        <w:rPr>
          <w:rFonts w:ascii="Times New Roman" w:hAnsi="Times New Roman" w:cs="Times New Roman"/>
          <w:sz w:val="28"/>
          <w:szCs w:val="28"/>
        </w:rPr>
        <w:t> </w:t>
      </w:r>
      <w:r>
        <w:rPr>
          <w:rFonts w:ascii="Times New Roman" w:hAnsi="Times New Roman" w:cs="Times New Roman"/>
          <w:sz w:val="28"/>
          <w:szCs w:val="28"/>
        </w:rPr>
        <w:t>panta prasību pārņemšanai: 1.</w:t>
      </w:r>
      <w:r w:rsidR="006D5B74">
        <w:rPr>
          <w:rFonts w:ascii="Times New Roman" w:hAnsi="Times New Roman" w:cs="Times New Roman"/>
          <w:sz w:val="28"/>
          <w:szCs w:val="28"/>
        </w:rPr>
        <w:t> </w:t>
      </w:r>
      <w:r>
        <w:rPr>
          <w:rFonts w:ascii="Times New Roman" w:hAnsi="Times New Roman" w:cs="Times New Roman"/>
          <w:sz w:val="28"/>
          <w:szCs w:val="28"/>
        </w:rPr>
        <w:t>variants - s</w:t>
      </w:r>
      <w:r w:rsidRPr="000468F7">
        <w:rPr>
          <w:rFonts w:ascii="Times New Roman" w:hAnsi="Times New Roman" w:cs="Times New Roman"/>
          <w:sz w:val="28"/>
          <w:szCs w:val="28"/>
        </w:rPr>
        <w:t>ākot ar 2014. gada 1. janvāri, katru gadu renovēt 3 % kopējās platības centrālās valdības īpašumā esošajās un izmantotajās ēkās, lai izpildītu vismaz minimālās energoefektivitātes prasības.</w:t>
      </w:r>
    </w:p>
    <w:p w:rsidR="000468F7" w:rsidRDefault="000468F7" w:rsidP="006A3C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6D5B74">
        <w:rPr>
          <w:rFonts w:ascii="Times New Roman" w:hAnsi="Times New Roman" w:cs="Times New Roman"/>
          <w:sz w:val="28"/>
          <w:szCs w:val="28"/>
        </w:rPr>
        <w:t> </w:t>
      </w:r>
      <w:r>
        <w:rPr>
          <w:rFonts w:ascii="Times New Roman" w:hAnsi="Times New Roman" w:cs="Times New Roman"/>
          <w:sz w:val="28"/>
          <w:szCs w:val="28"/>
        </w:rPr>
        <w:t>panta prasību pārņemšanai: 2.</w:t>
      </w:r>
      <w:r w:rsidR="006D5B74">
        <w:rPr>
          <w:rFonts w:ascii="Times New Roman" w:hAnsi="Times New Roman" w:cs="Times New Roman"/>
          <w:sz w:val="28"/>
          <w:szCs w:val="28"/>
        </w:rPr>
        <w:t> </w:t>
      </w:r>
      <w:r>
        <w:rPr>
          <w:rFonts w:ascii="Times New Roman" w:hAnsi="Times New Roman" w:cs="Times New Roman"/>
          <w:sz w:val="28"/>
          <w:szCs w:val="28"/>
        </w:rPr>
        <w:t>variants – ieviest valsts energoefektivitātes pienākumu shēmu kop</w:t>
      </w:r>
      <w:r w:rsidR="007B36CA">
        <w:rPr>
          <w:rFonts w:ascii="Times New Roman" w:hAnsi="Times New Roman" w:cs="Times New Roman"/>
          <w:sz w:val="28"/>
          <w:szCs w:val="28"/>
        </w:rPr>
        <w:t>ā</w:t>
      </w:r>
      <w:r>
        <w:rPr>
          <w:rFonts w:ascii="Times New Roman" w:hAnsi="Times New Roman" w:cs="Times New Roman"/>
          <w:sz w:val="28"/>
          <w:szCs w:val="28"/>
        </w:rPr>
        <w:t xml:space="preserve"> ar alternatīvajiem energoefektivitātes pasākumiem.</w:t>
      </w:r>
    </w:p>
    <w:p w:rsidR="000468F7" w:rsidRDefault="000468F7" w:rsidP="006A3C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6D5B74">
        <w:rPr>
          <w:rFonts w:ascii="Times New Roman" w:hAnsi="Times New Roman" w:cs="Times New Roman"/>
          <w:sz w:val="28"/>
          <w:szCs w:val="28"/>
        </w:rPr>
        <w:t> </w:t>
      </w:r>
      <w:r>
        <w:rPr>
          <w:rFonts w:ascii="Times New Roman" w:hAnsi="Times New Roman" w:cs="Times New Roman"/>
          <w:sz w:val="28"/>
          <w:szCs w:val="28"/>
        </w:rPr>
        <w:t>panta prasību pārņemšanai: 2.</w:t>
      </w:r>
      <w:r w:rsidR="006D5B74">
        <w:rPr>
          <w:rFonts w:ascii="Times New Roman" w:hAnsi="Times New Roman" w:cs="Times New Roman"/>
          <w:sz w:val="28"/>
          <w:szCs w:val="28"/>
        </w:rPr>
        <w:t> </w:t>
      </w:r>
      <w:r>
        <w:rPr>
          <w:rFonts w:ascii="Times New Roman" w:hAnsi="Times New Roman" w:cs="Times New Roman"/>
          <w:sz w:val="28"/>
          <w:szCs w:val="28"/>
        </w:rPr>
        <w:t xml:space="preserve">variants - </w:t>
      </w:r>
      <w:r w:rsidRPr="000468F7">
        <w:rPr>
          <w:rFonts w:ascii="Times New Roman" w:hAnsi="Times New Roman" w:cs="Times New Roman"/>
          <w:sz w:val="28"/>
          <w:szCs w:val="28"/>
        </w:rPr>
        <w:t>visām 14. pantā uzskaitītajām   iekārtām ieviest siltuma un koģenerācijas potenciāla, izmaksu un ieguvumu analīzes veikšanas pienākumu.</w:t>
      </w:r>
    </w:p>
    <w:p w:rsidR="008E3273" w:rsidRDefault="000468F7" w:rsidP="006A3C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6D5B74">
        <w:rPr>
          <w:rFonts w:ascii="Times New Roman" w:hAnsi="Times New Roman" w:cs="Times New Roman"/>
          <w:sz w:val="28"/>
          <w:szCs w:val="28"/>
        </w:rPr>
        <w:t> </w:t>
      </w:r>
      <w:r>
        <w:rPr>
          <w:rFonts w:ascii="Times New Roman" w:hAnsi="Times New Roman" w:cs="Times New Roman"/>
          <w:sz w:val="28"/>
          <w:szCs w:val="28"/>
        </w:rPr>
        <w:t>panta prasību pārņemšanai: 1.</w:t>
      </w:r>
      <w:r w:rsidR="006D5B74">
        <w:rPr>
          <w:rFonts w:ascii="Times New Roman" w:hAnsi="Times New Roman" w:cs="Times New Roman"/>
          <w:sz w:val="28"/>
          <w:szCs w:val="28"/>
        </w:rPr>
        <w:t> </w:t>
      </w:r>
      <w:r>
        <w:rPr>
          <w:rFonts w:ascii="Times New Roman" w:hAnsi="Times New Roman" w:cs="Times New Roman"/>
          <w:sz w:val="28"/>
          <w:szCs w:val="28"/>
        </w:rPr>
        <w:t xml:space="preserve">variants - </w:t>
      </w:r>
      <w:r w:rsidR="00990A20">
        <w:rPr>
          <w:rFonts w:ascii="Times New Roman" w:hAnsi="Times New Roman" w:cs="Times New Roman"/>
          <w:sz w:val="28"/>
          <w:szCs w:val="28"/>
        </w:rPr>
        <w:t>veidot valsts energoefektivitātes fondu.</w:t>
      </w:r>
    </w:p>
    <w:p w:rsidR="006B6166" w:rsidRDefault="006B6166" w:rsidP="006A3C3F">
      <w:pPr>
        <w:spacing w:after="0" w:line="240" w:lineRule="auto"/>
        <w:ind w:firstLine="720"/>
        <w:jc w:val="both"/>
        <w:rPr>
          <w:rFonts w:ascii="Times New Roman" w:hAnsi="Times New Roman" w:cs="Times New Roman"/>
          <w:sz w:val="28"/>
          <w:szCs w:val="28"/>
        </w:rPr>
      </w:pPr>
    </w:p>
    <w:p w:rsidR="00B83171" w:rsidRDefault="00B83171" w:rsidP="006A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Latvijai saistībā ar direktīvas ieviešanu jāsasniedz šādi energoefektivitātes mērķi:</w:t>
      </w:r>
    </w:p>
    <w:p w:rsidR="00B83171" w:rsidRDefault="00B61E57" w:rsidP="006A3C3F">
      <w:pPr>
        <w:pStyle w:val="ListParagraph"/>
        <w:numPr>
          <w:ilvl w:val="0"/>
          <w:numId w:val="1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Kopējais valsts </w:t>
      </w:r>
      <w:r w:rsidRPr="00B61E57">
        <w:rPr>
          <w:rFonts w:ascii="Times New Roman" w:hAnsi="Times New Roman" w:cs="Times New Roman"/>
          <w:sz w:val="28"/>
          <w:szCs w:val="28"/>
        </w:rPr>
        <w:t>indikatīvais energoefektivitātes mērķis</w:t>
      </w:r>
      <w:r>
        <w:rPr>
          <w:rFonts w:ascii="Times New Roman" w:hAnsi="Times New Roman" w:cs="Times New Roman"/>
          <w:sz w:val="28"/>
          <w:szCs w:val="28"/>
        </w:rPr>
        <w:t xml:space="preserve"> -</w:t>
      </w:r>
      <w:r w:rsidRPr="00B61E57">
        <w:rPr>
          <w:rFonts w:ascii="Times New Roman" w:hAnsi="Times New Roman" w:cs="Times New Roman"/>
          <w:sz w:val="28"/>
          <w:szCs w:val="28"/>
        </w:rPr>
        <w:t xml:space="preserve"> primārās enerģijas ietaupījums 2020.</w:t>
      </w:r>
      <w:r w:rsidR="00A66210">
        <w:rPr>
          <w:rFonts w:ascii="Times New Roman" w:hAnsi="Times New Roman" w:cs="Times New Roman"/>
          <w:sz w:val="28"/>
          <w:szCs w:val="28"/>
        </w:rPr>
        <w:t> </w:t>
      </w:r>
      <w:r w:rsidRPr="00B61E57">
        <w:rPr>
          <w:rFonts w:ascii="Times New Roman" w:hAnsi="Times New Roman" w:cs="Times New Roman"/>
          <w:sz w:val="28"/>
          <w:szCs w:val="28"/>
        </w:rPr>
        <w:t>gadā</w:t>
      </w:r>
      <w:r>
        <w:rPr>
          <w:rFonts w:ascii="Times New Roman" w:hAnsi="Times New Roman" w:cs="Times New Roman"/>
          <w:sz w:val="28"/>
          <w:szCs w:val="28"/>
        </w:rPr>
        <w:t xml:space="preserve"> - </w:t>
      </w:r>
      <w:r w:rsidRPr="00B61E57">
        <w:rPr>
          <w:rFonts w:ascii="Times New Roman" w:hAnsi="Times New Roman" w:cs="Times New Roman"/>
          <w:sz w:val="28"/>
          <w:szCs w:val="28"/>
        </w:rPr>
        <w:t xml:space="preserve">0,670 </w:t>
      </w:r>
      <w:proofErr w:type="spellStart"/>
      <w:r w:rsidRPr="00B61E57">
        <w:rPr>
          <w:rFonts w:ascii="Times New Roman" w:hAnsi="Times New Roman" w:cs="Times New Roman"/>
          <w:sz w:val="28"/>
          <w:szCs w:val="28"/>
        </w:rPr>
        <w:t>Mtoe</w:t>
      </w:r>
      <w:proofErr w:type="spellEnd"/>
      <w:r w:rsidRPr="00B61E57">
        <w:rPr>
          <w:rFonts w:ascii="Times New Roman" w:hAnsi="Times New Roman" w:cs="Times New Roman"/>
          <w:sz w:val="28"/>
          <w:szCs w:val="28"/>
        </w:rPr>
        <w:t xml:space="preserve"> (28 PJ)</w:t>
      </w:r>
      <w:r>
        <w:rPr>
          <w:rFonts w:ascii="Times New Roman" w:hAnsi="Times New Roman" w:cs="Times New Roman"/>
          <w:sz w:val="28"/>
          <w:szCs w:val="28"/>
        </w:rPr>
        <w:t>.</w:t>
      </w:r>
    </w:p>
    <w:p w:rsidR="00B61E57" w:rsidRDefault="00B61E57" w:rsidP="006A3C3F">
      <w:pPr>
        <w:pStyle w:val="ListParagraph"/>
        <w:numPr>
          <w:ilvl w:val="0"/>
          <w:numId w:val="16"/>
        </w:numPr>
        <w:spacing w:after="0" w:line="240" w:lineRule="auto"/>
        <w:ind w:left="0"/>
        <w:jc w:val="both"/>
        <w:rPr>
          <w:rFonts w:ascii="Times New Roman" w:hAnsi="Times New Roman" w:cs="Times New Roman"/>
          <w:sz w:val="28"/>
          <w:szCs w:val="28"/>
        </w:rPr>
      </w:pPr>
      <w:r w:rsidRPr="00B61E57">
        <w:rPr>
          <w:rFonts w:ascii="Times New Roman" w:hAnsi="Times New Roman" w:cs="Times New Roman"/>
          <w:sz w:val="28"/>
          <w:szCs w:val="28"/>
        </w:rPr>
        <w:lastRenderedPageBreak/>
        <w:t xml:space="preserve">Mērķis </w:t>
      </w:r>
      <w:r w:rsidR="00B84381">
        <w:rPr>
          <w:rFonts w:ascii="Times New Roman" w:hAnsi="Times New Roman" w:cs="Times New Roman"/>
          <w:sz w:val="28"/>
          <w:szCs w:val="28"/>
        </w:rPr>
        <w:t>centrālās valdības</w:t>
      </w:r>
      <w:r w:rsidRPr="00B61E57">
        <w:rPr>
          <w:rFonts w:ascii="Times New Roman" w:hAnsi="Times New Roman" w:cs="Times New Roman"/>
          <w:sz w:val="28"/>
          <w:szCs w:val="28"/>
        </w:rPr>
        <w:t xml:space="preserve"> ēku renovācijai – ik gadu </w:t>
      </w:r>
      <w:r w:rsidR="00B83171" w:rsidRPr="00B61E57">
        <w:rPr>
          <w:rFonts w:ascii="Times New Roman" w:hAnsi="Times New Roman" w:cs="Times New Roman"/>
          <w:sz w:val="28"/>
          <w:szCs w:val="28"/>
        </w:rPr>
        <w:t>3</w:t>
      </w:r>
      <w:r w:rsidR="00A66210">
        <w:rPr>
          <w:rFonts w:ascii="Times New Roman" w:hAnsi="Times New Roman" w:cs="Times New Roman"/>
          <w:sz w:val="28"/>
          <w:szCs w:val="28"/>
        </w:rPr>
        <w:t> </w:t>
      </w:r>
      <w:r w:rsidR="00B83171" w:rsidRPr="00B61E57">
        <w:rPr>
          <w:rFonts w:ascii="Times New Roman" w:hAnsi="Times New Roman" w:cs="Times New Roman"/>
          <w:sz w:val="28"/>
          <w:szCs w:val="28"/>
        </w:rPr>
        <w:t xml:space="preserve">% </w:t>
      </w:r>
      <w:r w:rsidRPr="00B61E57">
        <w:rPr>
          <w:rFonts w:ascii="Times New Roman" w:hAnsi="Times New Roman" w:cs="Times New Roman"/>
          <w:sz w:val="28"/>
          <w:szCs w:val="28"/>
        </w:rPr>
        <w:t xml:space="preserve">platības - </w:t>
      </w:r>
      <w:r w:rsidR="004357B9" w:rsidRPr="004357B9">
        <w:rPr>
          <w:rFonts w:ascii="Times New Roman" w:hAnsi="Times New Roman" w:cs="Times New Roman"/>
          <w:sz w:val="28"/>
          <w:szCs w:val="28"/>
        </w:rPr>
        <w:t xml:space="preserve">(maksimālās aplēses – kopā </w:t>
      </w:r>
      <w:r w:rsidR="00C45B7A">
        <w:rPr>
          <w:rFonts w:ascii="Times New Roman" w:hAnsi="Times New Roman" w:cs="Times New Roman"/>
          <w:sz w:val="28"/>
          <w:szCs w:val="28"/>
        </w:rPr>
        <w:t>678 460</w:t>
      </w:r>
      <w:r w:rsidR="004357B9" w:rsidRPr="004357B9">
        <w:rPr>
          <w:rFonts w:ascii="Times New Roman" w:hAnsi="Times New Roman" w:cs="Times New Roman"/>
          <w:sz w:val="28"/>
          <w:szCs w:val="28"/>
        </w:rPr>
        <w:t xml:space="preserve"> m2), </w:t>
      </w:r>
      <w:r w:rsidR="004357B9">
        <w:rPr>
          <w:rFonts w:ascii="Times New Roman" w:hAnsi="Times New Roman" w:cs="Times New Roman"/>
          <w:sz w:val="28"/>
          <w:szCs w:val="28"/>
        </w:rPr>
        <w:t>ka</w:t>
      </w:r>
      <w:r w:rsidR="00AD66C3">
        <w:rPr>
          <w:rFonts w:ascii="Times New Roman" w:hAnsi="Times New Roman" w:cs="Times New Roman"/>
          <w:sz w:val="28"/>
          <w:szCs w:val="28"/>
        </w:rPr>
        <w:t xml:space="preserve">s kopā ar pašvaldību ēku renovāciju dod 0,016 </w:t>
      </w:r>
      <w:proofErr w:type="spellStart"/>
      <w:r w:rsidR="00AD66C3">
        <w:rPr>
          <w:rFonts w:ascii="Times New Roman" w:hAnsi="Times New Roman" w:cs="Times New Roman"/>
          <w:sz w:val="28"/>
          <w:szCs w:val="28"/>
        </w:rPr>
        <w:t>Mtoe</w:t>
      </w:r>
      <w:proofErr w:type="spellEnd"/>
      <w:r w:rsidR="00AD66C3">
        <w:rPr>
          <w:rFonts w:ascii="Times New Roman" w:hAnsi="Times New Roman" w:cs="Times New Roman"/>
          <w:sz w:val="28"/>
          <w:szCs w:val="28"/>
        </w:rPr>
        <w:t xml:space="preserve"> (0,67 PJ, 186 </w:t>
      </w:r>
      <w:proofErr w:type="spellStart"/>
      <w:r w:rsidR="00AD66C3">
        <w:rPr>
          <w:rFonts w:ascii="Times New Roman" w:hAnsi="Times New Roman" w:cs="Times New Roman"/>
          <w:sz w:val="28"/>
          <w:szCs w:val="28"/>
        </w:rPr>
        <w:t>GWh</w:t>
      </w:r>
      <w:proofErr w:type="spellEnd"/>
      <w:r w:rsidR="00AD66C3">
        <w:rPr>
          <w:rFonts w:ascii="Times New Roman" w:hAnsi="Times New Roman" w:cs="Times New Roman"/>
          <w:sz w:val="28"/>
          <w:szCs w:val="28"/>
        </w:rPr>
        <w:t>)</w:t>
      </w:r>
      <w:r w:rsidRPr="00B61E57">
        <w:rPr>
          <w:rFonts w:ascii="Times New Roman" w:hAnsi="Times New Roman" w:cs="Times New Roman"/>
          <w:sz w:val="28"/>
          <w:szCs w:val="28"/>
        </w:rPr>
        <w:t xml:space="preserve"> enerģijas ietaupījums </w:t>
      </w:r>
      <w:r>
        <w:rPr>
          <w:rFonts w:ascii="Times New Roman" w:hAnsi="Times New Roman" w:cs="Times New Roman"/>
          <w:sz w:val="28"/>
          <w:szCs w:val="28"/>
        </w:rPr>
        <w:t>visā 2014.</w:t>
      </w:r>
      <w:r w:rsidR="00A66210">
        <w:rPr>
          <w:rFonts w:ascii="Times New Roman" w:hAnsi="Times New Roman" w:cs="Times New Roman"/>
          <w:sz w:val="28"/>
          <w:szCs w:val="28"/>
        </w:rPr>
        <w:t> </w:t>
      </w:r>
      <w:r>
        <w:rPr>
          <w:rFonts w:ascii="Times New Roman" w:hAnsi="Times New Roman" w:cs="Times New Roman"/>
          <w:sz w:val="28"/>
          <w:szCs w:val="28"/>
        </w:rPr>
        <w:t>-</w:t>
      </w:r>
      <w:r w:rsidR="00A66210">
        <w:rPr>
          <w:rFonts w:ascii="Times New Roman" w:hAnsi="Times New Roman" w:cs="Times New Roman"/>
          <w:sz w:val="28"/>
          <w:szCs w:val="28"/>
        </w:rPr>
        <w:t> </w:t>
      </w:r>
      <w:r>
        <w:rPr>
          <w:rFonts w:ascii="Times New Roman" w:hAnsi="Times New Roman" w:cs="Times New Roman"/>
          <w:sz w:val="28"/>
          <w:szCs w:val="28"/>
        </w:rPr>
        <w:t>2020.</w:t>
      </w:r>
      <w:r w:rsidR="00A66210">
        <w:rPr>
          <w:rFonts w:ascii="Times New Roman" w:hAnsi="Times New Roman" w:cs="Times New Roman"/>
          <w:sz w:val="28"/>
          <w:szCs w:val="28"/>
        </w:rPr>
        <w:t> </w:t>
      </w:r>
      <w:r>
        <w:rPr>
          <w:rFonts w:ascii="Times New Roman" w:hAnsi="Times New Roman" w:cs="Times New Roman"/>
          <w:sz w:val="28"/>
          <w:szCs w:val="28"/>
        </w:rPr>
        <w:t>gada periodā</w:t>
      </w:r>
      <w:r w:rsidRPr="00B61E57">
        <w:rPr>
          <w:rFonts w:ascii="Times New Roman" w:hAnsi="Times New Roman" w:cs="Times New Roman"/>
          <w:sz w:val="28"/>
          <w:szCs w:val="28"/>
        </w:rPr>
        <w:t>.</w:t>
      </w:r>
    </w:p>
    <w:p w:rsidR="00B83171" w:rsidRPr="00B61E57" w:rsidRDefault="00B61E57" w:rsidP="006A3C3F">
      <w:pPr>
        <w:pStyle w:val="ListParagraph"/>
        <w:numPr>
          <w:ilvl w:val="0"/>
          <w:numId w:val="16"/>
        </w:numPr>
        <w:spacing w:after="0" w:line="240" w:lineRule="auto"/>
        <w:ind w:left="0" w:hanging="357"/>
        <w:jc w:val="both"/>
        <w:rPr>
          <w:rFonts w:ascii="Times New Roman" w:hAnsi="Times New Roman" w:cs="Times New Roman"/>
          <w:sz w:val="28"/>
          <w:szCs w:val="28"/>
        </w:rPr>
      </w:pPr>
      <w:r w:rsidRPr="00B61E57">
        <w:rPr>
          <w:rFonts w:ascii="Times New Roman" w:hAnsi="Times New Roman" w:cs="Times New Roman"/>
          <w:sz w:val="28"/>
          <w:szCs w:val="28"/>
        </w:rPr>
        <w:t xml:space="preserve">Mērķis enerģijas ietaupījumam - </w:t>
      </w:r>
      <w:r w:rsidR="00B83171" w:rsidRPr="00B61E57">
        <w:rPr>
          <w:rFonts w:ascii="Times New Roman" w:hAnsi="Times New Roman" w:cs="Times New Roman"/>
          <w:sz w:val="28"/>
          <w:szCs w:val="28"/>
        </w:rPr>
        <w:t>obligātais enerģijas ietaupījumu mērķis</w:t>
      </w:r>
      <w:r w:rsidR="00BB0C7F">
        <w:rPr>
          <w:rFonts w:ascii="Times New Roman" w:hAnsi="Times New Roman" w:cs="Times New Roman"/>
          <w:sz w:val="28"/>
          <w:szCs w:val="28"/>
        </w:rPr>
        <w:t xml:space="preserve"> </w:t>
      </w:r>
      <w:r w:rsidRPr="00B61E57">
        <w:rPr>
          <w:rFonts w:ascii="Times New Roman" w:hAnsi="Times New Roman" w:cs="Times New Roman"/>
          <w:sz w:val="28"/>
          <w:szCs w:val="28"/>
        </w:rPr>
        <w:t>1,5</w:t>
      </w:r>
      <w:r w:rsidR="00A66210">
        <w:rPr>
          <w:rFonts w:ascii="Times New Roman" w:hAnsi="Times New Roman" w:cs="Times New Roman"/>
          <w:sz w:val="28"/>
          <w:szCs w:val="28"/>
        </w:rPr>
        <w:t> </w:t>
      </w:r>
      <w:r w:rsidRPr="00B61E57">
        <w:rPr>
          <w:rFonts w:ascii="Times New Roman" w:hAnsi="Times New Roman" w:cs="Times New Roman"/>
          <w:sz w:val="28"/>
          <w:szCs w:val="28"/>
        </w:rPr>
        <w:t>% apjomā no gala</w:t>
      </w:r>
      <w:r w:rsidR="00EF0F70">
        <w:rPr>
          <w:rFonts w:ascii="Times New Roman" w:hAnsi="Times New Roman" w:cs="Times New Roman"/>
          <w:sz w:val="28"/>
          <w:szCs w:val="28"/>
        </w:rPr>
        <w:t>lietotājiem</w:t>
      </w:r>
      <w:r w:rsidRPr="00B61E57">
        <w:rPr>
          <w:rFonts w:ascii="Times New Roman" w:hAnsi="Times New Roman" w:cs="Times New Roman"/>
          <w:sz w:val="28"/>
          <w:szCs w:val="28"/>
        </w:rPr>
        <w:t xml:space="preserve"> piegādātās enerģijas - </w:t>
      </w:r>
      <w:r w:rsidR="006A3C3F" w:rsidRPr="00174A70">
        <w:rPr>
          <w:rFonts w:ascii="Times New Roman" w:hAnsi="Times New Roman" w:cs="Times New Roman"/>
          <w:sz w:val="28"/>
          <w:szCs w:val="28"/>
        </w:rPr>
        <w:t>0,2</w:t>
      </w:r>
      <w:r w:rsidR="00C4398C" w:rsidRPr="00174A70">
        <w:rPr>
          <w:rFonts w:ascii="Times New Roman" w:hAnsi="Times New Roman" w:cs="Times New Roman"/>
          <w:sz w:val="28"/>
          <w:szCs w:val="28"/>
        </w:rPr>
        <w:t xml:space="preserve">13 </w:t>
      </w:r>
      <w:proofErr w:type="spellStart"/>
      <w:r w:rsidR="00C4398C" w:rsidRPr="00174A70">
        <w:rPr>
          <w:rFonts w:ascii="Times New Roman" w:hAnsi="Times New Roman" w:cs="Times New Roman"/>
          <w:sz w:val="28"/>
          <w:szCs w:val="28"/>
        </w:rPr>
        <w:t>Mtoe</w:t>
      </w:r>
      <w:proofErr w:type="spellEnd"/>
      <w:r w:rsidR="00C4398C" w:rsidRPr="00174A70">
        <w:rPr>
          <w:rFonts w:ascii="Times New Roman" w:hAnsi="Times New Roman" w:cs="Times New Roman"/>
          <w:sz w:val="28"/>
          <w:szCs w:val="28"/>
        </w:rPr>
        <w:t xml:space="preserve"> (8</w:t>
      </w:r>
      <w:r w:rsidR="006A3C3F" w:rsidRPr="00174A70">
        <w:rPr>
          <w:rFonts w:ascii="Times New Roman" w:hAnsi="Times New Roman" w:cs="Times New Roman"/>
          <w:sz w:val="28"/>
          <w:szCs w:val="28"/>
        </w:rPr>
        <w:t>,9</w:t>
      </w:r>
      <w:r w:rsidR="00B83171" w:rsidRPr="00174A70">
        <w:rPr>
          <w:rFonts w:ascii="Times New Roman" w:hAnsi="Times New Roman" w:cs="Times New Roman"/>
          <w:sz w:val="28"/>
          <w:szCs w:val="28"/>
        </w:rPr>
        <w:t xml:space="preserve"> PJ)</w:t>
      </w:r>
      <w:r w:rsidRPr="00174A70">
        <w:rPr>
          <w:rFonts w:ascii="Times New Roman" w:hAnsi="Times New Roman" w:cs="Times New Roman"/>
          <w:sz w:val="28"/>
          <w:szCs w:val="28"/>
        </w:rPr>
        <w:t>.</w:t>
      </w:r>
    </w:p>
    <w:p w:rsidR="003C6BC1" w:rsidRPr="00D05F74" w:rsidRDefault="00B61E57" w:rsidP="00D05F74">
      <w:pPr>
        <w:spacing w:after="240" w:line="240" w:lineRule="auto"/>
        <w:ind w:firstLine="720"/>
        <w:jc w:val="both"/>
        <w:rPr>
          <w:rFonts w:ascii="Times New Roman" w:eastAsia="Times New Roman" w:hAnsi="Times New Roman"/>
          <w:color w:val="000000"/>
          <w:sz w:val="28"/>
          <w:szCs w:val="28"/>
          <w:lang w:eastAsia="lv-LV"/>
        </w:rPr>
      </w:pPr>
      <w:r>
        <w:rPr>
          <w:rFonts w:ascii="Times New Roman" w:hAnsi="Times New Roman" w:cs="Times New Roman"/>
          <w:sz w:val="28"/>
          <w:szCs w:val="28"/>
        </w:rPr>
        <w:t xml:space="preserve">Kopējā valsts </w:t>
      </w:r>
      <w:r w:rsidR="008E5EDF">
        <w:rPr>
          <w:rFonts w:ascii="Times New Roman" w:hAnsi="Times New Roman" w:cs="Times New Roman"/>
          <w:sz w:val="28"/>
          <w:szCs w:val="28"/>
        </w:rPr>
        <w:t xml:space="preserve">indikatīvā energoefektivitātes </w:t>
      </w:r>
      <w:r>
        <w:rPr>
          <w:rFonts w:ascii="Times New Roman" w:hAnsi="Times New Roman" w:cs="Times New Roman"/>
          <w:sz w:val="28"/>
          <w:szCs w:val="28"/>
        </w:rPr>
        <w:t xml:space="preserve">mērķa sasniegšanas </w:t>
      </w:r>
      <w:r w:rsidR="00007CCA">
        <w:rPr>
          <w:rFonts w:ascii="Times New Roman" w:hAnsi="Times New Roman" w:cs="Times New Roman"/>
          <w:sz w:val="28"/>
          <w:szCs w:val="28"/>
        </w:rPr>
        <w:t xml:space="preserve">pasākumi un to finansēšanas risinājumi nav šīs </w:t>
      </w:r>
      <w:r w:rsidR="005922CF">
        <w:rPr>
          <w:rFonts w:ascii="Times New Roman" w:hAnsi="Times New Roman" w:cs="Times New Roman"/>
          <w:sz w:val="28"/>
          <w:szCs w:val="28"/>
        </w:rPr>
        <w:t>K</w:t>
      </w:r>
      <w:r w:rsidR="00007CCA">
        <w:rPr>
          <w:rFonts w:ascii="Times New Roman" w:hAnsi="Times New Roman" w:cs="Times New Roman"/>
          <w:sz w:val="28"/>
          <w:szCs w:val="28"/>
        </w:rPr>
        <w:t xml:space="preserve">oncepcijas priekšmets un tiks noteikti </w:t>
      </w:r>
      <w:r w:rsidR="00007CCA" w:rsidRPr="00007CCA">
        <w:rPr>
          <w:rFonts w:ascii="Times New Roman" w:hAnsi="Times New Roman" w:cs="Times New Roman"/>
          <w:sz w:val="28"/>
          <w:szCs w:val="28"/>
        </w:rPr>
        <w:t>valsts energoefektivitātes rīcības plān</w:t>
      </w:r>
      <w:r w:rsidR="00007CCA">
        <w:rPr>
          <w:rFonts w:ascii="Times New Roman" w:hAnsi="Times New Roman" w:cs="Times New Roman"/>
          <w:sz w:val="28"/>
          <w:szCs w:val="28"/>
        </w:rPr>
        <w:t>ā, kurš saskaņā ar direktīvas prasībām jāiesniedz Eiropas Komisijā</w:t>
      </w:r>
      <w:r w:rsidR="00F22D4D">
        <w:rPr>
          <w:rFonts w:ascii="Times New Roman" w:hAnsi="Times New Roman" w:cs="Times New Roman"/>
          <w:sz w:val="28"/>
          <w:szCs w:val="28"/>
        </w:rPr>
        <w:t xml:space="preserve"> (turpmāk – EK)</w:t>
      </w:r>
      <w:r w:rsidR="00007CCA">
        <w:rPr>
          <w:rFonts w:ascii="Times New Roman" w:hAnsi="Times New Roman" w:cs="Times New Roman"/>
          <w:sz w:val="28"/>
          <w:szCs w:val="28"/>
        </w:rPr>
        <w:t xml:space="preserve"> līdz 2014.</w:t>
      </w:r>
      <w:r w:rsidR="00A66210">
        <w:rPr>
          <w:rFonts w:ascii="Times New Roman" w:hAnsi="Times New Roman" w:cs="Times New Roman"/>
          <w:sz w:val="28"/>
          <w:szCs w:val="28"/>
        </w:rPr>
        <w:t> </w:t>
      </w:r>
      <w:r w:rsidR="00007CCA">
        <w:rPr>
          <w:rFonts w:ascii="Times New Roman" w:hAnsi="Times New Roman" w:cs="Times New Roman"/>
          <w:sz w:val="28"/>
          <w:szCs w:val="28"/>
        </w:rPr>
        <w:t>gada 30.</w:t>
      </w:r>
      <w:r w:rsidR="00A66210">
        <w:rPr>
          <w:rFonts w:ascii="Times New Roman" w:hAnsi="Times New Roman" w:cs="Times New Roman"/>
          <w:sz w:val="28"/>
          <w:szCs w:val="28"/>
        </w:rPr>
        <w:t> </w:t>
      </w:r>
      <w:r w:rsidR="00007CCA">
        <w:rPr>
          <w:rFonts w:ascii="Times New Roman" w:hAnsi="Times New Roman" w:cs="Times New Roman"/>
          <w:sz w:val="28"/>
          <w:szCs w:val="28"/>
        </w:rPr>
        <w:t xml:space="preserve">aprīlim. </w:t>
      </w:r>
      <w:r w:rsidR="005A12A6">
        <w:rPr>
          <w:rFonts w:ascii="Times New Roman" w:hAnsi="Times New Roman" w:cs="Times New Roman"/>
          <w:sz w:val="28"/>
          <w:szCs w:val="28"/>
        </w:rPr>
        <w:t>Obligātā ietaupījuma mērķa</w:t>
      </w:r>
      <w:r w:rsidR="00FE5A4F" w:rsidRPr="00B83171">
        <w:rPr>
          <w:rFonts w:ascii="Times New Roman" w:hAnsi="Times New Roman" w:cs="Times New Roman"/>
          <w:sz w:val="28"/>
          <w:szCs w:val="28"/>
        </w:rPr>
        <w:t xml:space="preserve"> sasniegšana</w:t>
      </w:r>
      <w:r w:rsidR="005A12A6">
        <w:rPr>
          <w:rFonts w:ascii="Times New Roman" w:hAnsi="Times New Roman" w:cs="Times New Roman"/>
          <w:sz w:val="28"/>
          <w:szCs w:val="28"/>
        </w:rPr>
        <w:t>i nepieciešamās investīcijas var sasniegt</w:t>
      </w:r>
      <w:r w:rsidR="00D05F74">
        <w:rPr>
          <w:rFonts w:ascii="Times New Roman" w:hAnsi="Times New Roman" w:cs="Times New Roman"/>
          <w:sz w:val="28"/>
          <w:szCs w:val="28"/>
        </w:rPr>
        <w:t xml:space="preserve"> </w:t>
      </w:r>
      <w:r w:rsidR="00223245" w:rsidRPr="00FF2FAC">
        <w:rPr>
          <w:rFonts w:ascii="Times New Roman" w:eastAsia="Times New Roman" w:hAnsi="Times New Roman"/>
          <w:color w:val="000000"/>
          <w:sz w:val="28"/>
          <w:szCs w:val="28"/>
          <w:lang w:eastAsia="lv-LV"/>
        </w:rPr>
        <w:t>1,</w:t>
      </w:r>
      <w:r w:rsidR="00223245">
        <w:rPr>
          <w:rFonts w:ascii="Times New Roman" w:eastAsia="Times New Roman" w:hAnsi="Times New Roman"/>
          <w:color w:val="000000"/>
          <w:sz w:val="28"/>
          <w:szCs w:val="28"/>
          <w:lang w:eastAsia="lv-LV"/>
        </w:rPr>
        <w:t>48</w:t>
      </w:r>
      <w:r w:rsidR="00223245" w:rsidRPr="00FF2FAC">
        <w:rPr>
          <w:rFonts w:ascii="Times New Roman" w:eastAsia="Times New Roman" w:hAnsi="Times New Roman"/>
          <w:color w:val="000000"/>
          <w:sz w:val="28"/>
          <w:szCs w:val="28"/>
          <w:lang w:eastAsia="lv-LV"/>
        </w:rPr>
        <w:t xml:space="preserve"> miljardus LVL</w:t>
      </w:r>
      <w:r w:rsidR="00223245">
        <w:rPr>
          <w:rFonts w:ascii="Times New Roman" w:eastAsia="Times New Roman" w:hAnsi="Times New Roman"/>
          <w:color w:val="000000"/>
          <w:sz w:val="28"/>
          <w:szCs w:val="28"/>
          <w:lang w:eastAsia="lv-LV"/>
        </w:rPr>
        <w:t xml:space="preserve"> (2 105 850 280 EUR)</w:t>
      </w:r>
      <w:r w:rsidR="00FE5A4F" w:rsidRPr="00D05F74">
        <w:rPr>
          <w:rFonts w:ascii="Times New Roman" w:hAnsi="Times New Roman" w:cs="Times New Roman"/>
          <w:sz w:val="28"/>
          <w:szCs w:val="28"/>
        </w:rPr>
        <w:t>.</w:t>
      </w:r>
      <w:r>
        <w:rPr>
          <w:rFonts w:ascii="Times New Roman" w:hAnsi="Times New Roman" w:cs="Times New Roman"/>
          <w:sz w:val="28"/>
          <w:szCs w:val="28"/>
        </w:rPr>
        <w:t xml:space="preserve"> </w:t>
      </w:r>
      <w:r w:rsidR="00C075E8">
        <w:rPr>
          <w:rFonts w:ascii="Times New Roman" w:hAnsi="Times New Roman" w:cs="Times New Roman"/>
          <w:sz w:val="28"/>
          <w:szCs w:val="28"/>
        </w:rPr>
        <w:t>Lai gan Direktīva 2012/27/EK nosaka obligāti ieviešamas prasības un mērķus tikai valsts līmenī (attiecībā uz centrāl</w:t>
      </w:r>
      <w:r w:rsidR="0055202F">
        <w:rPr>
          <w:rFonts w:ascii="Times New Roman" w:hAnsi="Times New Roman" w:cs="Times New Roman"/>
          <w:sz w:val="28"/>
          <w:szCs w:val="28"/>
        </w:rPr>
        <w:t>ās  valdības rīcību</w:t>
      </w:r>
      <w:r w:rsidR="00C075E8">
        <w:rPr>
          <w:rFonts w:ascii="Times New Roman" w:hAnsi="Times New Roman" w:cs="Times New Roman"/>
          <w:sz w:val="28"/>
          <w:szCs w:val="28"/>
        </w:rPr>
        <w:t xml:space="preserve"> un valsts līmeņa </w:t>
      </w:r>
      <w:r w:rsidR="0055202F">
        <w:rPr>
          <w:rFonts w:ascii="Times New Roman" w:hAnsi="Times New Roman" w:cs="Times New Roman"/>
          <w:sz w:val="28"/>
          <w:szCs w:val="28"/>
        </w:rPr>
        <w:t>enerģijas patēriņu</w:t>
      </w:r>
      <w:r w:rsidR="00C075E8">
        <w:rPr>
          <w:rFonts w:ascii="Times New Roman" w:hAnsi="Times New Roman" w:cs="Times New Roman"/>
          <w:sz w:val="28"/>
          <w:szCs w:val="28"/>
        </w:rPr>
        <w:t>), tomēr valsts energoefektivitātes mērķ</w:t>
      </w:r>
      <w:r w:rsidR="0055202F">
        <w:rPr>
          <w:rFonts w:ascii="Times New Roman" w:hAnsi="Times New Roman" w:cs="Times New Roman"/>
          <w:sz w:val="28"/>
          <w:szCs w:val="28"/>
        </w:rPr>
        <w:t>u</w:t>
      </w:r>
      <w:r w:rsidR="00C075E8">
        <w:rPr>
          <w:rFonts w:ascii="Times New Roman" w:hAnsi="Times New Roman" w:cs="Times New Roman"/>
          <w:sz w:val="28"/>
          <w:szCs w:val="28"/>
        </w:rPr>
        <w:t xml:space="preserve"> izpilde</w:t>
      </w:r>
      <w:r w:rsidR="00886C96">
        <w:rPr>
          <w:rFonts w:ascii="Times New Roman" w:hAnsi="Times New Roman" w:cs="Times New Roman"/>
          <w:sz w:val="28"/>
          <w:szCs w:val="28"/>
        </w:rPr>
        <w:t xml:space="preserve"> var tikt nodrošināta tikai ar konkrētās teritorijās, pašvaldībās, mājsaimniecībās un </w:t>
      </w:r>
      <w:r w:rsidR="002F7797">
        <w:rPr>
          <w:rFonts w:ascii="Times New Roman" w:hAnsi="Times New Roman" w:cs="Times New Roman"/>
          <w:sz w:val="28"/>
          <w:szCs w:val="28"/>
        </w:rPr>
        <w:t>uzņēmumos</w:t>
      </w:r>
      <w:r w:rsidR="00886C96">
        <w:rPr>
          <w:rFonts w:ascii="Times New Roman" w:hAnsi="Times New Roman" w:cs="Times New Roman"/>
          <w:sz w:val="28"/>
          <w:szCs w:val="28"/>
        </w:rPr>
        <w:t xml:space="preserve"> ieviestiem pasākumiem. Tāpēc atsevišķu </w:t>
      </w:r>
      <w:r w:rsidR="00886C96" w:rsidRPr="00886C96">
        <w:rPr>
          <w:rFonts w:ascii="Times New Roman" w:hAnsi="Times New Roman" w:cs="Times New Roman"/>
          <w:sz w:val="28"/>
          <w:szCs w:val="28"/>
        </w:rPr>
        <w:t xml:space="preserve">Koncepcijas risinājumu variantu izvērtējumā ir </w:t>
      </w:r>
      <w:r w:rsidR="00886C96">
        <w:rPr>
          <w:rFonts w:ascii="Times New Roman" w:hAnsi="Times New Roman" w:cs="Times New Roman"/>
          <w:sz w:val="28"/>
          <w:szCs w:val="28"/>
        </w:rPr>
        <w:t>minēti ar</w:t>
      </w:r>
      <w:r w:rsidR="00886C96" w:rsidRPr="00886C96">
        <w:rPr>
          <w:rFonts w:ascii="Times New Roman" w:hAnsi="Times New Roman" w:cs="Times New Roman"/>
          <w:sz w:val="28"/>
          <w:szCs w:val="28"/>
        </w:rPr>
        <w:t xml:space="preserve"> pašvaldībām saistīti apsvērumi. </w:t>
      </w:r>
      <w:r w:rsidR="003C6BC1" w:rsidRPr="003C6BC1">
        <w:rPr>
          <w:rFonts w:ascii="Times New Roman" w:hAnsi="Times New Roman" w:cs="Times New Roman"/>
          <w:sz w:val="28"/>
          <w:szCs w:val="28"/>
        </w:rPr>
        <w:t>ES fondu 2014.</w:t>
      </w:r>
      <w:r w:rsidR="0020272F">
        <w:rPr>
          <w:rFonts w:ascii="Times New Roman" w:hAnsi="Times New Roman" w:cs="Times New Roman"/>
          <w:sz w:val="28"/>
          <w:szCs w:val="28"/>
        </w:rPr>
        <w:t> </w:t>
      </w:r>
      <w:r w:rsidR="003C6BC1" w:rsidRPr="003C6BC1">
        <w:rPr>
          <w:rFonts w:ascii="Times New Roman" w:hAnsi="Times New Roman" w:cs="Times New Roman"/>
          <w:sz w:val="28"/>
          <w:szCs w:val="28"/>
        </w:rPr>
        <w:t>-</w:t>
      </w:r>
      <w:r w:rsidR="0020272F">
        <w:rPr>
          <w:rFonts w:ascii="Times New Roman" w:hAnsi="Times New Roman" w:cs="Times New Roman"/>
          <w:sz w:val="28"/>
          <w:szCs w:val="28"/>
        </w:rPr>
        <w:t> </w:t>
      </w:r>
      <w:r w:rsidR="003C6BC1" w:rsidRPr="003C6BC1">
        <w:rPr>
          <w:rFonts w:ascii="Times New Roman" w:hAnsi="Times New Roman" w:cs="Times New Roman"/>
          <w:sz w:val="28"/>
          <w:szCs w:val="28"/>
        </w:rPr>
        <w:t>2020.</w:t>
      </w:r>
      <w:r w:rsidR="0020272F">
        <w:rPr>
          <w:rFonts w:ascii="Times New Roman" w:hAnsi="Times New Roman" w:cs="Times New Roman"/>
          <w:sz w:val="28"/>
          <w:szCs w:val="28"/>
        </w:rPr>
        <w:t> </w:t>
      </w:r>
      <w:r w:rsidR="003C6BC1" w:rsidRPr="003C6BC1">
        <w:rPr>
          <w:rFonts w:ascii="Times New Roman" w:hAnsi="Times New Roman" w:cs="Times New Roman"/>
          <w:sz w:val="28"/>
          <w:szCs w:val="28"/>
        </w:rPr>
        <w:t>gada plānošanas perioda Darbības programmas 1. un 2.</w:t>
      </w:r>
      <w:r w:rsidR="003C6BC1">
        <w:rPr>
          <w:rFonts w:ascii="Times New Roman" w:hAnsi="Times New Roman" w:cs="Times New Roman"/>
          <w:sz w:val="28"/>
          <w:szCs w:val="28"/>
        </w:rPr>
        <w:t xml:space="preserve"> </w:t>
      </w:r>
      <w:r w:rsidR="003C6BC1" w:rsidRPr="003C6BC1">
        <w:rPr>
          <w:rFonts w:ascii="Times New Roman" w:hAnsi="Times New Roman" w:cs="Times New Roman"/>
          <w:sz w:val="28"/>
          <w:szCs w:val="28"/>
        </w:rPr>
        <w:t>versijas projektā specifiskā atbalsta mērķa: „sekmēt energoefektivitātes paaugstināšanu un sekmēt atjaunojamo energoresursu izmantošanu publiskajās un dzīvojamās ēkās, lai nodrošinātu energoresursu ilgtspējīgu izmantošanu” ietvaros, pašvaldības ir iekļautas kā viena no indikatīvajām mērķa grupām. Darbības programmas papildinājuma 1.</w:t>
      </w:r>
      <w:r w:rsidR="003C6BC1">
        <w:rPr>
          <w:rFonts w:ascii="Times New Roman" w:hAnsi="Times New Roman" w:cs="Times New Roman"/>
          <w:sz w:val="28"/>
          <w:szCs w:val="28"/>
        </w:rPr>
        <w:t> </w:t>
      </w:r>
      <w:r w:rsidR="003C6BC1" w:rsidRPr="003C6BC1">
        <w:rPr>
          <w:rFonts w:ascii="Times New Roman" w:hAnsi="Times New Roman" w:cs="Times New Roman"/>
          <w:sz w:val="28"/>
          <w:szCs w:val="28"/>
        </w:rPr>
        <w:t>versijā pašvaldības ir iekļautas potenciālo finansējuma saņēmēju lokā.</w:t>
      </w:r>
    </w:p>
    <w:p w:rsidR="00AB5D7F" w:rsidRPr="003C6BC1" w:rsidRDefault="003C6BC1" w:rsidP="006A3C3F">
      <w:pPr>
        <w:spacing w:after="0" w:line="240" w:lineRule="auto"/>
        <w:jc w:val="both"/>
        <w:rPr>
          <w:rFonts w:ascii="Times New Roman" w:hAnsi="Times New Roman" w:cs="Times New Roman"/>
          <w:color w:val="1F497D"/>
          <w:sz w:val="24"/>
          <w:szCs w:val="24"/>
        </w:rPr>
      </w:pPr>
      <w:r w:rsidRPr="003C6BC1">
        <w:rPr>
          <w:rFonts w:ascii="Times New Roman" w:hAnsi="Times New Roman" w:cs="Times New Roman"/>
          <w:sz w:val="28"/>
          <w:szCs w:val="28"/>
        </w:rPr>
        <w:tab/>
      </w:r>
      <w:r w:rsidR="00AB5D7F" w:rsidRPr="00E42D3D">
        <w:rPr>
          <w:rFonts w:ascii="Times New Roman" w:hAnsi="Times New Roman" w:cs="Times New Roman"/>
          <w:sz w:val="28"/>
          <w:szCs w:val="28"/>
        </w:rPr>
        <w:t>Vienlaicīgi jāatzīmē, ka šie risinājumu varianti: centrālo valdības ēku renovācija valsts energoefektivitātes fonda izveide</w:t>
      </w:r>
      <w:r w:rsidR="00234F25">
        <w:rPr>
          <w:rFonts w:ascii="Times New Roman" w:hAnsi="Times New Roman" w:cs="Times New Roman"/>
          <w:sz w:val="28"/>
          <w:szCs w:val="28"/>
        </w:rPr>
        <w:t xml:space="preserve"> </w:t>
      </w:r>
      <w:proofErr w:type="spellStart"/>
      <w:r w:rsidR="00234F25">
        <w:rPr>
          <w:rFonts w:ascii="Times New Roman" w:hAnsi="Times New Roman" w:cs="Times New Roman"/>
          <w:sz w:val="28"/>
          <w:szCs w:val="28"/>
        </w:rPr>
        <w:t>t.sk</w:t>
      </w:r>
      <w:proofErr w:type="spellEnd"/>
      <w:r w:rsidR="00234F25">
        <w:rPr>
          <w:rFonts w:ascii="Times New Roman" w:hAnsi="Times New Roman" w:cs="Times New Roman"/>
          <w:sz w:val="28"/>
          <w:szCs w:val="28"/>
        </w:rPr>
        <w:t>., rotācijas fonda izveide</w:t>
      </w:r>
      <w:r w:rsidR="00AB5D7F" w:rsidRPr="00E42D3D">
        <w:rPr>
          <w:rFonts w:ascii="Times New Roman" w:hAnsi="Times New Roman" w:cs="Times New Roman"/>
          <w:sz w:val="28"/>
          <w:szCs w:val="28"/>
        </w:rPr>
        <w:t>, atbalsts ražojošiem un pakalpojumus sniedzošajiem uzņēmumiem energoefektivitātes uzlabošanai (piem</w:t>
      </w:r>
      <w:r w:rsidR="00D05F74">
        <w:rPr>
          <w:rFonts w:ascii="Times New Roman" w:hAnsi="Times New Roman" w:cs="Times New Roman"/>
          <w:sz w:val="28"/>
          <w:szCs w:val="28"/>
        </w:rPr>
        <w:t>ēram</w:t>
      </w:r>
      <w:r w:rsidR="00AB5D7F" w:rsidRPr="00E42D3D">
        <w:rPr>
          <w:rFonts w:ascii="Times New Roman" w:hAnsi="Times New Roman" w:cs="Times New Roman"/>
          <w:sz w:val="28"/>
          <w:szCs w:val="28"/>
        </w:rPr>
        <w:t>, finansējums siltumtrašu uzlabošanai)</w:t>
      </w:r>
      <w:r w:rsidR="00D05F74">
        <w:rPr>
          <w:rFonts w:ascii="Times New Roman" w:hAnsi="Times New Roman" w:cs="Times New Roman"/>
          <w:sz w:val="28"/>
          <w:szCs w:val="28"/>
        </w:rPr>
        <w:t xml:space="preserve"> </w:t>
      </w:r>
      <w:r w:rsidR="00AB5D7F" w:rsidRPr="00E42D3D">
        <w:rPr>
          <w:rFonts w:ascii="Times New Roman" w:hAnsi="Times New Roman" w:cs="Times New Roman"/>
          <w:sz w:val="28"/>
          <w:szCs w:val="28"/>
        </w:rPr>
        <w:t>papildus būtu vērtējami valsts atbalsta kontekstā, un, izstrādājot attiecīgos normatīvos aktus, būtu jāievēro komercdarbības atbalsta kontroles normas.</w:t>
      </w:r>
    </w:p>
    <w:p w:rsidR="0075575D" w:rsidRPr="00B83171" w:rsidRDefault="00007CCA" w:rsidP="006A3C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Saistībā ar risinājumiem, kuri attiecas uz šo koncepciju, novērtēts šāds finansējuma apjoms: </w:t>
      </w:r>
    </w:p>
    <w:p w:rsidR="0075575D" w:rsidRDefault="00836303" w:rsidP="006A3C3F">
      <w:pPr>
        <w:spacing w:after="0" w:line="240" w:lineRule="auto"/>
        <w:ind w:firstLine="720"/>
        <w:jc w:val="both"/>
        <w:rPr>
          <w:rFonts w:ascii="Times New Roman" w:hAnsi="Times New Roman" w:cs="Times New Roman"/>
          <w:sz w:val="28"/>
          <w:szCs w:val="28"/>
        </w:rPr>
      </w:pPr>
      <w:r w:rsidRPr="00576A0B">
        <w:rPr>
          <w:rFonts w:ascii="Times New Roman" w:hAnsi="Times New Roman" w:cs="Times New Roman"/>
          <w:sz w:val="28"/>
          <w:szCs w:val="28"/>
        </w:rPr>
        <w:t xml:space="preserve">Nacionāla līmeņa vidēja termiņa plānošanas dokumentā </w:t>
      </w:r>
      <w:r w:rsidRPr="00576A0B">
        <w:rPr>
          <w:rFonts w:ascii="Times New Roman" w:eastAsiaTheme="majorEastAsia" w:hAnsi="Times New Roman" w:cs="Times New Roman"/>
          <w:b/>
          <w:bCs/>
          <w:sz w:val="28"/>
          <w:szCs w:val="28"/>
        </w:rPr>
        <w:t xml:space="preserve">„Nacionālais attīstības plāns 2014. – 2020. gadam” </w:t>
      </w:r>
      <w:r w:rsidRPr="00576A0B">
        <w:rPr>
          <w:rFonts w:ascii="Times New Roman" w:eastAsiaTheme="majorEastAsia" w:hAnsi="Times New Roman" w:cs="Times New Roman"/>
          <w:bCs/>
          <w:sz w:val="28"/>
          <w:szCs w:val="28"/>
        </w:rPr>
        <w:t>(turpmāk – NAP2020)</w:t>
      </w:r>
      <w:r w:rsidRPr="00576A0B">
        <w:rPr>
          <w:rFonts w:ascii="Times New Roman" w:eastAsiaTheme="majorEastAsia" w:hAnsi="Times New Roman" w:cs="Times New Roman"/>
          <w:b/>
          <w:bCs/>
          <w:sz w:val="28"/>
          <w:szCs w:val="28"/>
        </w:rPr>
        <w:t xml:space="preserve"> </w:t>
      </w:r>
      <w:r w:rsidR="008E5EDF" w:rsidRPr="00576A0B">
        <w:rPr>
          <w:rFonts w:ascii="Times New Roman" w:eastAsiaTheme="majorEastAsia" w:hAnsi="Times New Roman" w:cs="Times New Roman"/>
          <w:bCs/>
          <w:sz w:val="28"/>
          <w:szCs w:val="28"/>
        </w:rPr>
        <w:t>minētie</w:t>
      </w:r>
      <w:r w:rsidR="00145E60" w:rsidRPr="00576A0B">
        <w:rPr>
          <w:rFonts w:ascii="Times New Roman" w:hAnsi="Times New Roman" w:cs="Times New Roman"/>
          <w:sz w:val="28"/>
          <w:szCs w:val="28"/>
        </w:rPr>
        <w:t xml:space="preserve"> ēku energoefektivitātes pasākumi ar kopējo finansējumu </w:t>
      </w:r>
      <w:r w:rsidR="0075575D" w:rsidRPr="00576A0B">
        <w:rPr>
          <w:rFonts w:ascii="Times New Roman" w:hAnsi="Times New Roman" w:cs="Times New Roman"/>
          <w:sz w:val="28"/>
          <w:szCs w:val="28"/>
        </w:rPr>
        <w:t xml:space="preserve"> 320,8 </w:t>
      </w:r>
      <w:proofErr w:type="spellStart"/>
      <w:r w:rsidR="0075575D" w:rsidRPr="00576A0B">
        <w:rPr>
          <w:rFonts w:ascii="Times New Roman" w:hAnsi="Times New Roman" w:cs="Times New Roman"/>
          <w:sz w:val="28"/>
          <w:szCs w:val="28"/>
        </w:rPr>
        <w:t>milj</w:t>
      </w:r>
      <w:proofErr w:type="spellEnd"/>
      <w:r w:rsidR="0075575D" w:rsidRPr="00576A0B">
        <w:rPr>
          <w:rFonts w:ascii="Times New Roman" w:hAnsi="Times New Roman" w:cs="Times New Roman"/>
          <w:sz w:val="28"/>
          <w:szCs w:val="28"/>
        </w:rPr>
        <w:t>.</w:t>
      </w:r>
      <w:r w:rsidR="00A66210" w:rsidRPr="00576A0B">
        <w:rPr>
          <w:rFonts w:ascii="Times New Roman" w:hAnsi="Times New Roman" w:cs="Times New Roman"/>
          <w:sz w:val="28"/>
          <w:szCs w:val="28"/>
        </w:rPr>
        <w:t xml:space="preserve"> </w:t>
      </w:r>
      <w:r w:rsidR="0075575D" w:rsidRPr="00576A0B">
        <w:rPr>
          <w:rFonts w:ascii="Times New Roman" w:hAnsi="Times New Roman" w:cs="Times New Roman"/>
          <w:sz w:val="28"/>
          <w:szCs w:val="28"/>
        </w:rPr>
        <w:t>LVL</w:t>
      </w:r>
      <w:r w:rsidR="00AB576C" w:rsidRPr="00576A0B">
        <w:rPr>
          <w:rFonts w:ascii="Times New Roman" w:hAnsi="Times New Roman" w:cs="Times New Roman"/>
          <w:sz w:val="28"/>
          <w:szCs w:val="28"/>
        </w:rPr>
        <w:t xml:space="preserve"> (456</w:t>
      </w:r>
      <w:r w:rsidR="004B5735" w:rsidRPr="00576A0B">
        <w:rPr>
          <w:rFonts w:ascii="Times New Roman" w:hAnsi="Times New Roman" w:cs="Times New Roman"/>
          <w:sz w:val="28"/>
          <w:szCs w:val="28"/>
        </w:rPr>
        <w:t> 457 276,85</w:t>
      </w:r>
      <w:r w:rsidR="00AB576C" w:rsidRPr="00576A0B">
        <w:rPr>
          <w:rFonts w:ascii="Times New Roman" w:hAnsi="Times New Roman" w:cs="Times New Roman"/>
          <w:sz w:val="28"/>
          <w:szCs w:val="28"/>
        </w:rPr>
        <w:t xml:space="preserve"> EUR)</w:t>
      </w:r>
      <w:r w:rsidR="00145E60" w:rsidRPr="00576A0B">
        <w:rPr>
          <w:rFonts w:ascii="Times New Roman" w:hAnsi="Times New Roman" w:cs="Times New Roman"/>
          <w:sz w:val="28"/>
          <w:szCs w:val="28"/>
        </w:rPr>
        <w:t xml:space="preserve">, </w:t>
      </w:r>
      <w:proofErr w:type="spellStart"/>
      <w:r w:rsidR="00145E60" w:rsidRPr="00576A0B">
        <w:rPr>
          <w:rFonts w:ascii="Times New Roman" w:hAnsi="Times New Roman" w:cs="Times New Roman"/>
          <w:sz w:val="28"/>
          <w:szCs w:val="28"/>
        </w:rPr>
        <w:t>siltumavotu</w:t>
      </w:r>
      <w:proofErr w:type="spellEnd"/>
      <w:r w:rsidR="00145E60" w:rsidRPr="00576A0B">
        <w:rPr>
          <w:rFonts w:ascii="Times New Roman" w:hAnsi="Times New Roman" w:cs="Times New Roman"/>
          <w:sz w:val="28"/>
          <w:szCs w:val="28"/>
        </w:rPr>
        <w:t xml:space="preserve"> un siltumtrašu energoefektivitātes uzlabo</w:t>
      </w:r>
      <w:r w:rsidR="00FE5A4F" w:rsidRPr="00576A0B">
        <w:rPr>
          <w:rFonts w:ascii="Times New Roman" w:hAnsi="Times New Roman" w:cs="Times New Roman"/>
          <w:sz w:val="28"/>
          <w:szCs w:val="28"/>
        </w:rPr>
        <w:t>š</w:t>
      </w:r>
      <w:r w:rsidR="00145E60" w:rsidRPr="00576A0B">
        <w:rPr>
          <w:rFonts w:ascii="Times New Roman" w:hAnsi="Times New Roman" w:cs="Times New Roman"/>
          <w:sz w:val="28"/>
          <w:szCs w:val="28"/>
        </w:rPr>
        <w:t>anas pasākum</w:t>
      </w:r>
      <w:r w:rsidR="00FE5A4F" w:rsidRPr="00576A0B">
        <w:rPr>
          <w:rFonts w:ascii="Times New Roman" w:hAnsi="Times New Roman" w:cs="Times New Roman"/>
          <w:sz w:val="28"/>
          <w:szCs w:val="28"/>
        </w:rPr>
        <w:t xml:space="preserve">i ar kopējo finansējumu </w:t>
      </w:r>
      <w:r w:rsidR="00145E60" w:rsidRPr="00576A0B">
        <w:rPr>
          <w:rFonts w:ascii="Times New Roman" w:hAnsi="Times New Roman" w:cs="Times New Roman"/>
          <w:sz w:val="28"/>
          <w:szCs w:val="28"/>
        </w:rPr>
        <w:t xml:space="preserve"> </w:t>
      </w:r>
      <w:r w:rsidR="00FE5A4F" w:rsidRPr="00576A0B">
        <w:rPr>
          <w:rFonts w:ascii="Times New Roman" w:hAnsi="Times New Roman" w:cs="Times New Roman"/>
          <w:sz w:val="28"/>
          <w:szCs w:val="28"/>
        </w:rPr>
        <w:t xml:space="preserve">149,8 </w:t>
      </w:r>
      <w:proofErr w:type="spellStart"/>
      <w:r w:rsidR="00FE5A4F" w:rsidRPr="00576A0B">
        <w:rPr>
          <w:rFonts w:ascii="Times New Roman" w:hAnsi="Times New Roman" w:cs="Times New Roman"/>
          <w:sz w:val="28"/>
          <w:szCs w:val="28"/>
        </w:rPr>
        <w:t>milj</w:t>
      </w:r>
      <w:proofErr w:type="spellEnd"/>
      <w:r w:rsidR="00FE5A4F" w:rsidRPr="00576A0B">
        <w:rPr>
          <w:rFonts w:ascii="Times New Roman" w:hAnsi="Times New Roman" w:cs="Times New Roman"/>
          <w:sz w:val="28"/>
          <w:szCs w:val="28"/>
        </w:rPr>
        <w:t>. LVL</w:t>
      </w:r>
      <w:r w:rsidR="004B5735" w:rsidRPr="00576A0B">
        <w:rPr>
          <w:rFonts w:ascii="Times New Roman" w:hAnsi="Times New Roman" w:cs="Times New Roman"/>
          <w:sz w:val="28"/>
          <w:szCs w:val="28"/>
        </w:rPr>
        <w:t xml:space="preserve"> (213 </w:t>
      </w:r>
      <w:r w:rsidR="00AB576C" w:rsidRPr="00576A0B">
        <w:rPr>
          <w:rFonts w:ascii="Times New Roman" w:hAnsi="Times New Roman" w:cs="Times New Roman"/>
          <w:sz w:val="28"/>
          <w:szCs w:val="28"/>
        </w:rPr>
        <w:t>1</w:t>
      </w:r>
      <w:r w:rsidR="004B5735" w:rsidRPr="00576A0B">
        <w:rPr>
          <w:rFonts w:ascii="Times New Roman" w:hAnsi="Times New Roman" w:cs="Times New Roman"/>
          <w:sz w:val="28"/>
          <w:szCs w:val="28"/>
        </w:rPr>
        <w:t xml:space="preserve">46 197,23 </w:t>
      </w:r>
      <w:r w:rsidR="00AB576C" w:rsidRPr="00576A0B">
        <w:rPr>
          <w:rFonts w:ascii="Times New Roman" w:hAnsi="Times New Roman" w:cs="Times New Roman"/>
          <w:sz w:val="28"/>
          <w:szCs w:val="28"/>
        </w:rPr>
        <w:t>EUR)</w:t>
      </w:r>
      <w:r w:rsidR="00FE5A4F" w:rsidRPr="00576A0B">
        <w:rPr>
          <w:rFonts w:ascii="Times New Roman" w:hAnsi="Times New Roman" w:cs="Times New Roman"/>
          <w:sz w:val="28"/>
          <w:szCs w:val="28"/>
        </w:rPr>
        <w:t>.</w:t>
      </w:r>
    </w:p>
    <w:p w:rsidR="00145E60" w:rsidRPr="00145E60" w:rsidRDefault="00145E60" w:rsidP="006A3C3F">
      <w:pPr>
        <w:spacing w:after="0" w:line="240" w:lineRule="auto"/>
        <w:ind w:firstLine="720"/>
        <w:jc w:val="both"/>
        <w:rPr>
          <w:rFonts w:ascii="Times New Roman" w:hAnsi="Times New Roman" w:cs="Times New Roman"/>
          <w:sz w:val="28"/>
          <w:szCs w:val="28"/>
        </w:rPr>
      </w:pPr>
      <w:r w:rsidRPr="00145E60">
        <w:rPr>
          <w:rFonts w:ascii="Times New Roman" w:hAnsi="Times New Roman" w:cs="Times New Roman"/>
          <w:sz w:val="28"/>
          <w:szCs w:val="28"/>
        </w:rPr>
        <w:t xml:space="preserve">Dotās koncepcijas papildu ietekme uz </w:t>
      </w:r>
      <w:r w:rsidR="00007CCA">
        <w:rPr>
          <w:rFonts w:ascii="Times New Roman" w:hAnsi="Times New Roman" w:cs="Times New Roman"/>
          <w:sz w:val="28"/>
          <w:szCs w:val="28"/>
        </w:rPr>
        <w:t>valsts budžetu</w:t>
      </w:r>
      <w:r w:rsidRPr="00145E60">
        <w:rPr>
          <w:rFonts w:ascii="Times New Roman" w:hAnsi="Times New Roman" w:cs="Times New Roman"/>
          <w:sz w:val="28"/>
          <w:szCs w:val="28"/>
        </w:rPr>
        <w:t xml:space="preserve"> ir šāda:</w:t>
      </w:r>
    </w:p>
    <w:p w:rsidR="00145E60" w:rsidRPr="00B83171" w:rsidRDefault="00D864D6" w:rsidP="0020272F">
      <w:pPr>
        <w:pStyle w:val="ListParagraph"/>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no 2014. gada </w:t>
      </w:r>
      <w:r w:rsidR="00145E60" w:rsidRPr="00B83171">
        <w:rPr>
          <w:rFonts w:ascii="Times New Roman" w:hAnsi="Times New Roman" w:cs="Times New Roman"/>
          <w:sz w:val="28"/>
          <w:szCs w:val="28"/>
        </w:rPr>
        <w:t>valsts budžet</w:t>
      </w:r>
      <w:r>
        <w:rPr>
          <w:rFonts w:ascii="Times New Roman" w:hAnsi="Times New Roman" w:cs="Times New Roman"/>
          <w:sz w:val="28"/>
          <w:szCs w:val="28"/>
        </w:rPr>
        <w:t>ā tiks</w:t>
      </w:r>
      <w:r w:rsidR="00145E60" w:rsidRPr="00B83171">
        <w:rPr>
          <w:rFonts w:ascii="Times New Roman" w:hAnsi="Times New Roman" w:cs="Times New Roman"/>
          <w:sz w:val="28"/>
          <w:szCs w:val="28"/>
        </w:rPr>
        <w:t xml:space="preserve"> </w:t>
      </w:r>
      <w:r w:rsidR="00B83171">
        <w:rPr>
          <w:rFonts w:ascii="Times New Roman" w:hAnsi="Times New Roman" w:cs="Times New Roman"/>
          <w:sz w:val="28"/>
          <w:szCs w:val="28"/>
        </w:rPr>
        <w:t>samazināti izdevumi</w:t>
      </w:r>
      <w:r>
        <w:rPr>
          <w:rFonts w:ascii="Times New Roman" w:hAnsi="Times New Roman" w:cs="Times New Roman"/>
          <w:sz w:val="28"/>
          <w:szCs w:val="28"/>
        </w:rPr>
        <w:t>, 2020. gadā sasniedzot</w:t>
      </w:r>
      <w:r w:rsidR="00B83171">
        <w:rPr>
          <w:rFonts w:ascii="Times New Roman" w:hAnsi="Times New Roman" w:cs="Times New Roman"/>
          <w:sz w:val="28"/>
          <w:szCs w:val="28"/>
        </w:rPr>
        <w:t xml:space="preserve"> </w:t>
      </w:r>
      <w:r w:rsidR="00145E60" w:rsidRPr="00B83171">
        <w:rPr>
          <w:rFonts w:ascii="Times New Roman" w:hAnsi="Times New Roman" w:cs="Times New Roman"/>
          <w:sz w:val="28"/>
          <w:szCs w:val="28"/>
        </w:rPr>
        <w:t>2,</w:t>
      </w:r>
      <w:r w:rsidR="00237474">
        <w:rPr>
          <w:rFonts w:ascii="Times New Roman" w:hAnsi="Times New Roman" w:cs="Times New Roman"/>
          <w:sz w:val="28"/>
          <w:szCs w:val="28"/>
        </w:rPr>
        <w:t>3</w:t>
      </w:r>
      <w:r w:rsidR="00145E60" w:rsidRPr="00B83171">
        <w:rPr>
          <w:rFonts w:ascii="Times New Roman" w:hAnsi="Times New Roman" w:cs="Times New Roman"/>
          <w:sz w:val="28"/>
          <w:szCs w:val="28"/>
        </w:rPr>
        <w:t xml:space="preserve"> </w:t>
      </w:r>
      <w:proofErr w:type="spellStart"/>
      <w:r w:rsidR="00145E60" w:rsidRPr="00B83171">
        <w:rPr>
          <w:rFonts w:ascii="Times New Roman" w:hAnsi="Times New Roman" w:cs="Times New Roman"/>
          <w:sz w:val="28"/>
          <w:szCs w:val="28"/>
        </w:rPr>
        <w:t>milj</w:t>
      </w:r>
      <w:proofErr w:type="spellEnd"/>
      <w:r w:rsidR="00AB576C">
        <w:rPr>
          <w:rFonts w:ascii="Times New Roman" w:hAnsi="Times New Roman" w:cs="Times New Roman"/>
          <w:sz w:val="28"/>
          <w:szCs w:val="28"/>
        </w:rPr>
        <w:t>.</w:t>
      </w:r>
      <w:r w:rsidR="00145E60" w:rsidRPr="00B83171">
        <w:rPr>
          <w:rFonts w:ascii="Times New Roman" w:hAnsi="Times New Roman" w:cs="Times New Roman"/>
          <w:sz w:val="28"/>
          <w:szCs w:val="28"/>
        </w:rPr>
        <w:t xml:space="preserve"> LVL/gadā</w:t>
      </w:r>
      <w:r w:rsidR="004B5735">
        <w:rPr>
          <w:rFonts w:ascii="Times New Roman" w:hAnsi="Times New Roman" w:cs="Times New Roman"/>
          <w:sz w:val="28"/>
          <w:szCs w:val="28"/>
        </w:rPr>
        <w:t xml:space="preserve"> (3 272 605,16</w:t>
      </w:r>
      <w:r w:rsidR="00AB576C">
        <w:rPr>
          <w:rFonts w:ascii="Times New Roman" w:hAnsi="Times New Roman" w:cs="Times New Roman"/>
          <w:sz w:val="28"/>
          <w:szCs w:val="28"/>
        </w:rPr>
        <w:t xml:space="preserve"> EUR/gadā)</w:t>
      </w:r>
      <w:r w:rsidR="00145E60" w:rsidRPr="00B83171">
        <w:rPr>
          <w:rFonts w:ascii="Times New Roman" w:hAnsi="Times New Roman" w:cs="Times New Roman"/>
          <w:sz w:val="28"/>
          <w:szCs w:val="28"/>
        </w:rPr>
        <w:t xml:space="preserve"> (</w:t>
      </w:r>
      <w:r w:rsidR="00B83171">
        <w:rPr>
          <w:rFonts w:ascii="Times New Roman" w:hAnsi="Times New Roman" w:cs="Times New Roman"/>
          <w:sz w:val="28"/>
          <w:szCs w:val="28"/>
        </w:rPr>
        <w:t xml:space="preserve">samazinājums </w:t>
      </w:r>
      <w:r w:rsidR="008E5EDF">
        <w:rPr>
          <w:rFonts w:ascii="Times New Roman" w:hAnsi="Times New Roman" w:cs="Times New Roman"/>
          <w:sz w:val="28"/>
          <w:szCs w:val="28"/>
        </w:rPr>
        <w:t xml:space="preserve">centrālās valdības </w:t>
      </w:r>
      <w:r w:rsidR="00145E60" w:rsidRPr="00B83171">
        <w:rPr>
          <w:rFonts w:ascii="Times New Roman" w:hAnsi="Times New Roman" w:cs="Times New Roman"/>
          <w:sz w:val="28"/>
          <w:szCs w:val="28"/>
        </w:rPr>
        <w:t xml:space="preserve"> ēku renovācijas rezultātā);</w:t>
      </w:r>
    </w:p>
    <w:p w:rsidR="00145E60" w:rsidRPr="00B83171" w:rsidRDefault="00145E60" w:rsidP="0020272F">
      <w:pPr>
        <w:pStyle w:val="ListParagraph"/>
        <w:numPr>
          <w:ilvl w:val="0"/>
          <w:numId w:val="17"/>
        </w:numPr>
        <w:spacing w:after="0" w:line="240" w:lineRule="auto"/>
        <w:ind w:left="0" w:firstLine="709"/>
        <w:jc w:val="both"/>
        <w:rPr>
          <w:rFonts w:ascii="Times New Roman" w:hAnsi="Times New Roman" w:cs="Times New Roman"/>
          <w:sz w:val="28"/>
          <w:szCs w:val="28"/>
        </w:rPr>
      </w:pPr>
      <w:r w:rsidRPr="00B83171">
        <w:rPr>
          <w:rFonts w:ascii="Times New Roman" w:hAnsi="Times New Roman" w:cs="Times New Roman"/>
          <w:sz w:val="28"/>
          <w:szCs w:val="28"/>
        </w:rPr>
        <w:lastRenderedPageBreak/>
        <w:t xml:space="preserve">valsts budžeta izdevumi </w:t>
      </w:r>
      <w:r w:rsidR="00B83171">
        <w:rPr>
          <w:rFonts w:ascii="Times New Roman" w:hAnsi="Times New Roman" w:cs="Times New Roman"/>
          <w:sz w:val="28"/>
          <w:szCs w:val="28"/>
        </w:rPr>
        <w:t xml:space="preserve">energoefektivitātes pienākumu shēmas </w:t>
      </w:r>
      <w:r w:rsidRPr="00B83171">
        <w:rPr>
          <w:rFonts w:ascii="Times New Roman" w:hAnsi="Times New Roman" w:cs="Times New Roman"/>
          <w:sz w:val="28"/>
          <w:szCs w:val="28"/>
        </w:rPr>
        <w:t xml:space="preserve"> administrēšanai </w:t>
      </w:r>
      <w:r w:rsidR="00725CED">
        <w:rPr>
          <w:rFonts w:ascii="Times New Roman" w:hAnsi="Times New Roman" w:cs="Times New Roman"/>
          <w:sz w:val="28"/>
          <w:szCs w:val="28"/>
        </w:rPr>
        <w:t>76</w:t>
      </w:r>
      <w:r w:rsidR="00237474">
        <w:rPr>
          <w:rFonts w:ascii="Times New Roman" w:hAnsi="Times New Roman" w:cs="Times New Roman"/>
          <w:sz w:val="28"/>
          <w:szCs w:val="28"/>
        </w:rPr>
        <w:t xml:space="preserve"> </w:t>
      </w:r>
      <w:r w:rsidR="00725CED">
        <w:rPr>
          <w:rFonts w:ascii="Times New Roman" w:hAnsi="Times New Roman" w:cs="Times New Roman"/>
          <w:sz w:val="28"/>
          <w:szCs w:val="28"/>
        </w:rPr>
        <w:t>834</w:t>
      </w:r>
      <w:r w:rsidRPr="00B83171">
        <w:rPr>
          <w:rFonts w:ascii="Times New Roman" w:hAnsi="Times New Roman" w:cs="Times New Roman"/>
          <w:sz w:val="28"/>
          <w:szCs w:val="28"/>
        </w:rPr>
        <w:t xml:space="preserve"> LVL/gadā</w:t>
      </w:r>
      <w:r w:rsidR="00AB576C">
        <w:rPr>
          <w:rFonts w:ascii="Times New Roman" w:hAnsi="Times New Roman" w:cs="Times New Roman"/>
          <w:sz w:val="28"/>
          <w:szCs w:val="28"/>
        </w:rPr>
        <w:t xml:space="preserve"> (1</w:t>
      </w:r>
      <w:r w:rsidR="00725CED">
        <w:rPr>
          <w:rFonts w:ascii="Times New Roman" w:hAnsi="Times New Roman" w:cs="Times New Roman"/>
          <w:sz w:val="28"/>
          <w:szCs w:val="28"/>
        </w:rPr>
        <w:t>09</w:t>
      </w:r>
      <w:r w:rsidR="004B5735">
        <w:rPr>
          <w:rFonts w:ascii="Times New Roman" w:hAnsi="Times New Roman" w:cs="Times New Roman"/>
          <w:sz w:val="28"/>
          <w:szCs w:val="28"/>
        </w:rPr>
        <w:t> </w:t>
      </w:r>
      <w:r w:rsidR="00725CED">
        <w:rPr>
          <w:rFonts w:ascii="Times New Roman" w:hAnsi="Times New Roman" w:cs="Times New Roman"/>
          <w:sz w:val="28"/>
          <w:szCs w:val="28"/>
        </w:rPr>
        <w:t>325</w:t>
      </w:r>
      <w:r w:rsidR="00AB576C">
        <w:rPr>
          <w:rFonts w:ascii="Times New Roman" w:hAnsi="Times New Roman" w:cs="Times New Roman"/>
          <w:sz w:val="28"/>
          <w:szCs w:val="28"/>
        </w:rPr>
        <w:t xml:space="preserve"> EUR/gadā)</w:t>
      </w:r>
      <w:r w:rsidRPr="00B83171">
        <w:rPr>
          <w:rFonts w:ascii="Times New Roman" w:hAnsi="Times New Roman" w:cs="Times New Roman"/>
          <w:sz w:val="28"/>
          <w:szCs w:val="28"/>
        </w:rPr>
        <w:t>, sākot ar 201</w:t>
      </w:r>
      <w:r w:rsidR="00237474">
        <w:rPr>
          <w:rFonts w:ascii="Times New Roman" w:hAnsi="Times New Roman" w:cs="Times New Roman"/>
          <w:sz w:val="28"/>
          <w:szCs w:val="28"/>
        </w:rPr>
        <w:t>4</w:t>
      </w:r>
      <w:r w:rsidRPr="00B83171">
        <w:rPr>
          <w:rFonts w:ascii="Times New Roman" w:hAnsi="Times New Roman" w:cs="Times New Roman"/>
          <w:sz w:val="28"/>
          <w:szCs w:val="28"/>
        </w:rPr>
        <w:t>.</w:t>
      </w:r>
      <w:r w:rsidR="00A66210">
        <w:rPr>
          <w:rFonts w:ascii="Times New Roman" w:hAnsi="Times New Roman" w:cs="Times New Roman"/>
          <w:sz w:val="28"/>
          <w:szCs w:val="28"/>
        </w:rPr>
        <w:t> </w:t>
      </w:r>
      <w:r w:rsidRPr="00B83171">
        <w:rPr>
          <w:rFonts w:ascii="Times New Roman" w:hAnsi="Times New Roman" w:cs="Times New Roman"/>
          <w:sz w:val="28"/>
          <w:szCs w:val="28"/>
        </w:rPr>
        <w:t>gadu;</w:t>
      </w:r>
    </w:p>
    <w:p w:rsidR="00145E60" w:rsidRPr="00B83171" w:rsidRDefault="00145E60" w:rsidP="0020272F">
      <w:pPr>
        <w:pStyle w:val="ListParagraph"/>
        <w:numPr>
          <w:ilvl w:val="0"/>
          <w:numId w:val="17"/>
        </w:numPr>
        <w:spacing w:after="0" w:line="240" w:lineRule="auto"/>
        <w:ind w:left="0" w:firstLine="709"/>
        <w:jc w:val="both"/>
        <w:rPr>
          <w:rFonts w:ascii="Times New Roman" w:hAnsi="Times New Roman" w:cs="Times New Roman"/>
          <w:sz w:val="28"/>
          <w:szCs w:val="28"/>
        </w:rPr>
      </w:pPr>
      <w:r w:rsidRPr="00B83171">
        <w:rPr>
          <w:rFonts w:ascii="Times New Roman" w:hAnsi="Times New Roman" w:cs="Times New Roman"/>
          <w:sz w:val="28"/>
          <w:szCs w:val="28"/>
        </w:rPr>
        <w:t>valsts budžeta izdevumi rūpniecisko energoauditu atbalstam 228 000 LVL</w:t>
      </w:r>
      <w:r w:rsidR="00AB576C">
        <w:rPr>
          <w:rFonts w:ascii="Times New Roman" w:hAnsi="Times New Roman" w:cs="Times New Roman"/>
          <w:sz w:val="28"/>
          <w:szCs w:val="28"/>
        </w:rPr>
        <w:t xml:space="preserve"> (324</w:t>
      </w:r>
      <w:r w:rsidR="004B5735">
        <w:rPr>
          <w:rFonts w:ascii="Times New Roman" w:hAnsi="Times New Roman" w:cs="Times New Roman"/>
          <w:sz w:val="28"/>
          <w:szCs w:val="28"/>
        </w:rPr>
        <w:t> 414,77</w:t>
      </w:r>
      <w:r w:rsidR="00AB576C">
        <w:rPr>
          <w:rFonts w:ascii="Times New Roman" w:hAnsi="Times New Roman" w:cs="Times New Roman"/>
          <w:sz w:val="28"/>
          <w:szCs w:val="28"/>
        </w:rPr>
        <w:t xml:space="preserve"> EUR)</w:t>
      </w:r>
      <w:r w:rsidRPr="00B83171">
        <w:rPr>
          <w:rFonts w:ascii="Times New Roman" w:hAnsi="Times New Roman" w:cs="Times New Roman"/>
          <w:sz w:val="28"/>
          <w:szCs w:val="28"/>
        </w:rPr>
        <w:t>, periodā no 201</w:t>
      </w:r>
      <w:r w:rsidR="005864CD">
        <w:rPr>
          <w:rFonts w:ascii="Times New Roman" w:hAnsi="Times New Roman" w:cs="Times New Roman"/>
          <w:sz w:val="28"/>
          <w:szCs w:val="28"/>
        </w:rPr>
        <w:t>7</w:t>
      </w:r>
      <w:r w:rsidRPr="00B83171">
        <w:rPr>
          <w:rFonts w:ascii="Times New Roman" w:hAnsi="Times New Roman" w:cs="Times New Roman"/>
          <w:sz w:val="28"/>
          <w:szCs w:val="28"/>
        </w:rPr>
        <w:t>.</w:t>
      </w:r>
      <w:r w:rsidR="00BC6D46">
        <w:rPr>
          <w:rFonts w:ascii="Times New Roman" w:hAnsi="Times New Roman" w:cs="Times New Roman"/>
          <w:sz w:val="28"/>
          <w:szCs w:val="28"/>
        </w:rPr>
        <w:t> </w:t>
      </w:r>
      <w:r w:rsidRPr="00B83171">
        <w:rPr>
          <w:rFonts w:ascii="Times New Roman" w:hAnsi="Times New Roman" w:cs="Times New Roman"/>
          <w:sz w:val="28"/>
          <w:szCs w:val="28"/>
        </w:rPr>
        <w:t>-</w:t>
      </w:r>
      <w:r w:rsidR="00BC6D46">
        <w:rPr>
          <w:rFonts w:ascii="Times New Roman" w:hAnsi="Times New Roman" w:cs="Times New Roman"/>
          <w:sz w:val="28"/>
          <w:szCs w:val="28"/>
        </w:rPr>
        <w:t> </w:t>
      </w:r>
      <w:r w:rsidRPr="00B83171">
        <w:rPr>
          <w:rFonts w:ascii="Times New Roman" w:hAnsi="Times New Roman" w:cs="Times New Roman"/>
          <w:sz w:val="28"/>
          <w:szCs w:val="28"/>
        </w:rPr>
        <w:t>2020.</w:t>
      </w:r>
      <w:r w:rsidR="00A66210">
        <w:rPr>
          <w:rFonts w:ascii="Times New Roman" w:hAnsi="Times New Roman" w:cs="Times New Roman"/>
          <w:sz w:val="28"/>
          <w:szCs w:val="28"/>
        </w:rPr>
        <w:t> </w:t>
      </w:r>
      <w:r w:rsidRPr="00B83171">
        <w:rPr>
          <w:rFonts w:ascii="Times New Roman" w:hAnsi="Times New Roman" w:cs="Times New Roman"/>
          <w:sz w:val="28"/>
          <w:szCs w:val="28"/>
        </w:rPr>
        <w:t>gadam.</w:t>
      </w:r>
    </w:p>
    <w:p w:rsidR="008D6A40" w:rsidRPr="008D6A40" w:rsidRDefault="007B36CA" w:rsidP="006A3C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E5A4F" w:rsidRPr="00FE5A4F">
        <w:rPr>
          <w:rFonts w:ascii="Times New Roman" w:hAnsi="Times New Roman" w:cs="Times New Roman"/>
          <w:sz w:val="28"/>
          <w:szCs w:val="28"/>
        </w:rPr>
        <w:t>Koncepcija neatstāj tiešu papildus ietekmi uz pašvaldību budžetiem.</w:t>
      </w:r>
      <w:r w:rsidR="000F46C0">
        <w:rPr>
          <w:rFonts w:ascii="Times New Roman" w:hAnsi="Times New Roman" w:cs="Times New Roman"/>
          <w:sz w:val="28"/>
          <w:szCs w:val="28"/>
        </w:rPr>
        <w:t xml:space="preserve"> Valsts energoefektivitātes pienākumu shēma var izraisīt enerģijas cenu pieaugumu</w:t>
      </w:r>
      <w:r w:rsidR="00237474">
        <w:rPr>
          <w:rFonts w:ascii="Times New Roman" w:hAnsi="Times New Roman" w:cs="Times New Roman"/>
          <w:sz w:val="28"/>
          <w:szCs w:val="28"/>
        </w:rPr>
        <w:t xml:space="preserve"> patērētājiem par 2</w:t>
      </w:r>
      <w:r w:rsidR="0020272F">
        <w:rPr>
          <w:rFonts w:ascii="Times New Roman" w:hAnsi="Times New Roman" w:cs="Times New Roman"/>
          <w:sz w:val="28"/>
          <w:szCs w:val="28"/>
        </w:rPr>
        <w:t> </w:t>
      </w:r>
      <w:r w:rsidR="005C2B39">
        <w:rPr>
          <w:rFonts w:ascii="Times New Roman" w:hAnsi="Times New Roman" w:cs="Times New Roman"/>
          <w:sz w:val="28"/>
          <w:szCs w:val="28"/>
        </w:rPr>
        <w:t>–</w:t>
      </w:r>
      <w:r w:rsidR="0020272F">
        <w:rPr>
          <w:rFonts w:ascii="Times New Roman" w:hAnsi="Times New Roman" w:cs="Times New Roman"/>
          <w:sz w:val="28"/>
          <w:szCs w:val="28"/>
        </w:rPr>
        <w:t> </w:t>
      </w:r>
      <w:r w:rsidR="00237474">
        <w:rPr>
          <w:rFonts w:ascii="Times New Roman" w:hAnsi="Times New Roman" w:cs="Times New Roman"/>
          <w:sz w:val="28"/>
          <w:szCs w:val="28"/>
        </w:rPr>
        <w:t>4</w:t>
      </w:r>
      <w:r w:rsidR="005C2B39">
        <w:rPr>
          <w:rFonts w:ascii="Times New Roman" w:hAnsi="Times New Roman" w:cs="Times New Roman"/>
          <w:sz w:val="28"/>
          <w:szCs w:val="28"/>
        </w:rPr>
        <w:t> </w:t>
      </w:r>
      <w:r w:rsidR="00237474">
        <w:rPr>
          <w:rFonts w:ascii="Times New Roman" w:hAnsi="Times New Roman" w:cs="Times New Roman"/>
          <w:sz w:val="28"/>
          <w:szCs w:val="28"/>
        </w:rPr>
        <w:t>%</w:t>
      </w:r>
      <w:r w:rsidR="000F46C0">
        <w:rPr>
          <w:rFonts w:ascii="Times New Roman" w:hAnsi="Times New Roman" w:cs="Times New Roman"/>
          <w:sz w:val="28"/>
          <w:szCs w:val="28"/>
        </w:rPr>
        <w:t>, j</w:t>
      </w:r>
      <w:r w:rsidR="00237474">
        <w:rPr>
          <w:rFonts w:ascii="Times New Roman" w:hAnsi="Times New Roman" w:cs="Times New Roman"/>
          <w:sz w:val="28"/>
          <w:szCs w:val="28"/>
        </w:rPr>
        <w:t>a</w:t>
      </w:r>
      <w:r w:rsidR="000F46C0">
        <w:rPr>
          <w:rFonts w:ascii="Times New Roman" w:hAnsi="Times New Roman" w:cs="Times New Roman"/>
          <w:sz w:val="28"/>
          <w:szCs w:val="28"/>
        </w:rPr>
        <w:t xml:space="preserve"> enerģijas komersantiem tiek uzlikti papildus pienākumi</w:t>
      </w:r>
      <w:r w:rsidR="00237474">
        <w:rPr>
          <w:rFonts w:ascii="Times New Roman" w:hAnsi="Times New Roman" w:cs="Times New Roman"/>
          <w:sz w:val="28"/>
          <w:szCs w:val="28"/>
        </w:rPr>
        <w:t xml:space="preserve"> saistībā ar energoefe</w:t>
      </w:r>
      <w:r w:rsidR="00EF0F70">
        <w:rPr>
          <w:rFonts w:ascii="Times New Roman" w:hAnsi="Times New Roman" w:cs="Times New Roman"/>
          <w:sz w:val="28"/>
          <w:szCs w:val="28"/>
        </w:rPr>
        <w:t>ktivitātes veicināšanu galalietotājos</w:t>
      </w:r>
      <w:r w:rsidR="000F46C0">
        <w:rPr>
          <w:rFonts w:ascii="Times New Roman" w:hAnsi="Times New Roman" w:cs="Times New Roman"/>
          <w:sz w:val="28"/>
          <w:szCs w:val="28"/>
        </w:rPr>
        <w:t xml:space="preserve">. Tas var </w:t>
      </w:r>
      <w:r>
        <w:rPr>
          <w:rFonts w:ascii="Times New Roman" w:hAnsi="Times New Roman" w:cs="Times New Roman"/>
          <w:sz w:val="28"/>
          <w:szCs w:val="28"/>
        </w:rPr>
        <w:t>radīt</w:t>
      </w:r>
      <w:r w:rsidR="000F46C0">
        <w:rPr>
          <w:rFonts w:ascii="Times New Roman" w:hAnsi="Times New Roman" w:cs="Times New Roman"/>
          <w:sz w:val="28"/>
          <w:szCs w:val="28"/>
        </w:rPr>
        <w:t xml:space="preserve"> </w:t>
      </w:r>
      <w:r w:rsidR="008D6A40">
        <w:rPr>
          <w:rFonts w:ascii="Times New Roman" w:hAnsi="Times New Roman" w:cs="Times New Roman"/>
          <w:sz w:val="28"/>
          <w:szCs w:val="28"/>
        </w:rPr>
        <w:t>valsts</w:t>
      </w:r>
      <w:r w:rsidR="000F46C0">
        <w:rPr>
          <w:rFonts w:ascii="Times New Roman" w:hAnsi="Times New Roman" w:cs="Times New Roman"/>
          <w:sz w:val="28"/>
          <w:szCs w:val="28"/>
        </w:rPr>
        <w:t xml:space="preserve"> un pašvaldību iestāžu izdevumu palielināšanos, pieaugot </w:t>
      </w:r>
      <w:r w:rsidR="00237474">
        <w:rPr>
          <w:rFonts w:ascii="Times New Roman" w:hAnsi="Times New Roman" w:cs="Times New Roman"/>
          <w:sz w:val="28"/>
          <w:szCs w:val="28"/>
        </w:rPr>
        <w:t xml:space="preserve">to </w:t>
      </w:r>
      <w:r w:rsidR="000F46C0">
        <w:rPr>
          <w:rFonts w:ascii="Times New Roman" w:hAnsi="Times New Roman" w:cs="Times New Roman"/>
          <w:sz w:val="28"/>
          <w:szCs w:val="28"/>
        </w:rPr>
        <w:t>rēķiniem par enerģiju (siltumu, elektroenerģiju, gāzi).</w:t>
      </w:r>
      <w:r w:rsidR="00F80548">
        <w:rPr>
          <w:rFonts w:ascii="Times New Roman" w:hAnsi="Times New Roman" w:cs="Times New Roman"/>
          <w:sz w:val="28"/>
          <w:szCs w:val="28"/>
        </w:rPr>
        <w:t xml:space="preserve"> </w:t>
      </w:r>
      <w:proofErr w:type="spellStart"/>
      <w:r w:rsidR="003F6402" w:rsidRPr="005E487A">
        <w:rPr>
          <w:rFonts w:ascii="Times New Roman" w:hAnsi="Times New Roman" w:cs="Times New Roman"/>
          <w:sz w:val="28"/>
          <w:szCs w:val="28"/>
        </w:rPr>
        <w:t>Īstermiņā</w:t>
      </w:r>
      <w:proofErr w:type="spellEnd"/>
      <w:r w:rsidR="003F6402" w:rsidRPr="005E487A">
        <w:rPr>
          <w:rFonts w:ascii="Times New Roman" w:hAnsi="Times New Roman" w:cs="Times New Roman"/>
          <w:sz w:val="28"/>
          <w:szCs w:val="28"/>
        </w:rPr>
        <w:t xml:space="preserve">, palielinoties iedzīvotāju maksājumiem par enerģiju, varētu pieaugt spiediens uz pašvaldību sociālajiem izdevumiem, kā </w:t>
      </w:r>
      <w:r w:rsidR="008D6A40" w:rsidRPr="005E487A">
        <w:rPr>
          <w:rFonts w:ascii="Times New Roman" w:hAnsi="Times New Roman" w:cs="Times New Roman"/>
          <w:sz w:val="28"/>
          <w:szCs w:val="28"/>
        </w:rPr>
        <w:t>arī varētu pieaugt pašvaldības izdevumi</w:t>
      </w:r>
      <w:r w:rsidR="00C71504" w:rsidRPr="005E487A">
        <w:rPr>
          <w:rFonts w:ascii="Times New Roman" w:hAnsi="Times New Roman" w:cs="Times New Roman"/>
          <w:sz w:val="28"/>
          <w:szCs w:val="28"/>
        </w:rPr>
        <w:t>,</w:t>
      </w:r>
      <w:r w:rsidR="008D6A40" w:rsidRPr="005E487A">
        <w:rPr>
          <w:rFonts w:ascii="Times New Roman" w:hAnsi="Times New Roman" w:cs="Times New Roman"/>
          <w:sz w:val="28"/>
          <w:szCs w:val="28"/>
        </w:rPr>
        <w:t xml:space="preserve"> kas saistīti ar pašvaldību ēku </w:t>
      </w:r>
      <w:r w:rsidR="00C71504" w:rsidRPr="005E487A">
        <w:rPr>
          <w:rFonts w:ascii="Times New Roman" w:hAnsi="Times New Roman" w:cs="Times New Roman"/>
          <w:sz w:val="28"/>
          <w:szCs w:val="28"/>
        </w:rPr>
        <w:t>renovācijas procesu</w:t>
      </w:r>
      <w:r w:rsidR="008D6A40" w:rsidRPr="005E487A">
        <w:rPr>
          <w:rFonts w:ascii="Times New Roman" w:hAnsi="Times New Roman" w:cs="Times New Roman"/>
          <w:sz w:val="28"/>
          <w:szCs w:val="28"/>
        </w:rPr>
        <w:t>, tomēr ilgtermiņā energoefektivitātes pasākumu realizācija samazinās gan iedzīvotāju, gan pašvaldību maksājumus par enerģiju.</w:t>
      </w:r>
    </w:p>
    <w:p w:rsidR="00C64CF5" w:rsidRDefault="00C64CF5">
      <w:pPr>
        <w:rPr>
          <w:rFonts w:ascii="Times New Roman" w:hAnsi="Times New Roman" w:cs="Times New Roman"/>
          <w:sz w:val="28"/>
          <w:szCs w:val="28"/>
        </w:rPr>
      </w:pPr>
      <w:r>
        <w:rPr>
          <w:rFonts w:ascii="Times New Roman" w:hAnsi="Times New Roman" w:cs="Times New Roman"/>
          <w:b/>
          <w:bCs/>
        </w:rPr>
        <w:br w:type="page"/>
      </w:r>
      <w:r w:rsidR="008D6A40" w:rsidRPr="00D94BD5">
        <w:rPr>
          <w:rStyle w:val="c1"/>
          <w:rFonts w:ascii="Times New Roman" w:hAnsi="Times New Roman"/>
        </w:rPr>
        <w:lastRenderedPageBreak/>
        <w:t xml:space="preserve"> </w:t>
      </w:r>
    </w:p>
    <w:p w:rsidR="00EA0F57" w:rsidRDefault="00EA0F57" w:rsidP="00A66210">
      <w:pPr>
        <w:pStyle w:val="Heading1"/>
        <w:spacing w:before="0" w:after="240" w:line="240" w:lineRule="auto"/>
        <w:jc w:val="center"/>
        <w:rPr>
          <w:rFonts w:ascii="Times New Roman" w:hAnsi="Times New Roman" w:cs="Times New Roman"/>
          <w:color w:val="auto"/>
        </w:rPr>
      </w:pPr>
      <w:bookmarkStart w:id="1" w:name="_Toc372269902"/>
      <w:r>
        <w:rPr>
          <w:rFonts w:ascii="Times New Roman" w:hAnsi="Times New Roman" w:cs="Times New Roman"/>
          <w:color w:val="auto"/>
        </w:rPr>
        <w:t>Ievads</w:t>
      </w:r>
      <w:bookmarkEnd w:id="1"/>
    </w:p>
    <w:p w:rsidR="00B64CCE" w:rsidRPr="00B64CCE" w:rsidRDefault="00B64CCE" w:rsidP="00B64CCE">
      <w:pPr>
        <w:spacing w:after="0" w:line="240" w:lineRule="auto"/>
        <w:ind w:firstLine="720"/>
        <w:jc w:val="both"/>
        <w:rPr>
          <w:rFonts w:ascii="Times New Roman" w:hAnsi="Times New Roman" w:cs="Times New Roman"/>
          <w:sz w:val="28"/>
          <w:szCs w:val="28"/>
        </w:rPr>
      </w:pPr>
      <w:r w:rsidRPr="00B64CCE">
        <w:rPr>
          <w:rFonts w:ascii="Times New Roman" w:hAnsi="Times New Roman" w:cs="Times New Roman"/>
          <w:sz w:val="28"/>
          <w:szCs w:val="28"/>
        </w:rPr>
        <w:t>2012. gada 14. novembrī Eiropas Savienības</w:t>
      </w:r>
      <w:r w:rsidR="00EB5B68">
        <w:rPr>
          <w:rFonts w:ascii="Times New Roman" w:hAnsi="Times New Roman" w:cs="Times New Roman"/>
          <w:sz w:val="28"/>
          <w:szCs w:val="28"/>
        </w:rPr>
        <w:t xml:space="preserve"> (turpmāk –ES)</w:t>
      </w:r>
      <w:r w:rsidRPr="00B64CCE">
        <w:rPr>
          <w:rFonts w:ascii="Times New Roman" w:hAnsi="Times New Roman" w:cs="Times New Roman"/>
          <w:sz w:val="28"/>
          <w:szCs w:val="28"/>
        </w:rPr>
        <w:t xml:space="preserve"> Oficiālajā Vēstnesī publicēta jaunā energoefektivitātes direktīva - Eiropas Parlamenta un Padomes Direktīv</w:t>
      </w:r>
      <w:r w:rsidR="00A66210">
        <w:rPr>
          <w:rFonts w:ascii="Times New Roman" w:hAnsi="Times New Roman" w:cs="Times New Roman"/>
          <w:sz w:val="28"/>
          <w:szCs w:val="28"/>
        </w:rPr>
        <w:t>a</w:t>
      </w:r>
      <w:r w:rsidRPr="00B64CCE">
        <w:rPr>
          <w:rFonts w:ascii="Times New Roman" w:hAnsi="Times New Roman" w:cs="Times New Roman"/>
          <w:sz w:val="28"/>
          <w:szCs w:val="28"/>
        </w:rPr>
        <w:t xml:space="preserve"> 2012/27/ES par energoefektivitāti, ar ko groza Direktīvas 2009/125/EK un 2010/30/ES un atceļ Direktīvas 2004/8/EK un 2006/32/EK (turpmāk – Direktīva 2012/27/ES). Direktīva 2012/27/ES stājās spēkā 2012. gada 4. decembrī un ES dalībvalstīm tā</w:t>
      </w:r>
      <w:r w:rsidR="00A66210">
        <w:rPr>
          <w:rFonts w:ascii="Times New Roman" w:hAnsi="Times New Roman" w:cs="Times New Roman"/>
          <w:sz w:val="28"/>
          <w:szCs w:val="28"/>
        </w:rPr>
        <w:t>s</w:t>
      </w:r>
      <w:r w:rsidRPr="00B64CCE">
        <w:rPr>
          <w:rFonts w:ascii="Times New Roman" w:hAnsi="Times New Roman" w:cs="Times New Roman"/>
          <w:sz w:val="28"/>
          <w:szCs w:val="28"/>
        </w:rPr>
        <w:t xml:space="preserve"> pilnīga ieviešana nacionālajās tiesību sistēmās jāveic līdz 2014. gada 5. jūnijam.</w:t>
      </w:r>
    </w:p>
    <w:p w:rsidR="00B64CCE" w:rsidRPr="00B64CCE" w:rsidRDefault="00B64CCE" w:rsidP="00B64CCE">
      <w:pPr>
        <w:spacing w:after="0" w:line="240" w:lineRule="auto"/>
        <w:ind w:firstLine="720"/>
        <w:jc w:val="both"/>
        <w:rPr>
          <w:rFonts w:ascii="Times New Roman" w:hAnsi="Times New Roman" w:cs="Times New Roman"/>
          <w:sz w:val="28"/>
          <w:szCs w:val="28"/>
        </w:rPr>
      </w:pPr>
      <w:r w:rsidRPr="00B64CCE">
        <w:rPr>
          <w:rFonts w:ascii="Times New Roman" w:hAnsi="Times New Roman" w:cs="Times New Roman"/>
          <w:sz w:val="28"/>
          <w:szCs w:val="28"/>
        </w:rPr>
        <w:t>Koncepcija par Direktīvas 2012/27/ES ieviešanu izstrādāta, pirmkārt, ņemot vērā to, ka Direktīva 2012/27/ES ietver atsevišķas normas, kas iever pienākumu izpildi pirms Direktīvas 2012/27/ES ieviešanas termiņa, kā arī to, ka atsevišķas Direktīvas 2012/27/ES normas piedāvā ES dalībvalstīm izvēles iespējas to ieviešanā.</w:t>
      </w:r>
    </w:p>
    <w:p w:rsidR="00B64CCE" w:rsidRPr="00B64CCE" w:rsidRDefault="00B64CCE" w:rsidP="00B64CCE">
      <w:pPr>
        <w:spacing w:after="0" w:line="240" w:lineRule="auto"/>
        <w:ind w:firstLine="720"/>
        <w:jc w:val="both"/>
        <w:rPr>
          <w:rFonts w:ascii="Times New Roman" w:hAnsi="Times New Roman" w:cs="Times New Roman"/>
          <w:sz w:val="28"/>
          <w:szCs w:val="28"/>
        </w:rPr>
      </w:pPr>
      <w:r w:rsidRPr="00B64CCE">
        <w:rPr>
          <w:rFonts w:ascii="Times New Roman" w:hAnsi="Times New Roman" w:cs="Times New Roman"/>
          <w:sz w:val="28"/>
          <w:szCs w:val="28"/>
        </w:rPr>
        <w:t>Ekonomikas ministrija</w:t>
      </w:r>
      <w:r w:rsidR="00F22D4D">
        <w:rPr>
          <w:rFonts w:ascii="Times New Roman" w:hAnsi="Times New Roman" w:cs="Times New Roman"/>
          <w:sz w:val="28"/>
          <w:szCs w:val="28"/>
        </w:rPr>
        <w:t xml:space="preserve"> (turpmāk – EM)</w:t>
      </w:r>
      <w:r w:rsidRPr="00B64CCE">
        <w:rPr>
          <w:rFonts w:ascii="Times New Roman" w:hAnsi="Times New Roman" w:cs="Times New Roman"/>
          <w:sz w:val="28"/>
          <w:szCs w:val="28"/>
        </w:rPr>
        <w:t xml:space="preserve"> koncepcijas izstrādē ir </w:t>
      </w:r>
      <w:r w:rsidR="008B24F7" w:rsidRPr="00B64CCE">
        <w:rPr>
          <w:rFonts w:ascii="Times New Roman" w:hAnsi="Times New Roman" w:cs="Times New Roman"/>
          <w:sz w:val="28"/>
          <w:szCs w:val="28"/>
        </w:rPr>
        <w:t>ņēmu</w:t>
      </w:r>
      <w:r w:rsidR="008B24F7">
        <w:rPr>
          <w:rFonts w:ascii="Times New Roman" w:hAnsi="Times New Roman" w:cs="Times New Roman"/>
          <w:sz w:val="28"/>
          <w:szCs w:val="28"/>
        </w:rPr>
        <w:t>si</w:t>
      </w:r>
      <w:r w:rsidR="008B24F7" w:rsidRPr="00B64CCE">
        <w:rPr>
          <w:rFonts w:ascii="Times New Roman" w:hAnsi="Times New Roman" w:cs="Times New Roman"/>
          <w:sz w:val="28"/>
          <w:szCs w:val="28"/>
        </w:rPr>
        <w:t xml:space="preserve"> </w:t>
      </w:r>
      <w:r w:rsidR="00F22D4D">
        <w:rPr>
          <w:rFonts w:ascii="Times New Roman" w:hAnsi="Times New Roman" w:cs="Times New Roman"/>
          <w:sz w:val="28"/>
          <w:szCs w:val="28"/>
        </w:rPr>
        <w:t>vērā EK</w:t>
      </w:r>
      <w:r w:rsidRPr="00B64CCE">
        <w:rPr>
          <w:rFonts w:ascii="Times New Roman" w:hAnsi="Times New Roman" w:cs="Times New Roman"/>
          <w:sz w:val="28"/>
          <w:szCs w:val="28"/>
        </w:rPr>
        <w:t xml:space="preserve"> vadlīniju projektus atsevišķu pantu (4.</w:t>
      </w:r>
      <w:r w:rsidR="00A66210">
        <w:rPr>
          <w:rFonts w:ascii="Times New Roman" w:hAnsi="Times New Roman" w:cs="Times New Roman"/>
          <w:sz w:val="28"/>
          <w:szCs w:val="28"/>
        </w:rPr>
        <w:t> </w:t>
      </w:r>
      <w:r w:rsidRPr="00B64CCE">
        <w:rPr>
          <w:rFonts w:ascii="Times New Roman" w:hAnsi="Times New Roman" w:cs="Times New Roman"/>
          <w:sz w:val="28"/>
          <w:szCs w:val="28"/>
        </w:rPr>
        <w:t>-</w:t>
      </w:r>
      <w:r w:rsidR="00A66210">
        <w:rPr>
          <w:rFonts w:ascii="Times New Roman" w:hAnsi="Times New Roman" w:cs="Times New Roman"/>
          <w:sz w:val="28"/>
          <w:szCs w:val="28"/>
        </w:rPr>
        <w:t> </w:t>
      </w:r>
      <w:r w:rsidRPr="00B64CCE">
        <w:rPr>
          <w:rFonts w:ascii="Times New Roman" w:hAnsi="Times New Roman" w:cs="Times New Roman"/>
          <w:sz w:val="28"/>
          <w:szCs w:val="28"/>
        </w:rPr>
        <w:t>11.</w:t>
      </w:r>
      <w:r w:rsidR="00DE5BCF">
        <w:rPr>
          <w:rFonts w:ascii="Times New Roman" w:hAnsi="Times New Roman" w:cs="Times New Roman"/>
          <w:sz w:val="28"/>
          <w:szCs w:val="28"/>
        </w:rPr>
        <w:t> </w:t>
      </w:r>
      <w:r w:rsidRPr="00B64CCE">
        <w:rPr>
          <w:rFonts w:ascii="Times New Roman" w:hAnsi="Times New Roman" w:cs="Times New Roman"/>
          <w:sz w:val="28"/>
          <w:szCs w:val="28"/>
        </w:rPr>
        <w:t>pants, 14.</w:t>
      </w:r>
      <w:r w:rsidR="00A66210">
        <w:rPr>
          <w:rFonts w:ascii="Times New Roman" w:hAnsi="Times New Roman" w:cs="Times New Roman"/>
          <w:sz w:val="28"/>
          <w:szCs w:val="28"/>
        </w:rPr>
        <w:t> </w:t>
      </w:r>
      <w:r w:rsidRPr="00B64CCE">
        <w:rPr>
          <w:rFonts w:ascii="Times New Roman" w:hAnsi="Times New Roman" w:cs="Times New Roman"/>
          <w:sz w:val="28"/>
          <w:szCs w:val="28"/>
        </w:rPr>
        <w:t>-</w:t>
      </w:r>
      <w:r w:rsidR="00A66210">
        <w:rPr>
          <w:rFonts w:ascii="Times New Roman" w:hAnsi="Times New Roman" w:cs="Times New Roman"/>
          <w:sz w:val="28"/>
          <w:szCs w:val="28"/>
        </w:rPr>
        <w:t> </w:t>
      </w:r>
      <w:r w:rsidRPr="00B64CCE">
        <w:rPr>
          <w:rFonts w:ascii="Times New Roman" w:hAnsi="Times New Roman" w:cs="Times New Roman"/>
          <w:sz w:val="28"/>
          <w:szCs w:val="28"/>
        </w:rPr>
        <w:t>15.</w:t>
      </w:r>
      <w:r w:rsidR="00A66210">
        <w:rPr>
          <w:rFonts w:ascii="Times New Roman" w:hAnsi="Times New Roman" w:cs="Times New Roman"/>
          <w:sz w:val="28"/>
          <w:szCs w:val="28"/>
        </w:rPr>
        <w:t> </w:t>
      </w:r>
      <w:r w:rsidRPr="00B64CCE">
        <w:rPr>
          <w:rFonts w:ascii="Times New Roman" w:hAnsi="Times New Roman" w:cs="Times New Roman"/>
          <w:sz w:val="28"/>
          <w:szCs w:val="28"/>
        </w:rPr>
        <w:t>pants) ieviešanai</w:t>
      </w:r>
      <w:r w:rsidR="001B67B6">
        <w:rPr>
          <w:rFonts w:ascii="Times New Roman" w:hAnsi="Times New Roman" w:cs="Times New Roman"/>
          <w:sz w:val="28"/>
          <w:szCs w:val="28"/>
        </w:rPr>
        <w:t xml:space="preserve">. </w:t>
      </w:r>
      <w:r w:rsidR="00F22D4D">
        <w:rPr>
          <w:rFonts w:ascii="Times New Roman" w:hAnsi="Times New Roman" w:cs="Times New Roman"/>
          <w:sz w:val="28"/>
          <w:szCs w:val="28"/>
        </w:rPr>
        <w:t>EM</w:t>
      </w:r>
      <w:r w:rsidRPr="00B64CCE">
        <w:rPr>
          <w:rFonts w:ascii="Times New Roman" w:hAnsi="Times New Roman" w:cs="Times New Roman"/>
          <w:sz w:val="28"/>
          <w:szCs w:val="28"/>
        </w:rPr>
        <w:t xml:space="preserve"> pārstāvji gan Direktīvas 2012/27/ES izstrādes laikā, gan pēc tās pieņemšanas ir piedalījušies </w:t>
      </w:r>
      <w:r w:rsidR="00F22D4D">
        <w:rPr>
          <w:rFonts w:ascii="Times New Roman" w:hAnsi="Times New Roman" w:cs="Times New Roman"/>
          <w:sz w:val="28"/>
          <w:szCs w:val="28"/>
        </w:rPr>
        <w:t>EK</w:t>
      </w:r>
      <w:r w:rsidRPr="00B64CCE">
        <w:rPr>
          <w:rFonts w:ascii="Times New Roman" w:hAnsi="Times New Roman" w:cs="Times New Roman"/>
          <w:sz w:val="28"/>
          <w:szCs w:val="28"/>
        </w:rPr>
        <w:t xml:space="preserve"> darba grupās, kuru ietvaros </w:t>
      </w:r>
      <w:r w:rsidR="00F22D4D">
        <w:rPr>
          <w:rFonts w:ascii="Times New Roman" w:hAnsi="Times New Roman" w:cs="Times New Roman"/>
          <w:sz w:val="28"/>
          <w:szCs w:val="28"/>
        </w:rPr>
        <w:t>EK</w:t>
      </w:r>
      <w:r w:rsidRPr="00B64CCE">
        <w:rPr>
          <w:rFonts w:ascii="Times New Roman" w:hAnsi="Times New Roman" w:cs="Times New Roman"/>
          <w:sz w:val="28"/>
          <w:szCs w:val="28"/>
        </w:rPr>
        <w:t xml:space="preserve"> sadarbībā ar dalībvalstīm strādā pie vadlīnijām atsevišķu pantu ieviešanai</w:t>
      </w:r>
      <w:r w:rsidR="001B67B6">
        <w:rPr>
          <w:rFonts w:ascii="Times New Roman" w:hAnsi="Times New Roman" w:cs="Times New Roman"/>
          <w:sz w:val="28"/>
          <w:szCs w:val="28"/>
        </w:rPr>
        <w:t>. Minētajās vadlīnijās papildus skaidroti</w:t>
      </w:r>
      <w:r w:rsidR="008B24F7">
        <w:rPr>
          <w:rFonts w:ascii="Times New Roman" w:hAnsi="Times New Roman" w:cs="Times New Roman"/>
          <w:sz w:val="28"/>
          <w:szCs w:val="28"/>
        </w:rPr>
        <w:t xml:space="preserve"> dažādi </w:t>
      </w:r>
      <w:r w:rsidR="001B67B6">
        <w:rPr>
          <w:rFonts w:ascii="Times New Roman" w:hAnsi="Times New Roman" w:cs="Times New Roman"/>
          <w:sz w:val="28"/>
          <w:szCs w:val="28"/>
        </w:rPr>
        <w:t xml:space="preserve">ieviešanas </w:t>
      </w:r>
      <w:r w:rsidR="008B24F7">
        <w:rPr>
          <w:rFonts w:ascii="Times New Roman" w:hAnsi="Times New Roman" w:cs="Times New Roman"/>
          <w:sz w:val="28"/>
          <w:szCs w:val="28"/>
        </w:rPr>
        <w:t>risinājum</w:t>
      </w:r>
      <w:r w:rsidR="001B67B6">
        <w:rPr>
          <w:rFonts w:ascii="Times New Roman" w:hAnsi="Times New Roman" w:cs="Times New Roman"/>
          <w:sz w:val="28"/>
          <w:szCs w:val="28"/>
        </w:rPr>
        <w:t xml:space="preserve">i. </w:t>
      </w:r>
      <w:r w:rsidRPr="00B64CCE">
        <w:rPr>
          <w:rFonts w:ascii="Times New Roman" w:hAnsi="Times New Roman" w:cs="Times New Roman"/>
          <w:sz w:val="28"/>
          <w:szCs w:val="28"/>
        </w:rPr>
        <w:t xml:space="preserve">Vadlīniju galīgās redakcijas </w:t>
      </w:r>
      <w:r w:rsidR="00AD66C3">
        <w:rPr>
          <w:rFonts w:ascii="Times New Roman" w:hAnsi="Times New Roman" w:cs="Times New Roman"/>
          <w:sz w:val="28"/>
          <w:szCs w:val="28"/>
        </w:rPr>
        <w:t>apstiprinātas 2013. gada 6. novembrī.</w:t>
      </w:r>
    </w:p>
    <w:p w:rsidR="00B64CCE" w:rsidRPr="00B64CCE" w:rsidRDefault="00F22D4D" w:rsidP="00B64C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EM</w:t>
      </w:r>
      <w:r w:rsidR="00B64CCE" w:rsidRPr="00B64CCE">
        <w:rPr>
          <w:rFonts w:ascii="Times New Roman" w:hAnsi="Times New Roman" w:cs="Times New Roman"/>
          <w:sz w:val="28"/>
          <w:szCs w:val="28"/>
        </w:rPr>
        <w:t xml:space="preserve">, ņemot vērā Direktīvā 2012/27/ES iekļautās prasības un Latvijas pienākumu ieviest direktīvas noteiktā laikā un apjomā, secina, ka pirms attiecīgu normatīvo aktu izstrādes ir nepieciešams Ministru kabineta konceptuāls lēmums par </w:t>
      </w:r>
      <w:r w:rsidR="008B24F7">
        <w:rPr>
          <w:rFonts w:ascii="Times New Roman" w:hAnsi="Times New Roman" w:cs="Times New Roman"/>
          <w:sz w:val="28"/>
          <w:szCs w:val="28"/>
        </w:rPr>
        <w:t>4.</w:t>
      </w:r>
      <w:r w:rsidR="00A66210">
        <w:rPr>
          <w:rFonts w:ascii="Times New Roman" w:hAnsi="Times New Roman" w:cs="Times New Roman"/>
          <w:sz w:val="28"/>
          <w:szCs w:val="28"/>
        </w:rPr>
        <w:t> </w:t>
      </w:r>
      <w:r w:rsidR="008B24F7">
        <w:rPr>
          <w:rFonts w:ascii="Times New Roman" w:hAnsi="Times New Roman" w:cs="Times New Roman"/>
          <w:sz w:val="28"/>
          <w:szCs w:val="28"/>
        </w:rPr>
        <w:t xml:space="preserve">panta, </w:t>
      </w:r>
      <w:r w:rsidR="00B64CCE" w:rsidRPr="00B64CCE">
        <w:rPr>
          <w:rFonts w:ascii="Times New Roman" w:hAnsi="Times New Roman" w:cs="Times New Roman"/>
          <w:sz w:val="28"/>
          <w:szCs w:val="28"/>
        </w:rPr>
        <w:t>5. panta, 7. panta</w:t>
      </w:r>
      <w:r w:rsidR="00C11B25">
        <w:rPr>
          <w:rFonts w:ascii="Times New Roman" w:hAnsi="Times New Roman" w:cs="Times New Roman"/>
          <w:sz w:val="28"/>
          <w:szCs w:val="28"/>
        </w:rPr>
        <w:t>, 14. panta</w:t>
      </w:r>
      <w:r w:rsidR="00B64CCE" w:rsidRPr="00B64CCE">
        <w:rPr>
          <w:rFonts w:ascii="Times New Roman" w:hAnsi="Times New Roman" w:cs="Times New Roman"/>
          <w:sz w:val="28"/>
          <w:szCs w:val="28"/>
        </w:rPr>
        <w:t xml:space="preserve"> un 20. panta ieviešanas risinājumiem.  </w:t>
      </w:r>
    </w:p>
    <w:p w:rsidR="00435B96" w:rsidRPr="00EA5AFD" w:rsidRDefault="00435B96" w:rsidP="00A66210">
      <w:pPr>
        <w:pStyle w:val="Heading1"/>
        <w:pageBreakBefore/>
        <w:numPr>
          <w:ilvl w:val="0"/>
          <w:numId w:val="2"/>
        </w:numPr>
        <w:spacing w:before="0" w:after="240" w:line="240" w:lineRule="auto"/>
        <w:ind w:left="714" w:hanging="357"/>
        <w:jc w:val="center"/>
        <w:rPr>
          <w:rFonts w:ascii="Times New Roman" w:hAnsi="Times New Roman" w:cs="Times New Roman"/>
          <w:color w:val="auto"/>
        </w:rPr>
      </w:pPr>
      <w:bookmarkStart w:id="2" w:name="_Toc372269903"/>
      <w:r w:rsidRPr="004B78BB">
        <w:rPr>
          <w:rFonts w:ascii="Times New Roman" w:hAnsi="Times New Roman" w:cs="Times New Roman"/>
          <w:color w:val="auto"/>
        </w:rPr>
        <w:lastRenderedPageBreak/>
        <w:t>Situācijas izklāsts</w:t>
      </w:r>
      <w:bookmarkEnd w:id="2"/>
      <w:r w:rsidRPr="004B78BB">
        <w:rPr>
          <w:rFonts w:ascii="Times New Roman" w:hAnsi="Times New Roman" w:cs="Times New Roman"/>
          <w:color w:val="auto"/>
        </w:rPr>
        <w:t xml:space="preserve"> </w:t>
      </w:r>
    </w:p>
    <w:p w:rsidR="00A54898" w:rsidRPr="00E73135" w:rsidRDefault="00B36538" w:rsidP="00A66210">
      <w:pPr>
        <w:pStyle w:val="Heading2"/>
        <w:numPr>
          <w:ilvl w:val="1"/>
          <w:numId w:val="4"/>
        </w:numPr>
        <w:spacing w:before="0" w:after="240" w:line="240" w:lineRule="auto"/>
        <w:ind w:left="0" w:firstLine="0"/>
        <w:jc w:val="center"/>
        <w:rPr>
          <w:rFonts w:ascii="Times New Roman" w:hAnsi="Times New Roman" w:cs="Times New Roman"/>
          <w:color w:val="auto"/>
          <w:sz w:val="28"/>
        </w:rPr>
      </w:pPr>
      <w:bookmarkStart w:id="3" w:name="_Toc372269904"/>
      <w:r w:rsidRPr="00E73135">
        <w:rPr>
          <w:rFonts w:ascii="Times New Roman" w:hAnsi="Times New Roman" w:cs="Times New Roman"/>
          <w:color w:val="auto"/>
          <w:sz w:val="28"/>
        </w:rPr>
        <w:t>E</w:t>
      </w:r>
      <w:r w:rsidR="00B84DED" w:rsidRPr="00E73135">
        <w:rPr>
          <w:rFonts w:ascii="Times New Roman" w:hAnsi="Times New Roman" w:cs="Times New Roman"/>
          <w:color w:val="auto"/>
          <w:sz w:val="28"/>
        </w:rPr>
        <w:t>sošā politika</w:t>
      </w:r>
      <w:bookmarkEnd w:id="3"/>
      <w:r w:rsidR="00B84DED" w:rsidRPr="00E73135">
        <w:rPr>
          <w:rFonts w:ascii="Times New Roman" w:hAnsi="Times New Roman" w:cs="Times New Roman"/>
          <w:color w:val="auto"/>
          <w:sz w:val="28"/>
        </w:rPr>
        <w:t xml:space="preserve"> </w:t>
      </w:r>
    </w:p>
    <w:p w:rsidR="00CF647C" w:rsidRDefault="008B24F7" w:rsidP="00113A95">
      <w:pPr>
        <w:spacing w:after="0" w:line="240" w:lineRule="auto"/>
        <w:ind w:firstLine="720"/>
        <w:jc w:val="both"/>
        <w:rPr>
          <w:rFonts w:ascii="Times New Roman" w:eastAsiaTheme="majorEastAsia" w:hAnsi="Times New Roman" w:cs="Times New Roman"/>
          <w:bCs/>
          <w:sz w:val="28"/>
          <w:szCs w:val="28"/>
        </w:rPr>
      </w:pPr>
      <w:r w:rsidRPr="00113A95">
        <w:rPr>
          <w:rFonts w:ascii="Times New Roman" w:hAnsi="Times New Roman" w:cs="Times New Roman"/>
          <w:sz w:val="28"/>
          <w:szCs w:val="28"/>
        </w:rPr>
        <w:t>Nacionāla līmeņa vidēja termiņa plānošanas dokument</w:t>
      </w:r>
      <w:r w:rsidR="00A66F9E">
        <w:rPr>
          <w:rFonts w:ascii="Times New Roman" w:hAnsi="Times New Roman" w:cs="Times New Roman"/>
          <w:sz w:val="28"/>
          <w:szCs w:val="28"/>
        </w:rPr>
        <w:t>s „</w:t>
      </w:r>
      <w:r w:rsidR="00A66F9E" w:rsidRPr="00A66F9E">
        <w:rPr>
          <w:rFonts w:ascii="Times New Roman" w:hAnsi="Times New Roman" w:cs="Times New Roman"/>
          <w:b/>
          <w:sz w:val="28"/>
          <w:szCs w:val="28"/>
        </w:rPr>
        <w:t>Latvijas Nacionālais attīstības plāns 2014.-2020. gadam</w:t>
      </w:r>
      <w:r w:rsidR="00A66F9E">
        <w:rPr>
          <w:rFonts w:ascii="Times New Roman" w:hAnsi="Times New Roman" w:cs="Times New Roman"/>
          <w:b/>
          <w:sz w:val="28"/>
          <w:szCs w:val="28"/>
        </w:rPr>
        <w:t>”</w:t>
      </w:r>
      <w:r w:rsidR="00A66F9E" w:rsidRPr="00A66F9E">
        <w:rPr>
          <w:rFonts w:ascii="Times New Roman" w:hAnsi="Times New Roman" w:cs="Times New Roman"/>
          <w:b/>
          <w:sz w:val="28"/>
          <w:szCs w:val="28"/>
        </w:rPr>
        <w:t xml:space="preserve"> </w:t>
      </w:r>
      <w:r w:rsidR="00A66F9E">
        <w:rPr>
          <w:rFonts w:ascii="Times New Roman" w:hAnsi="Times New Roman" w:cs="Times New Roman"/>
          <w:sz w:val="28"/>
          <w:szCs w:val="28"/>
        </w:rPr>
        <w:t xml:space="preserve">(turpmāk – </w:t>
      </w:r>
      <w:r w:rsidR="00836303">
        <w:rPr>
          <w:rFonts w:ascii="Times New Roman" w:hAnsi="Times New Roman" w:cs="Times New Roman"/>
          <w:sz w:val="28"/>
          <w:szCs w:val="28"/>
        </w:rPr>
        <w:t>NA</w:t>
      </w:r>
      <w:r w:rsidRPr="00113A95">
        <w:rPr>
          <w:rFonts w:ascii="Times New Roman" w:eastAsiaTheme="majorEastAsia" w:hAnsi="Times New Roman" w:cs="Times New Roman"/>
          <w:bCs/>
          <w:sz w:val="28"/>
          <w:szCs w:val="28"/>
        </w:rPr>
        <w:t>P</w:t>
      </w:r>
      <w:r w:rsidR="00836303">
        <w:rPr>
          <w:rFonts w:ascii="Times New Roman" w:eastAsiaTheme="majorEastAsia" w:hAnsi="Times New Roman" w:cs="Times New Roman"/>
          <w:bCs/>
          <w:sz w:val="28"/>
          <w:szCs w:val="28"/>
        </w:rPr>
        <w:t>2020</w:t>
      </w:r>
      <w:r w:rsidR="00A66F9E">
        <w:rPr>
          <w:rFonts w:ascii="Times New Roman" w:eastAsiaTheme="majorEastAsia" w:hAnsi="Times New Roman" w:cs="Times New Roman"/>
          <w:bCs/>
          <w:sz w:val="28"/>
          <w:szCs w:val="28"/>
        </w:rPr>
        <w:t>)</w:t>
      </w:r>
      <w:r w:rsidRPr="008B24F7">
        <w:rPr>
          <w:rFonts w:ascii="Times New Roman" w:eastAsiaTheme="majorEastAsia" w:hAnsi="Times New Roman" w:cs="Times New Roman"/>
          <w:bCs/>
          <w:sz w:val="28"/>
          <w:szCs w:val="28"/>
        </w:rPr>
        <w:t xml:space="preserve">, kas </w:t>
      </w:r>
      <w:r w:rsidRPr="00113A95">
        <w:rPr>
          <w:rFonts w:ascii="Times New Roman" w:hAnsi="Times New Roman" w:cs="Times New Roman"/>
          <w:sz w:val="28"/>
          <w:szCs w:val="28"/>
        </w:rPr>
        <w:t xml:space="preserve">ir cieši saistīts ar </w:t>
      </w:r>
      <w:r w:rsidRPr="00A66F9E">
        <w:rPr>
          <w:rFonts w:ascii="Times New Roman" w:hAnsi="Times New Roman" w:cs="Times New Roman"/>
          <w:b/>
          <w:sz w:val="28"/>
          <w:szCs w:val="28"/>
        </w:rPr>
        <w:t>"Latvijas Ilgtspējīgas attīstības stratēģiju līdz 2030.</w:t>
      </w:r>
      <w:r w:rsidR="00A66210" w:rsidRPr="00A66F9E">
        <w:rPr>
          <w:rFonts w:ascii="Times New Roman" w:hAnsi="Times New Roman" w:cs="Times New Roman"/>
          <w:b/>
          <w:sz w:val="28"/>
          <w:szCs w:val="28"/>
        </w:rPr>
        <w:t> </w:t>
      </w:r>
      <w:r w:rsidRPr="00A66F9E">
        <w:rPr>
          <w:rFonts w:ascii="Times New Roman" w:hAnsi="Times New Roman" w:cs="Times New Roman"/>
          <w:b/>
          <w:sz w:val="28"/>
          <w:szCs w:val="28"/>
        </w:rPr>
        <w:t>gadam"</w:t>
      </w:r>
      <w:r w:rsidRPr="00113A95">
        <w:rPr>
          <w:rFonts w:ascii="Times New Roman" w:hAnsi="Times New Roman" w:cs="Times New Roman"/>
          <w:sz w:val="28"/>
          <w:szCs w:val="28"/>
        </w:rPr>
        <w:t xml:space="preserve"> (turpmāk </w:t>
      </w:r>
      <w:r w:rsidR="00A66F9E">
        <w:rPr>
          <w:rFonts w:ascii="Times New Roman" w:hAnsi="Times New Roman" w:cs="Times New Roman"/>
          <w:sz w:val="28"/>
          <w:szCs w:val="28"/>
        </w:rPr>
        <w:t>–</w:t>
      </w:r>
      <w:r w:rsidRPr="00113A95">
        <w:rPr>
          <w:rFonts w:ascii="Times New Roman" w:hAnsi="Times New Roman" w:cs="Times New Roman"/>
          <w:sz w:val="28"/>
          <w:szCs w:val="28"/>
        </w:rPr>
        <w:t xml:space="preserve"> Latvija</w:t>
      </w:r>
      <w:r w:rsidR="00A66F9E">
        <w:rPr>
          <w:rFonts w:ascii="Times New Roman" w:hAnsi="Times New Roman" w:cs="Times New Roman"/>
          <w:sz w:val="28"/>
          <w:szCs w:val="28"/>
        </w:rPr>
        <w:t xml:space="preserve"> </w:t>
      </w:r>
      <w:r w:rsidRPr="00113A95">
        <w:rPr>
          <w:rFonts w:ascii="Times New Roman" w:hAnsi="Times New Roman" w:cs="Times New Roman"/>
          <w:sz w:val="28"/>
          <w:szCs w:val="28"/>
        </w:rPr>
        <w:t xml:space="preserve">2030) un </w:t>
      </w:r>
      <w:r w:rsidRPr="00A66F9E">
        <w:rPr>
          <w:rFonts w:ascii="Times New Roman" w:hAnsi="Times New Roman" w:cs="Times New Roman"/>
          <w:b/>
          <w:sz w:val="28"/>
          <w:szCs w:val="28"/>
        </w:rPr>
        <w:t>"Nacionālo reformu programmu stratēģijas "ES2020" īstenošanai"</w:t>
      </w:r>
      <w:r w:rsidRPr="00113A95">
        <w:rPr>
          <w:rFonts w:ascii="Times New Roman" w:hAnsi="Times New Roman" w:cs="Times New Roman"/>
          <w:sz w:val="28"/>
          <w:szCs w:val="28"/>
        </w:rPr>
        <w:t xml:space="preserve"> (turpmāk - NRP)</w:t>
      </w:r>
      <w:r>
        <w:rPr>
          <w:rFonts w:ascii="Times New Roman" w:hAnsi="Times New Roman" w:cs="Times New Roman"/>
          <w:sz w:val="28"/>
          <w:szCs w:val="28"/>
        </w:rPr>
        <w:t>,</w:t>
      </w:r>
      <w:r w:rsidR="00CF647C" w:rsidRPr="00CF647C">
        <w:rPr>
          <w:rFonts w:ascii="Times New Roman" w:eastAsiaTheme="majorEastAsia" w:hAnsi="Times New Roman" w:cs="Times New Roman"/>
          <w:bCs/>
          <w:sz w:val="28"/>
          <w:szCs w:val="28"/>
        </w:rPr>
        <w:t xml:space="preserve"> ietver rīcības virzienu "Energoefektivitāte un enerģijas ražošana", kā arī mērķu sasniegšanas rādītāju attiecībā uz tautsaimniecības energoefektivitāti – samazināt enerģijas patēriņu iekšzemes kopprodukta radīšanai no </w:t>
      </w:r>
      <w:r w:rsidR="00CF647C">
        <w:rPr>
          <w:rFonts w:ascii="Times New Roman" w:eastAsiaTheme="majorEastAsia" w:hAnsi="Times New Roman" w:cs="Times New Roman"/>
          <w:bCs/>
          <w:sz w:val="28"/>
          <w:szCs w:val="28"/>
        </w:rPr>
        <w:t>0,</w:t>
      </w:r>
      <w:r w:rsidR="00CF647C" w:rsidRPr="00CF647C">
        <w:rPr>
          <w:rFonts w:ascii="Times New Roman" w:eastAsiaTheme="majorEastAsia" w:hAnsi="Times New Roman" w:cs="Times New Roman"/>
          <w:bCs/>
          <w:sz w:val="28"/>
          <w:szCs w:val="28"/>
        </w:rPr>
        <w:t xml:space="preserve">37 </w:t>
      </w:r>
      <w:proofErr w:type="spellStart"/>
      <w:r w:rsidR="00CF647C" w:rsidRPr="00CF647C">
        <w:rPr>
          <w:rFonts w:ascii="Times New Roman" w:eastAsiaTheme="majorEastAsia" w:hAnsi="Times New Roman" w:cs="Times New Roman"/>
          <w:bCs/>
          <w:sz w:val="28"/>
          <w:szCs w:val="28"/>
        </w:rPr>
        <w:t>toe</w:t>
      </w:r>
      <w:proofErr w:type="spellEnd"/>
      <w:r w:rsidR="00CF647C" w:rsidRPr="00CF647C">
        <w:rPr>
          <w:rFonts w:ascii="Times New Roman" w:eastAsiaTheme="majorEastAsia" w:hAnsi="Times New Roman" w:cs="Times New Roman"/>
          <w:bCs/>
          <w:sz w:val="28"/>
          <w:szCs w:val="28"/>
        </w:rPr>
        <w:t>/1000EUR (2010.</w:t>
      </w:r>
      <w:r w:rsidR="00A66210">
        <w:rPr>
          <w:rFonts w:ascii="Times New Roman" w:eastAsiaTheme="majorEastAsia" w:hAnsi="Times New Roman" w:cs="Times New Roman"/>
          <w:bCs/>
          <w:sz w:val="28"/>
          <w:szCs w:val="28"/>
        </w:rPr>
        <w:t xml:space="preserve"> gadā</w:t>
      </w:r>
      <w:r w:rsidR="00CF647C" w:rsidRPr="00CF647C">
        <w:rPr>
          <w:rFonts w:ascii="Times New Roman" w:eastAsiaTheme="majorEastAsia" w:hAnsi="Times New Roman" w:cs="Times New Roman"/>
          <w:bCs/>
          <w:sz w:val="28"/>
          <w:szCs w:val="28"/>
        </w:rPr>
        <w:t xml:space="preserve">) līdz </w:t>
      </w:r>
      <w:r w:rsidR="00CF647C">
        <w:rPr>
          <w:rFonts w:ascii="Times New Roman" w:eastAsiaTheme="majorEastAsia" w:hAnsi="Times New Roman" w:cs="Times New Roman"/>
          <w:bCs/>
          <w:sz w:val="28"/>
          <w:szCs w:val="28"/>
        </w:rPr>
        <w:t>0,28</w:t>
      </w:r>
      <w:r w:rsidR="00CF647C" w:rsidRPr="00CF647C">
        <w:rPr>
          <w:rFonts w:ascii="Times New Roman" w:eastAsiaTheme="majorEastAsia" w:hAnsi="Times New Roman" w:cs="Times New Roman"/>
          <w:bCs/>
          <w:sz w:val="28"/>
          <w:szCs w:val="28"/>
        </w:rPr>
        <w:t xml:space="preserve"> </w:t>
      </w:r>
      <w:proofErr w:type="spellStart"/>
      <w:r w:rsidR="00CF647C" w:rsidRPr="00CF647C">
        <w:rPr>
          <w:rFonts w:ascii="Times New Roman" w:eastAsiaTheme="majorEastAsia" w:hAnsi="Times New Roman" w:cs="Times New Roman"/>
          <w:bCs/>
          <w:sz w:val="28"/>
          <w:szCs w:val="28"/>
        </w:rPr>
        <w:t>toe</w:t>
      </w:r>
      <w:proofErr w:type="spellEnd"/>
      <w:r w:rsidR="00CF647C" w:rsidRPr="00CF647C">
        <w:rPr>
          <w:rFonts w:ascii="Times New Roman" w:eastAsiaTheme="majorEastAsia" w:hAnsi="Times New Roman" w:cs="Times New Roman"/>
          <w:bCs/>
          <w:sz w:val="28"/>
          <w:szCs w:val="28"/>
        </w:rPr>
        <w:t>/1000EUR (2020</w:t>
      </w:r>
      <w:r w:rsidR="00A66210">
        <w:rPr>
          <w:rFonts w:ascii="Times New Roman" w:eastAsiaTheme="majorEastAsia" w:hAnsi="Times New Roman" w:cs="Times New Roman"/>
          <w:bCs/>
          <w:sz w:val="28"/>
          <w:szCs w:val="28"/>
        </w:rPr>
        <w:t>. gadā</w:t>
      </w:r>
      <w:r w:rsidR="00CF647C" w:rsidRPr="00CF647C">
        <w:rPr>
          <w:rFonts w:ascii="Times New Roman" w:eastAsiaTheme="majorEastAsia" w:hAnsi="Times New Roman" w:cs="Times New Roman"/>
          <w:bCs/>
          <w:sz w:val="28"/>
          <w:szCs w:val="28"/>
        </w:rPr>
        <w:t>). Laikā līdz 2020.</w:t>
      </w:r>
      <w:r w:rsidR="00A66210">
        <w:rPr>
          <w:rFonts w:ascii="Times New Roman" w:eastAsiaTheme="majorEastAsia" w:hAnsi="Times New Roman" w:cs="Times New Roman"/>
          <w:bCs/>
          <w:sz w:val="28"/>
          <w:szCs w:val="28"/>
        </w:rPr>
        <w:t> </w:t>
      </w:r>
      <w:r w:rsidR="00CF647C" w:rsidRPr="00CF647C">
        <w:rPr>
          <w:rFonts w:ascii="Times New Roman" w:eastAsiaTheme="majorEastAsia" w:hAnsi="Times New Roman" w:cs="Times New Roman"/>
          <w:bCs/>
          <w:sz w:val="28"/>
          <w:szCs w:val="28"/>
        </w:rPr>
        <w:t>gadam veicami šādi izdevumi:  [202] Energoefektivitātes programmas valsts un pašvaldību sabiedrisko ēku sektorā;</w:t>
      </w:r>
      <w:r w:rsidR="00E42D3D">
        <w:rPr>
          <w:rFonts w:ascii="Times New Roman" w:eastAsiaTheme="majorEastAsia" w:hAnsi="Times New Roman" w:cs="Times New Roman"/>
          <w:bCs/>
          <w:sz w:val="28"/>
          <w:szCs w:val="28"/>
        </w:rPr>
        <w:t xml:space="preserve"> </w:t>
      </w:r>
      <w:r w:rsidR="00CF647C" w:rsidRPr="00CF647C">
        <w:rPr>
          <w:rFonts w:ascii="Times New Roman" w:eastAsiaTheme="majorEastAsia" w:hAnsi="Times New Roman" w:cs="Times New Roman"/>
          <w:bCs/>
          <w:sz w:val="28"/>
          <w:szCs w:val="28"/>
        </w:rPr>
        <w:t xml:space="preserve">[203] Atbalsta programmas dzīvojamo ēku energoefektivitātei un pārejai uz atjaunojamiem energoresursiem; [204] Atbalsts inovatīvu enerģētikas un energoefektivitātes tehnoloģiju projektiem. </w:t>
      </w:r>
      <w:r w:rsidR="002B2EEA">
        <w:rPr>
          <w:rFonts w:ascii="Times New Roman" w:eastAsiaTheme="majorEastAsia" w:hAnsi="Times New Roman" w:cs="Times New Roman"/>
          <w:bCs/>
          <w:sz w:val="28"/>
          <w:szCs w:val="28"/>
        </w:rPr>
        <w:t xml:space="preserve">[205] un [206] uzdevums paredz atbalstu pārejai uz atjaunojamo energoresursu izmantojošām tehnoloģijām, kas vienlaikus veicinās arī energoefektivitātes paaugstināšanu siltumenerģijas  ražošanā un pārvadē, kā arī transportā. </w:t>
      </w:r>
      <w:r>
        <w:rPr>
          <w:rFonts w:ascii="Times New Roman" w:eastAsiaTheme="majorEastAsia" w:hAnsi="Times New Roman" w:cs="Times New Roman"/>
          <w:bCs/>
          <w:sz w:val="28"/>
          <w:szCs w:val="28"/>
        </w:rPr>
        <w:t>NAP2020</w:t>
      </w:r>
      <w:r w:rsidRPr="00CF647C">
        <w:rPr>
          <w:rFonts w:ascii="Times New Roman" w:eastAsiaTheme="majorEastAsia" w:hAnsi="Times New Roman" w:cs="Times New Roman"/>
          <w:bCs/>
          <w:sz w:val="28"/>
          <w:szCs w:val="28"/>
        </w:rPr>
        <w:t xml:space="preserve"> </w:t>
      </w:r>
      <w:r w:rsidR="00CF647C" w:rsidRPr="00CF647C">
        <w:rPr>
          <w:rFonts w:ascii="Times New Roman" w:eastAsiaTheme="majorEastAsia" w:hAnsi="Times New Roman" w:cs="Times New Roman"/>
          <w:bCs/>
          <w:sz w:val="28"/>
          <w:szCs w:val="28"/>
        </w:rPr>
        <w:t>redzējuma sadaļā</w:t>
      </w:r>
      <w:r w:rsidR="002B2EEA">
        <w:rPr>
          <w:rFonts w:ascii="Times New Roman" w:eastAsiaTheme="majorEastAsia" w:hAnsi="Times New Roman" w:cs="Times New Roman"/>
          <w:bCs/>
          <w:sz w:val="28"/>
          <w:szCs w:val="28"/>
        </w:rPr>
        <w:t xml:space="preserve"> [24] un [25] rindkopā</w:t>
      </w:r>
      <w:r w:rsidR="00CF647C" w:rsidRPr="00CF647C">
        <w:rPr>
          <w:rFonts w:ascii="Times New Roman" w:eastAsiaTheme="majorEastAsia" w:hAnsi="Times New Roman" w:cs="Times New Roman"/>
          <w:bCs/>
          <w:sz w:val="28"/>
          <w:szCs w:val="28"/>
        </w:rPr>
        <w:t xml:space="preserve">  uzsvērta  virzība uz plānveidīgu energoefektivitātes paaugstināšanu ražošanas, pakalpojumu, mājokļu un sabiedrisko būvju sektorā, kā arī inovatīvu risinājumu - zemas enerģijas ēku un viedo tīklu ieviešanu. </w:t>
      </w:r>
      <w:r w:rsidR="002B2EEA">
        <w:rPr>
          <w:rFonts w:ascii="Times New Roman" w:eastAsiaTheme="majorEastAsia" w:hAnsi="Times New Roman" w:cs="Times New Roman"/>
          <w:bCs/>
          <w:sz w:val="28"/>
          <w:szCs w:val="28"/>
        </w:rPr>
        <w:t xml:space="preserve">Kopumā </w:t>
      </w:r>
      <w:r w:rsidR="00497115">
        <w:rPr>
          <w:rFonts w:ascii="Times New Roman" w:eastAsiaTheme="majorEastAsia" w:hAnsi="Times New Roman" w:cs="Times New Roman"/>
          <w:bCs/>
          <w:sz w:val="28"/>
          <w:szCs w:val="28"/>
        </w:rPr>
        <w:t>NAP</w:t>
      </w:r>
      <w:r w:rsidR="00882ECF">
        <w:rPr>
          <w:rFonts w:ascii="Times New Roman" w:eastAsiaTheme="majorEastAsia" w:hAnsi="Times New Roman" w:cs="Times New Roman"/>
          <w:bCs/>
          <w:sz w:val="28"/>
          <w:szCs w:val="28"/>
        </w:rPr>
        <w:t>2020</w:t>
      </w:r>
      <w:r w:rsidR="00CF647C" w:rsidRPr="00CF647C">
        <w:rPr>
          <w:rFonts w:ascii="Times New Roman" w:eastAsiaTheme="majorEastAsia" w:hAnsi="Times New Roman" w:cs="Times New Roman"/>
          <w:bCs/>
          <w:sz w:val="28"/>
          <w:szCs w:val="28"/>
        </w:rPr>
        <w:t xml:space="preserve"> </w:t>
      </w:r>
      <w:r w:rsidR="00223838">
        <w:rPr>
          <w:rFonts w:ascii="Times New Roman" w:eastAsiaTheme="majorEastAsia" w:hAnsi="Times New Roman" w:cs="Times New Roman"/>
          <w:bCs/>
          <w:sz w:val="28"/>
          <w:szCs w:val="28"/>
        </w:rPr>
        <w:t xml:space="preserve">rīcības virziena „Energoefektivitāte un enerģijas ražošana” </w:t>
      </w:r>
      <w:r w:rsidR="00CF647C" w:rsidRPr="00CF647C">
        <w:rPr>
          <w:rFonts w:ascii="Times New Roman" w:eastAsiaTheme="majorEastAsia" w:hAnsi="Times New Roman" w:cs="Times New Roman"/>
          <w:bCs/>
          <w:sz w:val="28"/>
          <w:szCs w:val="28"/>
        </w:rPr>
        <w:t xml:space="preserve">mērķu sasniegšanai norādīts </w:t>
      </w:r>
      <w:r w:rsidR="00223838">
        <w:rPr>
          <w:rFonts w:ascii="Times New Roman" w:eastAsiaTheme="majorEastAsia" w:hAnsi="Times New Roman" w:cs="Times New Roman"/>
          <w:bCs/>
          <w:sz w:val="28"/>
          <w:szCs w:val="28"/>
        </w:rPr>
        <w:t xml:space="preserve">nepieciešamais </w:t>
      </w:r>
      <w:r w:rsidR="00CF647C" w:rsidRPr="00CF647C">
        <w:rPr>
          <w:rFonts w:ascii="Times New Roman" w:eastAsiaTheme="majorEastAsia" w:hAnsi="Times New Roman" w:cs="Times New Roman"/>
          <w:bCs/>
          <w:sz w:val="28"/>
          <w:szCs w:val="28"/>
        </w:rPr>
        <w:t xml:space="preserve">finansējums  870,9 miljoni </w:t>
      </w:r>
      <w:r>
        <w:rPr>
          <w:rFonts w:ascii="Times New Roman" w:eastAsiaTheme="majorEastAsia" w:hAnsi="Times New Roman" w:cs="Times New Roman"/>
          <w:bCs/>
          <w:sz w:val="28"/>
          <w:szCs w:val="28"/>
        </w:rPr>
        <w:t>LVL</w:t>
      </w:r>
      <w:r w:rsidR="000060B5">
        <w:rPr>
          <w:rFonts w:ascii="Times New Roman" w:eastAsiaTheme="majorEastAsia" w:hAnsi="Times New Roman" w:cs="Times New Roman"/>
          <w:bCs/>
          <w:sz w:val="28"/>
          <w:szCs w:val="28"/>
        </w:rPr>
        <w:t xml:space="preserve"> (1 239 179,06</w:t>
      </w:r>
      <w:r w:rsidR="004B15CD">
        <w:rPr>
          <w:rFonts w:ascii="Times New Roman" w:eastAsiaTheme="majorEastAsia" w:hAnsi="Times New Roman" w:cs="Times New Roman"/>
          <w:bCs/>
          <w:sz w:val="28"/>
          <w:szCs w:val="28"/>
        </w:rPr>
        <w:t xml:space="preserve"> EUR)</w:t>
      </w:r>
      <w:r w:rsidR="00CF647C" w:rsidRPr="00CF647C">
        <w:rPr>
          <w:rFonts w:ascii="Times New Roman" w:eastAsiaTheme="majorEastAsia" w:hAnsi="Times New Roman" w:cs="Times New Roman"/>
          <w:bCs/>
          <w:sz w:val="28"/>
          <w:szCs w:val="28"/>
        </w:rPr>
        <w:t>.</w:t>
      </w:r>
      <w:r w:rsidR="00223838" w:rsidRPr="00223838">
        <w:t xml:space="preserve"> </w:t>
      </w:r>
      <w:r w:rsidR="00223838" w:rsidRPr="00223838">
        <w:rPr>
          <w:rFonts w:ascii="Times New Roman" w:hAnsi="Times New Roman" w:cs="Times New Roman"/>
          <w:sz w:val="28"/>
          <w:szCs w:val="28"/>
        </w:rPr>
        <w:t xml:space="preserve">Papildus tam </w:t>
      </w:r>
      <w:r w:rsidR="00223838" w:rsidRPr="00223838">
        <w:rPr>
          <w:rFonts w:ascii="Times New Roman" w:eastAsiaTheme="majorEastAsia" w:hAnsi="Times New Roman" w:cs="Times New Roman"/>
          <w:bCs/>
          <w:sz w:val="28"/>
          <w:szCs w:val="28"/>
        </w:rPr>
        <w:t>NAP</w:t>
      </w:r>
      <w:r w:rsidR="00497115">
        <w:rPr>
          <w:rFonts w:ascii="Times New Roman" w:eastAsiaTheme="majorEastAsia" w:hAnsi="Times New Roman" w:cs="Times New Roman"/>
          <w:bCs/>
          <w:sz w:val="28"/>
          <w:szCs w:val="28"/>
        </w:rPr>
        <w:t>2020</w:t>
      </w:r>
      <w:r w:rsidR="00223838" w:rsidRPr="00223838">
        <w:rPr>
          <w:rFonts w:ascii="Times New Roman" w:eastAsiaTheme="majorEastAsia" w:hAnsi="Times New Roman" w:cs="Times New Roman"/>
          <w:bCs/>
          <w:sz w:val="28"/>
          <w:szCs w:val="28"/>
        </w:rPr>
        <w:t xml:space="preserve"> rīcības virzienā "Augstražīga un eksportspējīga ražošana un starptautiski konkurētspējīgi pakal</w:t>
      </w:r>
      <w:r w:rsidR="00326DDE">
        <w:rPr>
          <w:rFonts w:ascii="Times New Roman" w:eastAsiaTheme="majorEastAsia" w:hAnsi="Times New Roman" w:cs="Times New Roman"/>
          <w:bCs/>
          <w:sz w:val="28"/>
          <w:szCs w:val="28"/>
        </w:rPr>
        <w:t xml:space="preserve">pojumi" paredzēts arī uzdevums </w:t>
      </w:r>
      <w:r w:rsidR="00223838" w:rsidRPr="00223838">
        <w:rPr>
          <w:rFonts w:ascii="Times New Roman" w:eastAsiaTheme="majorEastAsia" w:hAnsi="Times New Roman" w:cs="Times New Roman"/>
          <w:bCs/>
          <w:sz w:val="28"/>
          <w:szCs w:val="28"/>
        </w:rPr>
        <w:t>[126] Atbalsts ražojošiem un pakalpojumus sniedzošiem uzņēmumiem energoefektivitātes uzlabošanai</w:t>
      </w:r>
      <w:r w:rsidR="00223838">
        <w:rPr>
          <w:rFonts w:ascii="Times New Roman" w:eastAsiaTheme="majorEastAsia" w:hAnsi="Times New Roman" w:cs="Times New Roman"/>
          <w:bCs/>
          <w:sz w:val="28"/>
          <w:szCs w:val="28"/>
        </w:rPr>
        <w:t xml:space="preserve"> </w:t>
      </w:r>
      <w:r w:rsidR="00FE6266">
        <w:rPr>
          <w:rFonts w:ascii="Times New Roman" w:eastAsiaTheme="majorEastAsia" w:hAnsi="Times New Roman" w:cs="Times New Roman"/>
          <w:bCs/>
          <w:sz w:val="28"/>
          <w:szCs w:val="28"/>
        </w:rPr>
        <w:t>(</w:t>
      </w:r>
      <w:r w:rsidR="00223838">
        <w:rPr>
          <w:rFonts w:ascii="Times New Roman" w:eastAsiaTheme="majorEastAsia" w:hAnsi="Times New Roman" w:cs="Times New Roman"/>
          <w:bCs/>
          <w:sz w:val="28"/>
          <w:szCs w:val="28"/>
        </w:rPr>
        <w:t>finansējum</w:t>
      </w:r>
      <w:r w:rsidR="00FE6266">
        <w:rPr>
          <w:rFonts w:ascii="Times New Roman" w:eastAsiaTheme="majorEastAsia" w:hAnsi="Times New Roman" w:cs="Times New Roman"/>
          <w:bCs/>
          <w:sz w:val="28"/>
          <w:szCs w:val="28"/>
        </w:rPr>
        <w:t>s</w:t>
      </w:r>
      <w:r w:rsidR="00223838">
        <w:rPr>
          <w:rFonts w:ascii="Times New Roman" w:eastAsiaTheme="majorEastAsia" w:hAnsi="Times New Roman" w:cs="Times New Roman"/>
          <w:bCs/>
          <w:sz w:val="28"/>
          <w:szCs w:val="28"/>
        </w:rPr>
        <w:t xml:space="preserve"> 27 </w:t>
      </w:r>
      <w:proofErr w:type="spellStart"/>
      <w:r w:rsidR="00223838">
        <w:rPr>
          <w:rFonts w:ascii="Times New Roman" w:eastAsiaTheme="majorEastAsia" w:hAnsi="Times New Roman" w:cs="Times New Roman"/>
          <w:bCs/>
          <w:sz w:val="28"/>
          <w:szCs w:val="28"/>
        </w:rPr>
        <w:t>milj</w:t>
      </w:r>
      <w:proofErr w:type="spellEnd"/>
      <w:r w:rsidR="00223838">
        <w:rPr>
          <w:rFonts w:ascii="Times New Roman" w:eastAsiaTheme="majorEastAsia" w:hAnsi="Times New Roman" w:cs="Times New Roman"/>
          <w:bCs/>
          <w:sz w:val="28"/>
          <w:szCs w:val="28"/>
        </w:rPr>
        <w:t>. LVL</w:t>
      </w:r>
      <w:r w:rsidR="004B15CD">
        <w:rPr>
          <w:rFonts w:ascii="Times New Roman" w:eastAsiaTheme="majorEastAsia" w:hAnsi="Times New Roman" w:cs="Times New Roman"/>
          <w:bCs/>
          <w:sz w:val="28"/>
          <w:szCs w:val="28"/>
        </w:rPr>
        <w:t xml:space="preserve"> (</w:t>
      </w:r>
      <w:r w:rsidR="004B5735">
        <w:rPr>
          <w:rFonts w:ascii="Times New Roman" w:eastAsiaTheme="majorEastAsia" w:hAnsi="Times New Roman" w:cs="Times New Roman"/>
          <w:bCs/>
          <w:sz w:val="28"/>
          <w:szCs w:val="28"/>
        </w:rPr>
        <w:t>3</w:t>
      </w:r>
      <w:r w:rsidR="00A26FF0">
        <w:rPr>
          <w:rFonts w:ascii="Times New Roman" w:eastAsiaTheme="majorEastAsia" w:hAnsi="Times New Roman" w:cs="Times New Roman"/>
          <w:bCs/>
          <w:sz w:val="28"/>
          <w:szCs w:val="28"/>
        </w:rPr>
        <w:t>8 417 538,89</w:t>
      </w:r>
      <w:r w:rsidR="004B5735">
        <w:rPr>
          <w:rFonts w:ascii="Times New Roman" w:eastAsiaTheme="majorEastAsia" w:hAnsi="Times New Roman" w:cs="Times New Roman"/>
          <w:bCs/>
          <w:sz w:val="28"/>
          <w:szCs w:val="28"/>
        </w:rPr>
        <w:t xml:space="preserve"> EUR)</w:t>
      </w:r>
      <w:r w:rsidR="00326DDE">
        <w:rPr>
          <w:rFonts w:ascii="Times New Roman" w:eastAsiaTheme="majorEastAsia" w:hAnsi="Times New Roman" w:cs="Times New Roman"/>
          <w:bCs/>
          <w:sz w:val="28"/>
          <w:szCs w:val="28"/>
        </w:rPr>
        <w:t>). R</w:t>
      </w:r>
      <w:r w:rsidR="00FE6266">
        <w:rPr>
          <w:rFonts w:ascii="Times New Roman" w:eastAsiaTheme="majorEastAsia" w:hAnsi="Times New Roman" w:cs="Times New Roman"/>
          <w:bCs/>
          <w:sz w:val="28"/>
          <w:szCs w:val="28"/>
        </w:rPr>
        <w:t>īcības virzienā „</w:t>
      </w:r>
      <w:r w:rsidR="00326DDE">
        <w:rPr>
          <w:rFonts w:ascii="Times New Roman" w:eastAsiaTheme="majorEastAsia" w:hAnsi="Times New Roman" w:cs="Times New Roman"/>
          <w:bCs/>
          <w:sz w:val="28"/>
          <w:szCs w:val="28"/>
        </w:rPr>
        <w:t xml:space="preserve">Dabas un kultūras kapitāla ilgtspējīga apsaimniekošana” iekļauti šādi uzdevumi: uzdevums [438] Stimulēt zemes un citu dabas resursu ilgtspējīgu izmantošanu un bioloģisko daudzveidību, pielietojot vidi saudzējošas tehnoloģijas, kas cita starpā būtu attiecināms uz energoresursu un no tiem iegūtās enerģijas efektivitātes veicināšanu; uzdevums [439] </w:t>
      </w:r>
      <w:proofErr w:type="spellStart"/>
      <w:r w:rsidR="00326DDE">
        <w:rPr>
          <w:rFonts w:ascii="Times New Roman" w:eastAsiaTheme="majorEastAsia" w:hAnsi="Times New Roman" w:cs="Times New Roman"/>
          <w:bCs/>
          <w:sz w:val="28"/>
          <w:szCs w:val="28"/>
        </w:rPr>
        <w:t>Energoefektīvu</w:t>
      </w:r>
      <w:proofErr w:type="spellEnd"/>
      <w:r w:rsidR="00326DDE">
        <w:rPr>
          <w:rFonts w:ascii="Times New Roman" w:eastAsiaTheme="majorEastAsia" w:hAnsi="Times New Roman" w:cs="Times New Roman"/>
          <w:bCs/>
          <w:sz w:val="28"/>
          <w:szCs w:val="28"/>
        </w:rPr>
        <w:t xml:space="preserve"> un ekoloģiskas izcelsmes preču un pakalpojumu  (</w:t>
      </w:r>
      <w:r w:rsidR="00D05F74">
        <w:rPr>
          <w:rFonts w:ascii="Times New Roman" w:eastAsiaTheme="majorEastAsia" w:hAnsi="Times New Roman" w:cs="Times New Roman"/>
          <w:bCs/>
          <w:sz w:val="28"/>
          <w:szCs w:val="28"/>
        </w:rPr>
        <w:t xml:space="preserve">„Zaļais publiskais iepirkums”) </w:t>
      </w:r>
      <w:r w:rsidR="00326DDE">
        <w:rPr>
          <w:rFonts w:ascii="Times New Roman" w:eastAsiaTheme="majorEastAsia" w:hAnsi="Times New Roman" w:cs="Times New Roman"/>
          <w:bCs/>
          <w:sz w:val="28"/>
          <w:szCs w:val="28"/>
        </w:rPr>
        <w:t>plašāka nodrošināšana publiskajos iepirkumos</w:t>
      </w:r>
      <w:r w:rsidR="006F613F">
        <w:rPr>
          <w:rFonts w:ascii="Times New Roman" w:eastAsiaTheme="majorEastAsia" w:hAnsi="Times New Roman" w:cs="Times New Roman"/>
          <w:bCs/>
          <w:sz w:val="28"/>
          <w:szCs w:val="28"/>
        </w:rPr>
        <w:t>, kas paredz palielināt publiskā sektora parauga lomu attiecībā uz energoefektivitāti</w:t>
      </w:r>
      <w:r w:rsidR="00223838" w:rsidRPr="00223838">
        <w:rPr>
          <w:rFonts w:ascii="Times New Roman" w:eastAsiaTheme="majorEastAsia" w:hAnsi="Times New Roman" w:cs="Times New Roman"/>
          <w:bCs/>
          <w:sz w:val="28"/>
          <w:szCs w:val="28"/>
        </w:rPr>
        <w:t>.</w:t>
      </w:r>
    </w:p>
    <w:p w:rsidR="00C4470F" w:rsidRDefault="00C94EFB" w:rsidP="00113A95">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Ņemot vērā kopš 2006.</w:t>
      </w:r>
      <w:r w:rsidR="002E31DA">
        <w:rPr>
          <w:rFonts w:ascii="Times New Roman" w:eastAsiaTheme="majorEastAsia" w:hAnsi="Times New Roman" w:cs="Times New Roman"/>
          <w:bCs/>
          <w:sz w:val="28"/>
          <w:szCs w:val="28"/>
        </w:rPr>
        <w:t> </w:t>
      </w:r>
      <w:r>
        <w:rPr>
          <w:rFonts w:ascii="Times New Roman" w:eastAsiaTheme="majorEastAsia" w:hAnsi="Times New Roman" w:cs="Times New Roman"/>
          <w:bCs/>
          <w:sz w:val="28"/>
          <w:szCs w:val="28"/>
        </w:rPr>
        <w:t xml:space="preserve">gada pieņemtos </w:t>
      </w:r>
      <w:r w:rsidR="00EB5B68">
        <w:rPr>
          <w:rFonts w:ascii="Times New Roman" w:eastAsiaTheme="majorEastAsia" w:hAnsi="Times New Roman" w:cs="Times New Roman"/>
          <w:bCs/>
          <w:sz w:val="28"/>
          <w:szCs w:val="28"/>
        </w:rPr>
        <w:t xml:space="preserve">ES </w:t>
      </w:r>
      <w:r>
        <w:rPr>
          <w:rFonts w:ascii="Times New Roman" w:eastAsiaTheme="majorEastAsia" w:hAnsi="Times New Roman" w:cs="Times New Roman"/>
          <w:bCs/>
          <w:sz w:val="28"/>
          <w:szCs w:val="28"/>
        </w:rPr>
        <w:t>tiesību aktus</w:t>
      </w:r>
      <w:r w:rsidR="00004727">
        <w:rPr>
          <w:rFonts w:ascii="Times New Roman" w:eastAsiaTheme="majorEastAsia" w:hAnsi="Times New Roman" w:cs="Times New Roman"/>
          <w:bCs/>
          <w:sz w:val="28"/>
          <w:szCs w:val="28"/>
        </w:rPr>
        <w:t xml:space="preserve"> un tajos noteiktās Latvijas saistības, </w:t>
      </w:r>
      <w:r w:rsidR="008B24F7">
        <w:rPr>
          <w:rFonts w:ascii="Times New Roman" w:eastAsiaTheme="majorEastAsia" w:hAnsi="Times New Roman" w:cs="Times New Roman"/>
          <w:bCs/>
          <w:sz w:val="28"/>
          <w:szCs w:val="28"/>
        </w:rPr>
        <w:t>NAP2020</w:t>
      </w:r>
      <w:r>
        <w:rPr>
          <w:rFonts w:ascii="Times New Roman" w:eastAsiaTheme="majorEastAsia" w:hAnsi="Times New Roman" w:cs="Times New Roman"/>
          <w:bCs/>
          <w:sz w:val="28"/>
          <w:szCs w:val="28"/>
        </w:rPr>
        <w:t>,</w:t>
      </w:r>
      <w:r w:rsidR="002E13F9">
        <w:rPr>
          <w:rFonts w:ascii="Times New Roman" w:eastAsiaTheme="majorEastAsia" w:hAnsi="Times New Roman" w:cs="Times New Roman"/>
          <w:bCs/>
          <w:sz w:val="28"/>
          <w:szCs w:val="28"/>
        </w:rPr>
        <w:t xml:space="preserve"> </w:t>
      </w:r>
      <w:r w:rsidR="00004727">
        <w:rPr>
          <w:rFonts w:ascii="Times New Roman" w:eastAsiaTheme="majorEastAsia" w:hAnsi="Times New Roman" w:cs="Times New Roman"/>
          <w:bCs/>
          <w:sz w:val="28"/>
          <w:szCs w:val="28"/>
        </w:rPr>
        <w:t xml:space="preserve">kā arī </w:t>
      </w:r>
      <w:r w:rsidR="00CA18DD">
        <w:rPr>
          <w:rFonts w:ascii="Times New Roman" w:eastAsiaTheme="majorEastAsia" w:hAnsi="Times New Roman" w:cs="Times New Roman"/>
          <w:bCs/>
          <w:sz w:val="28"/>
          <w:szCs w:val="28"/>
        </w:rPr>
        <w:t xml:space="preserve">energoefektivitātes </w:t>
      </w:r>
      <w:r w:rsidR="00004727">
        <w:rPr>
          <w:rFonts w:ascii="Times New Roman" w:eastAsiaTheme="majorEastAsia" w:hAnsi="Times New Roman" w:cs="Times New Roman"/>
          <w:bCs/>
          <w:sz w:val="28"/>
          <w:szCs w:val="28"/>
        </w:rPr>
        <w:t>pasākumu ieviešanas</w:t>
      </w:r>
      <w:r w:rsidR="00004727" w:rsidRPr="00004727">
        <w:rPr>
          <w:rFonts w:ascii="Times New Roman" w:eastAsiaTheme="majorEastAsia" w:hAnsi="Times New Roman" w:cs="Times New Roman"/>
          <w:bCs/>
          <w:sz w:val="28"/>
          <w:szCs w:val="28"/>
        </w:rPr>
        <w:t xml:space="preserve"> pieredzi</w:t>
      </w:r>
      <w:r w:rsidR="00004727">
        <w:rPr>
          <w:rFonts w:ascii="Times New Roman" w:eastAsiaTheme="majorEastAsia" w:hAnsi="Times New Roman" w:cs="Times New Roman"/>
          <w:bCs/>
          <w:sz w:val="28"/>
          <w:szCs w:val="28"/>
        </w:rPr>
        <w:t xml:space="preserve">, </w:t>
      </w:r>
      <w:r w:rsidR="008B24F7">
        <w:rPr>
          <w:rFonts w:ascii="Times New Roman" w:eastAsiaTheme="majorEastAsia" w:hAnsi="Times New Roman" w:cs="Times New Roman"/>
          <w:bCs/>
          <w:sz w:val="28"/>
          <w:szCs w:val="28"/>
        </w:rPr>
        <w:t>ir secināts</w:t>
      </w:r>
      <w:r w:rsidR="00004727">
        <w:rPr>
          <w:rFonts w:ascii="Times New Roman" w:eastAsiaTheme="majorEastAsia" w:hAnsi="Times New Roman" w:cs="Times New Roman"/>
          <w:bCs/>
          <w:sz w:val="28"/>
          <w:szCs w:val="28"/>
        </w:rPr>
        <w:t xml:space="preserve">, ka </w:t>
      </w:r>
      <w:r w:rsidR="002E31DA">
        <w:rPr>
          <w:rFonts w:ascii="Times New Roman" w:eastAsiaTheme="majorEastAsia" w:hAnsi="Times New Roman" w:cs="Times New Roman"/>
          <w:bCs/>
          <w:sz w:val="28"/>
          <w:szCs w:val="28"/>
        </w:rPr>
        <w:t xml:space="preserve">līdzšinējos </w:t>
      </w:r>
      <w:r>
        <w:rPr>
          <w:rFonts w:ascii="Times New Roman" w:eastAsiaTheme="majorEastAsia" w:hAnsi="Times New Roman" w:cs="Times New Roman"/>
          <w:bCs/>
          <w:sz w:val="28"/>
          <w:szCs w:val="28"/>
        </w:rPr>
        <w:t>politikas un mērķ</w:t>
      </w:r>
      <w:r w:rsidR="00004727">
        <w:rPr>
          <w:rFonts w:ascii="Times New Roman" w:eastAsiaTheme="majorEastAsia" w:hAnsi="Times New Roman" w:cs="Times New Roman"/>
          <w:bCs/>
          <w:sz w:val="28"/>
          <w:szCs w:val="28"/>
        </w:rPr>
        <w:t xml:space="preserve">us ir nepieciešams </w:t>
      </w:r>
      <w:r w:rsidR="00C11C3C">
        <w:rPr>
          <w:rFonts w:ascii="Times New Roman" w:eastAsiaTheme="majorEastAsia" w:hAnsi="Times New Roman" w:cs="Times New Roman"/>
          <w:bCs/>
          <w:sz w:val="28"/>
          <w:szCs w:val="28"/>
        </w:rPr>
        <w:t>precizēt</w:t>
      </w:r>
      <w:r w:rsidR="00004727">
        <w:rPr>
          <w:rFonts w:ascii="Times New Roman" w:eastAsiaTheme="majorEastAsia" w:hAnsi="Times New Roman" w:cs="Times New Roman"/>
          <w:bCs/>
          <w:sz w:val="28"/>
          <w:szCs w:val="28"/>
        </w:rPr>
        <w:t xml:space="preserve">. </w:t>
      </w:r>
      <w:r w:rsidR="00F22D4D">
        <w:rPr>
          <w:rFonts w:ascii="Times New Roman" w:eastAsiaTheme="majorEastAsia" w:hAnsi="Times New Roman" w:cs="Times New Roman"/>
          <w:bCs/>
          <w:sz w:val="28"/>
          <w:szCs w:val="28"/>
        </w:rPr>
        <w:t>EM</w:t>
      </w:r>
      <w:r w:rsidR="00333E7F">
        <w:rPr>
          <w:rFonts w:ascii="Times New Roman" w:eastAsiaTheme="majorEastAsia" w:hAnsi="Times New Roman" w:cs="Times New Roman"/>
          <w:bCs/>
          <w:sz w:val="28"/>
          <w:szCs w:val="28"/>
        </w:rPr>
        <w:t xml:space="preserve"> s</w:t>
      </w:r>
      <w:r w:rsidR="00ED518E">
        <w:rPr>
          <w:rFonts w:ascii="Times New Roman" w:eastAsiaTheme="majorEastAsia" w:hAnsi="Times New Roman" w:cs="Times New Roman"/>
          <w:bCs/>
          <w:sz w:val="28"/>
          <w:szCs w:val="28"/>
        </w:rPr>
        <w:t>agatavo</w:t>
      </w:r>
      <w:r w:rsidR="00333E7F">
        <w:rPr>
          <w:rFonts w:ascii="Times New Roman" w:eastAsiaTheme="majorEastAsia" w:hAnsi="Times New Roman" w:cs="Times New Roman"/>
          <w:bCs/>
          <w:sz w:val="28"/>
          <w:szCs w:val="28"/>
        </w:rPr>
        <w:t>tais politikas plānošanas dokuments</w:t>
      </w:r>
      <w:r w:rsidR="00ED518E" w:rsidRPr="00627127">
        <w:rPr>
          <w:rFonts w:ascii="Times New Roman" w:eastAsiaTheme="majorEastAsia" w:hAnsi="Times New Roman" w:cs="Times New Roman"/>
          <w:bCs/>
          <w:sz w:val="28"/>
          <w:szCs w:val="28"/>
        </w:rPr>
        <w:t xml:space="preserve"> </w:t>
      </w:r>
      <w:r w:rsidR="00ED518E" w:rsidRPr="00627127">
        <w:rPr>
          <w:rFonts w:ascii="Times New Roman" w:eastAsiaTheme="majorEastAsia" w:hAnsi="Times New Roman" w:cs="Times New Roman"/>
          <w:b/>
          <w:bCs/>
          <w:sz w:val="28"/>
          <w:szCs w:val="28"/>
        </w:rPr>
        <w:t>„</w:t>
      </w:r>
      <w:r w:rsidR="006827EC" w:rsidRPr="00627127">
        <w:rPr>
          <w:rFonts w:ascii="Times New Roman" w:eastAsiaTheme="majorEastAsia" w:hAnsi="Times New Roman" w:cs="Times New Roman"/>
          <w:b/>
          <w:bCs/>
          <w:sz w:val="28"/>
          <w:szCs w:val="28"/>
        </w:rPr>
        <w:t>Informatīvais ziņojums</w:t>
      </w:r>
      <w:r w:rsidR="00C4470F" w:rsidRPr="00627127">
        <w:rPr>
          <w:rFonts w:ascii="Times New Roman" w:eastAsiaTheme="majorEastAsia" w:hAnsi="Times New Roman" w:cs="Times New Roman"/>
          <w:b/>
          <w:bCs/>
          <w:sz w:val="28"/>
          <w:szCs w:val="28"/>
        </w:rPr>
        <w:t xml:space="preserve"> </w:t>
      </w:r>
      <w:r w:rsidR="006827EC" w:rsidRPr="00627127">
        <w:rPr>
          <w:rFonts w:ascii="Times New Roman" w:eastAsiaTheme="majorEastAsia" w:hAnsi="Times New Roman" w:cs="Times New Roman"/>
          <w:b/>
          <w:bCs/>
          <w:sz w:val="28"/>
          <w:szCs w:val="28"/>
        </w:rPr>
        <w:t>Latvijas Enerģētikas ilgtermiņa stratēģija 2030 – konkurētspējīga enerģētika sabiedrībai</w:t>
      </w:r>
      <w:r w:rsidR="00C4470F" w:rsidRPr="00627127">
        <w:rPr>
          <w:rFonts w:ascii="Times New Roman" w:eastAsiaTheme="majorEastAsia" w:hAnsi="Times New Roman" w:cs="Times New Roman"/>
          <w:b/>
          <w:bCs/>
          <w:sz w:val="28"/>
          <w:szCs w:val="28"/>
        </w:rPr>
        <w:t>”</w:t>
      </w:r>
      <w:r w:rsidR="00ED518E">
        <w:rPr>
          <w:rFonts w:ascii="Times New Roman" w:eastAsiaTheme="majorEastAsia" w:hAnsi="Times New Roman" w:cs="Times New Roman"/>
          <w:bCs/>
          <w:sz w:val="28"/>
          <w:szCs w:val="28"/>
        </w:rPr>
        <w:t xml:space="preserve"> paredz </w:t>
      </w:r>
      <w:r w:rsidR="00ED518E" w:rsidRPr="00ED518E">
        <w:rPr>
          <w:rFonts w:ascii="Times New Roman" w:eastAsiaTheme="majorEastAsia" w:hAnsi="Times New Roman" w:cs="Times New Roman"/>
          <w:bCs/>
          <w:sz w:val="28"/>
          <w:szCs w:val="28"/>
        </w:rPr>
        <w:t xml:space="preserve">izstrādāt </w:t>
      </w:r>
      <w:r w:rsidR="00ED518E">
        <w:rPr>
          <w:rFonts w:ascii="Times New Roman" w:eastAsiaTheme="majorEastAsia" w:hAnsi="Times New Roman" w:cs="Times New Roman"/>
          <w:bCs/>
          <w:sz w:val="28"/>
          <w:szCs w:val="28"/>
        </w:rPr>
        <w:t>jaunas</w:t>
      </w:r>
      <w:r w:rsidR="00ED518E" w:rsidRPr="00ED518E">
        <w:rPr>
          <w:rFonts w:ascii="Times New Roman" w:eastAsiaTheme="majorEastAsia" w:hAnsi="Times New Roman" w:cs="Times New Roman"/>
          <w:bCs/>
          <w:sz w:val="28"/>
          <w:szCs w:val="28"/>
        </w:rPr>
        <w:t xml:space="preserve"> enerģētikas politikas pamatnostādnes laika periodam no 2014.</w:t>
      </w:r>
      <w:r w:rsidR="002E31DA">
        <w:rPr>
          <w:rFonts w:ascii="Times New Roman" w:eastAsiaTheme="majorEastAsia" w:hAnsi="Times New Roman" w:cs="Times New Roman"/>
          <w:bCs/>
          <w:sz w:val="28"/>
          <w:szCs w:val="28"/>
        </w:rPr>
        <w:t> </w:t>
      </w:r>
      <w:r w:rsidR="00ED518E" w:rsidRPr="00ED518E">
        <w:rPr>
          <w:rFonts w:ascii="Times New Roman" w:eastAsiaTheme="majorEastAsia" w:hAnsi="Times New Roman" w:cs="Times New Roman"/>
          <w:bCs/>
          <w:sz w:val="28"/>
          <w:szCs w:val="28"/>
        </w:rPr>
        <w:t>-</w:t>
      </w:r>
      <w:r w:rsidR="002E31DA">
        <w:rPr>
          <w:rFonts w:ascii="Times New Roman" w:eastAsiaTheme="majorEastAsia" w:hAnsi="Times New Roman" w:cs="Times New Roman"/>
          <w:bCs/>
          <w:sz w:val="28"/>
          <w:szCs w:val="28"/>
        </w:rPr>
        <w:t> </w:t>
      </w:r>
      <w:r w:rsidR="00ED518E" w:rsidRPr="00ED518E">
        <w:rPr>
          <w:rFonts w:ascii="Times New Roman" w:eastAsiaTheme="majorEastAsia" w:hAnsi="Times New Roman" w:cs="Times New Roman"/>
          <w:bCs/>
          <w:sz w:val="28"/>
          <w:szCs w:val="28"/>
        </w:rPr>
        <w:t>2020.</w:t>
      </w:r>
      <w:r w:rsidR="002E31DA">
        <w:rPr>
          <w:rFonts w:ascii="Times New Roman" w:eastAsiaTheme="majorEastAsia" w:hAnsi="Times New Roman" w:cs="Times New Roman"/>
          <w:bCs/>
          <w:sz w:val="28"/>
          <w:szCs w:val="28"/>
        </w:rPr>
        <w:t> </w:t>
      </w:r>
      <w:r w:rsidR="00ED518E" w:rsidRPr="00ED518E">
        <w:rPr>
          <w:rFonts w:ascii="Times New Roman" w:eastAsiaTheme="majorEastAsia" w:hAnsi="Times New Roman" w:cs="Times New Roman"/>
          <w:bCs/>
          <w:sz w:val="28"/>
          <w:szCs w:val="28"/>
        </w:rPr>
        <w:t>gadam.</w:t>
      </w:r>
      <w:r w:rsidR="00ED518E">
        <w:rPr>
          <w:rFonts w:ascii="Times New Roman" w:eastAsiaTheme="majorEastAsia" w:hAnsi="Times New Roman" w:cs="Times New Roman"/>
          <w:bCs/>
          <w:sz w:val="28"/>
          <w:szCs w:val="28"/>
        </w:rPr>
        <w:t xml:space="preserve"> </w:t>
      </w:r>
      <w:r w:rsidR="00C4470F">
        <w:rPr>
          <w:rFonts w:ascii="Times New Roman" w:eastAsiaTheme="majorEastAsia" w:hAnsi="Times New Roman" w:cs="Times New Roman"/>
          <w:bCs/>
          <w:sz w:val="28"/>
          <w:szCs w:val="28"/>
        </w:rPr>
        <w:t xml:space="preserve">Energoefektivitātes </w:t>
      </w:r>
      <w:r w:rsidR="00C4470F">
        <w:rPr>
          <w:rFonts w:ascii="Times New Roman" w:eastAsiaTheme="majorEastAsia" w:hAnsi="Times New Roman" w:cs="Times New Roman"/>
          <w:bCs/>
          <w:sz w:val="28"/>
          <w:szCs w:val="28"/>
        </w:rPr>
        <w:lastRenderedPageBreak/>
        <w:t xml:space="preserve">paaugstināšanu </w:t>
      </w:r>
      <w:r w:rsidR="005B4A0F">
        <w:rPr>
          <w:rFonts w:ascii="Times New Roman" w:eastAsiaTheme="majorEastAsia" w:hAnsi="Times New Roman" w:cs="Times New Roman"/>
          <w:bCs/>
          <w:sz w:val="28"/>
          <w:szCs w:val="28"/>
        </w:rPr>
        <w:t>turpmāk</w:t>
      </w:r>
      <w:r w:rsidR="00C4470F">
        <w:rPr>
          <w:rFonts w:ascii="Times New Roman" w:eastAsiaTheme="majorEastAsia" w:hAnsi="Times New Roman" w:cs="Times New Roman"/>
          <w:bCs/>
          <w:sz w:val="28"/>
          <w:szCs w:val="28"/>
        </w:rPr>
        <w:t xml:space="preserve"> paredzēts noteikt par nacionālo prioritāti, kas izmaksu efektīvā veidā samazina ekonomikas </w:t>
      </w:r>
      <w:r w:rsidR="00C4470F" w:rsidRPr="00C4470F">
        <w:rPr>
          <w:rFonts w:ascii="Times New Roman" w:eastAsiaTheme="majorEastAsia" w:hAnsi="Times New Roman" w:cs="Times New Roman"/>
          <w:bCs/>
          <w:sz w:val="28"/>
          <w:szCs w:val="28"/>
        </w:rPr>
        <w:t>energoapgādes drošības, ilgtspējas</w:t>
      </w:r>
      <w:r w:rsidR="00C4470F">
        <w:rPr>
          <w:rFonts w:ascii="Times New Roman" w:eastAsiaTheme="majorEastAsia" w:hAnsi="Times New Roman" w:cs="Times New Roman"/>
          <w:bCs/>
          <w:sz w:val="28"/>
          <w:szCs w:val="28"/>
        </w:rPr>
        <w:t xml:space="preserve"> un</w:t>
      </w:r>
      <w:r w:rsidR="00C4470F" w:rsidRPr="00C4470F">
        <w:rPr>
          <w:rFonts w:ascii="Times New Roman" w:eastAsiaTheme="majorEastAsia" w:hAnsi="Times New Roman" w:cs="Times New Roman"/>
          <w:bCs/>
          <w:sz w:val="28"/>
          <w:szCs w:val="28"/>
        </w:rPr>
        <w:t xml:space="preserve"> konkurētspējas riskus, vienlaicīgi radot papildu darbavietas un veicinot izaugsmi. </w:t>
      </w:r>
    </w:p>
    <w:p w:rsidR="00CD1349" w:rsidRDefault="00ED518E" w:rsidP="00E10E47">
      <w:pPr>
        <w:spacing w:after="0" w:line="240" w:lineRule="auto"/>
        <w:ind w:firstLine="720"/>
        <w:jc w:val="both"/>
        <w:rPr>
          <w:rFonts w:ascii="Times New Roman" w:eastAsiaTheme="majorEastAsia" w:hAnsi="Times New Roman" w:cs="Times New Roman"/>
          <w:bCs/>
          <w:sz w:val="28"/>
          <w:szCs w:val="28"/>
        </w:rPr>
      </w:pPr>
      <w:r w:rsidRPr="00CD1349">
        <w:rPr>
          <w:rFonts w:ascii="Times New Roman" w:eastAsiaTheme="majorEastAsia" w:hAnsi="Times New Roman" w:cs="Times New Roman"/>
          <w:bCs/>
          <w:sz w:val="28"/>
          <w:szCs w:val="28"/>
        </w:rPr>
        <w:t>2011.</w:t>
      </w:r>
      <w:r w:rsidR="002E31DA">
        <w:rPr>
          <w:rFonts w:ascii="Times New Roman" w:eastAsiaTheme="majorEastAsia" w:hAnsi="Times New Roman" w:cs="Times New Roman"/>
          <w:bCs/>
          <w:sz w:val="28"/>
          <w:szCs w:val="28"/>
        </w:rPr>
        <w:t> </w:t>
      </w:r>
      <w:r w:rsidRPr="00CD1349">
        <w:rPr>
          <w:rFonts w:ascii="Times New Roman" w:eastAsiaTheme="majorEastAsia" w:hAnsi="Times New Roman" w:cs="Times New Roman"/>
          <w:bCs/>
          <w:sz w:val="28"/>
          <w:szCs w:val="28"/>
        </w:rPr>
        <w:t>gadā  pieņemt</w:t>
      </w:r>
      <w:r w:rsidR="00CD1349" w:rsidRPr="00CD1349">
        <w:rPr>
          <w:rFonts w:ascii="Times New Roman" w:eastAsiaTheme="majorEastAsia" w:hAnsi="Times New Roman" w:cs="Times New Roman"/>
          <w:bCs/>
          <w:sz w:val="28"/>
          <w:szCs w:val="28"/>
        </w:rPr>
        <w:t>ā</w:t>
      </w:r>
      <w:r w:rsidRPr="00CD1349">
        <w:rPr>
          <w:rFonts w:ascii="Times New Roman" w:eastAsiaTheme="majorEastAsia" w:hAnsi="Times New Roman" w:cs="Times New Roman"/>
          <w:bCs/>
          <w:sz w:val="28"/>
          <w:szCs w:val="28"/>
        </w:rPr>
        <w:t xml:space="preserve"> </w:t>
      </w:r>
      <w:r w:rsidRPr="00CD1349">
        <w:rPr>
          <w:rFonts w:ascii="Times New Roman" w:eastAsiaTheme="majorEastAsia" w:hAnsi="Times New Roman" w:cs="Times New Roman"/>
          <w:b/>
          <w:bCs/>
          <w:sz w:val="28"/>
          <w:szCs w:val="28"/>
        </w:rPr>
        <w:t>„Latvijas nacionālā reformu programma „ES 2020” stratēģijas īstenošanai”</w:t>
      </w:r>
      <w:r w:rsidR="00CD1349" w:rsidRPr="00CD1349">
        <w:rPr>
          <w:rFonts w:ascii="Times New Roman" w:eastAsiaTheme="majorEastAsia" w:hAnsi="Times New Roman" w:cs="Times New Roman"/>
          <w:bCs/>
          <w:sz w:val="28"/>
          <w:szCs w:val="28"/>
        </w:rPr>
        <w:t xml:space="preserve"> nosaka mērķi 2020.</w:t>
      </w:r>
      <w:r w:rsidR="002E31DA">
        <w:rPr>
          <w:rFonts w:ascii="Times New Roman" w:eastAsiaTheme="majorEastAsia" w:hAnsi="Times New Roman" w:cs="Times New Roman"/>
          <w:bCs/>
          <w:sz w:val="28"/>
          <w:szCs w:val="28"/>
        </w:rPr>
        <w:t> </w:t>
      </w:r>
      <w:r w:rsidR="00CD1349" w:rsidRPr="00CD1349">
        <w:rPr>
          <w:rFonts w:ascii="Times New Roman" w:eastAsiaTheme="majorEastAsia" w:hAnsi="Times New Roman" w:cs="Times New Roman"/>
          <w:bCs/>
          <w:sz w:val="28"/>
          <w:szCs w:val="28"/>
        </w:rPr>
        <w:t xml:space="preserve">gadā sasniegt </w:t>
      </w:r>
      <w:r w:rsidR="009070DA">
        <w:rPr>
          <w:rFonts w:ascii="Times New Roman" w:eastAsiaTheme="majorEastAsia" w:hAnsi="Times New Roman" w:cs="Times New Roman"/>
          <w:bCs/>
          <w:sz w:val="28"/>
          <w:szCs w:val="28"/>
        </w:rPr>
        <w:t xml:space="preserve">primārās </w:t>
      </w:r>
      <w:r w:rsidR="00CD1349" w:rsidRPr="00CD1349">
        <w:rPr>
          <w:rFonts w:ascii="Times New Roman" w:eastAsiaTheme="majorEastAsia" w:hAnsi="Times New Roman" w:cs="Times New Roman"/>
          <w:bCs/>
          <w:sz w:val="28"/>
          <w:szCs w:val="28"/>
        </w:rPr>
        <w:t xml:space="preserve">enerģijas ietaupījumu 0,670 </w:t>
      </w:r>
      <w:proofErr w:type="spellStart"/>
      <w:r w:rsidR="00CD1349" w:rsidRPr="00CD1349">
        <w:rPr>
          <w:rFonts w:ascii="Times New Roman" w:eastAsiaTheme="majorEastAsia" w:hAnsi="Times New Roman" w:cs="Times New Roman"/>
          <w:bCs/>
          <w:sz w:val="28"/>
          <w:szCs w:val="28"/>
        </w:rPr>
        <w:t>Mtoe</w:t>
      </w:r>
      <w:proofErr w:type="spellEnd"/>
      <w:r w:rsidR="00CD1349" w:rsidRPr="00CD1349">
        <w:rPr>
          <w:rFonts w:ascii="Times New Roman" w:eastAsiaTheme="majorEastAsia" w:hAnsi="Times New Roman" w:cs="Times New Roman"/>
          <w:bCs/>
          <w:sz w:val="28"/>
          <w:szCs w:val="28"/>
        </w:rPr>
        <w:t xml:space="preserve"> (ieskaitot pārveidošanas sektoru), salīdzinot ar 2008.</w:t>
      </w:r>
      <w:r w:rsidR="008B24F7">
        <w:rPr>
          <w:rFonts w:ascii="Times New Roman" w:eastAsiaTheme="majorEastAsia" w:hAnsi="Times New Roman" w:cs="Times New Roman"/>
          <w:bCs/>
          <w:sz w:val="28"/>
          <w:szCs w:val="28"/>
        </w:rPr>
        <w:t> </w:t>
      </w:r>
      <w:r w:rsidR="00CD1349" w:rsidRPr="00CD1349">
        <w:rPr>
          <w:rFonts w:ascii="Times New Roman" w:eastAsiaTheme="majorEastAsia" w:hAnsi="Times New Roman" w:cs="Times New Roman"/>
          <w:bCs/>
          <w:sz w:val="28"/>
          <w:szCs w:val="28"/>
        </w:rPr>
        <w:t>gadu. Galvenie politikas virzieni un pasākumi energoefektivitātes palielināšanai: mājokļu siltināšana, energoefektivitātes paaugstināšana sabiedriskās un ražošanas ēkās, efektīvas apgaismojuma infrastruktūras ieviešana pašvaldību publiskajās teritorijās, energoefektivitātes paaugstināšana siltumenerģijas ražošanā, energoefektivitātes paaugstināšana transporta sektorā.</w:t>
      </w:r>
    </w:p>
    <w:p w:rsidR="00771854" w:rsidRPr="00771854" w:rsidRDefault="00CD1349" w:rsidP="00771854">
      <w:pPr>
        <w:spacing w:after="0" w:line="240" w:lineRule="auto"/>
        <w:ind w:firstLine="72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Minētās programmas energoefektivitātes mērķi un </w:t>
      </w:r>
      <w:r w:rsidR="004D2182">
        <w:rPr>
          <w:rFonts w:ascii="Times New Roman" w:eastAsiaTheme="majorEastAsia" w:hAnsi="Times New Roman" w:cs="Times New Roman"/>
          <w:bCs/>
          <w:sz w:val="28"/>
          <w:szCs w:val="28"/>
        </w:rPr>
        <w:t xml:space="preserve">politikas virzieni ir plānoti, ņemot vērā 2011. gadā </w:t>
      </w:r>
      <w:r w:rsidRPr="00CD1349">
        <w:rPr>
          <w:rFonts w:ascii="Times New Roman" w:eastAsiaTheme="majorEastAsia" w:hAnsi="Times New Roman" w:cs="Times New Roman"/>
          <w:bCs/>
          <w:sz w:val="28"/>
          <w:szCs w:val="28"/>
        </w:rPr>
        <w:t>apstiprināt</w:t>
      </w:r>
      <w:r>
        <w:rPr>
          <w:rFonts w:ascii="Times New Roman" w:eastAsiaTheme="majorEastAsia" w:hAnsi="Times New Roman" w:cs="Times New Roman"/>
          <w:bCs/>
          <w:sz w:val="28"/>
          <w:szCs w:val="28"/>
        </w:rPr>
        <w:t>o</w:t>
      </w:r>
      <w:r w:rsidRPr="00CD1349">
        <w:rPr>
          <w:rFonts w:ascii="Times New Roman" w:eastAsiaTheme="majorEastAsia" w:hAnsi="Times New Roman" w:cs="Times New Roman"/>
          <w:bCs/>
          <w:sz w:val="28"/>
          <w:szCs w:val="28"/>
        </w:rPr>
        <w:t xml:space="preserve"> </w:t>
      </w:r>
      <w:r w:rsidRPr="00F01FF6">
        <w:rPr>
          <w:rFonts w:ascii="Times New Roman" w:eastAsiaTheme="majorEastAsia" w:hAnsi="Times New Roman" w:cs="Times New Roman"/>
          <w:b/>
          <w:bCs/>
          <w:sz w:val="28"/>
          <w:szCs w:val="28"/>
        </w:rPr>
        <w:t xml:space="preserve">„Latvijas Republikas Otro energoefektivitātes rīcības plānu 2011. - 2013. </w:t>
      </w:r>
      <w:r w:rsidR="004D2182" w:rsidRPr="00F01FF6">
        <w:rPr>
          <w:rFonts w:ascii="Times New Roman" w:eastAsiaTheme="majorEastAsia" w:hAnsi="Times New Roman" w:cs="Times New Roman"/>
          <w:b/>
          <w:bCs/>
          <w:sz w:val="28"/>
          <w:szCs w:val="28"/>
        </w:rPr>
        <w:t>g</w:t>
      </w:r>
      <w:r w:rsidRPr="00F01FF6">
        <w:rPr>
          <w:rFonts w:ascii="Times New Roman" w:eastAsiaTheme="majorEastAsia" w:hAnsi="Times New Roman" w:cs="Times New Roman"/>
          <w:b/>
          <w:bCs/>
          <w:sz w:val="28"/>
          <w:szCs w:val="28"/>
        </w:rPr>
        <w:t>adam</w:t>
      </w:r>
      <w:r w:rsidR="004D2182" w:rsidRPr="00F01FF6">
        <w:rPr>
          <w:rFonts w:ascii="Times New Roman" w:eastAsiaTheme="majorEastAsia" w:hAnsi="Times New Roman" w:cs="Times New Roman"/>
          <w:b/>
          <w:bCs/>
          <w:sz w:val="28"/>
          <w:szCs w:val="28"/>
        </w:rPr>
        <w:t>”</w:t>
      </w:r>
      <w:r w:rsidR="00F01FF6">
        <w:rPr>
          <w:rFonts w:ascii="Times New Roman" w:eastAsiaTheme="majorEastAsia" w:hAnsi="Times New Roman" w:cs="Times New Roman"/>
          <w:b/>
          <w:bCs/>
          <w:sz w:val="28"/>
          <w:szCs w:val="28"/>
        </w:rPr>
        <w:t xml:space="preserve"> </w:t>
      </w:r>
      <w:r w:rsidR="00F01FF6" w:rsidRPr="00F01FF6">
        <w:rPr>
          <w:rFonts w:ascii="Times New Roman" w:eastAsiaTheme="majorEastAsia" w:hAnsi="Times New Roman" w:cs="Times New Roman"/>
          <w:bCs/>
          <w:sz w:val="28"/>
          <w:szCs w:val="28"/>
        </w:rPr>
        <w:t>(turpmāk – 2.EERP)</w:t>
      </w:r>
      <w:r w:rsidR="004D2182" w:rsidRPr="00F01FF6">
        <w:rPr>
          <w:rFonts w:ascii="Times New Roman" w:eastAsiaTheme="majorEastAsia" w:hAnsi="Times New Roman" w:cs="Times New Roman"/>
          <w:bCs/>
          <w:sz w:val="28"/>
          <w:szCs w:val="28"/>
        </w:rPr>
        <w:t>,</w:t>
      </w:r>
      <w:r w:rsidR="004D2182">
        <w:rPr>
          <w:rFonts w:ascii="Times New Roman" w:eastAsiaTheme="majorEastAsia" w:hAnsi="Times New Roman" w:cs="Times New Roman"/>
          <w:bCs/>
          <w:sz w:val="28"/>
          <w:szCs w:val="28"/>
        </w:rPr>
        <w:t xml:space="preserve"> paredzot </w:t>
      </w:r>
      <w:r w:rsidR="009A6A73">
        <w:rPr>
          <w:rFonts w:ascii="Times New Roman" w:eastAsiaTheme="majorEastAsia" w:hAnsi="Times New Roman" w:cs="Times New Roman"/>
          <w:bCs/>
          <w:sz w:val="28"/>
          <w:szCs w:val="28"/>
        </w:rPr>
        <w:t>tālākas darbības 2020.</w:t>
      </w:r>
      <w:r w:rsidR="008B24F7">
        <w:rPr>
          <w:rFonts w:ascii="Times New Roman" w:eastAsiaTheme="majorEastAsia" w:hAnsi="Times New Roman" w:cs="Times New Roman"/>
          <w:bCs/>
          <w:sz w:val="28"/>
          <w:szCs w:val="28"/>
        </w:rPr>
        <w:t> </w:t>
      </w:r>
      <w:r w:rsidR="009A6A73">
        <w:rPr>
          <w:rFonts w:ascii="Times New Roman" w:eastAsiaTheme="majorEastAsia" w:hAnsi="Times New Roman" w:cs="Times New Roman"/>
          <w:bCs/>
          <w:sz w:val="28"/>
          <w:szCs w:val="28"/>
        </w:rPr>
        <w:t xml:space="preserve">gada energoefektivitātes mērķa sasniegšanai. </w:t>
      </w:r>
      <w:r>
        <w:rPr>
          <w:rFonts w:ascii="Times New Roman" w:eastAsiaTheme="majorEastAsia" w:hAnsi="Times New Roman" w:cs="Times New Roman"/>
          <w:bCs/>
          <w:sz w:val="28"/>
          <w:szCs w:val="28"/>
        </w:rPr>
        <w:t>Šis plāns veidots, izpild</w:t>
      </w:r>
      <w:r w:rsidR="004D2182">
        <w:rPr>
          <w:rFonts w:ascii="Times New Roman" w:eastAsiaTheme="majorEastAsia" w:hAnsi="Times New Roman" w:cs="Times New Roman"/>
          <w:bCs/>
          <w:sz w:val="28"/>
          <w:szCs w:val="28"/>
        </w:rPr>
        <w:t>ot</w:t>
      </w:r>
      <w:r>
        <w:rPr>
          <w:rFonts w:ascii="Times New Roman" w:eastAsiaTheme="majorEastAsia" w:hAnsi="Times New Roman" w:cs="Times New Roman"/>
          <w:bCs/>
          <w:sz w:val="28"/>
          <w:szCs w:val="28"/>
        </w:rPr>
        <w:t xml:space="preserve"> </w:t>
      </w:r>
      <w:r w:rsidR="00946660" w:rsidRPr="00946660">
        <w:rPr>
          <w:rFonts w:ascii="Times New Roman" w:eastAsiaTheme="majorEastAsia" w:hAnsi="Times New Roman" w:cs="Times New Roman"/>
          <w:bCs/>
          <w:sz w:val="28"/>
          <w:szCs w:val="28"/>
        </w:rPr>
        <w:t>Direktīv</w:t>
      </w:r>
      <w:r w:rsidR="00FF23B8">
        <w:rPr>
          <w:rFonts w:ascii="Times New Roman" w:eastAsiaTheme="majorEastAsia" w:hAnsi="Times New Roman" w:cs="Times New Roman"/>
          <w:bCs/>
          <w:sz w:val="28"/>
          <w:szCs w:val="28"/>
        </w:rPr>
        <w:t>ā</w:t>
      </w:r>
      <w:r w:rsidR="008B24F7">
        <w:rPr>
          <w:rFonts w:ascii="Times New Roman" w:eastAsiaTheme="majorEastAsia" w:hAnsi="Times New Roman" w:cs="Times New Roman"/>
          <w:bCs/>
          <w:sz w:val="28"/>
          <w:szCs w:val="28"/>
        </w:rPr>
        <w:t xml:space="preserve"> </w:t>
      </w:r>
      <w:r w:rsidR="00946660" w:rsidRPr="00946660">
        <w:rPr>
          <w:rFonts w:ascii="Times New Roman" w:eastAsiaTheme="majorEastAsia" w:hAnsi="Times New Roman" w:cs="Times New Roman"/>
          <w:bCs/>
          <w:sz w:val="28"/>
          <w:szCs w:val="28"/>
        </w:rPr>
        <w:t>2006/32/EK</w:t>
      </w:r>
      <w:r w:rsidR="00FF23B8">
        <w:rPr>
          <w:rStyle w:val="FootnoteReference"/>
          <w:rFonts w:ascii="Times New Roman" w:eastAsiaTheme="majorEastAsia" w:hAnsi="Times New Roman" w:cs="Times New Roman"/>
          <w:bCs/>
          <w:sz w:val="28"/>
          <w:szCs w:val="28"/>
        </w:rPr>
        <w:footnoteReference w:id="2"/>
      </w:r>
      <w:r w:rsidR="00946660">
        <w:rPr>
          <w:rFonts w:ascii="Times New Roman" w:eastAsiaTheme="majorEastAsia" w:hAnsi="Times New Roman" w:cs="Times New Roman"/>
          <w:bCs/>
          <w:i/>
          <w:sz w:val="28"/>
          <w:szCs w:val="28"/>
        </w:rPr>
        <w:t xml:space="preserve"> </w:t>
      </w:r>
      <w:r w:rsidR="009A6A73">
        <w:rPr>
          <w:rFonts w:ascii="Times New Roman" w:eastAsiaTheme="majorEastAsia" w:hAnsi="Times New Roman" w:cs="Times New Roman"/>
          <w:bCs/>
          <w:sz w:val="28"/>
          <w:szCs w:val="28"/>
        </w:rPr>
        <w:t>valstij noteikt</w:t>
      </w:r>
      <w:r w:rsidR="00F01FF6">
        <w:rPr>
          <w:rFonts w:ascii="Times New Roman" w:eastAsiaTheme="majorEastAsia" w:hAnsi="Times New Roman" w:cs="Times New Roman"/>
          <w:bCs/>
          <w:sz w:val="28"/>
          <w:szCs w:val="28"/>
        </w:rPr>
        <w:t xml:space="preserve">o indikatīvo enerģijas ietaupījuma mērķi. </w:t>
      </w:r>
      <w:r w:rsidR="00F01FF6" w:rsidRPr="00F01FF6">
        <w:rPr>
          <w:rFonts w:ascii="Times New Roman" w:eastAsiaTheme="majorEastAsia" w:hAnsi="Times New Roman" w:cs="Times New Roman"/>
          <w:bCs/>
          <w:sz w:val="28"/>
          <w:szCs w:val="28"/>
        </w:rPr>
        <w:t xml:space="preserve">2.EERP iekļauti tie enerģijas efektivitātes paaugstināšanas pasākumi, </w:t>
      </w:r>
      <w:r w:rsidR="008B24F7">
        <w:rPr>
          <w:rFonts w:ascii="Times New Roman" w:eastAsiaTheme="majorEastAsia" w:hAnsi="Times New Roman" w:cs="Times New Roman"/>
          <w:bCs/>
          <w:sz w:val="28"/>
          <w:szCs w:val="28"/>
        </w:rPr>
        <w:t>kam</w:t>
      </w:r>
      <w:r w:rsidR="008B24F7" w:rsidRPr="00F01FF6">
        <w:rPr>
          <w:rFonts w:ascii="Times New Roman" w:eastAsiaTheme="majorEastAsia" w:hAnsi="Times New Roman" w:cs="Times New Roman"/>
          <w:bCs/>
          <w:sz w:val="28"/>
          <w:szCs w:val="28"/>
        </w:rPr>
        <w:t xml:space="preserve"> </w:t>
      </w:r>
      <w:r w:rsidR="00F01FF6" w:rsidRPr="00F01FF6">
        <w:rPr>
          <w:rFonts w:ascii="Times New Roman" w:eastAsiaTheme="majorEastAsia" w:hAnsi="Times New Roman" w:cs="Times New Roman"/>
          <w:bCs/>
          <w:sz w:val="28"/>
          <w:szCs w:val="28"/>
        </w:rPr>
        <w:t>līdz 2013.</w:t>
      </w:r>
      <w:r w:rsidR="008B24F7">
        <w:rPr>
          <w:rFonts w:ascii="Times New Roman" w:eastAsiaTheme="majorEastAsia" w:hAnsi="Times New Roman" w:cs="Times New Roman"/>
          <w:bCs/>
          <w:sz w:val="28"/>
          <w:szCs w:val="28"/>
        </w:rPr>
        <w:t> </w:t>
      </w:r>
      <w:r w:rsidR="00F01FF6" w:rsidRPr="00F01FF6">
        <w:rPr>
          <w:rFonts w:ascii="Times New Roman" w:eastAsiaTheme="majorEastAsia" w:hAnsi="Times New Roman" w:cs="Times New Roman"/>
          <w:bCs/>
          <w:sz w:val="28"/>
          <w:szCs w:val="28"/>
        </w:rPr>
        <w:t xml:space="preserve">gadam ir pieejams finansējums no Eiropas </w:t>
      </w:r>
      <w:r w:rsidR="004B5DCC">
        <w:rPr>
          <w:rFonts w:ascii="Times New Roman" w:eastAsiaTheme="majorEastAsia" w:hAnsi="Times New Roman" w:cs="Times New Roman"/>
          <w:bCs/>
          <w:sz w:val="28"/>
          <w:szCs w:val="28"/>
        </w:rPr>
        <w:t xml:space="preserve">Savienības </w:t>
      </w:r>
      <w:r w:rsidR="00F01FF6" w:rsidRPr="00F01FF6">
        <w:rPr>
          <w:rFonts w:ascii="Times New Roman" w:eastAsiaTheme="majorEastAsia" w:hAnsi="Times New Roman" w:cs="Times New Roman"/>
          <w:bCs/>
          <w:sz w:val="28"/>
          <w:szCs w:val="28"/>
        </w:rPr>
        <w:t>fondu</w:t>
      </w:r>
      <w:r w:rsidR="004B5DCC">
        <w:rPr>
          <w:rFonts w:ascii="Times New Roman" w:eastAsiaTheme="majorEastAsia" w:hAnsi="Times New Roman" w:cs="Times New Roman"/>
          <w:bCs/>
          <w:sz w:val="28"/>
          <w:szCs w:val="28"/>
        </w:rPr>
        <w:t xml:space="preserve"> (turpmāk – ES fondi)</w:t>
      </w:r>
      <w:r w:rsidR="00771854">
        <w:rPr>
          <w:rFonts w:ascii="Times New Roman" w:eastAsiaTheme="majorEastAsia" w:hAnsi="Times New Roman" w:cs="Times New Roman"/>
          <w:bCs/>
          <w:sz w:val="28"/>
          <w:szCs w:val="28"/>
        </w:rPr>
        <w:t xml:space="preserve"> – Kohēzijas fonda (KF) un Eiropas Reģionālās attīstības fonda (ERAF) </w:t>
      </w:r>
      <w:r w:rsidR="00F01FF6" w:rsidRPr="00F01FF6">
        <w:rPr>
          <w:rFonts w:ascii="Times New Roman" w:eastAsiaTheme="majorEastAsia" w:hAnsi="Times New Roman" w:cs="Times New Roman"/>
          <w:bCs/>
          <w:sz w:val="28"/>
          <w:szCs w:val="28"/>
        </w:rPr>
        <w:t xml:space="preserve"> programmām, kā arī no Klimata pārmaiņu finanšu instrumenta</w:t>
      </w:r>
      <w:r w:rsidR="004B5DCC">
        <w:rPr>
          <w:rFonts w:ascii="Times New Roman" w:eastAsiaTheme="majorEastAsia" w:hAnsi="Times New Roman" w:cs="Times New Roman"/>
          <w:bCs/>
          <w:sz w:val="28"/>
          <w:szCs w:val="28"/>
        </w:rPr>
        <w:t xml:space="preserve"> (turpmāk – KPFI)</w:t>
      </w:r>
      <w:r w:rsidR="00F01FF6" w:rsidRPr="00F01FF6">
        <w:rPr>
          <w:rFonts w:ascii="Times New Roman" w:eastAsiaTheme="majorEastAsia" w:hAnsi="Times New Roman" w:cs="Times New Roman"/>
          <w:bCs/>
          <w:sz w:val="28"/>
          <w:szCs w:val="28"/>
        </w:rPr>
        <w:t xml:space="preserve"> programmas. Bez tam, 2.EERP iekļauti arī atsevišķi pasākumi, </w:t>
      </w:r>
      <w:r w:rsidR="00D6762E">
        <w:rPr>
          <w:rFonts w:ascii="Times New Roman" w:eastAsiaTheme="majorEastAsia" w:hAnsi="Times New Roman" w:cs="Times New Roman"/>
          <w:bCs/>
          <w:sz w:val="28"/>
          <w:szCs w:val="28"/>
        </w:rPr>
        <w:t>ko</w:t>
      </w:r>
      <w:r w:rsidR="00D6762E" w:rsidRPr="00F01FF6">
        <w:rPr>
          <w:rFonts w:ascii="Times New Roman" w:eastAsiaTheme="majorEastAsia" w:hAnsi="Times New Roman" w:cs="Times New Roman"/>
          <w:bCs/>
          <w:sz w:val="28"/>
          <w:szCs w:val="28"/>
        </w:rPr>
        <w:t xml:space="preserve"> </w:t>
      </w:r>
      <w:r w:rsidR="00F01FF6" w:rsidRPr="00F01FF6">
        <w:rPr>
          <w:rFonts w:ascii="Times New Roman" w:eastAsiaTheme="majorEastAsia" w:hAnsi="Times New Roman" w:cs="Times New Roman"/>
          <w:bCs/>
          <w:sz w:val="28"/>
          <w:szCs w:val="28"/>
        </w:rPr>
        <w:t>finansē komersanti.</w:t>
      </w:r>
      <w:r w:rsidR="00771854" w:rsidRPr="00771854">
        <w:t xml:space="preserve"> </w:t>
      </w:r>
      <w:r w:rsidR="00F22D4D">
        <w:rPr>
          <w:rFonts w:ascii="Times New Roman" w:eastAsiaTheme="majorEastAsia" w:hAnsi="Times New Roman" w:cs="Times New Roman"/>
          <w:bCs/>
          <w:sz w:val="28"/>
          <w:szCs w:val="28"/>
        </w:rPr>
        <w:t>EM</w:t>
      </w:r>
      <w:r w:rsidR="00771854" w:rsidRPr="00771854">
        <w:rPr>
          <w:rFonts w:ascii="Times New Roman" w:eastAsiaTheme="majorEastAsia" w:hAnsi="Times New Roman" w:cs="Times New Roman"/>
          <w:bCs/>
          <w:sz w:val="28"/>
          <w:szCs w:val="28"/>
        </w:rPr>
        <w:t xml:space="preserve"> (atbildīgā iestāde) sadarbībā ar Latvijas Investīciju un attīstības aģentūru (sadarbības iestāde) 2013. gadā turpina īstenot energoefektivitāti veicinošus atbalsta pasākumus:</w:t>
      </w:r>
      <w:r w:rsidR="00771854" w:rsidRPr="00771854">
        <w:t xml:space="preserve"> </w:t>
      </w:r>
      <w:r w:rsidR="00771854">
        <w:rPr>
          <w:rFonts w:ascii="Times New Roman" w:hAnsi="Times New Roman" w:cs="Times New Roman"/>
          <w:sz w:val="28"/>
          <w:szCs w:val="28"/>
        </w:rPr>
        <w:t xml:space="preserve">KF </w:t>
      </w:r>
      <w:r w:rsidR="00771854" w:rsidRPr="00771854">
        <w:rPr>
          <w:rFonts w:ascii="Times New Roman" w:eastAsiaTheme="majorEastAsia" w:hAnsi="Times New Roman" w:cs="Times New Roman"/>
          <w:bCs/>
          <w:sz w:val="28"/>
          <w:szCs w:val="28"/>
        </w:rPr>
        <w:t>3.</w:t>
      </w:r>
      <w:r w:rsidR="00DE5BCF">
        <w:rPr>
          <w:rFonts w:ascii="Times New Roman" w:eastAsiaTheme="majorEastAsia" w:hAnsi="Times New Roman" w:cs="Times New Roman"/>
          <w:bCs/>
          <w:sz w:val="28"/>
          <w:szCs w:val="28"/>
        </w:rPr>
        <w:t> </w:t>
      </w:r>
      <w:r w:rsidR="00771854" w:rsidRPr="00771854">
        <w:rPr>
          <w:rFonts w:ascii="Times New Roman" w:eastAsiaTheme="majorEastAsia" w:hAnsi="Times New Roman" w:cs="Times New Roman"/>
          <w:bCs/>
          <w:sz w:val="28"/>
          <w:szCs w:val="28"/>
        </w:rPr>
        <w:t>darbības programma</w:t>
      </w:r>
      <w:r w:rsidR="009F14EE">
        <w:rPr>
          <w:rFonts w:ascii="Times New Roman" w:eastAsiaTheme="majorEastAsia" w:hAnsi="Times New Roman" w:cs="Times New Roman"/>
          <w:bCs/>
          <w:sz w:val="28"/>
          <w:szCs w:val="28"/>
        </w:rPr>
        <w:t>s</w:t>
      </w:r>
      <w:r w:rsidR="00771854" w:rsidRPr="00771854">
        <w:rPr>
          <w:rFonts w:ascii="Times New Roman" w:eastAsiaTheme="majorEastAsia" w:hAnsi="Times New Roman" w:cs="Times New Roman"/>
          <w:bCs/>
          <w:sz w:val="28"/>
          <w:szCs w:val="28"/>
        </w:rPr>
        <w:t xml:space="preserve"> "Infrastruktūra un pakalpojumi"</w:t>
      </w:r>
      <w:r w:rsidR="009F14EE">
        <w:rPr>
          <w:rFonts w:ascii="Times New Roman" w:eastAsiaTheme="majorEastAsia" w:hAnsi="Times New Roman" w:cs="Times New Roman"/>
          <w:bCs/>
          <w:sz w:val="28"/>
          <w:szCs w:val="28"/>
        </w:rPr>
        <w:t xml:space="preserve"> šādas aktivitātes:</w:t>
      </w:r>
    </w:p>
    <w:p w:rsidR="00771854" w:rsidRDefault="00771854" w:rsidP="00771854">
      <w:pPr>
        <w:pStyle w:val="ListParagraph"/>
        <w:numPr>
          <w:ilvl w:val="0"/>
          <w:numId w:val="27"/>
        </w:numPr>
        <w:spacing w:after="0" w:line="240" w:lineRule="auto"/>
        <w:jc w:val="both"/>
        <w:rPr>
          <w:rFonts w:ascii="Times New Roman" w:eastAsiaTheme="majorEastAsia" w:hAnsi="Times New Roman" w:cs="Times New Roman"/>
          <w:bCs/>
          <w:sz w:val="28"/>
          <w:szCs w:val="28"/>
        </w:rPr>
      </w:pPr>
      <w:r w:rsidRPr="00771854">
        <w:rPr>
          <w:rFonts w:ascii="Times New Roman" w:eastAsiaTheme="majorEastAsia" w:hAnsi="Times New Roman" w:cs="Times New Roman"/>
          <w:bCs/>
          <w:sz w:val="28"/>
          <w:szCs w:val="28"/>
        </w:rPr>
        <w:t xml:space="preserve">3.4.4.1.aktivitāte „Daudzdzīvokļu māju </w:t>
      </w:r>
      <w:proofErr w:type="spellStart"/>
      <w:r w:rsidRPr="00771854">
        <w:rPr>
          <w:rFonts w:ascii="Times New Roman" w:eastAsiaTheme="majorEastAsia" w:hAnsi="Times New Roman" w:cs="Times New Roman"/>
          <w:bCs/>
          <w:sz w:val="28"/>
          <w:szCs w:val="28"/>
        </w:rPr>
        <w:t>siltumnoturības</w:t>
      </w:r>
      <w:proofErr w:type="spellEnd"/>
      <w:r w:rsidRPr="00771854">
        <w:rPr>
          <w:rFonts w:ascii="Times New Roman" w:eastAsiaTheme="majorEastAsia" w:hAnsi="Times New Roman" w:cs="Times New Roman"/>
          <w:bCs/>
          <w:sz w:val="28"/>
          <w:szCs w:val="28"/>
        </w:rPr>
        <w:t xml:space="preserve"> uzlabošanas pasākumi”; ERAF kopējais pieejamais finansējums ir 47,76 </w:t>
      </w:r>
      <w:proofErr w:type="spellStart"/>
      <w:r w:rsidRPr="00771854">
        <w:rPr>
          <w:rFonts w:ascii="Times New Roman" w:eastAsiaTheme="majorEastAsia" w:hAnsi="Times New Roman" w:cs="Times New Roman"/>
          <w:bCs/>
          <w:sz w:val="28"/>
          <w:szCs w:val="28"/>
        </w:rPr>
        <w:t>milj</w:t>
      </w:r>
      <w:proofErr w:type="spellEnd"/>
      <w:r w:rsidRPr="00771854">
        <w:rPr>
          <w:rFonts w:ascii="Times New Roman" w:eastAsiaTheme="majorEastAsia" w:hAnsi="Times New Roman" w:cs="Times New Roman"/>
          <w:bCs/>
          <w:sz w:val="28"/>
          <w:szCs w:val="28"/>
        </w:rPr>
        <w:t>. LVL</w:t>
      </w:r>
      <w:r w:rsidR="004A2238">
        <w:rPr>
          <w:rFonts w:ascii="Times New Roman" w:eastAsiaTheme="majorEastAsia" w:hAnsi="Times New Roman" w:cs="Times New Roman"/>
          <w:bCs/>
          <w:sz w:val="28"/>
          <w:szCs w:val="28"/>
        </w:rPr>
        <w:t xml:space="preserve"> (67,96 </w:t>
      </w:r>
      <w:proofErr w:type="spellStart"/>
      <w:r w:rsidR="004A2238">
        <w:rPr>
          <w:rFonts w:ascii="Times New Roman" w:eastAsiaTheme="majorEastAsia" w:hAnsi="Times New Roman" w:cs="Times New Roman"/>
          <w:bCs/>
          <w:sz w:val="28"/>
          <w:szCs w:val="28"/>
        </w:rPr>
        <w:t>milj</w:t>
      </w:r>
      <w:proofErr w:type="spellEnd"/>
      <w:r w:rsidR="004A2238">
        <w:rPr>
          <w:rFonts w:ascii="Times New Roman" w:eastAsiaTheme="majorEastAsia" w:hAnsi="Times New Roman" w:cs="Times New Roman"/>
          <w:bCs/>
          <w:sz w:val="28"/>
          <w:szCs w:val="28"/>
        </w:rPr>
        <w:t>. EUR)</w:t>
      </w:r>
      <w:r w:rsidRPr="00771854">
        <w:rPr>
          <w:rFonts w:ascii="Times New Roman" w:eastAsiaTheme="majorEastAsia" w:hAnsi="Times New Roman" w:cs="Times New Roman"/>
          <w:bCs/>
          <w:sz w:val="28"/>
          <w:szCs w:val="28"/>
        </w:rPr>
        <w:t xml:space="preserve">, kā arī </w:t>
      </w:r>
      <w:proofErr w:type="spellStart"/>
      <w:r w:rsidRPr="00771854">
        <w:rPr>
          <w:rFonts w:ascii="Times New Roman" w:eastAsiaTheme="majorEastAsia" w:hAnsi="Times New Roman" w:cs="Times New Roman"/>
          <w:bCs/>
          <w:sz w:val="28"/>
          <w:szCs w:val="28"/>
        </w:rPr>
        <w:t>virssaistību</w:t>
      </w:r>
      <w:proofErr w:type="spellEnd"/>
      <w:r w:rsidRPr="00771854">
        <w:rPr>
          <w:rFonts w:ascii="Times New Roman" w:eastAsiaTheme="majorEastAsia" w:hAnsi="Times New Roman" w:cs="Times New Roman"/>
          <w:bCs/>
          <w:sz w:val="28"/>
          <w:szCs w:val="28"/>
        </w:rPr>
        <w:t xml:space="preserve"> finansējums 15 </w:t>
      </w:r>
      <w:proofErr w:type="spellStart"/>
      <w:r w:rsidRPr="00771854">
        <w:rPr>
          <w:rFonts w:ascii="Times New Roman" w:eastAsiaTheme="majorEastAsia" w:hAnsi="Times New Roman" w:cs="Times New Roman"/>
          <w:bCs/>
          <w:sz w:val="28"/>
          <w:szCs w:val="28"/>
        </w:rPr>
        <w:t>milj</w:t>
      </w:r>
      <w:proofErr w:type="spellEnd"/>
      <w:r w:rsidRPr="00771854">
        <w:rPr>
          <w:rFonts w:ascii="Times New Roman" w:eastAsiaTheme="majorEastAsia" w:hAnsi="Times New Roman" w:cs="Times New Roman"/>
          <w:bCs/>
          <w:sz w:val="28"/>
          <w:szCs w:val="28"/>
        </w:rPr>
        <w:t>. LVL</w:t>
      </w:r>
      <w:r w:rsidR="004A2238">
        <w:rPr>
          <w:rFonts w:ascii="Times New Roman" w:eastAsiaTheme="majorEastAsia" w:hAnsi="Times New Roman" w:cs="Times New Roman"/>
          <w:bCs/>
          <w:sz w:val="28"/>
          <w:szCs w:val="28"/>
        </w:rPr>
        <w:t xml:space="preserve"> (21,34 </w:t>
      </w:r>
      <w:proofErr w:type="spellStart"/>
      <w:r w:rsidR="004A2238">
        <w:rPr>
          <w:rFonts w:ascii="Times New Roman" w:eastAsiaTheme="majorEastAsia" w:hAnsi="Times New Roman" w:cs="Times New Roman"/>
          <w:bCs/>
          <w:sz w:val="28"/>
          <w:szCs w:val="28"/>
        </w:rPr>
        <w:t>milj</w:t>
      </w:r>
      <w:proofErr w:type="spellEnd"/>
      <w:r w:rsidR="004A2238">
        <w:rPr>
          <w:rFonts w:ascii="Times New Roman" w:eastAsiaTheme="majorEastAsia" w:hAnsi="Times New Roman" w:cs="Times New Roman"/>
          <w:bCs/>
          <w:sz w:val="28"/>
          <w:szCs w:val="28"/>
        </w:rPr>
        <w:t>. EUR)</w:t>
      </w:r>
      <w:r w:rsidRPr="00771854">
        <w:rPr>
          <w:rFonts w:ascii="Times New Roman" w:eastAsiaTheme="majorEastAsia" w:hAnsi="Times New Roman" w:cs="Times New Roman"/>
          <w:bCs/>
          <w:sz w:val="28"/>
          <w:szCs w:val="28"/>
        </w:rPr>
        <w:t xml:space="preserve">. </w:t>
      </w:r>
    </w:p>
    <w:p w:rsidR="00771854" w:rsidRPr="00587559" w:rsidRDefault="00771854" w:rsidP="00771854">
      <w:pPr>
        <w:pStyle w:val="ListParagraph"/>
        <w:numPr>
          <w:ilvl w:val="0"/>
          <w:numId w:val="27"/>
        </w:numPr>
        <w:spacing w:after="0" w:line="240" w:lineRule="auto"/>
        <w:jc w:val="both"/>
        <w:rPr>
          <w:rFonts w:ascii="Times New Roman" w:eastAsiaTheme="majorEastAsia" w:hAnsi="Times New Roman" w:cs="Times New Roman"/>
          <w:bCs/>
          <w:sz w:val="28"/>
          <w:szCs w:val="28"/>
        </w:rPr>
      </w:pPr>
      <w:r w:rsidRPr="00771854">
        <w:rPr>
          <w:rFonts w:ascii="Times New Roman" w:eastAsiaTheme="majorEastAsia" w:hAnsi="Times New Roman" w:cs="Times New Roman"/>
          <w:bCs/>
          <w:sz w:val="28"/>
          <w:szCs w:val="28"/>
        </w:rPr>
        <w:t xml:space="preserve">3.4.4.2.aktivitāte „Sociālo dzīvojamo māju </w:t>
      </w:r>
      <w:proofErr w:type="spellStart"/>
      <w:r w:rsidRPr="00771854">
        <w:rPr>
          <w:rFonts w:ascii="Times New Roman" w:eastAsiaTheme="majorEastAsia" w:hAnsi="Times New Roman" w:cs="Times New Roman"/>
          <w:bCs/>
          <w:sz w:val="28"/>
          <w:szCs w:val="28"/>
        </w:rPr>
        <w:t>siltumnoturības</w:t>
      </w:r>
      <w:proofErr w:type="spellEnd"/>
      <w:r w:rsidRPr="00771854">
        <w:rPr>
          <w:rFonts w:ascii="Times New Roman" w:eastAsiaTheme="majorEastAsia" w:hAnsi="Times New Roman" w:cs="Times New Roman"/>
          <w:bCs/>
          <w:sz w:val="28"/>
          <w:szCs w:val="28"/>
        </w:rPr>
        <w:t xml:space="preserve"> uzlabošanas pasākumi”; ERAF kopējais pieejamais finansējums ir 4,85 </w:t>
      </w:r>
      <w:proofErr w:type="spellStart"/>
      <w:r w:rsidRPr="00771854">
        <w:rPr>
          <w:rFonts w:ascii="Times New Roman" w:eastAsiaTheme="majorEastAsia" w:hAnsi="Times New Roman" w:cs="Times New Roman"/>
          <w:bCs/>
          <w:sz w:val="28"/>
          <w:szCs w:val="28"/>
        </w:rPr>
        <w:t>milj</w:t>
      </w:r>
      <w:proofErr w:type="spellEnd"/>
      <w:r w:rsidRPr="00771854">
        <w:rPr>
          <w:rFonts w:ascii="Times New Roman" w:eastAsiaTheme="majorEastAsia" w:hAnsi="Times New Roman" w:cs="Times New Roman"/>
          <w:bCs/>
          <w:sz w:val="28"/>
          <w:szCs w:val="28"/>
        </w:rPr>
        <w:t>. LVL</w:t>
      </w:r>
      <w:r w:rsidR="004A2238">
        <w:rPr>
          <w:rFonts w:ascii="Times New Roman" w:eastAsiaTheme="majorEastAsia" w:hAnsi="Times New Roman" w:cs="Times New Roman"/>
          <w:bCs/>
          <w:sz w:val="28"/>
          <w:szCs w:val="28"/>
        </w:rPr>
        <w:t xml:space="preserve"> (6,9 </w:t>
      </w:r>
      <w:proofErr w:type="spellStart"/>
      <w:r w:rsidR="004A2238">
        <w:rPr>
          <w:rFonts w:ascii="Times New Roman" w:eastAsiaTheme="majorEastAsia" w:hAnsi="Times New Roman" w:cs="Times New Roman"/>
          <w:bCs/>
          <w:sz w:val="28"/>
          <w:szCs w:val="28"/>
        </w:rPr>
        <w:t>milj</w:t>
      </w:r>
      <w:proofErr w:type="spellEnd"/>
      <w:r w:rsidR="004A2238">
        <w:rPr>
          <w:rFonts w:ascii="Times New Roman" w:eastAsiaTheme="majorEastAsia" w:hAnsi="Times New Roman" w:cs="Times New Roman"/>
          <w:bCs/>
          <w:sz w:val="28"/>
          <w:szCs w:val="28"/>
        </w:rPr>
        <w:t>. EUR)</w:t>
      </w:r>
      <w:r w:rsidRPr="00771854">
        <w:rPr>
          <w:rFonts w:ascii="Times New Roman" w:eastAsiaTheme="majorEastAsia" w:hAnsi="Times New Roman" w:cs="Times New Roman"/>
          <w:bCs/>
          <w:sz w:val="28"/>
          <w:szCs w:val="28"/>
        </w:rPr>
        <w:t xml:space="preserve">. </w:t>
      </w:r>
    </w:p>
    <w:p w:rsidR="006D5B74" w:rsidRPr="007B36CA" w:rsidRDefault="00771854" w:rsidP="007B36CA">
      <w:pPr>
        <w:pStyle w:val="ListParagraph"/>
        <w:numPr>
          <w:ilvl w:val="0"/>
          <w:numId w:val="28"/>
        </w:numPr>
        <w:spacing w:after="0" w:line="240" w:lineRule="auto"/>
        <w:jc w:val="both"/>
        <w:rPr>
          <w:rFonts w:ascii="Times New Roman" w:eastAsiaTheme="majorEastAsia" w:hAnsi="Times New Roman" w:cs="Times New Roman"/>
          <w:bCs/>
          <w:sz w:val="28"/>
          <w:szCs w:val="28"/>
        </w:rPr>
      </w:pPr>
      <w:r w:rsidRPr="007B36CA">
        <w:rPr>
          <w:rFonts w:ascii="Times New Roman" w:eastAsiaTheme="majorEastAsia" w:hAnsi="Times New Roman" w:cs="Times New Roman"/>
          <w:bCs/>
          <w:sz w:val="28"/>
          <w:szCs w:val="28"/>
        </w:rPr>
        <w:t xml:space="preserve">3.5.2.1.1.apakšaktivitāte „Pasākumi centralizētās siltumapgādes sistēmu efektivitātes paaugstināšanā”; KF kopējais pieejamais finansējums 55,33 </w:t>
      </w:r>
      <w:proofErr w:type="spellStart"/>
      <w:r w:rsidRPr="007B36CA">
        <w:rPr>
          <w:rFonts w:ascii="Times New Roman" w:eastAsiaTheme="majorEastAsia" w:hAnsi="Times New Roman" w:cs="Times New Roman"/>
          <w:bCs/>
          <w:sz w:val="28"/>
          <w:szCs w:val="28"/>
        </w:rPr>
        <w:t>milj</w:t>
      </w:r>
      <w:proofErr w:type="spellEnd"/>
      <w:r w:rsidRPr="007B36CA">
        <w:rPr>
          <w:rFonts w:ascii="Times New Roman" w:eastAsiaTheme="majorEastAsia" w:hAnsi="Times New Roman" w:cs="Times New Roman"/>
          <w:bCs/>
          <w:sz w:val="28"/>
          <w:szCs w:val="28"/>
        </w:rPr>
        <w:t xml:space="preserve">. LVL </w:t>
      </w:r>
      <w:r w:rsidR="004A2238" w:rsidRPr="007B36CA">
        <w:rPr>
          <w:rFonts w:ascii="Times New Roman" w:eastAsiaTheme="majorEastAsia" w:hAnsi="Times New Roman" w:cs="Times New Roman"/>
          <w:bCs/>
          <w:sz w:val="28"/>
          <w:szCs w:val="28"/>
        </w:rPr>
        <w:t xml:space="preserve">(78,73 </w:t>
      </w:r>
      <w:proofErr w:type="spellStart"/>
      <w:r w:rsidR="004A2238" w:rsidRPr="007B36CA">
        <w:rPr>
          <w:rFonts w:ascii="Times New Roman" w:eastAsiaTheme="majorEastAsia" w:hAnsi="Times New Roman" w:cs="Times New Roman"/>
          <w:bCs/>
          <w:sz w:val="28"/>
          <w:szCs w:val="28"/>
        </w:rPr>
        <w:t>milj</w:t>
      </w:r>
      <w:proofErr w:type="spellEnd"/>
      <w:r w:rsidR="004A2238" w:rsidRPr="007B36CA">
        <w:rPr>
          <w:rFonts w:ascii="Times New Roman" w:eastAsiaTheme="majorEastAsia" w:hAnsi="Times New Roman" w:cs="Times New Roman"/>
          <w:bCs/>
          <w:sz w:val="28"/>
          <w:szCs w:val="28"/>
        </w:rPr>
        <w:t>. EUR)</w:t>
      </w:r>
      <w:r w:rsidRPr="007B36CA">
        <w:rPr>
          <w:rFonts w:ascii="Times New Roman" w:eastAsiaTheme="majorEastAsia" w:hAnsi="Times New Roman" w:cs="Times New Roman"/>
          <w:bCs/>
          <w:sz w:val="28"/>
          <w:szCs w:val="28"/>
        </w:rPr>
        <w:t>.</w:t>
      </w:r>
      <w:r w:rsidR="002E31DA" w:rsidRPr="007B36CA">
        <w:rPr>
          <w:rFonts w:ascii="Times New Roman" w:eastAsiaTheme="majorEastAsia" w:hAnsi="Times New Roman" w:cs="Times New Roman"/>
          <w:bCs/>
          <w:sz w:val="28"/>
          <w:szCs w:val="28"/>
        </w:rPr>
        <w:tab/>
      </w:r>
      <w:r w:rsidR="00DD554C" w:rsidRPr="007B36CA">
        <w:rPr>
          <w:rFonts w:ascii="Times New Roman" w:eastAsiaTheme="majorEastAsia" w:hAnsi="Times New Roman" w:cs="Times New Roman"/>
          <w:bCs/>
          <w:sz w:val="28"/>
          <w:szCs w:val="28"/>
        </w:rPr>
        <w:t xml:space="preserve"> </w:t>
      </w:r>
    </w:p>
    <w:p w:rsidR="004B5DCC" w:rsidRPr="004B5DCC" w:rsidRDefault="006D5B74" w:rsidP="00D6762E">
      <w:pPr>
        <w:spacing w:after="0" w:line="24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ab/>
      </w:r>
      <w:r w:rsidR="00DD554C" w:rsidRPr="000468F7">
        <w:rPr>
          <w:rFonts w:ascii="Times New Roman" w:eastAsiaTheme="majorEastAsia" w:hAnsi="Times New Roman" w:cs="Times New Roman"/>
          <w:bCs/>
          <w:sz w:val="28"/>
          <w:szCs w:val="28"/>
        </w:rPr>
        <w:t xml:space="preserve">Laikā no 2007. līdz 2013. gadam ar ES fondu un KPFI </w:t>
      </w:r>
      <w:r w:rsidR="00543AEB">
        <w:rPr>
          <w:rFonts w:ascii="Times New Roman" w:eastAsiaTheme="majorEastAsia" w:hAnsi="Times New Roman" w:cs="Times New Roman"/>
          <w:bCs/>
          <w:sz w:val="28"/>
          <w:szCs w:val="28"/>
        </w:rPr>
        <w:t>finansējumu  veikti šādi</w:t>
      </w:r>
      <w:r w:rsidR="00DD554C" w:rsidRPr="000468F7">
        <w:rPr>
          <w:rFonts w:ascii="Times New Roman" w:eastAsiaTheme="majorEastAsia" w:hAnsi="Times New Roman" w:cs="Times New Roman"/>
          <w:bCs/>
          <w:sz w:val="28"/>
          <w:szCs w:val="28"/>
        </w:rPr>
        <w:t xml:space="preserve"> energoefektivitātes pasākumi:</w:t>
      </w:r>
      <w:r w:rsidR="00906F44">
        <w:rPr>
          <w:rFonts w:ascii="Times New Roman" w:eastAsiaTheme="majorEastAsia" w:hAnsi="Times New Roman" w:cs="Times New Roman"/>
          <w:bCs/>
          <w:sz w:val="28"/>
          <w:szCs w:val="28"/>
        </w:rPr>
        <w:t xml:space="preserve"> </w:t>
      </w:r>
      <w:r w:rsidR="00D6762E">
        <w:rPr>
          <w:rFonts w:ascii="Times New Roman" w:eastAsiaTheme="majorEastAsia" w:hAnsi="Times New Roman" w:cs="Times New Roman"/>
          <w:bCs/>
          <w:sz w:val="28"/>
          <w:szCs w:val="28"/>
        </w:rPr>
        <w:t>d</w:t>
      </w:r>
      <w:r w:rsidR="00D6762E" w:rsidRPr="004B5DCC">
        <w:rPr>
          <w:rFonts w:ascii="Times New Roman" w:eastAsiaTheme="majorEastAsia" w:hAnsi="Times New Roman" w:cs="Times New Roman"/>
          <w:bCs/>
          <w:sz w:val="28"/>
          <w:szCs w:val="28"/>
        </w:rPr>
        <w:t xml:space="preserve">audzdzīvokļu </w:t>
      </w:r>
      <w:r w:rsidR="004B5DCC" w:rsidRPr="004B5DCC">
        <w:rPr>
          <w:rFonts w:ascii="Times New Roman" w:eastAsiaTheme="majorEastAsia" w:hAnsi="Times New Roman" w:cs="Times New Roman"/>
          <w:bCs/>
          <w:sz w:val="28"/>
          <w:szCs w:val="28"/>
        </w:rPr>
        <w:t xml:space="preserve">māju </w:t>
      </w:r>
      <w:proofErr w:type="spellStart"/>
      <w:r w:rsidR="004B5DCC" w:rsidRPr="004B5DCC">
        <w:rPr>
          <w:rFonts w:ascii="Times New Roman" w:eastAsiaTheme="majorEastAsia" w:hAnsi="Times New Roman" w:cs="Times New Roman"/>
          <w:bCs/>
          <w:sz w:val="28"/>
          <w:szCs w:val="28"/>
        </w:rPr>
        <w:t>siltumnoturības</w:t>
      </w:r>
      <w:proofErr w:type="spellEnd"/>
      <w:r w:rsidR="004B5DCC" w:rsidRPr="004B5DCC">
        <w:rPr>
          <w:rFonts w:ascii="Times New Roman" w:eastAsiaTheme="majorEastAsia" w:hAnsi="Times New Roman" w:cs="Times New Roman"/>
          <w:bCs/>
          <w:sz w:val="28"/>
          <w:szCs w:val="28"/>
        </w:rPr>
        <w:t xml:space="preserve"> uzlabošana</w:t>
      </w:r>
      <w:r w:rsidR="00906F44">
        <w:rPr>
          <w:rFonts w:ascii="Times New Roman" w:eastAsiaTheme="majorEastAsia" w:hAnsi="Times New Roman" w:cs="Times New Roman"/>
          <w:bCs/>
          <w:sz w:val="28"/>
          <w:szCs w:val="28"/>
        </w:rPr>
        <w:t>; s</w:t>
      </w:r>
      <w:r w:rsidR="004B5DCC" w:rsidRPr="004B5DCC">
        <w:rPr>
          <w:rFonts w:ascii="Times New Roman" w:eastAsiaTheme="majorEastAsia" w:hAnsi="Times New Roman" w:cs="Times New Roman"/>
          <w:bCs/>
          <w:sz w:val="28"/>
          <w:szCs w:val="28"/>
        </w:rPr>
        <w:t xml:space="preserve">ociālo dzīvojamo māju </w:t>
      </w:r>
      <w:proofErr w:type="spellStart"/>
      <w:r w:rsidR="004B5DCC" w:rsidRPr="004B5DCC">
        <w:rPr>
          <w:rFonts w:ascii="Times New Roman" w:eastAsiaTheme="majorEastAsia" w:hAnsi="Times New Roman" w:cs="Times New Roman"/>
          <w:bCs/>
          <w:sz w:val="28"/>
          <w:szCs w:val="28"/>
        </w:rPr>
        <w:t>siltumnoturības</w:t>
      </w:r>
      <w:proofErr w:type="spellEnd"/>
      <w:r w:rsidR="004B5DCC" w:rsidRPr="004B5DCC">
        <w:rPr>
          <w:rFonts w:ascii="Times New Roman" w:eastAsiaTheme="majorEastAsia" w:hAnsi="Times New Roman" w:cs="Times New Roman"/>
          <w:bCs/>
          <w:sz w:val="28"/>
          <w:szCs w:val="28"/>
        </w:rPr>
        <w:t xml:space="preserve"> uzlabošana</w:t>
      </w:r>
      <w:r w:rsidR="00906F44">
        <w:rPr>
          <w:rFonts w:ascii="Times New Roman" w:eastAsiaTheme="majorEastAsia" w:hAnsi="Times New Roman" w:cs="Times New Roman"/>
          <w:bCs/>
          <w:sz w:val="28"/>
          <w:szCs w:val="28"/>
        </w:rPr>
        <w:t>; s</w:t>
      </w:r>
      <w:r w:rsidR="004B5DCC" w:rsidRPr="004B5DCC">
        <w:rPr>
          <w:rFonts w:ascii="Times New Roman" w:eastAsiaTheme="majorEastAsia" w:hAnsi="Times New Roman" w:cs="Times New Roman"/>
          <w:bCs/>
          <w:sz w:val="28"/>
          <w:szCs w:val="28"/>
        </w:rPr>
        <w:t>abiedrisko</w:t>
      </w:r>
      <w:r w:rsidR="00D10401">
        <w:rPr>
          <w:rFonts w:ascii="Times New Roman" w:eastAsiaTheme="majorEastAsia" w:hAnsi="Times New Roman" w:cs="Times New Roman"/>
          <w:bCs/>
          <w:sz w:val="28"/>
          <w:szCs w:val="28"/>
        </w:rPr>
        <w:t xml:space="preserve">, tai skaitā izglītības iestāžu, </w:t>
      </w:r>
      <w:r w:rsidR="004B5DCC" w:rsidRPr="004B5DCC">
        <w:rPr>
          <w:rFonts w:ascii="Times New Roman" w:eastAsiaTheme="majorEastAsia" w:hAnsi="Times New Roman" w:cs="Times New Roman"/>
          <w:bCs/>
          <w:sz w:val="28"/>
          <w:szCs w:val="28"/>
        </w:rPr>
        <w:t>un ražošanas ēku energoefektivitātes pasākum</w:t>
      </w:r>
      <w:r w:rsidR="00906F44">
        <w:rPr>
          <w:rFonts w:ascii="Times New Roman" w:eastAsiaTheme="majorEastAsia" w:hAnsi="Times New Roman" w:cs="Times New Roman"/>
          <w:bCs/>
          <w:sz w:val="28"/>
          <w:szCs w:val="28"/>
        </w:rPr>
        <w:t>i</w:t>
      </w:r>
      <w:r w:rsidR="004B5DCC" w:rsidRPr="004B5DCC">
        <w:rPr>
          <w:rFonts w:ascii="Times New Roman" w:eastAsiaTheme="majorEastAsia" w:hAnsi="Times New Roman" w:cs="Times New Roman"/>
          <w:bCs/>
          <w:sz w:val="28"/>
          <w:szCs w:val="28"/>
        </w:rPr>
        <w:t xml:space="preserve">, zema enerģijas patēriņa ēku </w:t>
      </w:r>
      <w:r w:rsidR="00D10401">
        <w:rPr>
          <w:rFonts w:ascii="Times New Roman" w:eastAsiaTheme="majorEastAsia" w:hAnsi="Times New Roman" w:cs="Times New Roman"/>
          <w:bCs/>
          <w:sz w:val="28"/>
          <w:szCs w:val="28"/>
        </w:rPr>
        <w:t>būvniecība, renovācija un rekonstrukcija</w:t>
      </w:r>
      <w:r w:rsidR="00906F44">
        <w:rPr>
          <w:rFonts w:ascii="Times New Roman" w:eastAsiaTheme="majorEastAsia" w:hAnsi="Times New Roman" w:cs="Times New Roman"/>
          <w:bCs/>
          <w:sz w:val="28"/>
          <w:szCs w:val="28"/>
        </w:rPr>
        <w:t>; e</w:t>
      </w:r>
      <w:r w:rsidR="004B5DCC" w:rsidRPr="004B5DCC">
        <w:rPr>
          <w:rFonts w:ascii="Times New Roman" w:eastAsiaTheme="majorEastAsia" w:hAnsi="Times New Roman" w:cs="Times New Roman"/>
          <w:bCs/>
          <w:sz w:val="28"/>
          <w:szCs w:val="28"/>
        </w:rPr>
        <w:t xml:space="preserve">fektīvas </w:t>
      </w:r>
      <w:r w:rsidR="004B5DCC" w:rsidRPr="004B5DCC">
        <w:rPr>
          <w:rFonts w:ascii="Times New Roman" w:eastAsiaTheme="majorEastAsia" w:hAnsi="Times New Roman" w:cs="Times New Roman"/>
          <w:bCs/>
          <w:sz w:val="28"/>
          <w:szCs w:val="28"/>
        </w:rPr>
        <w:lastRenderedPageBreak/>
        <w:t>apgaismojuma infrastruktūras ieviešana pašvaldību publiskajās teritorijās</w:t>
      </w:r>
      <w:r w:rsidR="00906F44">
        <w:rPr>
          <w:rFonts w:ascii="Times New Roman" w:eastAsiaTheme="majorEastAsia" w:hAnsi="Times New Roman" w:cs="Times New Roman"/>
          <w:bCs/>
          <w:sz w:val="28"/>
          <w:szCs w:val="28"/>
        </w:rPr>
        <w:t>; c</w:t>
      </w:r>
      <w:r w:rsidR="004B5DCC" w:rsidRPr="004B5DCC">
        <w:rPr>
          <w:rFonts w:ascii="Times New Roman" w:eastAsiaTheme="majorEastAsia" w:hAnsi="Times New Roman" w:cs="Times New Roman"/>
          <w:bCs/>
          <w:sz w:val="28"/>
          <w:szCs w:val="28"/>
        </w:rPr>
        <w:t>entralizētās siltumapgādes sistēmu efektivitātes paaugstināša</w:t>
      </w:r>
      <w:r w:rsidR="000564FB">
        <w:rPr>
          <w:rFonts w:ascii="Times New Roman" w:eastAsiaTheme="majorEastAsia" w:hAnsi="Times New Roman" w:cs="Times New Roman"/>
          <w:bCs/>
          <w:sz w:val="28"/>
          <w:szCs w:val="28"/>
        </w:rPr>
        <w:t>na</w:t>
      </w:r>
      <w:r w:rsidR="00906F44">
        <w:rPr>
          <w:rFonts w:ascii="Times New Roman" w:eastAsiaTheme="majorEastAsia" w:hAnsi="Times New Roman" w:cs="Times New Roman"/>
          <w:bCs/>
          <w:sz w:val="28"/>
          <w:szCs w:val="28"/>
        </w:rPr>
        <w:t xml:space="preserve">; </w:t>
      </w:r>
      <w:r w:rsidR="00D10401">
        <w:rPr>
          <w:rFonts w:ascii="Times New Roman" w:eastAsiaTheme="majorEastAsia" w:hAnsi="Times New Roman" w:cs="Times New Roman"/>
          <w:bCs/>
          <w:sz w:val="28"/>
          <w:szCs w:val="28"/>
        </w:rPr>
        <w:t xml:space="preserve">AER izmantošana mājsaimniecībām piederošās privātmājās; </w:t>
      </w:r>
      <w:r w:rsidR="001615F6" w:rsidRPr="001615F6">
        <w:rPr>
          <w:rFonts w:ascii="Times New Roman" w:eastAsiaTheme="majorEastAsia" w:hAnsi="Times New Roman" w:cs="Times New Roman"/>
          <w:bCs/>
          <w:sz w:val="28"/>
          <w:szCs w:val="28"/>
        </w:rPr>
        <w:t>AER izmantojošu koģenerācijas elektrostaciju attīstība</w:t>
      </w:r>
      <w:r w:rsidR="001615F6">
        <w:rPr>
          <w:rFonts w:ascii="Times New Roman" w:eastAsiaTheme="majorEastAsia" w:hAnsi="Times New Roman" w:cs="Times New Roman"/>
          <w:bCs/>
          <w:sz w:val="28"/>
          <w:szCs w:val="28"/>
        </w:rPr>
        <w:t>.</w:t>
      </w:r>
      <w:r w:rsidR="004B5DCC" w:rsidRPr="004B5DCC">
        <w:rPr>
          <w:rFonts w:ascii="Times New Roman" w:eastAsiaTheme="majorEastAsia" w:hAnsi="Times New Roman" w:cs="Times New Roman"/>
          <w:bCs/>
          <w:sz w:val="28"/>
          <w:szCs w:val="28"/>
        </w:rPr>
        <w:t xml:space="preserve"> </w:t>
      </w:r>
    </w:p>
    <w:p w:rsidR="009B2419" w:rsidRPr="00A67CE5" w:rsidRDefault="004B5DCC" w:rsidP="00E10E47">
      <w:pPr>
        <w:spacing w:after="0" w:line="240" w:lineRule="auto"/>
        <w:ind w:firstLine="720"/>
        <w:jc w:val="both"/>
        <w:rPr>
          <w:rFonts w:ascii="Times New Roman" w:eastAsiaTheme="majorEastAsia" w:hAnsi="Times New Roman" w:cs="Times New Roman"/>
          <w:bCs/>
          <w:sz w:val="28"/>
          <w:szCs w:val="28"/>
        </w:rPr>
      </w:pPr>
      <w:r w:rsidRPr="004B5DCC">
        <w:rPr>
          <w:rFonts w:ascii="Times New Roman" w:eastAsiaTheme="majorEastAsia" w:hAnsi="Times New Roman" w:cs="Times New Roman"/>
          <w:bCs/>
          <w:sz w:val="28"/>
          <w:szCs w:val="28"/>
        </w:rPr>
        <w:t>Ēku energoefektivitātes uzlabošanai ir būtiska loma ES un Latvijas politikas dokumentos definēto mērķu sasniegšanā energoefektivitātes jomā. Ēku sektorā patērētā enerģija veido 40</w:t>
      </w:r>
      <w:r w:rsidR="002E31DA">
        <w:rPr>
          <w:rFonts w:ascii="Times New Roman" w:eastAsiaTheme="majorEastAsia" w:hAnsi="Times New Roman" w:cs="Times New Roman"/>
          <w:bCs/>
          <w:sz w:val="28"/>
          <w:szCs w:val="28"/>
        </w:rPr>
        <w:t> </w:t>
      </w:r>
      <w:r w:rsidRPr="004B5DCC">
        <w:rPr>
          <w:rFonts w:ascii="Times New Roman" w:eastAsiaTheme="majorEastAsia" w:hAnsi="Times New Roman" w:cs="Times New Roman"/>
          <w:bCs/>
          <w:sz w:val="28"/>
          <w:szCs w:val="28"/>
        </w:rPr>
        <w:t xml:space="preserve">% no visas Latvijas </w:t>
      </w:r>
      <w:proofErr w:type="spellStart"/>
      <w:r w:rsidRPr="004B5DCC">
        <w:rPr>
          <w:rFonts w:ascii="Times New Roman" w:eastAsiaTheme="majorEastAsia" w:hAnsi="Times New Roman" w:cs="Times New Roman"/>
          <w:bCs/>
          <w:sz w:val="28"/>
          <w:szCs w:val="28"/>
        </w:rPr>
        <w:t>energobilances</w:t>
      </w:r>
      <w:proofErr w:type="spellEnd"/>
      <w:r w:rsidRPr="004B5DCC">
        <w:rPr>
          <w:rFonts w:ascii="Times New Roman" w:eastAsiaTheme="majorEastAsia" w:hAnsi="Times New Roman" w:cs="Times New Roman"/>
          <w:bCs/>
          <w:sz w:val="28"/>
          <w:szCs w:val="28"/>
        </w:rPr>
        <w:t xml:space="preserve">. Līdzšinējie ieguldījumi mājokļu siltināšanā uzskatāmi par pietiekami efektīviem. Analizējot datus par </w:t>
      </w:r>
      <w:r w:rsidR="002418A0">
        <w:rPr>
          <w:rFonts w:ascii="Times New Roman" w:eastAsiaTheme="majorEastAsia" w:hAnsi="Times New Roman" w:cs="Times New Roman"/>
          <w:bCs/>
          <w:sz w:val="28"/>
          <w:szCs w:val="28"/>
        </w:rPr>
        <w:t xml:space="preserve">pirmajiem </w:t>
      </w:r>
      <w:r w:rsidRPr="004B5DCC">
        <w:rPr>
          <w:rFonts w:ascii="Times New Roman" w:eastAsiaTheme="majorEastAsia" w:hAnsi="Times New Roman" w:cs="Times New Roman"/>
          <w:bCs/>
          <w:sz w:val="28"/>
          <w:szCs w:val="28"/>
        </w:rPr>
        <w:t xml:space="preserve">pabeigtajiem </w:t>
      </w:r>
      <w:r w:rsidR="002418A0">
        <w:rPr>
          <w:rFonts w:ascii="Times New Roman" w:eastAsiaTheme="majorEastAsia" w:hAnsi="Times New Roman" w:cs="Times New Roman"/>
          <w:bCs/>
          <w:sz w:val="28"/>
          <w:szCs w:val="28"/>
        </w:rPr>
        <w:t xml:space="preserve">mājokļu siltināšanas </w:t>
      </w:r>
      <w:r w:rsidRPr="004B5DCC">
        <w:rPr>
          <w:rFonts w:ascii="Times New Roman" w:eastAsiaTheme="majorEastAsia" w:hAnsi="Times New Roman" w:cs="Times New Roman"/>
          <w:bCs/>
          <w:sz w:val="28"/>
          <w:szCs w:val="28"/>
        </w:rPr>
        <w:t>projektiem, aprēķināts, ka vidējais investīciju atmaksāšanās periods ir aptuveni 14 gadi.</w:t>
      </w:r>
    </w:p>
    <w:p w:rsidR="00AD7BAC" w:rsidRDefault="001E101C" w:rsidP="006B28D0">
      <w:pPr>
        <w:spacing w:after="0" w:line="240" w:lineRule="auto"/>
        <w:ind w:firstLine="709"/>
        <w:jc w:val="both"/>
        <w:rPr>
          <w:rFonts w:ascii="Times New Roman" w:hAnsi="Times New Roman" w:cs="Times New Roman"/>
          <w:sz w:val="28"/>
          <w:szCs w:val="28"/>
        </w:rPr>
      </w:pPr>
      <w:r w:rsidRPr="002847FA">
        <w:rPr>
          <w:rFonts w:ascii="Times New Roman" w:hAnsi="Times New Roman" w:cs="Times New Roman"/>
          <w:sz w:val="28"/>
          <w:szCs w:val="28"/>
        </w:rPr>
        <w:t xml:space="preserve">Nolūkā sekmēt </w:t>
      </w:r>
      <w:r w:rsidR="005E495D">
        <w:rPr>
          <w:rFonts w:ascii="Times New Roman" w:hAnsi="Times New Roman" w:cs="Times New Roman"/>
          <w:sz w:val="28"/>
          <w:szCs w:val="28"/>
        </w:rPr>
        <w:t>ES</w:t>
      </w:r>
      <w:r w:rsidRPr="002847FA">
        <w:rPr>
          <w:rFonts w:ascii="Times New Roman" w:hAnsi="Times New Roman" w:cs="Times New Roman"/>
          <w:sz w:val="28"/>
          <w:szCs w:val="28"/>
        </w:rPr>
        <w:t xml:space="preserve"> rūpniecības konkurētspēju pasaulē</w:t>
      </w:r>
      <w:r w:rsidR="00641CF5">
        <w:rPr>
          <w:rFonts w:ascii="Times New Roman" w:hAnsi="Times New Roman" w:cs="Times New Roman"/>
          <w:sz w:val="28"/>
          <w:szCs w:val="28"/>
        </w:rPr>
        <w:t>,</w:t>
      </w:r>
      <w:r w:rsidRPr="002847FA">
        <w:rPr>
          <w:rFonts w:ascii="Times New Roman" w:hAnsi="Times New Roman" w:cs="Times New Roman"/>
          <w:sz w:val="28"/>
          <w:szCs w:val="28"/>
        </w:rPr>
        <w:t xml:space="preserve"> kā viena no ES politiku prioritātēm ir definēta energoefektivitātes palielināšana</w:t>
      </w:r>
      <w:r w:rsidR="001E07A7">
        <w:rPr>
          <w:rFonts w:ascii="Times New Roman" w:hAnsi="Times New Roman" w:cs="Times New Roman"/>
          <w:sz w:val="28"/>
          <w:szCs w:val="28"/>
        </w:rPr>
        <w:t>. Tāpēc</w:t>
      </w:r>
      <w:r w:rsidRPr="002847FA">
        <w:rPr>
          <w:rFonts w:ascii="Times New Roman" w:hAnsi="Times New Roman" w:cs="Times New Roman"/>
          <w:sz w:val="28"/>
          <w:szCs w:val="28"/>
        </w:rPr>
        <w:t xml:space="preserve"> </w:t>
      </w:r>
      <w:r w:rsidR="00B02362">
        <w:rPr>
          <w:rFonts w:ascii="Times New Roman" w:hAnsi="Times New Roman" w:cs="Times New Roman"/>
          <w:sz w:val="28"/>
          <w:szCs w:val="28"/>
        </w:rPr>
        <w:t>EK</w:t>
      </w:r>
      <w:r w:rsidRPr="002847FA">
        <w:rPr>
          <w:rFonts w:ascii="Times New Roman" w:hAnsi="Times New Roman" w:cs="Times New Roman"/>
          <w:sz w:val="28"/>
          <w:szCs w:val="28"/>
        </w:rPr>
        <w:t xml:space="preserve"> komunikācijā „Eiropa 2020: stratēģija gudrai, ilgtspējīgai un iekļaujošai izaugsmei”</w:t>
      </w:r>
      <w:r w:rsidR="00AD7BAC">
        <w:rPr>
          <w:rFonts w:ascii="Times New Roman" w:hAnsi="Times New Roman" w:cs="Times New Roman"/>
          <w:sz w:val="28"/>
          <w:szCs w:val="28"/>
        </w:rPr>
        <w:t xml:space="preserve"> ir noteikts</w:t>
      </w:r>
      <w:r w:rsidR="00ED7830">
        <w:rPr>
          <w:rFonts w:ascii="Times New Roman" w:hAnsi="Times New Roman" w:cs="Times New Roman"/>
          <w:sz w:val="28"/>
          <w:szCs w:val="28"/>
        </w:rPr>
        <w:t xml:space="preserve"> </w:t>
      </w:r>
      <w:r w:rsidR="001E07A7">
        <w:rPr>
          <w:rFonts w:ascii="Times New Roman" w:hAnsi="Times New Roman" w:cs="Times New Roman"/>
          <w:sz w:val="28"/>
          <w:szCs w:val="28"/>
        </w:rPr>
        <w:t>ES energoefektivitātes mērķis</w:t>
      </w:r>
      <w:r w:rsidR="00AD7BAC">
        <w:rPr>
          <w:rFonts w:ascii="Times New Roman" w:hAnsi="Times New Roman" w:cs="Times New Roman"/>
          <w:sz w:val="28"/>
          <w:szCs w:val="28"/>
        </w:rPr>
        <w:t xml:space="preserve">: </w:t>
      </w:r>
      <w:r w:rsidR="00946660">
        <w:rPr>
          <w:rFonts w:ascii="Times New Roman" w:hAnsi="Times New Roman" w:cs="Times New Roman"/>
          <w:sz w:val="28"/>
          <w:szCs w:val="28"/>
        </w:rPr>
        <w:t>l</w:t>
      </w:r>
      <w:r w:rsidR="000E5E2A" w:rsidRPr="002847FA">
        <w:rPr>
          <w:rFonts w:ascii="Times New Roman" w:hAnsi="Times New Roman" w:cs="Times New Roman"/>
          <w:sz w:val="28"/>
          <w:szCs w:val="28"/>
        </w:rPr>
        <w:t xml:space="preserve">īdz 2020. gadam nodrošināt 20 % ietaupījumu no </w:t>
      </w:r>
      <w:r w:rsidR="005E495D">
        <w:rPr>
          <w:rFonts w:ascii="Times New Roman" w:hAnsi="Times New Roman" w:cs="Times New Roman"/>
          <w:sz w:val="28"/>
          <w:szCs w:val="28"/>
        </w:rPr>
        <w:t>ES</w:t>
      </w:r>
      <w:r w:rsidR="000E5E2A" w:rsidRPr="002847FA">
        <w:rPr>
          <w:rFonts w:ascii="Times New Roman" w:hAnsi="Times New Roman" w:cs="Times New Roman"/>
          <w:sz w:val="28"/>
          <w:szCs w:val="28"/>
        </w:rPr>
        <w:t xml:space="preserve"> primārās enerģijas patēriņa</w:t>
      </w:r>
      <w:r w:rsidR="003A02EE">
        <w:rPr>
          <w:rFonts w:ascii="Times New Roman" w:hAnsi="Times New Roman" w:cs="Times New Roman"/>
          <w:sz w:val="28"/>
          <w:szCs w:val="28"/>
        </w:rPr>
        <w:t>.</w:t>
      </w:r>
    </w:p>
    <w:p w:rsidR="00123F83" w:rsidRDefault="00946660" w:rsidP="006B28D0">
      <w:pPr>
        <w:spacing w:after="240" w:line="240" w:lineRule="auto"/>
        <w:ind w:firstLine="709"/>
        <w:jc w:val="both"/>
        <w:rPr>
          <w:rFonts w:ascii="Times New Roman" w:eastAsiaTheme="majorEastAsia" w:hAnsi="Times New Roman" w:cs="Times New Roman"/>
          <w:bCs/>
          <w:sz w:val="28"/>
          <w:szCs w:val="28"/>
        </w:rPr>
      </w:pPr>
      <w:r>
        <w:rPr>
          <w:rFonts w:ascii="Times New Roman" w:hAnsi="Times New Roman" w:cs="Times New Roman"/>
          <w:sz w:val="28"/>
          <w:szCs w:val="28"/>
        </w:rPr>
        <w:t>Tomēr EK veiktā analīze</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parāda, ka</w:t>
      </w:r>
      <w:r w:rsidR="00AD7BAC">
        <w:rPr>
          <w:rFonts w:ascii="Times New Roman" w:hAnsi="Times New Roman" w:cs="Times New Roman"/>
          <w:sz w:val="28"/>
          <w:szCs w:val="28"/>
        </w:rPr>
        <w:t xml:space="preserve"> </w:t>
      </w:r>
      <w:r w:rsidR="00236302" w:rsidRPr="002847FA">
        <w:rPr>
          <w:rFonts w:ascii="Times New Roman" w:eastAsiaTheme="majorEastAsia" w:hAnsi="Times New Roman" w:cs="Times New Roman"/>
          <w:bCs/>
          <w:sz w:val="28"/>
          <w:szCs w:val="28"/>
        </w:rPr>
        <w:t xml:space="preserve">šobrīd </w:t>
      </w:r>
      <w:r w:rsidR="00B5542D">
        <w:rPr>
          <w:rFonts w:ascii="Times New Roman" w:eastAsiaTheme="majorEastAsia" w:hAnsi="Times New Roman" w:cs="Times New Roman"/>
          <w:bCs/>
          <w:sz w:val="28"/>
          <w:szCs w:val="28"/>
        </w:rPr>
        <w:t>ES</w:t>
      </w:r>
      <w:r w:rsidR="00B5542D" w:rsidRPr="002847FA">
        <w:rPr>
          <w:rFonts w:ascii="Times New Roman" w:eastAsiaTheme="majorEastAsia" w:hAnsi="Times New Roman" w:cs="Times New Roman"/>
          <w:bCs/>
          <w:sz w:val="28"/>
          <w:szCs w:val="28"/>
        </w:rPr>
        <w:t xml:space="preserve"> </w:t>
      </w:r>
      <w:r w:rsidR="00236302" w:rsidRPr="002847FA">
        <w:rPr>
          <w:rFonts w:ascii="Times New Roman" w:eastAsiaTheme="majorEastAsia" w:hAnsi="Times New Roman" w:cs="Times New Roman"/>
          <w:bCs/>
          <w:sz w:val="28"/>
          <w:szCs w:val="28"/>
        </w:rPr>
        <w:t xml:space="preserve">netuvojas energoefektivitātes mērķa sasniegšanai. Šāds stāvoklis ir izveidojies, neskatoties uz panākumiem valstu energoefektivitātes politikās, kas izklāstītas valstu energoefektivitātes rīcības plānos, kurus dalībvalstis iesniedz, izpildot </w:t>
      </w:r>
      <w:r w:rsidR="009B37A1" w:rsidRPr="009B37A1">
        <w:rPr>
          <w:rFonts w:ascii="Times New Roman" w:eastAsiaTheme="majorEastAsia" w:hAnsi="Times New Roman" w:cs="Times New Roman"/>
          <w:bCs/>
          <w:sz w:val="28"/>
          <w:szCs w:val="28"/>
        </w:rPr>
        <w:t>Direktīv</w:t>
      </w:r>
      <w:r w:rsidR="003A02EE">
        <w:rPr>
          <w:rFonts w:ascii="Times New Roman" w:eastAsiaTheme="majorEastAsia" w:hAnsi="Times New Roman" w:cs="Times New Roman"/>
          <w:bCs/>
          <w:sz w:val="28"/>
          <w:szCs w:val="28"/>
        </w:rPr>
        <w:t>as</w:t>
      </w:r>
      <w:r w:rsidR="009B37A1" w:rsidRPr="009B37A1">
        <w:rPr>
          <w:rFonts w:ascii="Times New Roman" w:eastAsiaTheme="majorEastAsia" w:hAnsi="Times New Roman" w:cs="Times New Roman"/>
          <w:bCs/>
          <w:sz w:val="28"/>
          <w:szCs w:val="28"/>
        </w:rPr>
        <w:t xml:space="preserve"> 2006/32/EK </w:t>
      </w:r>
      <w:r w:rsidR="00236302" w:rsidRPr="002847FA">
        <w:rPr>
          <w:rFonts w:ascii="Times New Roman" w:eastAsiaTheme="majorEastAsia" w:hAnsi="Times New Roman" w:cs="Times New Roman"/>
          <w:bCs/>
          <w:sz w:val="28"/>
          <w:szCs w:val="28"/>
        </w:rPr>
        <w:t>prasības</w:t>
      </w:r>
      <w:r w:rsidR="009B37A1">
        <w:rPr>
          <w:rFonts w:ascii="Times New Roman" w:eastAsiaTheme="majorEastAsia" w:hAnsi="Times New Roman" w:cs="Times New Roman"/>
          <w:bCs/>
          <w:sz w:val="28"/>
          <w:szCs w:val="28"/>
        </w:rPr>
        <w:t xml:space="preserve">. ES mērķa sasniegšanas problēmas saistītas ar to, ka valstīm ir </w:t>
      </w:r>
      <w:r w:rsidR="00AD7BAC">
        <w:rPr>
          <w:rFonts w:ascii="Times New Roman" w:eastAsiaTheme="majorEastAsia" w:hAnsi="Times New Roman" w:cs="Times New Roman"/>
          <w:bCs/>
          <w:sz w:val="28"/>
          <w:szCs w:val="28"/>
        </w:rPr>
        <w:t xml:space="preserve">elastības </w:t>
      </w:r>
      <w:r w:rsidR="009B37A1">
        <w:rPr>
          <w:rFonts w:ascii="Times New Roman" w:eastAsiaTheme="majorEastAsia" w:hAnsi="Times New Roman" w:cs="Times New Roman"/>
          <w:bCs/>
          <w:sz w:val="28"/>
          <w:szCs w:val="28"/>
        </w:rPr>
        <w:t>iespējas</w:t>
      </w:r>
      <w:r w:rsidR="00AD7BAC">
        <w:rPr>
          <w:rFonts w:ascii="Times New Roman" w:eastAsiaTheme="majorEastAsia" w:hAnsi="Times New Roman" w:cs="Times New Roman"/>
          <w:bCs/>
          <w:sz w:val="28"/>
          <w:szCs w:val="28"/>
        </w:rPr>
        <w:t xml:space="preserve"> savu skaitlisko mērķu noteikšanā </w:t>
      </w:r>
      <w:r w:rsidR="009B37A1">
        <w:rPr>
          <w:rFonts w:ascii="Times New Roman" w:eastAsiaTheme="majorEastAsia" w:hAnsi="Times New Roman" w:cs="Times New Roman"/>
          <w:bCs/>
          <w:sz w:val="28"/>
          <w:szCs w:val="28"/>
        </w:rPr>
        <w:t>un</w:t>
      </w:r>
      <w:r w:rsidR="00AD7BAC">
        <w:rPr>
          <w:rFonts w:ascii="Times New Roman" w:eastAsiaTheme="majorEastAsia" w:hAnsi="Times New Roman" w:cs="Times New Roman"/>
          <w:bCs/>
          <w:sz w:val="28"/>
          <w:szCs w:val="28"/>
        </w:rPr>
        <w:t xml:space="preserve"> to</w:t>
      </w:r>
      <w:r w:rsidR="009B37A1">
        <w:rPr>
          <w:rFonts w:ascii="Times New Roman" w:eastAsiaTheme="majorEastAsia" w:hAnsi="Times New Roman" w:cs="Times New Roman"/>
          <w:bCs/>
          <w:sz w:val="28"/>
          <w:szCs w:val="28"/>
        </w:rPr>
        <w:t xml:space="preserve"> sasniegšanas pasākumu izvēlē. </w:t>
      </w:r>
      <w:r w:rsidR="00AD7BAC">
        <w:rPr>
          <w:rFonts w:ascii="Times New Roman" w:eastAsiaTheme="majorEastAsia" w:hAnsi="Times New Roman" w:cs="Times New Roman"/>
          <w:bCs/>
          <w:sz w:val="28"/>
          <w:szCs w:val="28"/>
        </w:rPr>
        <w:t>Izveidojusies situācija, kad valstu indikatīvo mērķu un atbilstošo politikas pasākumu summa nav pietiekoša kopējā 20</w:t>
      </w:r>
      <w:r w:rsidR="002E31DA">
        <w:rPr>
          <w:rFonts w:ascii="Times New Roman" w:eastAsiaTheme="majorEastAsia" w:hAnsi="Times New Roman" w:cs="Times New Roman"/>
          <w:bCs/>
          <w:sz w:val="28"/>
          <w:szCs w:val="28"/>
        </w:rPr>
        <w:t> </w:t>
      </w:r>
      <w:r w:rsidR="00AD7BAC">
        <w:rPr>
          <w:rFonts w:ascii="Times New Roman" w:eastAsiaTheme="majorEastAsia" w:hAnsi="Times New Roman" w:cs="Times New Roman"/>
          <w:bCs/>
          <w:sz w:val="28"/>
          <w:szCs w:val="28"/>
        </w:rPr>
        <w:t>% mērķa sasniegšanai.</w:t>
      </w:r>
      <w:r w:rsidR="009B37A1">
        <w:rPr>
          <w:rFonts w:ascii="Times New Roman" w:eastAsiaTheme="majorEastAsia" w:hAnsi="Times New Roman" w:cs="Times New Roman"/>
          <w:bCs/>
          <w:sz w:val="28"/>
          <w:szCs w:val="28"/>
        </w:rPr>
        <w:t xml:space="preserve"> </w:t>
      </w:r>
    </w:p>
    <w:p w:rsidR="00435B96" w:rsidRPr="0075575D" w:rsidRDefault="00435B96" w:rsidP="00265182">
      <w:pPr>
        <w:pStyle w:val="Heading2"/>
        <w:numPr>
          <w:ilvl w:val="1"/>
          <w:numId w:val="4"/>
        </w:numPr>
        <w:spacing w:before="0" w:after="240" w:line="240" w:lineRule="auto"/>
        <w:ind w:left="0" w:firstLine="0"/>
        <w:jc w:val="center"/>
        <w:rPr>
          <w:rFonts w:ascii="Times New Roman" w:hAnsi="Times New Roman" w:cs="Times New Roman"/>
          <w:color w:val="auto"/>
          <w:sz w:val="28"/>
          <w:szCs w:val="28"/>
        </w:rPr>
      </w:pPr>
      <w:bookmarkStart w:id="4" w:name="_Toc372269905"/>
      <w:r w:rsidRPr="0075575D">
        <w:rPr>
          <w:rFonts w:ascii="Times New Roman" w:hAnsi="Times New Roman" w:cs="Times New Roman"/>
          <w:color w:val="auto"/>
          <w:sz w:val="28"/>
          <w:szCs w:val="28"/>
        </w:rPr>
        <w:t>Direktīvas pamatprasības</w:t>
      </w:r>
      <w:r w:rsidR="009B37A1" w:rsidRPr="0075575D">
        <w:rPr>
          <w:rFonts w:ascii="Times New Roman" w:hAnsi="Times New Roman" w:cs="Times New Roman"/>
          <w:color w:val="auto"/>
          <w:sz w:val="28"/>
          <w:szCs w:val="28"/>
        </w:rPr>
        <w:t xml:space="preserve"> </w:t>
      </w:r>
      <w:r w:rsidR="00952F99">
        <w:rPr>
          <w:rFonts w:ascii="Times New Roman" w:hAnsi="Times New Roman" w:cs="Times New Roman"/>
          <w:color w:val="auto"/>
          <w:sz w:val="28"/>
          <w:szCs w:val="28"/>
        </w:rPr>
        <w:t xml:space="preserve">- </w:t>
      </w:r>
      <w:r w:rsidR="00952F99" w:rsidRPr="00952F99">
        <w:rPr>
          <w:rFonts w:ascii="Times New Roman" w:hAnsi="Times New Roman" w:cs="Times New Roman"/>
          <w:color w:val="auto"/>
          <w:sz w:val="28"/>
          <w:szCs w:val="28"/>
        </w:rPr>
        <w:t>Latvijas energoefektivitātes mērķis un tā sasniegšanas pasākumi</w:t>
      </w:r>
      <w:bookmarkEnd w:id="4"/>
    </w:p>
    <w:p w:rsidR="001C64CE" w:rsidRDefault="001C64CE" w:rsidP="006B28D0">
      <w:pPr>
        <w:spacing w:after="0" w:line="240" w:lineRule="auto"/>
        <w:ind w:firstLine="709"/>
        <w:jc w:val="both"/>
        <w:rPr>
          <w:rFonts w:ascii="Times New Roman" w:eastAsiaTheme="majorEastAsia" w:hAnsi="Times New Roman" w:cs="Times New Roman"/>
          <w:bCs/>
          <w:sz w:val="28"/>
          <w:szCs w:val="28"/>
        </w:rPr>
      </w:pPr>
      <w:r w:rsidRPr="001C64CE">
        <w:rPr>
          <w:rFonts w:ascii="Times New Roman" w:eastAsiaTheme="majorEastAsia" w:hAnsi="Times New Roman" w:cs="Times New Roman"/>
          <w:bCs/>
          <w:sz w:val="28"/>
          <w:szCs w:val="28"/>
        </w:rPr>
        <w:t>Direktīva 2012/27/ES</w:t>
      </w:r>
      <w:r>
        <w:rPr>
          <w:rFonts w:ascii="Times New Roman" w:eastAsiaTheme="majorEastAsia" w:hAnsi="Times New Roman" w:cs="Times New Roman"/>
          <w:bCs/>
          <w:sz w:val="28"/>
          <w:szCs w:val="28"/>
        </w:rPr>
        <w:t xml:space="preserve"> ievieš vairākas obligātas prasības</w:t>
      </w:r>
      <w:r w:rsidR="00D6762E">
        <w:rPr>
          <w:rFonts w:ascii="Times New Roman" w:eastAsiaTheme="majorEastAsia" w:hAnsi="Times New Roman" w:cs="Times New Roman"/>
          <w:bCs/>
          <w:sz w:val="28"/>
          <w:szCs w:val="28"/>
        </w:rPr>
        <w:t xml:space="preserve"> energoefektivitātes jomā</w:t>
      </w:r>
      <w:r>
        <w:rPr>
          <w:rFonts w:ascii="Times New Roman" w:eastAsiaTheme="majorEastAsia" w:hAnsi="Times New Roman" w:cs="Times New Roman"/>
          <w:bCs/>
          <w:sz w:val="28"/>
          <w:szCs w:val="28"/>
        </w:rPr>
        <w:t xml:space="preserve">, kuru izpildei nepieciešamas būtiskas izmaiņas </w:t>
      </w:r>
      <w:r w:rsidR="00D6762E">
        <w:rPr>
          <w:rFonts w:ascii="Times New Roman" w:eastAsiaTheme="majorEastAsia" w:hAnsi="Times New Roman" w:cs="Times New Roman"/>
          <w:bCs/>
          <w:sz w:val="28"/>
          <w:szCs w:val="28"/>
        </w:rPr>
        <w:t xml:space="preserve">ne tikai </w:t>
      </w:r>
      <w:r>
        <w:rPr>
          <w:rFonts w:ascii="Times New Roman" w:eastAsiaTheme="majorEastAsia" w:hAnsi="Times New Roman" w:cs="Times New Roman"/>
          <w:bCs/>
          <w:sz w:val="28"/>
          <w:szCs w:val="28"/>
        </w:rPr>
        <w:t xml:space="preserve">Latvijas </w:t>
      </w:r>
      <w:r w:rsidR="00D6762E">
        <w:rPr>
          <w:rFonts w:ascii="Times New Roman" w:eastAsiaTheme="majorEastAsia" w:hAnsi="Times New Roman" w:cs="Times New Roman"/>
          <w:bCs/>
          <w:sz w:val="28"/>
          <w:szCs w:val="28"/>
        </w:rPr>
        <w:t xml:space="preserve">enerģētikas </w:t>
      </w:r>
      <w:r>
        <w:rPr>
          <w:rFonts w:ascii="Times New Roman" w:eastAsiaTheme="majorEastAsia" w:hAnsi="Times New Roman" w:cs="Times New Roman"/>
          <w:bCs/>
          <w:sz w:val="28"/>
          <w:szCs w:val="28"/>
        </w:rPr>
        <w:t>politikā un normatīvajos aktos</w:t>
      </w:r>
      <w:r w:rsidR="00D6762E">
        <w:rPr>
          <w:rFonts w:ascii="Times New Roman" w:eastAsiaTheme="majorEastAsia" w:hAnsi="Times New Roman" w:cs="Times New Roman"/>
          <w:bCs/>
          <w:sz w:val="28"/>
          <w:szCs w:val="28"/>
        </w:rPr>
        <w:t xml:space="preserve">, bet ar energoefektivitāti saistītās citās politikās. </w:t>
      </w:r>
      <w:r w:rsidR="003A02EE">
        <w:rPr>
          <w:rFonts w:ascii="Times New Roman" w:eastAsiaTheme="majorEastAsia" w:hAnsi="Times New Roman" w:cs="Times New Roman"/>
          <w:bCs/>
          <w:sz w:val="28"/>
          <w:szCs w:val="28"/>
        </w:rPr>
        <w:t xml:space="preserve">Līdz </w:t>
      </w:r>
      <w:r w:rsidR="00A93386">
        <w:rPr>
          <w:rFonts w:ascii="Times New Roman" w:eastAsiaTheme="majorEastAsia" w:hAnsi="Times New Roman" w:cs="Times New Roman"/>
          <w:bCs/>
          <w:sz w:val="28"/>
          <w:szCs w:val="28"/>
        </w:rPr>
        <w:t xml:space="preserve">ar </w:t>
      </w:r>
      <w:r w:rsidR="003A02EE">
        <w:rPr>
          <w:rFonts w:ascii="Times New Roman" w:eastAsiaTheme="majorEastAsia" w:hAnsi="Times New Roman" w:cs="Times New Roman"/>
          <w:bCs/>
          <w:sz w:val="28"/>
          <w:szCs w:val="28"/>
        </w:rPr>
        <w:t>Direktīvas 2012/27/ES prasību ieviešanu nacionālajā regulējumā v</w:t>
      </w:r>
      <w:r w:rsidR="00C16D5B">
        <w:rPr>
          <w:rFonts w:ascii="Times New Roman" w:eastAsiaTheme="majorEastAsia" w:hAnsi="Times New Roman" w:cs="Times New Roman"/>
          <w:bCs/>
          <w:sz w:val="28"/>
          <w:szCs w:val="28"/>
        </w:rPr>
        <w:t xml:space="preserve">alstij un komersantiem </w:t>
      </w:r>
      <w:r>
        <w:rPr>
          <w:rFonts w:ascii="Times New Roman" w:eastAsiaTheme="majorEastAsia" w:hAnsi="Times New Roman" w:cs="Times New Roman"/>
          <w:bCs/>
          <w:sz w:val="28"/>
          <w:szCs w:val="28"/>
        </w:rPr>
        <w:t xml:space="preserve">pieaug arī </w:t>
      </w:r>
      <w:r w:rsidR="00C16D5B">
        <w:rPr>
          <w:rFonts w:ascii="Times New Roman" w:eastAsiaTheme="majorEastAsia" w:hAnsi="Times New Roman" w:cs="Times New Roman"/>
          <w:bCs/>
          <w:sz w:val="28"/>
          <w:szCs w:val="28"/>
        </w:rPr>
        <w:t xml:space="preserve">slogs, ko rada </w:t>
      </w:r>
      <w:r>
        <w:rPr>
          <w:rFonts w:ascii="Times New Roman" w:eastAsiaTheme="majorEastAsia" w:hAnsi="Times New Roman" w:cs="Times New Roman"/>
          <w:bCs/>
          <w:sz w:val="28"/>
          <w:szCs w:val="28"/>
        </w:rPr>
        <w:t xml:space="preserve">nepieciešamība </w:t>
      </w:r>
      <w:r w:rsidR="00C16D5B">
        <w:rPr>
          <w:rFonts w:ascii="Times New Roman" w:eastAsiaTheme="majorEastAsia" w:hAnsi="Times New Roman" w:cs="Times New Roman"/>
          <w:bCs/>
          <w:sz w:val="28"/>
          <w:szCs w:val="28"/>
        </w:rPr>
        <w:t xml:space="preserve">veikt </w:t>
      </w:r>
      <w:r w:rsidR="00A32B1E">
        <w:rPr>
          <w:rFonts w:ascii="Times New Roman" w:eastAsiaTheme="majorEastAsia" w:hAnsi="Times New Roman" w:cs="Times New Roman"/>
          <w:bCs/>
          <w:sz w:val="28"/>
          <w:szCs w:val="28"/>
        </w:rPr>
        <w:t xml:space="preserve">ar energoefektivitāti saistītus </w:t>
      </w:r>
      <w:r w:rsidR="00C16D5B">
        <w:rPr>
          <w:rFonts w:ascii="Times New Roman" w:eastAsiaTheme="majorEastAsia" w:hAnsi="Times New Roman" w:cs="Times New Roman"/>
          <w:bCs/>
          <w:sz w:val="28"/>
          <w:szCs w:val="28"/>
        </w:rPr>
        <w:t xml:space="preserve">novērtējumus un </w:t>
      </w:r>
      <w:r w:rsidR="00A32B1E">
        <w:rPr>
          <w:rFonts w:ascii="Times New Roman" w:eastAsiaTheme="majorEastAsia" w:hAnsi="Times New Roman" w:cs="Times New Roman"/>
          <w:bCs/>
          <w:sz w:val="28"/>
          <w:szCs w:val="28"/>
        </w:rPr>
        <w:t>ie</w:t>
      </w:r>
      <w:r w:rsidR="00C16D5B">
        <w:rPr>
          <w:rFonts w:ascii="Times New Roman" w:eastAsiaTheme="majorEastAsia" w:hAnsi="Times New Roman" w:cs="Times New Roman"/>
          <w:bCs/>
          <w:sz w:val="28"/>
          <w:szCs w:val="28"/>
        </w:rPr>
        <w:t xml:space="preserve">sniegt </w:t>
      </w:r>
      <w:r>
        <w:rPr>
          <w:rFonts w:ascii="Times New Roman" w:eastAsiaTheme="majorEastAsia" w:hAnsi="Times New Roman" w:cs="Times New Roman"/>
          <w:bCs/>
          <w:sz w:val="28"/>
          <w:szCs w:val="28"/>
        </w:rPr>
        <w:t>atskaites</w:t>
      </w:r>
      <w:r w:rsidR="00C16D5B">
        <w:rPr>
          <w:rFonts w:ascii="Times New Roman" w:eastAsiaTheme="majorEastAsia" w:hAnsi="Times New Roman" w:cs="Times New Roman"/>
          <w:bCs/>
          <w:sz w:val="28"/>
          <w:szCs w:val="28"/>
        </w:rPr>
        <w:t>.</w:t>
      </w:r>
      <w:r w:rsidR="000632A9">
        <w:rPr>
          <w:rFonts w:ascii="Times New Roman" w:eastAsiaTheme="majorEastAsia" w:hAnsi="Times New Roman" w:cs="Times New Roman"/>
          <w:bCs/>
          <w:sz w:val="28"/>
          <w:szCs w:val="28"/>
        </w:rPr>
        <w:t xml:space="preserve"> </w:t>
      </w:r>
      <w:r w:rsidR="000632A9" w:rsidRPr="000632A9">
        <w:rPr>
          <w:rFonts w:ascii="Times New Roman" w:eastAsiaTheme="majorEastAsia" w:hAnsi="Times New Roman" w:cs="Times New Roman"/>
          <w:bCs/>
          <w:sz w:val="28"/>
          <w:szCs w:val="28"/>
        </w:rPr>
        <w:t>Direktīv</w:t>
      </w:r>
      <w:r w:rsidR="000632A9">
        <w:rPr>
          <w:rFonts w:ascii="Times New Roman" w:eastAsiaTheme="majorEastAsia" w:hAnsi="Times New Roman" w:cs="Times New Roman"/>
          <w:bCs/>
          <w:sz w:val="28"/>
          <w:szCs w:val="28"/>
        </w:rPr>
        <w:t>as</w:t>
      </w:r>
      <w:r w:rsidR="000632A9" w:rsidRPr="000632A9">
        <w:rPr>
          <w:rFonts w:ascii="Times New Roman" w:eastAsiaTheme="majorEastAsia" w:hAnsi="Times New Roman" w:cs="Times New Roman"/>
          <w:bCs/>
          <w:sz w:val="28"/>
          <w:szCs w:val="28"/>
        </w:rPr>
        <w:t xml:space="preserve"> 2012/27/ES</w:t>
      </w:r>
      <w:r w:rsidR="000632A9">
        <w:rPr>
          <w:rFonts w:ascii="Times New Roman" w:eastAsiaTheme="majorEastAsia" w:hAnsi="Times New Roman" w:cs="Times New Roman"/>
          <w:bCs/>
          <w:sz w:val="28"/>
          <w:szCs w:val="28"/>
        </w:rPr>
        <w:t xml:space="preserve"> prasības kopumā ir vērstas uz tādas nacionālās </w:t>
      </w:r>
      <w:r w:rsidR="00344EBD">
        <w:rPr>
          <w:rFonts w:ascii="Times New Roman" w:eastAsiaTheme="majorEastAsia" w:hAnsi="Times New Roman" w:cs="Times New Roman"/>
          <w:bCs/>
          <w:sz w:val="28"/>
          <w:szCs w:val="28"/>
        </w:rPr>
        <w:t xml:space="preserve">energoefektivitātes </w:t>
      </w:r>
      <w:r w:rsidR="000632A9">
        <w:rPr>
          <w:rFonts w:ascii="Times New Roman" w:eastAsiaTheme="majorEastAsia" w:hAnsi="Times New Roman" w:cs="Times New Roman"/>
          <w:bCs/>
          <w:sz w:val="28"/>
          <w:szCs w:val="28"/>
        </w:rPr>
        <w:t xml:space="preserve">sistēmas izveidi, kas ļauj valstij </w:t>
      </w:r>
      <w:r w:rsidR="00344EBD">
        <w:rPr>
          <w:rFonts w:ascii="Times New Roman" w:eastAsiaTheme="majorEastAsia" w:hAnsi="Times New Roman" w:cs="Times New Roman"/>
          <w:bCs/>
          <w:sz w:val="28"/>
          <w:szCs w:val="28"/>
        </w:rPr>
        <w:t>veikt enerģijas ietaupījumus</w:t>
      </w:r>
      <w:r w:rsidR="000632A9">
        <w:rPr>
          <w:rFonts w:ascii="Times New Roman" w:eastAsiaTheme="majorEastAsia" w:hAnsi="Times New Roman" w:cs="Times New Roman"/>
          <w:bCs/>
          <w:sz w:val="28"/>
          <w:szCs w:val="28"/>
        </w:rPr>
        <w:t xml:space="preserve"> visās </w:t>
      </w:r>
      <w:r w:rsidR="00344EBD">
        <w:rPr>
          <w:rFonts w:ascii="Times New Roman" w:eastAsiaTheme="majorEastAsia" w:hAnsi="Times New Roman" w:cs="Times New Roman"/>
          <w:bCs/>
          <w:sz w:val="28"/>
          <w:szCs w:val="28"/>
        </w:rPr>
        <w:t xml:space="preserve">enerģētikas </w:t>
      </w:r>
      <w:r w:rsidR="000632A9">
        <w:rPr>
          <w:rFonts w:ascii="Times New Roman" w:eastAsiaTheme="majorEastAsia" w:hAnsi="Times New Roman" w:cs="Times New Roman"/>
          <w:bCs/>
          <w:sz w:val="28"/>
          <w:szCs w:val="28"/>
        </w:rPr>
        <w:t>jomās – enerģijas ražošanā, pārvadē</w:t>
      </w:r>
      <w:r w:rsidR="00344EBD">
        <w:rPr>
          <w:rFonts w:ascii="Times New Roman" w:eastAsiaTheme="majorEastAsia" w:hAnsi="Times New Roman" w:cs="Times New Roman"/>
          <w:bCs/>
          <w:sz w:val="28"/>
          <w:szCs w:val="28"/>
        </w:rPr>
        <w:t xml:space="preserve"> un gala</w:t>
      </w:r>
      <w:r w:rsidR="00EF0F70">
        <w:rPr>
          <w:rFonts w:ascii="Times New Roman" w:eastAsiaTheme="majorEastAsia" w:hAnsi="Times New Roman" w:cs="Times New Roman"/>
          <w:bCs/>
          <w:sz w:val="28"/>
          <w:szCs w:val="28"/>
        </w:rPr>
        <w:t>lietotājos</w:t>
      </w:r>
      <w:r w:rsidR="00344EBD">
        <w:rPr>
          <w:rFonts w:ascii="Times New Roman" w:eastAsiaTheme="majorEastAsia" w:hAnsi="Times New Roman" w:cs="Times New Roman"/>
          <w:bCs/>
          <w:sz w:val="28"/>
          <w:szCs w:val="28"/>
        </w:rPr>
        <w:t>.</w:t>
      </w:r>
      <w:r w:rsidR="000632A9">
        <w:rPr>
          <w:rFonts w:ascii="Times New Roman" w:eastAsiaTheme="majorEastAsia" w:hAnsi="Times New Roman" w:cs="Times New Roman"/>
          <w:bCs/>
          <w:sz w:val="28"/>
          <w:szCs w:val="28"/>
        </w:rPr>
        <w:t xml:space="preserve"> </w:t>
      </w:r>
      <w:r w:rsidR="00344EBD">
        <w:rPr>
          <w:rFonts w:ascii="Times New Roman" w:eastAsiaTheme="majorEastAsia" w:hAnsi="Times New Roman" w:cs="Times New Roman"/>
          <w:bCs/>
          <w:sz w:val="28"/>
          <w:szCs w:val="28"/>
        </w:rPr>
        <w:t>Politikas</w:t>
      </w:r>
      <w:r w:rsidR="00344EBD" w:rsidRPr="00344EBD">
        <w:rPr>
          <w:rFonts w:ascii="Times New Roman" w:eastAsiaTheme="majorEastAsia" w:hAnsi="Times New Roman" w:cs="Times New Roman"/>
          <w:bCs/>
          <w:sz w:val="28"/>
          <w:szCs w:val="28"/>
        </w:rPr>
        <w:t xml:space="preserve"> sasniegto rezultātu </w:t>
      </w:r>
      <w:r w:rsidR="00344EBD">
        <w:rPr>
          <w:rFonts w:ascii="Times New Roman" w:eastAsiaTheme="majorEastAsia" w:hAnsi="Times New Roman" w:cs="Times New Roman"/>
          <w:bCs/>
          <w:sz w:val="28"/>
          <w:szCs w:val="28"/>
        </w:rPr>
        <w:t xml:space="preserve">novērtējums un metodiska ziņojamās informācijas apkopošana ļaus Latvijai būtiski </w:t>
      </w:r>
      <w:r w:rsidR="00ED7708">
        <w:rPr>
          <w:rFonts w:ascii="Times New Roman" w:eastAsiaTheme="majorEastAsia" w:hAnsi="Times New Roman" w:cs="Times New Roman"/>
          <w:bCs/>
          <w:sz w:val="28"/>
          <w:szCs w:val="28"/>
        </w:rPr>
        <w:t xml:space="preserve">uzlabot </w:t>
      </w:r>
      <w:r w:rsidR="002F22CE">
        <w:rPr>
          <w:rFonts w:ascii="Times New Roman" w:eastAsiaTheme="majorEastAsia" w:hAnsi="Times New Roman" w:cs="Times New Roman"/>
          <w:bCs/>
          <w:sz w:val="28"/>
          <w:szCs w:val="28"/>
        </w:rPr>
        <w:t xml:space="preserve">savas </w:t>
      </w:r>
      <w:r w:rsidR="00ED7708">
        <w:rPr>
          <w:rFonts w:ascii="Times New Roman" w:eastAsiaTheme="majorEastAsia" w:hAnsi="Times New Roman" w:cs="Times New Roman"/>
          <w:bCs/>
          <w:sz w:val="28"/>
          <w:szCs w:val="28"/>
        </w:rPr>
        <w:t xml:space="preserve">enerģētikas politikas ieviešanai nepieciešamo informatīvo bāzi. </w:t>
      </w:r>
    </w:p>
    <w:p w:rsidR="00DF503D" w:rsidRPr="00DF503D" w:rsidRDefault="00DF503D" w:rsidP="00DF503D">
      <w:pPr>
        <w:spacing w:after="0" w:line="240" w:lineRule="auto"/>
        <w:ind w:firstLine="709"/>
        <w:jc w:val="both"/>
        <w:rPr>
          <w:rFonts w:ascii="Times New Roman" w:eastAsiaTheme="majorEastAsia" w:hAnsi="Times New Roman" w:cs="Times New Roman"/>
          <w:bCs/>
          <w:sz w:val="28"/>
          <w:szCs w:val="28"/>
        </w:rPr>
      </w:pPr>
      <w:r w:rsidRPr="00DF503D">
        <w:rPr>
          <w:rFonts w:ascii="Times New Roman" w:eastAsiaTheme="majorEastAsia" w:hAnsi="Times New Roman" w:cs="Times New Roman"/>
          <w:bCs/>
          <w:sz w:val="28"/>
          <w:szCs w:val="28"/>
        </w:rPr>
        <w:t xml:space="preserve">Latvijai saistībā ar </w:t>
      </w:r>
      <w:r w:rsidR="00952F99" w:rsidRPr="00952F99">
        <w:rPr>
          <w:rFonts w:ascii="Times New Roman" w:eastAsiaTheme="majorEastAsia" w:hAnsi="Times New Roman" w:cs="Times New Roman"/>
          <w:bCs/>
          <w:sz w:val="28"/>
          <w:szCs w:val="28"/>
        </w:rPr>
        <w:t>Direktīv</w:t>
      </w:r>
      <w:r w:rsidR="00952F99">
        <w:rPr>
          <w:rFonts w:ascii="Times New Roman" w:eastAsiaTheme="majorEastAsia" w:hAnsi="Times New Roman" w:cs="Times New Roman"/>
          <w:bCs/>
          <w:sz w:val="28"/>
          <w:szCs w:val="28"/>
        </w:rPr>
        <w:t>as</w:t>
      </w:r>
      <w:r w:rsidR="00952F99" w:rsidRPr="00952F99">
        <w:rPr>
          <w:rFonts w:ascii="Times New Roman" w:eastAsiaTheme="majorEastAsia" w:hAnsi="Times New Roman" w:cs="Times New Roman"/>
          <w:bCs/>
          <w:sz w:val="28"/>
          <w:szCs w:val="28"/>
        </w:rPr>
        <w:t xml:space="preserve"> 2012/27/ES </w:t>
      </w:r>
      <w:r w:rsidRPr="00DF503D">
        <w:rPr>
          <w:rFonts w:ascii="Times New Roman" w:eastAsiaTheme="majorEastAsia" w:hAnsi="Times New Roman" w:cs="Times New Roman"/>
          <w:bCs/>
          <w:sz w:val="28"/>
          <w:szCs w:val="28"/>
        </w:rPr>
        <w:t xml:space="preserve">ieviešanu jāsasniedz indikatīvais valsts energoefektivitātes mērķis, kura ietvaros jānodrošina divi </w:t>
      </w:r>
      <w:r w:rsidRPr="00DF503D">
        <w:rPr>
          <w:rFonts w:ascii="Times New Roman" w:eastAsiaTheme="majorEastAsia" w:hAnsi="Times New Roman" w:cs="Times New Roman"/>
          <w:bCs/>
          <w:sz w:val="28"/>
          <w:szCs w:val="28"/>
        </w:rPr>
        <w:lastRenderedPageBreak/>
        <w:t>saistoši mērķi: katru gadu jāsasniedz 1,5</w:t>
      </w:r>
      <w:r w:rsidR="00BC6D46">
        <w:rPr>
          <w:rFonts w:ascii="Times New Roman" w:eastAsiaTheme="majorEastAsia" w:hAnsi="Times New Roman" w:cs="Times New Roman"/>
          <w:bCs/>
          <w:sz w:val="28"/>
          <w:szCs w:val="28"/>
        </w:rPr>
        <w:t> </w:t>
      </w:r>
      <w:r w:rsidRPr="00DF503D">
        <w:rPr>
          <w:rFonts w:ascii="Times New Roman" w:eastAsiaTheme="majorEastAsia" w:hAnsi="Times New Roman" w:cs="Times New Roman"/>
          <w:bCs/>
          <w:sz w:val="28"/>
          <w:szCs w:val="28"/>
        </w:rPr>
        <w:t>% valsts gala</w:t>
      </w:r>
      <w:r w:rsidR="007B36CA">
        <w:rPr>
          <w:rFonts w:ascii="Times New Roman" w:eastAsiaTheme="majorEastAsia" w:hAnsi="Times New Roman" w:cs="Times New Roman"/>
          <w:bCs/>
          <w:sz w:val="28"/>
          <w:szCs w:val="28"/>
        </w:rPr>
        <w:t>lietotājiem</w:t>
      </w:r>
      <w:r w:rsidRPr="00DF503D">
        <w:rPr>
          <w:rFonts w:ascii="Times New Roman" w:eastAsiaTheme="majorEastAsia" w:hAnsi="Times New Roman" w:cs="Times New Roman"/>
          <w:bCs/>
          <w:sz w:val="28"/>
          <w:szCs w:val="28"/>
        </w:rPr>
        <w:t xml:space="preserve"> piegādātās enerģijas ietaupījums  un katru  gadu jārenovē 3</w:t>
      </w:r>
      <w:r w:rsidR="00BC6D46">
        <w:rPr>
          <w:rFonts w:ascii="Times New Roman" w:eastAsiaTheme="majorEastAsia" w:hAnsi="Times New Roman" w:cs="Times New Roman"/>
          <w:bCs/>
          <w:sz w:val="28"/>
          <w:szCs w:val="28"/>
        </w:rPr>
        <w:t> </w:t>
      </w:r>
      <w:r w:rsidRPr="00DF503D">
        <w:rPr>
          <w:rFonts w:ascii="Times New Roman" w:eastAsiaTheme="majorEastAsia" w:hAnsi="Times New Roman" w:cs="Times New Roman"/>
          <w:bCs/>
          <w:sz w:val="28"/>
          <w:szCs w:val="28"/>
        </w:rPr>
        <w:t xml:space="preserve">% valstij piederošo ēku platības. Tā kā valsts ēkas veido daļu no valsts enerģijas galapatēriņa, tad </w:t>
      </w:r>
      <w:r w:rsidR="00B84381">
        <w:rPr>
          <w:rFonts w:ascii="Times New Roman" w:eastAsiaTheme="majorEastAsia" w:hAnsi="Times New Roman" w:cs="Times New Roman"/>
          <w:bCs/>
          <w:sz w:val="28"/>
          <w:szCs w:val="28"/>
        </w:rPr>
        <w:t xml:space="preserve">centrālās valdības </w:t>
      </w:r>
      <w:r w:rsidRPr="00DF503D">
        <w:rPr>
          <w:rFonts w:ascii="Times New Roman" w:eastAsiaTheme="majorEastAsia" w:hAnsi="Times New Roman" w:cs="Times New Roman"/>
          <w:bCs/>
          <w:sz w:val="28"/>
          <w:szCs w:val="28"/>
        </w:rPr>
        <w:t xml:space="preserve"> ēku</w:t>
      </w:r>
      <w:r w:rsidR="009E432D">
        <w:rPr>
          <w:rStyle w:val="FootnoteReference"/>
          <w:rFonts w:ascii="Times New Roman" w:eastAsiaTheme="majorEastAsia" w:hAnsi="Times New Roman" w:cs="Times New Roman"/>
          <w:bCs/>
          <w:sz w:val="28"/>
          <w:szCs w:val="28"/>
        </w:rPr>
        <w:footnoteReference w:id="4"/>
      </w:r>
      <w:r w:rsidRPr="00DF503D">
        <w:rPr>
          <w:rFonts w:ascii="Times New Roman" w:eastAsiaTheme="majorEastAsia" w:hAnsi="Times New Roman" w:cs="Times New Roman"/>
          <w:bCs/>
          <w:sz w:val="28"/>
          <w:szCs w:val="28"/>
        </w:rPr>
        <w:t xml:space="preserve"> 3</w:t>
      </w:r>
      <w:r w:rsidR="00BC6D46">
        <w:rPr>
          <w:rFonts w:ascii="Times New Roman" w:eastAsiaTheme="majorEastAsia" w:hAnsi="Times New Roman" w:cs="Times New Roman"/>
          <w:bCs/>
          <w:sz w:val="28"/>
          <w:szCs w:val="28"/>
        </w:rPr>
        <w:t> </w:t>
      </w:r>
      <w:r w:rsidRPr="00DF503D">
        <w:rPr>
          <w:rFonts w:ascii="Times New Roman" w:eastAsiaTheme="majorEastAsia" w:hAnsi="Times New Roman" w:cs="Times New Roman"/>
          <w:bCs/>
          <w:sz w:val="28"/>
          <w:szCs w:val="28"/>
        </w:rPr>
        <w:t>% renovācijas mērķa izpilde dod ieguldījumu kopējā galapatēriņa 1,5</w:t>
      </w:r>
      <w:r w:rsidR="00BC6D46">
        <w:rPr>
          <w:rFonts w:ascii="Times New Roman" w:eastAsiaTheme="majorEastAsia" w:hAnsi="Times New Roman" w:cs="Times New Roman"/>
          <w:bCs/>
          <w:sz w:val="28"/>
          <w:szCs w:val="28"/>
        </w:rPr>
        <w:t> </w:t>
      </w:r>
      <w:r w:rsidRPr="00DF503D">
        <w:rPr>
          <w:rFonts w:ascii="Times New Roman" w:eastAsiaTheme="majorEastAsia" w:hAnsi="Times New Roman" w:cs="Times New Roman"/>
          <w:bCs/>
          <w:sz w:val="28"/>
          <w:szCs w:val="28"/>
        </w:rPr>
        <w:t xml:space="preserve">% ietaupījuma mērķa sasniegšanā. </w:t>
      </w:r>
    </w:p>
    <w:p w:rsidR="00DF503D" w:rsidRPr="00DF503D" w:rsidRDefault="00DF503D" w:rsidP="00DF503D">
      <w:pPr>
        <w:spacing w:after="0" w:line="240" w:lineRule="auto"/>
        <w:ind w:firstLine="709"/>
        <w:jc w:val="both"/>
        <w:rPr>
          <w:rFonts w:ascii="Times New Roman" w:eastAsiaTheme="majorEastAsia" w:hAnsi="Times New Roman" w:cs="Times New Roman"/>
          <w:bCs/>
          <w:sz w:val="28"/>
          <w:szCs w:val="28"/>
        </w:rPr>
      </w:pPr>
      <w:r w:rsidRPr="004B3179">
        <w:rPr>
          <w:rFonts w:ascii="Times New Roman" w:eastAsiaTheme="majorEastAsia" w:hAnsi="Times New Roman" w:cs="Times New Roman"/>
          <w:b/>
          <w:bCs/>
          <w:sz w:val="28"/>
          <w:szCs w:val="28"/>
        </w:rPr>
        <w:t>Valsts energoefektivitātes mērķis</w:t>
      </w:r>
      <w:r w:rsidRPr="00DF503D">
        <w:rPr>
          <w:rFonts w:ascii="Times New Roman" w:eastAsiaTheme="majorEastAsia" w:hAnsi="Times New Roman" w:cs="Times New Roman"/>
          <w:bCs/>
          <w:sz w:val="28"/>
          <w:szCs w:val="28"/>
        </w:rPr>
        <w:t xml:space="preserve"> atbilst šādiem enerģijas ietaupījuma skaitliskajiem apjomiem:</w:t>
      </w:r>
    </w:p>
    <w:p w:rsidR="00DF503D" w:rsidRPr="00A60CB9" w:rsidRDefault="00DF503D" w:rsidP="00A60CB9">
      <w:pPr>
        <w:pStyle w:val="ListParagraph"/>
        <w:numPr>
          <w:ilvl w:val="0"/>
          <w:numId w:val="21"/>
        </w:numPr>
        <w:spacing w:after="0" w:line="240" w:lineRule="auto"/>
        <w:jc w:val="both"/>
        <w:rPr>
          <w:rFonts w:ascii="Times New Roman" w:eastAsiaTheme="majorEastAsia" w:hAnsi="Times New Roman" w:cs="Times New Roman"/>
          <w:bCs/>
          <w:sz w:val="28"/>
          <w:szCs w:val="28"/>
        </w:rPr>
      </w:pPr>
      <w:r w:rsidRPr="00952F99">
        <w:rPr>
          <w:rFonts w:ascii="Times New Roman" w:eastAsiaTheme="majorEastAsia" w:hAnsi="Times New Roman" w:cs="Times New Roman"/>
          <w:bCs/>
          <w:sz w:val="28"/>
          <w:szCs w:val="28"/>
          <w:u w:val="single"/>
        </w:rPr>
        <w:t>kopējais valsts indikatīvais energoefektivitātes mērķis</w:t>
      </w:r>
      <w:r w:rsidR="00952F99">
        <w:rPr>
          <w:rStyle w:val="FootnoteReference"/>
          <w:rFonts w:ascii="Times New Roman" w:eastAsiaTheme="majorEastAsia" w:hAnsi="Times New Roman" w:cs="Times New Roman"/>
          <w:bCs/>
          <w:sz w:val="28"/>
          <w:szCs w:val="28"/>
        </w:rPr>
        <w:footnoteReference w:id="5"/>
      </w:r>
      <w:r w:rsidRPr="00A60CB9">
        <w:rPr>
          <w:rFonts w:ascii="Times New Roman" w:eastAsiaTheme="majorEastAsia" w:hAnsi="Times New Roman" w:cs="Times New Roman"/>
          <w:bCs/>
          <w:sz w:val="28"/>
          <w:szCs w:val="28"/>
        </w:rPr>
        <w:t xml:space="preserve"> - primārās enerģijas ietaupījums 2020.</w:t>
      </w:r>
      <w:r w:rsidR="00BC6D46">
        <w:rPr>
          <w:rFonts w:ascii="Times New Roman" w:eastAsiaTheme="majorEastAsia" w:hAnsi="Times New Roman" w:cs="Times New Roman"/>
          <w:bCs/>
          <w:sz w:val="28"/>
          <w:szCs w:val="28"/>
        </w:rPr>
        <w:t> </w:t>
      </w:r>
      <w:r w:rsidRPr="00A60CB9">
        <w:rPr>
          <w:rFonts w:ascii="Times New Roman" w:eastAsiaTheme="majorEastAsia" w:hAnsi="Times New Roman" w:cs="Times New Roman"/>
          <w:bCs/>
          <w:sz w:val="28"/>
          <w:szCs w:val="28"/>
        </w:rPr>
        <w:t xml:space="preserve">gadā - 0,670 </w:t>
      </w:r>
      <w:proofErr w:type="spellStart"/>
      <w:r w:rsidRPr="00A60CB9">
        <w:rPr>
          <w:rFonts w:ascii="Times New Roman" w:eastAsiaTheme="majorEastAsia" w:hAnsi="Times New Roman" w:cs="Times New Roman"/>
          <w:bCs/>
          <w:sz w:val="28"/>
          <w:szCs w:val="28"/>
        </w:rPr>
        <w:t>Mtoe</w:t>
      </w:r>
      <w:proofErr w:type="spellEnd"/>
      <w:r w:rsidRPr="00A60CB9">
        <w:rPr>
          <w:rFonts w:ascii="Times New Roman" w:eastAsiaTheme="majorEastAsia" w:hAnsi="Times New Roman" w:cs="Times New Roman"/>
          <w:bCs/>
          <w:sz w:val="28"/>
          <w:szCs w:val="28"/>
        </w:rPr>
        <w:t xml:space="preserve"> (28 PJ);</w:t>
      </w:r>
    </w:p>
    <w:p w:rsidR="00DF503D" w:rsidRPr="00A60CB9" w:rsidRDefault="00DF503D" w:rsidP="00A60CB9">
      <w:pPr>
        <w:pStyle w:val="ListParagraph"/>
        <w:numPr>
          <w:ilvl w:val="0"/>
          <w:numId w:val="21"/>
        </w:numPr>
        <w:spacing w:after="0" w:line="240" w:lineRule="auto"/>
        <w:jc w:val="both"/>
        <w:rPr>
          <w:rFonts w:ascii="Times New Roman" w:eastAsiaTheme="majorEastAsia" w:hAnsi="Times New Roman" w:cs="Times New Roman"/>
          <w:bCs/>
          <w:sz w:val="28"/>
          <w:szCs w:val="28"/>
        </w:rPr>
      </w:pPr>
      <w:r w:rsidRPr="00952F99">
        <w:rPr>
          <w:rFonts w:ascii="Times New Roman" w:eastAsiaTheme="majorEastAsia" w:hAnsi="Times New Roman" w:cs="Times New Roman"/>
          <w:bCs/>
          <w:sz w:val="28"/>
          <w:szCs w:val="28"/>
          <w:u w:val="single"/>
        </w:rPr>
        <w:t>ikgada 1,5</w:t>
      </w:r>
      <w:r w:rsidR="00BC6D46">
        <w:rPr>
          <w:rFonts w:ascii="Times New Roman" w:eastAsiaTheme="majorEastAsia" w:hAnsi="Times New Roman" w:cs="Times New Roman"/>
          <w:bCs/>
          <w:sz w:val="28"/>
          <w:szCs w:val="28"/>
          <w:u w:val="single"/>
        </w:rPr>
        <w:t> </w:t>
      </w:r>
      <w:r w:rsidRPr="00952F99">
        <w:rPr>
          <w:rFonts w:ascii="Times New Roman" w:eastAsiaTheme="majorEastAsia" w:hAnsi="Times New Roman" w:cs="Times New Roman"/>
          <w:bCs/>
          <w:sz w:val="28"/>
          <w:szCs w:val="28"/>
          <w:u w:val="single"/>
        </w:rPr>
        <w:t>% gala enerģijas ietaupījuma mērķis</w:t>
      </w:r>
      <w:r w:rsidR="00952F99">
        <w:rPr>
          <w:rStyle w:val="FootnoteReference"/>
          <w:rFonts w:ascii="Times New Roman" w:eastAsiaTheme="majorEastAsia" w:hAnsi="Times New Roman" w:cs="Times New Roman"/>
          <w:bCs/>
          <w:sz w:val="28"/>
          <w:szCs w:val="28"/>
        </w:rPr>
        <w:footnoteReference w:id="6"/>
      </w:r>
      <w:r w:rsidRPr="00A60CB9">
        <w:rPr>
          <w:rFonts w:ascii="Times New Roman" w:eastAsiaTheme="majorEastAsia" w:hAnsi="Times New Roman" w:cs="Times New Roman"/>
          <w:bCs/>
          <w:sz w:val="28"/>
          <w:szCs w:val="28"/>
        </w:rPr>
        <w:t xml:space="preserve">  - 1,5</w:t>
      </w:r>
      <w:r w:rsidR="00E42D3D">
        <w:rPr>
          <w:rFonts w:ascii="Times New Roman" w:eastAsiaTheme="majorEastAsia" w:hAnsi="Times New Roman" w:cs="Times New Roman"/>
          <w:bCs/>
          <w:sz w:val="28"/>
          <w:szCs w:val="28"/>
        </w:rPr>
        <w:t xml:space="preserve"> </w:t>
      </w:r>
      <w:r w:rsidRPr="00A60CB9">
        <w:rPr>
          <w:rFonts w:ascii="Times New Roman" w:eastAsiaTheme="majorEastAsia" w:hAnsi="Times New Roman" w:cs="Times New Roman"/>
          <w:bCs/>
          <w:sz w:val="28"/>
          <w:szCs w:val="28"/>
        </w:rPr>
        <w:t>% apjomā no gala</w:t>
      </w:r>
      <w:r w:rsidR="007B36CA">
        <w:rPr>
          <w:rFonts w:ascii="Times New Roman" w:eastAsiaTheme="majorEastAsia" w:hAnsi="Times New Roman" w:cs="Times New Roman"/>
          <w:bCs/>
          <w:sz w:val="28"/>
          <w:szCs w:val="28"/>
        </w:rPr>
        <w:t>lietotājiem</w:t>
      </w:r>
      <w:r w:rsidRPr="00A60CB9">
        <w:rPr>
          <w:rFonts w:ascii="Times New Roman" w:eastAsiaTheme="majorEastAsia" w:hAnsi="Times New Roman" w:cs="Times New Roman"/>
          <w:bCs/>
          <w:sz w:val="28"/>
          <w:szCs w:val="28"/>
        </w:rPr>
        <w:t xml:space="preserve"> piegādātās enerģijas – kopā līdz 2020.gadam-  </w:t>
      </w:r>
      <w:r w:rsidRPr="00174A70">
        <w:rPr>
          <w:rFonts w:ascii="Times New Roman" w:eastAsiaTheme="majorEastAsia" w:hAnsi="Times New Roman" w:cs="Times New Roman"/>
          <w:bCs/>
          <w:sz w:val="28"/>
          <w:szCs w:val="28"/>
        </w:rPr>
        <w:t>0,</w:t>
      </w:r>
      <w:r w:rsidR="00986712" w:rsidRPr="00174A70">
        <w:rPr>
          <w:rFonts w:ascii="Times New Roman" w:eastAsiaTheme="majorEastAsia" w:hAnsi="Times New Roman" w:cs="Times New Roman"/>
          <w:bCs/>
          <w:sz w:val="28"/>
          <w:szCs w:val="28"/>
        </w:rPr>
        <w:t>2</w:t>
      </w:r>
      <w:r w:rsidR="00B16A15" w:rsidRPr="00174A70">
        <w:rPr>
          <w:rFonts w:ascii="Times New Roman" w:eastAsiaTheme="majorEastAsia" w:hAnsi="Times New Roman" w:cs="Times New Roman"/>
          <w:bCs/>
          <w:sz w:val="28"/>
          <w:szCs w:val="28"/>
        </w:rPr>
        <w:t xml:space="preserve">13 </w:t>
      </w:r>
      <w:proofErr w:type="spellStart"/>
      <w:r w:rsidR="00B16A15" w:rsidRPr="00174A70">
        <w:rPr>
          <w:rFonts w:ascii="Times New Roman" w:eastAsiaTheme="majorEastAsia" w:hAnsi="Times New Roman" w:cs="Times New Roman"/>
          <w:bCs/>
          <w:sz w:val="28"/>
          <w:szCs w:val="28"/>
        </w:rPr>
        <w:t>Mtoe</w:t>
      </w:r>
      <w:proofErr w:type="spellEnd"/>
      <w:r w:rsidR="00B16A15" w:rsidRPr="00174A70">
        <w:rPr>
          <w:rFonts w:ascii="Times New Roman" w:eastAsiaTheme="majorEastAsia" w:hAnsi="Times New Roman" w:cs="Times New Roman"/>
          <w:bCs/>
          <w:sz w:val="28"/>
          <w:szCs w:val="28"/>
        </w:rPr>
        <w:t xml:space="preserve"> (8</w:t>
      </w:r>
      <w:r w:rsidR="00986712" w:rsidRPr="00174A70">
        <w:rPr>
          <w:rFonts w:ascii="Times New Roman" w:eastAsiaTheme="majorEastAsia" w:hAnsi="Times New Roman" w:cs="Times New Roman"/>
          <w:bCs/>
          <w:sz w:val="28"/>
          <w:szCs w:val="28"/>
        </w:rPr>
        <w:t>,9</w:t>
      </w:r>
      <w:r w:rsidRPr="00174A70">
        <w:rPr>
          <w:rFonts w:ascii="Times New Roman" w:eastAsiaTheme="majorEastAsia" w:hAnsi="Times New Roman" w:cs="Times New Roman"/>
          <w:bCs/>
          <w:sz w:val="28"/>
          <w:szCs w:val="28"/>
        </w:rPr>
        <w:t xml:space="preserve"> PJ).</w:t>
      </w:r>
      <w:r w:rsidRPr="00A60CB9">
        <w:rPr>
          <w:rFonts w:ascii="Times New Roman" w:eastAsiaTheme="majorEastAsia" w:hAnsi="Times New Roman" w:cs="Times New Roman"/>
          <w:bCs/>
          <w:sz w:val="28"/>
          <w:szCs w:val="28"/>
        </w:rPr>
        <w:t xml:space="preserve"> </w:t>
      </w:r>
    </w:p>
    <w:p w:rsidR="00CA0B7D" w:rsidRDefault="00952F99" w:rsidP="00622969">
      <w:pPr>
        <w:pStyle w:val="ListParagraph"/>
        <w:numPr>
          <w:ilvl w:val="0"/>
          <w:numId w:val="21"/>
        </w:numPr>
        <w:spacing w:after="120" w:line="240" w:lineRule="auto"/>
        <w:ind w:left="714" w:hanging="357"/>
        <w:jc w:val="both"/>
        <w:rPr>
          <w:rFonts w:ascii="Times New Roman" w:eastAsiaTheme="majorEastAsia" w:hAnsi="Times New Roman" w:cs="Times New Roman"/>
          <w:bCs/>
          <w:sz w:val="28"/>
          <w:szCs w:val="28"/>
        </w:rPr>
      </w:pPr>
      <w:r w:rsidRPr="00CA0B7D">
        <w:rPr>
          <w:rFonts w:ascii="Times New Roman" w:eastAsiaTheme="majorEastAsia" w:hAnsi="Times New Roman" w:cs="Times New Roman"/>
          <w:bCs/>
          <w:sz w:val="28"/>
          <w:szCs w:val="28"/>
          <w:u w:val="single"/>
        </w:rPr>
        <w:t xml:space="preserve">ikgada </w:t>
      </w:r>
      <w:r w:rsidR="00B84381" w:rsidRPr="00CA0B7D">
        <w:rPr>
          <w:rFonts w:ascii="Times New Roman" w:eastAsiaTheme="majorEastAsia" w:hAnsi="Times New Roman" w:cs="Times New Roman"/>
          <w:bCs/>
          <w:sz w:val="28"/>
          <w:szCs w:val="28"/>
          <w:u w:val="single"/>
        </w:rPr>
        <w:t xml:space="preserve">centrālās valdības </w:t>
      </w:r>
      <w:r w:rsidR="00DF503D" w:rsidRPr="00CA0B7D">
        <w:rPr>
          <w:rFonts w:ascii="Times New Roman" w:eastAsiaTheme="majorEastAsia" w:hAnsi="Times New Roman" w:cs="Times New Roman"/>
          <w:bCs/>
          <w:sz w:val="28"/>
          <w:szCs w:val="28"/>
          <w:u w:val="single"/>
        </w:rPr>
        <w:t xml:space="preserve"> ēku </w:t>
      </w:r>
      <w:r w:rsidR="00A66F9E" w:rsidRPr="00CA0B7D">
        <w:rPr>
          <w:rFonts w:ascii="Times New Roman" w:eastAsiaTheme="majorEastAsia" w:hAnsi="Times New Roman" w:cs="Times New Roman"/>
          <w:bCs/>
          <w:sz w:val="28"/>
          <w:szCs w:val="28"/>
          <w:u w:val="single"/>
        </w:rPr>
        <w:t>3</w:t>
      </w:r>
      <w:r w:rsidR="00BC6D46" w:rsidRPr="00CA0B7D">
        <w:rPr>
          <w:rFonts w:ascii="Times New Roman" w:eastAsiaTheme="majorEastAsia" w:hAnsi="Times New Roman" w:cs="Times New Roman"/>
          <w:bCs/>
          <w:sz w:val="28"/>
          <w:szCs w:val="28"/>
          <w:u w:val="single"/>
        </w:rPr>
        <w:t> </w:t>
      </w:r>
      <w:r w:rsidR="00A66F9E" w:rsidRPr="00CA0B7D">
        <w:rPr>
          <w:rFonts w:ascii="Times New Roman" w:eastAsiaTheme="majorEastAsia" w:hAnsi="Times New Roman" w:cs="Times New Roman"/>
          <w:bCs/>
          <w:sz w:val="28"/>
          <w:szCs w:val="28"/>
          <w:u w:val="single"/>
        </w:rPr>
        <w:t>% platības</w:t>
      </w:r>
      <w:r w:rsidR="00A66F9E" w:rsidRPr="00A66F9E">
        <w:rPr>
          <w:rStyle w:val="FootnoteReference"/>
          <w:rFonts w:ascii="Times New Roman" w:eastAsiaTheme="majorEastAsia" w:hAnsi="Times New Roman" w:cs="Times New Roman"/>
          <w:bCs/>
          <w:sz w:val="28"/>
          <w:szCs w:val="28"/>
          <w:u w:val="single"/>
        </w:rPr>
        <w:footnoteReference w:id="7"/>
      </w:r>
      <w:r w:rsidR="00A66F9E" w:rsidRPr="00CA0B7D">
        <w:rPr>
          <w:rFonts w:ascii="Times New Roman" w:eastAsiaTheme="majorEastAsia" w:hAnsi="Times New Roman" w:cs="Times New Roman"/>
          <w:bCs/>
          <w:sz w:val="28"/>
          <w:szCs w:val="28"/>
          <w:u w:val="single"/>
        </w:rPr>
        <w:t xml:space="preserve"> </w:t>
      </w:r>
      <w:r w:rsidR="00DF503D" w:rsidRPr="00CA0B7D">
        <w:rPr>
          <w:rFonts w:ascii="Times New Roman" w:eastAsiaTheme="majorEastAsia" w:hAnsi="Times New Roman" w:cs="Times New Roman"/>
          <w:bCs/>
          <w:sz w:val="28"/>
          <w:szCs w:val="28"/>
          <w:u w:val="single"/>
        </w:rPr>
        <w:t>renovācij</w:t>
      </w:r>
      <w:r w:rsidR="00A66F9E" w:rsidRPr="00CA0B7D">
        <w:rPr>
          <w:rFonts w:ascii="Times New Roman" w:eastAsiaTheme="majorEastAsia" w:hAnsi="Times New Roman" w:cs="Times New Roman"/>
          <w:bCs/>
          <w:sz w:val="28"/>
          <w:szCs w:val="28"/>
          <w:u w:val="single"/>
        </w:rPr>
        <w:t>as mērķis</w:t>
      </w:r>
      <w:r w:rsidR="00DF503D" w:rsidRPr="00CA0B7D">
        <w:rPr>
          <w:rFonts w:ascii="Times New Roman" w:eastAsiaTheme="majorEastAsia" w:hAnsi="Times New Roman" w:cs="Times New Roman"/>
          <w:bCs/>
          <w:sz w:val="28"/>
          <w:szCs w:val="28"/>
        </w:rPr>
        <w:t xml:space="preserve"> (maksimālās aplēses – kopā </w:t>
      </w:r>
      <w:r w:rsidR="008576E8" w:rsidRPr="00CA0B7D">
        <w:rPr>
          <w:rFonts w:ascii="Times New Roman" w:eastAsiaTheme="majorEastAsia" w:hAnsi="Times New Roman" w:cs="Times New Roman"/>
          <w:bCs/>
          <w:sz w:val="28"/>
          <w:szCs w:val="28"/>
        </w:rPr>
        <w:t>678 460</w:t>
      </w:r>
      <w:r w:rsidR="00DF503D" w:rsidRPr="00CA0B7D">
        <w:rPr>
          <w:rFonts w:ascii="Times New Roman" w:eastAsiaTheme="majorEastAsia" w:hAnsi="Times New Roman" w:cs="Times New Roman"/>
          <w:bCs/>
          <w:sz w:val="28"/>
          <w:szCs w:val="28"/>
        </w:rPr>
        <w:t xml:space="preserve"> m</w:t>
      </w:r>
      <w:r w:rsidR="00DF503D" w:rsidRPr="00CA0B7D">
        <w:rPr>
          <w:rFonts w:ascii="Times New Roman" w:eastAsiaTheme="majorEastAsia" w:hAnsi="Times New Roman" w:cs="Times New Roman"/>
          <w:bCs/>
          <w:sz w:val="28"/>
          <w:szCs w:val="28"/>
          <w:vertAlign w:val="superscript"/>
        </w:rPr>
        <w:t>2</w:t>
      </w:r>
      <w:r w:rsidR="00DF503D" w:rsidRPr="00CA0B7D">
        <w:rPr>
          <w:rFonts w:ascii="Times New Roman" w:eastAsiaTheme="majorEastAsia" w:hAnsi="Times New Roman" w:cs="Times New Roman"/>
          <w:bCs/>
          <w:sz w:val="28"/>
          <w:szCs w:val="28"/>
        </w:rPr>
        <w:t xml:space="preserve">), </w:t>
      </w:r>
      <w:r w:rsidR="00CA0B7D">
        <w:rPr>
          <w:rFonts w:ascii="Times New Roman" w:hAnsi="Times New Roman" w:cs="Times New Roman"/>
          <w:sz w:val="28"/>
          <w:szCs w:val="28"/>
        </w:rPr>
        <w:t xml:space="preserve">kas kopā ar pašvaldību ēku renovāciju dod 0,016 </w:t>
      </w:r>
      <w:proofErr w:type="spellStart"/>
      <w:r w:rsidR="00CA0B7D">
        <w:rPr>
          <w:rFonts w:ascii="Times New Roman" w:hAnsi="Times New Roman" w:cs="Times New Roman"/>
          <w:sz w:val="28"/>
          <w:szCs w:val="28"/>
        </w:rPr>
        <w:t>Mtoe</w:t>
      </w:r>
      <w:proofErr w:type="spellEnd"/>
      <w:r w:rsidR="00CA0B7D">
        <w:rPr>
          <w:rFonts w:ascii="Times New Roman" w:hAnsi="Times New Roman" w:cs="Times New Roman"/>
          <w:sz w:val="28"/>
          <w:szCs w:val="28"/>
        </w:rPr>
        <w:t xml:space="preserve"> (0,67 PJ, 186 </w:t>
      </w:r>
      <w:proofErr w:type="spellStart"/>
      <w:r w:rsidR="00CA0B7D">
        <w:rPr>
          <w:rFonts w:ascii="Times New Roman" w:hAnsi="Times New Roman" w:cs="Times New Roman"/>
          <w:sz w:val="28"/>
          <w:szCs w:val="28"/>
        </w:rPr>
        <w:t>GWh</w:t>
      </w:r>
      <w:proofErr w:type="spellEnd"/>
      <w:r w:rsidR="00CA0B7D">
        <w:rPr>
          <w:rFonts w:ascii="Times New Roman" w:hAnsi="Times New Roman" w:cs="Times New Roman"/>
          <w:sz w:val="28"/>
          <w:szCs w:val="28"/>
        </w:rPr>
        <w:t>)</w:t>
      </w:r>
      <w:r w:rsidR="00CA0B7D" w:rsidRPr="00B61E57">
        <w:rPr>
          <w:rFonts w:ascii="Times New Roman" w:hAnsi="Times New Roman" w:cs="Times New Roman"/>
          <w:sz w:val="28"/>
          <w:szCs w:val="28"/>
        </w:rPr>
        <w:t xml:space="preserve"> enerģijas ietaupījums </w:t>
      </w:r>
      <w:r w:rsidR="00CA0B7D">
        <w:rPr>
          <w:rFonts w:ascii="Times New Roman" w:hAnsi="Times New Roman" w:cs="Times New Roman"/>
          <w:sz w:val="28"/>
          <w:szCs w:val="28"/>
        </w:rPr>
        <w:t>visā 2014. - 2020. gada periodā</w:t>
      </w:r>
      <w:r w:rsidR="00CA0B7D" w:rsidRPr="00B61E57">
        <w:rPr>
          <w:rFonts w:ascii="Times New Roman" w:hAnsi="Times New Roman" w:cs="Times New Roman"/>
          <w:sz w:val="28"/>
          <w:szCs w:val="28"/>
        </w:rPr>
        <w:t>.</w:t>
      </w:r>
      <w:r w:rsidR="00BA02D5" w:rsidRPr="00CA0B7D">
        <w:rPr>
          <w:rFonts w:ascii="Times New Roman" w:eastAsiaTheme="majorEastAsia" w:hAnsi="Times New Roman" w:cs="Times New Roman"/>
          <w:bCs/>
          <w:sz w:val="28"/>
          <w:szCs w:val="28"/>
        </w:rPr>
        <w:tab/>
      </w:r>
    </w:p>
    <w:p w:rsidR="00754B3D" w:rsidRPr="00CA0B7D" w:rsidRDefault="00CA0B7D" w:rsidP="00CA0B7D">
      <w:pPr>
        <w:pStyle w:val="ListParagraph"/>
        <w:spacing w:after="120" w:line="240" w:lineRule="auto"/>
        <w:ind w:left="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ab/>
      </w:r>
      <w:r w:rsidR="00754B3D" w:rsidRPr="00CA0B7D">
        <w:rPr>
          <w:rFonts w:ascii="Times New Roman" w:eastAsiaTheme="majorEastAsia" w:hAnsi="Times New Roman" w:cs="Times New Roman"/>
          <w:bCs/>
          <w:sz w:val="28"/>
          <w:szCs w:val="28"/>
        </w:rPr>
        <w:t>Direktīv</w:t>
      </w:r>
      <w:r w:rsidR="00576A0B" w:rsidRPr="00CA0B7D">
        <w:rPr>
          <w:rFonts w:ascii="Times New Roman" w:eastAsiaTheme="majorEastAsia" w:hAnsi="Times New Roman" w:cs="Times New Roman"/>
          <w:bCs/>
          <w:sz w:val="28"/>
          <w:szCs w:val="28"/>
        </w:rPr>
        <w:t>ā</w:t>
      </w:r>
      <w:r w:rsidR="00754B3D" w:rsidRPr="00CA0B7D">
        <w:rPr>
          <w:rFonts w:ascii="Times New Roman" w:eastAsiaTheme="majorEastAsia" w:hAnsi="Times New Roman" w:cs="Times New Roman"/>
          <w:bCs/>
          <w:sz w:val="28"/>
          <w:szCs w:val="28"/>
        </w:rPr>
        <w:t xml:space="preserve"> 2012/27/ES </w:t>
      </w:r>
      <w:r w:rsidR="00576A0B" w:rsidRPr="00CA0B7D">
        <w:rPr>
          <w:rFonts w:ascii="Times New Roman" w:eastAsiaTheme="majorEastAsia" w:hAnsi="Times New Roman" w:cs="Times New Roman"/>
          <w:bCs/>
          <w:sz w:val="28"/>
          <w:szCs w:val="28"/>
        </w:rPr>
        <w:t xml:space="preserve">centrālajai valdībai ir piemērota šāda definīcija: </w:t>
      </w:r>
      <w:r w:rsidR="00754B3D" w:rsidRPr="00CA0B7D">
        <w:rPr>
          <w:rFonts w:ascii="Times New Roman" w:eastAsiaTheme="majorEastAsia" w:hAnsi="Times New Roman" w:cs="Times New Roman"/>
          <w:bCs/>
          <w:sz w:val="28"/>
          <w:szCs w:val="28"/>
        </w:rPr>
        <w:t>„centrālā valdība” ir visas administratīvās pārvaldes iestādes, kuru kompetence aptver visu dalībvalsts teritoriju.</w:t>
      </w:r>
    </w:p>
    <w:p w:rsidR="00754B3D" w:rsidRPr="00754B3D" w:rsidRDefault="00BA02D5" w:rsidP="00754B3D">
      <w:pPr>
        <w:spacing w:after="240" w:line="24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ab/>
      </w:r>
      <w:r w:rsidR="00754B3D" w:rsidRPr="00576A0B">
        <w:rPr>
          <w:rFonts w:ascii="Times New Roman" w:eastAsiaTheme="majorEastAsia" w:hAnsi="Times New Roman" w:cs="Times New Roman"/>
          <w:bCs/>
          <w:sz w:val="28"/>
          <w:szCs w:val="28"/>
        </w:rPr>
        <w:t>Centrālās valdības ēka ir tiešajai valsts pārvaldes iestādei vai tās padotības iestādei īpašumā vai lietošanā esoša ēka, kurā tiek īstenota valsts tiešās pārvaldes iestādes vai tās padotības iestādes funkcija. Centrālās valdības ēkas definīci</w:t>
      </w:r>
      <w:r w:rsidR="007B36CA">
        <w:rPr>
          <w:rFonts w:ascii="Times New Roman" w:eastAsiaTheme="majorEastAsia" w:hAnsi="Times New Roman" w:cs="Times New Roman"/>
          <w:bCs/>
          <w:sz w:val="28"/>
          <w:szCs w:val="28"/>
        </w:rPr>
        <w:t xml:space="preserve">jā netiek iekļautas </w:t>
      </w:r>
      <w:r w:rsidR="003A02EE">
        <w:rPr>
          <w:rFonts w:ascii="Times New Roman" w:eastAsiaTheme="majorEastAsia" w:hAnsi="Times New Roman" w:cs="Times New Roman"/>
          <w:bCs/>
          <w:sz w:val="28"/>
          <w:szCs w:val="28"/>
        </w:rPr>
        <w:t>valsts sabiedrības ar ierobežotu atbildību (turpmāk –</w:t>
      </w:r>
      <w:r w:rsidR="007B36CA">
        <w:rPr>
          <w:rFonts w:ascii="Times New Roman" w:eastAsiaTheme="majorEastAsia" w:hAnsi="Times New Roman" w:cs="Times New Roman"/>
          <w:bCs/>
          <w:sz w:val="28"/>
          <w:szCs w:val="28"/>
        </w:rPr>
        <w:t>VSIA</w:t>
      </w:r>
      <w:r w:rsidR="003A02EE">
        <w:rPr>
          <w:rFonts w:ascii="Times New Roman" w:eastAsiaTheme="majorEastAsia" w:hAnsi="Times New Roman" w:cs="Times New Roman"/>
          <w:bCs/>
          <w:sz w:val="28"/>
          <w:szCs w:val="28"/>
        </w:rPr>
        <w:t>)</w:t>
      </w:r>
      <w:r w:rsidR="007B36CA">
        <w:rPr>
          <w:rFonts w:ascii="Times New Roman" w:eastAsiaTheme="majorEastAsia" w:hAnsi="Times New Roman" w:cs="Times New Roman"/>
          <w:bCs/>
          <w:sz w:val="28"/>
          <w:szCs w:val="28"/>
        </w:rPr>
        <w:t xml:space="preserve">, </w:t>
      </w:r>
      <w:r w:rsidR="003A02EE">
        <w:rPr>
          <w:rFonts w:ascii="Times New Roman" w:eastAsiaTheme="majorEastAsia" w:hAnsi="Times New Roman" w:cs="Times New Roman"/>
          <w:bCs/>
          <w:sz w:val="28"/>
          <w:szCs w:val="28"/>
        </w:rPr>
        <w:t xml:space="preserve">valsts akciju sabiedrības (turpmāk – </w:t>
      </w:r>
      <w:r w:rsidR="007B36CA">
        <w:rPr>
          <w:rFonts w:ascii="Times New Roman" w:eastAsiaTheme="majorEastAsia" w:hAnsi="Times New Roman" w:cs="Times New Roman"/>
          <w:bCs/>
          <w:sz w:val="28"/>
          <w:szCs w:val="28"/>
        </w:rPr>
        <w:t>VAS</w:t>
      </w:r>
      <w:r w:rsidR="003A02EE">
        <w:rPr>
          <w:rFonts w:ascii="Times New Roman" w:eastAsiaTheme="majorEastAsia" w:hAnsi="Times New Roman" w:cs="Times New Roman"/>
          <w:bCs/>
          <w:sz w:val="28"/>
          <w:szCs w:val="28"/>
        </w:rPr>
        <w:t>)</w:t>
      </w:r>
      <w:r w:rsidR="007B36CA">
        <w:rPr>
          <w:rFonts w:ascii="Times New Roman" w:eastAsiaTheme="majorEastAsia" w:hAnsi="Times New Roman" w:cs="Times New Roman"/>
          <w:bCs/>
          <w:sz w:val="28"/>
          <w:szCs w:val="28"/>
        </w:rPr>
        <w:t>, k</w:t>
      </w:r>
      <w:r w:rsidR="00754B3D" w:rsidRPr="00576A0B">
        <w:rPr>
          <w:rFonts w:ascii="Times New Roman" w:eastAsiaTheme="majorEastAsia" w:hAnsi="Times New Roman" w:cs="Times New Roman"/>
          <w:bCs/>
          <w:sz w:val="28"/>
          <w:szCs w:val="28"/>
        </w:rPr>
        <w:t>apitālsabiedrībai ar valsts daļu īpašumā vai lietošanā esoša ēka, ja tajā netiek īstenots valsts pārvaldes uzdevums.</w:t>
      </w:r>
    </w:p>
    <w:p w:rsidR="00986712" w:rsidRDefault="00986712" w:rsidP="004B3179">
      <w:pPr>
        <w:spacing w:after="0" w:line="240" w:lineRule="auto"/>
        <w:ind w:firstLine="709"/>
        <w:jc w:val="both"/>
        <w:rPr>
          <w:rFonts w:ascii="Times New Roman" w:hAnsi="Times New Roman" w:cs="Times New Roman"/>
          <w:b/>
          <w:sz w:val="28"/>
          <w:szCs w:val="28"/>
        </w:rPr>
      </w:pPr>
    </w:p>
    <w:p w:rsidR="004B3179" w:rsidRDefault="004B3179" w:rsidP="004B3179">
      <w:pPr>
        <w:spacing w:after="0" w:line="240" w:lineRule="auto"/>
        <w:ind w:firstLine="709"/>
        <w:jc w:val="both"/>
        <w:rPr>
          <w:rFonts w:ascii="Times New Roman" w:hAnsi="Times New Roman" w:cs="Times New Roman"/>
          <w:sz w:val="28"/>
          <w:szCs w:val="28"/>
        </w:rPr>
      </w:pPr>
      <w:r w:rsidRPr="004B3179">
        <w:rPr>
          <w:rFonts w:ascii="Times New Roman" w:hAnsi="Times New Roman" w:cs="Times New Roman"/>
          <w:b/>
          <w:sz w:val="28"/>
          <w:szCs w:val="28"/>
        </w:rPr>
        <w:t>Mērķa sasniegšanas pasākumi</w:t>
      </w:r>
      <w:r>
        <w:rPr>
          <w:rFonts w:ascii="Times New Roman" w:hAnsi="Times New Roman" w:cs="Times New Roman"/>
          <w:sz w:val="28"/>
          <w:szCs w:val="28"/>
        </w:rPr>
        <w:t>.</w:t>
      </w:r>
    </w:p>
    <w:p w:rsidR="00986712" w:rsidRDefault="00986712" w:rsidP="004B3179">
      <w:pPr>
        <w:spacing w:after="0" w:line="240" w:lineRule="auto"/>
        <w:ind w:firstLine="709"/>
        <w:jc w:val="both"/>
        <w:rPr>
          <w:rFonts w:ascii="Times New Roman" w:hAnsi="Times New Roman" w:cs="Times New Roman"/>
          <w:sz w:val="28"/>
          <w:szCs w:val="28"/>
        </w:rPr>
      </w:pPr>
    </w:p>
    <w:p w:rsidR="00E10E47" w:rsidRDefault="00BA0325" w:rsidP="004B31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C29BD" w:rsidRPr="009C29BD">
        <w:rPr>
          <w:rFonts w:ascii="Times New Roman" w:hAnsi="Times New Roman" w:cs="Times New Roman"/>
          <w:sz w:val="28"/>
          <w:szCs w:val="28"/>
        </w:rPr>
        <w:t>Direktīva 2012/27/ES Latvijai nosaka šādus</w:t>
      </w:r>
      <w:r w:rsidR="009C29BD">
        <w:rPr>
          <w:rFonts w:ascii="Times New Roman" w:hAnsi="Times New Roman" w:cs="Times New Roman"/>
          <w:sz w:val="28"/>
          <w:szCs w:val="28"/>
        </w:rPr>
        <w:t xml:space="preserve"> </w:t>
      </w:r>
      <w:r w:rsidR="001B0C36" w:rsidRPr="004B3179">
        <w:rPr>
          <w:rFonts w:ascii="Times New Roman" w:hAnsi="Times New Roman" w:cs="Times New Roman"/>
          <w:sz w:val="28"/>
          <w:szCs w:val="28"/>
          <w:u w:val="single"/>
        </w:rPr>
        <w:t xml:space="preserve">obligātus </w:t>
      </w:r>
      <w:r w:rsidR="009C29BD" w:rsidRPr="004B3179">
        <w:rPr>
          <w:rFonts w:ascii="Times New Roman" w:hAnsi="Times New Roman" w:cs="Times New Roman"/>
          <w:sz w:val="28"/>
          <w:szCs w:val="28"/>
          <w:u w:val="single"/>
        </w:rPr>
        <w:t>pasākumus</w:t>
      </w:r>
      <w:r w:rsidR="00415024" w:rsidRPr="004B3179">
        <w:rPr>
          <w:rFonts w:ascii="Times New Roman" w:hAnsi="Times New Roman" w:cs="Times New Roman"/>
          <w:sz w:val="28"/>
          <w:szCs w:val="28"/>
          <w:u w:val="single"/>
        </w:rPr>
        <w:t xml:space="preserve">, </w:t>
      </w:r>
      <w:r w:rsidR="00D6762E" w:rsidRPr="004B3179">
        <w:rPr>
          <w:rFonts w:ascii="Times New Roman" w:hAnsi="Times New Roman" w:cs="Times New Roman"/>
          <w:sz w:val="28"/>
          <w:szCs w:val="28"/>
          <w:u w:val="single"/>
        </w:rPr>
        <w:t xml:space="preserve">kas </w:t>
      </w:r>
      <w:r w:rsidR="00415024" w:rsidRPr="004B3179">
        <w:rPr>
          <w:rFonts w:ascii="Times New Roman" w:hAnsi="Times New Roman" w:cs="Times New Roman"/>
          <w:sz w:val="28"/>
          <w:szCs w:val="28"/>
          <w:u w:val="single"/>
        </w:rPr>
        <w:t xml:space="preserve">veicami pirms </w:t>
      </w:r>
      <w:r w:rsidR="00D6762E" w:rsidRPr="004B3179">
        <w:rPr>
          <w:rFonts w:ascii="Times New Roman" w:hAnsi="Times New Roman" w:cs="Times New Roman"/>
          <w:sz w:val="28"/>
          <w:szCs w:val="28"/>
          <w:u w:val="single"/>
        </w:rPr>
        <w:t xml:space="preserve">Direktīvas 2012/27/ES </w:t>
      </w:r>
      <w:r w:rsidR="00415024" w:rsidRPr="004B3179">
        <w:rPr>
          <w:rFonts w:ascii="Times New Roman" w:hAnsi="Times New Roman" w:cs="Times New Roman"/>
          <w:sz w:val="28"/>
          <w:szCs w:val="28"/>
          <w:u w:val="single"/>
        </w:rPr>
        <w:t>ieviešanas termiņa</w:t>
      </w:r>
      <w:r w:rsidR="00DC497B">
        <w:rPr>
          <w:rFonts w:ascii="Times New Roman" w:hAnsi="Times New Roman" w:cs="Times New Roman"/>
          <w:sz w:val="28"/>
          <w:szCs w:val="28"/>
          <w:u w:val="single"/>
        </w:rPr>
        <w:t xml:space="preserve"> </w:t>
      </w:r>
      <w:r w:rsidR="00DC497B" w:rsidRPr="00DC497B">
        <w:rPr>
          <w:rFonts w:ascii="Times New Roman" w:hAnsi="Times New Roman" w:cs="Times New Roman"/>
          <w:sz w:val="28"/>
          <w:szCs w:val="28"/>
        </w:rPr>
        <w:t xml:space="preserve">(termiņus </w:t>
      </w:r>
      <w:proofErr w:type="spellStart"/>
      <w:r w:rsidR="00DC497B" w:rsidRPr="00DC497B">
        <w:rPr>
          <w:rFonts w:ascii="Times New Roman" w:hAnsi="Times New Roman" w:cs="Times New Roman"/>
          <w:sz w:val="28"/>
          <w:szCs w:val="28"/>
        </w:rPr>
        <w:t>skat</w:t>
      </w:r>
      <w:proofErr w:type="spellEnd"/>
      <w:r w:rsidR="00DC497B" w:rsidRPr="00DC497B">
        <w:rPr>
          <w:rFonts w:ascii="Times New Roman" w:hAnsi="Times New Roman" w:cs="Times New Roman"/>
          <w:sz w:val="28"/>
          <w:szCs w:val="28"/>
        </w:rPr>
        <w:t xml:space="preserve">. </w:t>
      </w:r>
      <w:r w:rsidR="00A6188B">
        <w:rPr>
          <w:rFonts w:ascii="Times New Roman" w:hAnsi="Times New Roman" w:cs="Times New Roman"/>
          <w:sz w:val="28"/>
          <w:szCs w:val="28"/>
        </w:rPr>
        <w:t>3</w:t>
      </w:r>
      <w:r w:rsidR="00DC497B" w:rsidRPr="00DC497B">
        <w:rPr>
          <w:rFonts w:ascii="Times New Roman" w:hAnsi="Times New Roman" w:cs="Times New Roman"/>
          <w:sz w:val="28"/>
          <w:szCs w:val="28"/>
        </w:rPr>
        <w:t>.</w:t>
      </w:r>
      <w:r w:rsidR="00BC6D46">
        <w:rPr>
          <w:rFonts w:ascii="Times New Roman" w:hAnsi="Times New Roman" w:cs="Times New Roman"/>
          <w:sz w:val="28"/>
          <w:szCs w:val="28"/>
        </w:rPr>
        <w:t> </w:t>
      </w:r>
      <w:r w:rsidR="00DC497B" w:rsidRPr="00DC497B">
        <w:rPr>
          <w:rFonts w:ascii="Times New Roman" w:hAnsi="Times New Roman" w:cs="Times New Roman"/>
          <w:sz w:val="28"/>
          <w:szCs w:val="28"/>
        </w:rPr>
        <w:t>tabulā)</w:t>
      </w:r>
      <w:r w:rsidR="009C29BD">
        <w:rPr>
          <w:rFonts w:ascii="Times New Roman" w:hAnsi="Times New Roman" w:cs="Times New Roman"/>
          <w:sz w:val="28"/>
          <w:szCs w:val="28"/>
        </w:rPr>
        <w:t>:</w:t>
      </w:r>
    </w:p>
    <w:p w:rsidR="0087708C" w:rsidRPr="004B3179" w:rsidRDefault="00C16D5B" w:rsidP="004B3179">
      <w:pPr>
        <w:pStyle w:val="ListParagraph"/>
        <w:numPr>
          <w:ilvl w:val="0"/>
          <w:numId w:val="22"/>
        </w:numPr>
        <w:spacing w:after="0" w:line="240" w:lineRule="auto"/>
        <w:jc w:val="both"/>
        <w:rPr>
          <w:rFonts w:ascii="Times New Roman" w:hAnsi="Times New Roman" w:cs="Times New Roman"/>
          <w:sz w:val="28"/>
          <w:szCs w:val="28"/>
        </w:rPr>
      </w:pPr>
      <w:r w:rsidRPr="004B3179">
        <w:rPr>
          <w:rFonts w:ascii="Times New Roman" w:hAnsi="Times New Roman" w:cs="Times New Roman"/>
          <w:sz w:val="28"/>
          <w:szCs w:val="28"/>
        </w:rPr>
        <w:lastRenderedPageBreak/>
        <w:t xml:space="preserve">izstrādāt ilgtermiņa stratēģiju, lai mobilizētu ieguldījumus gan valsts, gan privāto dzīvojamo ēku un </w:t>
      </w:r>
      <w:proofErr w:type="spellStart"/>
      <w:r w:rsidRPr="004B3179">
        <w:rPr>
          <w:rFonts w:ascii="Times New Roman" w:hAnsi="Times New Roman" w:cs="Times New Roman"/>
          <w:sz w:val="28"/>
          <w:szCs w:val="28"/>
        </w:rPr>
        <w:t>komercp</w:t>
      </w:r>
      <w:r w:rsidR="00415024" w:rsidRPr="004B3179">
        <w:rPr>
          <w:rFonts w:ascii="Times New Roman" w:hAnsi="Times New Roman" w:cs="Times New Roman"/>
          <w:sz w:val="28"/>
          <w:szCs w:val="28"/>
        </w:rPr>
        <w:t>latību</w:t>
      </w:r>
      <w:proofErr w:type="spellEnd"/>
      <w:r w:rsidR="00415024" w:rsidRPr="004B3179">
        <w:rPr>
          <w:rFonts w:ascii="Times New Roman" w:hAnsi="Times New Roman" w:cs="Times New Roman"/>
          <w:sz w:val="28"/>
          <w:szCs w:val="28"/>
        </w:rPr>
        <w:t xml:space="preserve"> fonda renovācijā;</w:t>
      </w:r>
    </w:p>
    <w:p w:rsidR="001B0C36" w:rsidRPr="004B3179" w:rsidRDefault="00D6762E" w:rsidP="004B3179">
      <w:pPr>
        <w:pStyle w:val="ListParagraph"/>
        <w:numPr>
          <w:ilvl w:val="0"/>
          <w:numId w:val="22"/>
        </w:numPr>
        <w:spacing w:after="0" w:line="240" w:lineRule="auto"/>
        <w:jc w:val="both"/>
        <w:rPr>
          <w:rFonts w:ascii="Times New Roman" w:hAnsi="Times New Roman" w:cs="Times New Roman"/>
          <w:sz w:val="28"/>
          <w:szCs w:val="28"/>
        </w:rPr>
      </w:pPr>
      <w:r w:rsidRPr="004B3179">
        <w:rPr>
          <w:rFonts w:ascii="Times New Roman" w:hAnsi="Times New Roman" w:cs="Times New Roman"/>
          <w:sz w:val="28"/>
          <w:szCs w:val="28"/>
        </w:rPr>
        <w:t xml:space="preserve">iesniegt </w:t>
      </w:r>
      <w:r w:rsidR="00415024" w:rsidRPr="004B3179">
        <w:rPr>
          <w:rFonts w:ascii="Times New Roman" w:hAnsi="Times New Roman" w:cs="Times New Roman"/>
          <w:sz w:val="28"/>
          <w:szCs w:val="28"/>
        </w:rPr>
        <w:t>EK šādus ziņojumus:</w:t>
      </w:r>
      <w:r w:rsidR="00F42109" w:rsidRPr="004B3179">
        <w:rPr>
          <w:rFonts w:ascii="Times New Roman" w:hAnsi="Times New Roman" w:cs="Times New Roman"/>
          <w:sz w:val="28"/>
          <w:szCs w:val="28"/>
        </w:rPr>
        <w:t xml:space="preserve"> </w:t>
      </w:r>
      <w:r w:rsidR="00415024" w:rsidRPr="004B3179">
        <w:rPr>
          <w:rFonts w:ascii="Times New Roman" w:hAnsi="Times New Roman" w:cs="Times New Roman"/>
          <w:sz w:val="28"/>
          <w:szCs w:val="28"/>
        </w:rPr>
        <w:t>par indikatīvo valsts energoefektivitātes mērķi</w:t>
      </w:r>
      <w:r w:rsidR="00B64CCE" w:rsidRPr="004B3179">
        <w:rPr>
          <w:rFonts w:ascii="Times New Roman" w:hAnsi="Times New Roman" w:cs="Times New Roman"/>
          <w:sz w:val="28"/>
          <w:szCs w:val="28"/>
        </w:rPr>
        <w:t>;</w:t>
      </w:r>
      <w:r w:rsidR="00F42109" w:rsidRPr="004B3179">
        <w:rPr>
          <w:rFonts w:ascii="Times New Roman" w:hAnsi="Times New Roman" w:cs="Times New Roman"/>
          <w:sz w:val="28"/>
          <w:szCs w:val="28"/>
        </w:rPr>
        <w:t xml:space="preserve"> </w:t>
      </w:r>
      <w:r w:rsidR="00415024" w:rsidRPr="004B3179">
        <w:rPr>
          <w:rFonts w:ascii="Times New Roman" w:hAnsi="Times New Roman" w:cs="Times New Roman"/>
          <w:sz w:val="28"/>
          <w:szCs w:val="28"/>
        </w:rPr>
        <w:t>par valsts energoefektivitātes shēmas vai tās alternatīvo pasākumu īstenošanas metodoloģiju</w:t>
      </w:r>
      <w:r w:rsidR="00B64CCE" w:rsidRPr="004B3179">
        <w:rPr>
          <w:rFonts w:ascii="Times New Roman" w:hAnsi="Times New Roman" w:cs="Times New Roman"/>
          <w:sz w:val="28"/>
          <w:szCs w:val="28"/>
        </w:rPr>
        <w:t>;</w:t>
      </w:r>
      <w:r w:rsidR="00F42109" w:rsidRPr="004B3179">
        <w:rPr>
          <w:rFonts w:ascii="Times New Roman" w:hAnsi="Times New Roman" w:cs="Times New Roman"/>
          <w:sz w:val="28"/>
          <w:szCs w:val="28"/>
        </w:rPr>
        <w:t xml:space="preserve"> </w:t>
      </w:r>
      <w:r w:rsidR="00415024" w:rsidRPr="004B3179">
        <w:rPr>
          <w:rFonts w:ascii="Times New Roman" w:hAnsi="Times New Roman" w:cs="Times New Roman"/>
          <w:sz w:val="28"/>
          <w:szCs w:val="28"/>
        </w:rPr>
        <w:t>par alternatīvajiem pasākumiem, ja tos plāno centrālās valdības ēku energoefektivitātes mērķa sasniegšanai</w:t>
      </w:r>
      <w:r w:rsidR="00B64CCE" w:rsidRPr="004B3179">
        <w:rPr>
          <w:rFonts w:ascii="Times New Roman" w:hAnsi="Times New Roman" w:cs="Times New Roman"/>
          <w:sz w:val="28"/>
          <w:szCs w:val="28"/>
        </w:rPr>
        <w:t>;</w:t>
      </w:r>
      <w:r w:rsidR="00F42109" w:rsidRPr="004B3179">
        <w:rPr>
          <w:rFonts w:ascii="Times New Roman" w:hAnsi="Times New Roman" w:cs="Times New Roman"/>
          <w:sz w:val="28"/>
          <w:szCs w:val="28"/>
        </w:rPr>
        <w:t xml:space="preserve"> </w:t>
      </w:r>
      <w:r w:rsidR="001B0C36" w:rsidRPr="004B3179">
        <w:rPr>
          <w:rFonts w:ascii="Times New Roman" w:hAnsi="Times New Roman" w:cs="Times New Roman"/>
          <w:sz w:val="28"/>
          <w:szCs w:val="28"/>
        </w:rPr>
        <w:t xml:space="preserve">par atbrīvojumiem no prasības veikt </w:t>
      </w:r>
      <w:r w:rsidR="00B64CCE" w:rsidRPr="004B3179">
        <w:rPr>
          <w:rFonts w:ascii="Times New Roman" w:hAnsi="Times New Roman" w:cs="Times New Roman"/>
          <w:sz w:val="28"/>
          <w:szCs w:val="28"/>
        </w:rPr>
        <w:t>elektroenerģijas un rūpniecisko iekārtu koģenerācijas ieguvumu un izmaksu analīzi.</w:t>
      </w:r>
    </w:p>
    <w:p w:rsidR="001B0C36" w:rsidRPr="001B0C36" w:rsidRDefault="00BA0325" w:rsidP="004B31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B0C36" w:rsidRPr="001B0C36">
        <w:rPr>
          <w:rFonts w:ascii="Times New Roman" w:hAnsi="Times New Roman" w:cs="Times New Roman"/>
          <w:sz w:val="28"/>
          <w:szCs w:val="28"/>
        </w:rPr>
        <w:t>Direktīva</w:t>
      </w:r>
      <w:r w:rsidR="001B0C36">
        <w:rPr>
          <w:rFonts w:ascii="Times New Roman" w:hAnsi="Times New Roman" w:cs="Times New Roman"/>
          <w:sz w:val="28"/>
          <w:szCs w:val="28"/>
        </w:rPr>
        <w:t xml:space="preserve"> 2012/27/ES Latvijai </w:t>
      </w:r>
      <w:r w:rsidR="00B64CCE">
        <w:rPr>
          <w:rFonts w:ascii="Times New Roman" w:hAnsi="Times New Roman" w:cs="Times New Roman"/>
          <w:sz w:val="28"/>
          <w:szCs w:val="28"/>
        </w:rPr>
        <w:t xml:space="preserve">nosaka šādus </w:t>
      </w:r>
      <w:r w:rsidR="00B64CCE" w:rsidRPr="004B3179">
        <w:rPr>
          <w:rFonts w:ascii="Times New Roman" w:hAnsi="Times New Roman" w:cs="Times New Roman"/>
          <w:sz w:val="28"/>
          <w:szCs w:val="28"/>
          <w:u w:val="single"/>
        </w:rPr>
        <w:t>pasākumus, kuru ieviešanā iespējamas izvēles</w:t>
      </w:r>
      <w:r w:rsidR="001B0C36" w:rsidRPr="004B3179">
        <w:rPr>
          <w:rFonts w:ascii="Times New Roman" w:hAnsi="Times New Roman" w:cs="Times New Roman"/>
          <w:sz w:val="28"/>
          <w:szCs w:val="28"/>
          <w:u w:val="single"/>
        </w:rPr>
        <w:t xml:space="preserve"> iespējas</w:t>
      </w:r>
      <w:r w:rsidR="00B64CCE">
        <w:rPr>
          <w:rFonts w:ascii="Times New Roman" w:hAnsi="Times New Roman" w:cs="Times New Roman"/>
          <w:sz w:val="28"/>
          <w:szCs w:val="28"/>
        </w:rPr>
        <w:t>:</w:t>
      </w:r>
    </w:p>
    <w:p w:rsidR="00F51971" w:rsidRDefault="00D628D5" w:rsidP="008242B0">
      <w:pPr>
        <w:pStyle w:val="ListParagraph"/>
        <w:numPr>
          <w:ilvl w:val="0"/>
          <w:numId w:val="23"/>
        </w:numPr>
        <w:spacing w:after="0" w:line="240" w:lineRule="auto"/>
        <w:jc w:val="both"/>
        <w:rPr>
          <w:rFonts w:ascii="Times New Roman" w:hAnsi="Times New Roman" w:cs="Times New Roman"/>
          <w:sz w:val="28"/>
          <w:szCs w:val="28"/>
        </w:rPr>
      </w:pPr>
      <w:r w:rsidRPr="008242B0">
        <w:rPr>
          <w:rFonts w:ascii="Times New Roman" w:hAnsi="Times New Roman" w:cs="Times New Roman"/>
          <w:sz w:val="28"/>
          <w:szCs w:val="28"/>
        </w:rPr>
        <w:t xml:space="preserve">aizstāt </w:t>
      </w:r>
      <w:r w:rsidR="00B84381">
        <w:rPr>
          <w:rFonts w:ascii="Times New Roman" w:hAnsi="Times New Roman" w:cs="Times New Roman"/>
          <w:sz w:val="28"/>
          <w:szCs w:val="28"/>
        </w:rPr>
        <w:t xml:space="preserve">centrālās valdības </w:t>
      </w:r>
      <w:r w:rsidR="00F51971" w:rsidRPr="008242B0">
        <w:rPr>
          <w:rFonts w:ascii="Times New Roman" w:hAnsi="Times New Roman" w:cs="Times New Roman"/>
          <w:sz w:val="28"/>
          <w:szCs w:val="28"/>
        </w:rPr>
        <w:t xml:space="preserve"> ēku </w:t>
      </w:r>
      <w:r w:rsidRPr="008242B0">
        <w:rPr>
          <w:rFonts w:ascii="Times New Roman" w:hAnsi="Times New Roman" w:cs="Times New Roman"/>
          <w:sz w:val="28"/>
          <w:szCs w:val="28"/>
        </w:rPr>
        <w:t xml:space="preserve">3 % pēc platības </w:t>
      </w:r>
      <w:r w:rsidR="00F51971" w:rsidRPr="008242B0">
        <w:rPr>
          <w:rFonts w:ascii="Times New Roman" w:hAnsi="Times New Roman" w:cs="Times New Roman"/>
          <w:sz w:val="28"/>
          <w:szCs w:val="28"/>
        </w:rPr>
        <w:t xml:space="preserve">renovāciju </w:t>
      </w:r>
      <w:r w:rsidRPr="008242B0">
        <w:rPr>
          <w:rFonts w:ascii="Times New Roman" w:hAnsi="Times New Roman" w:cs="Times New Roman"/>
          <w:sz w:val="28"/>
          <w:szCs w:val="28"/>
        </w:rPr>
        <w:t>ar</w:t>
      </w:r>
      <w:r w:rsidR="00F51971" w:rsidRPr="008242B0">
        <w:rPr>
          <w:rFonts w:ascii="Times New Roman" w:hAnsi="Times New Roman" w:cs="Times New Roman"/>
          <w:sz w:val="28"/>
          <w:szCs w:val="28"/>
        </w:rPr>
        <w:t xml:space="preserve"> alternatīvu pieeju</w:t>
      </w:r>
      <w:r w:rsidRPr="008242B0">
        <w:rPr>
          <w:rFonts w:ascii="Times New Roman" w:hAnsi="Times New Roman" w:cs="Times New Roman"/>
          <w:sz w:val="28"/>
          <w:szCs w:val="28"/>
        </w:rPr>
        <w:t xml:space="preserve"> –</w:t>
      </w:r>
      <w:r w:rsidR="00F51971" w:rsidRPr="008242B0">
        <w:rPr>
          <w:rFonts w:ascii="Times New Roman" w:hAnsi="Times New Roman" w:cs="Times New Roman"/>
          <w:sz w:val="28"/>
          <w:szCs w:val="28"/>
        </w:rPr>
        <w:t xml:space="preserve"> </w:t>
      </w:r>
      <w:r w:rsidRPr="008242B0">
        <w:rPr>
          <w:rFonts w:ascii="Times New Roman" w:hAnsi="Times New Roman" w:cs="Times New Roman"/>
          <w:sz w:val="28"/>
          <w:szCs w:val="28"/>
        </w:rPr>
        <w:t>enerģijas izteiksmē līdzvērtīgu</w:t>
      </w:r>
      <w:r w:rsidR="00F51971" w:rsidRPr="008242B0">
        <w:rPr>
          <w:rFonts w:ascii="Times New Roman" w:hAnsi="Times New Roman" w:cs="Times New Roman"/>
          <w:sz w:val="28"/>
          <w:szCs w:val="28"/>
        </w:rPr>
        <w:t xml:space="preserve"> energoefektivitātes palielinājum</w:t>
      </w:r>
      <w:r w:rsidRPr="008242B0">
        <w:rPr>
          <w:rFonts w:ascii="Times New Roman" w:hAnsi="Times New Roman" w:cs="Times New Roman"/>
          <w:sz w:val="28"/>
          <w:szCs w:val="28"/>
        </w:rPr>
        <w:t>u</w:t>
      </w:r>
      <w:r w:rsidR="00F51971" w:rsidRPr="008242B0">
        <w:rPr>
          <w:rFonts w:ascii="Times New Roman" w:hAnsi="Times New Roman" w:cs="Times New Roman"/>
          <w:sz w:val="28"/>
          <w:szCs w:val="28"/>
        </w:rPr>
        <w:t xml:space="preserve"> </w:t>
      </w:r>
      <w:r w:rsidR="00B84381">
        <w:rPr>
          <w:rFonts w:ascii="Times New Roman" w:hAnsi="Times New Roman" w:cs="Times New Roman"/>
          <w:sz w:val="28"/>
          <w:szCs w:val="28"/>
        </w:rPr>
        <w:t>centrālās valdības</w:t>
      </w:r>
      <w:r w:rsidR="00F51971" w:rsidRPr="008242B0">
        <w:rPr>
          <w:rFonts w:ascii="Times New Roman" w:hAnsi="Times New Roman" w:cs="Times New Roman"/>
          <w:sz w:val="28"/>
          <w:szCs w:val="28"/>
        </w:rPr>
        <w:t xml:space="preserve"> ēkās (5.</w:t>
      </w:r>
      <w:r w:rsidR="002E31DA" w:rsidRPr="008242B0">
        <w:rPr>
          <w:rFonts w:ascii="Times New Roman" w:hAnsi="Times New Roman" w:cs="Times New Roman"/>
          <w:sz w:val="28"/>
          <w:szCs w:val="28"/>
        </w:rPr>
        <w:t> </w:t>
      </w:r>
      <w:r w:rsidR="00F51971" w:rsidRPr="008242B0">
        <w:rPr>
          <w:rFonts w:ascii="Times New Roman" w:hAnsi="Times New Roman" w:cs="Times New Roman"/>
          <w:sz w:val="28"/>
          <w:szCs w:val="28"/>
        </w:rPr>
        <w:t xml:space="preserve">pants); </w:t>
      </w:r>
    </w:p>
    <w:p w:rsidR="0084594A" w:rsidRPr="00986712" w:rsidRDefault="0087708C" w:rsidP="006A3C3F">
      <w:pPr>
        <w:pStyle w:val="CM3"/>
        <w:numPr>
          <w:ilvl w:val="0"/>
          <w:numId w:val="23"/>
        </w:numPr>
        <w:autoSpaceDE/>
        <w:autoSpaceDN/>
        <w:adjustRightInd/>
        <w:spacing w:before="200" w:after="200"/>
        <w:contextualSpacing/>
        <w:jc w:val="both"/>
        <w:rPr>
          <w:rFonts w:ascii="Times New Roman" w:hAnsi="Times New Roman" w:cs="Times New Roman"/>
          <w:color w:val="000000"/>
          <w:sz w:val="28"/>
          <w:szCs w:val="28"/>
        </w:rPr>
      </w:pPr>
      <w:r w:rsidRPr="00986712">
        <w:rPr>
          <w:rFonts w:ascii="Times New Roman" w:hAnsi="Times New Roman" w:cs="Times New Roman"/>
          <w:sz w:val="28"/>
          <w:szCs w:val="28"/>
        </w:rPr>
        <w:t xml:space="preserve">izveidot energoefektivitātes pienākuma shēmu, kas nodrošina, ka enerģijas sadales uzņēmumi un/vai enerģijas mazumtirdzniecības uzņēmumi, kas ir izraudzīti kā atbildīgās puses, līdz 2020. gada 31. decembrim sasniedz </w:t>
      </w:r>
      <w:r w:rsidR="0084594A" w:rsidRPr="00986712">
        <w:rPr>
          <w:rFonts w:ascii="Times New Roman" w:hAnsi="Times New Roman" w:cs="Times New Roman"/>
          <w:color w:val="000000"/>
          <w:sz w:val="28"/>
          <w:szCs w:val="28"/>
        </w:rPr>
        <w:t xml:space="preserve">kumulatīva enerģijas galapatēriņa ietaupījuma mērķi. Minēto mērķi aprēķina valsts līmenī un tas ir vismaz līdzvērtīgs mērķim ik gadu no 2014. gada 1. janvāra līdz 2020. gada 31. decembrim panākt jaunus ietaupījumus 1,5 % apmērā no tā enerģijas apjoma – aprēķinot to kā vidējo no pēdējo triju gadu rādītājiem pirms 2013. gada 1. janvāra –, kuru ik gadu pārdod visu enerģijas sadales uzņēmumu vai visu enerģijas mazumtirdzniecības uzņēmumu galalietotājiem. Minētajā aprēķinā var daļēji vai pilnībā neiekļaut pārdotās enerģijas apjomu, ko izmanto transportam. Aprēķināto mērķi valsts sadala </w:t>
      </w:r>
      <w:r w:rsidR="0014171E">
        <w:rPr>
          <w:rFonts w:ascii="Times New Roman" w:hAnsi="Times New Roman" w:cs="Times New Roman"/>
          <w:color w:val="000000"/>
          <w:sz w:val="28"/>
          <w:szCs w:val="28"/>
        </w:rPr>
        <w:t xml:space="preserve">starp </w:t>
      </w:r>
      <w:r w:rsidR="0014171E" w:rsidRPr="00FF2FAC">
        <w:rPr>
          <w:rFonts w:ascii="Times New Roman" w:eastAsia="Times New Roman" w:hAnsi="Times New Roman"/>
          <w:color w:val="000000"/>
          <w:sz w:val="28"/>
          <w:szCs w:val="28"/>
          <w:lang w:eastAsia="lv-LV"/>
        </w:rPr>
        <w:t>energoefektivitātes pienākuma shēm</w:t>
      </w:r>
      <w:r w:rsidR="0014171E">
        <w:rPr>
          <w:rFonts w:ascii="Times New Roman" w:eastAsia="Times New Roman" w:hAnsi="Times New Roman"/>
          <w:color w:val="000000"/>
          <w:sz w:val="28"/>
          <w:szCs w:val="28"/>
          <w:lang w:eastAsia="lv-LV"/>
        </w:rPr>
        <w:t>ā (turpmāk –</w:t>
      </w:r>
      <w:r w:rsidR="0014171E" w:rsidRPr="00986712">
        <w:rPr>
          <w:rFonts w:ascii="Times New Roman" w:hAnsi="Times New Roman" w:cs="Times New Roman"/>
          <w:color w:val="000000"/>
          <w:sz w:val="28"/>
          <w:szCs w:val="28"/>
        </w:rPr>
        <w:t xml:space="preserve"> </w:t>
      </w:r>
      <w:r w:rsidR="0084594A" w:rsidRPr="00986712">
        <w:rPr>
          <w:rFonts w:ascii="Times New Roman" w:hAnsi="Times New Roman" w:cs="Times New Roman"/>
          <w:color w:val="000000"/>
          <w:sz w:val="28"/>
          <w:szCs w:val="28"/>
        </w:rPr>
        <w:t>EPS</w:t>
      </w:r>
      <w:r w:rsidR="0014171E">
        <w:rPr>
          <w:rFonts w:ascii="Times New Roman" w:hAnsi="Times New Roman" w:cs="Times New Roman"/>
          <w:color w:val="000000"/>
          <w:sz w:val="28"/>
          <w:szCs w:val="28"/>
        </w:rPr>
        <w:t>)</w:t>
      </w:r>
      <w:r w:rsidR="0084594A" w:rsidRPr="00986712">
        <w:rPr>
          <w:rFonts w:ascii="Times New Roman" w:hAnsi="Times New Roman" w:cs="Times New Roman"/>
          <w:color w:val="000000"/>
          <w:sz w:val="28"/>
          <w:szCs w:val="28"/>
        </w:rPr>
        <w:t xml:space="preserve"> iesaistītajām pusēm.</w:t>
      </w:r>
    </w:p>
    <w:p w:rsidR="0087708C" w:rsidRPr="006A3C3F" w:rsidRDefault="00791FAC" w:rsidP="006A3C3F">
      <w:pPr>
        <w:pStyle w:val="CM1"/>
        <w:spacing w:before="200" w:after="200"/>
        <w:jc w:val="both"/>
        <w:rPr>
          <w:rFonts w:cs="EUAlbertina"/>
          <w:color w:val="000000"/>
        </w:rPr>
      </w:pPr>
      <w:r w:rsidRPr="006A3C3F">
        <w:rPr>
          <w:rFonts w:ascii="Times New Roman" w:hAnsi="Times New Roman" w:cs="Times New Roman"/>
          <w:sz w:val="28"/>
          <w:szCs w:val="28"/>
        </w:rPr>
        <w:t>Izvēles iespēja -</w:t>
      </w:r>
      <w:r w:rsidR="00986712">
        <w:rPr>
          <w:rFonts w:ascii="Times New Roman" w:hAnsi="Times New Roman" w:cs="Times New Roman"/>
          <w:sz w:val="28"/>
          <w:szCs w:val="28"/>
        </w:rPr>
        <w:t xml:space="preserve"> </w:t>
      </w:r>
      <w:r w:rsidRPr="006A3C3F">
        <w:rPr>
          <w:rFonts w:ascii="Times New Roman" w:hAnsi="Times New Roman" w:cs="Times New Roman"/>
          <w:sz w:val="28"/>
          <w:szCs w:val="28"/>
        </w:rPr>
        <w:t>š</w:t>
      </w:r>
      <w:r w:rsidR="00A32B1E" w:rsidRPr="006A3C3F">
        <w:rPr>
          <w:rFonts w:ascii="Times New Roman" w:hAnsi="Times New Roman" w:cs="Times New Roman"/>
          <w:sz w:val="28"/>
          <w:szCs w:val="28"/>
        </w:rPr>
        <w:t xml:space="preserve">o mērķi </w:t>
      </w:r>
      <w:r w:rsidRPr="006A3C3F">
        <w:rPr>
          <w:rFonts w:ascii="Times New Roman" w:hAnsi="Times New Roman" w:cs="Times New Roman"/>
          <w:sz w:val="28"/>
          <w:szCs w:val="28"/>
        </w:rPr>
        <w:t xml:space="preserve">daļēji vai pilnīgi </w:t>
      </w:r>
      <w:r w:rsidR="00A32B1E" w:rsidRPr="006A3C3F">
        <w:rPr>
          <w:rFonts w:ascii="Times New Roman" w:hAnsi="Times New Roman" w:cs="Times New Roman"/>
          <w:sz w:val="28"/>
          <w:szCs w:val="28"/>
        </w:rPr>
        <w:t>drīkst sasniegt ar</w:t>
      </w:r>
      <w:r w:rsidRPr="006A3C3F">
        <w:rPr>
          <w:rFonts w:ascii="Times New Roman" w:hAnsi="Times New Roman" w:cs="Times New Roman"/>
          <w:sz w:val="28"/>
          <w:szCs w:val="28"/>
        </w:rPr>
        <w:t xml:space="preserve">ī bez shēmas - ar </w:t>
      </w:r>
      <w:r w:rsidR="00A32B1E" w:rsidRPr="006A3C3F">
        <w:rPr>
          <w:rFonts w:ascii="Times New Roman" w:hAnsi="Times New Roman" w:cs="Times New Roman"/>
          <w:sz w:val="28"/>
          <w:szCs w:val="28"/>
        </w:rPr>
        <w:t>alternatīviem pasākumiem</w:t>
      </w:r>
      <w:r w:rsidR="00F51971" w:rsidRPr="006A3C3F">
        <w:rPr>
          <w:rFonts w:ascii="Times New Roman" w:hAnsi="Times New Roman" w:cs="Times New Roman"/>
          <w:sz w:val="28"/>
          <w:szCs w:val="28"/>
        </w:rPr>
        <w:t xml:space="preserve"> (7.</w:t>
      </w:r>
      <w:r w:rsidR="002E31DA" w:rsidRPr="006A3C3F">
        <w:rPr>
          <w:rFonts w:ascii="Times New Roman" w:hAnsi="Times New Roman" w:cs="Times New Roman"/>
          <w:sz w:val="28"/>
          <w:szCs w:val="28"/>
        </w:rPr>
        <w:t> </w:t>
      </w:r>
      <w:r w:rsidR="00F51971" w:rsidRPr="006A3C3F">
        <w:rPr>
          <w:rFonts w:ascii="Times New Roman" w:hAnsi="Times New Roman" w:cs="Times New Roman"/>
          <w:sz w:val="28"/>
          <w:szCs w:val="28"/>
        </w:rPr>
        <w:t>pants)</w:t>
      </w:r>
      <w:r w:rsidR="005420F3" w:rsidRPr="006A3C3F">
        <w:rPr>
          <w:rFonts w:ascii="Times New Roman" w:hAnsi="Times New Roman" w:cs="Times New Roman"/>
          <w:sz w:val="28"/>
          <w:szCs w:val="28"/>
        </w:rPr>
        <w:t>;</w:t>
      </w:r>
    </w:p>
    <w:p w:rsidR="00933B32" w:rsidRPr="008242B0" w:rsidRDefault="00933B32" w:rsidP="008242B0">
      <w:pPr>
        <w:pStyle w:val="ListParagraph"/>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atbrīvot atsevišķas iekārtas no obligāta siltuma un koģenerācijas potenciāla, izmaksu un ieguvumu analīzes veikšanas (14. pants);</w:t>
      </w:r>
    </w:p>
    <w:p w:rsidR="000534D2" w:rsidRPr="00A32B1E" w:rsidRDefault="00A32B1E" w:rsidP="008242B0">
      <w:pPr>
        <w:pStyle w:val="naiskr"/>
        <w:numPr>
          <w:ilvl w:val="0"/>
          <w:numId w:val="23"/>
        </w:numPr>
        <w:spacing w:before="0" w:after="0"/>
        <w:jc w:val="both"/>
        <w:rPr>
          <w:rFonts w:eastAsiaTheme="minorHAnsi"/>
          <w:sz w:val="28"/>
          <w:szCs w:val="28"/>
          <w:lang w:eastAsia="en-US"/>
        </w:rPr>
      </w:pPr>
      <w:r>
        <w:rPr>
          <w:sz w:val="28"/>
          <w:szCs w:val="28"/>
        </w:rPr>
        <w:t>veidot</w:t>
      </w:r>
      <w:r w:rsidR="004E1838" w:rsidRPr="009363A5">
        <w:rPr>
          <w:sz w:val="28"/>
          <w:szCs w:val="28"/>
        </w:rPr>
        <w:t xml:space="preserve"> valsts</w:t>
      </w:r>
      <w:r w:rsidR="004E1838">
        <w:rPr>
          <w:rFonts w:eastAsiaTheme="majorEastAsia"/>
          <w:bCs/>
          <w:sz w:val="28"/>
          <w:szCs w:val="28"/>
        </w:rPr>
        <w:t xml:space="preserve"> energoefektivitātes fondu, </w:t>
      </w:r>
      <w:r w:rsidR="004E1838">
        <w:rPr>
          <w:sz w:val="28"/>
          <w:szCs w:val="28"/>
        </w:rPr>
        <w:t>kura mērķis ir atbalstīt valst</w:t>
      </w:r>
      <w:r w:rsidR="00CA18DD">
        <w:rPr>
          <w:sz w:val="28"/>
          <w:szCs w:val="28"/>
        </w:rPr>
        <w:t>s</w:t>
      </w:r>
      <w:r w:rsidR="004E1838">
        <w:rPr>
          <w:sz w:val="28"/>
          <w:szCs w:val="28"/>
        </w:rPr>
        <w:t xml:space="preserve"> iniciatīvas energoefektivitātes jomā</w:t>
      </w:r>
      <w:r w:rsidR="00F51971">
        <w:rPr>
          <w:sz w:val="28"/>
          <w:szCs w:val="28"/>
        </w:rPr>
        <w:t xml:space="preserve"> (20.</w:t>
      </w:r>
      <w:r w:rsidR="002E31DA">
        <w:rPr>
          <w:sz w:val="28"/>
          <w:szCs w:val="28"/>
        </w:rPr>
        <w:t> </w:t>
      </w:r>
      <w:r w:rsidR="00F51971">
        <w:rPr>
          <w:sz w:val="28"/>
          <w:szCs w:val="28"/>
        </w:rPr>
        <w:t>pants)</w:t>
      </w:r>
      <w:r w:rsidR="004E1838">
        <w:rPr>
          <w:sz w:val="28"/>
          <w:szCs w:val="28"/>
        </w:rPr>
        <w:t>.</w:t>
      </w:r>
      <w:r w:rsidR="000F1A61">
        <w:rPr>
          <w:sz w:val="28"/>
          <w:szCs w:val="28"/>
        </w:rPr>
        <w:t xml:space="preserve"> Izvēles iespēja – atbalstīt attiecīgās iniciatīvas esošo finanšu instrumentu ietvaros.</w:t>
      </w:r>
    </w:p>
    <w:p w:rsidR="00115E44" w:rsidRDefault="00115E44" w:rsidP="008242B0">
      <w:pPr>
        <w:pStyle w:val="naiskr"/>
        <w:spacing w:before="0" w:after="0"/>
        <w:ind w:firstLine="709"/>
        <w:jc w:val="both"/>
        <w:rPr>
          <w:rFonts w:eastAsiaTheme="minorHAnsi"/>
          <w:sz w:val="28"/>
          <w:szCs w:val="28"/>
          <w:lang w:eastAsia="en-US"/>
        </w:rPr>
      </w:pPr>
    </w:p>
    <w:p w:rsidR="00A32B1E" w:rsidRDefault="00F51971" w:rsidP="008242B0">
      <w:pPr>
        <w:pStyle w:val="naiskr"/>
        <w:spacing w:before="0" w:after="0"/>
        <w:ind w:firstLine="709"/>
        <w:jc w:val="both"/>
        <w:rPr>
          <w:rFonts w:eastAsiaTheme="minorHAnsi"/>
          <w:sz w:val="28"/>
          <w:szCs w:val="28"/>
          <w:lang w:eastAsia="en-US"/>
        </w:rPr>
      </w:pPr>
      <w:r>
        <w:rPr>
          <w:rFonts w:eastAsiaTheme="minorHAnsi"/>
          <w:sz w:val="28"/>
          <w:szCs w:val="28"/>
          <w:lang w:eastAsia="en-US"/>
        </w:rPr>
        <w:t xml:space="preserve">Bez minētā </w:t>
      </w:r>
      <w:r w:rsidRPr="00F51971">
        <w:rPr>
          <w:rFonts w:eastAsiaTheme="minorHAnsi"/>
          <w:sz w:val="28"/>
          <w:szCs w:val="28"/>
          <w:lang w:eastAsia="en-US"/>
        </w:rPr>
        <w:t>Direktīva 2012/27/ES</w:t>
      </w:r>
      <w:r>
        <w:rPr>
          <w:rFonts w:eastAsiaTheme="minorHAnsi"/>
          <w:sz w:val="28"/>
          <w:szCs w:val="28"/>
          <w:lang w:eastAsia="en-US"/>
        </w:rPr>
        <w:t xml:space="preserve"> nosaka citus pasākumus, kas jāievieš līdz 2014.</w:t>
      </w:r>
      <w:r w:rsidR="00D6762E">
        <w:rPr>
          <w:rFonts w:eastAsiaTheme="minorHAnsi"/>
          <w:sz w:val="28"/>
          <w:szCs w:val="28"/>
          <w:lang w:eastAsia="en-US"/>
        </w:rPr>
        <w:t> </w:t>
      </w:r>
      <w:r>
        <w:rPr>
          <w:rFonts w:eastAsiaTheme="minorHAnsi"/>
          <w:sz w:val="28"/>
          <w:szCs w:val="28"/>
          <w:lang w:eastAsia="en-US"/>
        </w:rPr>
        <w:t>gada 5.</w:t>
      </w:r>
      <w:r w:rsidR="00D6762E">
        <w:rPr>
          <w:rFonts w:eastAsiaTheme="minorHAnsi"/>
          <w:sz w:val="28"/>
          <w:szCs w:val="28"/>
          <w:lang w:eastAsia="en-US"/>
        </w:rPr>
        <w:t> </w:t>
      </w:r>
      <w:r>
        <w:rPr>
          <w:rFonts w:eastAsiaTheme="minorHAnsi"/>
          <w:sz w:val="28"/>
          <w:szCs w:val="28"/>
          <w:lang w:eastAsia="en-US"/>
        </w:rPr>
        <w:t>jūnijam – pienākumu centrālajai valdībai iepirkt tikai ražojumus, pakalpojumus un ēkas ar augstu energoefektivitātes līmeni</w:t>
      </w:r>
      <w:r w:rsidR="005420F3">
        <w:rPr>
          <w:rFonts w:eastAsiaTheme="minorHAnsi"/>
          <w:sz w:val="28"/>
          <w:szCs w:val="28"/>
          <w:lang w:eastAsia="en-US"/>
        </w:rPr>
        <w:t>;</w:t>
      </w:r>
      <w:r>
        <w:rPr>
          <w:rFonts w:eastAsiaTheme="minorHAnsi"/>
          <w:sz w:val="28"/>
          <w:szCs w:val="28"/>
          <w:lang w:eastAsia="en-US"/>
        </w:rPr>
        <w:t xml:space="preserve"> </w:t>
      </w:r>
      <w:r w:rsidR="005420F3">
        <w:rPr>
          <w:rFonts w:eastAsiaTheme="minorHAnsi"/>
          <w:sz w:val="28"/>
          <w:szCs w:val="28"/>
          <w:lang w:eastAsia="en-US"/>
        </w:rPr>
        <w:t>publiskām struktūrām pieņemt energoefektivitātes plānus; nodrošināt vispārēju energoauditu pieejamību</w:t>
      </w:r>
      <w:r>
        <w:rPr>
          <w:rFonts w:eastAsiaTheme="minorHAnsi"/>
          <w:sz w:val="28"/>
          <w:szCs w:val="28"/>
          <w:lang w:eastAsia="en-US"/>
        </w:rPr>
        <w:t xml:space="preserve"> </w:t>
      </w:r>
      <w:r w:rsidR="005420F3">
        <w:rPr>
          <w:rFonts w:eastAsiaTheme="minorHAnsi"/>
          <w:sz w:val="28"/>
          <w:szCs w:val="28"/>
          <w:lang w:eastAsia="en-US"/>
        </w:rPr>
        <w:t>gala</w:t>
      </w:r>
      <w:r w:rsidR="00D6762E">
        <w:rPr>
          <w:rFonts w:eastAsiaTheme="minorHAnsi"/>
          <w:sz w:val="28"/>
          <w:szCs w:val="28"/>
          <w:lang w:eastAsia="en-US"/>
        </w:rPr>
        <w:t>lietotājiem</w:t>
      </w:r>
      <w:r w:rsidR="005420F3">
        <w:rPr>
          <w:rFonts w:eastAsiaTheme="minorHAnsi"/>
          <w:sz w:val="28"/>
          <w:szCs w:val="28"/>
          <w:lang w:eastAsia="en-US"/>
        </w:rPr>
        <w:t xml:space="preserve">; uzlabot galalietotāju enerģijas patēriņa un rēķinu informāciju; </w:t>
      </w:r>
      <w:r w:rsidR="00C107B9">
        <w:rPr>
          <w:rFonts w:eastAsiaTheme="minorHAnsi"/>
          <w:sz w:val="28"/>
          <w:szCs w:val="28"/>
          <w:lang w:eastAsia="en-US"/>
        </w:rPr>
        <w:t xml:space="preserve">regulatoriem ņemt vērā energoefektivitātes nepieciešamību, </w:t>
      </w:r>
      <w:r w:rsidR="005420F3">
        <w:rPr>
          <w:rFonts w:eastAsiaTheme="minorHAnsi"/>
          <w:sz w:val="28"/>
          <w:szCs w:val="28"/>
          <w:lang w:eastAsia="en-US"/>
        </w:rPr>
        <w:t xml:space="preserve">veicināt energopakalpojumu tirgu </w:t>
      </w:r>
      <w:proofErr w:type="spellStart"/>
      <w:r w:rsidR="005420F3">
        <w:rPr>
          <w:rFonts w:eastAsiaTheme="minorHAnsi"/>
          <w:sz w:val="28"/>
          <w:szCs w:val="28"/>
          <w:lang w:eastAsia="en-US"/>
        </w:rPr>
        <w:t>u.c</w:t>
      </w:r>
      <w:proofErr w:type="spellEnd"/>
      <w:r w:rsidR="005420F3">
        <w:rPr>
          <w:rFonts w:eastAsiaTheme="minorHAnsi"/>
          <w:sz w:val="28"/>
          <w:szCs w:val="28"/>
          <w:lang w:eastAsia="en-US"/>
        </w:rPr>
        <w:t xml:space="preserve">. </w:t>
      </w:r>
    </w:p>
    <w:p w:rsidR="00E42D3D" w:rsidRPr="00986712" w:rsidRDefault="00157445" w:rsidP="00986712">
      <w:pPr>
        <w:pStyle w:val="naiskr"/>
        <w:spacing w:before="0" w:after="0"/>
        <w:ind w:firstLine="709"/>
        <w:jc w:val="both"/>
        <w:rPr>
          <w:rFonts w:eastAsiaTheme="minorHAnsi"/>
          <w:sz w:val="28"/>
          <w:szCs w:val="28"/>
          <w:lang w:eastAsia="en-US"/>
        </w:rPr>
      </w:pPr>
      <w:r>
        <w:rPr>
          <w:rFonts w:eastAsiaTheme="minorHAnsi"/>
          <w:sz w:val="28"/>
          <w:szCs w:val="28"/>
          <w:lang w:eastAsia="en-US"/>
        </w:rPr>
        <w:lastRenderedPageBreak/>
        <w:t>Latvijas energoefektivitātes mērķa struktūra un tā sasniegšanas pasākumi atbilstoši direktīvas izvirzītajām</w:t>
      </w:r>
      <w:r w:rsidR="00A96C87">
        <w:rPr>
          <w:rFonts w:eastAsiaTheme="minorHAnsi"/>
          <w:sz w:val="28"/>
          <w:szCs w:val="28"/>
          <w:lang w:eastAsia="en-US"/>
        </w:rPr>
        <w:t xml:space="preserve"> prasībām parādīti 1.</w:t>
      </w:r>
      <w:r w:rsidR="00A65853">
        <w:rPr>
          <w:rFonts w:eastAsiaTheme="minorHAnsi"/>
          <w:sz w:val="28"/>
          <w:szCs w:val="28"/>
          <w:lang w:eastAsia="en-US"/>
        </w:rPr>
        <w:t> </w:t>
      </w:r>
      <w:r w:rsidR="00A96C87">
        <w:rPr>
          <w:rFonts w:eastAsiaTheme="minorHAnsi"/>
          <w:sz w:val="28"/>
          <w:szCs w:val="28"/>
          <w:lang w:eastAsia="en-US"/>
        </w:rPr>
        <w:t>attēlā</w:t>
      </w:r>
      <w:r w:rsidR="00F45055">
        <w:rPr>
          <w:rFonts w:eastAsiaTheme="minorHAnsi"/>
          <w:sz w:val="28"/>
          <w:szCs w:val="28"/>
          <w:lang w:eastAsia="en-US"/>
        </w:rPr>
        <w:t>.</w:t>
      </w:r>
    </w:p>
    <w:p w:rsidR="00E52B28" w:rsidRDefault="00E52B28" w:rsidP="008242B0">
      <w:pPr>
        <w:pStyle w:val="naiskr"/>
        <w:spacing w:before="0" w:after="0"/>
        <w:ind w:firstLine="709"/>
        <w:jc w:val="right"/>
        <w:rPr>
          <w:rFonts w:eastAsiaTheme="minorHAnsi"/>
          <w:b/>
          <w:lang w:eastAsia="en-US"/>
        </w:rPr>
      </w:pPr>
    </w:p>
    <w:p w:rsidR="00F45055" w:rsidRPr="001E1316" w:rsidRDefault="00F45055" w:rsidP="008242B0">
      <w:pPr>
        <w:pStyle w:val="naiskr"/>
        <w:spacing w:before="0" w:after="0"/>
        <w:ind w:firstLine="709"/>
        <w:jc w:val="right"/>
        <w:rPr>
          <w:rFonts w:eastAsiaTheme="minorHAnsi"/>
          <w:lang w:eastAsia="en-US"/>
        </w:rPr>
      </w:pPr>
      <w:r w:rsidRPr="001E1316">
        <w:rPr>
          <w:rFonts w:eastAsiaTheme="minorHAnsi"/>
          <w:b/>
          <w:lang w:eastAsia="en-US"/>
        </w:rPr>
        <w:t>1.</w:t>
      </w:r>
      <w:r w:rsidR="00A65853">
        <w:rPr>
          <w:rFonts w:eastAsiaTheme="minorHAnsi"/>
          <w:b/>
          <w:lang w:eastAsia="en-US"/>
        </w:rPr>
        <w:t> </w:t>
      </w:r>
      <w:r w:rsidRPr="001E1316">
        <w:rPr>
          <w:rFonts w:eastAsiaTheme="minorHAnsi"/>
          <w:b/>
          <w:lang w:eastAsia="en-US"/>
        </w:rPr>
        <w:t>attēls</w:t>
      </w:r>
      <w:r w:rsidRPr="001E1316">
        <w:rPr>
          <w:rFonts w:eastAsiaTheme="minorHAnsi"/>
          <w:lang w:eastAsia="en-US"/>
        </w:rPr>
        <w:t xml:space="preserve">. </w:t>
      </w:r>
      <w:r w:rsidRPr="001E1316">
        <w:rPr>
          <w:rFonts w:eastAsiaTheme="minorHAnsi"/>
          <w:b/>
          <w:lang w:eastAsia="en-US"/>
        </w:rPr>
        <w:t>Latvijas energoefektivitātes mērķi</w:t>
      </w:r>
      <w:r w:rsidR="00DE35AA" w:rsidRPr="001E1316">
        <w:rPr>
          <w:rFonts w:eastAsiaTheme="minorHAnsi"/>
          <w:b/>
          <w:lang w:eastAsia="en-US"/>
        </w:rPr>
        <w:t>s</w:t>
      </w:r>
    </w:p>
    <w:tbl>
      <w:tblPr>
        <w:tblStyle w:val="TableGrid3"/>
        <w:tblW w:w="9465" w:type="dxa"/>
        <w:jc w:val="center"/>
        <w:tblLayout w:type="fixed"/>
        <w:tblLook w:val="07A0" w:firstRow="1" w:lastRow="0" w:firstColumn="1" w:lastColumn="1" w:noHBand="1" w:noVBand="1"/>
      </w:tblPr>
      <w:tblGrid>
        <w:gridCol w:w="1029"/>
        <w:gridCol w:w="923"/>
        <w:gridCol w:w="851"/>
        <w:gridCol w:w="2073"/>
        <w:gridCol w:w="1187"/>
        <w:gridCol w:w="1134"/>
        <w:gridCol w:w="1528"/>
        <w:gridCol w:w="740"/>
      </w:tblGrid>
      <w:tr w:rsidR="00446E3E" w:rsidTr="00446E3E">
        <w:trPr>
          <w:trHeight w:val="396"/>
          <w:jc w:val="center"/>
        </w:trPr>
        <w:tc>
          <w:tcPr>
            <w:tcW w:w="1028" w:type="dxa"/>
            <w:vMerge w:val="restart"/>
            <w:tcBorders>
              <w:top w:val="single" w:sz="12" w:space="0" w:color="auto"/>
              <w:left w:val="single" w:sz="12" w:space="0" w:color="auto"/>
              <w:bottom w:val="single" w:sz="12" w:space="0" w:color="auto"/>
              <w:right w:val="single" w:sz="12" w:space="0" w:color="auto"/>
            </w:tcBorders>
            <w:shd w:val="clear" w:color="auto" w:fill="95B3D7" w:themeFill="accent1" w:themeFillTint="99"/>
            <w:textDirection w:val="btLr"/>
            <w:vAlign w:val="center"/>
            <w:hideMark/>
          </w:tcPr>
          <w:p w:rsidR="00446E3E" w:rsidRDefault="00446E3E">
            <w:pPr>
              <w:ind w:left="113" w:right="113"/>
              <w:jc w:val="center"/>
              <w:rPr>
                <w:rFonts w:cs="Times New Roman"/>
                <w:b/>
                <w:sz w:val="24"/>
                <w:szCs w:val="24"/>
              </w:rPr>
            </w:pPr>
            <w:r>
              <w:rPr>
                <w:rFonts w:cs="Times New Roman"/>
                <w:b/>
                <w:sz w:val="24"/>
                <w:szCs w:val="24"/>
              </w:rPr>
              <w:t>Primārā enerģijas patēriņa ietaupījuma mērķis</w:t>
            </w:r>
          </w:p>
          <w:p w:rsidR="00446E3E" w:rsidRDefault="00446E3E">
            <w:pPr>
              <w:ind w:left="113" w:right="113"/>
              <w:jc w:val="center"/>
              <w:rPr>
                <w:rFonts w:cs="Times New Roman"/>
                <w:b/>
                <w:sz w:val="24"/>
                <w:szCs w:val="24"/>
              </w:rPr>
            </w:pPr>
            <w:r>
              <w:rPr>
                <w:rFonts w:cs="Times New Roman"/>
                <w:b/>
                <w:sz w:val="24"/>
                <w:szCs w:val="24"/>
              </w:rPr>
              <w:t>(indikatīvais valsts energoefektivitātes mērķis)</w:t>
            </w:r>
          </w:p>
        </w:tc>
        <w:tc>
          <w:tcPr>
            <w:tcW w:w="8436" w:type="dxa"/>
            <w:gridSpan w:val="7"/>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hideMark/>
          </w:tcPr>
          <w:p w:rsidR="00446E3E" w:rsidRDefault="00446E3E">
            <w:pPr>
              <w:jc w:val="center"/>
              <w:rPr>
                <w:rFonts w:cs="Times New Roman"/>
                <w:b/>
                <w:sz w:val="24"/>
                <w:szCs w:val="24"/>
              </w:rPr>
            </w:pPr>
            <w:r>
              <w:rPr>
                <w:rFonts w:cs="Times New Roman"/>
                <w:b/>
                <w:sz w:val="24"/>
                <w:szCs w:val="24"/>
              </w:rPr>
              <w:t xml:space="preserve">0,670 </w:t>
            </w:r>
            <w:proofErr w:type="spellStart"/>
            <w:r>
              <w:rPr>
                <w:rFonts w:cs="Times New Roman"/>
                <w:b/>
                <w:sz w:val="24"/>
                <w:szCs w:val="24"/>
              </w:rPr>
              <w:t>Mtoe</w:t>
            </w:r>
            <w:proofErr w:type="spellEnd"/>
            <w:r>
              <w:rPr>
                <w:rFonts w:cs="Times New Roman"/>
                <w:b/>
                <w:sz w:val="24"/>
                <w:szCs w:val="24"/>
              </w:rPr>
              <w:t xml:space="preserve"> (28 PJ)</w:t>
            </w:r>
          </w:p>
        </w:tc>
      </w:tr>
      <w:tr w:rsidR="00446E3E" w:rsidTr="00446E3E">
        <w:trPr>
          <w:trHeight w:val="315"/>
          <w:jc w:val="center"/>
        </w:trPr>
        <w:tc>
          <w:tcPr>
            <w:tcW w:w="1028" w:type="dxa"/>
            <w:vMerge/>
            <w:tcBorders>
              <w:top w:val="single" w:sz="12" w:space="0" w:color="auto"/>
              <w:left w:val="single" w:sz="12" w:space="0" w:color="auto"/>
              <w:bottom w:val="single" w:sz="12" w:space="0" w:color="auto"/>
              <w:right w:val="single" w:sz="12" w:space="0" w:color="auto"/>
            </w:tcBorders>
            <w:vAlign w:val="center"/>
            <w:hideMark/>
          </w:tcPr>
          <w:p w:rsidR="00446E3E" w:rsidRDefault="00446E3E">
            <w:pPr>
              <w:rPr>
                <w:rFonts w:cs="Times New Roman"/>
                <w:b/>
                <w:sz w:val="24"/>
                <w:szCs w:val="24"/>
              </w:rPr>
            </w:pPr>
          </w:p>
        </w:tc>
        <w:tc>
          <w:tcPr>
            <w:tcW w:w="923" w:type="dxa"/>
            <w:vMerge w:val="restart"/>
            <w:tcBorders>
              <w:top w:val="single" w:sz="12" w:space="0" w:color="auto"/>
              <w:left w:val="single" w:sz="12" w:space="0" w:color="auto"/>
              <w:bottom w:val="single" w:sz="4" w:space="0" w:color="auto"/>
              <w:right w:val="single" w:sz="4" w:space="0" w:color="auto"/>
            </w:tcBorders>
            <w:shd w:val="clear" w:color="auto" w:fill="CCC0D9" w:themeFill="accent4" w:themeFillTint="66"/>
            <w:textDirection w:val="btLr"/>
            <w:vAlign w:val="center"/>
            <w:hideMark/>
          </w:tcPr>
          <w:p w:rsidR="00446E3E" w:rsidRDefault="00446E3E">
            <w:pPr>
              <w:ind w:left="113" w:right="113"/>
              <w:jc w:val="center"/>
              <w:rPr>
                <w:rFonts w:cs="Times New Roman"/>
                <w:sz w:val="24"/>
                <w:szCs w:val="24"/>
              </w:rPr>
            </w:pPr>
            <w:r>
              <w:rPr>
                <w:rFonts w:cs="Times New Roman"/>
                <w:sz w:val="24"/>
                <w:szCs w:val="24"/>
              </w:rPr>
              <w:t>Atbilstoši aprēķināts gala enerģijas ietaupījuma mērķis</w:t>
            </w:r>
          </w:p>
        </w:tc>
        <w:tc>
          <w:tcPr>
            <w:tcW w:w="6773" w:type="dxa"/>
            <w:gridSpan w:val="5"/>
            <w:tcBorders>
              <w:top w:val="single" w:sz="12" w:space="0" w:color="auto"/>
              <w:left w:val="single" w:sz="4" w:space="0" w:color="auto"/>
              <w:bottom w:val="single" w:sz="4" w:space="0" w:color="auto"/>
              <w:right w:val="single" w:sz="4" w:space="0" w:color="auto"/>
            </w:tcBorders>
            <w:shd w:val="clear" w:color="auto" w:fill="CCC0D9" w:themeFill="accent4" w:themeFillTint="66"/>
            <w:vAlign w:val="center"/>
            <w:hideMark/>
          </w:tcPr>
          <w:p w:rsidR="00446E3E" w:rsidRDefault="00446E3E">
            <w:pPr>
              <w:jc w:val="center"/>
              <w:rPr>
                <w:rFonts w:cs="Times New Roman"/>
                <w:sz w:val="24"/>
                <w:szCs w:val="24"/>
              </w:rPr>
            </w:pPr>
            <w:r>
              <w:rPr>
                <w:noProof/>
                <w:lang w:eastAsia="lv-LV"/>
              </w:rPr>
              <mc:AlternateContent>
                <mc:Choice Requires="wps">
                  <w:drawing>
                    <wp:anchor distT="0" distB="0" distL="114300" distR="114300" simplePos="0" relativeHeight="251663360" behindDoc="0" locked="0" layoutInCell="1" allowOverlap="1">
                      <wp:simplePos x="0" y="0"/>
                      <wp:positionH relativeFrom="column">
                        <wp:posOffset>4008120</wp:posOffset>
                      </wp:positionH>
                      <wp:positionV relativeFrom="paragraph">
                        <wp:posOffset>-6350</wp:posOffset>
                      </wp:positionV>
                      <wp:extent cx="361950" cy="198120"/>
                      <wp:effectExtent l="0" t="0" r="19050" b="11430"/>
                      <wp:wrapNone/>
                      <wp:docPr id="7" name="Left Arrow 7"/>
                      <wp:cNvGraphicFramePr/>
                      <a:graphic xmlns:a="http://schemas.openxmlformats.org/drawingml/2006/main">
                        <a:graphicData uri="http://schemas.microsoft.com/office/word/2010/wordprocessingShape">
                          <wps:wsp>
                            <wps:cNvSpPr/>
                            <wps:spPr>
                              <a:xfrm>
                                <a:off x="0" y="0"/>
                                <a:ext cx="361950" cy="198120"/>
                              </a:xfrm>
                              <a:prstGeom prst="leftArrow">
                                <a:avLst/>
                              </a:prstGeom>
                              <a:solidFill>
                                <a:srgbClr val="8064A2">
                                  <a:lumMod val="60000"/>
                                  <a:lumOff val="40000"/>
                                </a:srgbClr>
                              </a:solidFill>
                              <a:ln w="9525" cap="flat" cmpd="sng" algn="ctr">
                                <a:solidFill>
                                  <a:srgbClr val="8064A2">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315.6pt;margin-top:-.5pt;width:28.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" adj="5912" fillcolor="#b3a2c7" strokecolor="#7d60a0"/>
                  </w:pict>
                </mc:Fallback>
              </mc:AlternateContent>
            </w:r>
            <w:r>
              <w:rPr>
                <w:rFonts w:cs="Times New Roman"/>
                <w:sz w:val="24"/>
                <w:szCs w:val="24"/>
              </w:rPr>
              <w:t xml:space="preserve">0,457 </w:t>
            </w:r>
            <w:proofErr w:type="spellStart"/>
            <w:r>
              <w:rPr>
                <w:rFonts w:cs="Times New Roman"/>
                <w:sz w:val="24"/>
                <w:szCs w:val="24"/>
              </w:rPr>
              <w:t>Mtoe</w:t>
            </w:r>
            <w:proofErr w:type="spellEnd"/>
            <w:r>
              <w:rPr>
                <w:rFonts w:cs="Times New Roman"/>
                <w:sz w:val="24"/>
                <w:szCs w:val="24"/>
              </w:rPr>
              <w:t xml:space="preserve"> (19 PJ)</w:t>
            </w:r>
          </w:p>
        </w:tc>
        <w:tc>
          <w:tcPr>
            <w:tcW w:w="740" w:type="dxa"/>
            <w:vMerge w:val="restart"/>
            <w:tcBorders>
              <w:top w:val="single" w:sz="12"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446E3E" w:rsidRDefault="00446E3E">
            <w:pPr>
              <w:ind w:left="113" w:right="113"/>
              <w:jc w:val="center"/>
              <w:rPr>
                <w:rFonts w:cs="Times New Roman"/>
                <w:sz w:val="24"/>
                <w:szCs w:val="24"/>
              </w:rPr>
            </w:pPr>
            <w:r>
              <w:rPr>
                <w:rFonts w:cs="Times New Roman"/>
                <w:sz w:val="24"/>
                <w:szCs w:val="24"/>
              </w:rPr>
              <w:t>Energoefektivitātes veicināšanas normatīvi un citi pasākumi</w:t>
            </w:r>
          </w:p>
        </w:tc>
      </w:tr>
      <w:tr w:rsidR="00446E3E" w:rsidTr="00446E3E">
        <w:trPr>
          <w:trHeight w:val="303"/>
          <w:jc w:val="center"/>
        </w:trPr>
        <w:tc>
          <w:tcPr>
            <w:tcW w:w="1028" w:type="dxa"/>
            <w:vMerge/>
            <w:tcBorders>
              <w:top w:val="single" w:sz="12" w:space="0" w:color="auto"/>
              <w:left w:val="single" w:sz="12" w:space="0" w:color="auto"/>
              <w:bottom w:val="single" w:sz="12" w:space="0" w:color="auto"/>
              <w:right w:val="single" w:sz="12" w:space="0" w:color="auto"/>
            </w:tcBorders>
            <w:vAlign w:val="center"/>
            <w:hideMark/>
          </w:tcPr>
          <w:p w:rsidR="00446E3E" w:rsidRDefault="00446E3E">
            <w:pPr>
              <w:rPr>
                <w:rFonts w:cs="Times New Roman"/>
                <w:b/>
                <w:sz w:val="24"/>
                <w:szCs w:val="24"/>
              </w:rPr>
            </w:pPr>
          </w:p>
        </w:tc>
        <w:tc>
          <w:tcPr>
            <w:tcW w:w="8436" w:type="dxa"/>
            <w:vMerge/>
            <w:tcBorders>
              <w:top w:val="single" w:sz="12" w:space="0" w:color="auto"/>
              <w:left w:val="single" w:sz="12"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96363"/>
            <w:textDirection w:val="btLr"/>
            <w:vAlign w:val="center"/>
            <w:hideMark/>
          </w:tcPr>
          <w:p w:rsidR="00446E3E" w:rsidRDefault="00446E3E">
            <w:pPr>
              <w:ind w:left="113" w:right="113"/>
              <w:jc w:val="center"/>
              <w:rPr>
                <w:rFonts w:cs="Times New Roman"/>
                <w:sz w:val="24"/>
                <w:szCs w:val="24"/>
              </w:rPr>
            </w:pPr>
            <w:r>
              <w:rPr>
                <w:rFonts w:cs="Times New Roman"/>
                <w:sz w:val="24"/>
                <w:szCs w:val="24"/>
              </w:rPr>
              <w:t>Obligātais 1,5 % gala enerģijas ietaupījuma mērķis</w:t>
            </w:r>
          </w:p>
        </w:tc>
        <w:tc>
          <w:tcPr>
            <w:tcW w:w="5922" w:type="dxa"/>
            <w:gridSpan w:val="4"/>
            <w:tcBorders>
              <w:top w:val="single" w:sz="4" w:space="0" w:color="auto"/>
              <w:left w:val="single" w:sz="4" w:space="0" w:color="auto"/>
              <w:bottom w:val="single" w:sz="4" w:space="0" w:color="auto"/>
              <w:right w:val="single" w:sz="4" w:space="0" w:color="auto"/>
            </w:tcBorders>
            <w:shd w:val="clear" w:color="auto" w:fill="F96363"/>
            <w:vAlign w:val="center"/>
            <w:hideMark/>
          </w:tcPr>
          <w:p w:rsidR="00446E3E" w:rsidRDefault="00446E3E">
            <w:pPr>
              <w:jc w:val="center"/>
              <w:rPr>
                <w:rFonts w:cs="Times New Roman"/>
                <w:sz w:val="24"/>
                <w:szCs w:val="24"/>
              </w:rPr>
            </w:pPr>
            <w:r>
              <w:rPr>
                <w:rFonts w:cs="Times New Roman"/>
                <w:sz w:val="24"/>
                <w:szCs w:val="24"/>
              </w:rPr>
              <w:t xml:space="preserve">0,213 </w:t>
            </w:r>
            <w:proofErr w:type="spellStart"/>
            <w:r>
              <w:rPr>
                <w:rFonts w:cs="Times New Roman"/>
                <w:sz w:val="24"/>
                <w:szCs w:val="24"/>
              </w:rPr>
              <w:t>Mtoe</w:t>
            </w:r>
            <w:proofErr w:type="spellEnd"/>
            <w:r>
              <w:rPr>
                <w:rFonts w:cs="Times New Roman"/>
                <w:sz w:val="24"/>
                <w:szCs w:val="24"/>
              </w:rPr>
              <w:t xml:space="preserve"> (8,9 PJ, 2474 </w:t>
            </w:r>
            <w:proofErr w:type="spellStart"/>
            <w:r>
              <w:rPr>
                <w:rFonts w:cs="Times New Roman"/>
                <w:sz w:val="24"/>
                <w:szCs w:val="24"/>
              </w:rPr>
              <w:t>GWh</w:t>
            </w:r>
            <w:proofErr w:type="spellEnd"/>
            <w:r>
              <w:rPr>
                <w:rFonts w:cs="Times New Roman"/>
                <w:sz w:val="24"/>
                <w:szCs w:val="24"/>
              </w:rPr>
              <w:t>)</w:t>
            </w:r>
          </w:p>
        </w:tc>
        <w:tc>
          <w:tcPr>
            <w:tcW w:w="740" w:type="dxa"/>
            <w:vMerge/>
            <w:tcBorders>
              <w:top w:val="single" w:sz="12"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r>
      <w:tr w:rsidR="00446E3E" w:rsidTr="00446E3E">
        <w:trPr>
          <w:trHeight w:val="510"/>
          <w:jc w:val="center"/>
        </w:trPr>
        <w:tc>
          <w:tcPr>
            <w:tcW w:w="1028" w:type="dxa"/>
            <w:vMerge/>
            <w:tcBorders>
              <w:top w:val="single" w:sz="12" w:space="0" w:color="auto"/>
              <w:left w:val="single" w:sz="12" w:space="0" w:color="auto"/>
              <w:bottom w:val="single" w:sz="12" w:space="0" w:color="auto"/>
              <w:right w:val="single" w:sz="12" w:space="0" w:color="auto"/>
            </w:tcBorders>
            <w:vAlign w:val="center"/>
            <w:hideMark/>
          </w:tcPr>
          <w:p w:rsidR="00446E3E" w:rsidRDefault="00446E3E">
            <w:pPr>
              <w:rPr>
                <w:rFonts w:cs="Times New Roman"/>
                <w:b/>
                <w:sz w:val="24"/>
                <w:szCs w:val="24"/>
              </w:rPr>
            </w:pPr>
          </w:p>
        </w:tc>
        <w:tc>
          <w:tcPr>
            <w:tcW w:w="8436" w:type="dxa"/>
            <w:vMerge/>
            <w:tcBorders>
              <w:top w:val="single" w:sz="12" w:space="0" w:color="auto"/>
              <w:left w:val="single" w:sz="12"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6773" w:type="dxa"/>
            <w:vMerge/>
            <w:tcBorders>
              <w:top w:val="single" w:sz="4"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5922" w:type="dxa"/>
            <w:gridSpan w:val="4"/>
            <w:tcBorders>
              <w:top w:val="single" w:sz="4" w:space="0" w:color="auto"/>
              <w:left w:val="single" w:sz="4" w:space="0" w:color="auto"/>
              <w:bottom w:val="single" w:sz="4" w:space="0" w:color="auto"/>
              <w:right w:val="single" w:sz="4" w:space="0" w:color="auto"/>
            </w:tcBorders>
            <w:hideMark/>
          </w:tcPr>
          <w:p w:rsidR="00446E3E" w:rsidRDefault="00446E3E">
            <w:pPr>
              <w:rPr>
                <w:rFonts w:cs="Times New Roman"/>
                <w:sz w:val="24"/>
                <w:szCs w:val="24"/>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509270</wp:posOffset>
                      </wp:positionH>
                      <wp:positionV relativeFrom="paragraph">
                        <wp:posOffset>43815</wp:posOffset>
                      </wp:positionV>
                      <wp:extent cx="172085" cy="275590"/>
                      <wp:effectExtent l="57150" t="38100" r="37465" b="86360"/>
                      <wp:wrapNone/>
                      <wp:docPr id="6" name="Up Arrow 6"/>
                      <wp:cNvGraphicFramePr/>
                      <a:graphic xmlns:a="http://schemas.openxmlformats.org/drawingml/2006/main">
                        <a:graphicData uri="http://schemas.microsoft.com/office/word/2010/wordprocessingShape">
                          <wps:wsp>
                            <wps:cNvSpPr/>
                            <wps:spPr>
                              <a:xfrm>
                                <a:off x="0" y="0"/>
                                <a:ext cx="172085" cy="27559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40.1pt;margin-top:3.45pt;width:13.5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" adj="6744"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Pr>
                <w:noProof/>
                <w:lang w:eastAsia="lv-LV"/>
              </w:rPr>
              <mc:AlternateContent>
                <mc:Choice Requires="wps">
                  <w:drawing>
                    <wp:anchor distT="0" distB="0" distL="114300" distR="114300" simplePos="0" relativeHeight="251662336" behindDoc="0" locked="0" layoutInCell="1" allowOverlap="1">
                      <wp:simplePos x="0" y="0"/>
                      <wp:positionH relativeFrom="column">
                        <wp:posOffset>3145155</wp:posOffset>
                      </wp:positionH>
                      <wp:positionV relativeFrom="paragraph">
                        <wp:posOffset>40640</wp:posOffset>
                      </wp:positionV>
                      <wp:extent cx="172085" cy="275590"/>
                      <wp:effectExtent l="57150" t="38100" r="37465" b="86360"/>
                      <wp:wrapNone/>
                      <wp:docPr id="5" name="Up Arrow 5"/>
                      <wp:cNvGraphicFramePr/>
                      <a:graphic xmlns:a="http://schemas.openxmlformats.org/drawingml/2006/main">
                        <a:graphicData uri="http://schemas.microsoft.com/office/word/2010/wordprocessingShape">
                          <wps:wsp>
                            <wps:cNvSpPr/>
                            <wps:spPr>
                              <a:xfrm>
                                <a:off x="0" y="0"/>
                                <a:ext cx="172085" cy="27559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5" o:spid="_x0000_s1026" type="#_x0000_t68" style="position:absolute;margin-left:247.65pt;margin-top:3.2pt;width:13.5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" adj="6744"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2266315</wp:posOffset>
                      </wp:positionH>
                      <wp:positionV relativeFrom="paragraph">
                        <wp:posOffset>41910</wp:posOffset>
                      </wp:positionV>
                      <wp:extent cx="172085" cy="275590"/>
                      <wp:effectExtent l="57150" t="38100" r="37465" b="86360"/>
                      <wp:wrapNone/>
                      <wp:docPr id="4" name="Up Arrow 4"/>
                      <wp:cNvGraphicFramePr/>
                      <a:graphic xmlns:a="http://schemas.openxmlformats.org/drawingml/2006/main">
                        <a:graphicData uri="http://schemas.microsoft.com/office/word/2010/wordprocessingShape">
                          <wps:wsp>
                            <wps:cNvSpPr/>
                            <wps:spPr>
                              <a:xfrm>
                                <a:off x="0" y="0"/>
                                <a:ext cx="172085" cy="27559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4" o:spid="_x0000_s1026" type="#_x0000_t68" style="position:absolute;margin-left:178.45pt;margin-top:3.3pt;width:13.5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" adj="6744"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1524635</wp:posOffset>
                      </wp:positionH>
                      <wp:positionV relativeFrom="paragraph">
                        <wp:posOffset>41275</wp:posOffset>
                      </wp:positionV>
                      <wp:extent cx="172085" cy="275590"/>
                      <wp:effectExtent l="57150" t="38100" r="37465" b="86360"/>
                      <wp:wrapNone/>
                      <wp:docPr id="3" name="Up Arrow 3"/>
                      <wp:cNvGraphicFramePr/>
                      <a:graphic xmlns:a="http://schemas.openxmlformats.org/drawingml/2006/main">
                        <a:graphicData uri="http://schemas.microsoft.com/office/word/2010/wordprocessingShape">
                          <wps:wsp>
                            <wps:cNvSpPr/>
                            <wps:spPr>
                              <a:xfrm>
                                <a:off x="0" y="0"/>
                                <a:ext cx="172085" cy="27559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 o:spid="_x0000_s1026" type="#_x0000_t68" style="position:absolute;margin-left:120.05pt;margin-top:3.25pt;width:13.5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" adj="6744" fillcolor="#9b2d2a" strokecolor="#be4b48">
                      <v:fill color2="#ce3b37" rotate="t" angle="180" colors="0 #9b2d2a;52429f #cb3d3a;1 #ce3b37" focus="100%" type="gradient">
                        <o:fill v:ext="view" type="gradientUnscaled"/>
                      </v:fill>
                      <v:shadow on="t" color="black" opacity="22937f" origin=",.5" offset="0,.63889mm"/>
                    </v:shape>
                  </w:pict>
                </mc:Fallback>
              </mc:AlternateContent>
            </w:r>
          </w:p>
        </w:tc>
        <w:tc>
          <w:tcPr>
            <w:tcW w:w="740" w:type="dxa"/>
            <w:vMerge/>
            <w:tcBorders>
              <w:top w:val="single" w:sz="12"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r>
      <w:tr w:rsidR="00446E3E" w:rsidTr="00446E3E">
        <w:trPr>
          <w:trHeight w:val="462"/>
          <w:jc w:val="center"/>
        </w:trPr>
        <w:tc>
          <w:tcPr>
            <w:tcW w:w="1028" w:type="dxa"/>
            <w:vMerge/>
            <w:tcBorders>
              <w:top w:val="single" w:sz="12" w:space="0" w:color="auto"/>
              <w:left w:val="single" w:sz="12" w:space="0" w:color="auto"/>
              <w:bottom w:val="single" w:sz="12" w:space="0" w:color="auto"/>
              <w:right w:val="single" w:sz="12" w:space="0" w:color="auto"/>
            </w:tcBorders>
            <w:vAlign w:val="center"/>
            <w:hideMark/>
          </w:tcPr>
          <w:p w:rsidR="00446E3E" w:rsidRDefault="00446E3E">
            <w:pPr>
              <w:rPr>
                <w:rFonts w:cs="Times New Roman"/>
                <w:b/>
                <w:sz w:val="24"/>
                <w:szCs w:val="24"/>
              </w:rPr>
            </w:pPr>
          </w:p>
        </w:tc>
        <w:tc>
          <w:tcPr>
            <w:tcW w:w="8436" w:type="dxa"/>
            <w:vMerge/>
            <w:tcBorders>
              <w:top w:val="single" w:sz="12" w:space="0" w:color="auto"/>
              <w:left w:val="single" w:sz="12"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6773" w:type="dxa"/>
            <w:vMerge/>
            <w:tcBorders>
              <w:top w:val="single" w:sz="4"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2073" w:type="dxa"/>
            <w:tcBorders>
              <w:top w:val="single" w:sz="4" w:space="0" w:color="auto"/>
              <w:left w:val="single" w:sz="4" w:space="0" w:color="auto"/>
              <w:bottom w:val="single" w:sz="4" w:space="0" w:color="auto"/>
              <w:right w:val="single" w:sz="4" w:space="0" w:color="auto"/>
            </w:tcBorders>
            <w:shd w:val="clear" w:color="auto" w:fill="F96363"/>
            <w:vAlign w:val="center"/>
            <w:hideMark/>
          </w:tcPr>
          <w:p w:rsidR="00446E3E" w:rsidRDefault="00446E3E">
            <w:pPr>
              <w:jc w:val="center"/>
              <w:rPr>
                <w:rFonts w:cs="Times New Roman"/>
                <w:sz w:val="24"/>
                <w:szCs w:val="24"/>
              </w:rPr>
            </w:pPr>
            <w:r>
              <w:rPr>
                <w:rFonts w:cs="Times New Roman"/>
                <w:sz w:val="24"/>
                <w:szCs w:val="24"/>
              </w:rPr>
              <w:t xml:space="preserve">0,016 </w:t>
            </w:r>
            <w:proofErr w:type="spellStart"/>
            <w:r>
              <w:rPr>
                <w:rFonts w:cs="Times New Roman"/>
                <w:sz w:val="24"/>
                <w:szCs w:val="24"/>
              </w:rPr>
              <w:t>Mtoe</w:t>
            </w:r>
            <w:proofErr w:type="spellEnd"/>
            <w:r>
              <w:rPr>
                <w:rFonts w:cs="Times New Roman"/>
                <w:sz w:val="24"/>
                <w:szCs w:val="24"/>
              </w:rPr>
              <w:t xml:space="preserve"> (0,67 PJ, 186 </w:t>
            </w:r>
            <w:proofErr w:type="spellStart"/>
            <w:r>
              <w:rPr>
                <w:rFonts w:cs="Times New Roman"/>
                <w:sz w:val="24"/>
                <w:szCs w:val="24"/>
              </w:rPr>
              <w:t>GWh</w:t>
            </w:r>
            <w:proofErr w:type="spellEnd"/>
            <w:r>
              <w:rPr>
                <w:rFonts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shd w:val="clear" w:color="auto" w:fill="F96363"/>
            <w:vAlign w:val="center"/>
            <w:hideMark/>
          </w:tcPr>
          <w:p w:rsidR="00446E3E" w:rsidRDefault="00446E3E">
            <w:pPr>
              <w:jc w:val="center"/>
              <w:rPr>
                <w:rFonts w:cs="Times New Roman"/>
                <w:sz w:val="24"/>
                <w:szCs w:val="24"/>
              </w:rPr>
            </w:pPr>
            <w:r>
              <w:rPr>
                <w:rFonts w:cs="Times New Roman"/>
                <w:sz w:val="24"/>
                <w:szCs w:val="24"/>
              </w:rPr>
              <w:t xml:space="preserve">0,023 </w:t>
            </w:r>
            <w:proofErr w:type="spellStart"/>
            <w:r>
              <w:rPr>
                <w:rFonts w:cs="Times New Roman"/>
                <w:sz w:val="24"/>
                <w:szCs w:val="24"/>
              </w:rPr>
              <w:t>Mtoe</w:t>
            </w:r>
            <w:proofErr w:type="spellEnd"/>
          </w:p>
          <w:p w:rsidR="00446E3E" w:rsidRDefault="00446E3E">
            <w:pPr>
              <w:jc w:val="center"/>
              <w:rPr>
                <w:rFonts w:cs="Times New Roman"/>
                <w:sz w:val="24"/>
                <w:szCs w:val="24"/>
              </w:rPr>
            </w:pPr>
            <w:r>
              <w:rPr>
                <w:rFonts w:cs="Times New Roman"/>
                <w:sz w:val="24"/>
                <w:szCs w:val="24"/>
              </w:rPr>
              <w:t xml:space="preserve">(0,945 PJ, 263 </w:t>
            </w:r>
            <w:proofErr w:type="spellStart"/>
            <w:r>
              <w:rPr>
                <w:rFonts w:cs="Times New Roman"/>
                <w:sz w:val="24"/>
                <w:szCs w:val="24"/>
              </w:rPr>
              <w:t>GWh</w:t>
            </w:r>
            <w:proofErr w:type="spellEnd"/>
            <w:r>
              <w:rPr>
                <w:rFonts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96363"/>
            <w:vAlign w:val="center"/>
            <w:hideMark/>
          </w:tcPr>
          <w:p w:rsidR="00446E3E" w:rsidRDefault="00446E3E">
            <w:pPr>
              <w:jc w:val="center"/>
              <w:rPr>
                <w:rFonts w:cs="Times New Roman"/>
                <w:sz w:val="24"/>
                <w:szCs w:val="24"/>
              </w:rPr>
            </w:pPr>
            <w:r>
              <w:rPr>
                <w:rFonts w:cs="Times New Roman"/>
                <w:sz w:val="24"/>
                <w:szCs w:val="24"/>
              </w:rPr>
              <w:t xml:space="preserve">0,002 </w:t>
            </w:r>
            <w:proofErr w:type="spellStart"/>
            <w:r>
              <w:rPr>
                <w:rFonts w:cs="Times New Roman"/>
                <w:sz w:val="24"/>
                <w:szCs w:val="24"/>
              </w:rPr>
              <w:t>Mtoe</w:t>
            </w:r>
            <w:proofErr w:type="spellEnd"/>
          </w:p>
          <w:p w:rsidR="00446E3E" w:rsidRDefault="00446E3E">
            <w:pPr>
              <w:jc w:val="center"/>
              <w:rPr>
                <w:rFonts w:cs="Times New Roman"/>
                <w:sz w:val="24"/>
                <w:szCs w:val="24"/>
              </w:rPr>
            </w:pPr>
            <w:r>
              <w:rPr>
                <w:rFonts w:cs="Times New Roman"/>
                <w:sz w:val="24"/>
                <w:szCs w:val="24"/>
              </w:rPr>
              <w:t xml:space="preserve">(0,098 PJ, 27 </w:t>
            </w:r>
            <w:proofErr w:type="spellStart"/>
            <w:r>
              <w:rPr>
                <w:rFonts w:cs="Times New Roman"/>
                <w:sz w:val="24"/>
                <w:szCs w:val="24"/>
              </w:rPr>
              <w:t>GWh</w:t>
            </w:r>
            <w:proofErr w:type="spellEnd"/>
            <w:r>
              <w:rPr>
                <w:rFonts w:cs="Times New Roman"/>
                <w:sz w:val="24"/>
                <w:szCs w:val="24"/>
              </w:rPr>
              <w:t>)</w:t>
            </w:r>
          </w:p>
        </w:tc>
        <w:tc>
          <w:tcPr>
            <w:tcW w:w="1528" w:type="dxa"/>
            <w:tcBorders>
              <w:top w:val="single" w:sz="4" w:space="0" w:color="auto"/>
              <w:left w:val="single" w:sz="4" w:space="0" w:color="auto"/>
              <w:bottom w:val="single" w:sz="4" w:space="0" w:color="auto"/>
              <w:right w:val="single" w:sz="4" w:space="0" w:color="auto"/>
            </w:tcBorders>
            <w:shd w:val="clear" w:color="auto" w:fill="F96363"/>
            <w:vAlign w:val="center"/>
            <w:hideMark/>
          </w:tcPr>
          <w:p w:rsidR="00446E3E" w:rsidRDefault="00446E3E">
            <w:pPr>
              <w:jc w:val="center"/>
              <w:rPr>
                <w:rFonts w:cs="Times New Roman"/>
                <w:sz w:val="24"/>
                <w:szCs w:val="24"/>
              </w:rPr>
            </w:pPr>
            <w:r>
              <w:rPr>
                <w:rFonts w:cs="Times New Roman"/>
                <w:sz w:val="24"/>
                <w:szCs w:val="24"/>
              </w:rPr>
              <w:t xml:space="preserve">0,172 </w:t>
            </w:r>
          </w:p>
          <w:p w:rsidR="00446E3E" w:rsidRDefault="00446E3E">
            <w:pPr>
              <w:jc w:val="center"/>
              <w:rPr>
                <w:rFonts w:cs="Times New Roman"/>
                <w:sz w:val="24"/>
                <w:szCs w:val="24"/>
              </w:rPr>
            </w:pPr>
            <w:proofErr w:type="spellStart"/>
            <w:r>
              <w:rPr>
                <w:rFonts w:cs="Times New Roman"/>
                <w:sz w:val="24"/>
                <w:szCs w:val="24"/>
              </w:rPr>
              <w:t>Mtoe</w:t>
            </w:r>
            <w:proofErr w:type="spellEnd"/>
          </w:p>
          <w:p w:rsidR="00446E3E" w:rsidRDefault="00446E3E">
            <w:pPr>
              <w:jc w:val="center"/>
              <w:rPr>
                <w:rFonts w:cs="Times New Roman"/>
                <w:sz w:val="24"/>
                <w:szCs w:val="24"/>
              </w:rPr>
            </w:pPr>
            <w:r>
              <w:rPr>
                <w:rFonts w:cs="Times New Roman"/>
                <w:sz w:val="24"/>
                <w:szCs w:val="24"/>
              </w:rPr>
              <w:t xml:space="preserve">(7,2 PJ, 1998 </w:t>
            </w:r>
            <w:proofErr w:type="spellStart"/>
            <w:r>
              <w:rPr>
                <w:rFonts w:cs="Times New Roman"/>
                <w:sz w:val="24"/>
                <w:szCs w:val="24"/>
              </w:rPr>
              <w:t>GWh</w:t>
            </w:r>
            <w:proofErr w:type="spellEnd"/>
            <w:r>
              <w:rPr>
                <w:rFonts w:cs="Times New Roman"/>
                <w:sz w:val="24"/>
                <w:szCs w:val="24"/>
              </w:rPr>
              <w:t>)</w:t>
            </w:r>
          </w:p>
        </w:tc>
        <w:tc>
          <w:tcPr>
            <w:tcW w:w="740" w:type="dxa"/>
            <w:vMerge/>
            <w:tcBorders>
              <w:top w:val="single" w:sz="12"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r>
      <w:tr w:rsidR="00446E3E" w:rsidTr="00446E3E">
        <w:trPr>
          <w:cantSplit/>
          <w:trHeight w:val="2315"/>
          <w:jc w:val="center"/>
        </w:trPr>
        <w:tc>
          <w:tcPr>
            <w:tcW w:w="1028" w:type="dxa"/>
            <w:vMerge/>
            <w:tcBorders>
              <w:top w:val="single" w:sz="12" w:space="0" w:color="auto"/>
              <w:left w:val="single" w:sz="12" w:space="0" w:color="auto"/>
              <w:bottom w:val="single" w:sz="12" w:space="0" w:color="auto"/>
              <w:right w:val="single" w:sz="12" w:space="0" w:color="auto"/>
            </w:tcBorders>
            <w:vAlign w:val="center"/>
            <w:hideMark/>
          </w:tcPr>
          <w:p w:rsidR="00446E3E" w:rsidRDefault="00446E3E">
            <w:pPr>
              <w:rPr>
                <w:rFonts w:cs="Times New Roman"/>
                <w:b/>
                <w:sz w:val="24"/>
                <w:szCs w:val="24"/>
              </w:rPr>
            </w:pPr>
          </w:p>
        </w:tc>
        <w:tc>
          <w:tcPr>
            <w:tcW w:w="8436" w:type="dxa"/>
            <w:vMerge/>
            <w:tcBorders>
              <w:top w:val="single" w:sz="12" w:space="0" w:color="auto"/>
              <w:left w:val="single" w:sz="12"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6773" w:type="dxa"/>
            <w:vMerge/>
            <w:tcBorders>
              <w:top w:val="single" w:sz="4"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2073"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tcPr>
          <w:p w:rsidR="00446E3E" w:rsidRDefault="00446E3E">
            <w:pPr>
              <w:ind w:left="113" w:right="113"/>
              <w:jc w:val="center"/>
              <w:rPr>
                <w:rFonts w:cs="Times New Roman"/>
                <w:sz w:val="24"/>
                <w:szCs w:val="24"/>
              </w:rPr>
            </w:pPr>
            <w:r>
              <w:rPr>
                <w:rFonts w:cs="Times New Roman"/>
                <w:sz w:val="24"/>
                <w:szCs w:val="24"/>
              </w:rPr>
              <w:t>Obligātā centrālās valdības ēku 3 % platības renovācija</w:t>
            </w:r>
          </w:p>
          <w:p w:rsidR="00446E3E" w:rsidRDefault="00446E3E">
            <w:pPr>
              <w:ind w:left="113" w:right="113"/>
              <w:jc w:val="center"/>
              <w:rPr>
                <w:rFonts w:cs="Times New Roman"/>
                <w:sz w:val="24"/>
                <w:szCs w:val="24"/>
              </w:rPr>
            </w:pPr>
          </w:p>
          <w:p w:rsidR="00446E3E" w:rsidRDefault="00446E3E">
            <w:pPr>
              <w:ind w:left="113" w:right="113"/>
              <w:jc w:val="center"/>
              <w:rPr>
                <w:rFonts w:cs="Times New Roman"/>
                <w:sz w:val="24"/>
                <w:szCs w:val="24"/>
              </w:rPr>
            </w:pPr>
            <w:r>
              <w:rPr>
                <w:rFonts w:cs="Times New Roman"/>
                <w:sz w:val="24"/>
                <w:szCs w:val="24"/>
              </w:rPr>
              <w:t>Pašvaldības ēku renovācija</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446E3E" w:rsidRDefault="00446E3E">
            <w:pPr>
              <w:ind w:left="113" w:right="113"/>
              <w:jc w:val="center"/>
              <w:rPr>
                <w:rFonts w:cs="Times New Roman"/>
                <w:sz w:val="24"/>
                <w:szCs w:val="24"/>
              </w:rPr>
            </w:pPr>
            <w:r>
              <w:rPr>
                <w:rFonts w:cs="Times New Roman"/>
                <w:sz w:val="24"/>
                <w:szCs w:val="24"/>
              </w:rPr>
              <w:t>Daudzdzīvokļu ēku renovācija energoefektivitātes paaugstināšanai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446E3E" w:rsidRDefault="00446E3E">
            <w:pPr>
              <w:ind w:left="113" w:right="113"/>
              <w:jc w:val="center"/>
              <w:rPr>
                <w:rFonts w:cs="Times New Roman"/>
                <w:sz w:val="24"/>
                <w:szCs w:val="24"/>
              </w:rPr>
            </w:pPr>
            <w:r>
              <w:rPr>
                <w:rFonts w:cs="Times New Roman"/>
                <w:sz w:val="24"/>
                <w:szCs w:val="24"/>
              </w:rPr>
              <w:t>Energoefektivitātes uzlabošana apstrādes rūpniecības komersantiem</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hideMark/>
          </w:tcPr>
          <w:p w:rsidR="00446E3E" w:rsidRDefault="00446E3E">
            <w:pPr>
              <w:ind w:left="113" w:right="113"/>
              <w:jc w:val="center"/>
              <w:rPr>
                <w:rFonts w:cs="Times New Roman"/>
                <w:sz w:val="24"/>
                <w:szCs w:val="24"/>
              </w:rPr>
            </w:pPr>
            <w:r>
              <w:rPr>
                <w:rFonts w:cs="Times New Roman"/>
                <w:sz w:val="24"/>
                <w:szCs w:val="24"/>
              </w:rPr>
              <w:t>Energoefektivitātes pienākumu shēma enerģijas mazumtirdzniecības uzņēmumiem vai papildu alternatīvie pasākumi</w:t>
            </w:r>
          </w:p>
        </w:tc>
        <w:tc>
          <w:tcPr>
            <w:tcW w:w="740" w:type="dxa"/>
            <w:vMerge/>
            <w:tcBorders>
              <w:top w:val="single" w:sz="12"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r>
      <w:tr w:rsidR="00446E3E" w:rsidTr="00446E3E">
        <w:trPr>
          <w:trHeight w:val="1015"/>
          <w:jc w:val="center"/>
        </w:trPr>
        <w:tc>
          <w:tcPr>
            <w:tcW w:w="1028" w:type="dxa"/>
            <w:vMerge/>
            <w:tcBorders>
              <w:top w:val="single" w:sz="12" w:space="0" w:color="auto"/>
              <w:left w:val="single" w:sz="12" w:space="0" w:color="auto"/>
              <w:bottom w:val="single" w:sz="12" w:space="0" w:color="auto"/>
              <w:right w:val="single" w:sz="12" w:space="0" w:color="auto"/>
            </w:tcBorders>
            <w:vAlign w:val="center"/>
            <w:hideMark/>
          </w:tcPr>
          <w:p w:rsidR="00446E3E" w:rsidRDefault="00446E3E">
            <w:pPr>
              <w:rPr>
                <w:rFonts w:cs="Times New Roman"/>
                <w:b/>
                <w:sz w:val="24"/>
                <w:szCs w:val="24"/>
              </w:rPr>
            </w:pPr>
          </w:p>
        </w:tc>
        <w:tc>
          <w:tcPr>
            <w:tcW w:w="8436" w:type="dxa"/>
            <w:vMerge/>
            <w:tcBorders>
              <w:top w:val="single" w:sz="12" w:space="0" w:color="auto"/>
              <w:left w:val="single" w:sz="12"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6773" w:type="dxa"/>
            <w:vMerge/>
            <w:tcBorders>
              <w:top w:val="single" w:sz="4"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207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46E3E" w:rsidRDefault="00446E3E">
            <w:pPr>
              <w:jc w:val="center"/>
              <w:rPr>
                <w:rFonts w:cs="Times New Roman"/>
                <w:sz w:val="24"/>
                <w:szCs w:val="24"/>
              </w:rPr>
            </w:pPr>
            <w:r>
              <w:rPr>
                <w:rFonts w:cs="Times New Roman"/>
                <w:sz w:val="24"/>
                <w:szCs w:val="24"/>
              </w:rPr>
              <w:t>Publisko ēku energoefektivitātes pasākumi</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740" w:type="dxa"/>
            <w:vMerge/>
            <w:tcBorders>
              <w:top w:val="single" w:sz="12"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r>
      <w:tr w:rsidR="00446E3E" w:rsidTr="00446E3E">
        <w:trPr>
          <w:cantSplit/>
          <w:trHeight w:val="385"/>
          <w:jc w:val="center"/>
        </w:trPr>
        <w:tc>
          <w:tcPr>
            <w:tcW w:w="1028" w:type="dxa"/>
            <w:vMerge/>
            <w:tcBorders>
              <w:top w:val="single" w:sz="12" w:space="0" w:color="auto"/>
              <w:left w:val="single" w:sz="12" w:space="0" w:color="auto"/>
              <w:bottom w:val="single" w:sz="12" w:space="0" w:color="auto"/>
              <w:right w:val="single" w:sz="12" w:space="0" w:color="auto"/>
            </w:tcBorders>
            <w:vAlign w:val="center"/>
            <w:hideMark/>
          </w:tcPr>
          <w:p w:rsidR="00446E3E" w:rsidRDefault="00446E3E">
            <w:pPr>
              <w:rPr>
                <w:rFonts w:cs="Times New Roman"/>
                <w:b/>
                <w:sz w:val="24"/>
                <w:szCs w:val="24"/>
              </w:rPr>
            </w:pPr>
          </w:p>
        </w:tc>
        <w:tc>
          <w:tcPr>
            <w:tcW w:w="8436" w:type="dxa"/>
            <w:vMerge/>
            <w:tcBorders>
              <w:top w:val="single" w:sz="12" w:space="0" w:color="auto"/>
              <w:left w:val="single" w:sz="12"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6773" w:type="dxa"/>
            <w:vMerge/>
            <w:tcBorders>
              <w:top w:val="single" w:sz="4" w:space="0" w:color="auto"/>
              <w:left w:val="single" w:sz="4" w:space="0" w:color="auto"/>
              <w:bottom w:val="single" w:sz="4" w:space="0" w:color="auto"/>
              <w:right w:val="single" w:sz="4" w:space="0" w:color="auto"/>
            </w:tcBorders>
            <w:vAlign w:val="center"/>
            <w:hideMark/>
          </w:tcPr>
          <w:p w:rsidR="00446E3E" w:rsidRDefault="00446E3E">
            <w:pPr>
              <w:rPr>
                <w:rFonts w:cs="Times New Roman"/>
                <w:sz w:val="24"/>
                <w:szCs w:val="24"/>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46E3E" w:rsidRDefault="00446E3E">
            <w:pPr>
              <w:jc w:val="center"/>
              <w:rPr>
                <w:rFonts w:cs="Times New Roman"/>
                <w:sz w:val="24"/>
                <w:szCs w:val="24"/>
              </w:rPr>
            </w:pPr>
            <w:r>
              <w:rPr>
                <w:rFonts w:cs="Times New Roman"/>
                <w:sz w:val="24"/>
                <w:szCs w:val="24"/>
              </w:rPr>
              <w:t>ES fondu finansējums</w:t>
            </w:r>
          </w:p>
        </w:tc>
        <w:tc>
          <w:tcPr>
            <w:tcW w:w="2268" w:type="dxa"/>
            <w:gridSpan w:val="2"/>
            <w:tcBorders>
              <w:top w:val="single" w:sz="4" w:space="0" w:color="auto"/>
              <w:left w:val="single" w:sz="4" w:space="0" w:color="auto"/>
              <w:bottom w:val="single" w:sz="4" w:space="0" w:color="auto"/>
              <w:right w:val="single" w:sz="4" w:space="0" w:color="auto"/>
            </w:tcBorders>
          </w:tcPr>
          <w:p w:rsidR="00446E3E" w:rsidRDefault="00446E3E">
            <w:pPr>
              <w:rPr>
                <w:rFonts w:cs="Times New Roman"/>
                <w:sz w:val="24"/>
                <w:szCs w:val="24"/>
              </w:rPr>
            </w:pPr>
          </w:p>
        </w:tc>
      </w:tr>
    </w:tbl>
    <w:p w:rsidR="00070E1A" w:rsidRDefault="00070E1A" w:rsidP="000D4B09">
      <w:pPr>
        <w:pStyle w:val="naiskr"/>
        <w:spacing w:before="0" w:after="0"/>
        <w:ind w:firstLine="709"/>
        <w:jc w:val="both"/>
        <w:rPr>
          <w:rFonts w:eastAsiaTheme="minorHAnsi"/>
          <w:sz w:val="28"/>
          <w:szCs w:val="28"/>
          <w:lang w:eastAsia="en-US"/>
        </w:rPr>
      </w:pPr>
    </w:p>
    <w:p w:rsidR="00E42D3D" w:rsidRPr="00986712" w:rsidRDefault="00115E44" w:rsidP="00986712">
      <w:pPr>
        <w:pStyle w:val="naiskr"/>
        <w:spacing w:before="0" w:after="240"/>
        <w:ind w:firstLine="720"/>
        <w:jc w:val="both"/>
        <w:rPr>
          <w:rFonts w:eastAsiaTheme="minorHAnsi"/>
          <w:sz w:val="28"/>
          <w:szCs w:val="28"/>
          <w:lang w:eastAsia="en-US"/>
        </w:rPr>
      </w:pPr>
      <w:r>
        <w:rPr>
          <w:rFonts w:eastAsiaTheme="minorHAnsi"/>
          <w:sz w:val="28"/>
          <w:szCs w:val="28"/>
          <w:lang w:eastAsia="en-US"/>
        </w:rPr>
        <w:t>Kā redzams 2.</w:t>
      </w:r>
      <w:r w:rsidR="00BC6D46">
        <w:rPr>
          <w:rFonts w:eastAsiaTheme="minorHAnsi"/>
          <w:sz w:val="28"/>
          <w:szCs w:val="28"/>
          <w:lang w:eastAsia="en-US"/>
        </w:rPr>
        <w:t> </w:t>
      </w:r>
      <w:r>
        <w:rPr>
          <w:rFonts w:eastAsiaTheme="minorHAnsi"/>
          <w:sz w:val="28"/>
          <w:szCs w:val="28"/>
          <w:lang w:eastAsia="en-US"/>
        </w:rPr>
        <w:t xml:space="preserve">attēlā, </w:t>
      </w:r>
      <w:r w:rsidRPr="00DE35AA">
        <w:rPr>
          <w:rFonts w:eastAsiaTheme="minorHAnsi"/>
          <w:sz w:val="28"/>
          <w:szCs w:val="28"/>
          <w:lang w:eastAsia="en-US"/>
        </w:rPr>
        <w:t xml:space="preserve">ar </w:t>
      </w:r>
      <w:r>
        <w:rPr>
          <w:rFonts w:eastAsiaTheme="minorHAnsi"/>
          <w:sz w:val="28"/>
          <w:szCs w:val="28"/>
          <w:lang w:eastAsia="en-US"/>
        </w:rPr>
        <w:t>pašlaik NAP2020 paredzētajiem valsts atbalstītajiem ēku energoefektivitātes pasākumiem</w:t>
      </w:r>
      <w:r w:rsidRPr="00DE35AA">
        <w:rPr>
          <w:rFonts w:eastAsiaTheme="minorHAnsi"/>
          <w:sz w:val="28"/>
          <w:szCs w:val="28"/>
          <w:lang w:eastAsia="en-US"/>
        </w:rPr>
        <w:t xml:space="preserve"> var tikt nosegt</w:t>
      </w:r>
      <w:r w:rsidR="00C71504">
        <w:rPr>
          <w:rFonts w:eastAsiaTheme="minorHAnsi"/>
          <w:sz w:val="28"/>
          <w:szCs w:val="28"/>
          <w:lang w:eastAsia="en-US"/>
        </w:rPr>
        <w:t xml:space="preserve">i </w:t>
      </w:r>
      <w:r w:rsidR="00446E3E">
        <w:rPr>
          <w:rFonts w:eastAsiaTheme="minorHAnsi"/>
          <w:sz w:val="28"/>
          <w:szCs w:val="28"/>
          <w:lang w:eastAsia="en-US"/>
        </w:rPr>
        <w:t>19</w:t>
      </w:r>
      <w:r w:rsidR="00BC6D46">
        <w:rPr>
          <w:rFonts w:eastAsiaTheme="minorHAnsi"/>
          <w:sz w:val="28"/>
          <w:szCs w:val="28"/>
          <w:lang w:eastAsia="en-US"/>
        </w:rPr>
        <w:t> </w:t>
      </w:r>
      <w:r>
        <w:rPr>
          <w:rFonts w:eastAsiaTheme="minorHAnsi"/>
          <w:sz w:val="28"/>
          <w:szCs w:val="28"/>
          <w:lang w:eastAsia="en-US"/>
        </w:rPr>
        <w:t>% no Latvijas obligātajām saistībām energoefektivitātes jomā</w:t>
      </w:r>
      <w:r w:rsidRPr="00DE35AA">
        <w:rPr>
          <w:rFonts w:eastAsiaTheme="minorHAnsi"/>
          <w:sz w:val="28"/>
          <w:szCs w:val="28"/>
          <w:lang w:eastAsia="en-US"/>
        </w:rPr>
        <w:t>.</w:t>
      </w:r>
      <w:r w:rsidRPr="00115E44">
        <w:t xml:space="preserve"> </w:t>
      </w:r>
      <w:r w:rsidRPr="00115E44">
        <w:rPr>
          <w:rFonts w:eastAsiaTheme="minorHAnsi"/>
          <w:sz w:val="28"/>
          <w:szCs w:val="28"/>
          <w:lang w:eastAsia="en-US"/>
        </w:rPr>
        <w:t>Direktīva nosaka arī konkrētos pasākumu veidus, ar</w:t>
      </w:r>
      <w:r w:rsidR="00D05F74">
        <w:rPr>
          <w:rFonts w:eastAsiaTheme="minorHAnsi"/>
          <w:sz w:val="28"/>
          <w:szCs w:val="28"/>
          <w:lang w:eastAsia="en-US"/>
        </w:rPr>
        <w:t xml:space="preserve"> kuriem atļauts sasniegt mērķi. </w:t>
      </w:r>
      <w:r w:rsidR="0084594A">
        <w:rPr>
          <w:rFonts w:eastAsiaTheme="minorHAnsi"/>
          <w:sz w:val="28"/>
          <w:szCs w:val="28"/>
          <w:lang w:eastAsia="en-US"/>
        </w:rPr>
        <w:t>G</w:t>
      </w:r>
      <w:r w:rsidRPr="00115E44">
        <w:rPr>
          <w:rFonts w:eastAsiaTheme="minorHAnsi"/>
          <w:sz w:val="28"/>
          <w:szCs w:val="28"/>
          <w:lang w:eastAsia="en-US"/>
        </w:rPr>
        <w:t>ala</w:t>
      </w:r>
      <w:r w:rsidR="00DF2672">
        <w:rPr>
          <w:rFonts w:eastAsiaTheme="minorHAnsi"/>
          <w:sz w:val="28"/>
          <w:szCs w:val="28"/>
          <w:lang w:eastAsia="en-US"/>
        </w:rPr>
        <w:t>lietotājiem</w:t>
      </w:r>
      <w:r w:rsidRPr="00115E44">
        <w:rPr>
          <w:rFonts w:eastAsiaTheme="minorHAnsi"/>
          <w:sz w:val="28"/>
          <w:szCs w:val="28"/>
          <w:lang w:eastAsia="en-US"/>
        </w:rPr>
        <w:t xml:space="preserve"> piegādātās enerģijas ietaupījums </w:t>
      </w:r>
      <w:r w:rsidR="00BA0325">
        <w:rPr>
          <w:rFonts w:eastAsiaTheme="minorHAnsi"/>
          <w:sz w:val="28"/>
          <w:szCs w:val="28"/>
          <w:lang w:eastAsia="en-US"/>
        </w:rPr>
        <w:t xml:space="preserve">1,5 % apjomā </w:t>
      </w:r>
      <w:r w:rsidRPr="00115E44">
        <w:rPr>
          <w:rFonts w:eastAsiaTheme="minorHAnsi"/>
          <w:sz w:val="28"/>
          <w:szCs w:val="28"/>
          <w:lang w:eastAsia="en-US"/>
        </w:rPr>
        <w:t>primāri jāsasniedz ar  energoefektivitātes pienākumu shēmas palīdzību (enerģijas tirdzniecības un sadales komersantiem uzlikti pienākumi), kuru daļēji vai pilnīgi ir atļauts aizstāt ar atsevišķiem gala</w:t>
      </w:r>
      <w:r w:rsidR="00BA0325">
        <w:rPr>
          <w:rFonts w:eastAsiaTheme="minorHAnsi"/>
          <w:sz w:val="28"/>
          <w:szCs w:val="28"/>
          <w:lang w:eastAsia="en-US"/>
        </w:rPr>
        <w:t>patēriņa sektorā</w:t>
      </w:r>
      <w:r w:rsidRPr="00115E44">
        <w:rPr>
          <w:rFonts w:eastAsiaTheme="minorHAnsi"/>
          <w:sz w:val="28"/>
          <w:szCs w:val="28"/>
          <w:lang w:eastAsia="en-US"/>
        </w:rPr>
        <w:t xml:space="preserve"> veiktiem alternatīviem pasākumiem. Latvija šā mērķa izpildē plāno izveidot valsts energoefektivitātes pienākumu shēmu, kombinējot to ar alternatīvajiem pasākumiem – pašvaldību un </w:t>
      </w:r>
      <w:r w:rsidR="007A2270">
        <w:rPr>
          <w:rFonts w:eastAsiaTheme="minorHAnsi"/>
          <w:sz w:val="28"/>
          <w:szCs w:val="28"/>
          <w:lang w:eastAsia="en-US"/>
        </w:rPr>
        <w:t>centrālās valdības</w:t>
      </w:r>
      <w:r w:rsidRPr="00115E44">
        <w:rPr>
          <w:rFonts w:eastAsiaTheme="minorHAnsi"/>
          <w:sz w:val="28"/>
          <w:szCs w:val="28"/>
          <w:lang w:eastAsia="en-US"/>
        </w:rPr>
        <w:t xml:space="preserve">  ēkās, mājokļos un rūpniecības </w:t>
      </w:r>
      <w:r w:rsidR="00DF2672">
        <w:rPr>
          <w:rFonts w:eastAsiaTheme="minorHAnsi"/>
          <w:sz w:val="28"/>
          <w:szCs w:val="28"/>
          <w:lang w:eastAsia="en-US"/>
        </w:rPr>
        <w:t>lietotājos</w:t>
      </w:r>
      <w:r w:rsidR="00D05F74">
        <w:rPr>
          <w:rFonts w:eastAsiaTheme="minorHAnsi"/>
          <w:sz w:val="28"/>
          <w:szCs w:val="28"/>
          <w:lang w:eastAsia="en-US"/>
        </w:rPr>
        <w:t xml:space="preserve">. </w:t>
      </w:r>
      <w:r w:rsidRPr="00115E44">
        <w:rPr>
          <w:rFonts w:eastAsiaTheme="minorHAnsi"/>
          <w:sz w:val="28"/>
          <w:szCs w:val="28"/>
          <w:lang w:eastAsia="en-US"/>
        </w:rPr>
        <w:t>Pārējais enerģijas ietaupījums indikatīvā valsts energoefektivitātes mērķa sasniegšanai var tikt nodrošināts ar energoefektivitātes pasākumiem gan enerģijas ražošan</w:t>
      </w:r>
      <w:r w:rsidR="00BA0325">
        <w:rPr>
          <w:rFonts w:eastAsiaTheme="minorHAnsi"/>
          <w:sz w:val="28"/>
          <w:szCs w:val="28"/>
          <w:lang w:eastAsia="en-US"/>
        </w:rPr>
        <w:t>ā, gan pārvades tīklos, gan enerģijas galapatēriņa sektorā</w:t>
      </w:r>
      <w:r w:rsidRPr="00115E44">
        <w:rPr>
          <w:rFonts w:eastAsiaTheme="minorHAnsi"/>
          <w:sz w:val="28"/>
          <w:szCs w:val="28"/>
          <w:lang w:eastAsia="en-US"/>
        </w:rPr>
        <w:t>.</w:t>
      </w:r>
    </w:p>
    <w:p w:rsidR="00A65853" w:rsidRDefault="00A65853" w:rsidP="00266391">
      <w:pPr>
        <w:pStyle w:val="naiskr"/>
        <w:spacing w:before="0" w:after="0"/>
        <w:jc w:val="right"/>
        <w:rPr>
          <w:rFonts w:eastAsiaTheme="minorHAnsi"/>
          <w:b/>
          <w:lang w:eastAsia="en-US"/>
        </w:rPr>
      </w:pPr>
    </w:p>
    <w:p w:rsidR="00A93386" w:rsidRDefault="00A93386" w:rsidP="00266391">
      <w:pPr>
        <w:pStyle w:val="naiskr"/>
        <w:spacing w:before="0" w:after="0"/>
        <w:jc w:val="right"/>
        <w:rPr>
          <w:rFonts w:eastAsiaTheme="minorHAnsi"/>
          <w:b/>
          <w:lang w:eastAsia="en-US"/>
        </w:rPr>
      </w:pPr>
    </w:p>
    <w:p w:rsidR="00A93386" w:rsidRDefault="00A93386" w:rsidP="00266391">
      <w:pPr>
        <w:pStyle w:val="naiskr"/>
        <w:spacing w:before="0" w:after="0"/>
        <w:jc w:val="right"/>
        <w:rPr>
          <w:rFonts w:eastAsiaTheme="minorHAnsi"/>
          <w:b/>
          <w:lang w:eastAsia="en-US"/>
        </w:rPr>
      </w:pPr>
    </w:p>
    <w:p w:rsidR="00070E1A" w:rsidRPr="00266391" w:rsidRDefault="00070E1A" w:rsidP="00266391">
      <w:pPr>
        <w:pStyle w:val="naiskr"/>
        <w:spacing w:before="0" w:after="0"/>
        <w:jc w:val="right"/>
        <w:rPr>
          <w:rFonts w:eastAsiaTheme="minorHAnsi"/>
          <w:b/>
          <w:lang w:eastAsia="en-US"/>
        </w:rPr>
      </w:pPr>
      <w:r w:rsidRPr="00266391">
        <w:rPr>
          <w:rFonts w:eastAsiaTheme="minorHAnsi"/>
          <w:b/>
          <w:lang w:eastAsia="en-US"/>
        </w:rPr>
        <w:lastRenderedPageBreak/>
        <w:t>2.</w:t>
      </w:r>
      <w:r w:rsidR="00A65853">
        <w:rPr>
          <w:rFonts w:eastAsiaTheme="minorHAnsi"/>
          <w:b/>
          <w:lang w:eastAsia="en-US"/>
        </w:rPr>
        <w:t> </w:t>
      </w:r>
      <w:r w:rsidRPr="00266391">
        <w:rPr>
          <w:rFonts w:eastAsiaTheme="minorHAnsi"/>
          <w:b/>
          <w:lang w:eastAsia="en-US"/>
        </w:rPr>
        <w:t xml:space="preserve">attēls. </w:t>
      </w:r>
      <w:r w:rsidR="00266391">
        <w:rPr>
          <w:rFonts w:eastAsiaTheme="minorHAnsi"/>
          <w:b/>
          <w:lang w:eastAsia="en-US"/>
        </w:rPr>
        <w:t xml:space="preserve">Plānoto pasākumu ieguldījums </w:t>
      </w:r>
      <w:r w:rsidRPr="00266391">
        <w:rPr>
          <w:rFonts w:eastAsiaTheme="minorHAnsi"/>
          <w:b/>
          <w:lang w:eastAsia="en-US"/>
        </w:rPr>
        <w:t>Latvijas obligātā 1,5 % gala enerģijas ietaupījuma mērķa sasniegšan</w:t>
      </w:r>
      <w:r w:rsidR="007F2C5A">
        <w:rPr>
          <w:rFonts w:eastAsiaTheme="minorHAnsi"/>
          <w:b/>
          <w:lang w:eastAsia="en-US"/>
        </w:rPr>
        <w:t>ā (</w:t>
      </w:r>
      <w:proofErr w:type="spellStart"/>
      <w:r w:rsidR="007F2C5A">
        <w:rPr>
          <w:rFonts w:eastAsiaTheme="minorHAnsi"/>
          <w:b/>
          <w:lang w:eastAsia="en-US"/>
        </w:rPr>
        <w:t>GWh</w:t>
      </w:r>
      <w:proofErr w:type="spellEnd"/>
      <w:r w:rsidR="00266391">
        <w:rPr>
          <w:rFonts w:eastAsiaTheme="minorHAnsi"/>
          <w:b/>
          <w:lang w:eastAsia="en-US"/>
        </w:rPr>
        <w:t xml:space="preserve"> un %)</w:t>
      </w:r>
    </w:p>
    <w:p w:rsidR="00070E1A" w:rsidRDefault="007F2C5A" w:rsidP="00266391">
      <w:pPr>
        <w:pStyle w:val="naiskr"/>
        <w:spacing w:before="0" w:after="0"/>
        <w:ind w:hanging="284"/>
        <w:jc w:val="both"/>
        <w:rPr>
          <w:rFonts w:eastAsiaTheme="minorHAnsi"/>
          <w:sz w:val="28"/>
          <w:szCs w:val="28"/>
          <w:lang w:eastAsia="en-US"/>
        </w:rPr>
      </w:pPr>
      <w:r>
        <w:rPr>
          <w:noProof/>
        </w:rPr>
        <w:drawing>
          <wp:inline distT="0" distB="0" distL="0" distR="0" wp14:anchorId="5C1075E4" wp14:editId="7E878EBB">
            <wp:extent cx="6042992" cy="3705308"/>
            <wp:effectExtent l="0" t="0" r="1524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0E1A" w:rsidRDefault="00070E1A" w:rsidP="000D4B09">
      <w:pPr>
        <w:pStyle w:val="naiskr"/>
        <w:spacing w:before="0" w:after="0"/>
        <w:ind w:firstLine="709"/>
        <w:jc w:val="both"/>
        <w:rPr>
          <w:rFonts w:eastAsiaTheme="minorHAnsi"/>
          <w:sz w:val="28"/>
          <w:szCs w:val="28"/>
          <w:lang w:eastAsia="en-US"/>
        </w:rPr>
      </w:pPr>
    </w:p>
    <w:p w:rsidR="00DE35AA" w:rsidRDefault="00DE35AA" w:rsidP="00265182">
      <w:pPr>
        <w:pStyle w:val="naiskr"/>
        <w:spacing w:before="0" w:after="240"/>
        <w:ind w:firstLine="709"/>
        <w:jc w:val="both"/>
        <w:rPr>
          <w:rFonts w:eastAsiaTheme="minorHAnsi"/>
          <w:sz w:val="28"/>
          <w:szCs w:val="28"/>
          <w:lang w:eastAsia="en-US"/>
        </w:rPr>
      </w:pPr>
      <w:r w:rsidRPr="00DE35AA">
        <w:rPr>
          <w:rFonts w:eastAsiaTheme="minorHAnsi"/>
          <w:sz w:val="28"/>
          <w:szCs w:val="28"/>
          <w:lang w:eastAsia="en-US"/>
        </w:rPr>
        <w:t xml:space="preserve">Kopējā </w:t>
      </w:r>
      <w:r w:rsidR="007804D6">
        <w:rPr>
          <w:rFonts w:eastAsiaTheme="minorHAnsi"/>
          <w:sz w:val="28"/>
          <w:szCs w:val="28"/>
          <w:lang w:eastAsia="en-US"/>
        </w:rPr>
        <w:t xml:space="preserve">indikatīvā </w:t>
      </w:r>
      <w:r w:rsidRPr="00DE35AA">
        <w:rPr>
          <w:rFonts w:eastAsiaTheme="minorHAnsi"/>
          <w:sz w:val="28"/>
          <w:szCs w:val="28"/>
          <w:lang w:eastAsia="en-US"/>
        </w:rPr>
        <w:t>valsts</w:t>
      </w:r>
      <w:r w:rsidR="007804D6">
        <w:rPr>
          <w:rFonts w:eastAsiaTheme="minorHAnsi"/>
          <w:sz w:val="28"/>
          <w:szCs w:val="28"/>
          <w:lang w:eastAsia="en-US"/>
        </w:rPr>
        <w:t xml:space="preserve"> energoefektivitātes </w:t>
      </w:r>
      <w:r w:rsidRPr="00DE35AA">
        <w:rPr>
          <w:rFonts w:eastAsiaTheme="minorHAnsi"/>
          <w:sz w:val="28"/>
          <w:szCs w:val="28"/>
          <w:lang w:eastAsia="en-US"/>
        </w:rPr>
        <w:t>mērķa sasniegšanas  pasākumu un to finansēšanas detalizēts plānojums nav šīs koncepcijas priekšm</w:t>
      </w:r>
      <w:r w:rsidR="00BA0325">
        <w:rPr>
          <w:rFonts w:eastAsiaTheme="minorHAnsi"/>
          <w:sz w:val="28"/>
          <w:szCs w:val="28"/>
          <w:lang w:eastAsia="en-US"/>
        </w:rPr>
        <w:t>ets.</w:t>
      </w:r>
      <w:r w:rsidRPr="00DE35AA">
        <w:rPr>
          <w:rFonts w:eastAsiaTheme="minorHAnsi"/>
          <w:sz w:val="28"/>
          <w:szCs w:val="28"/>
          <w:lang w:eastAsia="en-US"/>
        </w:rPr>
        <w:t xml:space="preserve"> </w:t>
      </w:r>
      <w:r w:rsidR="00BA0325">
        <w:rPr>
          <w:rFonts w:eastAsiaTheme="minorHAnsi"/>
          <w:sz w:val="28"/>
          <w:szCs w:val="28"/>
          <w:lang w:eastAsia="en-US"/>
        </w:rPr>
        <w:t>T</w:t>
      </w:r>
      <w:r w:rsidRPr="00DE35AA">
        <w:rPr>
          <w:rFonts w:eastAsiaTheme="minorHAnsi"/>
          <w:sz w:val="28"/>
          <w:szCs w:val="28"/>
          <w:lang w:eastAsia="en-US"/>
        </w:rPr>
        <w:t xml:space="preserve">as tiks noteikts valsts energoefektivitātes rīcības plānā, kurš saskaņā ar </w:t>
      </w:r>
      <w:r w:rsidR="00BA0325">
        <w:rPr>
          <w:rFonts w:eastAsiaTheme="minorHAnsi"/>
          <w:sz w:val="28"/>
          <w:szCs w:val="28"/>
          <w:lang w:eastAsia="en-US"/>
        </w:rPr>
        <w:t>D</w:t>
      </w:r>
      <w:r w:rsidRPr="00DE35AA">
        <w:rPr>
          <w:rFonts w:eastAsiaTheme="minorHAnsi"/>
          <w:sz w:val="28"/>
          <w:szCs w:val="28"/>
          <w:lang w:eastAsia="en-US"/>
        </w:rPr>
        <w:t>irektīvas</w:t>
      </w:r>
      <w:r w:rsidR="00BA0325">
        <w:rPr>
          <w:rFonts w:eastAsiaTheme="minorHAnsi"/>
          <w:sz w:val="28"/>
          <w:szCs w:val="28"/>
          <w:lang w:eastAsia="en-US"/>
        </w:rPr>
        <w:t xml:space="preserve"> 2012/27/ES</w:t>
      </w:r>
      <w:r w:rsidRPr="00DE35AA">
        <w:rPr>
          <w:rFonts w:eastAsiaTheme="minorHAnsi"/>
          <w:sz w:val="28"/>
          <w:szCs w:val="28"/>
          <w:lang w:eastAsia="en-US"/>
        </w:rPr>
        <w:t xml:space="preserve"> prasībām jāizstrādā un jāiesniedz </w:t>
      </w:r>
      <w:r w:rsidR="00F22D4D">
        <w:rPr>
          <w:rFonts w:eastAsiaTheme="minorHAnsi"/>
          <w:sz w:val="28"/>
          <w:szCs w:val="28"/>
          <w:lang w:eastAsia="en-US"/>
        </w:rPr>
        <w:t>EK</w:t>
      </w:r>
      <w:r w:rsidRPr="00DE35AA">
        <w:rPr>
          <w:rFonts w:eastAsiaTheme="minorHAnsi"/>
          <w:sz w:val="28"/>
          <w:szCs w:val="28"/>
          <w:lang w:eastAsia="en-US"/>
        </w:rPr>
        <w:t xml:space="preserve"> līdz 2014.</w:t>
      </w:r>
      <w:r w:rsidR="00BC6D46">
        <w:rPr>
          <w:rFonts w:eastAsiaTheme="minorHAnsi"/>
          <w:sz w:val="28"/>
          <w:szCs w:val="28"/>
          <w:lang w:eastAsia="en-US"/>
        </w:rPr>
        <w:t> </w:t>
      </w:r>
      <w:r w:rsidRPr="00DE35AA">
        <w:rPr>
          <w:rFonts w:eastAsiaTheme="minorHAnsi"/>
          <w:sz w:val="28"/>
          <w:szCs w:val="28"/>
          <w:lang w:eastAsia="en-US"/>
        </w:rPr>
        <w:t>gada 30.</w:t>
      </w:r>
      <w:r w:rsidR="00BC6D46">
        <w:rPr>
          <w:rFonts w:eastAsiaTheme="minorHAnsi"/>
          <w:sz w:val="28"/>
          <w:szCs w:val="28"/>
          <w:lang w:eastAsia="en-US"/>
        </w:rPr>
        <w:t> </w:t>
      </w:r>
      <w:r w:rsidRPr="00DE35AA">
        <w:rPr>
          <w:rFonts w:eastAsiaTheme="minorHAnsi"/>
          <w:sz w:val="28"/>
          <w:szCs w:val="28"/>
          <w:lang w:eastAsia="en-US"/>
        </w:rPr>
        <w:t>aprīlim.</w:t>
      </w:r>
    </w:p>
    <w:p w:rsidR="000B1F47" w:rsidRDefault="00A20424" w:rsidP="002E31DA">
      <w:pPr>
        <w:pStyle w:val="Heading1"/>
        <w:numPr>
          <w:ilvl w:val="0"/>
          <w:numId w:val="4"/>
        </w:numPr>
        <w:spacing w:before="0" w:after="240" w:line="240" w:lineRule="auto"/>
        <w:jc w:val="center"/>
        <w:rPr>
          <w:rFonts w:ascii="Times New Roman" w:hAnsi="Times New Roman" w:cs="Times New Roman"/>
          <w:color w:val="auto"/>
        </w:rPr>
      </w:pPr>
      <w:bookmarkStart w:id="5" w:name="_Toc372269906"/>
      <w:r w:rsidRPr="00F333E9">
        <w:rPr>
          <w:rFonts w:ascii="Times New Roman" w:hAnsi="Times New Roman" w:cs="Times New Roman"/>
          <w:color w:val="auto"/>
        </w:rPr>
        <w:t>Problēmu risinājumu varianti</w:t>
      </w:r>
      <w:bookmarkEnd w:id="5"/>
    </w:p>
    <w:p w:rsidR="00B02362" w:rsidRDefault="005420F3" w:rsidP="00113A9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Turpmāk tiek izklāstīti </w:t>
      </w:r>
      <w:r w:rsidRPr="005420F3">
        <w:rPr>
          <w:rFonts w:ascii="Times New Roman" w:hAnsi="Times New Roman" w:cs="Times New Roman"/>
          <w:sz w:val="28"/>
        </w:rPr>
        <w:t>Direktīva</w:t>
      </w:r>
      <w:r>
        <w:rPr>
          <w:rFonts w:ascii="Times New Roman" w:hAnsi="Times New Roman" w:cs="Times New Roman"/>
          <w:sz w:val="28"/>
        </w:rPr>
        <w:t>s</w:t>
      </w:r>
      <w:r w:rsidRPr="005420F3">
        <w:rPr>
          <w:rFonts w:ascii="Times New Roman" w:hAnsi="Times New Roman" w:cs="Times New Roman"/>
          <w:sz w:val="28"/>
        </w:rPr>
        <w:t xml:space="preserve"> 2012/27/ES</w:t>
      </w:r>
      <w:r>
        <w:rPr>
          <w:rFonts w:ascii="Times New Roman" w:hAnsi="Times New Roman" w:cs="Times New Roman"/>
          <w:sz w:val="28"/>
        </w:rPr>
        <w:t xml:space="preserve"> prasību pārņemšanas varianti attiecībā uz tiem pantiem, kas pieļauj dažādus risinājumus.</w:t>
      </w:r>
      <w:r w:rsidRPr="005420F3">
        <w:rPr>
          <w:rFonts w:ascii="Times New Roman" w:hAnsi="Times New Roman" w:cs="Times New Roman"/>
          <w:sz w:val="28"/>
        </w:rPr>
        <w:t xml:space="preserve"> </w:t>
      </w:r>
      <w:r w:rsidR="00A209DF">
        <w:rPr>
          <w:rFonts w:ascii="Times New Roman" w:hAnsi="Times New Roman" w:cs="Times New Roman"/>
          <w:sz w:val="28"/>
        </w:rPr>
        <w:t>Lai gan minētie panti Latvijas tiesību aktos pilnībā jāievieš līdz 2014.</w:t>
      </w:r>
      <w:r w:rsidR="00D6762E">
        <w:rPr>
          <w:rFonts w:ascii="Times New Roman" w:hAnsi="Times New Roman" w:cs="Times New Roman"/>
          <w:sz w:val="28"/>
        </w:rPr>
        <w:t> </w:t>
      </w:r>
      <w:r w:rsidR="00A209DF">
        <w:rPr>
          <w:rFonts w:ascii="Times New Roman" w:hAnsi="Times New Roman" w:cs="Times New Roman"/>
          <w:sz w:val="28"/>
        </w:rPr>
        <w:t>gada 5.</w:t>
      </w:r>
      <w:r w:rsidR="00D6762E">
        <w:rPr>
          <w:rFonts w:ascii="Times New Roman" w:hAnsi="Times New Roman" w:cs="Times New Roman"/>
          <w:sz w:val="28"/>
        </w:rPr>
        <w:t> </w:t>
      </w:r>
      <w:r w:rsidR="00A209DF">
        <w:rPr>
          <w:rFonts w:ascii="Times New Roman" w:hAnsi="Times New Roman" w:cs="Times New Roman"/>
          <w:sz w:val="28"/>
        </w:rPr>
        <w:t xml:space="preserve">jūnijam, par valsts izvēlēto risinājumu ir jāziņo jau pirms šī termiņa. </w:t>
      </w:r>
      <w:r w:rsidR="00B13FD3">
        <w:rPr>
          <w:rFonts w:ascii="Times New Roman" w:hAnsi="Times New Roman" w:cs="Times New Roman"/>
          <w:sz w:val="28"/>
        </w:rPr>
        <w:t xml:space="preserve">Attiecībā uz </w:t>
      </w:r>
      <w:r w:rsidR="00D6762E">
        <w:rPr>
          <w:rFonts w:ascii="Times New Roman" w:hAnsi="Times New Roman" w:cs="Times New Roman"/>
          <w:sz w:val="28"/>
        </w:rPr>
        <w:t xml:space="preserve">Direktīvas 2012/27/ES </w:t>
      </w:r>
      <w:r w:rsidR="00B13FD3">
        <w:rPr>
          <w:rFonts w:ascii="Times New Roman" w:hAnsi="Times New Roman" w:cs="Times New Roman"/>
          <w:sz w:val="28"/>
        </w:rPr>
        <w:t>4.</w:t>
      </w:r>
      <w:r w:rsidR="00D6762E">
        <w:rPr>
          <w:rFonts w:ascii="Times New Roman" w:hAnsi="Times New Roman" w:cs="Times New Roman"/>
          <w:sz w:val="28"/>
        </w:rPr>
        <w:t> </w:t>
      </w:r>
      <w:r w:rsidR="00B13FD3">
        <w:rPr>
          <w:rFonts w:ascii="Times New Roman" w:hAnsi="Times New Roman" w:cs="Times New Roman"/>
          <w:sz w:val="28"/>
        </w:rPr>
        <w:t>panta pārņemšanu nav paredzēti varianti</w:t>
      </w:r>
      <w:r w:rsidR="00E200B1">
        <w:rPr>
          <w:rFonts w:ascii="Times New Roman" w:hAnsi="Times New Roman" w:cs="Times New Roman"/>
          <w:sz w:val="28"/>
        </w:rPr>
        <w:t>, t</w:t>
      </w:r>
      <w:r w:rsidR="00B13FD3">
        <w:rPr>
          <w:rFonts w:ascii="Times New Roman" w:hAnsi="Times New Roman" w:cs="Times New Roman"/>
          <w:sz w:val="28"/>
        </w:rPr>
        <w:t xml:space="preserve">omēr tas apskatīts tāpēc, ka attiecas uz ilgtermiņa </w:t>
      </w:r>
      <w:r w:rsidR="00317297">
        <w:rPr>
          <w:rFonts w:ascii="Times New Roman" w:hAnsi="Times New Roman" w:cs="Times New Roman"/>
          <w:sz w:val="28"/>
        </w:rPr>
        <w:t>ie</w:t>
      </w:r>
      <w:r w:rsidR="00405D50">
        <w:rPr>
          <w:rFonts w:ascii="Times New Roman" w:hAnsi="Times New Roman" w:cs="Times New Roman"/>
          <w:sz w:val="28"/>
        </w:rPr>
        <w:t>guldījumu stratēģiju ēku energo</w:t>
      </w:r>
      <w:r w:rsidR="00317297">
        <w:rPr>
          <w:rFonts w:ascii="Times New Roman" w:hAnsi="Times New Roman" w:cs="Times New Roman"/>
          <w:sz w:val="28"/>
        </w:rPr>
        <w:t>efektivitāt</w:t>
      </w:r>
      <w:r w:rsidR="00390B6E">
        <w:rPr>
          <w:rFonts w:ascii="Times New Roman" w:hAnsi="Times New Roman" w:cs="Times New Roman"/>
          <w:sz w:val="28"/>
        </w:rPr>
        <w:t>ē</w:t>
      </w:r>
      <w:r w:rsidR="00317297">
        <w:rPr>
          <w:rFonts w:ascii="Times New Roman" w:hAnsi="Times New Roman" w:cs="Times New Roman"/>
          <w:sz w:val="28"/>
        </w:rPr>
        <w:t xml:space="preserve"> un tādējādi ir ļoti svarīgs variantu izvēlē un tālākā ieviešanā.</w:t>
      </w:r>
    </w:p>
    <w:p w:rsidR="00DD1B52" w:rsidRPr="00867282" w:rsidRDefault="00A209DF" w:rsidP="00113A9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Par valsts indikatīvo </w:t>
      </w:r>
      <w:r w:rsidRPr="00A209DF">
        <w:rPr>
          <w:rFonts w:ascii="Times New Roman" w:hAnsi="Times New Roman" w:cs="Times New Roman"/>
          <w:sz w:val="28"/>
        </w:rPr>
        <w:t>energoefektivitātes kopēj</w:t>
      </w:r>
      <w:r>
        <w:rPr>
          <w:rFonts w:ascii="Times New Roman" w:hAnsi="Times New Roman" w:cs="Times New Roman"/>
          <w:sz w:val="28"/>
        </w:rPr>
        <w:t>o</w:t>
      </w:r>
      <w:r w:rsidRPr="00A209DF">
        <w:rPr>
          <w:rFonts w:ascii="Times New Roman" w:hAnsi="Times New Roman" w:cs="Times New Roman"/>
          <w:sz w:val="28"/>
        </w:rPr>
        <w:t xml:space="preserve"> mērķi 2020.</w:t>
      </w:r>
      <w:r w:rsidR="00D6762E">
        <w:rPr>
          <w:rFonts w:ascii="Times New Roman" w:hAnsi="Times New Roman" w:cs="Times New Roman"/>
          <w:sz w:val="28"/>
        </w:rPr>
        <w:t> </w:t>
      </w:r>
      <w:r w:rsidRPr="00A209DF">
        <w:rPr>
          <w:rFonts w:ascii="Times New Roman" w:hAnsi="Times New Roman" w:cs="Times New Roman"/>
          <w:sz w:val="28"/>
        </w:rPr>
        <w:t xml:space="preserve">gadam </w:t>
      </w:r>
      <w:r>
        <w:rPr>
          <w:rFonts w:ascii="Times New Roman" w:hAnsi="Times New Roman" w:cs="Times New Roman"/>
          <w:sz w:val="28"/>
        </w:rPr>
        <w:t xml:space="preserve">Latvija jau ziņojusi </w:t>
      </w:r>
      <w:r w:rsidRPr="00A209DF">
        <w:rPr>
          <w:rFonts w:ascii="Times New Roman" w:hAnsi="Times New Roman" w:cs="Times New Roman"/>
          <w:sz w:val="28"/>
        </w:rPr>
        <w:t>„Latvijas nacionālā reformu programma „ES 2020” stratēģijas īstenošanai”</w:t>
      </w:r>
      <w:r>
        <w:rPr>
          <w:rFonts w:ascii="Times New Roman" w:hAnsi="Times New Roman" w:cs="Times New Roman"/>
          <w:sz w:val="28"/>
        </w:rPr>
        <w:t xml:space="preserve"> progresa ziņojumā</w:t>
      </w:r>
      <w:r w:rsidR="007F5F7A">
        <w:rPr>
          <w:rFonts w:ascii="Times New Roman" w:hAnsi="Times New Roman" w:cs="Times New Roman"/>
          <w:sz w:val="28"/>
        </w:rPr>
        <w:t xml:space="preserve"> (iesniegts </w:t>
      </w:r>
      <w:r w:rsidR="00F22D4D">
        <w:rPr>
          <w:rFonts w:ascii="Times New Roman" w:hAnsi="Times New Roman" w:cs="Times New Roman"/>
          <w:sz w:val="28"/>
        </w:rPr>
        <w:t>EK</w:t>
      </w:r>
      <w:r w:rsidR="007F5F7A">
        <w:rPr>
          <w:rFonts w:ascii="Times New Roman" w:hAnsi="Times New Roman" w:cs="Times New Roman"/>
          <w:sz w:val="28"/>
        </w:rPr>
        <w:t xml:space="preserve"> 2013.</w:t>
      </w:r>
      <w:r w:rsidR="00E200B1">
        <w:rPr>
          <w:rFonts w:ascii="Times New Roman" w:hAnsi="Times New Roman" w:cs="Times New Roman"/>
          <w:sz w:val="28"/>
        </w:rPr>
        <w:t> </w:t>
      </w:r>
      <w:r w:rsidR="007F5F7A">
        <w:rPr>
          <w:rFonts w:ascii="Times New Roman" w:hAnsi="Times New Roman" w:cs="Times New Roman"/>
          <w:sz w:val="28"/>
        </w:rPr>
        <w:t>gada aprīlī)</w:t>
      </w:r>
      <w:r>
        <w:rPr>
          <w:rFonts w:ascii="Times New Roman" w:hAnsi="Times New Roman" w:cs="Times New Roman"/>
          <w:sz w:val="28"/>
        </w:rPr>
        <w:t xml:space="preserve">, kā tas noteikts </w:t>
      </w:r>
      <w:r w:rsidRPr="00A209DF">
        <w:rPr>
          <w:rFonts w:ascii="Times New Roman" w:hAnsi="Times New Roman" w:cs="Times New Roman"/>
          <w:sz w:val="28"/>
        </w:rPr>
        <w:t xml:space="preserve">Direktīvas 2012/27/ES </w:t>
      </w:r>
      <w:r w:rsidR="00ED712C">
        <w:rPr>
          <w:rFonts w:ascii="Times New Roman" w:hAnsi="Times New Roman" w:cs="Times New Roman"/>
          <w:sz w:val="28"/>
        </w:rPr>
        <w:t>24.</w:t>
      </w:r>
      <w:r w:rsidR="00D6762E">
        <w:rPr>
          <w:rFonts w:ascii="Times New Roman" w:hAnsi="Times New Roman" w:cs="Times New Roman"/>
          <w:sz w:val="28"/>
        </w:rPr>
        <w:t> </w:t>
      </w:r>
      <w:r w:rsidR="007F5F7A">
        <w:rPr>
          <w:rFonts w:ascii="Times New Roman" w:hAnsi="Times New Roman" w:cs="Times New Roman"/>
          <w:sz w:val="28"/>
        </w:rPr>
        <w:t xml:space="preserve">panta </w:t>
      </w:r>
      <w:r w:rsidR="00ED712C">
        <w:rPr>
          <w:rFonts w:ascii="Times New Roman" w:hAnsi="Times New Roman" w:cs="Times New Roman"/>
          <w:sz w:val="28"/>
        </w:rPr>
        <w:t>1.</w:t>
      </w:r>
      <w:r w:rsidR="00D6762E">
        <w:rPr>
          <w:rFonts w:ascii="Times New Roman" w:hAnsi="Times New Roman" w:cs="Times New Roman"/>
          <w:sz w:val="28"/>
        </w:rPr>
        <w:t> </w:t>
      </w:r>
      <w:r w:rsidR="00ED712C">
        <w:rPr>
          <w:rFonts w:ascii="Times New Roman" w:hAnsi="Times New Roman" w:cs="Times New Roman"/>
          <w:sz w:val="28"/>
        </w:rPr>
        <w:t>p</w:t>
      </w:r>
      <w:r w:rsidR="007F5F7A">
        <w:rPr>
          <w:rFonts w:ascii="Times New Roman" w:hAnsi="Times New Roman" w:cs="Times New Roman"/>
          <w:sz w:val="28"/>
        </w:rPr>
        <w:t>unktā</w:t>
      </w:r>
      <w:r w:rsidR="00ED712C">
        <w:rPr>
          <w:rFonts w:ascii="Times New Roman" w:hAnsi="Times New Roman" w:cs="Times New Roman"/>
          <w:sz w:val="28"/>
        </w:rPr>
        <w:t>.</w:t>
      </w:r>
    </w:p>
    <w:p w:rsidR="00DD1B52" w:rsidRDefault="005922CF" w:rsidP="00F42109">
      <w:pPr>
        <w:spacing w:after="240" w:line="240" w:lineRule="auto"/>
        <w:ind w:firstLine="709"/>
        <w:jc w:val="both"/>
        <w:rPr>
          <w:rFonts w:ascii="Times New Roman" w:hAnsi="Times New Roman" w:cs="Times New Roman"/>
          <w:sz w:val="28"/>
        </w:rPr>
      </w:pPr>
      <w:r>
        <w:rPr>
          <w:rFonts w:ascii="Times New Roman" w:hAnsi="Times New Roman" w:cs="Times New Roman"/>
          <w:sz w:val="28"/>
        </w:rPr>
        <w:t>Koncepcijai</w:t>
      </w:r>
      <w:r w:rsidR="00D15304">
        <w:rPr>
          <w:rFonts w:ascii="Times New Roman" w:hAnsi="Times New Roman" w:cs="Times New Roman"/>
          <w:sz w:val="28"/>
        </w:rPr>
        <w:t xml:space="preserve"> pievienot</w:t>
      </w:r>
      <w:r w:rsidR="006F28EB">
        <w:rPr>
          <w:rFonts w:ascii="Times New Roman" w:hAnsi="Times New Roman" w:cs="Times New Roman"/>
          <w:sz w:val="28"/>
        </w:rPr>
        <w:t>s</w:t>
      </w:r>
      <w:r w:rsidR="00562E0B">
        <w:rPr>
          <w:rFonts w:ascii="Times New Roman" w:hAnsi="Times New Roman" w:cs="Times New Roman"/>
          <w:sz w:val="28"/>
        </w:rPr>
        <w:t xml:space="preserve"> P</w:t>
      </w:r>
      <w:r w:rsidR="00D15304">
        <w:rPr>
          <w:rFonts w:ascii="Times New Roman" w:hAnsi="Times New Roman" w:cs="Times New Roman"/>
          <w:sz w:val="28"/>
        </w:rPr>
        <w:t>ielikum</w:t>
      </w:r>
      <w:r w:rsidR="006F28EB">
        <w:rPr>
          <w:rFonts w:ascii="Times New Roman" w:hAnsi="Times New Roman" w:cs="Times New Roman"/>
          <w:sz w:val="28"/>
        </w:rPr>
        <w:t>s</w:t>
      </w:r>
      <w:r w:rsidR="00D15304">
        <w:rPr>
          <w:rFonts w:ascii="Times New Roman" w:hAnsi="Times New Roman" w:cs="Times New Roman"/>
          <w:sz w:val="28"/>
        </w:rPr>
        <w:t xml:space="preserve"> par citu valstu pieredzi valsts energoefektivitātes shēmu un valsts energoefektivitātes fondu ieviešanā. </w:t>
      </w:r>
    </w:p>
    <w:p w:rsidR="00FE646D" w:rsidRPr="00126A69" w:rsidRDefault="00FE646D" w:rsidP="00F42109">
      <w:pPr>
        <w:pStyle w:val="Heading2"/>
        <w:numPr>
          <w:ilvl w:val="1"/>
          <w:numId w:val="4"/>
        </w:numPr>
        <w:spacing w:before="0" w:after="240" w:line="240" w:lineRule="auto"/>
        <w:ind w:left="0" w:firstLine="0"/>
        <w:jc w:val="center"/>
        <w:rPr>
          <w:rFonts w:ascii="Times New Roman" w:hAnsi="Times New Roman" w:cs="Times New Roman"/>
          <w:color w:val="auto"/>
          <w:sz w:val="28"/>
          <w:szCs w:val="28"/>
        </w:rPr>
      </w:pPr>
      <w:bookmarkStart w:id="6" w:name="_Toc372269907"/>
      <w:r w:rsidRPr="00126A69">
        <w:rPr>
          <w:rFonts w:ascii="Times New Roman" w:hAnsi="Times New Roman" w:cs="Times New Roman"/>
          <w:color w:val="auto"/>
          <w:sz w:val="28"/>
          <w:szCs w:val="28"/>
        </w:rPr>
        <w:lastRenderedPageBreak/>
        <w:t>Ēku renovācija (4.</w:t>
      </w:r>
      <w:r w:rsidR="00F42109" w:rsidRPr="00126A69">
        <w:rPr>
          <w:sz w:val="28"/>
          <w:szCs w:val="28"/>
        </w:rPr>
        <w:t> </w:t>
      </w:r>
      <w:r w:rsidRPr="00126A69">
        <w:rPr>
          <w:rFonts w:ascii="Times New Roman" w:hAnsi="Times New Roman" w:cs="Times New Roman"/>
          <w:color w:val="auto"/>
          <w:sz w:val="28"/>
          <w:szCs w:val="28"/>
        </w:rPr>
        <w:t>pants)</w:t>
      </w:r>
      <w:bookmarkEnd w:id="6"/>
    </w:p>
    <w:p w:rsidR="00FE646D" w:rsidRDefault="00FE646D" w:rsidP="00B13FD3">
      <w:pPr>
        <w:spacing w:after="0" w:line="240" w:lineRule="auto"/>
        <w:ind w:firstLine="720"/>
        <w:jc w:val="both"/>
        <w:rPr>
          <w:rFonts w:ascii="Times New Roman" w:hAnsi="Times New Roman" w:cs="Times New Roman"/>
          <w:color w:val="000000"/>
          <w:sz w:val="28"/>
          <w:szCs w:val="28"/>
        </w:rPr>
      </w:pPr>
      <w:r w:rsidRPr="00C6501B">
        <w:rPr>
          <w:rFonts w:ascii="Times New Roman" w:hAnsi="Times New Roman" w:cs="Times New Roman"/>
          <w:color w:val="000000"/>
          <w:sz w:val="28"/>
          <w:szCs w:val="28"/>
        </w:rPr>
        <w:t xml:space="preserve">Dalībvalstis izstrādā ilgtermiņa stratēģiju, lai mobilizētu ieguldījumus gan valsts, gan privāto dzīvojamo ēku un </w:t>
      </w:r>
      <w:proofErr w:type="spellStart"/>
      <w:r w:rsidRPr="00C6501B">
        <w:rPr>
          <w:rFonts w:ascii="Times New Roman" w:hAnsi="Times New Roman" w:cs="Times New Roman"/>
          <w:color w:val="000000"/>
          <w:sz w:val="28"/>
          <w:szCs w:val="28"/>
        </w:rPr>
        <w:t>komercplatību</w:t>
      </w:r>
      <w:proofErr w:type="spellEnd"/>
      <w:r w:rsidRPr="00C6501B">
        <w:rPr>
          <w:rFonts w:ascii="Times New Roman" w:hAnsi="Times New Roman" w:cs="Times New Roman"/>
          <w:color w:val="000000"/>
          <w:sz w:val="28"/>
          <w:szCs w:val="28"/>
        </w:rPr>
        <w:t xml:space="preserve"> fonda renovācijā.</w:t>
      </w:r>
      <w:r w:rsidR="00B13FD3">
        <w:rPr>
          <w:rFonts w:ascii="Times New Roman" w:hAnsi="Times New Roman" w:cs="Times New Roman"/>
          <w:color w:val="000000"/>
          <w:sz w:val="28"/>
          <w:szCs w:val="28"/>
        </w:rPr>
        <w:t xml:space="preserve"> </w:t>
      </w:r>
      <w:r w:rsidRPr="00C6501B">
        <w:rPr>
          <w:rFonts w:ascii="Times New Roman" w:hAnsi="Times New Roman" w:cs="Times New Roman"/>
          <w:color w:val="000000"/>
          <w:sz w:val="28"/>
          <w:szCs w:val="28"/>
        </w:rPr>
        <w:t>Stratēģijas pirmo versiju dalībvalstis publicē līdz 2014. gada 30. aprīlim. Pēc tam ik pēc trim gadiem dalībvalstis stratēģiju atjaunina un katru versiju iesniedz Komisijai kā daļu no valstu energoefektivitātes rīcības plāniem.</w:t>
      </w:r>
    </w:p>
    <w:p w:rsidR="00DD1B52" w:rsidRDefault="00CA2F48" w:rsidP="00657C1F">
      <w:pPr>
        <w:spacing w:after="240" w:line="240" w:lineRule="auto"/>
        <w:ind w:firstLine="720"/>
        <w:jc w:val="both"/>
        <w:rPr>
          <w:rFonts w:ascii="Times New Roman" w:hAnsi="Times New Roman" w:cs="Times New Roman"/>
          <w:b/>
          <w:bCs/>
          <w:sz w:val="28"/>
          <w:szCs w:val="28"/>
        </w:rPr>
      </w:pPr>
      <w:r>
        <w:rPr>
          <w:rFonts w:ascii="Times New Roman" w:hAnsi="Times New Roman" w:cs="Times New Roman"/>
          <w:color w:val="000000"/>
          <w:sz w:val="28"/>
          <w:szCs w:val="28"/>
        </w:rPr>
        <w:t>Minēto i</w:t>
      </w:r>
      <w:r w:rsidR="00FE646D">
        <w:rPr>
          <w:rFonts w:ascii="Times New Roman" w:hAnsi="Times New Roman" w:cs="Times New Roman"/>
          <w:color w:val="000000"/>
          <w:sz w:val="28"/>
          <w:szCs w:val="28"/>
        </w:rPr>
        <w:t xml:space="preserve">lgtermiņa stratēģiju </w:t>
      </w:r>
      <w:r w:rsidR="00B13FD3">
        <w:rPr>
          <w:rFonts w:ascii="Times New Roman" w:hAnsi="Times New Roman" w:cs="Times New Roman"/>
          <w:color w:val="000000"/>
          <w:sz w:val="28"/>
          <w:szCs w:val="28"/>
        </w:rPr>
        <w:t>paredzēts izstrādāt</w:t>
      </w:r>
      <w:r w:rsidR="001A3223">
        <w:rPr>
          <w:rFonts w:ascii="Times New Roman" w:hAnsi="Times New Roman" w:cs="Times New Roman"/>
          <w:color w:val="000000"/>
          <w:sz w:val="28"/>
          <w:szCs w:val="28"/>
        </w:rPr>
        <w:t xml:space="preserve"> un iesniegt </w:t>
      </w:r>
      <w:r w:rsidR="00E200B1">
        <w:rPr>
          <w:rFonts w:ascii="Times New Roman" w:hAnsi="Times New Roman" w:cs="Times New Roman"/>
          <w:color w:val="000000"/>
          <w:sz w:val="28"/>
          <w:szCs w:val="28"/>
        </w:rPr>
        <w:t>reizē</w:t>
      </w:r>
      <w:r w:rsidR="001A3223">
        <w:rPr>
          <w:rFonts w:ascii="Times New Roman" w:hAnsi="Times New Roman" w:cs="Times New Roman"/>
          <w:color w:val="000000"/>
          <w:sz w:val="28"/>
          <w:szCs w:val="28"/>
        </w:rPr>
        <w:t xml:space="preserve"> ar Latvijas </w:t>
      </w:r>
      <w:r>
        <w:rPr>
          <w:rFonts w:ascii="Times New Roman" w:hAnsi="Times New Roman" w:cs="Times New Roman"/>
          <w:color w:val="000000"/>
          <w:sz w:val="28"/>
          <w:szCs w:val="28"/>
        </w:rPr>
        <w:t>energoefektivitātes rīcības plānu</w:t>
      </w:r>
      <w:r w:rsidR="004062D8">
        <w:rPr>
          <w:rStyle w:val="FootnoteReference"/>
          <w:rFonts w:ascii="Times New Roman" w:hAnsi="Times New Roman" w:cs="Times New Roman"/>
          <w:color w:val="000000"/>
          <w:sz w:val="28"/>
          <w:szCs w:val="28"/>
        </w:rPr>
        <w:footnoteReference w:id="8"/>
      </w:r>
      <w:r w:rsidR="00113A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Stratēģij</w:t>
      </w:r>
      <w:r w:rsidR="00D10401">
        <w:rPr>
          <w:rFonts w:ascii="Times New Roman" w:hAnsi="Times New Roman" w:cs="Times New Roman"/>
          <w:color w:val="000000"/>
          <w:sz w:val="28"/>
          <w:szCs w:val="28"/>
        </w:rPr>
        <w:t>ā</w:t>
      </w:r>
      <w:r>
        <w:rPr>
          <w:rFonts w:ascii="Times New Roman" w:hAnsi="Times New Roman" w:cs="Times New Roman"/>
          <w:color w:val="000000"/>
          <w:sz w:val="28"/>
          <w:szCs w:val="28"/>
        </w:rPr>
        <w:t xml:space="preserve"> iekļauj</w:t>
      </w:r>
      <w:r w:rsidR="00113A95">
        <w:rPr>
          <w:rFonts w:ascii="Times New Roman" w:hAnsi="Times New Roman" w:cs="Times New Roman"/>
          <w:color w:val="000000"/>
          <w:sz w:val="28"/>
          <w:szCs w:val="28"/>
        </w:rPr>
        <w:t>am</w:t>
      </w:r>
      <w:r w:rsidR="00657C1F">
        <w:rPr>
          <w:rFonts w:ascii="Times New Roman" w:hAnsi="Times New Roman" w:cs="Times New Roman"/>
          <w:color w:val="000000"/>
          <w:sz w:val="28"/>
          <w:szCs w:val="28"/>
        </w:rPr>
        <w:t>a informācija par valsts ēku fondu, rentablas renovācijas pieejas noteikšanu un pasākumiem, kas to veicinātu, ilgtermiņa perspektīvām attiecībā uz ieguldījumiem un aplēses par paredzēto enerģijas ietaupījumu.</w:t>
      </w:r>
    </w:p>
    <w:p w:rsidR="000359B9" w:rsidRPr="00126A69" w:rsidRDefault="00A20424" w:rsidP="00657C1F">
      <w:pPr>
        <w:pStyle w:val="Heading2"/>
        <w:numPr>
          <w:ilvl w:val="1"/>
          <w:numId w:val="3"/>
        </w:numPr>
        <w:spacing w:before="0" w:after="240" w:line="240" w:lineRule="auto"/>
        <w:ind w:left="0" w:firstLine="0"/>
        <w:jc w:val="center"/>
        <w:rPr>
          <w:rFonts w:ascii="Times New Roman" w:hAnsi="Times New Roman" w:cs="Times New Roman"/>
          <w:color w:val="auto"/>
          <w:sz w:val="28"/>
        </w:rPr>
      </w:pPr>
      <w:bookmarkStart w:id="7" w:name="_Toc372269908"/>
      <w:r w:rsidRPr="00126A69">
        <w:rPr>
          <w:rFonts w:ascii="Times New Roman" w:hAnsi="Times New Roman" w:cs="Times New Roman"/>
          <w:color w:val="auto"/>
          <w:sz w:val="28"/>
        </w:rPr>
        <w:t>Publisko struktūru ēkas (5.</w:t>
      </w:r>
      <w:r w:rsidR="00254870" w:rsidRPr="00126A69">
        <w:rPr>
          <w:rFonts w:ascii="Times New Roman" w:hAnsi="Times New Roman" w:cs="Times New Roman"/>
          <w:color w:val="auto"/>
          <w:sz w:val="28"/>
        </w:rPr>
        <w:t> </w:t>
      </w:r>
      <w:r w:rsidR="00B13FD3" w:rsidRPr="00126A69">
        <w:rPr>
          <w:rFonts w:ascii="Times New Roman" w:hAnsi="Times New Roman" w:cs="Times New Roman"/>
          <w:color w:val="auto"/>
          <w:sz w:val="28"/>
        </w:rPr>
        <w:t>p</w:t>
      </w:r>
      <w:r w:rsidRPr="00126A69">
        <w:rPr>
          <w:rFonts w:ascii="Times New Roman" w:hAnsi="Times New Roman" w:cs="Times New Roman"/>
          <w:color w:val="auto"/>
          <w:sz w:val="28"/>
        </w:rPr>
        <w:t>ants</w:t>
      </w:r>
      <w:r w:rsidR="00B13FD3" w:rsidRPr="00126A69">
        <w:rPr>
          <w:rFonts w:ascii="Times New Roman" w:hAnsi="Times New Roman" w:cs="Times New Roman"/>
          <w:color w:val="auto"/>
          <w:sz w:val="28"/>
        </w:rPr>
        <w:t>)</w:t>
      </w:r>
      <w:bookmarkEnd w:id="7"/>
    </w:p>
    <w:p w:rsidR="00A20424" w:rsidRPr="00E73135" w:rsidRDefault="00A20424" w:rsidP="00882FB9">
      <w:pPr>
        <w:pStyle w:val="Heading3"/>
        <w:numPr>
          <w:ilvl w:val="2"/>
          <w:numId w:val="3"/>
        </w:numPr>
        <w:spacing w:before="0" w:after="240" w:line="240" w:lineRule="auto"/>
        <w:ind w:left="0" w:firstLine="0"/>
        <w:jc w:val="center"/>
        <w:rPr>
          <w:rFonts w:ascii="Times New Roman" w:hAnsi="Times New Roman" w:cs="Times New Roman"/>
          <w:sz w:val="28"/>
          <w:szCs w:val="28"/>
        </w:rPr>
      </w:pPr>
      <w:bookmarkStart w:id="8" w:name="_Toc372269909"/>
      <w:r w:rsidRPr="00E73135">
        <w:rPr>
          <w:rFonts w:ascii="Times New Roman" w:hAnsi="Times New Roman" w:cs="Times New Roman"/>
          <w:color w:val="auto"/>
          <w:sz w:val="28"/>
          <w:szCs w:val="28"/>
        </w:rPr>
        <w:t>Direktīv</w:t>
      </w:r>
      <w:r w:rsidR="004E3F6E" w:rsidRPr="00E73135">
        <w:rPr>
          <w:rFonts w:ascii="Times New Roman" w:hAnsi="Times New Roman" w:cs="Times New Roman"/>
          <w:color w:val="auto"/>
          <w:sz w:val="28"/>
          <w:szCs w:val="28"/>
        </w:rPr>
        <w:t>as prasības</w:t>
      </w:r>
      <w:bookmarkEnd w:id="8"/>
    </w:p>
    <w:p w:rsidR="003C237B" w:rsidRDefault="005E22B7" w:rsidP="00BC6D46">
      <w:pPr>
        <w:pStyle w:val="naiskr"/>
        <w:spacing w:before="0" w:after="240"/>
        <w:ind w:firstLine="720"/>
        <w:jc w:val="both"/>
        <w:rPr>
          <w:sz w:val="28"/>
          <w:szCs w:val="28"/>
        </w:rPr>
      </w:pPr>
      <w:r w:rsidRPr="005E22B7">
        <w:rPr>
          <w:sz w:val="28"/>
          <w:szCs w:val="28"/>
        </w:rPr>
        <w:t xml:space="preserve">Direktīvas 2012/27/ES </w:t>
      </w:r>
      <w:r>
        <w:rPr>
          <w:sz w:val="28"/>
          <w:szCs w:val="28"/>
        </w:rPr>
        <w:t>5.</w:t>
      </w:r>
      <w:r w:rsidR="00657C1F">
        <w:rPr>
          <w:sz w:val="28"/>
          <w:szCs w:val="28"/>
        </w:rPr>
        <w:t> </w:t>
      </w:r>
      <w:r>
        <w:rPr>
          <w:sz w:val="28"/>
          <w:szCs w:val="28"/>
        </w:rPr>
        <w:t xml:space="preserve">pants nosaka </w:t>
      </w:r>
      <w:r w:rsidR="00197902">
        <w:rPr>
          <w:sz w:val="28"/>
          <w:szCs w:val="28"/>
        </w:rPr>
        <w:t xml:space="preserve">divus </w:t>
      </w:r>
      <w:r w:rsidR="00532675">
        <w:rPr>
          <w:sz w:val="28"/>
          <w:szCs w:val="28"/>
        </w:rPr>
        <w:t xml:space="preserve">svarīgus pienākumus: izpildīt </w:t>
      </w:r>
      <w:r>
        <w:rPr>
          <w:sz w:val="28"/>
          <w:szCs w:val="28"/>
        </w:rPr>
        <w:t xml:space="preserve">obligāto mērķi </w:t>
      </w:r>
      <w:r w:rsidR="0024672F">
        <w:rPr>
          <w:sz w:val="28"/>
          <w:szCs w:val="28"/>
        </w:rPr>
        <w:t xml:space="preserve">centrālās valdības </w:t>
      </w:r>
      <w:r>
        <w:rPr>
          <w:sz w:val="28"/>
          <w:szCs w:val="28"/>
        </w:rPr>
        <w:t xml:space="preserve"> ēku</w:t>
      </w:r>
      <w:r w:rsidR="003C237B">
        <w:rPr>
          <w:sz w:val="28"/>
          <w:szCs w:val="28"/>
        </w:rPr>
        <w:t xml:space="preserve"> 3</w:t>
      </w:r>
      <w:r w:rsidR="00657C1F">
        <w:rPr>
          <w:sz w:val="28"/>
          <w:szCs w:val="28"/>
        </w:rPr>
        <w:t> </w:t>
      </w:r>
      <w:r w:rsidR="003C237B">
        <w:rPr>
          <w:sz w:val="28"/>
          <w:szCs w:val="28"/>
        </w:rPr>
        <w:t xml:space="preserve">% platības ikgadējai </w:t>
      </w:r>
      <w:r>
        <w:rPr>
          <w:sz w:val="28"/>
          <w:szCs w:val="28"/>
        </w:rPr>
        <w:t>renovēšanai</w:t>
      </w:r>
      <w:r w:rsidR="003C237B">
        <w:rPr>
          <w:sz w:val="28"/>
          <w:szCs w:val="28"/>
        </w:rPr>
        <w:t xml:space="preserve"> </w:t>
      </w:r>
      <w:r w:rsidR="00197902">
        <w:rPr>
          <w:sz w:val="28"/>
          <w:szCs w:val="28"/>
        </w:rPr>
        <w:t>un</w:t>
      </w:r>
      <w:r>
        <w:rPr>
          <w:sz w:val="28"/>
          <w:szCs w:val="28"/>
        </w:rPr>
        <w:t xml:space="preserve"> publi</w:t>
      </w:r>
      <w:r w:rsidR="00113A95">
        <w:rPr>
          <w:sz w:val="28"/>
          <w:szCs w:val="28"/>
        </w:rPr>
        <w:t>skot</w:t>
      </w:r>
      <w:r>
        <w:rPr>
          <w:sz w:val="28"/>
          <w:szCs w:val="28"/>
        </w:rPr>
        <w:t xml:space="preserve"> </w:t>
      </w:r>
      <w:r w:rsidR="0024672F">
        <w:rPr>
          <w:sz w:val="28"/>
          <w:szCs w:val="28"/>
        </w:rPr>
        <w:t xml:space="preserve">centrālās valdības </w:t>
      </w:r>
      <w:r>
        <w:rPr>
          <w:sz w:val="28"/>
          <w:szCs w:val="28"/>
        </w:rPr>
        <w:t xml:space="preserve"> ēku sarakstu</w:t>
      </w:r>
      <w:r w:rsidR="00657C1F">
        <w:rPr>
          <w:sz w:val="28"/>
          <w:szCs w:val="28"/>
        </w:rPr>
        <w:t>, kurā iekļaujama šo ēku platība un enerģijas patēriņš</w:t>
      </w:r>
      <w:r w:rsidR="00197902">
        <w:rPr>
          <w:sz w:val="28"/>
          <w:szCs w:val="28"/>
        </w:rPr>
        <w:t>.</w:t>
      </w:r>
      <w:r w:rsidR="003C237B">
        <w:rPr>
          <w:sz w:val="28"/>
          <w:szCs w:val="28"/>
        </w:rPr>
        <w:t xml:space="preserve"> </w:t>
      </w:r>
      <w:r w:rsidR="009B71D2">
        <w:rPr>
          <w:sz w:val="28"/>
          <w:szCs w:val="28"/>
        </w:rPr>
        <w:t>I</w:t>
      </w:r>
      <w:r w:rsidR="003C237B">
        <w:rPr>
          <w:sz w:val="28"/>
          <w:szCs w:val="28"/>
        </w:rPr>
        <w:t xml:space="preserve">kgadējo </w:t>
      </w:r>
      <w:r w:rsidR="009B71D2">
        <w:rPr>
          <w:sz w:val="28"/>
          <w:szCs w:val="28"/>
        </w:rPr>
        <w:t xml:space="preserve">platību </w:t>
      </w:r>
      <w:r w:rsidR="003C237B">
        <w:rPr>
          <w:sz w:val="28"/>
          <w:szCs w:val="28"/>
        </w:rPr>
        <w:t>renovācij</w:t>
      </w:r>
      <w:r w:rsidR="009B71D2">
        <w:rPr>
          <w:sz w:val="28"/>
          <w:szCs w:val="28"/>
        </w:rPr>
        <w:t>as mērķi ir</w:t>
      </w:r>
      <w:r w:rsidR="003C237B">
        <w:rPr>
          <w:sz w:val="28"/>
          <w:szCs w:val="28"/>
        </w:rPr>
        <w:t xml:space="preserve"> atļauts aizstāt ar </w:t>
      </w:r>
      <w:r w:rsidR="009B71D2">
        <w:rPr>
          <w:sz w:val="28"/>
          <w:szCs w:val="28"/>
        </w:rPr>
        <w:t xml:space="preserve">alternatīviem pasākumiem, ja tie </w:t>
      </w:r>
      <w:r w:rsidR="0024672F">
        <w:rPr>
          <w:sz w:val="28"/>
          <w:szCs w:val="28"/>
        </w:rPr>
        <w:t xml:space="preserve">centrālās valdības </w:t>
      </w:r>
      <w:r w:rsidR="009B71D2">
        <w:rPr>
          <w:sz w:val="28"/>
          <w:szCs w:val="28"/>
        </w:rPr>
        <w:t xml:space="preserve"> ēkās nodrošina līdzvērtīgu enerģijas ietaupījumu. </w:t>
      </w:r>
    </w:p>
    <w:p w:rsidR="00197902" w:rsidRDefault="0024672F" w:rsidP="003C237B">
      <w:pPr>
        <w:pStyle w:val="naiskr"/>
        <w:spacing w:before="0" w:after="0"/>
        <w:jc w:val="both"/>
        <w:rPr>
          <w:sz w:val="28"/>
          <w:szCs w:val="28"/>
        </w:rPr>
      </w:pPr>
      <w:r>
        <w:rPr>
          <w:sz w:val="28"/>
          <w:szCs w:val="28"/>
          <w:u w:val="single"/>
        </w:rPr>
        <w:t xml:space="preserve">Centrālās valdības </w:t>
      </w:r>
      <w:r w:rsidR="00197902" w:rsidRPr="00197902">
        <w:rPr>
          <w:sz w:val="28"/>
          <w:szCs w:val="28"/>
          <w:u w:val="single"/>
        </w:rPr>
        <w:t>ēku renovēšanas mērķis</w:t>
      </w:r>
      <w:r w:rsidR="00197902">
        <w:rPr>
          <w:sz w:val="28"/>
          <w:szCs w:val="28"/>
        </w:rPr>
        <w:t xml:space="preserve"> </w:t>
      </w:r>
    </w:p>
    <w:p w:rsidR="00486307" w:rsidRDefault="00753EF6" w:rsidP="004E3F6E">
      <w:pPr>
        <w:pStyle w:val="naiskr"/>
        <w:spacing w:before="0" w:after="0"/>
        <w:ind w:firstLine="720"/>
        <w:jc w:val="both"/>
        <w:rPr>
          <w:sz w:val="28"/>
          <w:szCs w:val="28"/>
        </w:rPr>
      </w:pPr>
      <w:r w:rsidRPr="00A67CE5">
        <w:rPr>
          <w:sz w:val="28"/>
          <w:szCs w:val="28"/>
        </w:rPr>
        <w:t>Katra dalībvalsts nodrošina, lai, sākot ar 2014. gada 1. janvāri, katru gadu tiktu renovēti 3</w:t>
      </w:r>
      <w:r w:rsidR="00882FB9">
        <w:rPr>
          <w:sz w:val="28"/>
          <w:szCs w:val="28"/>
        </w:rPr>
        <w:t> </w:t>
      </w:r>
      <w:r w:rsidRPr="00A67CE5">
        <w:rPr>
          <w:sz w:val="28"/>
          <w:szCs w:val="28"/>
        </w:rPr>
        <w:t>% kopējās platības</w:t>
      </w:r>
      <w:r w:rsidR="009D5DB0">
        <w:rPr>
          <w:sz w:val="28"/>
          <w:szCs w:val="28"/>
        </w:rPr>
        <w:t xml:space="preserve"> (turpmāk – 3</w:t>
      </w:r>
      <w:r w:rsidR="00B369CA">
        <w:rPr>
          <w:sz w:val="28"/>
          <w:szCs w:val="28"/>
        </w:rPr>
        <w:t> </w:t>
      </w:r>
      <w:r w:rsidR="009D5DB0">
        <w:rPr>
          <w:sz w:val="28"/>
          <w:szCs w:val="28"/>
        </w:rPr>
        <w:t>% mērķis)</w:t>
      </w:r>
      <w:r w:rsidRPr="00A67CE5">
        <w:rPr>
          <w:sz w:val="28"/>
          <w:szCs w:val="28"/>
        </w:rPr>
        <w:t xml:space="preserve"> tās centrālās valdības īpašumā esošajās un izmantotajās ēkās, kuras apsilda un/vai dzesē, lai izpildītu vismaz minimālās energoefektivitātes prasības</w:t>
      </w:r>
      <w:r w:rsidR="00791FAC">
        <w:rPr>
          <w:sz w:val="28"/>
          <w:szCs w:val="28"/>
        </w:rPr>
        <w:t xml:space="preserve">. </w:t>
      </w:r>
    </w:p>
    <w:p w:rsidR="00486307" w:rsidRDefault="00791FAC" w:rsidP="00217304">
      <w:pPr>
        <w:pStyle w:val="naiskr"/>
        <w:spacing w:before="0" w:after="0"/>
        <w:ind w:firstLine="720"/>
        <w:jc w:val="both"/>
        <w:rPr>
          <w:sz w:val="28"/>
          <w:szCs w:val="28"/>
        </w:rPr>
      </w:pPr>
      <w:r w:rsidRPr="00791FAC">
        <w:rPr>
          <w:sz w:val="28"/>
          <w:szCs w:val="28"/>
        </w:rPr>
        <w:t xml:space="preserve">Attiecībā uz minimālajām energoefektivitātes prasībām pašlaik atskaites punkts ir Latvijas būvnormatīvs LBN 002-01“Ēku norobežojošo konstrukciju siltumtehnika”, kas nosaka minimālās siltumtehnikas prasības ēkām kopš 2003. gada 1. janvāra. </w:t>
      </w:r>
      <w:r w:rsidR="00AA02BC" w:rsidRPr="00AA02BC">
        <w:rPr>
          <w:sz w:val="28"/>
          <w:szCs w:val="28"/>
        </w:rPr>
        <w:t>Latvija līdz 2013.</w:t>
      </w:r>
      <w:r w:rsidR="00AA02BC">
        <w:rPr>
          <w:sz w:val="28"/>
          <w:szCs w:val="28"/>
        </w:rPr>
        <w:t> </w:t>
      </w:r>
      <w:r w:rsidR="00AA02BC" w:rsidRPr="00AA02BC">
        <w:rPr>
          <w:sz w:val="28"/>
          <w:szCs w:val="28"/>
        </w:rPr>
        <w:t xml:space="preserve">gada beigām pārskatīs optimālo minimālo energoefektivitātes prasību līmeni ēkām un būves elementiem saskaņā ar Direktīvas 2010/31/ES prasībām un Regulu </w:t>
      </w:r>
      <w:proofErr w:type="spellStart"/>
      <w:r w:rsidR="00AA02BC" w:rsidRPr="00AA02BC">
        <w:rPr>
          <w:sz w:val="28"/>
          <w:szCs w:val="28"/>
        </w:rPr>
        <w:t>Nr</w:t>
      </w:r>
      <w:proofErr w:type="spellEnd"/>
      <w:r w:rsidR="00AA02BC" w:rsidRPr="00AA02BC">
        <w:rPr>
          <w:sz w:val="28"/>
          <w:szCs w:val="28"/>
        </w:rPr>
        <w:t>. 244/2012, nepieciešamības gadījumā veicot grozījumus būvniecības normatīvajos aktos</w:t>
      </w:r>
      <w:r w:rsidR="004E3F6E">
        <w:rPr>
          <w:sz w:val="28"/>
          <w:szCs w:val="28"/>
        </w:rPr>
        <w:t>.</w:t>
      </w:r>
    </w:p>
    <w:p w:rsidR="00217304" w:rsidRDefault="00217304" w:rsidP="00217304">
      <w:pPr>
        <w:pStyle w:val="naiskr"/>
        <w:spacing w:before="0" w:after="0"/>
        <w:ind w:firstLine="720"/>
        <w:jc w:val="both"/>
        <w:rPr>
          <w:sz w:val="28"/>
          <w:szCs w:val="28"/>
        </w:rPr>
      </w:pPr>
      <w:r>
        <w:rPr>
          <w:sz w:val="28"/>
          <w:szCs w:val="28"/>
        </w:rPr>
        <w:t>Saskaņā ar Direktīvas 2012/27/ES 2.</w:t>
      </w:r>
      <w:r w:rsidR="00B369CA">
        <w:rPr>
          <w:sz w:val="28"/>
          <w:szCs w:val="28"/>
        </w:rPr>
        <w:t> </w:t>
      </w:r>
      <w:r>
        <w:rPr>
          <w:sz w:val="28"/>
          <w:szCs w:val="28"/>
        </w:rPr>
        <w:t>panta 9.</w:t>
      </w:r>
      <w:r w:rsidR="00B369CA">
        <w:rPr>
          <w:sz w:val="28"/>
          <w:szCs w:val="28"/>
        </w:rPr>
        <w:t> </w:t>
      </w:r>
      <w:r>
        <w:rPr>
          <w:sz w:val="28"/>
          <w:szCs w:val="28"/>
        </w:rPr>
        <w:t xml:space="preserve">punktā </w:t>
      </w:r>
      <w:r w:rsidRPr="00217304">
        <w:rPr>
          <w:sz w:val="28"/>
          <w:szCs w:val="28"/>
        </w:rPr>
        <w:t>iekļauto definīciju</w:t>
      </w:r>
      <w:r>
        <w:rPr>
          <w:sz w:val="28"/>
          <w:szCs w:val="28"/>
        </w:rPr>
        <w:t xml:space="preserve"> „centrālā valdība” ir visas administratīvās pārvaldes iestādes, kuru kompetence aptver visu dalībvalsts teritoriju. </w:t>
      </w:r>
      <w:r w:rsidR="00A027FA">
        <w:rPr>
          <w:sz w:val="28"/>
          <w:szCs w:val="28"/>
        </w:rPr>
        <w:t>Latvijas c</w:t>
      </w:r>
      <w:r>
        <w:rPr>
          <w:sz w:val="28"/>
          <w:szCs w:val="28"/>
        </w:rPr>
        <w:t xml:space="preserve">entrālās jeb tiešās valsts pārvaldes iestādes noteiktas </w:t>
      </w:r>
      <w:r w:rsidRPr="00217304">
        <w:rPr>
          <w:sz w:val="28"/>
          <w:szCs w:val="28"/>
        </w:rPr>
        <w:t>Valsts pārvaldes iekārtas likum</w:t>
      </w:r>
      <w:r>
        <w:rPr>
          <w:sz w:val="28"/>
          <w:szCs w:val="28"/>
        </w:rPr>
        <w:t>ā, informācija par tām atrodama Tiešās valsts pārvaldes iestāžu datu bāzē</w:t>
      </w:r>
      <w:r>
        <w:rPr>
          <w:rStyle w:val="FootnoteReference"/>
          <w:sz w:val="28"/>
          <w:szCs w:val="28"/>
        </w:rPr>
        <w:footnoteReference w:id="9"/>
      </w:r>
      <w:r>
        <w:rPr>
          <w:sz w:val="28"/>
          <w:szCs w:val="28"/>
        </w:rPr>
        <w:t xml:space="preserve">, kur ir sniegts arī </w:t>
      </w:r>
      <w:r w:rsidR="00EB057D">
        <w:rPr>
          <w:sz w:val="28"/>
          <w:szCs w:val="28"/>
        </w:rPr>
        <w:t xml:space="preserve">tiešās pārvaldes iestādes </w:t>
      </w:r>
      <w:r>
        <w:rPr>
          <w:sz w:val="28"/>
          <w:szCs w:val="28"/>
        </w:rPr>
        <w:t xml:space="preserve">jēdziena </w:t>
      </w:r>
      <w:r w:rsidR="00EB057D">
        <w:rPr>
          <w:sz w:val="28"/>
          <w:szCs w:val="28"/>
        </w:rPr>
        <w:t xml:space="preserve">detalizēts </w:t>
      </w:r>
      <w:r w:rsidR="00221499">
        <w:rPr>
          <w:sz w:val="28"/>
          <w:szCs w:val="28"/>
        </w:rPr>
        <w:t>skaidrojums.</w:t>
      </w:r>
    </w:p>
    <w:p w:rsidR="000A19FD" w:rsidRPr="00A67CE5" w:rsidRDefault="000A19FD" w:rsidP="004E3F6E">
      <w:pPr>
        <w:pStyle w:val="naiskr"/>
        <w:spacing w:before="0" w:after="0"/>
        <w:ind w:firstLine="720"/>
        <w:jc w:val="both"/>
        <w:rPr>
          <w:color w:val="000000"/>
          <w:sz w:val="28"/>
          <w:szCs w:val="28"/>
        </w:rPr>
      </w:pPr>
      <w:r w:rsidRPr="00A67CE5">
        <w:rPr>
          <w:color w:val="000000"/>
          <w:sz w:val="28"/>
          <w:szCs w:val="28"/>
        </w:rPr>
        <w:lastRenderedPageBreak/>
        <w:t>3</w:t>
      </w:r>
      <w:r w:rsidR="00882FB9">
        <w:rPr>
          <w:color w:val="000000"/>
          <w:sz w:val="28"/>
          <w:szCs w:val="28"/>
        </w:rPr>
        <w:t> </w:t>
      </w:r>
      <w:r w:rsidRPr="00A67CE5">
        <w:rPr>
          <w:color w:val="000000"/>
          <w:sz w:val="28"/>
          <w:szCs w:val="28"/>
        </w:rPr>
        <w:t xml:space="preserve">% </w:t>
      </w:r>
      <w:r w:rsidR="00F718C9">
        <w:rPr>
          <w:color w:val="000000"/>
          <w:sz w:val="28"/>
          <w:szCs w:val="28"/>
        </w:rPr>
        <w:t>mērķi</w:t>
      </w:r>
      <w:r w:rsidRPr="00A67CE5">
        <w:rPr>
          <w:color w:val="000000"/>
          <w:sz w:val="28"/>
          <w:szCs w:val="28"/>
        </w:rPr>
        <w:t xml:space="preserve"> aprēķina, pamatojoties uz centrālās valdības īpašumā esošo un izmantoto ēku, kuru kopējā platība ir lielāka par 500</w:t>
      </w:r>
      <w:r w:rsidR="00D6762E">
        <w:rPr>
          <w:color w:val="000000"/>
          <w:sz w:val="28"/>
          <w:szCs w:val="28"/>
        </w:rPr>
        <w:t> </w:t>
      </w:r>
      <w:r w:rsidRPr="00A67CE5">
        <w:rPr>
          <w:color w:val="000000"/>
          <w:sz w:val="28"/>
          <w:szCs w:val="28"/>
        </w:rPr>
        <w:t>m</w:t>
      </w:r>
      <w:r w:rsidRPr="00882FB9">
        <w:rPr>
          <w:color w:val="000000"/>
          <w:sz w:val="28"/>
          <w:szCs w:val="28"/>
          <w:vertAlign w:val="superscript"/>
        </w:rPr>
        <w:t>2</w:t>
      </w:r>
      <w:r w:rsidRPr="00A67CE5">
        <w:rPr>
          <w:color w:val="000000"/>
          <w:sz w:val="28"/>
          <w:szCs w:val="28"/>
        </w:rPr>
        <w:t>, kopējo platību, kas katra gada 1.</w:t>
      </w:r>
      <w:r w:rsidR="00D6762E">
        <w:rPr>
          <w:color w:val="000000"/>
          <w:sz w:val="28"/>
          <w:szCs w:val="28"/>
        </w:rPr>
        <w:t> </w:t>
      </w:r>
      <w:r w:rsidRPr="00A67CE5">
        <w:rPr>
          <w:color w:val="000000"/>
          <w:sz w:val="28"/>
          <w:szCs w:val="28"/>
        </w:rPr>
        <w:t>janvārī neatbilst valsts minimālajām energoefektivitātes prasībām. Sākot ar 2015. gada 9</w:t>
      </w:r>
      <w:r w:rsidR="004E3F6E">
        <w:rPr>
          <w:color w:val="000000"/>
          <w:sz w:val="28"/>
          <w:szCs w:val="28"/>
        </w:rPr>
        <w:t>.</w:t>
      </w:r>
      <w:r w:rsidRPr="00A67CE5">
        <w:rPr>
          <w:color w:val="000000"/>
          <w:sz w:val="28"/>
          <w:szCs w:val="28"/>
        </w:rPr>
        <w:t> jūliju minēto robežvērtību samazina līdz 250</w:t>
      </w:r>
      <w:r w:rsidR="00D6762E">
        <w:rPr>
          <w:color w:val="000000"/>
          <w:sz w:val="28"/>
          <w:szCs w:val="28"/>
        </w:rPr>
        <w:t> </w:t>
      </w:r>
      <w:r w:rsidRPr="00A67CE5">
        <w:rPr>
          <w:color w:val="000000"/>
          <w:sz w:val="28"/>
          <w:szCs w:val="28"/>
        </w:rPr>
        <w:t>m</w:t>
      </w:r>
      <w:r w:rsidRPr="00882FB9">
        <w:rPr>
          <w:color w:val="000000"/>
          <w:sz w:val="28"/>
          <w:szCs w:val="28"/>
          <w:vertAlign w:val="superscript"/>
        </w:rPr>
        <w:t>2</w:t>
      </w:r>
      <w:r w:rsidRPr="00A67CE5">
        <w:rPr>
          <w:color w:val="000000"/>
          <w:sz w:val="28"/>
          <w:szCs w:val="28"/>
        </w:rPr>
        <w:t>.</w:t>
      </w:r>
      <w:r w:rsidR="008C5F65" w:rsidRPr="008C5F65">
        <w:rPr>
          <w:rFonts w:asciiTheme="minorHAnsi" w:eastAsiaTheme="minorHAnsi" w:hAnsiTheme="minorHAnsi" w:cstheme="minorBidi"/>
          <w:color w:val="000000"/>
          <w:sz w:val="28"/>
          <w:szCs w:val="28"/>
          <w:lang w:eastAsia="en-US"/>
        </w:rPr>
        <w:t xml:space="preserve"> </w:t>
      </w:r>
      <w:r w:rsidR="008C5F65" w:rsidRPr="008C5F65">
        <w:rPr>
          <w:color w:val="000000"/>
          <w:sz w:val="28"/>
          <w:szCs w:val="28"/>
        </w:rPr>
        <w:t>Jāņem vērā, ka 3 % mērķis attiecas tikai uz tām minētā saraksta ēkām, kuras katra gada sākumā neatbilst minimālajām energoefektivitātes prasībām.</w:t>
      </w:r>
    </w:p>
    <w:p w:rsidR="00405D50" w:rsidRDefault="00405D50" w:rsidP="00405D50">
      <w:pPr>
        <w:spacing w:after="0" w:line="240" w:lineRule="auto"/>
        <w:ind w:firstLine="720"/>
        <w:jc w:val="both"/>
        <w:rPr>
          <w:rFonts w:ascii="Times New Roman" w:hAnsi="Times New Roman" w:cs="Times New Roman"/>
          <w:sz w:val="28"/>
          <w:szCs w:val="28"/>
        </w:rPr>
      </w:pPr>
      <w:r w:rsidRPr="009B71D2">
        <w:rPr>
          <w:rFonts w:ascii="Times New Roman" w:hAnsi="Times New Roman" w:cs="Times New Roman"/>
          <w:sz w:val="28"/>
          <w:szCs w:val="28"/>
        </w:rPr>
        <w:t>Direktīvas 2012/27/ES</w:t>
      </w:r>
      <w:r>
        <w:rPr>
          <w:rFonts w:ascii="Times New Roman" w:hAnsi="Times New Roman" w:cs="Times New Roman"/>
          <w:sz w:val="28"/>
          <w:szCs w:val="28"/>
        </w:rPr>
        <w:t xml:space="preserve"> 20.</w:t>
      </w:r>
      <w:r w:rsidR="00882FB9">
        <w:rPr>
          <w:rFonts w:ascii="Times New Roman" w:hAnsi="Times New Roman" w:cs="Times New Roman"/>
          <w:sz w:val="28"/>
          <w:szCs w:val="28"/>
        </w:rPr>
        <w:t> </w:t>
      </w:r>
      <w:r>
        <w:rPr>
          <w:rFonts w:ascii="Times New Roman" w:hAnsi="Times New Roman" w:cs="Times New Roman"/>
          <w:sz w:val="28"/>
          <w:szCs w:val="28"/>
        </w:rPr>
        <w:t>pants atļauj dalībvalstīm obligāto</w:t>
      </w:r>
      <w:r w:rsidR="00882FB9">
        <w:rPr>
          <w:rFonts w:ascii="Times New Roman" w:hAnsi="Times New Roman" w:cs="Times New Roman"/>
          <w:sz w:val="28"/>
          <w:szCs w:val="28"/>
        </w:rPr>
        <w:t xml:space="preserve"> ēku</w:t>
      </w:r>
      <w:r w:rsidR="006F1357">
        <w:rPr>
          <w:rFonts w:ascii="Times New Roman" w:hAnsi="Times New Roman" w:cs="Times New Roman"/>
          <w:sz w:val="28"/>
          <w:szCs w:val="28"/>
        </w:rPr>
        <w:t xml:space="preserve"> renovācijas pienākumu izpildīt, </w:t>
      </w:r>
      <w:r w:rsidR="00236EFA">
        <w:rPr>
          <w:rFonts w:ascii="Times New Roman" w:hAnsi="Times New Roman" w:cs="Times New Roman"/>
          <w:sz w:val="28"/>
          <w:szCs w:val="28"/>
        </w:rPr>
        <w:t xml:space="preserve">valstij </w:t>
      </w:r>
      <w:r w:rsidR="006F1357">
        <w:rPr>
          <w:rFonts w:ascii="Times New Roman" w:hAnsi="Times New Roman" w:cs="Times New Roman"/>
          <w:sz w:val="28"/>
          <w:szCs w:val="28"/>
        </w:rPr>
        <w:t>katru gadu iemaksājot valsts energoefektivitātes fondā summu, kas ir līdzvērtīga ieguldījumiem, kuri būtu nepieciešami, lai izpildītu minētos pienākumus.</w:t>
      </w:r>
    </w:p>
    <w:p w:rsidR="00352B68" w:rsidRDefault="00352B68" w:rsidP="00265182">
      <w:pPr>
        <w:spacing w:after="24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Tāpat mērķa izpildē ir iespējams ieskaitīt </w:t>
      </w:r>
      <w:r w:rsidR="00C7166B">
        <w:rPr>
          <w:rFonts w:ascii="Times New Roman" w:hAnsi="Times New Roman" w:cs="Times New Roman"/>
          <w:sz w:val="28"/>
          <w:szCs w:val="28"/>
        </w:rPr>
        <w:t>jaunas valstij piederošas un centrālās valdības izmantotas ēkas, kas aizstājušas konkrētas divu iepriekšējo gadu laikā nojauktas valsts ēkas</w:t>
      </w:r>
      <w:r w:rsidR="00236EFA">
        <w:rPr>
          <w:rFonts w:ascii="Times New Roman" w:hAnsi="Times New Roman" w:cs="Times New Roman"/>
          <w:sz w:val="28"/>
          <w:szCs w:val="28"/>
        </w:rPr>
        <w:t xml:space="preserve"> vai ēkas, kas vairs netiek izmantotas citu ēku intensīvāka izmantojuma dēļ</w:t>
      </w:r>
      <w:r w:rsidR="00C7166B">
        <w:rPr>
          <w:rFonts w:ascii="Times New Roman" w:hAnsi="Times New Roman" w:cs="Times New Roman"/>
          <w:sz w:val="28"/>
          <w:szCs w:val="28"/>
        </w:rPr>
        <w:t>.</w:t>
      </w:r>
    </w:p>
    <w:p w:rsidR="005922CF" w:rsidRDefault="004E6688" w:rsidP="005922CF">
      <w:pPr>
        <w:pStyle w:val="naiskr"/>
        <w:spacing w:before="0" w:after="0"/>
        <w:jc w:val="both"/>
        <w:rPr>
          <w:color w:val="000000"/>
          <w:sz w:val="28"/>
          <w:szCs w:val="28"/>
          <w:u w:val="single"/>
        </w:rPr>
      </w:pPr>
      <w:r>
        <w:rPr>
          <w:color w:val="000000"/>
          <w:sz w:val="28"/>
          <w:szCs w:val="28"/>
          <w:u w:val="single"/>
        </w:rPr>
        <w:t xml:space="preserve">Centrālās valdības </w:t>
      </w:r>
      <w:r w:rsidR="005922CF">
        <w:rPr>
          <w:color w:val="000000"/>
          <w:sz w:val="28"/>
          <w:szCs w:val="28"/>
          <w:u w:val="single"/>
        </w:rPr>
        <w:t xml:space="preserve"> ēku saraksts</w:t>
      </w:r>
    </w:p>
    <w:p w:rsidR="005922CF" w:rsidRDefault="007F2C5A" w:rsidP="005922CF">
      <w:pPr>
        <w:pStyle w:val="naiskr"/>
        <w:spacing w:before="0" w:after="0"/>
        <w:jc w:val="both"/>
        <w:rPr>
          <w:color w:val="414142"/>
          <w:sz w:val="28"/>
          <w:szCs w:val="28"/>
        </w:rPr>
      </w:pPr>
      <w:r w:rsidRPr="007F2C5A">
        <w:rPr>
          <w:color w:val="000000"/>
          <w:sz w:val="28"/>
          <w:szCs w:val="28"/>
        </w:rPr>
        <w:tab/>
      </w:r>
      <w:r w:rsidR="00882FB9">
        <w:rPr>
          <w:color w:val="000000"/>
          <w:sz w:val="28"/>
          <w:szCs w:val="28"/>
        </w:rPr>
        <w:t>Latvija</w:t>
      </w:r>
      <w:r w:rsidR="00760115">
        <w:rPr>
          <w:color w:val="000000"/>
          <w:sz w:val="28"/>
          <w:szCs w:val="28"/>
        </w:rPr>
        <w:t>i</w:t>
      </w:r>
      <w:r w:rsidR="00882FB9">
        <w:rPr>
          <w:color w:val="000000"/>
          <w:sz w:val="28"/>
          <w:szCs w:val="28"/>
        </w:rPr>
        <w:t xml:space="preserve"> l</w:t>
      </w:r>
      <w:r w:rsidR="008B0051" w:rsidRPr="00C6501B">
        <w:rPr>
          <w:color w:val="000000"/>
          <w:sz w:val="28"/>
          <w:szCs w:val="28"/>
        </w:rPr>
        <w:t>īdz 201</w:t>
      </w:r>
      <w:r w:rsidR="0062028A">
        <w:rPr>
          <w:color w:val="000000"/>
          <w:sz w:val="28"/>
          <w:szCs w:val="28"/>
        </w:rPr>
        <w:t>4</w:t>
      </w:r>
      <w:r w:rsidR="008B0051" w:rsidRPr="00C6501B">
        <w:rPr>
          <w:color w:val="000000"/>
          <w:sz w:val="28"/>
          <w:szCs w:val="28"/>
        </w:rPr>
        <w:t>.</w:t>
      </w:r>
      <w:r w:rsidR="00D6762E">
        <w:rPr>
          <w:color w:val="000000"/>
          <w:sz w:val="28"/>
          <w:szCs w:val="28"/>
        </w:rPr>
        <w:t> </w:t>
      </w:r>
      <w:r w:rsidR="008B0051" w:rsidRPr="00C6501B">
        <w:rPr>
          <w:color w:val="000000"/>
          <w:sz w:val="28"/>
          <w:szCs w:val="28"/>
        </w:rPr>
        <w:t>gada 31.</w:t>
      </w:r>
      <w:r w:rsidR="00D6762E">
        <w:rPr>
          <w:color w:val="000000"/>
          <w:sz w:val="28"/>
          <w:szCs w:val="28"/>
        </w:rPr>
        <w:t> </w:t>
      </w:r>
      <w:r w:rsidR="0062028A">
        <w:rPr>
          <w:color w:val="000000"/>
          <w:sz w:val="28"/>
          <w:szCs w:val="28"/>
        </w:rPr>
        <w:t>janvārim</w:t>
      </w:r>
      <w:r w:rsidR="008B0051" w:rsidRPr="00C6501B">
        <w:rPr>
          <w:color w:val="000000"/>
          <w:sz w:val="28"/>
          <w:szCs w:val="28"/>
        </w:rPr>
        <w:t xml:space="preserve"> </w:t>
      </w:r>
      <w:r w:rsidR="008C5F65">
        <w:rPr>
          <w:color w:val="000000"/>
          <w:sz w:val="28"/>
          <w:szCs w:val="28"/>
        </w:rPr>
        <w:t>jā</w:t>
      </w:r>
      <w:r w:rsidR="008B0051" w:rsidRPr="00C6501B">
        <w:rPr>
          <w:color w:val="000000"/>
          <w:sz w:val="28"/>
          <w:szCs w:val="28"/>
        </w:rPr>
        <w:t xml:space="preserve">publisko to centrālās </w:t>
      </w:r>
      <w:r w:rsidR="008B0051" w:rsidRPr="009B71D2">
        <w:rPr>
          <w:color w:val="000000"/>
          <w:sz w:val="28"/>
          <w:szCs w:val="28"/>
        </w:rPr>
        <w:t>valdības apsildāmo un/vai dzesējamo ēku sarakst</w:t>
      </w:r>
      <w:r w:rsidR="008C5F65">
        <w:rPr>
          <w:color w:val="000000"/>
          <w:sz w:val="28"/>
          <w:szCs w:val="28"/>
        </w:rPr>
        <w:t>s</w:t>
      </w:r>
      <w:r w:rsidR="008B0051" w:rsidRPr="009B71D2">
        <w:rPr>
          <w:color w:val="000000"/>
          <w:sz w:val="28"/>
          <w:szCs w:val="28"/>
        </w:rPr>
        <w:t>, kuru kopējā izmantojamā</w:t>
      </w:r>
      <w:r w:rsidR="008B0051" w:rsidRPr="00C6501B">
        <w:rPr>
          <w:color w:val="000000"/>
          <w:sz w:val="28"/>
          <w:szCs w:val="28"/>
        </w:rPr>
        <w:t xml:space="preserve"> platība ir lielāka par 500 m</w:t>
      </w:r>
      <w:r w:rsidR="005E22B7" w:rsidRPr="005E22B7">
        <w:rPr>
          <w:color w:val="000000"/>
          <w:sz w:val="28"/>
          <w:szCs w:val="28"/>
          <w:vertAlign w:val="superscript"/>
        </w:rPr>
        <w:t>2</w:t>
      </w:r>
      <w:r w:rsidR="008B0051" w:rsidRPr="00C6501B">
        <w:rPr>
          <w:color w:val="000000"/>
          <w:sz w:val="28"/>
          <w:szCs w:val="28"/>
        </w:rPr>
        <w:t>, un, sākot ar 2015.</w:t>
      </w:r>
      <w:r w:rsidR="005E22B7">
        <w:rPr>
          <w:color w:val="000000"/>
          <w:sz w:val="28"/>
          <w:szCs w:val="28"/>
        </w:rPr>
        <w:t xml:space="preserve"> </w:t>
      </w:r>
      <w:r w:rsidR="008B0051" w:rsidRPr="00C6501B">
        <w:rPr>
          <w:color w:val="000000"/>
          <w:sz w:val="28"/>
          <w:szCs w:val="28"/>
        </w:rPr>
        <w:t>gada 9.</w:t>
      </w:r>
      <w:r w:rsidR="005E22B7">
        <w:rPr>
          <w:color w:val="000000"/>
          <w:sz w:val="28"/>
          <w:szCs w:val="28"/>
        </w:rPr>
        <w:t xml:space="preserve"> </w:t>
      </w:r>
      <w:r w:rsidR="008B0051" w:rsidRPr="00C6501B">
        <w:rPr>
          <w:color w:val="000000"/>
          <w:sz w:val="28"/>
          <w:szCs w:val="28"/>
        </w:rPr>
        <w:t xml:space="preserve">jūliju – to ēku sarakstu, kuru kopējā izmantojamā platība ir </w:t>
      </w:r>
      <w:r w:rsidR="008B0051" w:rsidRPr="00F320A2">
        <w:rPr>
          <w:color w:val="000000"/>
          <w:sz w:val="28"/>
          <w:szCs w:val="28"/>
        </w:rPr>
        <w:t>lielāka par 250 m</w:t>
      </w:r>
      <w:r w:rsidR="008B0051" w:rsidRPr="00F320A2">
        <w:rPr>
          <w:color w:val="000000"/>
          <w:sz w:val="28"/>
          <w:szCs w:val="28"/>
          <w:vertAlign w:val="superscript"/>
        </w:rPr>
        <w:t>2</w:t>
      </w:r>
      <w:r w:rsidR="008B0051" w:rsidRPr="003A58E3">
        <w:rPr>
          <w:color w:val="000000"/>
          <w:sz w:val="28"/>
          <w:szCs w:val="28"/>
        </w:rPr>
        <w:t>, izņemot ēkas, uz kurām attiecas atbrīvojum</w:t>
      </w:r>
      <w:r w:rsidR="005E22B7" w:rsidRPr="00F320A2">
        <w:rPr>
          <w:color w:val="000000"/>
          <w:sz w:val="28"/>
          <w:szCs w:val="28"/>
        </w:rPr>
        <w:t>i</w:t>
      </w:r>
      <w:r w:rsidR="008B0051" w:rsidRPr="00F320A2">
        <w:rPr>
          <w:color w:val="000000"/>
          <w:sz w:val="28"/>
          <w:szCs w:val="28"/>
        </w:rPr>
        <w:t xml:space="preserve">. Sarakstā </w:t>
      </w:r>
      <w:r w:rsidR="008C5F65" w:rsidRPr="00F320A2">
        <w:rPr>
          <w:color w:val="000000"/>
          <w:sz w:val="28"/>
          <w:szCs w:val="28"/>
        </w:rPr>
        <w:t xml:space="preserve">jānorāda katras ēkas </w:t>
      </w:r>
      <w:r w:rsidR="008B0051" w:rsidRPr="00F320A2">
        <w:rPr>
          <w:color w:val="000000"/>
          <w:sz w:val="28"/>
          <w:szCs w:val="28"/>
        </w:rPr>
        <w:t>platīb</w:t>
      </w:r>
      <w:r w:rsidR="008C5F65" w:rsidRPr="00F320A2">
        <w:rPr>
          <w:color w:val="000000"/>
          <w:sz w:val="28"/>
          <w:szCs w:val="28"/>
        </w:rPr>
        <w:t>a</w:t>
      </w:r>
      <w:r w:rsidR="005E22B7" w:rsidRPr="004B3240">
        <w:t xml:space="preserve"> </w:t>
      </w:r>
      <w:r w:rsidR="005E22B7" w:rsidRPr="00F320A2">
        <w:rPr>
          <w:color w:val="000000"/>
          <w:sz w:val="28"/>
          <w:szCs w:val="28"/>
        </w:rPr>
        <w:t>m</w:t>
      </w:r>
      <w:r w:rsidR="005E22B7" w:rsidRPr="00F320A2">
        <w:rPr>
          <w:color w:val="000000"/>
          <w:sz w:val="28"/>
          <w:szCs w:val="28"/>
          <w:vertAlign w:val="superscript"/>
        </w:rPr>
        <w:t>2</w:t>
      </w:r>
      <w:r w:rsidR="008C5F65" w:rsidRPr="003A58E3">
        <w:rPr>
          <w:color w:val="000000"/>
          <w:sz w:val="28"/>
          <w:szCs w:val="28"/>
        </w:rPr>
        <w:t xml:space="preserve"> un</w:t>
      </w:r>
      <w:r w:rsidR="008B0051" w:rsidRPr="004B3240">
        <w:rPr>
          <w:color w:val="000000"/>
          <w:sz w:val="28"/>
          <w:szCs w:val="28"/>
        </w:rPr>
        <w:t xml:space="preserve"> katras ēkas energoefektivitāt</w:t>
      </w:r>
      <w:r w:rsidR="008C5F65" w:rsidRPr="004B3240">
        <w:rPr>
          <w:color w:val="000000"/>
          <w:sz w:val="28"/>
          <w:szCs w:val="28"/>
        </w:rPr>
        <w:t xml:space="preserve">e (ja ēkai ir </w:t>
      </w:r>
      <w:proofErr w:type="spellStart"/>
      <w:r w:rsidR="008C5F65" w:rsidRPr="004B3240">
        <w:rPr>
          <w:color w:val="000000"/>
          <w:sz w:val="28"/>
          <w:szCs w:val="28"/>
        </w:rPr>
        <w:t>energosertifikāts</w:t>
      </w:r>
      <w:proofErr w:type="spellEnd"/>
      <w:r w:rsidR="008C5F65" w:rsidRPr="004B3240">
        <w:rPr>
          <w:color w:val="000000"/>
          <w:sz w:val="28"/>
          <w:szCs w:val="28"/>
        </w:rPr>
        <w:t>)</w:t>
      </w:r>
      <w:r w:rsidR="008B0051" w:rsidRPr="004B3240">
        <w:rPr>
          <w:color w:val="000000"/>
          <w:sz w:val="28"/>
          <w:szCs w:val="28"/>
        </w:rPr>
        <w:t xml:space="preserve"> vai dat</w:t>
      </w:r>
      <w:r w:rsidR="008C5F65" w:rsidRPr="004B3240">
        <w:rPr>
          <w:color w:val="000000"/>
          <w:sz w:val="28"/>
          <w:szCs w:val="28"/>
        </w:rPr>
        <w:t>i</w:t>
      </w:r>
      <w:r w:rsidR="008B0051" w:rsidRPr="004B3240">
        <w:rPr>
          <w:color w:val="000000"/>
          <w:sz w:val="28"/>
          <w:szCs w:val="28"/>
        </w:rPr>
        <w:t xml:space="preserve"> par enerģijas patēriņu</w:t>
      </w:r>
      <w:r w:rsidR="00F320A2" w:rsidRPr="004B3240">
        <w:rPr>
          <w:color w:val="000000"/>
          <w:sz w:val="28"/>
          <w:szCs w:val="28"/>
        </w:rPr>
        <w:t xml:space="preserve">. </w:t>
      </w:r>
      <w:r w:rsidR="00F320A2" w:rsidRPr="00F320A2">
        <w:rPr>
          <w:color w:val="000000"/>
          <w:sz w:val="28"/>
          <w:szCs w:val="28"/>
        </w:rPr>
        <w:t>At</w:t>
      </w:r>
      <w:r w:rsidR="00F320A2" w:rsidRPr="003A58E3">
        <w:rPr>
          <w:color w:val="000000"/>
          <w:sz w:val="28"/>
          <w:szCs w:val="28"/>
        </w:rPr>
        <w:t>bilstoši Ēku energoefektivitātes likuma Pārejas nosacījumu 2. punktam, l</w:t>
      </w:r>
      <w:r w:rsidR="00F320A2" w:rsidRPr="003A58E3">
        <w:rPr>
          <w:color w:val="414142"/>
          <w:sz w:val="28"/>
          <w:szCs w:val="28"/>
        </w:rPr>
        <w:t>īdz 2015.</w:t>
      </w:r>
      <w:r w:rsidR="001D588D">
        <w:rPr>
          <w:color w:val="414142"/>
          <w:sz w:val="28"/>
          <w:szCs w:val="28"/>
        </w:rPr>
        <w:t> </w:t>
      </w:r>
      <w:r w:rsidR="00F320A2" w:rsidRPr="003A58E3">
        <w:rPr>
          <w:color w:val="414142"/>
          <w:sz w:val="28"/>
          <w:szCs w:val="28"/>
        </w:rPr>
        <w:t>gada 9.</w:t>
      </w:r>
      <w:r w:rsidR="001D588D">
        <w:rPr>
          <w:color w:val="414142"/>
          <w:sz w:val="28"/>
          <w:szCs w:val="28"/>
        </w:rPr>
        <w:t> </w:t>
      </w:r>
      <w:r w:rsidR="00F320A2" w:rsidRPr="003A58E3">
        <w:rPr>
          <w:color w:val="414142"/>
          <w:sz w:val="28"/>
          <w:szCs w:val="28"/>
        </w:rPr>
        <w:t xml:space="preserve">jūlijam šā likuma </w:t>
      </w:r>
      <w:hyperlink r:id="rId10" w:anchor="p7" w:history="1">
        <w:r w:rsidR="00F320A2" w:rsidRPr="00B34CA3">
          <w:rPr>
            <w:color w:val="414142"/>
            <w:sz w:val="28"/>
            <w:szCs w:val="28"/>
          </w:rPr>
          <w:t>7.</w:t>
        </w:r>
        <w:r w:rsidR="001D588D">
          <w:rPr>
            <w:color w:val="414142"/>
            <w:sz w:val="28"/>
            <w:szCs w:val="28"/>
          </w:rPr>
          <w:t> </w:t>
        </w:r>
        <w:r w:rsidR="00F320A2" w:rsidRPr="00B34CA3">
          <w:rPr>
            <w:color w:val="414142"/>
            <w:sz w:val="28"/>
            <w:szCs w:val="28"/>
          </w:rPr>
          <w:t>panta</w:t>
        </w:r>
      </w:hyperlink>
      <w:r w:rsidR="00F320A2" w:rsidRPr="00F320A2">
        <w:rPr>
          <w:color w:val="414142"/>
          <w:sz w:val="28"/>
          <w:szCs w:val="28"/>
        </w:rPr>
        <w:t xml:space="preserve"> pirmās daļas 5.</w:t>
      </w:r>
      <w:r w:rsidR="001D588D">
        <w:rPr>
          <w:color w:val="414142"/>
          <w:sz w:val="28"/>
          <w:szCs w:val="28"/>
        </w:rPr>
        <w:t> </w:t>
      </w:r>
      <w:r w:rsidR="00F320A2" w:rsidRPr="00F320A2">
        <w:rPr>
          <w:color w:val="414142"/>
          <w:sz w:val="28"/>
          <w:szCs w:val="28"/>
        </w:rPr>
        <w:t xml:space="preserve">punktā noteikto ēku </w:t>
      </w:r>
      <w:proofErr w:type="spellStart"/>
      <w:r w:rsidR="00F320A2" w:rsidRPr="00F320A2">
        <w:rPr>
          <w:color w:val="414142"/>
          <w:sz w:val="28"/>
          <w:szCs w:val="28"/>
        </w:rPr>
        <w:t>energosertifikāciju</w:t>
      </w:r>
      <w:proofErr w:type="spellEnd"/>
      <w:r w:rsidR="00F320A2" w:rsidRPr="00F320A2">
        <w:rPr>
          <w:color w:val="414142"/>
          <w:sz w:val="28"/>
          <w:szCs w:val="28"/>
        </w:rPr>
        <w:t xml:space="preserve"> veic ekspluatējamām valstij vai pašvaldībai piederošām publiskām ēkām, kuru apkurināmā platība pārsniedz 500 kvadrātmetrus.</w:t>
      </w:r>
    </w:p>
    <w:p w:rsidR="005922CF" w:rsidRDefault="005922CF" w:rsidP="005922CF">
      <w:pPr>
        <w:pStyle w:val="naiskr"/>
        <w:spacing w:before="0" w:after="0"/>
        <w:jc w:val="both"/>
        <w:rPr>
          <w:color w:val="000000"/>
          <w:sz w:val="28"/>
          <w:szCs w:val="28"/>
        </w:rPr>
      </w:pPr>
      <w:r>
        <w:rPr>
          <w:color w:val="414142"/>
          <w:sz w:val="28"/>
          <w:szCs w:val="28"/>
        </w:rPr>
        <w:tab/>
      </w:r>
      <w:r w:rsidR="00F22D4D">
        <w:rPr>
          <w:color w:val="000000"/>
          <w:sz w:val="28"/>
          <w:szCs w:val="28"/>
        </w:rPr>
        <w:t>EK</w:t>
      </w:r>
      <w:r w:rsidR="008C5F65" w:rsidRPr="008C5F65">
        <w:rPr>
          <w:color w:val="000000"/>
          <w:sz w:val="28"/>
          <w:szCs w:val="28"/>
        </w:rPr>
        <w:t xml:space="preserve"> Enerģētikas direktorāta (DG ENER) izstrādātajā</w:t>
      </w:r>
      <w:r>
        <w:rPr>
          <w:color w:val="000000"/>
          <w:sz w:val="28"/>
          <w:szCs w:val="28"/>
        </w:rPr>
        <w:t>s vadlīnijās par</w:t>
      </w:r>
      <w:r w:rsidR="008C5F65" w:rsidRPr="008C5F65">
        <w:rPr>
          <w:color w:val="000000"/>
          <w:sz w:val="28"/>
          <w:szCs w:val="28"/>
        </w:rPr>
        <w:t xml:space="preserve"> Direktīvas 2012/27/ES 5. panta prasību ieviešanu norādīts, ka dalībvalstis </w:t>
      </w:r>
      <w:r w:rsidR="004E6688">
        <w:rPr>
          <w:color w:val="000000"/>
          <w:sz w:val="28"/>
          <w:szCs w:val="28"/>
        </w:rPr>
        <w:t xml:space="preserve">centrālās valdības </w:t>
      </w:r>
      <w:r w:rsidR="008C5F65" w:rsidRPr="008C5F65">
        <w:rPr>
          <w:color w:val="000000"/>
          <w:sz w:val="28"/>
          <w:szCs w:val="28"/>
        </w:rPr>
        <w:t>īpašumā un izmantošanā esošo ēku saraksta izveidošanai var izmantot Direktīvas 2004/18/EK ceturtā pielikuma centrālās valdības institūciju sarakstu. Atbilstoši Lēmumam 2008/963/EK Latvijas ziņotās centrālās valdības iestādes ir noteiktas šā lēmuma XII pielikumā.</w:t>
      </w:r>
    </w:p>
    <w:p w:rsidR="00802DF1" w:rsidRPr="005922CF" w:rsidRDefault="005922CF" w:rsidP="005922CF">
      <w:pPr>
        <w:pStyle w:val="naiskr"/>
        <w:spacing w:before="0" w:after="0"/>
        <w:jc w:val="both"/>
        <w:rPr>
          <w:color w:val="000000"/>
          <w:sz w:val="28"/>
          <w:szCs w:val="28"/>
          <w:u w:val="single"/>
        </w:rPr>
      </w:pPr>
      <w:r>
        <w:rPr>
          <w:color w:val="000000"/>
          <w:sz w:val="28"/>
          <w:szCs w:val="28"/>
        </w:rPr>
        <w:tab/>
      </w:r>
      <w:r w:rsidR="008C5F65" w:rsidRPr="004B3240">
        <w:rPr>
          <w:color w:val="000000"/>
          <w:sz w:val="28"/>
          <w:szCs w:val="28"/>
        </w:rPr>
        <w:t>Pēc pied</w:t>
      </w:r>
      <w:r w:rsidR="00221499">
        <w:rPr>
          <w:color w:val="000000"/>
          <w:sz w:val="28"/>
          <w:szCs w:val="28"/>
        </w:rPr>
        <w:t>erības statusa Valsts kadastra informācijas sistēmā</w:t>
      </w:r>
      <w:r w:rsidR="008C5F65" w:rsidRPr="004B3240">
        <w:rPr>
          <w:color w:val="000000"/>
          <w:sz w:val="28"/>
          <w:szCs w:val="28"/>
        </w:rPr>
        <w:t xml:space="preserve"> reģistrētas 2082 valstij piederošas apkurināmas ēkas, kurās ir būtisks enerģijas patēriņš, 3</w:t>
      </w:r>
      <w:r w:rsidR="00760115" w:rsidRPr="004B3240">
        <w:rPr>
          <w:color w:val="000000"/>
          <w:sz w:val="28"/>
          <w:szCs w:val="28"/>
        </w:rPr>
        <w:t>,</w:t>
      </w:r>
      <w:r w:rsidR="008C5F65" w:rsidRPr="004B3240">
        <w:rPr>
          <w:color w:val="000000"/>
          <w:sz w:val="28"/>
          <w:szCs w:val="28"/>
        </w:rPr>
        <w:t xml:space="preserve">55 mij. m2 platībā. Lielāko īpatsvaru veido izglītības un zinātnes ēkas (623), biroju ēkas (575), ārstniecības vai veselības aprūpes iestāžu ēkas (317). Lai izpildītu </w:t>
      </w:r>
      <w:r w:rsidR="00791FAC" w:rsidRPr="004B3240">
        <w:rPr>
          <w:color w:val="000000"/>
          <w:sz w:val="28"/>
          <w:szCs w:val="28"/>
        </w:rPr>
        <w:t>3</w:t>
      </w:r>
      <w:r w:rsidR="001D588D">
        <w:rPr>
          <w:color w:val="000000"/>
          <w:sz w:val="28"/>
          <w:szCs w:val="28"/>
        </w:rPr>
        <w:t> </w:t>
      </w:r>
      <w:r w:rsidR="00791FAC" w:rsidRPr="004B3240">
        <w:rPr>
          <w:color w:val="000000"/>
          <w:sz w:val="28"/>
          <w:szCs w:val="28"/>
        </w:rPr>
        <w:t>% mērķi,</w:t>
      </w:r>
      <w:r w:rsidR="008C5F65" w:rsidRPr="004B3240">
        <w:rPr>
          <w:color w:val="000000"/>
          <w:sz w:val="28"/>
          <w:szCs w:val="28"/>
        </w:rPr>
        <w:t xml:space="preserve"> no 2014.</w:t>
      </w:r>
      <w:r w:rsidR="008147F5" w:rsidRPr="004B3240">
        <w:rPr>
          <w:color w:val="000000"/>
          <w:sz w:val="28"/>
          <w:szCs w:val="28"/>
        </w:rPr>
        <w:t xml:space="preserve"> līdz 2020.</w:t>
      </w:r>
      <w:r w:rsidR="001D588D">
        <w:rPr>
          <w:color w:val="000000"/>
          <w:sz w:val="28"/>
          <w:szCs w:val="28"/>
        </w:rPr>
        <w:t> </w:t>
      </w:r>
      <w:r w:rsidR="008147F5" w:rsidRPr="004B3240">
        <w:rPr>
          <w:color w:val="000000"/>
          <w:sz w:val="28"/>
          <w:szCs w:val="28"/>
        </w:rPr>
        <w:t xml:space="preserve">gadam kopā būtu nepieciešams </w:t>
      </w:r>
      <w:r w:rsidR="008C5F65" w:rsidRPr="004B3240">
        <w:rPr>
          <w:color w:val="000000"/>
          <w:sz w:val="28"/>
          <w:szCs w:val="28"/>
        </w:rPr>
        <w:t xml:space="preserve">renovēt </w:t>
      </w:r>
      <w:r w:rsidR="00282E56" w:rsidRPr="004B3240">
        <w:rPr>
          <w:color w:val="000000"/>
          <w:sz w:val="28"/>
          <w:szCs w:val="28"/>
        </w:rPr>
        <w:t>678 460</w:t>
      </w:r>
      <w:r w:rsidR="008147F5" w:rsidRPr="004B3240">
        <w:rPr>
          <w:color w:val="000000"/>
          <w:sz w:val="28"/>
          <w:szCs w:val="28"/>
        </w:rPr>
        <w:t xml:space="preserve"> m2 valsts ēku platības</w:t>
      </w:r>
      <w:r w:rsidR="0019700F" w:rsidRPr="004B3240">
        <w:rPr>
          <w:color w:val="000000"/>
          <w:sz w:val="28"/>
          <w:szCs w:val="28"/>
        </w:rPr>
        <w:t xml:space="preserve">, kas pēc mērķa sasniegšanas ļaus ietaupīt 50 885 </w:t>
      </w:r>
      <w:proofErr w:type="spellStart"/>
      <w:r w:rsidR="0019700F" w:rsidRPr="004B3240">
        <w:rPr>
          <w:color w:val="000000"/>
          <w:sz w:val="28"/>
          <w:szCs w:val="28"/>
        </w:rPr>
        <w:t>MWh</w:t>
      </w:r>
      <w:proofErr w:type="spellEnd"/>
      <w:r w:rsidR="0019700F" w:rsidRPr="004B3240">
        <w:rPr>
          <w:color w:val="000000"/>
          <w:sz w:val="28"/>
          <w:szCs w:val="28"/>
        </w:rPr>
        <w:t xml:space="preserve"> gadā</w:t>
      </w:r>
      <w:r w:rsidR="00F320A2">
        <w:rPr>
          <w:color w:val="000000"/>
          <w:sz w:val="28"/>
          <w:szCs w:val="28"/>
        </w:rPr>
        <w:t xml:space="preserve">. </w:t>
      </w:r>
    </w:p>
    <w:p w:rsidR="00BA5104" w:rsidRPr="004B3240" w:rsidRDefault="008C5F65" w:rsidP="004B3240">
      <w:pPr>
        <w:pStyle w:val="CM4"/>
        <w:ind w:firstLine="720"/>
        <w:jc w:val="both"/>
        <w:rPr>
          <w:rFonts w:ascii="Times New Roman" w:hAnsi="Times New Roman" w:cs="Times New Roman"/>
          <w:color w:val="000000"/>
          <w:sz w:val="28"/>
          <w:szCs w:val="28"/>
        </w:rPr>
      </w:pPr>
      <w:r w:rsidRPr="004B3240">
        <w:rPr>
          <w:rFonts w:ascii="Times New Roman" w:hAnsi="Times New Roman" w:cs="Times New Roman"/>
          <w:color w:val="000000"/>
          <w:sz w:val="28"/>
          <w:szCs w:val="28"/>
        </w:rPr>
        <w:t xml:space="preserve"> </w:t>
      </w:r>
    </w:p>
    <w:p w:rsidR="005922CF" w:rsidRDefault="005922CF" w:rsidP="005922CF">
      <w:pPr>
        <w:pStyle w:val="Default"/>
        <w:rPr>
          <w:sz w:val="28"/>
          <w:szCs w:val="28"/>
          <w:u w:val="single"/>
        </w:rPr>
      </w:pPr>
      <w:r>
        <w:rPr>
          <w:sz w:val="28"/>
          <w:szCs w:val="28"/>
          <w:u w:val="single"/>
        </w:rPr>
        <w:t>Alternatīvie pasākumi</w:t>
      </w:r>
    </w:p>
    <w:p w:rsidR="003F47F6" w:rsidRPr="005922CF" w:rsidRDefault="005922CF" w:rsidP="00221499">
      <w:pPr>
        <w:pStyle w:val="Default"/>
        <w:jc w:val="both"/>
        <w:rPr>
          <w:sz w:val="28"/>
          <w:szCs w:val="28"/>
          <w:u w:val="single"/>
        </w:rPr>
      </w:pPr>
      <w:r w:rsidRPr="007F2C5A">
        <w:rPr>
          <w:sz w:val="28"/>
          <w:szCs w:val="28"/>
        </w:rPr>
        <w:tab/>
      </w:r>
      <w:r w:rsidR="009B71D2" w:rsidRPr="009B71D2">
        <w:rPr>
          <w:sz w:val="28"/>
          <w:szCs w:val="28"/>
        </w:rPr>
        <w:t xml:space="preserve">Atbilstoši Direktīvas 2012/27/ES prasībām, dalībvalstis var izvēlēties alternatīvu pieeju </w:t>
      </w:r>
      <w:r w:rsidR="00735278">
        <w:rPr>
          <w:sz w:val="28"/>
          <w:szCs w:val="28"/>
        </w:rPr>
        <w:t>mērķa izpildei</w:t>
      </w:r>
      <w:r w:rsidR="009B71D2" w:rsidRPr="009B71D2">
        <w:rPr>
          <w:sz w:val="28"/>
          <w:szCs w:val="28"/>
        </w:rPr>
        <w:t xml:space="preserve">, īstenojot citus rentablus pasākumus, tostarp pilnīgu renovāciju, kā arī pasākumus nolūkā mainīt ēku izmantotāju paradumus, </w:t>
      </w:r>
      <w:r w:rsidR="009B71D2" w:rsidRPr="009B71D2">
        <w:rPr>
          <w:sz w:val="28"/>
          <w:szCs w:val="28"/>
        </w:rPr>
        <w:lastRenderedPageBreak/>
        <w:t xml:space="preserve">lai līdz 2020. gadam savas centrālās valdības īpašumā esošajās un izmantotajās ēkās, panāktu tādu enerģijas ietaupījuma apjomu, kas ir vismaz līdzvērtīgs Direktīvas 2012/27/ES </w:t>
      </w:r>
      <w:r w:rsidR="00735278">
        <w:rPr>
          <w:sz w:val="28"/>
          <w:szCs w:val="28"/>
        </w:rPr>
        <w:t>5.</w:t>
      </w:r>
      <w:r w:rsidR="00882FB9">
        <w:rPr>
          <w:sz w:val="28"/>
          <w:szCs w:val="28"/>
        </w:rPr>
        <w:t> </w:t>
      </w:r>
      <w:r w:rsidR="00735278">
        <w:rPr>
          <w:sz w:val="28"/>
          <w:szCs w:val="28"/>
        </w:rPr>
        <w:t xml:space="preserve">panta </w:t>
      </w:r>
      <w:r w:rsidR="009B71D2" w:rsidRPr="009B71D2">
        <w:rPr>
          <w:sz w:val="28"/>
          <w:szCs w:val="28"/>
        </w:rPr>
        <w:t>1. punktā noteiktajam apjomam, un kas tiek ziņots ik gadu.</w:t>
      </w:r>
      <w:r w:rsidR="0061585D">
        <w:rPr>
          <w:sz w:val="28"/>
          <w:szCs w:val="28"/>
        </w:rPr>
        <w:t xml:space="preserve"> </w:t>
      </w:r>
    </w:p>
    <w:p w:rsidR="003F47F6" w:rsidRDefault="003F47F6" w:rsidP="00265182">
      <w:pPr>
        <w:spacing w:after="240" w:line="240" w:lineRule="auto"/>
        <w:ind w:firstLine="720"/>
        <w:jc w:val="both"/>
        <w:rPr>
          <w:rFonts w:ascii="Times New Roman" w:hAnsi="Times New Roman" w:cs="Times New Roman"/>
          <w:sz w:val="28"/>
          <w:szCs w:val="28"/>
        </w:rPr>
      </w:pPr>
      <w:r w:rsidRPr="003F47F6">
        <w:rPr>
          <w:rFonts w:ascii="Times New Roman" w:hAnsi="Times New Roman" w:cs="Times New Roman"/>
          <w:sz w:val="28"/>
          <w:szCs w:val="28"/>
        </w:rPr>
        <w:t xml:space="preserve">Izvēloties šo risinājumu, Latvijai līdz 2013. gada 31. decembrim jāpaziņo </w:t>
      </w:r>
      <w:r w:rsidR="00F22D4D">
        <w:rPr>
          <w:rFonts w:ascii="Times New Roman" w:hAnsi="Times New Roman" w:cs="Times New Roman"/>
          <w:sz w:val="28"/>
          <w:szCs w:val="28"/>
        </w:rPr>
        <w:t>EK</w:t>
      </w:r>
      <w:r w:rsidRPr="003F47F6">
        <w:rPr>
          <w:rFonts w:ascii="Times New Roman" w:hAnsi="Times New Roman" w:cs="Times New Roman"/>
          <w:sz w:val="28"/>
          <w:szCs w:val="28"/>
        </w:rPr>
        <w:t xml:space="preserve"> par alternatīvajiem pasākumiem, ko tā plāno, kā arī jāpaskaidro, kā ar šiem pasākumiem tiks panākti līdzvērtīgi energoefektivitātes uzlabojumi centrālajai valdībai piederošajās ēkās. Alternatīvo pasākumu iespējas Latvijas apstākļos varētu būt ēku pilnīga renovācija, kas pārsniedz minimālās energoefektivitātes prasības, regulāru energoauditu veikšana un energovadības sistēmu ieviešana, kā arī pasākumi nolūkā mainīt ēku izmantotāju paradumus.</w:t>
      </w:r>
    </w:p>
    <w:p w:rsidR="0061585D" w:rsidRPr="0061585D" w:rsidRDefault="0061585D" w:rsidP="00882FB9">
      <w:pPr>
        <w:pStyle w:val="Heading3"/>
        <w:numPr>
          <w:ilvl w:val="2"/>
          <w:numId w:val="3"/>
        </w:numPr>
        <w:spacing w:before="0" w:after="240" w:line="240" w:lineRule="auto"/>
        <w:ind w:left="0" w:firstLine="0"/>
        <w:jc w:val="center"/>
        <w:rPr>
          <w:rFonts w:ascii="Times New Roman" w:hAnsi="Times New Roman" w:cs="Times New Roman"/>
          <w:color w:val="auto"/>
          <w:sz w:val="28"/>
          <w:szCs w:val="28"/>
        </w:rPr>
      </w:pPr>
      <w:bookmarkStart w:id="9" w:name="_Toc372269910"/>
      <w:r>
        <w:rPr>
          <w:rFonts w:ascii="Times New Roman" w:hAnsi="Times New Roman" w:cs="Times New Roman"/>
          <w:color w:val="auto"/>
          <w:sz w:val="28"/>
          <w:szCs w:val="28"/>
        </w:rPr>
        <w:t>Risinājuma varianti</w:t>
      </w:r>
      <w:r w:rsidR="00A027FA">
        <w:rPr>
          <w:rFonts w:ascii="Times New Roman" w:hAnsi="Times New Roman" w:cs="Times New Roman"/>
          <w:color w:val="auto"/>
          <w:sz w:val="28"/>
          <w:szCs w:val="28"/>
        </w:rPr>
        <w:t xml:space="preserve"> un to ietekme</w:t>
      </w:r>
      <w:bookmarkEnd w:id="9"/>
    </w:p>
    <w:p w:rsidR="0061585D" w:rsidRDefault="0061585D" w:rsidP="00995E9F">
      <w:pPr>
        <w:spacing w:after="240" w:line="240" w:lineRule="auto"/>
        <w:jc w:val="both"/>
        <w:rPr>
          <w:rFonts w:ascii="Times New Roman" w:hAnsi="Times New Roman" w:cs="Times New Roman"/>
          <w:color w:val="000000"/>
          <w:sz w:val="28"/>
          <w:szCs w:val="28"/>
        </w:rPr>
      </w:pPr>
      <w:r w:rsidRPr="00735278">
        <w:rPr>
          <w:rFonts w:ascii="Times New Roman" w:hAnsi="Times New Roman" w:cs="Times New Roman"/>
          <w:b/>
          <w:color w:val="000000"/>
          <w:sz w:val="28"/>
          <w:szCs w:val="28"/>
        </w:rPr>
        <w:t>1.</w:t>
      </w:r>
      <w:r w:rsidR="00882FB9">
        <w:rPr>
          <w:rFonts w:ascii="Times New Roman" w:hAnsi="Times New Roman" w:cs="Times New Roman"/>
          <w:b/>
          <w:color w:val="000000"/>
          <w:sz w:val="28"/>
          <w:szCs w:val="28"/>
        </w:rPr>
        <w:t> </w:t>
      </w:r>
      <w:r w:rsidRPr="00735278">
        <w:rPr>
          <w:rFonts w:ascii="Times New Roman" w:hAnsi="Times New Roman" w:cs="Times New Roman"/>
          <w:b/>
          <w:color w:val="000000"/>
          <w:sz w:val="28"/>
          <w:szCs w:val="28"/>
        </w:rPr>
        <w:t>variants</w:t>
      </w:r>
      <w:r>
        <w:rPr>
          <w:rFonts w:ascii="Times New Roman" w:hAnsi="Times New Roman" w:cs="Times New Roman"/>
          <w:color w:val="000000"/>
          <w:sz w:val="28"/>
          <w:szCs w:val="28"/>
        </w:rPr>
        <w:t xml:space="preserve"> – </w:t>
      </w:r>
      <w:r w:rsidR="00BA0325">
        <w:rPr>
          <w:rFonts w:ascii="Times New Roman" w:hAnsi="Times New Roman" w:cs="Times New Roman"/>
          <w:color w:val="000000"/>
          <w:sz w:val="28"/>
          <w:szCs w:val="28"/>
        </w:rPr>
        <w:t>s</w:t>
      </w:r>
      <w:r w:rsidR="00735278" w:rsidRPr="00357C8E">
        <w:rPr>
          <w:rFonts w:ascii="Times New Roman" w:hAnsi="Times New Roman" w:cs="Times New Roman"/>
          <w:b/>
          <w:color w:val="000000"/>
          <w:sz w:val="28"/>
          <w:szCs w:val="28"/>
        </w:rPr>
        <w:t>ākot ar 2014. gada 1. janvāri, katru gadu renovēt 3 % kopējās platības tās centrālās valdības īpašumā esošajās un izmantotajās ēkās, kuras apsilda un/vai dzesē, lai izpildītu vismaz minimālās energoefektivitātes prasības</w:t>
      </w:r>
      <w:r w:rsidR="00735278">
        <w:rPr>
          <w:rFonts w:ascii="Times New Roman" w:hAnsi="Times New Roman" w:cs="Times New Roman"/>
          <w:color w:val="000000"/>
          <w:sz w:val="28"/>
          <w:szCs w:val="28"/>
        </w:rPr>
        <w:t>.</w:t>
      </w:r>
    </w:p>
    <w:p w:rsidR="00ED4C42" w:rsidRPr="00F42109" w:rsidRDefault="00357C8E" w:rsidP="00D214A2">
      <w:pPr>
        <w:spacing w:after="0" w:line="240" w:lineRule="auto"/>
        <w:ind w:firstLine="720"/>
        <w:jc w:val="both"/>
        <w:rPr>
          <w:rFonts w:ascii="Times New Roman" w:hAnsi="Times New Roman" w:cs="Times New Roman"/>
          <w:color w:val="000000"/>
          <w:sz w:val="28"/>
          <w:szCs w:val="28"/>
        </w:rPr>
      </w:pPr>
      <w:r w:rsidRPr="00F42109">
        <w:rPr>
          <w:rFonts w:ascii="Times New Roman" w:hAnsi="Times New Roman" w:cs="Times New Roman"/>
          <w:color w:val="000000"/>
          <w:sz w:val="28"/>
          <w:szCs w:val="28"/>
        </w:rPr>
        <w:t xml:space="preserve">Šis risinājuma variants atstāj ietekmi uz valsts budžetu, bet neietekmē pašvaldību budžetus. </w:t>
      </w:r>
      <w:r w:rsidR="005A57E8" w:rsidRPr="00F42109">
        <w:rPr>
          <w:rFonts w:ascii="Times New Roman" w:hAnsi="Times New Roman" w:cs="Times New Roman"/>
          <w:color w:val="000000"/>
          <w:sz w:val="28"/>
          <w:szCs w:val="28"/>
        </w:rPr>
        <w:t xml:space="preserve">Pēc </w:t>
      </w:r>
      <w:r w:rsidR="00F22D4D">
        <w:rPr>
          <w:rFonts w:ascii="Times New Roman" w:hAnsi="Times New Roman" w:cs="Times New Roman"/>
          <w:color w:val="000000"/>
          <w:sz w:val="28"/>
          <w:szCs w:val="28"/>
        </w:rPr>
        <w:t>EM</w:t>
      </w:r>
      <w:r w:rsidR="005A57E8" w:rsidRPr="00F42109">
        <w:rPr>
          <w:rFonts w:ascii="Times New Roman" w:hAnsi="Times New Roman" w:cs="Times New Roman"/>
          <w:color w:val="000000"/>
          <w:sz w:val="28"/>
          <w:szCs w:val="28"/>
        </w:rPr>
        <w:t xml:space="preserve"> ekspertu vērtējuma</w:t>
      </w:r>
      <w:r w:rsidR="00B07EFA" w:rsidRPr="00F42109">
        <w:t xml:space="preserve"> </w:t>
      </w:r>
      <w:r w:rsidR="00B07EFA" w:rsidRPr="00F42109">
        <w:rPr>
          <w:rFonts w:ascii="Times New Roman" w:hAnsi="Times New Roman" w:cs="Times New Roman"/>
          <w:color w:val="000000"/>
          <w:sz w:val="28"/>
          <w:szCs w:val="28"/>
        </w:rPr>
        <w:t xml:space="preserve">energoefektivitātes pasākumu izmaksas publiskajās ēkās </w:t>
      </w:r>
      <w:r w:rsidR="00A121FA">
        <w:rPr>
          <w:rFonts w:ascii="Times New Roman" w:hAnsi="Times New Roman" w:cs="Times New Roman"/>
          <w:color w:val="000000"/>
          <w:sz w:val="28"/>
          <w:szCs w:val="28"/>
        </w:rPr>
        <w:t>un</w:t>
      </w:r>
      <w:r w:rsidR="00690D1B" w:rsidRPr="00F42109">
        <w:rPr>
          <w:rFonts w:ascii="Times New Roman" w:hAnsi="Times New Roman" w:cs="Times New Roman"/>
          <w:color w:val="000000"/>
          <w:sz w:val="28"/>
          <w:szCs w:val="28"/>
        </w:rPr>
        <w:t xml:space="preserve"> mājokļos </w:t>
      </w:r>
      <w:r w:rsidR="00A121FA">
        <w:rPr>
          <w:rFonts w:ascii="Times New Roman" w:hAnsi="Times New Roman" w:cs="Times New Roman"/>
          <w:color w:val="000000"/>
          <w:sz w:val="28"/>
          <w:szCs w:val="28"/>
        </w:rPr>
        <w:t>2014.</w:t>
      </w:r>
      <w:r w:rsidR="00760115">
        <w:rPr>
          <w:rFonts w:ascii="Times New Roman" w:hAnsi="Times New Roman" w:cs="Times New Roman"/>
          <w:color w:val="000000"/>
          <w:sz w:val="28"/>
          <w:szCs w:val="28"/>
        </w:rPr>
        <w:t> </w:t>
      </w:r>
      <w:r w:rsidR="00A121FA">
        <w:rPr>
          <w:rFonts w:ascii="Times New Roman" w:hAnsi="Times New Roman" w:cs="Times New Roman"/>
          <w:color w:val="000000"/>
          <w:sz w:val="28"/>
          <w:szCs w:val="28"/>
        </w:rPr>
        <w:t>-</w:t>
      </w:r>
      <w:r w:rsidR="00760115">
        <w:rPr>
          <w:rFonts w:ascii="Times New Roman" w:hAnsi="Times New Roman" w:cs="Times New Roman"/>
          <w:color w:val="000000"/>
          <w:sz w:val="28"/>
          <w:szCs w:val="28"/>
        </w:rPr>
        <w:t> </w:t>
      </w:r>
      <w:r w:rsidR="00A121FA">
        <w:rPr>
          <w:rFonts w:ascii="Times New Roman" w:hAnsi="Times New Roman" w:cs="Times New Roman"/>
          <w:color w:val="000000"/>
          <w:sz w:val="28"/>
          <w:szCs w:val="28"/>
        </w:rPr>
        <w:t>2020.</w:t>
      </w:r>
      <w:r w:rsidR="00760115">
        <w:rPr>
          <w:rFonts w:ascii="Times New Roman" w:hAnsi="Times New Roman" w:cs="Times New Roman"/>
          <w:color w:val="000000"/>
          <w:sz w:val="28"/>
          <w:szCs w:val="28"/>
        </w:rPr>
        <w:t> </w:t>
      </w:r>
      <w:r w:rsidR="00A121FA">
        <w:rPr>
          <w:rFonts w:ascii="Times New Roman" w:hAnsi="Times New Roman" w:cs="Times New Roman"/>
          <w:color w:val="000000"/>
          <w:sz w:val="28"/>
          <w:szCs w:val="28"/>
        </w:rPr>
        <w:t>gada periodā būs</w:t>
      </w:r>
      <w:r w:rsidR="00690D1B" w:rsidRPr="00F42109">
        <w:rPr>
          <w:rFonts w:ascii="Times New Roman" w:hAnsi="Times New Roman" w:cs="Times New Roman"/>
          <w:color w:val="000000"/>
          <w:sz w:val="28"/>
          <w:szCs w:val="28"/>
        </w:rPr>
        <w:t xml:space="preserve"> </w:t>
      </w:r>
      <w:r w:rsidR="00CF262F">
        <w:rPr>
          <w:rFonts w:ascii="Times New Roman" w:hAnsi="Times New Roman" w:cs="Times New Roman"/>
          <w:color w:val="000000"/>
          <w:sz w:val="28"/>
          <w:szCs w:val="28"/>
        </w:rPr>
        <w:t>vidēji 100 LVL</w:t>
      </w:r>
      <w:r w:rsidR="00B07EFA" w:rsidRPr="00F42109">
        <w:rPr>
          <w:rFonts w:ascii="Times New Roman" w:hAnsi="Times New Roman" w:cs="Times New Roman"/>
          <w:color w:val="000000"/>
          <w:sz w:val="28"/>
          <w:szCs w:val="28"/>
        </w:rPr>
        <w:t>/m</w:t>
      </w:r>
      <w:r w:rsidR="00B07EFA" w:rsidRPr="00F42109">
        <w:rPr>
          <w:rFonts w:ascii="Times New Roman" w:hAnsi="Times New Roman" w:cs="Times New Roman"/>
          <w:color w:val="000000"/>
          <w:sz w:val="28"/>
          <w:szCs w:val="28"/>
          <w:vertAlign w:val="superscript"/>
        </w:rPr>
        <w:t>2</w:t>
      </w:r>
      <w:r w:rsidR="00ED2D83">
        <w:rPr>
          <w:rFonts w:ascii="Times New Roman" w:hAnsi="Times New Roman" w:cs="Times New Roman"/>
          <w:color w:val="000000"/>
          <w:sz w:val="28"/>
          <w:szCs w:val="28"/>
        </w:rPr>
        <w:t xml:space="preserve"> (142,29 EUR/m</w:t>
      </w:r>
      <w:r w:rsidR="00ED2D83">
        <w:rPr>
          <w:rFonts w:ascii="Times New Roman" w:hAnsi="Times New Roman" w:cs="Times New Roman"/>
          <w:color w:val="000000"/>
          <w:sz w:val="28"/>
          <w:szCs w:val="28"/>
          <w:vertAlign w:val="superscript"/>
        </w:rPr>
        <w:t>2</w:t>
      </w:r>
      <w:r w:rsidR="00ED2D83">
        <w:rPr>
          <w:rFonts w:ascii="Times New Roman" w:hAnsi="Times New Roman" w:cs="Times New Roman"/>
          <w:color w:val="000000"/>
          <w:sz w:val="28"/>
          <w:szCs w:val="28"/>
        </w:rPr>
        <w:t>)</w:t>
      </w:r>
      <w:r w:rsidR="00B07EFA" w:rsidRPr="00F42109">
        <w:rPr>
          <w:rFonts w:ascii="Times New Roman" w:hAnsi="Times New Roman" w:cs="Times New Roman"/>
          <w:color w:val="000000"/>
          <w:sz w:val="28"/>
          <w:szCs w:val="28"/>
        </w:rPr>
        <w:t>, līdz ar to 3</w:t>
      </w:r>
      <w:r w:rsidR="00882FB9" w:rsidRPr="00F42109">
        <w:rPr>
          <w:rFonts w:ascii="Times New Roman" w:hAnsi="Times New Roman" w:cs="Times New Roman"/>
          <w:color w:val="000000"/>
          <w:sz w:val="28"/>
          <w:szCs w:val="28"/>
        </w:rPr>
        <w:t> </w:t>
      </w:r>
      <w:r w:rsidR="00B07EFA" w:rsidRPr="00F42109">
        <w:rPr>
          <w:rFonts w:ascii="Times New Roman" w:hAnsi="Times New Roman" w:cs="Times New Roman"/>
          <w:color w:val="000000"/>
          <w:sz w:val="28"/>
          <w:szCs w:val="28"/>
        </w:rPr>
        <w:t>% mērķa sasniegšanai nepieciešam</w:t>
      </w:r>
      <w:r w:rsidR="00CF262F">
        <w:rPr>
          <w:rFonts w:ascii="Times New Roman" w:hAnsi="Times New Roman" w:cs="Times New Roman"/>
          <w:color w:val="000000"/>
          <w:sz w:val="28"/>
          <w:szCs w:val="28"/>
        </w:rPr>
        <w:t xml:space="preserve">ais </w:t>
      </w:r>
      <w:r w:rsidR="00B07EFA" w:rsidRPr="00F42109">
        <w:rPr>
          <w:rFonts w:ascii="Times New Roman" w:hAnsi="Times New Roman" w:cs="Times New Roman"/>
          <w:color w:val="000000"/>
          <w:sz w:val="28"/>
          <w:szCs w:val="28"/>
        </w:rPr>
        <w:t xml:space="preserve"> finansējums </w:t>
      </w:r>
      <w:r w:rsidR="00EB0ED1">
        <w:rPr>
          <w:rFonts w:ascii="Times New Roman" w:hAnsi="Times New Roman" w:cs="Times New Roman"/>
          <w:color w:val="000000"/>
          <w:sz w:val="28"/>
          <w:szCs w:val="28"/>
        </w:rPr>
        <w:t>67,85</w:t>
      </w:r>
      <w:r w:rsidR="00B07EFA" w:rsidRPr="00F42109">
        <w:rPr>
          <w:rFonts w:ascii="Times New Roman" w:hAnsi="Times New Roman" w:cs="Times New Roman"/>
          <w:color w:val="000000"/>
          <w:sz w:val="28"/>
          <w:szCs w:val="28"/>
        </w:rPr>
        <w:t xml:space="preserve"> </w:t>
      </w:r>
      <w:proofErr w:type="spellStart"/>
      <w:r w:rsidR="00B07EFA" w:rsidRPr="00F42109">
        <w:rPr>
          <w:rFonts w:ascii="Times New Roman" w:hAnsi="Times New Roman" w:cs="Times New Roman"/>
          <w:color w:val="000000"/>
          <w:sz w:val="28"/>
          <w:szCs w:val="28"/>
        </w:rPr>
        <w:t>milj</w:t>
      </w:r>
      <w:proofErr w:type="spellEnd"/>
      <w:r w:rsidR="00B07EFA" w:rsidRPr="00F42109">
        <w:rPr>
          <w:rFonts w:ascii="Times New Roman" w:hAnsi="Times New Roman" w:cs="Times New Roman"/>
          <w:color w:val="000000"/>
          <w:sz w:val="28"/>
          <w:szCs w:val="28"/>
        </w:rPr>
        <w:t>. LVL</w:t>
      </w:r>
      <w:r w:rsidR="00A26FF0">
        <w:rPr>
          <w:rFonts w:ascii="Times New Roman" w:hAnsi="Times New Roman" w:cs="Times New Roman"/>
          <w:color w:val="000000"/>
          <w:sz w:val="28"/>
          <w:szCs w:val="28"/>
        </w:rPr>
        <w:t xml:space="preserve"> (96 541 852,35 EUR)</w:t>
      </w:r>
      <w:r w:rsidR="00B07EFA" w:rsidRPr="00F42109">
        <w:rPr>
          <w:rFonts w:ascii="Times New Roman" w:hAnsi="Times New Roman" w:cs="Times New Roman"/>
          <w:color w:val="000000"/>
          <w:sz w:val="28"/>
          <w:szCs w:val="28"/>
        </w:rPr>
        <w:t xml:space="preserve"> apjomā</w:t>
      </w:r>
      <w:r w:rsidR="006F1357" w:rsidRPr="00F42109">
        <w:rPr>
          <w:rFonts w:ascii="Times New Roman" w:hAnsi="Times New Roman" w:cs="Times New Roman"/>
          <w:color w:val="000000"/>
          <w:sz w:val="28"/>
          <w:szCs w:val="28"/>
        </w:rPr>
        <w:t xml:space="preserve">, jeb </w:t>
      </w:r>
      <w:r w:rsidR="00EB0ED1">
        <w:rPr>
          <w:rFonts w:ascii="Times New Roman" w:hAnsi="Times New Roman" w:cs="Times New Roman"/>
          <w:color w:val="000000"/>
          <w:sz w:val="28"/>
          <w:szCs w:val="28"/>
        </w:rPr>
        <w:t>9</w:t>
      </w:r>
      <w:r w:rsidR="006F1357" w:rsidRPr="00F42109">
        <w:rPr>
          <w:rFonts w:ascii="Times New Roman" w:hAnsi="Times New Roman" w:cs="Times New Roman"/>
          <w:color w:val="000000"/>
          <w:sz w:val="28"/>
          <w:szCs w:val="28"/>
        </w:rPr>
        <w:t>,6</w:t>
      </w:r>
      <w:r w:rsidR="00EB0ED1">
        <w:rPr>
          <w:rFonts w:ascii="Times New Roman" w:hAnsi="Times New Roman" w:cs="Times New Roman"/>
          <w:color w:val="000000"/>
          <w:sz w:val="28"/>
          <w:szCs w:val="28"/>
        </w:rPr>
        <w:t>9</w:t>
      </w:r>
      <w:r w:rsidR="006F1357" w:rsidRPr="00F42109">
        <w:rPr>
          <w:rFonts w:ascii="Times New Roman" w:hAnsi="Times New Roman" w:cs="Times New Roman"/>
          <w:color w:val="000000"/>
          <w:sz w:val="28"/>
          <w:szCs w:val="28"/>
        </w:rPr>
        <w:t xml:space="preserve"> </w:t>
      </w:r>
      <w:proofErr w:type="spellStart"/>
      <w:r w:rsidR="006F1357" w:rsidRPr="00F42109">
        <w:rPr>
          <w:rFonts w:ascii="Times New Roman" w:hAnsi="Times New Roman" w:cs="Times New Roman"/>
          <w:color w:val="000000"/>
          <w:sz w:val="28"/>
          <w:szCs w:val="28"/>
        </w:rPr>
        <w:t>milj</w:t>
      </w:r>
      <w:proofErr w:type="spellEnd"/>
      <w:r w:rsidR="006F1357" w:rsidRPr="00F42109">
        <w:rPr>
          <w:rFonts w:ascii="Times New Roman" w:hAnsi="Times New Roman" w:cs="Times New Roman"/>
          <w:color w:val="000000"/>
          <w:sz w:val="28"/>
          <w:szCs w:val="28"/>
        </w:rPr>
        <w:t>. LVL</w:t>
      </w:r>
      <w:r w:rsidR="00A26FF0">
        <w:rPr>
          <w:rFonts w:ascii="Times New Roman" w:hAnsi="Times New Roman" w:cs="Times New Roman"/>
          <w:color w:val="000000"/>
          <w:sz w:val="28"/>
          <w:szCs w:val="28"/>
        </w:rPr>
        <w:t xml:space="preserve"> (13 787 627,85 EUR)</w:t>
      </w:r>
      <w:r w:rsidR="006F1357" w:rsidRPr="00F42109">
        <w:rPr>
          <w:rFonts w:ascii="Times New Roman" w:hAnsi="Times New Roman" w:cs="Times New Roman"/>
          <w:color w:val="000000"/>
          <w:sz w:val="28"/>
          <w:szCs w:val="28"/>
        </w:rPr>
        <w:t xml:space="preserve"> katru gadu</w:t>
      </w:r>
      <w:r w:rsidR="00036FCC" w:rsidRPr="00F42109">
        <w:rPr>
          <w:rFonts w:ascii="Times New Roman" w:hAnsi="Times New Roman" w:cs="Times New Roman"/>
          <w:color w:val="000000"/>
          <w:sz w:val="28"/>
          <w:szCs w:val="28"/>
        </w:rPr>
        <w:t>.</w:t>
      </w:r>
      <w:r w:rsidR="00690D1B" w:rsidRPr="00F42109">
        <w:rPr>
          <w:rFonts w:ascii="Times New Roman" w:hAnsi="Times New Roman" w:cs="Times New Roman"/>
          <w:color w:val="000000"/>
          <w:sz w:val="28"/>
          <w:szCs w:val="28"/>
        </w:rPr>
        <w:t xml:space="preserve"> </w:t>
      </w:r>
      <w:r w:rsidR="00971CDB" w:rsidRPr="000468F7">
        <w:rPr>
          <w:rFonts w:ascii="Times New Roman" w:hAnsi="Times New Roman" w:cs="Times New Roman"/>
          <w:color w:val="000000"/>
          <w:sz w:val="28"/>
          <w:szCs w:val="28"/>
        </w:rPr>
        <w:t xml:space="preserve">Ņemot vērā to, ka publisko ēku finansēšanai paredzēts piesaistīt ES fondus, valsts budžeta kopējais līdzfinansējums nepieciešams 6,57 </w:t>
      </w:r>
      <w:proofErr w:type="spellStart"/>
      <w:r w:rsidR="00971CDB" w:rsidRPr="000468F7">
        <w:rPr>
          <w:rFonts w:ascii="Times New Roman" w:hAnsi="Times New Roman" w:cs="Times New Roman"/>
          <w:color w:val="000000"/>
          <w:sz w:val="28"/>
          <w:szCs w:val="28"/>
        </w:rPr>
        <w:t>milj</w:t>
      </w:r>
      <w:proofErr w:type="spellEnd"/>
      <w:r w:rsidR="00971CDB" w:rsidRPr="000468F7">
        <w:rPr>
          <w:rFonts w:ascii="Times New Roman" w:hAnsi="Times New Roman" w:cs="Times New Roman"/>
          <w:color w:val="000000"/>
          <w:sz w:val="28"/>
          <w:szCs w:val="28"/>
        </w:rPr>
        <w:t>. LVL</w:t>
      </w:r>
      <w:r w:rsidR="00A26FF0">
        <w:rPr>
          <w:rFonts w:ascii="Times New Roman" w:hAnsi="Times New Roman" w:cs="Times New Roman"/>
          <w:color w:val="000000"/>
          <w:sz w:val="28"/>
          <w:szCs w:val="28"/>
        </w:rPr>
        <w:t xml:space="preserve"> (9 348 267,80 EUR)</w:t>
      </w:r>
      <w:r w:rsidR="00971CDB" w:rsidRPr="000468F7">
        <w:rPr>
          <w:rFonts w:ascii="Times New Roman" w:hAnsi="Times New Roman" w:cs="Times New Roman"/>
          <w:color w:val="000000"/>
          <w:sz w:val="28"/>
          <w:szCs w:val="28"/>
        </w:rPr>
        <w:t xml:space="preserve"> apjomā, un risinājums atstāj papildus ietekmi uz valsts budžetu.</w:t>
      </w:r>
      <w:r w:rsidR="00971CDB">
        <w:t xml:space="preserve"> </w:t>
      </w:r>
      <w:r w:rsidR="00D214A2" w:rsidRPr="00F42109">
        <w:rPr>
          <w:rFonts w:ascii="Times New Roman" w:hAnsi="Times New Roman" w:cs="Times New Roman"/>
          <w:color w:val="000000"/>
          <w:sz w:val="28"/>
          <w:szCs w:val="28"/>
        </w:rPr>
        <w:t xml:space="preserve">Vienlaikus </w:t>
      </w:r>
      <w:r w:rsidR="00236F12">
        <w:rPr>
          <w:rFonts w:ascii="Times New Roman" w:hAnsi="Times New Roman" w:cs="Times New Roman"/>
          <w:color w:val="000000"/>
          <w:sz w:val="28"/>
          <w:szCs w:val="28"/>
        </w:rPr>
        <w:t>ietekme var mainīties,</w:t>
      </w:r>
      <w:r w:rsidR="00D214A2" w:rsidRPr="00F42109">
        <w:rPr>
          <w:rFonts w:ascii="Times New Roman" w:hAnsi="Times New Roman" w:cs="Times New Roman"/>
          <w:color w:val="000000"/>
          <w:sz w:val="28"/>
          <w:szCs w:val="28"/>
        </w:rPr>
        <w:t xml:space="preserve"> ja </w:t>
      </w:r>
      <w:r w:rsidR="004E6688">
        <w:rPr>
          <w:rFonts w:ascii="Times New Roman" w:hAnsi="Times New Roman" w:cs="Times New Roman"/>
          <w:color w:val="000000"/>
          <w:sz w:val="28"/>
          <w:szCs w:val="28"/>
        </w:rPr>
        <w:t xml:space="preserve">centrālās valdības </w:t>
      </w:r>
      <w:r w:rsidR="00C4548F" w:rsidRPr="00F42109">
        <w:rPr>
          <w:rFonts w:ascii="Times New Roman" w:hAnsi="Times New Roman" w:cs="Times New Roman"/>
          <w:color w:val="000000"/>
          <w:sz w:val="28"/>
          <w:szCs w:val="28"/>
        </w:rPr>
        <w:t xml:space="preserve"> ēku renovācijai tiek izvēlēts 2.</w:t>
      </w:r>
      <w:r w:rsidR="00236F12">
        <w:rPr>
          <w:rFonts w:ascii="Times New Roman" w:hAnsi="Times New Roman" w:cs="Times New Roman"/>
          <w:color w:val="000000"/>
          <w:sz w:val="28"/>
          <w:szCs w:val="28"/>
        </w:rPr>
        <w:t>6</w:t>
      </w:r>
      <w:r w:rsidR="00C4548F" w:rsidRPr="00F42109">
        <w:rPr>
          <w:rFonts w:ascii="Times New Roman" w:hAnsi="Times New Roman" w:cs="Times New Roman"/>
          <w:color w:val="000000"/>
          <w:sz w:val="28"/>
          <w:szCs w:val="28"/>
        </w:rPr>
        <w:t>. nodaļā minētais risinājums - valsts energoefektivitātes fonds</w:t>
      </w:r>
      <w:r w:rsidR="008F6287">
        <w:rPr>
          <w:rFonts w:ascii="Times New Roman" w:hAnsi="Times New Roman" w:cs="Times New Roman"/>
          <w:color w:val="000000"/>
          <w:sz w:val="28"/>
          <w:szCs w:val="28"/>
        </w:rPr>
        <w:t xml:space="preserve"> - </w:t>
      </w:r>
      <w:r w:rsidR="00C4548F" w:rsidRPr="00F42109">
        <w:rPr>
          <w:rFonts w:ascii="Times New Roman" w:hAnsi="Times New Roman" w:cs="Times New Roman"/>
          <w:color w:val="000000"/>
          <w:sz w:val="28"/>
          <w:szCs w:val="28"/>
        </w:rPr>
        <w:t xml:space="preserve">kas </w:t>
      </w:r>
      <w:r w:rsidR="0078560B">
        <w:rPr>
          <w:rFonts w:ascii="Times New Roman" w:hAnsi="Times New Roman" w:cs="Times New Roman"/>
          <w:color w:val="000000"/>
          <w:sz w:val="28"/>
          <w:szCs w:val="28"/>
        </w:rPr>
        <w:t>var piešķirt ne tikai grantus, bet arī aizdevumus</w:t>
      </w:r>
      <w:r w:rsidR="00236F12">
        <w:rPr>
          <w:rFonts w:ascii="Times New Roman" w:hAnsi="Times New Roman" w:cs="Times New Roman"/>
          <w:color w:val="000000"/>
          <w:sz w:val="28"/>
          <w:szCs w:val="28"/>
        </w:rPr>
        <w:t xml:space="preserve"> (vai arī valsts finansē ēku renovāciju no budžeta līdzekļiem), valsts budžet</w:t>
      </w:r>
      <w:r w:rsidR="00AE4C26">
        <w:rPr>
          <w:rFonts w:ascii="Times New Roman" w:hAnsi="Times New Roman" w:cs="Times New Roman"/>
          <w:color w:val="000000"/>
          <w:sz w:val="28"/>
          <w:szCs w:val="28"/>
        </w:rPr>
        <w:t>ā</w:t>
      </w:r>
      <w:r w:rsidR="00236F12">
        <w:rPr>
          <w:rFonts w:ascii="Times New Roman" w:hAnsi="Times New Roman" w:cs="Times New Roman"/>
          <w:color w:val="000000"/>
          <w:sz w:val="28"/>
          <w:szCs w:val="28"/>
        </w:rPr>
        <w:t xml:space="preserve"> būs </w:t>
      </w:r>
      <w:r w:rsidR="00AE4C26">
        <w:rPr>
          <w:rFonts w:ascii="Times New Roman" w:hAnsi="Times New Roman" w:cs="Times New Roman"/>
          <w:color w:val="000000"/>
          <w:sz w:val="28"/>
          <w:szCs w:val="28"/>
        </w:rPr>
        <w:t>jāparedz pilnas valsts ēku renovācijas izmaksas.</w:t>
      </w:r>
    </w:p>
    <w:p w:rsidR="00894A0A" w:rsidRDefault="00A3435D" w:rsidP="00BA5360">
      <w:pPr>
        <w:spacing w:after="240" w:line="240" w:lineRule="auto"/>
        <w:ind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Centrālās valdības </w:t>
      </w:r>
      <w:r w:rsidR="00894A0A" w:rsidRPr="00F42109">
        <w:rPr>
          <w:rFonts w:ascii="Times New Roman" w:hAnsi="Times New Roman" w:cs="Times New Roman"/>
          <w:color w:val="000000"/>
          <w:sz w:val="28"/>
          <w:szCs w:val="28"/>
        </w:rPr>
        <w:t xml:space="preserve"> ēku renovācijas rezultātā samazināsies maksājumi par siltumenerģiju. 3</w:t>
      </w:r>
      <w:r w:rsidR="00BA5360" w:rsidRPr="00F42109">
        <w:rPr>
          <w:rFonts w:ascii="Times New Roman" w:hAnsi="Times New Roman" w:cs="Times New Roman"/>
          <w:color w:val="000000"/>
          <w:sz w:val="28"/>
          <w:szCs w:val="28"/>
        </w:rPr>
        <w:t> </w:t>
      </w:r>
      <w:r w:rsidR="00894A0A" w:rsidRPr="00F42109">
        <w:rPr>
          <w:rFonts w:ascii="Times New Roman" w:hAnsi="Times New Roman" w:cs="Times New Roman"/>
          <w:color w:val="000000"/>
          <w:sz w:val="28"/>
          <w:szCs w:val="28"/>
        </w:rPr>
        <w:t>% mērķ</w:t>
      </w:r>
      <w:r w:rsidR="008B7308" w:rsidRPr="00F42109">
        <w:rPr>
          <w:rFonts w:ascii="Times New Roman" w:hAnsi="Times New Roman" w:cs="Times New Roman"/>
          <w:color w:val="000000"/>
          <w:sz w:val="28"/>
          <w:szCs w:val="28"/>
        </w:rPr>
        <w:t xml:space="preserve">a sasniegšanas rezultātā valsts ēku enerģijas patēriņš </w:t>
      </w:r>
      <w:r w:rsidR="00D65AF6">
        <w:rPr>
          <w:rFonts w:ascii="Times New Roman" w:hAnsi="Times New Roman" w:cs="Times New Roman"/>
          <w:color w:val="000000"/>
          <w:sz w:val="28"/>
          <w:szCs w:val="28"/>
        </w:rPr>
        <w:t>(salīdzinājumā ar stāvokli pirms 3</w:t>
      </w:r>
      <w:r w:rsidR="00760115">
        <w:rPr>
          <w:rFonts w:ascii="Times New Roman" w:hAnsi="Times New Roman" w:cs="Times New Roman"/>
          <w:color w:val="000000"/>
          <w:sz w:val="28"/>
          <w:szCs w:val="28"/>
        </w:rPr>
        <w:t> </w:t>
      </w:r>
      <w:r w:rsidR="00D65AF6">
        <w:rPr>
          <w:rFonts w:ascii="Times New Roman" w:hAnsi="Times New Roman" w:cs="Times New Roman"/>
          <w:color w:val="000000"/>
          <w:sz w:val="28"/>
          <w:szCs w:val="28"/>
        </w:rPr>
        <w:t xml:space="preserve">% platības renovācijas) </w:t>
      </w:r>
      <w:r w:rsidR="008B7308" w:rsidRPr="00F42109">
        <w:rPr>
          <w:rFonts w:ascii="Times New Roman" w:hAnsi="Times New Roman" w:cs="Times New Roman"/>
          <w:color w:val="000000"/>
          <w:sz w:val="28"/>
          <w:szCs w:val="28"/>
        </w:rPr>
        <w:t xml:space="preserve">samazināsies kopumā par </w:t>
      </w:r>
      <w:r w:rsidR="00EB0ED1">
        <w:rPr>
          <w:rFonts w:ascii="Times New Roman" w:hAnsi="Times New Roman" w:cs="Times New Roman"/>
          <w:color w:val="000000"/>
          <w:sz w:val="28"/>
          <w:szCs w:val="28"/>
        </w:rPr>
        <w:t>50 885</w:t>
      </w:r>
      <w:r w:rsidR="00894A0A" w:rsidRPr="00F42109">
        <w:rPr>
          <w:rFonts w:ascii="Times New Roman" w:hAnsi="Times New Roman" w:cs="Times New Roman"/>
          <w:color w:val="000000"/>
          <w:sz w:val="28"/>
          <w:szCs w:val="28"/>
        </w:rPr>
        <w:t xml:space="preserve"> </w:t>
      </w:r>
      <w:proofErr w:type="spellStart"/>
      <w:r w:rsidR="00894A0A" w:rsidRPr="00F42109">
        <w:rPr>
          <w:rFonts w:ascii="Times New Roman" w:hAnsi="Times New Roman" w:cs="Times New Roman"/>
          <w:color w:val="000000"/>
          <w:sz w:val="28"/>
          <w:szCs w:val="28"/>
        </w:rPr>
        <w:t>MWh</w:t>
      </w:r>
      <w:proofErr w:type="spellEnd"/>
      <w:r w:rsidR="00894A0A" w:rsidRPr="00F42109">
        <w:rPr>
          <w:rFonts w:ascii="Times New Roman" w:hAnsi="Times New Roman" w:cs="Times New Roman"/>
          <w:color w:val="000000"/>
          <w:sz w:val="28"/>
          <w:szCs w:val="28"/>
        </w:rPr>
        <w:t xml:space="preserve">, līdz ar to </w:t>
      </w:r>
      <w:r w:rsidR="00A027FA" w:rsidRPr="00A027FA">
        <w:rPr>
          <w:rFonts w:ascii="Times New Roman" w:hAnsi="Times New Roman" w:cs="Times New Roman"/>
          <w:color w:val="000000"/>
          <w:sz w:val="28"/>
          <w:szCs w:val="28"/>
        </w:rPr>
        <w:t xml:space="preserve">sākot ar 2020. gadu </w:t>
      </w:r>
      <w:r w:rsidR="00894A0A" w:rsidRPr="00F42109">
        <w:rPr>
          <w:rFonts w:ascii="Times New Roman" w:hAnsi="Times New Roman" w:cs="Times New Roman"/>
          <w:color w:val="000000"/>
          <w:sz w:val="28"/>
          <w:szCs w:val="28"/>
        </w:rPr>
        <w:t>valstij radīsies</w:t>
      </w:r>
      <w:r w:rsidR="008B7308" w:rsidRPr="00F42109">
        <w:rPr>
          <w:rFonts w:ascii="Times New Roman" w:hAnsi="Times New Roman" w:cs="Times New Roman"/>
          <w:color w:val="000000"/>
          <w:sz w:val="28"/>
          <w:szCs w:val="28"/>
        </w:rPr>
        <w:t xml:space="preserve"> enerģijas izmaksu</w:t>
      </w:r>
      <w:r w:rsidR="00894A0A" w:rsidRPr="00F42109">
        <w:rPr>
          <w:rFonts w:ascii="Times New Roman" w:hAnsi="Times New Roman" w:cs="Times New Roman"/>
          <w:color w:val="000000"/>
          <w:sz w:val="28"/>
          <w:szCs w:val="28"/>
        </w:rPr>
        <w:t xml:space="preserve"> ietaupījums</w:t>
      </w:r>
      <w:r w:rsidR="008B7308" w:rsidRPr="00F42109">
        <w:rPr>
          <w:rFonts w:ascii="Times New Roman" w:hAnsi="Times New Roman" w:cs="Times New Roman"/>
          <w:color w:val="000000"/>
          <w:sz w:val="28"/>
          <w:szCs w:val="28"/>
        </w:rPr>
        <w:t xml:space="preserve"> ap</w:t>
      </w:r>
      <w:r w:rsidR="00894A0A" w:rsidRPr="00F42109">
        <w:rPr>
          <w:rFonts w:ascii="Times New Roman" w:hAnsi="Times New Roman" w:cs="Times New Roman"/>
          <w:color w:val="000000"/>
          <w:sz w:val="28"/>
          <w:szCs w:val="28"/>
        </w:rPr>
        <w:t xml:space="preserve"> 2,</w:t>
      </w:r>
      <w:r w:rsidR="00EB0ED1">
        <w:rPr>
          <w:rFonts w:ascii="Times New Roman" w:hAnsi="Times New Roman" w:cs="Times New Roman"/>
          <w:color w:val="000000"/>
          <w:sz w:val="28"/>
          <w:szCs w:val="28"/>
        </w:rPr>
        <w:t>3</w:t>
      </w:r>
      <w:r w:rsidR="00894A0A" w:rsidRPr="00F42109">
        <w:rPr>
          <w:rFonts w:ascii="Times New Roman" w:hAnsi="Times New Roman" w:cs="Times New Roman"/>
          <w:color w:val="000000"/>
          <w:sz w:val="28"/>
          <w:szCs w:val="28"/>
        </w:rPr>
        <w:t xml:space="preserve"> </w:t>
      </w:r>
      <w:proofErr w:type="spellStart"/>
      <w:r w:rsidR="00894A0A" w:rsidRPr="00F42109">
        <w:rPr>
          <w:rFonts w:ascii="Times New Roman" w:hAnsi="Times New Roman" w:cs="Times New Roman"/>
          <w:color w:val="000000"/>
          <w:sz w:val="28"/>
          <w:szCs w:val="28"/>
        </w:rPr>
        <w:t>milj</w:t>
      </w:r>
      <w:proofErr w:type="spellEnd"/>
      <w:r w:rsidR="00894A0A" w:rsidRPr="00F42109">
        <w:rPr>
          <w:rFonts w:ascii="Times New Roman" w:hAnsi="Times New Roman" w:cs="Times New Roman"/>
          <w:color w:val="000000"/>
          <w:sz w:val="28"/>
          <w:szCs w:val="28"/>
        </w:rPr>
        <w:t>. LVL/gadā</w:t>
      </w:r>
      <w:r w:rsidR="00A26FF0">
        <w:rPr>
          <w:rFonts w:ascii="Times New Roman" w:hAnsi="Times New Roman" w:cs="Times New Roman"/>
          <w:color w:val="000000"/>
          <w:sz w:val="28"/>
          <w:szCs w:val="28"/>
        </w:rPr>
        <w:t xml:space="preserve"> (3 272 605,16 EUR/gadā)</w:t>
      </w:r>
      <w:r w:rsidR="00894A0A" w:rsidRPr="00F42109">
        <w:rPr>
          <w:rFonts w:ascii="Times New Roman" w:hAnsi="Times New Roman" w:cs="Times New Roman"/>
          <w:color w:val="000000"/>
          <w:sz w:val="28"/>
          <w:szCs w:val="28"/>
        </w:rPr>
        <w:t>.</w:t>
      </w:r>
    </w:p>
    <w:p w:rsidR="00357C8E" w:rsidRPr="001A3223" w:rsidRDefault="00357C8E" w:rsidP="00995E9F">
      <w:pPr>
        <w:spacing w:after="240" w:line="240" w:lineRule="auto"/>
        <w:jc w:val="both"/>
        <w:rPr>
          <w:rFonts w:ascii="Times New Roman" w:hAnsi="Times New Roman" w:cs="Times New Roman"/>
          <w:b/>
          <w:color w:val="000000"/>
          <w:sz w:val="28"/>
          <w:szCs w:val="28"/>
        </w:rPr>
      </w:pPr>
      <w:r w:rsidRPr="00CB608D">
        <w:rPr>
          <w:rFonts w:ascii="Times New Roman" w:hAnsi="Times New Roman" w:cs="Times New Roman"/>
          <w:b/>
          <w:color w:val="000000"/>
          <w:sz w:val="28"/>
          <w:szCs w:val="28"/>
        </w:rPr>
        <w:t>2.</w:t>
      </w:r>
      <w:r w:rsidR="00BA5360">
        <w:rPr>
          <w:rFonts w:ascii="Times New Roman" w:hAnsi="Times New Roman" w:cs="Times New Roman"/>
          <w:b/>
          <w:color w:val="000000"/>
          <w:sz w:val="28"/>
          <w:szCs w:val="28"/>
        </w:rPr>
        <w:t> </w:t>
      </w:r>
      <w:r w:rsidRPr="00CB608D">
        <w:rPr>
          <w:rFonts w:ascii="Times New Roman" w:hAnsi="Times New Roman" w:cs="Times New Roman"/>
          <w:b/>
          <w:color w:val="000000"/>
          <w:sz w:val="28"/>
          <w:szCs w:val="28"/>
        </w:rPr>
        <w:t>variants</w:t>
      </w:r>
      <w:r>
        <w:rPr>
          <w:rFonts w:ascii="Times New Roman" w:hAnsi="Times New Roman" w:cs="Times New Roman"/>
          <w:color w:val="000000"/>
          <w:sz w:val="28"/>
          <w:szCs w:val="28"/>
        </w:rPr>
        <w:t xml:space="preserve"> – </w:t>
      </w:r>
      <w:r w:rsidR="00BA0325">
        <w:rPr>
          <w:rFonts w:ascii="Times New Roman" w:hAnsi="Times New Roman" w:cs="Times New Roman"/>
          <w:b/>
          <w:color w:val="000000"/>
          <w:sz w:val="28"/>
          <w:szCs w:val="28"/>
        </w:rPr>
        <w:t>a</w:t>
      </w:r>
      <w:r w:rsidRPr="001A3223">
        <w:rPr>
          <w:rFonts w:ascii="Times New Roman" w:hAnsi="Times New Roman" w:cs="Times New Roman"/>
          <w:b/>
          <w:color w:val="000000"/>
          <w:sz w:val="28"/>
          <w:szCs w:val="28"/>
        </w:rPr>
        <w:t>lternatīvā pieeja, īstenojot citus rentablus energoefektivitātes pasākumus 3</w:t>
      </w:r>
      <w:r w:rsidR="00BA5360">
        <w:rPr>
          <w:rFonts w:ascii="Times New Roman" w:hAnsi="Times New Roman" w:cs="Times New Roman"/>
          <w:b/>
          <w:color w:val="000000"/>
          <w:sz w:val="28"/>
          <w:szCs w:val="28"/>
        </w:rPr>
        <w:t> </w:t>
      </w:r>
      <w:r w:rsidRPr="001A3223">
        <w:rPr>
          <w:rFonts w:ascii="Times New Roman" w:hAnsi="Times New Roman" w:cs="Times New Roman"/>
          <w:b/>
          <w:color w:val="000000"/>
          <w:sz w:val="28"/>
          <w:szCs w:val="28"/>
        </w:rPr>
        <w:t xml:space="preserve">% mērķim līdzvērtīgus enerģijas ietaupījuma panākšanai </w:t>
      </w:r>
      <w:r w:rsidR="00A3435D">
        <w:rPr>
          <w:rFonts w:ascii="Times New Roman" w:hAnsi="Times New Roman" w:cs="Times New Roman"/>
          <w:b/>
          <w:color w:val="000000"/>
          <w:sz w:val="28"/>
          <w:szCs w:val="28"/>
        </w:rPr>
        <w:t xml:space="preserve">centrālās valdības </w:t>
      </w:r>
      <w:r w:rsidRPr="001A3223">
        <w:rPr>
          <w:rFonts w:ascii="Times New Roman" w:hAnsi="Times New Roman" w:cs="Times New Roman"/>
          <w:b/>
          <w:color w:val="000000"/>
          <w:sz w:val="28"/>
          <w:szCs w:val="28"/>
        </w:rPr>
        <w:t xml:space="preserve"> ēkās.</w:t>
      </w:r>
    </w:p>
    <w:p w:rsidR="0028197A" w:rsidRDefault="00335677" w:rsidP="00CB608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Ja kā alternatīvu pasākumu nosaka </w:t>
      </w:r>
      <w:r w:rsidR="00A73080">
        <w:rPr>
          <w:rFonts w:ascii="Times New Roman" w:hAnsi="Times New Roman" w:cs="Times New Roman"/>
          <w:color w:val="000000"/>
          <w:sz w:val="28"/>
          <w:szCs w:val="28"/>
        </w:rPr>
        <w:t xml:space="preserve">minimālās prasības pārsniedzošu </w:t>
      </w:r>
      <w:r w:rsidR="009B2680">
        <w:rPr>
          <w:rFonts w:ascii="Times New Roman" w:hAnsi="Times New Roman" w:cs="Times New Roman"/>
          <w:color w:val="000000"/>
          <w:sz w:val="28"/>
          <w:szCs w:val="28"/>
        </w:rPr>
        <w:t xml:space="preserve">pilnīgu </w:t>
      </w:r>
      <w:r>
        <w:rPr>
          <w:rFonts w:ascii="Times New Roman" w:hAnsi="Times New Roman" w:cs="Times New Roman"/>
          <w:color w:val="000000"/>
          <w:sz w:val="28"/>
          <w:szCs w:val="28"/>
        </w:rPr>
        <w:t>ēku  renovāciju, tad</w:t>
      </w:r>
      <w:r w:rsidR="00D915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r</w:t>
      </w:r>
      <w:r w:rsidR="00CB608D">
        <w:rPr>
          <w:rFonts w:ascii="Times New Roman" w:hAnsi="Times New Roman" w:cs="Times New Roman"/>
          <w:color w:val="000000"/>
          <w:sz w:val="28"/>
          <w:szCs w:val="28"/>
        </w:rPr>
        <w:t xml:space="preserve">isinājums atstāj ietekmi uz valsts budžetu. </w:t>
      </w:r>
      <w:r w:rsidR="00CB608D" w:rsidRPr="00CB608D">
        <w:rPr>
          <w:rFonts w:ascii="Times New Roman" w:hAnsi="Times New Roman" w:cs="Times New Roman"/>
          <w:color w:val="000000"/>
          <w:sz w:val="28"/>
          <w:szCs w:val="28"/>
        </w:rPr>
        <w:t>Pēc ekspertu vērtējuma 3</w:t>
      </w:r>
      <w:r w:rsidR="00F42109">
        <w:rPr>
          <w:rFonts w:ascii="Times New Roman" w:hAnsi="Times New Roman" w:cs="Times New Roman"/>
          <w:color w:val="000000"/>
          <w:sz w:val="28"/>
          <w:szCs w:val="28"/>
        </w:rPr>
        <w:t> </w:t>
      </w:r>
      <w:r w:rsidR="00CB608D" w:rsidRPr="00CB608D">
        <w:rPr>
          <w:rFonts w:ascii="Times New Roman" w:hAnsi="Times New Roman" w:cs="Times New Roman"/>
          <w:color w:val="000000"/>
          <w:sz w:val="28"/>
          <w:szCs w:val="28"/>
        </w:rPr>
        <w:t>%</w:t>
      </w:r>
      <w:r w:rsidR="009B2680">
        <w:rPr>
          <w:rFonts w:ascii="Times New Roman" w:hAnsi="Times New Roman" w:cs="Times New Roman"/>
          <w:color w:val="000000"/>
          <w:sz w:val="28"/>
          <w:szCs w:val="28"/>
        </w:rPr>
        <w:t xml:space="preserve"> platības renovācijas </w:t>
      </w:r>
      <w:r w:rsidR="00CB608D" w:rsidRPr="00CB608D">
        <w:rPr>
          <w:rFonts w:ascii="Times New Roman" w:hAnsi="Times New Roman" w:cs="Times New Roman"/>
          <w:color w:val="000000"/>
          <w:sz w:val="28"/>
          <w:szCs w:val="28"/>
        </w:rPr>
        <w:t xml:space="preserve"> mērķim līdzvērtīgi </w:t>
      </w:r>
      <w:r w:rsidR="009B2680">
        <w:rPr>
          <w:rFonts w:ascii="Times New Roman" w:hAnsi="Times New Roman" w:cs="Times New Roman"/>
          <w:color w:val="000000"/>
          <w:sz w:val="28"/>
          <w:szCs w:val="28"/>
        </w:rPr>
        <w:t xml:space="preserve">enerģijas </w:t>
      </w:r>
      <w:r w:rsidR="00CB608D" w:rsidRPr="00CB608D">
        <w:rPr>
          <w:rFonts w:ascii="Times New Roman" w:hAnsi="Times New Roman" w:cs="Times New Roman"/>
          <w:color w:val="000000"/>
          <w:sz w:val="28"/>
          <w:szCs w:val="28"/>
        </w:rPr>
        <w:lastRenderedPageBreak/>
        <w:t xml:space="preserve">ietaupījumi Latvijas gadījumā ir </w:t>
      </w:r>
      <w:r w:rsidR="00444DDC" w:rsidRPr="00444DDC">
        <w:rPr>
          <w:rFonts w:ascii="Times New Roman" w:hAnsi="Times New Roman" w:cs="Times New Roman"/>
          <w:color w:val="000000"/>
          <w:sz w:val="28"/>
          <w:szCs w:val="28"/>
        </w:rPr>
        <w:t xml:space="preserve">50 885 </w:t>
      </w:r>
      <w:proofErr w:type="spellStart"/>
      <w:r w:rsidR="00CB608D" w:rsidRPr="00BA5360">
        <w:rPr>
          <w:rFonts w:ascii="Times New Roman" w:hAnsi="Times New Roman" w:cs="Times New Roman"/>
          <w:color w:val="000000" w:themeColor="text1"/>
          <w:sz w:val="28"/>
          <w:szCs w:val="28"/>
        </w:rPr>
        <w:t>MW</w:t>
      </w:r>
      <w:r w:rsidR="00785DD7" w:rsidRPr="00BA5360">
        <w:rPr>
          <w:rFonts w:ascii="Times New Roman" w:hAnsi="Times New Roman" w:cs="Times New Roman"/>
          <w:color w:val="000000" w:themeColor="text1"/>
          <w:sz w:val="28"/>
          <w:szCs w:val="28"/>
        </w:rPr>
        <w:t>h</w:t>
      </w:r>
      <w:proofErr w:type="spellEnd"/>
      <w:r w:rsidR="00CB608D" w:rsidRPr="00BA5360">
        <w:rPr>
          <w:rFonts w:ascii="Times New Roman" w:hAnsi="Times New Roman" w:cs="Times New Roman"/>
          <w:color w:val="000000" w:themeColor="text1"/>
          <w:sz w:val="28"/>
          <w:szCs w:val="28"/>
        </w:rPr>
        <w:t xml:space="preserve">. </w:t>
      </w:r>
      <w:r w:rsidR="00CA1F96">
        <w:rPr>
          <w:rFonts w:ascii="Times New Roman" w:hAnsi="Times New Roman" w:cs="Times New Roman"/>
          <w:color w:val="000000"/>
          <w:sz w:val="28"/>
          <w:szCs w:val="28"/>
        </w:rPr>
        <w:t xml:space="preserve">Ņemot vērā, ka ēku pilnīga renovācija, pārsniedzot minimālās energoefektivitātes prasības, izmaksā </w:t>
      </w:r>
      <w:r w:rsidR="003679EE">
        <w:rPr>
          <w:rFonts w:ascii="Times New Roman" w:hAnsi="Times New Roman" w:cs="Times New Roman"/>
          <w:color w:val="000000"/>
          <w:sz w:val="28"/>
          <w:szCs w:val="28"/>
        </w:rPr>
        <w:t>par trešdaļu</w:t>
      </w:r>
      <w:r w:rsidR="00CA1F96">
        <w:rPr>
          <w:rFonts w:ascii="Times New Roman" w:hAnsi="Times New Roman" w:cs="Times New Roman"/>
          <w:color w:val="000000"/>
          <w:sz w:val="28"/>
          <w:szCs w:val="28"/>
        </w:rPr>
        <w:t xml:space="preserve"> vairāk, j</w:t>
      </w:r>
      <w:r w:rsidR="00785DD7">
        <w:rPr>
          <w:rFonts w:ascii="Times New Roman" w:hAnsi="Times New Roman" w:cs="Times New Roman"/>
          <w:color w:val="000000"/>
          <w:sz w:val="28"/>
          <w:szCs w:val="28"/>
        </w:rPr>
        <w:t xml:space="preserve">āsecina, ka </w:t>
      </w:r>
      <w:r w:rsidR="00EC344E">
        <w:rPr>
          <w:rFonts w:ascii="Times New Roman" w:hAnsi="Times New Roman" w:cs="Times New Roman"/>
          <w:color w:val="000000"/>
          <w:sz w:val="28"/>
          <w:szCs w:val="28"/>
        </w:rPr>
        <w:t>2.</w:t>
      </w:r>
      <w:r w:rsidR="00760115">
        <w:rPr>
          <w:rFonts w:ascii="Times New Roman" w:hAnsi="Times New Roman" w:cs="Times New Roman"/>
          <w:color w:val="000000"/>
          <w:sz w:val="28"/>
          <w:szCs w:val="28"/>
        </w:rPr>
        <w:t> </w:t>
      </w:r>
      <w:r w:rsidR="00785DD7">
        <w:rPr>
          <w:rFonts w:ascii="Times New Roman" w:hAnsi="Times New Roman" w:cs="Times New Roman"/>
          <w:color w:val="000000"/>
          <w:sz w:val="28"/>
          <w:szCs w:val="28"/>
        </w:rPr>
        <w:t xml:space="preserve">varianta gadījumā valsts budžetam </w:t>
      </w:r>
      <w:r w:rsidR="00D67006">
        <w:rPr>
          <w:rFonts w:ascii="Times New Roman" w:hAnsi="Times New Roman" w:cs="Times New Roman"/>
          <w:color w:val="000000"/>
          <w:sz w:val="28"/>
          <w:szCs w:val="28"/>
        </w:rPr>
        <w:t>var rasties</w:t>
      </w:r>
      <w:r w:rsidR="00785DD7">
        <w:rPr>
          <w:rFonts w:ascii="Times New Roman" w:hAnsi="Times New Roman" w:cs="Times New Roman"/>
          <w:color w:val="000000"/>
          <w:sz w:val="28"/>
          <w:szCs w:val="28"/>
        </w:rPr>
        <w:t xml:space="preserve"> lielākas izmaksas</w:t>
      </w:r>
      <w:r w:rsidR="00D67006">
        <w:rPr>
          <w:rFonts w:ascii="Times New Roman" w:hAnsi="Times New Roman" w:cs="Times New Roman"/>
          <w:color w:val="000000"/>
          <w:sz w:val="28"/>
          <w:szCs w:val="28"/>
        </w:rPr>
        <w:t>, jo jāparedz lielāks valsts budžeta līdzfinansējums salīdzinājumā ar NAP2020 pašlaik plānoto</w:t>
      </w:r>
      <w:r w:rsidR="0028197A">
        <w:rPr>
          <w:rFonts w:ascii="Times New Roman" w:hAnsi="Times New Roman" w:cs="Times New Roman"/>
          <w:color w:val="000000"/>
          <w:sz w:val="28"/>
          <w:szCs w:val="28"/>
        </w:rPr>
        <w:t>.</w:t>
      </w:r>
    </w:p>
    <w:p w:rsidR="007D4A03" w:rsidRDefault="00FF2FAC" w:rsidP="007B5FBB">
      <w:pPr>
        <w:spacing w:after="240" w:line="240" w:lineRule="auto"/>
        <w:ind w:firstLine="720"/>
        <w:jc w:val="both"/>
        <w:rPr>
          <w:rFonts w:ascii="Times New Roman" w:hAnsi="Times New Roman" w:cs="Times New Roman"/>
          <w:b/>
          <w:color w:val="000000"/>
          <w:sz w:val="28"/>
          <w:szCs w:val="28"/>
        </w:rPr>
      </w:pPr>
      <w:r w:rsidRPr="00FF2FAC">
        <w:rPr>
          <w:rFonts w:ascii="Times New Roman" w:hAnsi="Times New Roman" w:cs="Times New Roman"/>
          <w:b/>
          <w:color w:val="000000"/>
          <w:sz w:val="28"/>
          <w:szCs w:val="28"/>
        </w:rPr>
        <w:t>K</w:t>
      </w:r>
      <w:r w:rsidR="004F7A1C" w:rsidRPr="00FF2FAC">
        <w:rPr>
          <w:rFonts w:ascii="Times New Roman" w:hAnsi="Times New Roman" w:cs="Times New Roman"/>
          <w:b/>
          <w:color w:val="000000"/>
          <w:sz w:val="28"/>
          <w:szCs w:val="28"/>
        </w:rPr>
        <w:t>ā prioritār</w:t>
      </w:r>
      <w:r w:rsidRPr="00FF2FAC">
        <w:rPr>
          <w:rFonts w:ascii="Times New Roman" w:hAnsi="Times New Roman" w:cs="Times New Roman"/>
          <w:b/>
          <w:color w:val="000000"/>
          <w:sz w:val="28"/>
          <w:szCs w:val="28"/>
        </w:rPr>
        <w:t>ā</w:t>
      </w:r>
      <w:r w:rsidR="004F7A1C" w:rsidRPr="00FF2FAC">
        <w:rPr>
          <w:rFonts w:ascii="Times New Roman" w:hAnsi="Times New Roman" w:cs="Times New Roman"/>
          <w:b/>
          <w:color w:val="000000"/>
          <w:sz w:val="28"/>
          <w:szCs w:val="28"/>
        </w:rPr>
        <w:t xml:space="preserve"> izvēl</w:t>
      </w:r>
      <w:r w:rsidRPr="00FF2FAC">
        <w:rPr>
          <w:rFonts w:ascii="Times New Roman" w:hAnsi="Times New Roman" w:cs="Times New Roman"/>
          <w:b/>
          <w:color w:val="000000"/>
          <w:sz w:val="28"/>
          <w:szCs w:val="28"/>
        </w:rPr>
        <w:t>e apsverams 1.</w:t>
      </w:r>
      <w:r w:rsidR="00760115">
        <w:rPr>
          <w:rFonts w:ascii="Times New Roman" w:hAnsi="Times New Roman" w:cs="Times New Roman"/>
          <w:b/>
          <w:color w:val="000000"/>
          <w:sz w:val="28"/>
          <w:szCs w:val="28"/>
        </w:rPr>
        <w:t> </w:t>
      </w:r>
      <w:r w:rsidRPr="00FF2FAC">
        <w:rPr>
          <w:rFonts w:ascii="Times New Roman" w:hAnsi="Times New Roman" w:cs="Times New Roman"/>
          <w:b/>
          <w:color w:val="000000"/>
          <w:sz w:val="28"/>
          <w:szCs w:val="28"/>
        </w:rPr>
        <w:t xml:space="preserve">variants </w:t>
      </w:r>
      <w:r w:rsidR="004F7A1C" w:rsidRPr="00FF2FAC">
        <w:rPr>
          <w:rFonts w:ascii="Times New Roman" w:hAnsi="Times New Roman" w:cs="Times New Roman"/>
          <w:b/>
          <w:color w:val="000000"/>
          <w:sz w:val="28"/>
          <w:szCs w:val="28"/>
        </w:rPr>
        <w:t>obligātā 3</w:t>
      </w:r>
      <w:r w:rsidR="00760115">
        <w:rPr>
          <w:rFonts w:ascii="Times New Roman" w:hAnsi="Times New Roman" w:cs="Times New Roman"/>
          <w:b/>
          <w:color w:val="000000"/>
          <w:sz w:val="28"/>
          <w:szCs w:val="28"/>
        </w:rPr>
        <w:t> </w:t>
      </w:r>
      <w:r w:rsidR="004F7A1C" w:rsidRPr="00FF2FAC">
        <w:rPr>
          <w:rFonts w:ascii="Times New Roman" w:hAnsi="Times New Roman" w:cs="Times New Roman"/>
          <w:b/>
          <w:color w:val="000000"/>
          <w:sz w:val="28"/>
          <w:szCs w:val="28"/>
        </w:rPr>
        <w:t>% mērķa izpildei</w:t>
      </w:r>
      <w:r w:rsidRPr="00FF2FAC">
        <w:rPr>
          <w:rFonts w:ascii="Times New Roman" w:hAnsi="Times New Roman" w:cs="Times New Roman"/>
          <w:b/>
          <w:color w:val="000000"/>
          <w:sz w:val="28"/>
          <w:szCs w:val="28"/>
        </w:rPr>
        <w:t>.</w:t>
      </w:r>
      <w:r w:rsidR="004F7A1C" w:rsidRPr="00FF2FAC">
        <w:rPr>
          <w:rFonts w:ascii="Times New Roman" w:hAnsi="Times New Roman" w:cs="Times New Roman"/>
          <w:b/>
          <w:color w:val="000000"/>
          <w:sz w:val="28"/>
          <w:szCs w:val="28"/>
        </w:rPr>
        <w:t xml:space="preserve"> </w:t>
      </w:r>
    </w:p>
    <w:p w:rsidR="00E14EBF" w:rsidRPr="000610D5" w:rsidRDefault="00E14EBF" w:rsidP="00E14EBF">
      <w:pPr>
        <w:pStyle w:val="Heading2"/>
        <w:spacing w:before="0" w:after="240" w:line="240" w:lineRule="auto"/>
        <w:jc w:val="center"/>
        <w:rPr>
          <w:rFonts w:ascii="Times New Roman" w:hAnsi="Times New Roman"/>
          <w:color w:val="auto"/>
          <w:sz w:val="28"/>
          <w:szCs w:val="28"/>
        </w:rPr>
      </w:pPr>
      <w:bookmarkStart w:id="10" w:name="_Toc372269911"/>
      <w:r>
        <w:rPr>
          <w:rFonts w:ascii="Times New Roman" w:hAnsi="Times New Roman"/>
          <w:color w:val="auto"/>
          <w:sz w:val="28"/>
          <w:szCs w:val="28"/>
        </w:rPr>
        <w:t xml:space="preserve">2.3. </w:t>
      </w:r>
      <w:r w:rsidRPr="000610D5">
        <w:rPr>
          <w:rFonts w:ascii="Times New Roman" w:hAnsi="Times New Roman"/>
          <w:color w:val="auto"/>
          <w:sz w:val="28"/>
          <w:szCs w:val="28"/>
        </w:rPr>
        <w:t>Energoefektivitātes pienākumu shēmas (7. pants)</w:t>
      </w:r>
      <w:bookmarkEnd w:id="10"/>
    </w:p>
    <w:p w:rsidR="00E14EBF" w:rsidRPr="000610D5" w:rsidRDefault="00E14EBF" w:rsidP="00E14EBF">
      <w:pPr>
        <w:pStyle w:val="Heading3"/>
        <w:spacing w:before="0" w:after="240" w:line="240" w:lineRule="auto"/>
        <w:jc w:val="center"/>
        <w:rPr>
          <w:rFonts w:ascii="Times New Roman" w:hAnsi="Times New Roman"/>
          <w:color w:val="auto"/>
          <w:sz w:val="28"/>
          <w:szCs w:val="28"/>
        </w:rPr>
      </w:pPr>
      <w:bookmarkStart w:id="11" w:name="_Toc372269912"/>
      <w:r>
        <w:rPr>
          <w:rFonts w:ascii="Times New Roman" w:hAnsi="Times New Roman"/>
          <w:color w:val="auto"/>
          <w:sz w:val="28"/>
          <w:szCs w:val="28"/>
        </w:rPr>
        <w:t xml:space="preserve">2.3.1. </w:t>
      </w:r>
      <w:r w:rsidRPr="000610D5">
        <w:rPr>
          <w:rFonts w:ascii="Times New Roman" w:hAnsi="Times New Roman"/>
          <w:color w:val="auto"/>
          <w:sz w:val="28"/>
          <w:szCs w:val="28"/>
        </w:rPr>
        <w:t>Direktīvas prasības</w:t>
      </w:r>
      <w:bookmarkEnd w:id="11"/>
    </w:p>
    <w:p w:rsidR="00E14EBF" w:rsidRPr="00FF2FAC" w:rsidRDefault="00E14EBF" w:rsidP="00E14EBF">
      <w:p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u w:val="single"/>
          <w:lang w:eastAsia="lv-LV"/>
        </w:rPr>
        <w:t>Obligātais mērķis.</w:t>
      </w:r>
      <w:r w:rsidRPr="00FF2FAC">
        <w:rPr>
          <w:rFonts w:ascii="Times New Roman" w:eastAsia="Times New Roman" w:hAnsi="Times New Roman"/>
          <w:color w:val="000000"/>
          <w:sz w:val="28"/>
          <w:szCs w:val="28"/>
          <w:lang w:eastAsia="lv-LV"/>
        </w:rPr>
        <w:t xml:space="preserve"> Direktīva 2012/27/ES uzliek valstij pienākumu samazināt </w:t>
      </w:r>
      <w:r>
        <w:rPr>
          <w:rFonts w:ascii="Times New Roman" w:eastAsia="Times New Roman" w:hAnsi="Times New Roman"/>
          <w:color w:val="000000"/>
          <w:sz w:val="28"/>
          <w:szCs w:val="28"/>
          <w:lang w:eastAsia="lv-LV"/>
        </w:rPr>
        <w:t xml:space="preserve">enerģijas </w:t>
      </w:r>
      <w:r w:rsidRPr="00FF2FAC">
        <w:rPr>
          <w:rFonts w:ascii="Times New Roman" w:eastAsia="Times New Roman" w:hAnsi="Times New Roman"/>
          <w:color w:val="000000"/>
          <w:sz w:val="28"/>
          <w:szCs w:val="28"/>
          <w:lang w:eastAsia="lv-LV"/>
        </w:rPr>
        <w:t>gala</w:t>
      </w:r>
      <w:r>
        <w:rPr>
          <w:rFonts w:ascii="Times New Roman" w:eastAsia="Times New Roman" w:hAnsi="Times New Roman"/>
          <w:color w:val="000000"/>
          <w:sz w:val="28"/>
          <w:szCs w:val="28"/>
          <w:lang w:eastAsia="lv-LV"/>
        </w:rPr>
        <w:t>lietotājiem</w:t>
      </w:r>
      <w:r w:rsidRPr="00FF2FAC">
        <w:rPr>
          <w:rFonts w:ascii="Times New Roman" w:eastAsia="Times New Roman" w:hAnsi="Times New Roman"/>
          <w:color w:val="000000"/>
          <w:sz w:val="28"/>
          <w:szCs w:val="28"/>
          <w:lang w:eastAsia="lv-LV"/>
        </w:rPr>
        <w:t xml:space="preserve"> pārdotās enerģijas apjomu, nosakot obligātu mērķi</w:t>
      </w:r>
      <w:r>
        <w:rPr>
          <w:rFonts w:ascii="Times New Roman" w:eastAsia="Times New Roman" w:hAnsi="Times New Roman"/>
          <w:color w:val="000000"/>
          <w:sz w:val="28"/>
          <w:szCs w:val="28"/>
          <w:lang w:eastAsia="lv-LV"/>
        </w:rPr>
        <w:t xml:space="preserve"> (turpmāk - obligātais mērķis). </w:t>
      </w:r>
      <w:r w:rsidRPr="00514D67">
        <w:rPr>
          <w:rFonts w:ascii="Times New Roman" w:eastAsia="Times New Roman" w:hAnsi="Times New Roman"/>
          <w:color w:val="000000"/>
          <w:sz w:val="28"/>
          <w:szCs w:val="28"/>
          <w:lang w:eastAsia="lv-LV"/>
        </w:rPr>
        <w:t>Ar katru nākamo gadu jauni enerģijas ietaupījumi tiek rēķināti kā 1,5</w:t>
      </w:r>
      <w:r>
        <w:rPr>
          <w:rFonts w:ascii="Times New Roman" w:eastAsia="Times New Roman" w:hAnsi="Times New Roman"/>
          <w:color w:val="000000"/>
          <w:sz w:val="28"/>
          <w:szCs w:val="28"/>
          <w:lang w:eastAsia="lv-LV"/>
        </w:rPr>
        <w:t xml:space="preserve"> </w:t>
      </w:r>
      <w:r w:rsidRPr="00514D67">
        <w:rPr>
          <w:rFonts w:ascii="Times New Roman" w:eastAsia="Times New Roman" w:hAnsi="Times New Roman"/>
          <w:color w:val="000000"/>
          <w:sz w:val="28"/>
          <w:szCs w:val="28"/>
          <w:lang w:eastAsia="lv-LV"/>
        </w:rPr>
        <w:t xml:space="preserve">% no bāzes vērtības, kuru aprēķina kā vidējo </w:t>
      </w:r>
      <w:r>
        <w:rPr>
          <w:rFonts w:ascii="Times New Roman" w:eastAsia="Times New Roman" w:hAnsi="Times New Roman"/>
          <w:color w:val="000000"/>
          <w:sz w:val="28"/>
          <w:szCs w:val="28"/>
          <w:lang w:eastAsia="lv-LV"/>
        </w:rPr>
        <w:t xml:space="preserve">no </w:t>
      </w:r>
      <w:r w:rsidRPr="00514D67">
        <w:rPr>
          <w:rFonts w:ascii="Times New Roman" w:eastAsia="Times New Roman" w:hAnsi="Times New Roman"/>
          <w:color w:val="000000"/>
          <w:sz w:val="28"/>
          <w:szCs w:val="28"/>
          <w:lang w:eastAsia="lv-LV"/>
        </w:rPr>
        <w:t>2010., 2011. un 2012. gadā galalietotājiem pārdot</w:t>
      </w:r>
      <w:r>
        <w:rPr>
          <w:rFonts w:ascii="Times New Roman" w:eastAsia="Times New Roman" w:hAnsi="Times New Roman"/>
          <w:color w:val="000000"/>
          <w:sz w:val="28"/>
          <w:szCs w:val="28"/>
          <w:lang w:eastAsia="lv-LV"/>
        </w:rPr>
        <w:t>ā</w:t>
      </w:r>
      <w:r w:rsidRPr="00514D67">
        <w:rPr>
          <w:rFonts w:ascii="Times New Roman" w:eastAsia="Times New Roman" w:hAnsi="Times New Roman"/>
          <w:color w:val="000000"/>
          <w:sz w:val="28"/>
          <w:szCs w:val="28"/>
          <w:lang w:eastAsia="lv-LV"/>
        </w:rPr>
        <w:t xml:space="preserve"> enerģijas apjom</w:t>
      </w:r>
      <w:r>
        <w:rPr>
          <w:rFonts w:ascii="Times New Roman" w:eastAsia="Times New Roman" w:hAnsi="Times New Roman"/>
          <w:color w:val="000000"/>
          <w:sz w:val="28"/>
          <w:szCs w:val="28"/>
          <w:lang w:eastAsia="lv-LV"/>
        </w:rPr>
        <w:t>a</w:t>
      </w:r>
      <w:r w:rsidRPr="00514D67">
        <w:rPr>
          <w:rFonts w:ascii="Times New Roman" w:eastAsia="Times New Roman" w:hAnsi="Times New Roman"/>
          <w:color w:val="000000"/>
          <w:sz w:val="28"/>
          <w:szCs w:val="28"/>
          <w:lang w:eastAsia="lv-LV"/>
        </w:rPr>
        <w:t xml:space="preserve">. Šī bāzes vērtība </w:t>
      </w:r>
      <w:r>
        <w:rPr>
          <w:rFonts w:ascii="Times New Roman" w:eastAsia="Times New Roman" w:hAnsi="Times New Roman"/>
          <w:color w:val="000000"/>
          <w:sz w:val="28"/>
          <w:szCs w:val="28"/>
          <w:lang w:eastAsia="lv-LV"/>
        </w:rPr>
        <w:t>paliek nemainīga līdz 2020. gada 31. decembrim</w:t>
      </w:r>
      <w:r w:rsidRPr="00514D67">
        <w:rPr>
          <w:rFonts w:ascii="Times New Roman" w:eastAsia="Times New Roman" w:hAnsi="Times New Roman"/>
          <w:color w:val="000000"/>
          <w:sz w:val="28"/>
          <w:szCs w:val="28"/>
          <w:lang w:eastAsia="lv-LV"/>
        </w:rPr>
        <w:t>.</w:t>
      </w:r>
    </w:p>
    <w:p w:rsidR="00E14EBF" w:rsidRDefault="00AF4FF9" w:rsidP="00E14EBF">
      <w:pPr>
        <w:spacing w:after="240" w:line="240" w:lineRule="auto"/>
        <w:ind w:firstLine="720"/>
        <w:jc w:val="both"/>
        <w:rPr>
          <w:rFonts w:ascii="Times New Roman" w:eastAsia="Times New Roman" w:hAnsi="Times New Roman"/>
          <w:color w:val="000000"/>
          <w:sz w:val="28"/>
          <w:szCs w:val="28"/>
          <w:lang w:eastAsia="lv-LV"/>
        </w:rPr>
      </w:pPr>
      <w:r w:rsidRPr="00174A70">
        <w:rPr>
          <w:rFonts w:ascii="Times New Roman" w:eastAsia="Times New Roman" w:hAnsi="Times New Roman"/>
          <w:color w:val="000000"/>
          <w:sz w:val="28"/>
          <w:szCs w:val="28"/>
          <w:lang w:eastAsia="lv-LV"/>
        </w:rPr>
        <w:t>Latvijai</w:t>
      </w:r>
      <w:r w:rsidR="00E14EBF" w:rsidRPr="00174A70">
        <w:rPr>
          <w:rFonts w:ascii="Times New Roman" w:eastAsia="Times New Roman" w:hAnsi="Times New Roman"/>
          <w:color w:val="000000"/>
          <w:sz w:val="28"/>
          <w:szCs w:val="28"/>
          <w:lang w:eastAsia="lv-LV"/>
        </w:rPr>
        <w:t xml:space="preserve"> sākotnēji aprēķinātais </w:t>
      </w:r>
      <w:r w:rsidRPr="00174A70">
        <w:rPr>
          <w:rFonts w:ascii="Times New Roman" w:eastAsia="Times New Roman" w:hAnsi="Times New Roman"/>
          <w:color w:val="000000"/>
          <w:sz w:val="28"/>
          <w:szCs w:val="28"/>
          <w:lang w:eastAsia="lv-LV"/>
        </w:rPr>
        <w:t xml:space="preserve">kopējais </w:t>
      </w:r>
      <w:r w:rsidR="00EC26E8" w:rsidRPr="00174A70">
        <w:rPr>
          <w:rFonts w:ascii="Times New Roman" w:eastAsia="Times New Roman" w:hAnsi="Times New Roman"/>
          <w:color w:val="000000"/>
          <w:sz w:val="28"/>
          <w:szCs w:val="28"/>
          <w:lang w:eastAsia="lv-LV"/>
        </w:rPr>
        <w:t xml:space="preserve">kumulatīvais </w:t>
      </w:r>
      <w:r w:rsidRPr="00174A70">
        <w:rPr>
          <w:rFonts w:ascii="Times New Roman" w:eastAsia="Times New Roman" w:hAnsi="Times New Roman"/>
          <w:color w:val="000000"/>
          <w:sz w:val="28"/>
          <w:szCs w:val="28"/>
          <w:lang w:eastAsia="lv-LV"/>
        </w:rPr>
        <w:t xml:space="preserve">enerģijas gala patēriņš </w:t>
      </w:r>
      <w:r w:rsidR="00EC26E8" w:rsidRPr="00174A70">
        <w:rPr>
          <w:rFonts w:ascii="Times New Roman" w:eastAsia="Times New Roman" w:hAnsi="Times New Roman"/>
          <w:color w:val="000000"/>
          <w:sz w:val="28"/>
          <w:szCs w:val="28"/>
          <w:lang w:eastAsia="lv-LV"/>
        </w:rPr>
        <w:t xml:space="preserve">2014. – 2020. gadam </w:t>
      </w:r>
      <w:r w:rsidRPr="00174A70">
        <w:rPr>
          <w:rFonts w:ascii="Times New Roman" w:eastAsia="Times New Roman" w:hAnsi="Times New Roman"/>
          <w:color w:val="000000"/>
          <w:sz w:val="28"/>
          <w:szCs w:val="28"/>
          <w:lang w:eastAsia="lv-LV"/>
        </w:rPr>
        <w:t xml:space="preserve">ir 19391 </w:t>
      </w:r>
      <w:proofErr w:type="spellStart"/>
      <w:r w:rsidRPr="00174A70">
        <w:rPr>
          <w:rFonts w:ascii="Times New Roman" w:eastAsia="Times New Roman" w:hAnsi="Times New Roman"/>
          <w:color w:val="000000"/>
          <w:sz w:val="28"/>
          <w:szCs w:val="28"/>
          <w:lang w:eastAsia="lv-LV"/>
        </w:rPr>
        <w:t>GWh</w:t>
      </w:r>
      <w:proofErr w:type="spellEnd"/>
      <w:r w:rsidRPr="00174A70">
        <w:rPr>
          <w:rFonts w:ascii="Times New Roman" w:eastAsia="Times New Roman" w:hAnsi="Times New Roman"/>
          <w:color w:val="000000"/>
          <w:sz w:val="28"/>
          <w:szCs w:val="28"/>
          <w:lang w:eastAsia="lv-LV"/>
        </w:rPr>
        <w:t xml:space="preserve"> (1,667 </w:t>
      </w:r>
      <w:proofErr w:type="spellStart"/>
      <w:r w:rsidRPr="00174A70">
        <w:rPr>
          <w:rFonts w:ascii="Times New Roman" w:eastAsia="Times New Roman" w:hAnsi="Times New Roman"/>
          <w:color w:val="000000"/>
          <w:sz w:val="28"/>
          <w:szCs w:val="28"/>
          <w:lang w:eastAsia="lv-LV"/>
        </w:rPr>
        <w:t>Mtoe</w:t>
      </w:r>
      <w:proofErr w:type="spellEnd"/>
      <w:r w:rsidRPr="00174A70">
        <w:rPr>
          <w:rFonts w:ascii="Times New Roman" w:eastAsia="Times New Roman" w:hAnsi="Times New Roman"/>
          <w:color w:val="000000"/>
          <w:sz w:val="28"/>
          <w:szCs w:val="28"/>
          <w:lang w:eastAsia="lv-LV"/>
        </w:rPr>
        <w:t xml:space="preserve">; 69,8 PJ). Direktīva </w:t>
      </w:r>
      <w:r w:rsidR="002F7E3C" w:rsidRPr="00174A70">
        <w:rPr>
          <w:rFonts w:ascii="Times New Roman" w:eastAsia="Times New Roman" w:hAnsi="Times New Roman"/>
          <w:color w:val="000000"/>
          <w:sz w:val="28"/>
          <w:szCs w:val="28"/>
          <w:lang w:eastAsia="lv-LV"/>
        </w:rPr>
        <w:t xml:space="preserve">2012/27/ES </w:t>
      </w:r>
      <w:r w:rsidRPr="00174A70">
        <w:rPr>
          <w:rFonts w:ascii="Times New Roman" w:eastAsia="Times New Roman" w:hAnsi="Times New Roman"/>
          <w:color w:val="000000"/>
          <w:sz w:val="28"/>
          <w:szCs w:val="28"/>
          <w:lang w:eastAsia="lv-LV"/>
        </w:rPr>
        <w:t xml:space="preserve">piedāvā </w:t>
      </w:r>
      <w:r w:rsidR="002F7E3C" w:rsidRPr="00174A70">
        <w:rPr>
          <w:rFonts w:ascii="Times New Roman" w:eastAsia="Times New Roman" w:hAnsi="Times New Roman"/>
          <w:color w:val="000000"/>
          <w:sz w:val="28"/>
          <w:szCs w:val="28"/>
          <w:lang w:eastAsia="lv-LV"/>
        </w:rPr>
        <w:t xml:space="preserve">iespēju </w:t>
      </w:r>
      <w:r w:rsidRPr="00174A70">
        <w:rPr>
          <w:rFonts w:ascii="Times New Roman" w:eastAsia="Times New Roman" w:hAnsi="Times New Roman"/>
          <w:color w:val="000000"/>
          <w:sz w:val="28"/>
          <w:szCs w:val="28"/>
          <w:lang w:eastAsia="lv-LV"/>
        </w:rPr>
        <w:t>obligātā mērķa aprēķinā neiekļaut pārdotās enerģijas apjomu, ko izmanto transportam. Izmantojot šo iespēju</w:t>
      </w:r>
      <w:r w:rsidR="00DE7854" w:rsidRPr="00174A70">
        <w:rPr>
          <w:rFonts w:ascii="Times New Roman" w:eastAsia="Times New Roman" w:hAnsi="Times New Roman"/>
          <w:color w:val="000000"/>
          <w:sz w:val="28"/>
          <w:szCs w:val="28"/>
          <w:lang w:eastAsia="lv-LV"/>
        </w:rPr>
        <w:t>,</w:t>
      </w:r>
      <w:r w:rsidRPr="00174A70">
        <w:rPr>
          <w:rFonts w:ascii="Times New Roman" w:eastAsia="Times New Roman" w:hAnsi="Times New Roman"/>
          <w:color w:val="000000"/>
          <w:sz w:val="28"/>
          <w:szCs w:val="28"/>
          <w:lang w:eastAsia="lv-LV"/>
        </w:rPr>
        <w:t xml:space="preserve"> kopējais </w:t>
      </w:r>
      <w:r w:rsidR="00EC26E8" w:rsidRPr="00174A70">
        <w:rPr>
          <w:rFonts w:ascii="Times New Roman" w:eastAsia="Times New Roman" w:hAnsi="Times New Roman"/>
          <w:color w:val="000000"/>
          <w:sz w:val="28"/>
          <w:szCs w:val="28"/>
          <w:lang w:eastAsia="lv-LV"/>
        </w:rPr>
        <w:t xml:space="preserve">kumulatīvais </w:t>
      </w:r>
      <w:r w:rsidRPr="00174A70">
        <w:rPr>
          <w:rFonts w:ascii="Times New Roman" w:eastAsia="Times New Roman" w:hAnsi="Times New Roman"/>
          <w:color w:val="000000"/>
          <w:sz w:val="28"/>
          <w:szCs w:val="28"/>
          <w:lang w:eastAsia="lv-LV"/>
        </w:rPr>
        <w:t xml:space="preserve">enerģijas gala patēriņš </w:t>
      </w:r>
      <w:r w:rsidR="00EC26E8" w:rsidRPr="00174A70">
        <w:rPr>
          <w:rFonts w:ascii="Times New Roman" w:eastAsia="Times New Roman" w:hAnsi="Times New Roman"/>
          <w:color w:val="000000"/>
          <w:sz w:val="28"/>
          <w:szCs w:val="28"/>
          <w:lang w:eastAsia="lv-LV"/>
        </w:rPr>
        <w:t xml:space="preserve">2014. – 2020. gadam </w:t>
      </w:r>
      <w:r w:rsidR="00DE7854" w:rsidRPr="00174A70">
        <w:rPr>
          <w:rFonts w:ascii="Times New Roman" w:eastAsia="Times New Roman" w:hAnsi="Times New Roman"/>
          <w:color w:val="000000"/>
          <w:sz w:val="28"/>
          <w:szCs w:val="28"/>
          <w:lang w:eastAsia="lv-LV"/>
        </w:rPr>
        <w:t xml:space="preserve">bez transporta sektora sastāda 13971 </w:t>
      </w:r>
      <w:proofErr w:type="spellStart"/>
      <w:r w:rsidR="00DE7854" w:rsidRPr="00174A70">
        <w:rPr>
          <w:rFonts w:ascii="Times New Roman" w:eastAsia="Times New Roman" w:hAnsi="Times New Roman"/>
          <w:color w:val="000000"/>
          <w:sz w:val="28"/>
          <w:szCs w:val="28"/>
          <w:lang w:eastAsia="lv-LV"/>
        </w:rPr>
        <w:t>GWh</w:t>
      </w:r>
      <w:proofErr w:type="spellEnd"/>
      <w:r w:rsidR="00DE7854" w:rsidRPr="00174A70">
        <w:rPr>
          <w:rFonts w:ascii="Times New Roman" w:eastAsia="Times New Roman" w:hAnsi="Times New Roman"/>
          <w:color w:val="000000"/>
          <w:sz w:val="28"/>
          <w:szCs w:val="28"/>
          <w:lang w:eastAsia="lv-LV"/>
        </w:rPr>
        <w:t xml:space="preserve"> (1,2 </w:t>
      </w:r>
      <w:proofErr w:type="spellStart"/>
      <w:r w:rsidR="00DE7854" w:rsidRPr="00174A70">
        <w:rPr>
          <w:rFonts w:ascii="Times New Roman" w:eastAsia="Times New Roman" w:hAnsi="Times New Roman"/>
          <w:color w:val="000000"/>
          <w:sz w:val="28"/>
          <w:szCs w:val="28"/>
          <w:lang w:eastAsia="lv-LV"/>
        </w:rPr>
        <w:t>Mtoe</w:t>
      </w:r>
      <w:proofErr w:type="spellEnd"/>
      <w:r w:rsidR="00DE7854" w:rsidRPr="00174A70">
        <w:rPr>
          <w:rFonts w:ascii="Times New Roman" w:eastAsia="Times New Roman" w:hAnsi="Times New Roman"/>
          <w:color w:val="000000"/>
          <w:sz w:val="28"/>
          <w:szCs w:val="28"/>
          <w:lang w:eastAsia="lv-LV"/>
        </w:rPr>
        <w:t xml:space="preserve">; 50,3 PJ). Tā kā obligāto mērķi aprēķina, kā jaunus ietaupījumus 1,5 % apmērā no tā enerģijas apjoma, kuru ik gadu pārdod visu enerģijas sadales uzņēmumu vai visu enerģijas mazumtirdzniecības uzņēmumu galalietotājiem, tad no aprēķina var izslēgt enerģijas patēriņu, kas rodas no </w:t>
      </w:r>
      <w:proofErr w:type="spellStart"/>
      <w:r w:rsidR="00DE7854" w:rsidRPr="00174A70">
        <w:rPr>
          <w:rFonts w:ascii="Times New Roman" w:eastAsia="Times New Roman" w:hAnsi="Times New Roman"/>
          <w:color w:val="000000"/>
          <w:sz w:val="28"/>
          <w:szCs w:val="28"/>
          <w:lang w:eastAsia="lv-LV"/>
        </w:rPr>
        <w:t>pašsagatavotās</w:t>
      </w:r>
      <w:proofErr w:type="spellEnd"/>
      <w:r w:rsidR="00DE7854" w:rsidRPr="00174A70">
        <w:rPr>
          <w:rFonts w:ascii="Times New Roman" w:eastAsia="Times New Roman" w:hAnsi="Times New Roman"/>
          <w:color w:val="000000"/>
          <w:sz w:val="28"/>
          <w:szCs w:val="28"/>
          <w:lang w:eastAsia="lv-LV"/>
        </w:rPr>
        <w:t xml:space="preserve"> koksnes izmantošanas mājsaimniecībās. Rezultātā </w:t>
      </w:r>
      <w:r w:rsidR="00EC26E8" w:rsidRPr="00174A70">
        <w:rPr>
          <w:rFonts w:ascii="Times New Roman" w:eastAsia="Times New Roman" w:hAnsi="Times New Roman"/>
          <w:color w:val="000000"/>
          <w:sz w:val="28"/>
          <w:szCs w:val="28"/>
          <w:lang w:eastAsia="lv-LV"/>
        </w:rPr>
        <w:t xml:space="preserve">kumulatīvais </w:t>
      </w:r>
      <w:r w:rsidR="00DE7854" w:rsidRPr="00174A70">
        <w:rPr>
          <w:rFonts w:ascii="Times New Roman" w:eastAsia="Times New Roman" w:hAnsi="Times New Roman"/>
          <w:color w:val="000000"/>
          <w:sz w:val="28"/>
          <w:szCs w:val="28"/>
          <w:lang w:eastAsia="lv-LV"/>
        </w:rPr>
        <w:t>enerģijas galapatēriņš</w:t>
      </w:r>
      <w:r w:rsidR="00EC26E8" w:rsidRPr="00174A70">
        <w:rPr>
          <w:rFonts w:ascii="Times New Roman" w:eastAsia="Times New Roman" w:hAnsi="Times New Roman"/>
          <w:color w:val="000000"/>
          <w:sz w:val="28"/>
          <w:szCs w:val="28"/>
          <w:lang w:eastAsia="lv-LV"/>
        </w:rPr>
        <w:t xml:space="preserve"> 2014. – 2020. gadam</w:t>
      </w:r>
      <w:r w:rsidR="00DE7854" w:rsidRPr="00174A70">
        <w:rPr>
          <w:rFonts w:ascii="Times New Roman" w:eastAsia="Times New Roman" w:hAnsi="Times New Roman"/>
          <w:color w:val="000000"/>
          <w:sz w:val="28"/>
          <w:szCs w:val="28"/>
          <w:lang w:eastAsia="lv-LV"/>
        </w:rPr>
        <w:t xml:space="preserve"> bez transporta sektora un </w:t>
      </w:r>
      <w:proofErr w:type="spellStart"/>
      <w:r w:rsidR="00DE7854" w:rsidRPr="00174A70">
        <w:rPr>
          <w:rFonts w:ascii="Times New Roman" w:eastAsia="Times New Roman" w:hAnsi="Times New Roman"/>
          <w:color w:val="000000"/>
          <w:sz w:val="28"/>
          <w:szCs w:val="28"/>
          <w:lang w:eastAsia="lv-LV"/>
        </w:rPr>
        <w:t>pašsagatavotās</w:t>
      </w:r>
      <w:proofErr w:type="spellEnd"/>
      <w:r w:rsidR="00DE7854" w:rsidRPr="00174A70">
        <w:rPr>
          <w:rFonts w:ascii="Times New Roman" w:eastAsia="Times New Roman" w:hAnsi="Times New Roman"/>
          <w:color w:val="000000"/>
          <w:sz w:val="28"/>
          <w:szCs w:val="28"/>
          <w:lang w:eastAsia="lv-LV"/>
        </w:rPr>
        <w:t xml:space="preserve"> koksnes izmantošanas mājsaimniecībās būs 13194 </w:t>
      </w:r>
      <w:proofErr w:type="spellStart"/>
      <w:r w:rsidR="00DE7854" w:rsidRPr="00174A70">
        <w:rPr>
          <w:rFonts w:ascii="Times New Roman" w:eastAsia="Times New Roman" w:hAnsi="Times New Roman"/>
          <w:color w:val="000000"/>
          <w:sz w:val="28"/>
          <w:szCs w:val="28"/>
          <w:lang w:eastAsia="lv-LV"/>
        </w:rPr>
        <w:t>GWh</w:t>
      </w:r>
      <w:proofErr w:type="spellEnd"/>
      <w:r w:rsidR="00DE7854" w:rsidRPr="00174A70">
        <w:rPr>
          <w:rFonts w:ascii="Times New Roman" w:eastAsia="Times New Roman" w:hAnsi="Times New Roman"/>
          <w:color w:val="000000"/>
          <w:sz w:val="28"/>
          <w:szCs w:val="28"/>
          <w:lang w:eastAsia="lv-LV"/>
        </w:rPr>
        <w:t xml:space="preserve"> (1,13 </w:t>
      </w:r>
      <w:proofErr w:type="spellStart"/>
      <w:r w:rsidR="00DE7854" w:rsidRPr="00174A70">
        <w:rPr>
          <w:rFonts w:ascii="Times New Roman" w:eastAsia="Times New Roman" w:hAnsi="Times New Roman"/>
          <w:color w:val="000000"/>
          <w:sz w:val="28"/>
          <w:szCs w:val="28"/>
          <w:lang w:eastAsia="lv-LV"/>
        </w:rPr>
        <w:t>Mtoe</w:t>
      </w:r>
      <w:proofErr w:type="spellEnd"/>
      <w:r w:rsidR="00DE7854" w:rsidRPr="00174A70">
        <w:rPr>
          <w:rFonts w:ascii="Times New Roman" w:eastAsia="Times New Roman" w:hAnsi="Times New Roman"/>
          <w:color w:val="000000"/>
          <w:sz w:val="28"/>
          <w:szCs w:val="28"/>
          <w:lang w:eastAsia="lv-LV"/>
        </w:rPr>
        <w:t xml:space="preserve">; 47,5 PJ). </w:t>
      </w:r>
      <w:r w:rsidR="00EC26E8" w:rsidRPr="00174A70">
        <w:rPr>
          <w:rFonts w:ascii="Times New Roman" w:eastAsia="Times New Roman" w:hAnsi="Times New Roman"/>
          <w:color w:val="000000"/>
          <w:sz w:val="28"/>
          <w:szCs w:val="28"/>
          <w:lang w:eastAsia="lv-LV"/>
        </w:rPr>
        <w:t xml:space="preserve">Direktīva 2012/27/ES piedāvā piemērot vairākus variantus, kas ļauj samazināt obligātā mērķī noteikto enerģijas ietaupījumu, bet ne vairāk kā par 25 %. </w:t>
      </w:r>
      <w:r w:rsidR="004B137B" w:rsidRPr="00174A70">
        <w:rPr>
          <w:rFonts w:ascii="Times New Roman" w:eastAsia="Times New Roman" w:hAnsi="Times New Roman"/>
          <w:color w:val="000000"/>
          <w:sz w:val="28"/>
          <w:szCs w:val="28"/>
          <w:lang w:eastAsia="lv-LV"/>
        </w:rPr>
        <w:t>Pielietojot samazināto ikgadējo jauno ietaupījumu likmi gala enerģijas patēriņam, no kura tiek izskaitīta</w:t>
      </w:r>
      <w:r w:rsidR="00EC26E8" w:rsidRPr="00174A70">
        <w:rPr>
          <w:rFonts w:ascii="Times New Roman" w:eastAsia="Times New Roman" w:hAnsi="Times New Roman"/>
          <w:color w:val="000000"/>
          <w:sz w:val="28"/>
          <w:szCs w:val="28"/>
          <w:lang w:eastAsia="lv-LV"/>
        </w:rPr>
        <w:t xml:space="preserve"> da</w:t>
      </w:r>
      <w:r w:rsidR="004B137B" w:rsidRPr="00174A70">
        <w:rPr>
          <w:rFonts w:ascii="Times New Roman" w:eastAsia="Times New Roman" w:hAnsi="Times New Roman"/>
          <w:color w:val="000000"/>
          <w:sz w:val="28"/>
          <w:szCs w:val="28"/>
          <w:lang w:eastAsia="lv-LV"/>
        </w:rPr>
        <w:t>ļa</w:t>
      </w:r>
      <w:r w:rsidR="00EC26E8" w:rsidRPr="00174A70">
        <w:rPr>
          <w:rFonts w:ascii="Times New Roman" w:eastAsia="Times New Roman" w:hAnsi="Times New Roman"/>
          <w:color w:val="000000"/>
          <w:sz w:val="28"/>
          <w:szCs w:val="28"/>
          <w:lang w:eastAsia="lv-LV"/>
        </w:rPr>
        <w:t xml:space="preserve"> (60 %) no tā enerģijas apjoma, kas pārdots izmantošanai rūpnieciskās darbībās, kuras uzskaitītas Direktīvas 2003/87/EK I pielikumā, kumulatīvais </w:t>
      </w:r>
      <w:r w:rsidR="00E14EBF" w:rsidRPr="00174A70">
        <w:rPr>
          <w:rFonts w:ascii="Times New Roman" w:eastAsia="Times New Roman" w:hAnsi="Times New Roman"/>
          <w:color w:val="000000"/>
          <w:sz w:val="28"/>
          <w:szCs w:val="28"/>
          <w:lang w:eastAsia="lv-LV"/>
        </w:rPr>
        <w:t>obligātais</w:t>
      </w:r>
      <w:r w:rsidR="006A3C3F" w:rsidRPr="00174A70">
        <w:rPr>
          <w:rFonts w:ascii="Times New Roman" w:eastAsia="Times New Roman" w:hAnsi="Times New Roman"/>
          <w:color w:val="000000"/>
          <w:sz w:val="28"/>
          <w:szCs w:val="28"/>
          <w:lang w:eastAsia="lv-LV"/>
        </w:rPr>
        <w:t xml:space="preserve"> </w:t>
      </w:r>
      <w:r w:rsidR="00E14EBF" w:rsidRPr="00174A70">
        <w:rPr>
          <w:rFonts w:ascii="Times New Roman" w:eastAsia="Times New Roman" w:hAnsi="Times New Roman"/>
          <w:color w:val="000000"/>
          <w:sz w:val="28"/>
          <w:szCs w:val="28"/>
          <w:lang w:eastAsia="lv-LV"/>
        </w:rPr>
        <w:t xml:space="preserve">mērķis </w:t>
      </w:r>
      <w:r w:rsidR="00EC26E8" w:rsidRPr="00174A70">
        <w:rPr>
          <w:rFonts w:ascii="Times New Roman" w:eastAsia="Times New Roman" w:hAnsi="Times New Roman"/>
          <w:color w:val="000000"/>
          <w:sz w:val="28"/>
          <w:szCs w:val="28"/>
          <w:lang w:eastAsia="lv-LV"/>
        </w:rPr>
        <w:t xml:space="preserve">2014. – 2020. gadam </w:t>
      </w:r>
      <w:r w:rsidR="00E14EBF" w:rsidRPr="00174A70">
        <w:rPr>
          <w:rFonts w:ascii="Times New Roman" w:eastAsia="Times New Roman" w:hAnsi="Times New Roman"/>
          <w:color w:val="000000"/>
          <w:sz w:val="28"/>
          <w:szCs w:val="28"/>
          <w:lang w:eastAsia="lv-LV"/>
        </w:rPr>
        <w:t xml:space="preserve">atbilst enerģijas ietaupījumam </w:t>
      </w:r>
      <w:r w:rsidR="00EC26E8" w:rsidRPr="00174A70">
        <w:rPr>
          <w:rFonts w:ascii="Times New Roman" w:eastAsia="Times New Roman" w:hAnsi="Times New Roman"/>
          <w:color w:val="000000"/>
          <w:sz w:val="28"/>
          <w:szCs w:val="28"/>
          <w:lang w:eastAsia="lv-LV"/>
        </w:rPr>
        <w:t xml:space="preserve">9897 </w:t>
      </w:r>
      <w:proofErr w:type="spellStart"/>
      <w:r w:rsidR="00EC26E8" w:rsidRPr="00174A70">
        <w:rPr>
          <w:rFonts w:ascii="Times New Roman" w:eastAsia="Times New Roman" w:hAnsi="Times New Roman"/>
          <w:color w:val="000000"/>
          <w:sz w:val="28"/>
          <w:szCs w:val="28"/>
          <w:lang w:eastAsia="lv-LV"/>
        </w:rPr>
        <w:t>GWh</w:t>
      </w:r>
      <w:proofErr w:type="spellEnd"/>
      <w:r w:rsidR="00EC26E8" w:rsidRPr="00174A70">
        <w:rPr>
          <w:rFonts w:ascii="Times New Roman" w:eastAsia="Times New Roman" w:hAnsi="Times New Roman"/>
          <w:color w:val="000000"/>
          <w:sz w:val="28"/>
          <w:szCs w:val="28"/>
          <w:lang w:eastAsia="lv-LV"/>
        </w:rPr>
        <w:t xml:space="preserve"> (0,85 </w:t>
      </w:r>
      <w:proofErr w:type="spellStart"/>
      <w:r w:rsidR="00EC26E8" w:rsidRPr="00174A70">
        <w:rPr>
          <w:rFonts w:ascii="Times New Roman" w:eastAsia="Times New Roman" w:hAnsi="Times New Roman"/>
          <w:color w:val="000000"/>
          <w:sz w:val="28"/>
          <w:szCs w:val="28"/>
          <w:lang w:eastAsia="lv-LV"/>
        </w:rPr>
        <w:t>Mtoe</w:t>
      </w:r>
      <w:proofErr w:type="spellEnd"/>
      <w:r w:rsidR="00EC26E8" w:rsidRPr="00174A70">
        <w:rPr>
          <w:rFonts w:ascii="Times New Roman" w:eastAsia="Times New Roman" w:hAnsi="Times New Roman"/>
          <w:color w:val="000000"/>
          <w:sz w:val="28"/>
          <w:szCs w:val="28"/>
          <w:lang w:eastAsia="lv-LV"/>
        </w:rPr>
        <w:t>; 35,6 PJ)</w:t>
      </w:r>
      <w:r w:rsidR="004B137B" w:rsidRPr="00174A70">
        <w:rPr>
          <w:rFonts w:ascii="Times New Roman" w:eastAsia="Times New Roman" w:hAnsi="Times New Roman"/>
          <w:color w:val="000000"/>
          <w:sz w:val="28"/>
          <w:szCs w:val="28"/>
          <w:lang w:eastAsia="lv-LV"/>
        </w:rPr>
        <w:t xml:space="preserve"> vai </w:t>
      </w:r>
      <w:r w:rsidR="0072447D" w:rsidRPr="00174A70">
        <w:rPr>
          <w:rFonts w:ascii="Times New Roman" w:eastAsia="Times New Roman" w:hAnsi="Times New Roman"/>
          <w:color w:val="000000"/>
          <w:sz w:val="28"/>
          <w:szCs w:val="28"/>
          <w:lang w:eastAsia="lv-LV"/>
        </w:rPr>
        <w:t xml:space="preserve">2474 </w:t>
      </w:r>
      <w:proofErr w:type="spellStart"/>
      <w:r w:rsidR="0072447D" w:rsidRPr="00174A70">
        <w:rPr>
          <w:rFonts w:ascii="Times New Roman" w:eastAsia="Times New Roman" w:hAnsi="Times New Roman"/>
          <w:color w:val="000000"/>
          <w:sz w:val="28"/>
          <w:szCs w:val="28"/>
          <w:lang w:eastAsia="lv-LV"/>
        </w:rPr>
        <w:t>GWh</w:t>
      </w:r>
      <w:proofErr w:type="spellEnd"/>
      <w:r w:rsidR="0072447D" w:rsidRPr="00174A70">
        <w:rPr>
          <w:rFonts w:ascii="Times New Roman" w:eastAsia="Times New Roman" w:hAnsi="Times New Roman"/>
          <w:color w:val="000000"/>
          <w:sz w:val="28"/>
          <w:szCs w:val="28"/>
          <w:lang w:eastAsia="lv-LV"/>
        </w:rPr>
        <w:t xml:space="preserve"> </w:t>
      </w:r>
      <w:r w:rsidR="0040690C" w:rsidRPr="00174A70">
        <w:rPr>
          <w:rFonts w:ascii="Times New Roman" w:eastAsia="Times New Roman" w:hAnsi="Times New Roman"/>
          <w:color w:val="000000"/>
          <w:sz w:val="28"/>
          <w:szCs w:val="28"/>
          <w:lang w:eastAsia="lv-LV"/>
        </w:rPr>
        <w:t>(</w:t>
      </w:r>
      <w:r w:rsidR="0072447D" w:rsidRPr="00174A70">
        <w:rPr>
          <w:rFonts w:ascii="Times New Roman" w:eastAsia="Times New Roman" w:hAnsi="Times New Roman"/>
          <w:color w:val="000000"/>
          <w:sz w:val="28"/>
          <w:szCs w:val="28"/>
          <w:lang w:eastAsia="lv-LV"/>
        </w:rPr>
        <w:t xml:space="preserve">0,213 </w:t>
      </w:r>
      <w:proofErr w:type="spellStart"/>
      <w:r w:rsidR="0072447D" w:rsidRPr="00174A70">
        <w:rPr>
          <w:rFonts w:ascii="Times New Roman" w:eastAsia="Times New Roman" w:hAnsi="Times New Roman"/>
          <w:color w:val="000000"/>
          <w:sz w:val="28"/>
          <w:szCs w:val="28"/>
          <w:lang w:eastAsia="lv-LV"/>
        </w:rPr>
        <w:t>Mtoe</w:t>
      </w:r>
      <w:proofErr w:type="spellEnd"/>
      <w:r w:rsidR="0072447D" w:rsidRPr="00174A70">
        <w:rPr>
          <w:rFonts w:ascii="Times New Roman" w:eastAsia="Times New Roman" w:hAnsi="Times New Roman"/>
          <w:color w:val="000000"/>
          <w:sz w:val="28"/>
          <w:szCs w:val="28"/>
          <w:lang w:eastAsia="lv-LV"/>
        </w:rPr>
        <w:t xml:space="preserve">; </w:t>
      </w:r>
      <w:r w:rsidR="0040690C" w:rsidRPr="00174A70">
        <w:rPr>
          <w:rFonts w:ascii="Times New Roman" w:eastAsia="Times New Roman" w:hAnsi="Times New Roman"/>
          <w:color w:val="000000"/>
          <w:sz w:val="28"/>
          <w:szCs w:val="28"/>
          <w:lang w:eastAsia="lv-LV"/>
        </w:rPr>
        <w:t>8</w:t>
      </w:r>
      <w:r w:rsidR="0072447D" w:rsidRPr="00174A70">
        <w:rPr>
          <w:rFonts w:ascii="Times New Roman" w:eastAsia="Times New Roman" w:hAnsi="Times New Roman"/>
          <w:color w:val="000000"/>
          <w:sz w:val="28"/>
          <w:szCs w:val="28"/>
          <w:lang w:eastAsia="lv-LV"/>
        </w:rPr>
        <w:t>,9 PJ</w:t>
      </w:r>
      <w:r w:rsidR="00E14EBF" w:rsidRPr="00174A70">
        <w:rPr>
          <w:rFonts w:ascii="Times New Roman" w:eastAsia="Times New Roman" w:hAnsi="Times New Roman"/>
          <w:color w:val="000000"/>
          <w:sz w:val="28"/>
          <w:szCs w:val="28"/>
          <w:lang w:eastAsia="lv-LV"/>
        </w:rPr>
        <w:t>) 2020.</w:t>
      </w:r>
      <w:r w:rsidR="004B137B" w:rsidRPr="00174A70">
        <w:rPr>
          <w:rFonts w:ascii="Times New Roman" w:eastAsia="Times New Roman" w:hAnsi="Times New Roman"/>
          <w:color w:val="000000"/>
          <w:sz w:val="28"/>
          <w:szCs w:val="28"/>
          <w:lang w:eastAsia="lv-LV"/>
        </w:rPr>
        <w:t xml:space="preserve"> </w:t>
      </w:r>
      <w:r w:rsidR="00E14EBF" w:rsidRPr="00174A70">
        <w:rPr>
          <w:rFonts w:ascii="Times New Roman" w:eastAsia="Times New Roman" w:hAnsi="Times New Roman"/>
          <w:color w:val="000000"/>
          <w:sz w:val="28"/>
          <w:szCs w:val="28"/>
          <w:lang w:eastAsia="lv-LV"/>
        </w:rPr>
        <w:t>gad</w:t>
      </w:r>
      <w:r w:rsidR="004B137B" w:rsidRPr="00174A70">
        <w:rPr>
          <w:rFonts w:ascii="Times New Roman" w:eastAsia="Times New Roman" w:hAnsi="Times New Roman"/>
          <w:color w:val="000000"/>
          <w:sz w:val="28"/>
          <w:szCs w:val="28"/>
          <w:lang w:eastAsia="lv-LV"/>
        </w:rPr>
        <w:t>ā</w:t>
      </w:r>
      <w:r w:rsidR="00E14EBF" w:rsidRPr="00174A70">
        <w:rPr>
          <w:rFonts w:ascii="Times New Roman" w:eastAsia="Times New Roman" w:hAnsi="Times New Roman"/>
          <w:color w:val="000000"/>
          <w:sz w:val="28"/>
          <w:szCs w:val="28"/>
          <w:lang w:eastAsia="lv-LV"/>
        </w:rPr>
        <w:t>.</w:t>
      </w:r>
      <w:r w:rsidR="00E14EBF" w:rsidRPr="00174A70">
        <w:rPr>
          <w:rFonts w:ascii="Times New Roman" w:eastAsia="Times New Roman" w:hAnsi="Times New Roman"/>
          <w:sz w:val="28"/>
          <w:szCs w:val="28"/>
          <w:lang w:eastAsia="lv-LV"/>
        </w:rPr>
        <w:t xml:space="preserve"> </w:t>
      </w:r>
      <w:r w:rsidR="00E034ED" w:rsidRPr="00174A70">
        <w:rPr>
          <w:rFonts w:ascii="Times New Roman" w:eastAsia="Times New Roman" w:hAnsi="Times New Roman"/>
          <w:sz w:val="28"/>
          <w:szCs w:val="28"/>
          <w:lang w:eastAsia="lv-LV"/>
        </w:rPr>
        <w:t>Šis aprēķins ir parādīts 3. attēlā.</w:t>
      </w:r>
      <w:r w:rsidR="00E034ED">
        <w:rPr>
          <w:rFonts w:ascii="Times New Roman" w:eastAsia="Times New Roman" w:hAnsi="Times New Roman"/>
          <w:sz w:val="28"/>
          <w:szCs w:val="28"/>
          <w:lang w:eastAsia="lv-LV"/>
        </w:rPr>
        <w:t xml:space="preserve"> </w:t>
      </w:r>
      <w:r w:rsidR="00FF2CCE">
        <w:rPr>
          <w:rFonts w:ascii="Times New Roman" w:eastAsia="Times New Roman" w:hAnsi="Times New Roman"/>
          <w:sz w:val="28"/>
          <w:szCs w:val="28"/>
          <w:lang w:eastAsia="lv-LV"/>
        </w:rPr>
        <w:t>2012. gada p</w:t>
      </w:r>
      <w:r w:rsidR="00E14EBF" w:rsidRPr="00FF2FAC">
        <w:rPr>
          <w:rFonts w:ascii="Times New Roman" w:eastAsia="Times New Roman" w:hAnsi="Times New Roman"/>
          <w:color w:val="000000"/>
          <w:sz w:val="28"/>
          <w:szCs w:val="28"/>
          <w:lang w:eastAsia="lv-LV"/>
        </w:rPr>
        <w:t>ētījumā „Energoefektivitātes monitoringa sistēmas darbības nodrošināšanai nepieciešamo enerģijas ietaupījuma aprēķināšanas elektronisko formu izstrāde, datu novērtējums un apstrāde” konstatēts, ka par efektīvām var uzskatīt ietaupītās enerģijas izmaksas robežās no 300 - 600 LVL/</w:t>
      </w:r>
      <w:proofErr w:type="spellStart"/>
      <w:r w:rsidR="00E14EBF" w:rsidRPr="00FF2FAC">
        <w:rPr>
          <w:rFonts w:ascii="Times New Roman" w:eastAsia="Times New Roman" w:hAnsi="Times New Roman"/>
          <w:color w:val="000000"/>
          <w:sz w:val="28"/>
          <w:szCs w:val="28"/>
          <w:lang w:eastAsia="lv-LV"/>
        </w:rPr>
        <w:t>MWh</w:t>
      </w:r>
      <w:proofErr w:type="spellEnd"/>
      <w:r w:rsidR="00E14EBF">
        <w:rPr>
          <w:rFonts w:ascii="Times New Roman" w:eastAsia="Times New Roman" w:hAnsi="Times New Roman"/>
          <w:color w:val="000000"/>
          <w:sz w:val="28"/>
          <w:szCs w:val="28"/>
          <w:lang w:eastAsia="lv-LV"/>
        </w:rPr>
        <w:t xml:space="preserve"> (426,86 – 853,72 EUR/</w:t>
      </w:r>
      <w:proofErr w:type="spellStart"/>
      <w:r w:rsidR="00E14EBF">
        <w:rPr>
          <w:rFonts w:ascii="Times New Roman" w:eastAsia="Times New Roman" w:hAnsi="Times New Roman"/>
          <w:color w:val="000000"/>
          <w:sz w:val="28"/>
          <w:szCs w:val="28"/>
          <w:lang w:eastAsia="lv-LV"/>
        </w:rPr>
        <w:t>MWh</w:t>
      </w:r>
      <w:proofErr w:type="spellEnd"/>
      <w:r w:rsidR="00E14EBF">
        <w:rPr>
          <w:rFonts w:ascii="Times New Roman" w:eastAsia="Times New Roman" w:hAnsi="Times New Roman"/>
          <w:color w:val="000000"/>
          <w:sz w:val="28"/>
          <w:szCs w:val="28"/>
          <w:lang w:eastAsia="lv-LV"/>
        </w:rPr>
        <w:t>)</w:t>
      </w:r>
      <w:r w:rsidR="00E14EBF" w:rsidRPr="00FF2FAC">
        <w:rPr>
          <w:rFonts w:ascii="Times New Roman" w:eastAsia="Times New Roman" w:hAnsi="Times New Roman"/>
          <w:color w:val="000000"/>
          <w:sz w:val="28"/>
          <w:szCs w:val="28"/>
          <w:lang w:eastAsia="lv-LV"/>
        </w:rPr>
        <w:t xml:space="preserve">. Tas nozīmē, ka ja obligātais mērķis tiek sasniegts tikai ar siltumenerģijas patēriņa samazināšanu ēkās, obligātā ietaupījumu mērķa </w:t>
      </w:r>
      <w:r w:rsidR="00E14EBF" w:rsidRPr="00FF2FAC">
        <w:rPr>
          <w:rFonts w:ascii="Times New Roman" w:eastAsia="Times New Roman" w:hAnsi="Times New Roman"/>
          <w:color w:val="000000"/>
          <w:sz w:val="28"/>
          <w:szCs w:val="28"/>
          <w:lang w:eastAsia="lv-LV"/>
        </w:rPr>
        <w:lastRenderedPageBreak/>
        <w:t>sasniegšanai nepieciešamās investīcijas var sasniegt 1,</w:t>
      </w:r>
      <w:r w:rsidR="007F2C5A">
        <w:rPr>
          <w:rFonts w:ascii="Times New Roman" w:eastAsia="Times New Roman" w:hAnsi="Times New Roman"/>
          <w:color w:val="000000"/>
          <w:sz w:val="28"/>
          <w:szCs w:val="28"/>
          <w:lang w:eastAsia="lv-LV"/>
        </w:rPr>
        <w:t>48</w:t>
      </w:r>
      <w:r w:rsidR="00E14EBF" w:rsidRPr="00FF2FAC">
        <w:rPr>
          <w:rFonts w:ascii="Times New Roman" w:eastAsia="Times New Roman" w:hAnsi="Times New Roman"/>
          <w:color w:val="000000"/>
          <w:sz w:val="28"/>
          <w:szCs w:val="28"/>
          <w:lang w:eastAsia="lv-LV"/>
        </w:rPr>
        <w:t xml:space="preserve"> miljardus LVL</w:t>
      </w:r>
      <w:r w:rsidR="00E14EBF">
        <w:rPr>
          <w:rFonts w:ascii="Times New Roman" w:eastAsia="Times New Roman" w:hAnsi="Times New Roman"/>
          <w:color w:val="000000"/>
          <w:sz w:val="28"/>
          <w:szCs w:val="28"/>
          <w:lang w:eastAsia="lv-LV"/>
        </w:rPr>
        <w:t xml:space="preserve"> (2 </w:t>
      </w:r>
      <w:r w:rsidR="001546BE">
        <w:rPr>
          <w:rFonts w:ascii="Times New Roman" w:eastAsia="Times New Roman" w:hAnsi="Times New Roman"/>
          <w:color w:val="000000"/>
          <w:sz w:val="28"/>
          <w:szCs w:val="28"/>
          <w:lang w:eastAsia="lv-LV"/>
        </w:rPr>
        <w:t>105</w:t>
      </w:r>
      <w:r w:rsidR="00E14EBF">
        <w:rPr>
          <w:rFonts w:ascii="Times New Roman" w:eastAsia="Times New Roman" w:hAnsi="Times New Roman"/>
          <w:color w:val="000000"/>
          <w:sz w:val="28"/>
          <w:szCs w:val="28"/>
          <w:lang w:eastAsia="lv-LV"/>
        </w:rPr>
        <w:t> </w:t>
      </w:r>
      <w:r w:rsidR="001546BE">
        <w:rPr>
          <w:rFonts w:ascii="Times New Roman" w:eastAsia="Times New Roman" w:hAnsi="Times New Roman"/>
          <w:color w:val="000000"/>
          <w:sz w:val="28"/>
          <w:szCs w:val="28"/>
          <w:lang w:eastAsia="lv-LV"/>
        </w:rPr>
        <w:t>850</w:t>
      </w:r>
      <w:r w:rsidR="00E14EBF">
        <w:rPr>
          <w:rFonts w:ascii="Times New Roman" w:eastAsia="Times New Roman" w:hAnsi="Times New Roman"/>
          <w:color w:val="000000"/>
          <w:sz w:val="28"/>
          <w:szCs w:val="28"/>
          <w:lang w:eastAsia="lv-LV"/>
        </w:rPr>
        <w:t xml:space="preserve"> </w:t>
      </w:r>
      <w:r w:rsidR="001546BE">
        <w:rPr>
          <w:rFonts w:ascii="Times New Roman" w:eastAsia="Times New Roman" w:hAnsi="Times New Roman"/>
          <w:color w:val="000000"/>
          <w:sz w:val="28"/>
          <w:szCs w:val="28"/>
          <w:lang w:eastAsia="lv-LV"/>
        </w:rPr>
        <w:t>280</w:t>
      </w:r>
      <w:r w:rsidR="00E14EBF">
        <w:rPr>
          <w:rFonts w:ascii="Times New Roman" w:eastAsia="Times New Roman" w:hAnsi="Times New Roman"/>
          <w:color w:val="000000"/>
          <w:sz w:val="28"/>
          <w:szCs w:val="28"/>
          <w:lang w:eastAsia="lv-LV"/>
        </w:rPr>
        <w:t xml:space="preserve"> EUR)</w:t>
      </w:r>
      <w:r w:rsidR="00E14EBF" w:rsidRPr="00FF2FAC">
        <w:rPr>
          <w:rFonts w:ascii="Times New Roman" w:eastAsia="Times New Roman" w:hAnsi="Times New Roman"/>
          <w:color w:val="000000"/>
          <w:sz w:val="28"/>
          <w:szCs w:val="28"/>
          <w:lang w:eastAsia="lv-LV"/>
        </w:rPr>
        <w:t>.</w:t>
      </w:r>
    </w:p>
    <w:p w:rsidR="00AF4FF9" w:rsidRPr="00AF4FF9" w:rsidRDefault="00AF4FF9" w:rsidP="00AF4FF9">
      <w:pPr>
        <w:jc w:val="right"/>
        <w:rPr>
          <w:rFonts w:ascii="Times New Roman" w:hAnsi="Times New Roman" w:cs="Times New Roman"/>
          <w:b/>
        </w:rPr>
      </w:pPr>
      <w:r w:rsidRPr="00AF4FF9">
        <w:rPr>
          <w:rFonts w:ascii="Times New Roman" w:hAnsi="Times New Roman" w:cs="Times New Roman"/>
          <w:b/>
        </w:rPr>
        <w:t>3. attēls.</w:t>
      </w:r>
      <w:r>
        <w:rPr>
          <w:rFonts w:ascii="Times New Roman" w:hAnsi="Times New Roman" w:cs="Times New Roman"/>
          <w:b/>
        </w:rPr>
        <w:t xml:space="preserve"> </w:t>
      </w:r>
      <w:r w:rsidRPr="00AF4FF9">
        <w:rPr>
          <w:rFonts w:ascii="Times New Roman" w:hAnsi="Times New Roman" w:cs="Times New Roman"/>
          <w:b/>
        </w:rPr>
        <w:t>Obligātā kumulatīvā enerģijas ietaupījuma mērķa vērtības saistību periodā (2014.-2020.) pie dažādiem mērķa aprēķinā pieļaujamiem  mērķa samazināšanas variantiem.</w:t>
      </w:r>
    </w:p>
    <w:p w:rsidR="007C3814" w:rsidRDefault="007C3814" w:rsidP="007C3814">
      <w:pPr>
        <w:spacing w:after="240" w:line="240" w:lineRule="auto"/>
        <w:jc w:val="both"/>
        <w:rPr>
          <w:rFonts w:ascii="Times New Roman" w:eastAsia="Times New Roman" w:hAnsi="Times New Roman"/>
          <w:color w:val="000000"/>
          <w:sz w:val="28"/>
          <w:szCs w:val="28"/>
          <w:lang w:eastAsia="lv-LV"/>
        </w:rPr>
      </w:pPr>
      <w:r>
        <w:rPr>
          <w:noProof/>
          <w:lang w:eastAsia="lv-LV"/>
        </w:rPr>
        <w:drawing>
          <wp:inline distT="0" distB="0" distL="0" distR="0" wp14:anchorId="05EDBC5F" wp14:editId="2CCB0B6E">
            <wp:extent cx="5883966" cy="3450866"/>
            <wp:effectExtent l="0" t="0" r="2159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u w:val="single"/>
          <w:lang w:eastAsia="lv-LV"/>
        </w:rPr>
        <w:t>Energoefektivitātes pienākumu shēma</w:t>
      </w:r>
      <w:r w:rsidRPr="00FF2FAC">
        <w:rPr>
          <w:rFonts w:ascii="Times New Roman" w:eastAsia="Times New Roman" w:hAnsi="Times New Roman"/>
          <w:color w:val="000000"/>
          <w:sz w:val="28"/>
          <w:szCs w:val="28"/>
          <w:lang w:eastAsia="lv-LV"/>
        </w:rPr>
        <w:t>. Direktīvas 2012/27/ES 7. panta 1. punkts nosaka, ka katrai dalībvalsts jāizveido energoefektivitātes pienākuma shēma. Ar EPS nodrošina, ka enerģijas sadales uzņēmumi un/vai enerģijas mazumtirdzniecības uzņēmumi (turpmāk - atbildīgā puse), kas ir izraudzīti kā atbildīgās puses un kas darbojas katras dalībvalsts teritorijā, laika posmā no 2014. gada 1. janvāra līdz 2020. gada 31. decembrim sasniedz tām noteikto kumulatīva enerģijas galapatēriņa ietaupījuma 1,5 % mērķi. EPS kopējais obligātais enerģijas ietaupījumu mērķis ir jāsadala starp atbildīgajām pusēm. Citu valstu pieredze liecina, ka par mērķa sadalīšanas kritēriju bieži tiek izmantota atbildīgo pušu aizņemtā tirgus daļa konkrētajā segmentā. Lai novērstu konkurences kropļošanu, EPS bieži iesaista tikai uzņēmumus virs noteikta kvalificēšanās sliekšņa, parasti - klientu skaita vai apgrozījuma.</w:t>
      </w:r>
    </w:p>
    <w:p w:rsidR="00E14EBF"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Lai nodrošinātu 1,5 % mērķa sasniegšanu, atbildīgās puses ik gadu ievieš energoefektivitātes pasākumus jebkurā no galapatēriņa sektoriem un panāk jaunus ietaupījumus atbilstoši tām noteiktajiem mērķiem. Atbildīgajām pusēm (uzņēmumiem) ir jāpierāda EPS vadošajai iestādei, ka tās ir sasniegušas atbilstošus enerģijas ietaupījumus.</w:t>
      </w:r>
      <w:r w:rsidRPr="00FF2FAC">
        <w:rPr>
          <w:rFonts w:ascii="Times New Roman" w:eastAsia="Times New Roman" w:hAnsi="Times New Roman"/>
          <w:sz w:val="24"/>
          <w:szCs w:val="24"/>
          <w:lang w:eastAsia="lv-LV"/>
        </w:rPr>
        <w:t xml:space="preserve"> </w:t>
      </w:r>
      <w:r w:rsidRPr="00FF2FAC">
        <w:rPr>
          <w:rFonts w:ascii="Times New Roman" w:eastAsia="Times New Roman" w:hAnsi="Times New Roman"/>
          <w:color w:val="000000"/>
          <w:sz w:val="28"/>
          <w:szCs w:val="28"/>
          <w:lang w:eastAsia="lv-LV"/>
        </w:rPr>
        <w:t xml:space="preserve">Atbildīgās puses katru gadu iesniedz ziņojumu kas satur informāciju par veiktajiem pasākumiem un enerģijas ietaupījuma aprēķinus, kā arī apkopoti dati par saviem galalietotājiem un to patēriņu. </w:t>
      </w:r>
    </w:p>
    <w:p w:rsidR="007D4B3F" w:rsidRDefault="007D4B3F" w:rsidP="00E14EBF">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lastRenderedPageBreak/>
        <w:t>Atbildīgās puses, neskaitot ēku siltināšanu,</w:t>
      </w:r>
      <w:r w:rsidR="00603035">
        <w:rPr>
          <w:rFonts w:ascii="Times New Roman" w:eastAsia="Times New Roman" w:hAnsi="Times New Roman"/>
          <w:color w:val="000000"/>
          <w:sz w:val="28"/>
          <w:szCs w:val="28"/>
          <w:lang w:eastAsia="lv-LV"/>
        </w:rPr>
        <w:t xml:space="preserve"> jebkurā no galapatēriņa sektoriem</w:t>
      </w:r>
      <w:r>
        <w:rPr>
          <w:rFonts w:ascii="Times New Roman" w:eastAsia="Times New Roman" w:hAnsi="Times New Roman"/>
          <w:color w:val="000000"/>
          <w:sz w:val="28"/>
          <w:szCs w:val="28"/>
          <w:lang w:eastAsia="lv-LV"/>
        </w:rPr>
        <w:t xml:space="preserve"> var veikt tādus energoefektivitātes pasākumus, kā:</w:t>
      </w:r>
    </w:p>
    <w:p w:rsidR="007D4B3F" w:rsidRDefault="007D4B3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siltuma regulatoru un skaitītāju uzstādīšana dzīvokļos un patērētāju informēšana siltuma regulēšanā;</w:t>
      </w:r>
    </w:p>
    <w:p w:rsidR="007D4B3F" w:rsidRDefault="007D4B3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saules kolektoru uzstādīšana apkurei un ūdens sildīšanai;</w:t>
      </w:r>
    </w:p>
    <w:p w:rsidR="007D4B3F" w:rsidRDefault="007D4B3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proofErr w:type="spellStart"/>
      <w:r>
        <w:rPr>
          <w:rFonts w:ascii="Times New Roman" w:eastAsia="Times New Roman" w:hAnsi="Times New Roman"/>
          <w:color w:val="000000"/>
          <w:sz w:val="28"/>
          <w:szCs w:val="28"/>
          <w:lang w:eastAsia="lv-LV"/>
        </w:rPr>
        <w:t>siltumsūkņu</w:t>
      </w:r>
      <w:proofErr w:type="spellEnd"/>
      <w:r>
        <w:rPr>
          <w:rFonts w:ascii="Times New Roman" w:eastAsia="Times New Roman" w:hAnsi="Times New Roman"/>
          <w:color w:val="000000"/>
          <w:sz w:val="28"/>
          <w:szCs w:val="28"/>
          <w:lang w:eastAsia="lv-LV"/>
        </w:rPr>
        <w:t xml:space="preserve"> uzstādīšana;</w:t>
      </w:r>
    </w:p>
    <w:p w:rsidR="00030707" w:rsidRDefault="00030707"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energoefektīvāku apkures katlu uzstādīšana;</w:t>
      </w:r>
    </w:p>
    <w:p w:rsidR="007D4B3F" w:rsidRDefault="007D4B3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siltuma rekuperācijas sistēmu uzstādīšana;</w:t>
      </w:r>
    </w:p>
    <w:p w:rsidR="007D4B3F" w:rsidRDefault="007D4B3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 xml:space="preserve">elektroierīču nomaiņa (ledusskapji, elektriskās plītis </w:t>
      </w:r>
      <w:proofErr w:type="spellStart"/>
      <w:r>
        <w:rPr>
          <w:rFonts w:ascii="Times New Roman" w:eastAsia="Times New Roman" w:hAnsi="Times New Roman"/>
          <w:color w:val="000000"/>
          <w:sz w:val="28"/>
          <w:szCs w:val="28"/>
          <w:lang w:eastAsia="lv-LV"/>
        </w:rPr>
        <w:t>u.c</w:t>
      </w:r>
      <w:proofErr w:type="spellEnd"/>
      <w:r>
        <w:rPr>
          <w:rFonts w:ascii="Times New Roman" w:eastAsia="Times New Roman" w:hAnsi="Times New Roman"/>
          <w:color w:val="000000"/>
          <w:sz w:val="28"/>
          <w:szCs w:val="28"/>
          <w:lang w:eastAsia="lv-LV"/>
        </w:rPr>
        <w:t>.);</w:t>
      </w:r>
    </w:p>
    <w:p w:rsidR="007D4B3F" w:rsidRDefault="007D4B3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apgaismes ķermeņu nomaiņa;</w:t>
      </w:r>
    </w:p>
    <w:p w:rsidR="007D4B3F" w:rsidRDefault="007D4B3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apgaismojuma automātiskās kontroles un vadības sistēmu ieviešana;</w:t>
      </w:r>
    </w:p>
    <w:p w:rsidR="007D4B3F" w:rsidRDefault="007D4B3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elektromotoru, sūkņu un citu ierīču nomaiņa;</w:t>
      </w:r>
    </w:p>
    <w:p w:rsidR="00316B5F" w:rsidRDefault="00316B5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proofErr w:type="spellStart"/>
      <w:r>
        <w:rPr>
          <w:rFonts w:ascii="Times New Roman" w:eastAsia="Times New Roman" w:hAnsi="Times New Roman"/>
          <w:color w:val="000000"/>
          <w:sz w:val="28"/>
          <w:szCs w:val="28"/>
          <w:lang w:eastAsia="lv-LV"/>
        </w:rPr>
        <w:t>Energopārvaldības</w:t>
      </w:r>
      <w:proofErr w:type="spellEnd"/>
      <w:r>
        <w:rPr>
          <w:rFonts w:ascii="Times New Roman" w:eastAsia="Times New Roman" w:hAnsi="Times New Roman"/>
          <w:color w:val="000000"/>
          <w:sz w:val="28"/>
          <w:szCs w:val="28"/>
          <w:lang w:eastAsia="lv-LV"/>
        </w:rPr>
        <w:t xml:space="preserve"> sistēmas (ISO 50001) ieviešana;</w:t>
      </w:r>
    </w:p>
    <w:p w:rsidR="007D4B3F" w:rsidRDefault="007D4B3F" w:rsidP="007D4B3F">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ESKO pakalpojumi</w:t>
      </w:r>
      <w:r w:rsidR="008B1A99">
        <w:rPr>
          <w:rFonts w:ascii="Times New Roman" w:eastAsia="Times New Roman" w:hAnsi="Times New Roman"/>
          <w:color w:val="000000"/>
          <w:sz w:val="28"/>
          <w:szCs w:val="28"/>
          <w:lang w:eastAsia="lv-LV"/>
        </w:rPr>
        <w:t>;</w:t>
      </w:r>
    </w:p>
    <w:p w:rsidR="00603035" w:rsidRDefault="007D4B3F" w:rsidP="00603035">
      <w:pPr>
        <w:pStyle w:val="ListParagraph"/>
        <w:numPr>
          <w:ilvl w:val="0"/>
          <w:numId w:val="30"/>
        </w:numPr>
        <w:spacing w:after="0" w:line="240" w:lineRule="auto"/>
        <w:jc w:val="both"/>
        <w:rPr>
          <w:rFonts w:ascii="Times New Roman" w:eastAsia="Times New Roman" w:hAnsi="Times New Roman"/>
          <w:color w:val="000000"/>
          <w:sz w:val="28"/>
          <w:szCs w:val="28"/>
          <w:lang w:eastAsia="lv-LV"/>
        </w:rPr>
      </w:pPr>
      <w:proofErr w:type="spellStart"/>
      <w:r>
        <w:rPr>
          <w:rFonts w:ascii="Times New Roman" w:eastAsia="Times New Roman" w:hAnsi="Times New Roman"/>
          <w:color w:val="000000"/>
          <w:sz w:val="28"/>
          <w:szCs w:val="28"/>
          <w:lang w:eastAsia="lv-LV"/>
        </w:rPr>
        <w:t>u.c</w:t>
      </w:r>
      <w:proofErr w:type="spellEnd"/>
      <w:r>
        <w:rPr>
          <w:rFonts w:ascii="Times New Roman" w:eastAsia="Times New Roman" w:hAnsi="Times New Roman"/>
          <w:color w:val="000000"/>
          <w:sz w:val="28"/>
          <w:szCs w:val="28"/>
          <w:lang w:eastAsia="lv-LV"/>
        </w:rPr>
        <w:t>.</w:t>
      </w:r>
    </w:p>
    <w:p w:rsidR="00847CE1" w:rsidRDefault="007E273F" w:rsidP="00603035">
      <w:p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ab/>
      </w:r>
      <w:r w:rsidR="00B67F53">
        <w:rPr>
          <w:rFonts w:ascii="Times New Roman" w:eastAsia="Times New Roman" w:hAnsi="Times New Roman"/>
          <w:color w:val="000000"/>
          <w:sz w:val="28"/>
          <w:szCs w:val="28"/>
          <w:lang w:eastAsia="lv-LV"/>
        </w:rPr>
        <w:t xml:space="preserve">Kā pozitīvu pasākumu piemēru var minēt </w:t>
      </w:r>
      <w:r w:rsidR="00030707">
        <w:rPr>
          <w:rFonts w:ascii="Times New Roman" w:eastAsia="Times New Roman" w:hAnsi="Times New Roman"/>
          <w:color w:val="000000"/>
          <w:sz w:val="28"/>
          <w:szCs w:val="28"/>
          <w:lang w:eastAsia="lv-LV"/>
        </w:rPr>
        <w:t>prēmiju</w:t>
      </w:r>
      <w:r w:rsidR="00B67F53">
        <w:rPr>
          <w:rFonts w:ascii="Times New Roman" w:eastAsia="Times New Roman" w:hAnsi="Times New Roman"/>
          <w:color w:val="000000"/>
          <w:sz w:val="28"/>
          <w:szCs w:val="28"/>
          <w:lang w:eastAsia="lv-LV"/>
        </w:rPr>
        <w:t xml:space="preserve"> piešķiršanu</w:t>
      </w:r>
      <w:r w:rsidR="00030707">
        <w:rPr>
          <w:rFonts w:ascii="Times New Roman" w:eastAsia="Times New Roman" w:hAnsi="Times New Roman"/>
          <w:color w:val="000000"/>
          <w:sz w:val="28"/>
          <w:szCs w:val="28"/>
          <w:lang w:eastAsia="lv-LV"/>
        </w:rPr>
        <w:t xml:space="preserve"> patērētājiem, kuri iegādājas augstākas energoefektivitātes klases iekārtas. </w:t>
      </w:r>
      <w:r w:rsidR="00E33C69">
        <w:rPr>
          <w:rFonts w:ascii="Times New Roman" w:eastAsia="Times New Roman" w:hAnsi="Times New Roman"/>
          <w:color w:val="000000"/>
          <w:sz w:val="28"/>
          <w:szCs w:val="28"/>
          <w:lang w:eastAsia="lv-LV"/>
        </w:rPr>
        <w:t xml:space="preserve">Kā piemēru var minēt Spāniju, kur Rūpniecības, darba un tūrisma ministrija 2008. – 2012. gadā finansēja atlaides </w:t>
      </w:r>
      <w:r w:rsidR="00FC2AB3">
        <w:rPr>
          <w:rFonts w:ascii="Times New Roman" w:eastAsia="Times New Roman" w:hAnsi="Times New Roman"/>
          <w:color w:val="000000"/>
          <w:sz w:val="28"/>
          <w:szCs w:val="28"/>
          <w:lang w:eastAsia="lv-LV"/>
        </w:rPr>
        <w:t xml:space="preserve">līdz </w:t>
      </w:r>
      <w:r w:rsidR="00E33C69">
        <w:rPr>
          <w:rFonts w:ascii="Times New Roman" w:eastAsia="Times New Roman" w:hAnsi="Times New Roman"/>
          <w:color w:val="000000"/>
          <w:sz w:val="28"/>
          <w:szCs w:val="28"/>
          <w:lang w:eastAsia="lv-LV"/>
        </w:rPr>
        <w:t xml:space="preserve">105 EUR apmērā ledusskapju, saldētavu, automātisko veļas mazgājamo mašīnu un trauku mazgājamo mašīnu pircējiem, ja efektivitātes klase ir A, A+ vai A++ un vecā ierīce tika nodota pārstrādei. </w:t>
      </w:r>
    </w:p>
    <w:p w:rsidR="00603035" w:rsidRPr="00603035" w:rsidRDefault="00847CE1" w:rsidP="00603035">
      <w:p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ab/>
      </w:r>
      <w:r w:rsidR="00E33C69">
        <w:rPr>
          <w:rFonts w:ascii="Times New Roman" w:eastAsia="Times New Roman" w:hAnsi="Times New Roman"/>
          <w:color w:val="000000"/>
          <w:sz w:val="28"/>
          <w:szCs w:val="28"/>
          <w:lang w:eastAsia="lv-LV"/>
        </w:rPr>
        <w:t>Beļģijā Flāmu reģionā 2004. – 2005. gadā energoefektivitātes pienākumu shēmā iesaistītajiem elektroenerģijas</w:t>
      </w:r>
      <w:r w:rsidR="00376728">
        <w:rPr>
          <w:rFonts w:ascii="Times New Roman" w:eastAsia="Times New Roman" w:hAnsi="Times New Roman"/>
          <w:color w:val="000000"/>
          <w:sz w:val="28"/>
          <w:szCs w:val="28"/>
          <w:lang w:eastAsia="lv-LV"/>
        </w:rPr>
        <w:t xml:space="preserve"> uzņēmumiem tika noteikts, ka tiem</w:t>
      </w:r>
      <w:r w:rsidR="00E33C69">
        <w:rPr>
          <w:rFonts w:ascii="Times New Roman" w:eastAsia="Times New Roman" w:hAnsi="Times New Roman"/>
          <w:color w:val="000000"/>
          <w:sz w:val="28"/>
          <w:szCs w:val="28"/>
          <w:lang w:eastAsia="lv-LV"/>
        </w:rPr>
        <w:t xml:space="preserve"> ir jānodrošina katra piesaistītā mājsaimniecība ar kuponu vienas ekonomiskās spuldzes, enerģiju taupošas dušas galvas vai enerģijas skaitītāja iegādei. Arī 2006. – 2007. gadā </w:t>
      </w:r>
      <w:r w:rsidR="00FE2612">
        <w:rPr>
          <w:rFonts w:ascii="Times New Roman" w:eastAsia="Times New Roman" w:hAnsi="Times New Roman"/>
          <w:color w:val="000000"/>
          <w:sz w:val="28"/>
          <w:szCs w:val="28"/>
          <w:lang w:eastAsia="lv-LV"/>
        </w:rPr>
        <w:t xml:space="preserve">tika noteikts, ka atbildīgajām pusēm jānosūta kupons katram piesaistītās mājsaimniecības loceklim vienas enerģiju taupošas spuldzes iegādei. </w:t>
      </w:r>
      <w:r w:rsidR="00FE2612" w:rsidRPr="00FE2612">
        <w:rPr>
          <w:rFonts w:ascii="Times New Roman" w:eastAsia="Times New Roman" w:hAnsi="Times New Roman"/>
          <w:color w:val="000000"/>
          <w:sz w:val="28"/>
          <w:szCs w:val="28"/>
          <w:lang w:eastAsia="lv-LV"/>
        </w:rPr>
        <w:t>No 2006.</w:t>
      </w:r>
      <w:r w:rsidR="00FE2612">
        <w:rPr>
          <w:rFonts w:ascii="Times New Roman" w:eastAsia="Times New Roman" w:hAnsi="Times New Roman"/>
          <w:color w:val="000000"/>
          <w:sz w:val="28"/>
          <w:szCs w:val="28"/>
          <w:lang w:eastAsia="lv-LV"/>
        </w:rPr>
        <w:t> </w:t>
      </w:r>
      <w:r w:rsidR="00FE2612" w:rsidRPr="00FE2612">
        <w:rPr>
          <w:rFonts w:ascii="Times New Roman" w:eastAsia="Times New Roman" w:hAnsi="Times New Roman"/>
          <w:color w:val="000000"/>
          <w:sz w:val="28"/>
          <w:szCs w:val="28"/>
          <w:lang w:eastAsia="lv-LV"/>
        </w:rPr>
        <w:t>līdz 2011.</w:t>
      </w:r>
      <w:r w:rsidR="00FE2612">
        <w:rPr>
          <w:rFonts w:ascii="Times New Roman" w:eastAsia="Times New Roman" w:hAnsi="Times New Roman"/>
          <w:color w:val="000000"/>
          <w:sz w:val="28"/>
          <w:szCs w:val="28"/>
          <w:lang w:eastAsia="lv-LV"/>
        </w:rPr>
        <w:t> </w:t>
      </w:r>
      <w:r w:rsidR="00FE2612" w:rsidRPr="00FE2612">
        <w:rPr>
          <w:rFonts w:ascii="Times New Roman" w:eastAsia="Times New Roman" w:hAnsi="Times New Roman"/>
          <w:color w:val="000000"/>
          <w:sz w:val="28"/>
          <w:szCs w:val="28"/>
          <w:lang w:eastAsia="lv-LV"/>
        </w:rPr>
        <w:t xml:space="preserve">gadam kompānijām bija jāpalīdz ieviest enerģijas uzskaites sistēmas mācību iestādēs un veselības aprūpes iestādēs, dalot izmaksas ar ēku apsaimniekotājiem. </w:t>
      </w:r>
      <w:r w:rsidR="00FE2612">
        <w:rPr>
          <w:rFonts w:ascii="Times New Roman" w:eastAsia="Times New Roman" w:hAnsi="Times New Roman"/>
          <w:color w:val="000000"/>
          <w:sz w:val="28"/>
          <w:szCs w:val="28"/>
          <w:lang w:eastAsia="lv-LV"/>
        </w:rPr>
        <w:t xml:space="preserve">Tāpat </w:t>
      </w:r>
      <w:r>
        <w:rPr>
          <w:rFonts w:ascii="Times New Roman" w:eastAsia="Times New Roman" w:hAnsi="Times New Roman"/>
          <w:color w:val="000000"/>
          <w:sz w:val="28"/>
          <w:szCs w:val="28"/>
          <w:lang w:eastAsia="lv-LV"/>
        </w:rPr>
        <w:t xml:space="preserve">Beļģijā </w:t>
      </w:r>
      <w:r w:rsidR="00FE2612">
        <w:rPr>
          <w:rFonts w:ascii="Times New Roman" w:eastAsia="Times New Roman" w:hAnsi="Times New Roman"/>
          <w:color w:val="000000"/>
          <w:sz w:val="28"/>
          <w:szCs w:val="28"/>
          <w:lang w:eastAsia="lv-LV"/>
        </w:rPr>
        <w:t>kompānijām ir jāpievērš pienācīga uzmanība maznodrošinātajiem klientiem, realizējot mērķa programmas – kuponi A+, A++, A+++ ledusskapju un veļas mazgājamo mašīnu iegādei.</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Savukārt valstij ir jāievieš regulārās mērīšanas, kontroles un pārbaudes sistēma un jāpublicē katras atbildīgās puses panāktais enerģijas ietaupījums, kā arī shēmas kopējais enerģijas ietaupījums. Ja valsts ir izveidojusi energoefektivitātes fondu, tad atbildīgās puses var tām uzlikto pienākumu izpildīt, katru gadu iemaksājot fondā summu, kas ir līdzvērtīga ieguldījumiem, kas būtu nepieciešami, lai izpildītu minētos pienākumus.</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Direktīva </w:t>
      </w:r>
      <w:r>
        <w:rPr>
          <w:rFonts w:ascii="Times New Roman" w:eastAsia="Times New Roman" w:hAnsi="Times New Roman"/>
          <w:color w:val="000000"/>
          <w:sz w:val="28"/>
          <w:szCs w:val="28"/>
          <w:lang w:eastAsia="lv-LV"/>
        </w:rPr>
        <w:t xml:space="preserve">2012/27/ES </w:t>
      </w:r>
      <w:r w:rsidRPr="00FF2FAC">
        <w:rPr>
          <w:rFonts w:ascii="Times New Roman" w:eastAsia="Times New Roman" w:hAnsi="Times New Roman"/>
          <w:color w:val="000000"/>
          <w:sz w:val="28"/>
          <w:szCs w:val="28"/>
          <w:lang w:eastAsia="lv-LV"/>
        </w:rPr>
        <w:t xml:space="preserve">nosaka prasības attiecībā uz EPS atbildīgo pušu sasniegto ietaupījumu apliecināšanu, taču nenosaka, ka būtu jāveido šo apliecinājumu (vai sertifikātu) tirgus. Sistēma, kad papildus noteiktiem enerģijas ietaupījumiem, tiek dota iespēja tirgot sertificētus enerģijas ietaupījumus, tiek </w:t>
      </w:r>
      <w:r w:rsidRPr="00FF2FAC">
        <w:rPr>
          <w:rFonts w:ascii="Times New Roman" w:eastAsia="Times New Roman" w:hAnsi="Times New Roman"/>
          <w:color w:val="000000"/>
          <w:sz w:val="28"/>
          <w:szCs w:val="28"/>
          <w:lang w:eastAsia="lv-LV"/>
        </w:rPr>
        <w:lastRenderedPageBreak/>
        <w:t>saukta par „balto sertifikātu” shēmu. Līdzīgi kā emisiju tirdzniecības shēmā, balto sertifikātu tirgus mērķis ir nodrošināt, ka, pateicoties tirgus mehānismam, nepieciešamais enerģijas ietaupījums var tikt sasniegts ar zemākajām izmaksām. Šādā veidā kopumā energoefektivitātes pasākumu izmaksas ir viszemākās. Tomēr jāņem vērā, ka šādas shēma prasa lielu administrēšanas kapacitāti un izmaksas.</w:t>
      </w:r>
    </w:p>
    <w:p w:rsidR="00E14EBF" w:rsidRPr="0026272B" w:rsidRDefault="00E14EBF" w:rsidP="00760115">
      <w:pPr>
        <w:ind w:firstLine="357"/>
        <w:jc w:val="both"/>
        <w:rPr>
          <w:rFonts w:ascii="Times New Roman" w:hAnsi="Times New Roman"/>
          <w:sz w:val="28"/>
          <w:szCs w:val="28"/>
        </w:rPr>
      </w:pPr>
      <w:r w:rsidRPr="00FF2FAC">
        <w:rPr>
          <w:rFonts w:ascii="Times New Roman" w:eastAsia="Times New Roman" w:hAnsi="Times New Roman"/>
          <w:color w:val="000000"/>
          <w:sz w:val="28"/>
          <w:szCs w:val="28"/>
          <w:lang w:eastAsia="lv-LV"/>
        </w:rPr>
        <w:t xml:space="preserve">Latvijai </w:t>
      </w:r>
      <w:r>
        <w:rPr>
          <w:rFonts w:ascii="Times New Roman" w:eastAsia="Times New Roman" w:hAnsi="Times New Roman"/>
          <w:color w:val="000000"/>
          <w:sz w:val="28"/>
          <w:szCs w:val="28"/>
          <w:lang w:eastAsia="lv-LV"/>
        </w:rPr>
        <w:t xml:space="preserve">atšķirībā no citām valstīm </w:t>
      </w:r>
      <w:r w:rsidRPr="00FF2FAC">
        <w:rPr>
          <w:rFonts w:ascii="Times New Roman" w:eastAsia="Times New Roman" w:hAnsi="Times New Roman"/>
          <w:color w:val="000000"/>
          <w:sz w:val="28"/>
          <w:szCs w:val="28"/>
          <w:lang w:eastAsia="lv-LV"/>
        </w:rPr>
        <w:t>nav pieredzes EPS vai tās elementu ieviešanā.</w:t>
      </w:r>
      <w:r w:rsidRPr="00820D71">
        <w:rPr>
          <w:rFonts w:ascii="Times New Roman" w:hAnsi="Times New Roman"/>
          <w:sz w:val="28"/>
          <w:szCs w:val="28"/>
        </w:rPr>
        <w:t xml:space="preserve"> </w:t>
      </w:r>
      <w:r w:rsidRPr="0026272B">
        <w:rPr>
          <w:rFonts w:ascii="Times New Roman" w:hAnsi="Times New Roman"/>
          <w:sz w:val="28"/>
          <w:szCs w:val="28"/>
        </w:rPr>
        <w:t xml:space="preserve">Citu valstu pieredze parāda, ka sekmīgai </w:t>
      </w:r>
      <w:r>
        <w:rPr>
          <w:rFonts w:ascii="Times New Roman" w:hAnsi="Times New Roman"/>
          <w:sz w:val="28"/>
          <w:szCs w:val="28"/>
        </w:rPr>
        <w:t xml:space="preserve">obligātā mērķa </w:t>
      </w:r>
      <w:r w:rsidRPr="0026272B">
        <w:rPr>
          <w:rFonts w:ascii="Times New Roman" w:hAnsi="Times New Roman"/>
          <w:sz w:val="28"/>
          <w:szCs w:val="28"/>
        </w:rPr>
        <w:t>izpildei nepieciešamie priekšnoteikumi ir:</w:t>
      </w:r>
    </w:p>
    <w:p w:rsidR="00E14EBF" w:rsidRPr="0026272B" w:rsidRDefault="00E14EBF" w:rsidP="00760115">
      <w:pPr>
        <w:numPr>
          <w:ilvl w:val="0"/>
          <w:numId w:val="29"/>
        </w:numPr>
        <w:spacing w:after="0" w:line="240" w:lineRule="auto"/>
        <w:jc w:val="both"/>
        <w:rPr>
          <w:rFonts w:ascii="Times New Roman" w:hAnsi="Times New Roman"/>
          <w:sz w:val="28"/>
          <w:szCs w:val="28"/>
        </w:rPr>
      </w:pPr>
      <w:r w:rsidRPr="0026272B">
        <w:rPr>
          <w:rFonts w:ascii="Times New Roman" w:hAnsi="Times New Roman"/>
          <w:b/>
          <w:sz w:val="28"/>
          <w:szCs w:val="28"/>
        </w:rPr>
        <w:t>Sadarbība</w:t>
      </w:r>
      <w:r>
        <w:rPr>
          <w:rFonts w:ascii="Times New Roman" w:hAnsi="Times New Roman"/>
          <w:sz w:val="28"/>
          <w:szCs w:val="28"/>
        </w:rPr>
        <w:t xml:space="preserve">. </w:t>
      </w:r>
      <w:r w:rsidRPr="0026272B">
        <w:rPr>
          <w:rFonts w:ascii="Times New Roman" w:hAnsi="Times New Roman"/>
          <w:sz w:val="28"/>
          <w:szCs w:val="28"/>
        </w:rPr>
        <w:t xml:space="preserve">EPS </w:t>
      </w:r>
      <w:r>
        <w:rPr>
          <w:rFonts w:ascii="Times New Roman" w:hAnsi="Times New Roman"/>
          <w:sz w:val="28"/>
          <w:szCs w:val="28"/>
        </w:rPr>
        <w:t>atbildīgo pušu</w:t>
      </w:r>
      <w:r w:rsidRPr="0026272B">
        <w:rPr>
          <w:rFonts w:ascii="Times New Roman" w:hAnsi="Times New Roman"/>
          <w:sz w:val="28"/>
          <w:szCs w:val="28"/>
        </w:rPr>
        <w:t xml:space="preserve"> sadarbība ar </w:t>
      </w:r>
      <w:r>
        <w:rPr>
          <w:rFonts w:ascii="Times New Roman" w:hAnsi="Times New Roman"/>
          <w:sz w:val="28"/>
          <w:szCs w:val="28"/>
        </w:rPr>
        <w:t xml:space="preserve">enerģijas </w:t>
      </w:r>
      <w:r w:rsidRPr="0026272B">
        <w:rPr>
          <w:rFonts w:ascii="Times New Roman" w:hAnsi="Times New Roman"/>
          <w:sz w:val="28"/>
          <w:szCs w:val="28"/>
        </w:rPr>
        <w:t>patērētājiem/</w:t>
      </w:r>
      <w:r>
        <w:rPr>
          <w:rFonts w:ascii="Times New Roman" w:hAnsi="Times New Roman"/>
          <w:sz w:val="28"/>
          <w:szCs w:val="28"/>
        </w:rPr>
        <w:t>gala</w:t>
      </w:r>
      <w:r w:rsidRPr="00820D71">
        <w:rPr>
          <w:rFonts w:ascii="Times New Roman" w:hAnsi="Times New Roman"/>
          <w:sz w:val="28"/>
          <w:szCs w:val="28"/>
        </w:rPr>
        <w:t xml:space="preserve"> lietotāj</w:t>
      </w:r>
      <w:r>
        <w:rPr>
          <w:rFonts w:ascii="Times New Roman" w:hAnsi="Times New Roman"/>
          <w:sz w:val="28"/>
          <w:szCs w:val="28"/>
        </w:rPr>
        <w:t>iem</w:t>
      </w:r>
      <w:r w:rsidRPr="0026272B">
        <w:rPr>
          <w:rFonts w:ascii="Times New Roman" w:hAnsi="Times New Roman"/>
          <w:sz w:val="28"/>
          <w:szCs w:val="28"/>
        </w:rPr>
        <w:t xml:space="preserve">. Patērētāju cieša iesaistīšana un to izglītošana ir ļoti svarīga prioritāte, jo </w:t>
      </w:r>
      <w:r>
        <w:rPr>
          <w:rFonts w:ascii="Times New Roman" w:hAnsi="Times New Roman"/>
          <w:sz w:val="28"/>
          <w:szCs w:val="28"/>
        </w:rPr>
        <w:t xml:space="preserve">obligātā mērķa </w:t>
      </w:r>
      <w:r w:rsidRPr="0026272B">
        <w:rPr>
          <w:rFonts w:ascii="Times New Roman" w:hAnsi="Times New Roman"/>
          <w:sz w:val="28"/>
          <w:szCs w:val="28"/>
        </w:rPr>
        <w:t>izpildē iesaistīt</w:t>
      </w:r>
      <w:r>
        <w:rPr>
          <w:rFonts w:ascii="Times New Roman" w:hAnsi="Times New Roman"/>
          <w:sz w:val="28"/>
          <w:szCs w:val="28"/>
        </w:rPr>
        <w:t>ās puses tiešā veidā ir atkarīgas</w:t>
      </w:r>
      <w:r w:rsidRPr="0026272B">
        <w:rPr>
          <w:rFonts w:ascii="Times New Roman" w:hAnsi="Times New Roman"/>
          <w:sz w:val="28"/>
          <w:szCs w:val="28"/>
        </w:rPr>
        <w:t xml:space="preserve"> no patērētājiem;</w:t>
      </w:r>
    </w:p>
    <w:p w:rsidR="00E14EBF" w:rsidRPr="0026272B" w:rsidRDefault="00E14EBF" w:rsidP="00760115">
      <w:pPr>
        <w:numPr>
          <w:ilvl w:val="0"/>
          <w:numId w:val="29"/>
        </w:numPr>
        <w:spacing w:after="0" w:line="240" w:lineRule="auto"/>
        <w:jc w:val="both"/>
        <w:rPr>
          <w:rFonts w:ascii="Times New Roman" w:hAnsi="Times New Roman"/>
          <w:sz w:val="28"/>
          <w:szCs w:val="28"/>
        </w:rPr>
      </w:pPr>
      <w:r w:rsidRPr="0026272B">
        <w:rPr>
          <w:rFonts w:ascii="Times New Roman" w:hAnsi="Times New Roman"/>
          <w:b/>
          <w:sz w:val="28"/>
          <w:szCs w:val="28"/>
        </w:rPr>
        <w:t>Informācija.</w:t>
      </w:r>
      <w:r w:rsidRPr="0026272B">
        <w:rPr>
          <w:rFonts w:ascii="Times New Roman" w:hAnsi="Times New Roman"/>
          <w:sz w:val="28"/>
          <w:szCs w:val="28"/>
        </w:rPr>
        <w:t xml:space="preserve"> Pieejamība datiem/informācijai par enerģijas patēriņu un to analīze parāda patērētāju iespējas un nodrošina iesaistīto </w:t>
      </w:r>
      <w:r>
        <w:rPr>
          <w:rFonts w:ascii="Times New Roman" w:hAnsi="Times New Roman"/>
          <w:sz w:val="28"/>
          <w:szCs w:val="28"/>
        </w:rPr>
        <w:t>pušu</w:t>
      </w:r>
      <w:r w:rsidRPr="0026272B">
        <w:rPr>
          <w:rFonts w:ascii="Times New Roman" w:hAnsi="Times New Roman"/>
          <w:sz w:val="28"/>
          <w:szCs w:val="28"/>
        </w:rPr>
        <w:t xml:space="preserve"> un politikas veidotāju efektīvu lēmuma pieņemšanu;</w:t>
      </w:r>
    </w:p>
    <w:p w:rsidR="00E14EBF" w:rsidRPr="0026272B" w:rsidRDefault="00E14EBF" w:rsidP="00760115">
      <w:pPr>
        <w:numPr>
          <w:ilvl w:val="0"/>
          <w:numId w:val="29"/>
        </w:numPr>
        <w:spacing w:after="0" w:line="240" w:lineRule="auto"/>
        <w:jc w:val="both"/>
        <w:rPr>
          <w:rFonts w:ascii="Times New Roman" w:hAnsi="Times New Roman"/>
          <w:sz w:val="28"/>
          <w:szCs w:val="28"/>
        </w:rPr>
      </w:pPr>
      <w:r w:rsidRPr="0026272B">
        <w:rPr>
          <w:rFonts w:ascii="Times New Roman" w:hAnsi="Times New Roman"/>
          <w:b/>
          <w:sz w:val="28"/>
          <w:szCs w:val="28"/>
        </w:rPr>
        <w:t>Inovācija.</w:t>
      </w:r>
      <w:r w:rsidRPr="0026272B">
        <w:rPr>
          <w:rFonts w:ascii="Times New Roman" w:hAnsi="Times New Roman"/>
          <w:sz w:val="28"/>
          <w:szCs w:val="28"/>
        </w:rPr>
        <w:t xml:space="preserve"> Tehnoloģiju plaša izvēle un to konkurētspēja, balstoties uz to izmaksu efektivitāti sekmē inovatīvu risinājumu parādīšanos un pielietošanu;</w:t>
      </w:r>
    </w:p>
    <w:p w:rsidR="00E14EBF" w:rsidRPr="003D5BDF" w:rsidRDefault="00E14EBF" w:rsidP="00760115">
      <w:pPr>
        <w:numPr>
          <w:ilvl w:val="0"/>
          <w:numId w:val="29"/>
        </w:numPr>
        <w:spacing w:after="0" w:line="240" w:lineRule="auto"/>
        <w:jc w:val="both"/>
        <w:rPr>
          <w:rFonts w:ascii="Times New Roman" w:eastAsia="Calibri" w:hAnsi="Times New Roman"/>
          <w:sz w:val="28"/>
          <w:szCs w:val="28"/>
        </w:rPr>
      </w:pPr>
      <w:r w:rsidRPr="0026272B">
        <w:rPr>
          <w:rFonts w:ascii="Times New Roman" w:hAnsi="Times New Roman"/>
          <w:b/>
          <w:sz w:val="28"/>
          <w:szCs w:val="28"/>
        </w:rPr>
        <w:t>Novērtēšana.</w:t>
      </w:r>
      <w:r w:rsidRPr="0026272B">
        <w:rPr>
          <w:rFonts w:ascii="Times New Roman" w:hAnsi="Times New Roman"/>
          <w:sz w:val="28"/>
          <w:szCs w:val="28"/>
        </w:rPr>
        <w:t xml:space="preserve"> Mērījumu, kontroles un apliecinājuma standarti ir balstīti uz precīzu statistisku un nodrošina enerģijas efektivitātes investīciju caurskatāmību.</w:t>
      </w:r>
    </w:p>
    <w:p w:rsidR="00E14EBF" w:rsidRPr="00820D71" w:rsidRDefault="00E14EBF" w:rsidP="00E14EBF">
      <w:pPr>
        <w:spacing w:after="24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Energoefektivitātes pienākumu shēmas ieviestas vairākās valstīs, to salīdzinājums sniegts </w:t>
      </w:r>
      <w:r w:rsidR="00562E0B">
        <w:rPr>
          <w:rFonts w:ascii="Times New Roman" w:eastAsia="Times New Roman" w:hAnsi="Times New Roman"/>
          <w:color w:val="000000"/>
          <w:sz w:val="28"/>
          <w:szCs w:val="28"/>
          <w:lang w:eastAsia="lv-LV"/>
        </w:rPr>
        <w:t>Koncepcijas P</w:t>
      </w:r>
      <w:r w:rsidRPr="00FF2FAC">
        <w:rPr>
          <w:rFonts w:ascii="Times New Roman" w:eastAsia="Times New Roman" w:hAnsi="Times New Roman"/>
          <w:color w:val="000000"/>
          <w:sz w:val="28"/>
          <w:szCs w:val="28"/>
          <w:lang w:eastAsia="lv-LV"/>
        </w:rPr>
        <w:t>ielikumā. Turpat detalizēti aprakstīts Dānijas un Francijas shēmas piemērs.</w:t>
      </w:r>
    </w:p>
    <w:p w:rsidR="00E14EBF" w:rsidRPr="00FF2FAC" w:rsidRDefault="00E14EBF" w:rsidP="00E14EBF">
      <w:pPr>
        <w:spacing w:after="0" w:line="240" w:lineRule="auto"/>
        <w:jc w:val="both"/>
        <w:rPr>
          <w:rFonts w:ascii="Times New Roman" w:hAnsi="Times New Roman"/>
          <w:color w:val="000000"/>
          <w:sz w:val="28"/>
          <w:szCs w:val="28"/>
        </w:rPr>
      </w:pPr>
      <w:r w:rsidRPr="00B06FBD">
        <w:rPr>
          <w:rFonts w:ascii="Times New Roman" w:hAnsi="Times New Roman"/>
          <w:sz w:val="28"/>
          <w:szCs w:val="28"/>
        </w:rPr>
        <w:tab/>
      </w:r>
      <w:r w:rsidRPr="00FF2FAC">
        <w:rPr>
          <w:rFonts w:ascii="Times New Roman" w:hAnsi="Times New Roman"/>
          <w:sz w:val="28"/>
          <w:szCs w:val="28"/>
          <w:u w:val="single"/>
        </w:rPr>
        <w:t>Alternatīvie pasākumi.</w:t>
      </w:r>
      <w:r w:rsidRPr="00FF2FAC">
        <w:rPr>
          <w:rFonts w:ascii="Times New Roman" w:hAnsi="Times New Roman"/>
          <w:sz w:val="28"/>
          <w:szCs w:val="28"/>
        </w:rPr>
        <w:t xml:space="preserve"> </w:t>
      </w:r>
      <w:r w:rsidRPr="00FF2FAC">
        <w:rPr>
          <w:rFonts w:ascii="Times New Roman" w:hAnsi="Times New Roman"/>
          <w:color w:val="000000"/>
          <w:sz w:val="28"/>
          <w:szCs w:val="28"/>
        </w:rPr>
        <w:t xml:space="preserve">Direktīvas 2012/27/ES 7. panta 9. punkts pieļauj, ka valsts, ņemot vērā 10. un 11. punktā noteiktos kritērijus, var izvēlēties alternatīvu ceļu 1,5 % mērķa sasniegšanai – kombinēt EPS ar alternatīviem pasākumiem (šajā gadījumā uzņēmumiem uzliktais pienākumu apjoms samazinās) vai arī EPS vispār neieviest, sasniedzot visu nepieciešamo enerģijas ietaupījumu tikai  ar alternatīvajiem pasākumiem. </w:t>
      </w:r>
    </w:p>
    <w:p w:rsidR="00E14EBF" w:rsidRPr="00FF2FAC" w:rsidRDefault="00E14EBF" w:rsidP="00E14EBF">
      <w:pPr>
        <w:spacing w:after="24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Kā alternatīvie politikas pasākumi Direktīvā 2012/27/ES ir minēti enerģijas vai CO</w:t>
      </w:r>
      <w:r w:rsidRPr="00FF2FAC">
        <w:rPr>
          <w:rFonts w:ascii="Times New Roman" w:eastAsia="Times New Roman" w:hAnsi="Times New Roman"/>
          <w:color w:val="000000"/>
          <w:sz w:val="28"/>
          <w:szCs w:val="28"/>
          <w:vertAlign w:val="subscript"/>
          <w:lang w:eastAsia="lv-LV"/>
        </w:rPr>
        <w:t>2</w:t>
      </w:r>
      <w:r w:rsidRPr="00FF2FAC">
        <w:rPr>
          <w:rFonts w:ascii="Times New Roman" w:eastAsia="Times New Roman" w:hAnsi="Times New Roman"/>
          <w:color w:val="000000"/>
          <w:sz w:val="28"/>
          <w:szCs w:val="28"/>
          <w:lang w:eastAsia="lv-LV"/>
        </w:rPr>
        <w:t xml:space="preserve"> nodokļi, kuru rezultātā mazinās enerģijas galapatēriņš; finansējuma shēmas un instrumenti vai fiskālie stimuli tādu </w:t>
      </w:r>
      <w:proofErr w:type="spellStart"/>
      <w:r w:rsidRPr="00FF2FAC">
        <w:rPr>
          <w:rFonts w:ascii="Times New Roman" w:eastAsia="Times New Roman" w:hAnsi="Times New Roman"/>
          <w:color w:val="000000"/>
          <w:sz w:val="28"/>
          <w:szCs w:val="28"/>
          <w:lang w:eastAsia="lv-LV"/>
        </w:rPr>
        <w:t>energoefektīvu</w:t>
      </w:r>
      <w:proofErr w:type="spellEnd"/>
      <w:r w:rsidRPr="00FF2FAC">
        <w:rPr>
          <w:rFonts w:ascii="Times New Roman" w:eastAsia="Times New Roman" w:hAnsi="Times New Roman"/>
          <w:color w:val="000000"/>
          <w:sz w:val="28"/>
          <w:szCs w:val="28"/>
          <w:lang w:eastAsia="lv-LV"/>
        </w:rPr>
        <w:t xml:space="preserve"> tehnoloģiju ieviešanai, kas mazina enerģijas galapatēriņu; brīvprātīgas vienošanās tādu </w:t>
      </w:r>
      <w:proofErr w:type="spellStart"/>
      <w:r w:rsidRPr="00FF2FAC">
        <w:rPr>
          <w:rFonts w:ascii="Times New Roman" w:eastAsia="Times New Roman" w:hAnsi="Times New Roman"/>
          <w:color w:val="000000"/>
          <w:sz w:val="28"/>
          <w:szCs w:val="28"/>
          <w:lang w:eastAsia="lv-LV"/>
        </w:rPr>
        <w:t>energoefektīvu</w:t>
      </w:r>
      <w:proofErr w:type="spellEnd"/>
      <w:r w:rsidRPr="00FF2FAC">
        <w:rPr>
          <w:rFonts w:ascii="Times New Roman" w:eastAsia="Times New Roman" w:hAnsi="Times New Roman"/>
          <w:color w:val="000000"/>
          <w:sz w:val="28"/>
          <w:szCs w:val="28"/>
          <w:lang w:eastAsia="lv-LV"/>
        </w:rPr>
        <w:t xml:space="preserve"> tehnoloģiju ieviešanai, kas mazina enerģijas galapatēriņu; energoefektivitātes standarti un normas;  energoefektivitātes marķējuma shēmas (izņemot ES obligāti noteiktās), kā arī apmācība un izglītojošie pasākumi.</w:t>
      </w:r>
    </w:p>
    <w:p w:rsidR="00E14EBF" w:rsidRPr="00FF2FAC" w:rsidRDefault="00E14EBF" w:rsidP="00E14EBF">
      <w:pPr>
        <w:spacing w:after="240" w:line="240" w:lineRule="auto"/>
        <w:jc w:val="center"/>
        <w:rPr>
          <w:rFonts w:ascii="Times New Roman" w:eastAsia="Times New Roman" w:hAnsi="Times New Roman"/>
          <w:b/>
          <w:bCs/>
          <w:color w:val="000000"/>
          <w:sz w:val="28"/>
          <w:szCs w:val="28"/>
          <w:lang w:eastAsia="lv-LV"/>
        </w:rPr>
      </w:pPr>
      <w:r w:rsidRPr="00FF2FAC">
        <w:rPr>
          <w:rFonts w:ascii="Times New Roman" w:eastAsia="Times New Roman" w:hAnsi="Times New Roman"/>
          <w:b/>
          <w:bCs/>
          <w:color w:val="000000"/>
          <w:sz w:val="28"/>
          <w:szCs w:val="28"/>
          <w:lang w:eastAsia="lv-LV"/>
        </w:rPr>
        <w:t>2.3.2.Direktīvas 7.</w:t>
      </w:r>
      <w:r w:rsidR="00760115">
        <w:rPr>
          <w:rFonts w:ascii="Times New Roman" w:eastAsia="Times New Roman" w:hAnsi="Times New Roman"/>
          <w:b/>
          <w:bCs/>
          <w:color w:val="000000"/>
          <w:sz w:val="28"/>
          <w:szCs w:val="28"/>
          <w:lang w:eastAsia="lv-LV"/>
        </w:rPr>
        <w:t> </w:t>
      </w:r>
      <w:r w:rsidRPr="00FF2FAC">
        <w:rPr>
          <w:rFonts w:ascii="Times New Roman" w:eastAsia="Times New Roman" w:hAnsi="Times New Roman"/>
          <w:b/>
          <w:bCs/>
          <w:color w:val="000000"/>
          <w:sz w:val="28"/>
          <w:szCs w:val="28"/>
          <w:lang w:eastAsia="lv-LV"/>
        </w:rPr>
        <w:t>panta prasību ieviešanas risinājuma varianti un to ietekme</w:t>
      </w:r>
    </w:p>
    <w:p w:rsidR="00E14EBF" w:rsidRPr="00FF2FAC" w:rsidRDefault="00E14EBF" w:rsidP="00E14EBF">
      <w:pPr>
        <w:spacing w:after="240" w:line="240" w:lineRule="auto"/>
        <w:jc w:val="both"/>
        <w:rPr>
          <w:rFonts w:ascii="Times New Roman" w:eastAsia="Times New Roman" w:hAnsi="Times New Roman"/>
          <w:b/>
          <w:color w:val="000000"/>
          <w:sz w:val="28"/>
          <w:szCs w:val="28"/>
          <w:lang w:eastAsia="lv-LV"/>
        </w:rPr>
      </w:pPr>
      <w:r w:rsidRPr="00FF2FAC">
        <w:rPr>
          <w:rFonts w:ascii="Times New Roman" w:eastAsia="Times New Roman" w:hAnsi="Times New Roman"/>
          <w:b/>
          <w:color w:val="000000"/>
          <w:sz w:val="28"/>
          <w:szCs w:val="28"/>
          <w:lang w:eastAsia="lv-LV"/>
        </w:rPr>
        <w:lastRenderedPageBreak/>
        <w:t>1. variants- Ieviest valsts energoefektivitātes pienākumu shēmu</w:t>
      </w:r>
      <w:r w:rsidR="00A845A6">
        <w:rPr>
          <w:rFonts w:ascii="Times New Roman" w:eastAsia="Times New Roman" w:hAnsi="Times New Roman"/>
          <w:b/>
          <w:color w:val="000000"/>
          <w:sz w:val="28"/>
          <w:szCs w:val="28"/>
          <w:lang w:eastAsia="lv-LV"/>
        </w:rPr>
        <w:t xml:space="preserve"> </w:t>
      </w:r>
      <w:r w:rsidR="00A845A6">
        <w:rPr>
          <w:rFonts w:ascii="Times New Roman" w:hAnsi="Times New Roman"/>
          <w:b/>
          <w:color w:val="000000"/>
          <w:sz w:val="28"/>
          <w:szCs w:val="28"/>
          <w:lang w:eastAsia="lv-LV"/>
        </w:rPr>
        <w:t>valsts obligātā enerģijas ietaupījumu mērķa izpildei</w:t>
      </w:r>
    </w:p>
    <w:p w:rsidR="00E14EBF" w:rsidRPr="00FF2FAC" w:rsidRDefault="00E14EBF" w:rsidP="00E14EBF">
      <w:pPr>
        <w:spacing w:after="0" w:line="240" w:lineRule="auto"/>
        <w:jc w:val="both"/>
        <w:rPr>
          <w:rFonts w:ascii="Times New Roman" w:eastAsia="Times New Roman" w:hAnsi="Times New Roman"/>
          <w:color w:val="000000"/>
          <w:sz w:val="28"/>
          <w:szCs w:val="28"/>
          <w:u w:val="single"/>
          <w:lang w:eastAsia="lv-LV"/>
        </w:rPr>
      </w:pPr>
      <w:r w:rsidRPr="00B06FBD">
        <w:rPr>
          <w:rFonts w:ascii="Times New Roman" w:eastAsia="Times New Roman" w:hAnsi="Times New Roman"/>
          <w:color w:val="000000"/>
          <w:sz w:val="28"/>
          <w:szCs w:val="28"/>
          <w:lang w:eastAsia="lv-LV"/>
        </w:rPr>
        <w:tab/>
      </w:r>
      <w:r w:rsidRPr="00FF2FAC">
        <w:rPr>
          <w:rFonts w:ascii="Times New Roman" w:eastAsia="Times New Roman" w:hAnsi="Times New Roman"/>
          <w:color w:val="000000"/>
          <w:sz w:val="28"/>
          <w:szCs w:val="28"/>
          <w:u w:val="single"/>
          <w:lang w:eastAsia="lv-LV"/>
        </w:rPr>
        <w:t>EPS potenciālie dalībnieki un to gala</w:t>
      </w:r>
      <w:r>
        <w:rPr>
          <w:rFonts w:ascii="Times New Roman" w:eastAsia="Times New Roman" w:hAnsi="Times New Roman"/>
          <w:color w:val="000000"/>
          <w:sz w:val="28"/>
          <w:szCs w:val="28"/>
          <w:u w:val="single"/>
          <w:lang w:eastAsia="lv-LV"/>
        </w:rPr>
        <w:t>lietotāju</w:t>
      </w:r>
      <w:r w:rsidRPr="00FF2FAC">
        <w:rPr>
          <w:rFonts w:ascii="Times New Roman" w:eastAsia="Times New Roman" w:hAnsi="Times New Roman"/>
          <w:color w:val="000000"/>
          <w:sz w:val="28"/>
          <w:szCs w:val="28"/>
          <w:u w:val="single"/>
          <w:lang w:eastAsia="lv-LV"/>
        </w:rPr>
        <w:t xml:space="preserve"> struktūra</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Ņemot vērā to valstu pieredzi, kurās EPS darbojas ilgstoši, </w:t>
      </w:r>
      <w:r w:rsidRPr="00FF2FAC">
        <w:rPr>
          <w:rFonts w:ascii="Times New Roman" w:eastAsia="Times New Roman" w:hAnsi="Times New Roman"/>
          <w:b/>
          <w:color w:val="000000"/>
          <w:sz w:val="28"/>
          <w:szCs w:val="28"/>
          <w:lang w:eastAsia="lv-LV"/>
        </w:rPr>
        <w:t>Latvijā EPS būtu attiecināma uz energoapgādes komersantiem elektroenerģijas, dabasgāzes un siltumenerģijas jomā.</w:t>
      </w:r>
      <w:r w:rsidRPr="00FF2FAC">
        <w:rPr>
          <w:rFonts w:ascii="Times New Roman" w:eastAsia="Times New Roman" w:hAnsi="Times New Roman"/>
          <w:color w:val="000000"/>
          <w:sz w:val="28"/>
          <w:szCs w:val="28"/>
          <w:lang w:eastAsia="lv-LV"/>
        </w:rPr>
        <w:t xml:space="preserve"> </w:t>
      </w:r>
    </w:p>
    <w:p w:rsidR="00E14EBF" w:rsidRPr="00FF2FAC" w:rsidRDefault="00E14EBF" w:rsidP="00272AE2">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Pēc Sabiedrisko pakalpojumu regulēšanas komisijas (turpmāk – SPRK) datiem uz 19.03.2013. regulējamo sabiedrisko pakalpojumu sniedzēju sarakstā bija:  elektroenerģijas tirgotāji - 51 uzņēmums (no kuriem aktīvi </w:t>
      </w:r>
      <w:r w:rsidR="001459D5">
        <w:rPr>
          <w:rFonts w:ascii="Times New Roman" w:eastAsia="Times New Roman" w:hAnsi="Times New Roman"/>
          <w:color w:val="000000"/>
          <w:sz w:val="28"/>
          <w:szCs w:val="28"/>
          <w:lang w:eastAsia="lv-LV"/>
        </w:rPr>
        <w:t>9</w:t>
      </w:r>
      <w:r w:rsidRPr="00FF2FAC">
        <w:rPr>
          <w:rFonts w:ascii="Times New Roman" w:eastAsia="Times New Roman" w:hAnsi="Times New Roman"/>
          <w:color w:val="000000"/>
          <w:sz w:val="28"/>
          <w:szCs w:val="28"/>
          <w:lang w:eastAsia="lv-LV"/>
        </w:rPr>
        <w:t>); siltumenerģijas tirgotāji - 71 uzņēmums; dabas gāzes tirgotājs - tikai viens</w:t>
      </w:r>
      <w:r w:rsidR="00E55FC3">
        <w:rPr>
          <w:rFonts w:ascii="Times New Roman" w:eastAsia="Times New Roman" w:hAnsi="Times New Roman"/>
          <w:color w:val="000000"/>
          <w:sz w:val="28"/>
          <w:szCs w:val="28"/>
          <w:lang w:eastAsia="lv-LV"/>
        </w:rPr>
        <w:t xml:space="preserve">; </w:t>
      </w:r>
      <w:r w:rsidR="007F4945">
        <w:rPr>
          <w:rFonts w:ascii="Times New Roman" w:eastAsia="Times New Roman" w:hAnsi="Times New Roman"/>
          <w:color w:val="000000"/>
          <w:sz w:val="28"/>
          <w:szCs w:val="28"/>
          <w:lang w:eastAsia="lv-LV"/>
        </w:rPr>
        <w:t xml:space="preserve">elektroenerģijas </w:t>
      </w:r>
      <w:r w:rsidR="00E55FC3" w:rsidRPr="00E91DE5">
        <w:rPr>
          <w:rFonts w:ascii="Times New Roman" w:eastAsia="Times New Roman" w:hAnsi="Times New Roman"/>
          <w:color w:val="000000"/>
          <w:sz w:val="28"/>
          <w:szCs w:val="28"/>
          <w:lang w:eastAsia="lv-LV"/>
        </w:rPr>
        <w:t xml:space="preserve">sadales sistēmas operatori – </w:t>
      </w:r>
      <w:r w:rsidR="007F4945" w:rsidRPr="00E91DE5">
        <w:rPr>
          <w:rFonts w:ascii="Times New Roman" w:eastAsia="Times New Roman" w:hAnsi="Times New Roman"/>
          <w:color w:val="000000"/>
          <w:sz w:val="28"/>
          <w:szCs w:val="28"/>
          <w:lang w:eastAsia="lv-LV"/>
        </w:rPr>
        <w:t>10</w:t>
      </w:r>
      <w:r w:rsidRPr="00E91DE5">
        <w:rPr>
          <w:rFonts w:ascii="Times New Roman" w:eastAsia="Times New Roman" w:hAnsi="Times New Roman"/>
          <w:color w:val="000000"/>
          <w:sz w:val="28"/>
          <w:szCs w:val="28"/>
          <w:lang w:eastAsia="lv-LV"/>
        </w:rPr>
        <w:t>.</w:t>
      </w:r>
      <w:r w:rsidRPr="00FF2FAC">
        <w:rPr>
          <w:rFonts w:ascii="Times New Roman" w:eastAsia="Times New Roman" w:hAnsi="Times New Roman"/>
          <w:color w:val="000000"/>
          <w:sz w:val="28"/>
          <w:szCs w:val="28"/>
          <w:lang w:eastAsia="lv-LV"/>
        </w:rPr>
        <w:t xml:space="preserve"> Latvijas degvielas tirgotāju asociācijā apvienojušies 9 uzņēmumi.</w:t>
      </w:r>
      <w:r w:rsidRPr="00AB23E6">
        <w:rPr>
          <w:rFonts w:ascii="Times New Roman" w:eastAsia="Times New Roman" w:hAnsi="Times New Roman"/>
          <w:color w:val="000000"/>
          <w:sz w:val="28"/>
          <w:szCs w:val="28"/>
          <w:lang w:eastAsia="lv-LV"/>
        </w:rPr>
        <w:t xml:space="preserve"> Latvijā ir vairāki siltumenerģijas ražotāji, kas tieši galalietotājiem siltumenerģiju nepārdod. Uz šiem siltumenerģijas ražotājiem Koncepcijas projekta 2.3.2. nodaļā minētā </w:t>
      </w:r>
      <w:r>
        <w:rPr>
          <w:rFonts w:ascii="Times New Roman" w:eastAsia="Times New Roman" w:hAnsi="Times New Roman"/>
          <w:color w:val="000000"/>
          <w:sz w:val="28"/>
          <w:szCs w:val="28"/>
          <w:lang w:eastAsia="lv-LV"/>
        </w:rPr>
        <w:t>EPS</w:t>
      </w:r>
      <w:r w:rsidRPr="00AB23E6">
        <w:rPr>
          <w:rFonts w:ascii="Times New Roman" w:eastAsia="Times New Roman" w:hAnsi="Times New Roman"/>
          <w:color w:val="000000"/>
          <w:sz w:val="28"/>
          <w:szCs w:val="28"/>
          <w:lang w:eastAsia="lv-LV"/>
        </w:rPr>
        <w:t xml:space="preserve"> neattiecas</w:t>
      </w:r>
      <w:r w:rsidRPr="00FF2FAC">
        <w:rPr>
          <w:rFonts w:ascii="Times New Roman" w:eastAsia="Times New Roman" w:hAnsi="Times New Roman"/>
          <w:color w:val="000000"/>
          <w:sz w:val="28"/>
          <w:szCs w:val="28"/>
          <w:lang w:eastAsia="lv-LV"/>
        </w:rPr>
        <w:t>. Elektroenerģijas pašlaik aktīvie mazumtirgotāji: AS „Latvenergo”, SIA „</w:t>
      </w:r>
      <w:proofErr w:type="spellStart"/>
      <w:r w:rsidRPr="00FF2FAC">
        <w:rPr>
          <w:rFonts w:ascii="Times New Roman" w:eastAsia="Times New Roman" w:hAnsi="Times New Roman"/>
          <w:color w:val="000000"/>
          <w:sz w:val="28"/>
          <w:szCs w:val="28"/>
          <w:lang w:eastAsia="lv-LV"/>
        </w:rPr>
        <w:t>Enefit</w:t>
      </w:r>
      <w:proofErr w:type="spellEnd"/>
      <w:r w:rsidRPr="00FF2FAC">
        <w:rPr>
          <w:rFonts w:ascii="Times New Roman" w:eastAsia="Times New Roman" w:hAnsi="Times New Roman"/>
          <w:color w:val="000000"/>
          <w:sz w:val="28"/>
          <w:szCs w:val="28"/>
          <w:lang w:eastAsia="lv-LV"/>
        </w:rPr>
        <w:t>”, SIA „</w:t>
      </w:r>
      <w:proofErr w:type="spellStart"/>
      <w:r w:rsidRPr="00FF2FAC">
        <w:rPr>
          <w:rFonts w:ascii="Times New Roman" w:eastAsia="Times New Roman" w:hAnsi="Times New Roman"/>
          <w:color w:val="000000"/>
          <w:sz w:val="28"/>
          <w:szCs w:val="28"/>
          <w:lang w:eastAsia="lv-LV"/>
        </w:rPr>
        <w:t>Inter</w:t>
      </w:r>
      <w:proofErr w:type="spellEnd"/>
      <w:r w:rsidRPr="00FF2FAC">
        <w:rPr>
          <w:rFonts w:ascii="Times New Roman" w:eastAsia="Times New Roman" w:hAnsi="Times New Roman"/>
          <w:color w:val="000000"/>
          <w:sz w:val="28"/>
          <w:szCs w:val="28"/>
          <w:lang w:eastAsia="lv-LV"/>
        </w:rPr>
        <w:t xml:space="preserve"> </w:t>
      </w:r>
      <w:proofErr w:type="spellStart"/>
      <w:r w:rsidRPr="00FF2FAC">
        <w:rPr>
          <w:rFonts w:ascii="Times New Roman" w:eastAsia="Times New Roman" w:hAnsi="Times New Roman"/>
          <w:color w:val="000000"/>
          <w:sz w:val="28"/>
          <w:szCs w:val="28"/>
          <w:lang w:eastAsia="lv-LV"/>
        </w:rPr>
        <w:t>Rao</w:t>
      </w:r>
      <w:proofErr w:type="spellEnd"/>
      <w:r w:rsidRPr="00FF2FAC">
        <w:rPr>
          <w:rFonts w:ascii="Times New Roman" w:eastAsia="Times New Roman" w:hAnsi="Times New Roman"/>
          <w:color w:val="000000"/>
          <w:sz w:val="28"/>
          <w:szCs w:val="28"/>
          <w:lang w:eastAsia="lv-LV"/>
        </w:rPr>
        <w:t xml:space="preserve"> </w:t>
      </w:r>
      <w:proofErr w:type="spellStart"/>
      <w:r w:rsidRPr="00FF2FAC">
        <w:rPr>
          <w:rFonts w:ascii="Times New Roman" w:eastAsia="Times New Roman" w:hAnsi="Times New Roman"/>
          <w:color w:val="000000"/>
          <w:sz w:val="28"/>
          <w:szCs w:val="28"/>
          <w:lang w:eastAsia="lv-LV"/>
        </w:rPr>
        <w:t>Latvia</w:t>
      </w:r>
      <w:proofErr w:type="spellEnd"/>
      <w:r w:rsidRPr="00FF2FAC">
        <w:rPr>
          <w:rFonts w:ascii="Times New Roman" w:eastAsia="Times New Roman" w:hAnsi="Times New Roman"/>
          <w:color w:val="000000"/>
          <w:sz w:val="28"/>
          <w:szCs w:val="28"/>
          <w:lang w:eastAsia="lv-LV"/>
        </w:rPr>
        <w:t>”,</w:t>
      </w:r>
      <w:r w:rsidR="00506347">
        <w:rPr>
          <w:rFonts w:ascii="Times New Roman" w:eastAsia="Times New Roman" w:hAnsi="Times New Roman"/>
          <w:color w:val="000000"/>
          <w:sz w:val="28"/>
          <w:szCs w:val="28"/>
          <w:lang w:eastAsia="lv-LV"/>
        </w:rPr>
        <w:t xml:space="preserve"> </w:t>
      </w:r>
      <w:r w:rsidRPr="00FF2FAC">
        <w:rPr>
          <w:rFonts w:ascii="Times New Roman" w:eastAsia="Times New Roman" w:hAnsi="Times New Roman"/>
          <w:color w:val="000000"/>
          <w:sz w:val="28"/>
          <w:szCs w:val="28"/>
          <w:lang w:eastAsia="lv-LV"/>
        </w:rPr>
        <w:t xml:space="preserve">SIA </w:t>
      </w:r>
      <w:r w:rsidR="00506347">
        <w:rPr>
          <w:rFonts w:ascii="Times New Roman" w:eastAsia="Times New Roman" w:hAnsi="Times New Roman"/>
          <w:color w:val="000000"/>
          <w:sz w:val="28"/>
          <w:szCs w:val="28"/>
          <w:lang w:eastAsia="lv-LV"/>
        </w:rPr>
        <w:t>„</w:t>
      </w:r>
      <w:proofErr w:type="spellStart"/>
      <w:r w:rsidR="00506347">
        <w:rPr>
          <w:rFonts w:ascii="Times New Roman" w:eastAsia="Times New Roman" w:hAnsi="Times New Roman"/>
          <w:color w:val="000000"/>
          <w:sz w:val="28"/>
          <w:szCs w:val="28"/>
          <w:lang w:eastAsia="lv-LV"/>
        </w:rPr>
        <w:t>Baltic</w:t>
      </w:r>
      <w:proofErr w:type="spellEnd"/>
      <w:r w:rsidR="00506347">
        <w:rPr>
          <w:rFonts w:ascii="Times New Roman" w:eastAsia="Times New Roman" w:hAnsi="Times New Roman"/>
          <w:color w:val="000000"/>
          <w:sz w:val="28"/>
          <w:szCs w:val="28"/>
          <w:lang w:eastAsia="lv-LV"/>
        </w:rPr>
        <w:t xml:space="preserve"> </w:t>
      </w:r>
      <w:proofErr w:type="spellStart"/>
      <w:r w:rsidR="00506347">
        <w:rPr>
          <w:rFonts w:ascii="Times New Roman" w:eastAsia="Times New Roman" w:hAnsi="Times New Roman"/>
          <w:color w:val="000000"/>
          <w:sz w:val="28"/>
          <w:szCs w:val="28"/>
          <w:lang w:eastAsia="lv-LV"/>
        </w:rPr>
        <w:t>Energy</w:t>
      </w:r>
      <w:proofErr w:type="spellEnd"/>
      <w:r w:rsidR="00506347">
        <w:rPr>
          <w:rFonts w:ascii="Times New Roman" w:eastAsia="Times New Roman" w:hAnsi="Times New Roman"/>
          <w:color w:val="000000"/>
          <w:sz w:val="28"/>
          <w:szCs w:val="28"/>
          <w:lang w:eastAsia="lv-LV"/>
        </w:rPr>
        <w:t xml:space="preserve"> </w:t>
      </w:r>
      <w:proofErr w:type="spellStart"/>
      <w:r w:rsidR="00506347">
        <w:rPr>
          <w:rFonts w:ascii="Times New Roman" w:eastAsia="Times New Roman" w:hAnsi="Times New Roman"/>
          <w:color w:val="000000"/>
          <w:sz w:val="28"/>
          <w:szCs w:val="28"/>
          <w:lang w:eastAsia="lv-LV"/>
        </w:rPr>
        <w:t>Services</w:t>
      </w:r>
      <w:proofErr w:type="spellEnd"/>
      <w:r w:rsidRPr="00FF2FAC">
        <w:rPr>
          <w:rFonts w:ascii="Times New Roman" w:eastAsia="Times New Roman" w:hAnsi="Times New Roman"/>
          <w:color w:val="000000"/>
          <w:sz w:val="28"/>
          <w:szCs w:val="28"/>
          <w:lang w:eastAsia="lv-LV"/>
        </w:rPr>
        <w:t xml:space="preserve">", SIA „BCG </w:t>
      </w:r>
      <w:proofErr w:type="spellStart"/>
      <w:r w:rsidRPr="00FF2FAC">
        <w:rPr>
          <w:rFonts w:ascii="Times New Roman" w:eastAsia="Times New Roman" w:hAnsi="Times New Roman"/>
          <w:color w:val="000000"/>
          <w:sz w:val="28"/>
          <w:szCs w:val="28"/>
          <w:lang w:eastAsia="lv-LV"/>
        </w:rPr>
        <w:t>Riga</w:t>
      </w:r>
      <w:proofErr w:type="spellEnd"/>
      <w:r w:rsidRPr="00FF2FAC">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 SIA „</w:t>
      </w:r>
      <w:r w:rsidR="00506347">
        <w:rPr>
          <w:rFonts w:ascii="Times New Roman" w:eastAsia="Times New Roman" w:hAnsi="Times New Roman"/>
          <w:color w:val="000000"/>
          <w:sz w:val="28"/>
          <w:szCs w:val="28"/>
          <w:lang w:eastAsia="lv-LV"/>
        </w:rPr>
        <w:t>FENZO</w:t>
      </w:r>
      <w:r>
        <w:rPr>
          <w:rFonts w:ascii="Times New Roman" w:eastAsia="Times New Roman" w:hAnsi="Times New Roman"/>
          <w:color w:val="000000"/>
          <w:sz w:val="28"/>
          <w:szCs w:val="28"/>
          <w:lang w:eastAsia="lv-LV"/>
        </w:rPr>
        <w:t>”</w:t>
      </w:r>
      <w:r w:rsidR="00506347">
        <w:rPr>
          <w:rFonts w:ascii="Times New Roman" w:eastAsia="Times New Roman" w:hAnsi="Times New Roman"/>
          <w:color w:val="000000"/>
          <w:sz w:val="28"/>
          <w:szCs w:val="28"/>
          <w:lang w:eastAsia="lv-LV"/>
        </w:rPr>
        <w:t>, SIA ‘</w:t>
      </w:r>
      <w:proofErr w:type="spellStart"/>
      <w:r w:rsidR="00506347">
        <w:rPr>
          <w:rFonts w:ascii="Times New Roman" w:eastAsia="Times New Roman" w:hAnsi="Times New Roman"/>
          <w:color w:val="000000"/>
          <w:sz w:val="28"/>
          <w:szCs w:val="28"/>
          <w:lang w:eastAsia="lv-LV"/>
        </w:rPr>
        <w:t>Baltcom</w:t>
      </w:r>
      <w:proofErr w:type="spellEnd"/>
      <w:r w:rsidR="00506347">
        <w:rPr>
          <w:rFonts w:ascii="Times New Roman" w:eastAsia="Times New Roman" w:hAnsi="Times New Roman"/>
          <w:color w:val="000000"/>
          <w:sz w:val="28"/>
          <w:szCs w:val="28"/>
          <w:lang w:eastAsia="lv-LV"/>
        </w:rPr>
        <w:t xml:space="preserve"> TV”, SIA „</w:t>
      </w:r>
      <w:proofErr w:type="spellStart"/>
      <w:r w:rsidR="00506347">
        <w:rPr>
          <w:rFonts w:ascii="Times New Roman" w:eastAsia="Times New Roman" w:hAnsi="Times New Roman"/>
          <w:color w:val="000000"/>
          <w:sz w:val="28"/>
          <w:szCs w:val="28"/>
          <w:lang w:eastAsia="lv-LV"/>
        </w:rPr>
        <w:t>Energijos</w:t>
      </w:r>
      <w:proofErr w:type="spellEnd"/>
      <w:r w:rsidR="00506347">
        <w:rPr>
          <w:rFonts w:ascii="Times New Roman" w:eastAsia="Times New Roman" w:hAnsi="Times New Roman"/>
          <w:color w:val="000000"/>
          <w:sz w:val="28"/>
          <w:szCs w:val="28"/>
          <w:lang w:eastAsia="lv-LV"/>
        </w:rPr>
        <w:t xml:space="preserve"> </w:t>
      </w:r>
      <w:proofErr w:type="spellStart"/>
      <w:r w:rsidR="00506347">
        <w:rPr>
          <w:rFonts w:ascii="Times New Roman" w:eastAsia="Times New Roman" w:hAnsi="Times New Roman"/>
          <w:color w:val="000000"/>
          <w:sz w:val="28"/>
          <w:szCs w:val="28"/>
          <w:lang w:eastAsia="lv-LV"/>
        </w:rPr>
        <w:t>Tiekimos</w:t>
      </w:r>
      <w:proofErr w:type="spellEnd"/>
      <w:r w:rsidR="00506347">
        <w:rPr>
          <w:rFonts w:ascii="Times New Roman" w:eastAsia="Times New Roman" w:hAnsi="Times New Roman"/>
          <w:color w:val="000000"/>
          <w:sz w:val="28"/>
          <w:szCs w:val="28"/>
          <w:lang w:eastAsia="lv-LV"/>
        </w:rPr>
        <w:t xml:space="preserve">”, </w:t>
      </w:r>
      <w:r w:rsidR="00506347" w:rsidRPr="00FF2FAC">
        <w:rPr>
          <w:rFonts w:ascii="Times New Roman" w:eastAsia="Times New Roman" w:hAnsi="Times New Roman"/>
          <w:color w:val="000000"/>
          <w:sz w:val="28"/>
          <w:szCs w:val="28"/>
          <w:lang w:eastAsia="lv-LV"/>
        </w:rPr>
        <w:t>VAS „Latvijas Dzelzceļš” (piegādā elektroener</w:t>
      </w:r>
      <w:r w:rsidR="00506347">
        <w:rPr>
          <w:rFonts w:ascii="Times New Roman" w:eastAsia="Times New Roman" w:hAnsi="Times New Roman"/>
          <w:color w:val="000000"/>
          <w:sz w:val="28"/>
          <w:szCs w:val="28"/>
          <w:lang w:eastAsia="lv-LV"/>
        </w:rPr>
        <w:t xml:space="preserve">ģiju savam transportam un ēkām). </w:t>
      </w:r>
      <w:r>
        <w:rPr>
          <w:rFonts w:ascii="Times New Roman" w:eastAsia="Times New Roman" w:hAnsi="Times New Roman"/>
          <w:color w:val="000000"/>
          <w:sz w:val="28"/>
          <w:szCs w:val="28"/>
          <w:lang w:eastAsia="lv-LV"/>
        </w:rPr>
        <w:t>2011.</w:t>
      </w:r>
      <w:r w:rsidR="00760115">
        <w:rPr>
          <w:rFonts w:ascii="Times New Roman" w:eastAsia="Times New Roman" w:hAnsi="Times New Roman"/>
          <w:color w:val="000000"/>
          <w:sz w:val="28"/>
          <w:szCs w:val="28"/>
          <w:lang w:eastAsia="lv-LV"/>
        </w:rPr>
        <w:t> </w:t>
      </w:r>
      <w:r>
        <w:rPr>
          <w:rFonts w:ascii="Times New Roman" w:eastAsia="Times New Roman" w:hAnsi="Times New Roman"/>
          <w:color w:val="000000"/>
          <w:sz w:val="28"/>
          <w:szCs w:val="28"/>
          <w:lang w:eastAsia="lv-LV"/>
        </w:rPr>
        <w:t>gadā enerģijas galapatēriņā sašķidrinātā naftas gāze bija tikai 1,4</w:t>
      </w:r>
      <w:r w:rsidR="00760115">
        <w:rPr>
          <w:rFonts w:ascii="Times New Roman" w:eastAsia="Times New Roman" w:hAnsi="Times New Roman"/>
          <w:color w:val="000000"/>
          <w:sz w:val="28"/>
          <w:szCs w:val="28"/>
          <w:lang w:eastAsia="lv-LV"/>
        </w:rPr>
        <w:t> </w:t>
      </w:r>
      <w:r>
        <w:rPr>
          <w:rFonts w:ascii="Times New Roman" w:eastAsia="Times New Roman" w:hAnsi="Times New Roman"/>
          <w:color w:val="000000"/>
          <w:sz w:val="28"/>
          <w:szCs w:val="28"/>
          <w:lang w:eastAsia="lv-LV"/>
        </w:rPr>
        <w:t>%, savukārt transporta degviela - 29,3</w:t>
      </w:r>
      <w:r w:rsidR="00760115">
        <w:rPr>
          <w:rFonts w:ascii="Times New Roman" w:eastAsia="Times New Roman" w:hAnsi="Times New Roman"/>
          <w:color w:val="000000"/>
          <w:sz w:val="28"/>
          <w:szCs w:val="28"/>
          <w:lang w:eastAsia="lv-LV"/>
        </w:rPr>
        <w:t> </w:t>
      </w:r>
      <w:r>
        <w:rPr>
          <w:rFonts w:ascii="Times New Roman" w:eastAsia="Times New Roman" w:hAnsi="Times New Roman"/>
          <w:color w:val="000000"/>
          <w:sz w:val="28"/>
          <w:szCs w:val="28"/>
          <w:lang w:eastAsia="lv-LV"/>
        </w:rPr>
        <w:t>%.</w:t>
      </w:r>
      <w:r w:rsidR="00E91DE5">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 xml:space="preserve">Tāpēc, veidojot EPS Latvijā, ir jāapsver šo nozaru iekļaušanas, kā arī elektroenerģijas sadales tīkla komersanta iekļaušanas lietderība. </w:t>
      </w:r>
      <w:r w:rsidRPr="00FF2FAC">
        <w:rPr>
          <w:rFonts w:ascii="Times New Roman" w:eastAsia="Times New Roman" w:hAnsi="Times New Roman"/>
          <w:color w:val="000000"/>
          <w:sz w:val="28"/>
          <w:szCs w:val="28"/>
          <w:lang w:eastAsia="lv-LV"/>
        </w:rPr>
        <w:t>2011. gadā enerģijas galapatēriņā (bez transporta sektora) elektroenerģija bija 18,7 %, centralizēta siltumenerģija 18,0 %, dabasgāze 13,7 %, biomasa 34 %, naftas produkti - 7,5 %, ogles 3,8 %. Regulēto enerģijas tirgotāju gala</w:t>
      </w:r>
      <w:r>
        <w:rPr>
          <w:rFonts w:ascii="Times New Roman" w:eastAsia="Times New Roman" w:hAnsi="Times New Roman"/>
          <w:color w:val="000000"/>
          <w:sz w:val="28"/>
          <w:szCs w:val="28"/>
          <w:lang w:eastAsia="lv-LV"/>
        </w:rPr>
        <w:t>lietotāju</w:t>
      </w:r>
      <w:r w:rsidRPr="00FF2FAC">
        <w:rPr>
          <w:rFonts w:ascii="Times New Roman" w:eastAsia="Times New Roman" w:hAnsi="Times New Roman"/>
          <w:color w:val="000000"/>
          <w:sz w:val="28"/>
          <w:szCs w:val="28"/>
          <w:lang w:eastAsia="lv-LV"/>
        </w:rPr>
        <w:t xml:space="preserve"> struktūra ir šāda:</w:t>
      </w:r>
    </w:p>
    <w:p w:rsidR="00E14EBF" w:rsidRPr="00FF2FAC" w:rsidRDefault="00E14EBF" w:rsidP="00E14EBF">
      <w:pPr>
        <w:numPr>
          <w:ilvl w:val="0"/>
          <w:numId w:val="8"/>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e</w:t>
      </w:r>
      <w:r w:rsidRPr="00FF2FAC">
        <w:rPr>
          <w:rFonts w:ascii="Times New Roman" w:eastAsia="Times New Roman" w:hAnsi="Times New Roman"/>
          <w:color w:val="000000"/>
          <w:sz w:val="28"/>
          <w:szCs w:val="28"/>
          <w:lang w:eastAsia="lv-LV"/>
        </w:rPr>
        <w:t>lektroenerģija: mājsaimniecības – 29 %, pakalpojumu sektors – 40 %, rūpniecība un būvniecība – 27 %, lauksaimniecība – 2 %;</w:t>
      </w:r>
    </w:p>
    <w:p w:rsidR="00E14EBF" w:rsidRPr="00FF2FAC" w:rsidRDefault="00E14EBF" w:rsidP="00E14EBF">
      <w:pPr>
        <w:numPr>
          <w:ilvl w:val="0"/>
          <w:numId w:val="8"/>
        </w:num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c</w:t>
      </w:r>
      <w:r w:rsidRPr="00FF2FAC">
        <w:rPr>
          <w:rFonts w:ascii="Times New Roman" w:eastAsia="Times New Roman" w:hAnsi="Times New Roman"/>
          <w:color w:val="000000"/>
          <w:sz w:val="28"/>
          <w:szCs w:val="28"/>
          <w:lang w:eastAsia="lv-LV"/>
        </w:rPr>
        <w:t>entralizētā siltumapgāde: mājsaimniecības 70 %, pakalpojumu sektors – 26 %, rūpniecība – 1 %, lauksaimniecība 1 %;</w:t>
      </w:r>
    </w:p>
    <w:p w:rsidR="00E14EBF" w:rsidRPr="00265182" w:rsidRDefault="00E14EBF" w:rsidP="00E14EBF">
      <w:pPr>
        <w:numPr>
          <w:ilvl w:val="0"/>
          <w:numId w:val="8"/>
        </w:numPr>
        <w:spacing w:after="240" w:line="240" w:lineRule="auto"/>
        <w:ind w:left="714" w:hanging="357"/>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d</w:t>
      </w:r>
      <w:r w:rsidRPr="00FF2FAC">
        <w:rPr>
          <w:rFonts w:ascii="Times New Roman" w:eastAsia="Times New Roman" w:hAnsi="Times New Roman"/>
          <w:color w:val="000000"/>
          <w:sz w:val="28"/>
          <w:szCs w:val="28"/>
          <w:lang w:eastAsia="lv-LV"/>
        </w:rPr>
        <w:t>abas gāze: mājsaimniecības – 27 %, pakalpojumu sektors – 26 %, rūpniecība – 44 %, lauksaimniecība – 3 %.</w:t>
      </w:r>
    </w:p>
    <w:p w:rsidR="00E14EBF" w:rsidRPr="00FF2FAC" w:rsidRDefault="00E14EBF" w:rsidP="00E14EBF">
      <w:p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u w:val="single"/>
          <w:lang w:eastAsia="lv-LV"/>
        </w:rPr>
        <w:t>EPS  pienākumu sadales principi</w:t>
      </w:r>
      <w:r w:rsidRPr="00FF2FAC">
        <w:rPr>
          <w:rFonts w:ascii="Times New Roman" w:eastAsia="Times New Roman" w:hAnsi="Times New Roman"/>
          <w:color w:val="000000"/>
          <w:sz w:val="28"/>
          <w:szCs w:val="28"/>
          <w:lang w:eastAsia="lv-LV"/>
        </w:rPr>
        <w:t xml:space="preserve"> </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EPS pienākumu sadalei </w:t>
      </w:r>
      <w:r w:rsidR="00E55FC3">
        <w:rPr>
          <w:rFonts w:ascii="Times New Roman" w:eastAsia="Times New Roman" w:hAnsi="Times New Roman"/>
          <w:color w:val="000000"/>
          <w:sz w:val="28"/>
          <w:szCs w:val="28"/>
          <w:lang w:eastAsia="lv-LV"/>
        </w:rPr>
        <w:t>ietaupījuma</w:t>
      </w:r>
      <w:r w:rsidRPr="00FF2FAC">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mērķi ir jāsadala starp attiecīg</w:t>
      </w:r>
      <w:r w:rsidRPr="00FF2FAC">
        <w:rPr>
          <w:rFonts w:ascii="Times New Roman" w:eastAsia="Times New Roman" w:hAnsi="Times New Roman"/>
          <w:color w:val="000000"/>
          <w:sz w:val="28"/>
          <w:szCs w:val="28"/>
          <w:lang w:eastAsia="lv-LV"/>
        </w:rPr>
        <w:t xml:space="preserve">ās </w:t>
      </w:r>
      <w:r>
        <w:rPr>
          <w:rFonts w:ascii="Times New Roman" w:eastAsia="Times New Roman" w:hAnsi="Times New Roman"/>
          <w:color w:val="000000"/>
          <w:sz w:val="28"/>
          <w:szCs w:val="28"/>
          <w:lang w:eastAsia="lv-LV"/>
        </w:rPr>
        <w:t>jomas</w:t>
      </w:r>
      <w:r w:rsidRPr="00FF2FAC">
        <w:rPr>
          <w:rFonts w:ascii="Times New Roman" w:eastAsia="Times New Roman" w:hAnsi="Times New Roman"/>
          <w:color w:val="000000"/>
          <w:sz w:val="28"/>
          <w:szCs w:val="28"/>
          <w:lang w:eastAsia="lv-LV"/>
        </w:rPr>
        <w:t xml:space="preserve"> a</w:t>
      </w:r>
      <w:r>
        <w:rPr>
          <w:rFonts w:ascii="Times New Roman" w:eastAsia="Times New Roman" w:hAnsi="Times New Roman"/>
          <w:color w:val="000000"/>
          <w:sz w:val="28"/>
          <w:szCs w:val="28"/>
          <w:lang w:eastAsia="lv-LV"/>
        </w:rPr>
        <w:t xml:space="preserve">tbildīgajām pusēm (uzņēmumiem). </w:t>
      </w:r>
      <w:r w:rsidR="00E55FC3">
        <w:rPr>
          <w:rFonts w:ascii="Times New Roman" w:eastAsia="Times New Roman" w:hAnsi="Times New Roman"/>
          <w:color w:val="000000"/>
          <w:sz w:val="28"/>
          <w:szCs w:val="28"/>
          <w:lang w:eastAsia="lv-LV"/>
        </w:rPr>
        <w:t xml:space="preserve">Šo </w:t>
      </w:r>
      <w:r>
        <w:rPr>
          <w:rFonts w:ascii="Times New Roman" w:eastAsia="Times New Roman" w:hAnsi="Times New Roman"/>
          <w:color w:val="000000"/>
          <w:sz w:val="28"/>
          <w:szCs w:val="28"/>
          <w:lang w:eastAsia="lv-LV"/>
        </w:rPr>
        <w:t xml:space="preserve">pienākumu sadalē visbiežāk izmanto tādus kritērijus kā enerģijas galalietotāju skaits vai </w:t>
      </w:r>
      <w:r w:rsidR="00E55FC3">
        <w:rPr>
          <w:rFonts w:ascii="Times New Roman" w:eastAsia="Times New Roman" w:hAnsi="Times New Roman"/>
          <w:color w:val="000000"/>
          <w:sz w:val="28"/>
          <w:szCs w:val="28"/>
          <w:lang w:eastAsia="lv-LV"/>
        </w:rPr>
        <w:t xml:space="preserve">enerģijas </w:t>
      </w:r>
      <w:r>
        <w:rPr>
          <w:rFonts w:ascii="Times New Roman" w:eastAsia="Times New Roman" w:hAnsi="Times New Roman"/>
          <w:color w:val="000000"/>
          <w:sz w:val="28"/>
          <w:szCs w:val="28"/>
          <w:lang w:eastAsia="lv-LV"/>
        </w:rPr>
        <w:t>pārdošanas apjoms. EP</w:t>
      </w:r>
      <w:r w:rsidRPr="00FF2FAC">
        <w:rPr>
          <w:rFonts w:ascii="Times New Roman" w:eastAsia="Times New Roman" w:hAnsi="Times New Roman"/>
          <w:color w:val="000000"/>
          <w:sz w:val="28"/>
          <w:szCs w:val="28"/>
          <w:lang w:eastAsia="lv-LV"/>
        </w:rPr>
        <w:t xml:space="preserve">S iesaistītās atbildīgās puses ir tieši saistītas ar saviem klientiem - enerģijas patērētājiem - un pārzina to enerģijas tērēšanas specifiku. Energoefektivitātes pasākumu realizāciju var veikt pašas atbildīgās puses, to apakšuzņēmumi vai arī </w:t>
      </w:r>
      <w:r>
        <w:rPr>
          <w:rFonts w:ascii="Times New Roman" w:eastAsia="Times New Roman" w:hAnsi="Times New Roman"/>
          <w:color w:val="000000"/>
          <w:sz w:val="28"/>
          <w:szCs w:val="28"/>
          <w:lang w:eastAsia="lv-LV"/>
        </w:rPr>
        <w:t>tās var nolīgt uzņēmumus (piemēram, ESKO)</w:t>
      </w:r>
      <w:r w:rsidRPr="00FF2FAC">
        <w:rPr>
          <w:rFonts w:ascii="Times New Roman" w:eastAsia="Times New Roman" w:hAnsi="Times New Roman"/>
          <w:color w:val="000000"/>
          <w:sz w:val="28"/>
          <w:szCs w:val="28"/>
          <w:lang w:eastAsia="lv-LV"/>
        </w:rPr>
        <w:t>, kas var realizēt energoefektivitātes pasākumus, lai iegūtu aprēķināto enerģijas ietaupījumu.</w:t>
      </w:r>
      <w:r>
        <w:rPr>
          <w:rFonts w:ascii="Times New Roman" w:eastAsia="Times New Roman" w:hAnsi="Times New Roman"/>
          <w:color w:val="000000"/>
          <w:sz w:val="28"/>
          <w:szCs w:val="28"/>
          <w:lang w:eastAsia="lv-LV"/>
        </w:rPr>
        <w:t xml:space="preserve"> </w:t>
      </w:r>
      <w:r w:rsidRPr="00434740">
        <w:rPr>
          <w:rFonts w:ascii="Times New Roman" w:eastAsia="Times New Roman" w:hAnsi="Times New Roman"/>
          <w:color w:val="000000"/>
          <w:sz w:val="28"/>
          <w:szCs w:val="28"/>
          <w:lang w:eastAsia="lv-LV"/>
        </w:rPr>
        <w:t xml:space="preserve">Atbildīgās puses var realizēt energoefektivitātes pasākumus ne tikai pie saviem patērētājiem, bet arī pie jebkura cita enerģijas </w:t>
      </w:r>
      <w:r>
        <w:rPr>
          <w:rFonts w:ascii="Times New Roman" w:eastAsia="Times New Roman" w:hAnsi="Times New Roman"/>
          <w:color w:val="000000"/>
          <w:sz w:val="28"/>
          <w:szCs w:val="28"/>
          <w:lang w:eastAsia="lv-LV"/>
        </w:rPr>
        <w:t>galalietotāja</w:t>
      </w:r>
      <w:r w:rsidRPr="00434740">
        <w:rPr>
          <w:rFonts w:ascii="Times New Roman" w:eastAsia="Times New Roman" w:hAnsi="Times New Roman"/>
          <w:color w:val="000000"/>
          <w:sz w:val="28"/>
          <w:szCs w:val="28"/>
          <w:lang w:eastAsia="lv-LV"/>
        </w:rPr>
        <w:t>.</w:t>
      </w:r>
      <w:r w:rsidRPr="00FF2FAC">
        <w:rPr>
          <w:rFonts w:ascii="Times New Roman" w:eastAsia="Times New Roman" w:hAnsi="Times New Roman"/>
          <w:color w:val="000000"/>
          <w:sz w:val="28"/>
          <w:szCs w:val="28"/>
          <w:lang w:eastAsia="lv-LV"/>
        </w:rPr>
        <w:t xml:space="preserve"> </w:t>
      </w:r>
    </w:p>
    <w:p w:rsidR="00E14EBF" w:rsidRPr="00FF2FAC" w:rsidRDefault="00E14EBF" w:rsidP="00E14EBF">
      <w:pPr>
        <w:spacing w:after="24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lastRenderedPageBreak/>
        <w:t>EPS šajā risinājuma variantā būtu jāievieš kopā ar valsts energoefektivitātes fondu (</w:t>
      </w:r>
      <w:proofErr w:type="spellStart"/>
      <w:r w:rsidRPr="00FF2FAC">
        <w:rPr>
          <w:rFonts w:ascii="Times New Roman" w:eastAsia="Times New Roman" w:hAnsi="Times New Roman"/>
          <w:color w:val="000000"/>
          <w:sz w:val="28"/>
          <w:szCs w:val="28"/>
          <w:lang w:eastAsia="lv-LV"/>
        </w:rPr>
        <w:t>skat</w:t>
      </w:r>
      <w:proofErr w:type="spellEnd"/>
      <w:r w:rsidRPr="00FF2FAC">
        <w:rPr>
          <w:rFonts w:ascii="Times New Roman" w:eastAsia="Times New Roman" w:hAnsi="Times New Roman"/>
          <w:color w:val="000000"/>
          <w:sz w:val="28"/>
          <w:szCs w:val="28"/>
          <w:lang w:eastAsia="lv-LV"/>
        </w:rPr>
        <w:t>. 2.5. sadaļu), kura mērķis ir atbalstīt valsts iniciatīvas energoefektivitātes jomā. Atbilstoši Direktīvas 2012/27/ES 20. panta 6. punktam, valsts var noteikt, ka atbildīgās puses savus Direktīvas 2012/27/ES 7. pantā paredzētos EPS pienākumus var izpildīt, katru gadu valsts energoefektivitātes fondā iemaksājot summu, kas ir līdzvērtīga ieguldījumiem, kuri būtu nepieciešami, lai izpildītu minētos pienākumus.</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u w:val="single"/>
          <w:lang w:eastAsia="lv-LV"/>
        </w:rPr>
      </w:pPr>
      <w:r w:rsidRPr="00FF2FAC">
        <w:rPr>
          <w:rFonts w:ascii="Times New Roman" w:eastAsia="Times New Roman" w:hAnsi="Times New Roman"/>
          <w:color w:val="000000"/>
          <w:sz w:val="28"/>
          <w:szCs w:val="28"/>
          <w:u w:val="single"/>
          <w:lang w:eastAsia="lv-LV"/>
        </w:rPr>
        <w:t>EPS administrēšana</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EPS ieviešana, tostarp vadlīniju un </w:t>
      </w:r>
      <w:proofErr w:type="spellStart"/>
      <w:r w:rsidRPr="00FF2FAC">
        <w:rPr>
          <w:rFonts w:ascii="Times New Roman" w:eastAsia="Times New Roman" w:hAnsi="Times New Roman"/>
          <w:color w:val="000000"/>
          <w:sz w:val="28"/>
          <w:szCs w:val="28"/>
          <w:lang w:eastAsia="lv-LV"/>
        </w:rPr>
        <w:t>paraugdokumentu</w:t>
      </w:r>
      <w:proofErr w:type="spellEnd"/>
      <w:r w:rsidRPr="00FF2FAC">
        <w:rPr>
          <w:rFonts w:ascii="Times New Roman" w:eastAsia="Times New Roman" w:hAnsi="Times New Roman"/>
          <w:color w:val="000000"/>
          <w:sz w:val="28"/>
          <w:szCs w:val="28"/>
          <w:lang w:eastAsia="lv-LV"/>
        </w:rPr>
        <w:t xml:space="preserve">, izstrādāšana atbildīgajām pusēm, ikgadēja atbildīgo pušu ziņojumu apkopošana un valsts ziņojuma izstrādāšana, mērīšanas, kontroles un pārbaudes sistēmas nodrošināšana ir nozīmīgs papildu darba apjoms. Jaunās funkcijas saistītas galvenokārt ar kontroli uzņēmumu līmenī, kā arī regulāru un detalizētu tehniska līmeņa  informācijas apstrādi. Lai veiktu šīs funkcijas, iespējams veidot atsevišķu struktūrvienību </w:t>
      </w:r>
      <w:r>
        <w:rPr>
          <w:rFonts w:ascii="Times New Roman" w:eastAsia="Times New Roman" w:hAnsi="Times New Roman"/>
          <w:color w:val="000000"/>
          <w:sz w:val="28"/>
          <w:szCs w:val="28"/>
          <w:lang w:eastAsia="lv-LV"/>
        </w:rPr>
        <w:t>EM</w:t>
      </w:r>
      <w:r w:rsidRPr="00FF2FAC">
        <w:rPr>
          <w:rFonts w:ascii="Times New Roman" w:eastAsia="Times New Roman" w:hAnsi="Times New Roman"/>
          <w:color w:val="000000"/>
          <w:sz w:val="28"/>
          <w:szCs w:val="28"/>
          <w:lang w:eastAsia="lv-LV"/>
        </w:rPr>
        <w:t xml:space="preserve"> struktūrā, bet lietderīgāk būtu izveidot atsevišķu kompetento institūciju EM pakļautībā. </w:t>
      </w:r>
    </w:p>
    <w:p w:rsidR="00E14EBF" w:rsidRPr="00FF2FAC" w:rsidRDefault="00E14EBF" w:rsidP="00E14EBF">
      <w:p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ab/>
        <w:t xml:space="preserve">Tas saskan ar citu valstu labo praksi, kurās EPS ieviešanu un darbības monitoringu nodrošina atbildīgās ministrijas pakļautībā esoša iestāde, parasti enerģētikas aģentūra. Šādas enerģētikas iestādes ir valstīs ar labu EPS darbību: Dānijā (DEA), Somijā (MOTIVA), Francija (ADEME), Nīderlande (NL </w:t>
      </w:r>
      <w:proofErr w:type="spellStart"/>
      <w:r w:rsidRPr="00FF2FAC">
        <w:rPr>
          <w:rFonts w:ascii="Times New Roman" w:eastAsia="Times New Roman" w:hAnsi="Times New Roman"/>
          <w:color w:val="000000"/>
          <w:sz w:val="28"/>
          <w:szCs w:val="28"/>
          <w:lang w:eastAsia="lv-LV"/>
        </w:rPr>
        <w:t>Agency</w:t>
      </w:r>
      <w:proofErr w:type="spellEnd"/>
      <w:r w:rsidRPr="00FF2FAC">
        <w:rPr>
          <w:rFonts w:ascii="Times New Roman" w:eastAsia="Times New Roman" w:hAnsi="Times New Roman"/>
          <w:color w:val="000000"/>
          <w:sz w:val="28"/>
          <w:szCs w:val="28"/>
          <w:lang w:eastAsia="lv-LV"/>
        </w:rPr>
        <w:t xml:space="preserve">), gan arī, piemēram,  Polijā (KAPE), Lietuvā (LEA) un Igaunijā (KENA). </w:t>
      </w:r>
    </w:p>
    <w:p w:rsidR="00E14EBF" w:rsidRPr="00FF2FAC" w:rsidRDefault="00E14EBF" w:rsidP="00E14EBF">
      <w:p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Jaunveidojamai iestādei vai struktūrai jāveic šādas funkcijas: </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administrēt EPS;</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nodrošināt EPS noteiktā mērķa sadalījumu starp EPS atbildīgajām pusēm;</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izveidot un uzturēt EPS monitoringa sistēmu;</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reizi gadā veikt atbildīgo pušu enerģijas ietaupījumu novērtējumu un izstrādāt ziņojumu;</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līdz 2020. gada 31. decembrim izstrādāt vismaz divus starpziņojumus par EPS darbības rezultātiem;</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reizi gadā publicēt katras atbildīgās puses panākto enerģijas ietaupījumu, kā arī kopējo enerģijas ietaupījumu, kas iegūts saskaņā ar EPS;</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ja kāda no atbildīgajām pusēm nav sasniegusi uzlikto enerģijas ietaupījumu mērķi, brīdināt par normatīvajos aktos noteiktajām sankcijām vai piemērot atbilstošas sankcijas;</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novērst enerģijas ietaupījumu dubultu uzskaiti;</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ja atbildīgajām pusēm atļauts energoefektivitātes pienākumu izpildīt, katru gadu iemaksājot energoefektivitātes fondā summu, kas līdzvērtīga ieguldījumiem, kuri būtu nepieciešami, lai izpildītu minēto pienākumu, izveidot un uzturēt atbildīgo pušu reģistru, kuri izvēlējušies šo iespēju;</w:t>
      </w:r>
    </w:p>
    <w:p w:rsidR="00E14EBF" w:rsidRPr="00FF2FAC" w:rsidRDefault="00E14EBF" w:rsidP="00E14EBF">
      <w:pPr>
        <w:numPr>
          <w:ilvl w:val="0"/>
          <w:numId w:val="25"/>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izveido un ievieš kontroles sistēmu, kas neatkarīgi pārbauda vismaz statistiski būtisku daļu no energoefektivitātes paaugstināšanas pasākumiem</w:t>
      </w:r>
      <w:r w:rsidR="00760115">
        <w:rPr>
          <w:rFonts w:ascii="Times New Roman" w:eastAsia="Times New Roman" w:hAnsi="Times New Roman"/>
          <w:color w:val="000000"/>
          <w:sz w:val="28"/>
          <w:szCs w:val="28"/>
          <w:lang w:eastAsia="lv-LV"/>
        </w:rPr>
        <w:t>;</w:t>
      </w:r>
    </w:p>
    <w:p w:rsidR="00E14EBF" w:rsidRPr="00FF2FAC" w:rsidRDefault="00E14EBF" w:rsidP="00E14EBF">
      <w:pPr>
        <w:numPr>
          <w:ilvl w:val="0"/>
          <w:numId w:val="25"/>
        </w:numPr>
        <w:spacing w:after="240" w:line="240" w:lineRule="auto"/>
        <w:ind w:left="357" w:hanging="357"/>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lastRenderedPageBreak/>
        <w:t>ja EPS daļēji paredzēts izpildīt ar alternatīvajiem pasākumiem, tad izstrādāt un uzturēt alternatīvo energoefektivitātes pasākumu monitoringa sistēmu.</w:t>
      </w:r>
    </w:p>
    <w:p w:rsidR="00E14EBF" w:rsidRPr="00FF2FAC" w:rsidRDefault="00E14EBF" w:rsidP="00E14EBF">
      <w:pPr>
        <w:spacing w:after="0" w:line="240" w:lineRule="auto"/>
        <w:jc w:val="both"/>
        <w:rPr>
          <w:rFonts w:ascii="Times New Roman" w:eastAsia="Times New Roman" w:hAnsi="Times New Roman"/>
          <w:b/>
          <w:bCs/>
          <w:color w:val="000000"/>
          <w:sz w:val="28"/>
          <w:szCs w:val="28"/>
          <w:lang w:eastAsia="lv-LV"/>
        </w:rPr>
      </w:pPr>
      <w:r w:rsidRPr="00FF2FAC">
        <w:rPr>
          <w:rFonts w:ascii="Times New Roman" w:eastAsia="Times New Roman" w:hAnsi="Times New Roman"/>
          <w:bCs/>
          <w:color w:val="000000"/>
          <w:sz w:val="28"/>
          <w:szCs w:val="28"/>
          <w:u w:val="single"/>
          <w:lang w:eastAsia="lv-LV"/>
        </w:rPr>
        <w:t>Ietekme uz valsts budžetu.</w:t>
      </w:r>
      <w:r w:rsidRPr="00FF2FAC">
        <w:rPr>
          <w:rFonts w:ascii="Times New Roman" w:eastAsia="Times New Roman" w:hAnsi="Times New Roman"/>
          <w:bCs/>
          <w:color w:val="000000"/>
          <w:sz w:val="28"/>
          <w:szCs w:val="28"/>
          <w:lang w:eastAsia="lv-LV"/>
        </w:rPr>
        <w:t xml:space="preserve"> </w:t>
      </w:r>
    </w:p>
    <w:p w:rsidR="00E14EBF" w:rsidRPr="00CE2651" w:rsidRDefault="00E14EBF" w:rsidP="00E14EBF">
      <w:pPr>
        <w:spacing w:after="0" w:line="240" w:lineRule="auto"/>
        <w:ind w:firstLine="720"/>
        <w:jc w:val="both"/>
        <w:rPr>
          <w:rFonts w:ascii="Times New Roman" w:hAnsi="Times New Roman"/>
          <w:sz w:val="24"/>
          <w:szCs w:val="24"/>
          <w:lang w:eastAsia="hi-IN"/>
        </w:rPr>
      </w:pPr>
      <w:r w:rsidRPr="00FF2FAC">
        <w:rPr>
          <w:rFonts w:ascii="Times New Roman" w:eastAsia="Times New Roman" w:hAnsi="Times New Roman"/>
          <w:bCs/>
          <w:i/>
          <w:color w:val="000000"/>
          <w:sz w:val="28"/>
          <w:szCs w:val="28"/>
          <w:u w:val="single"/>
          <w:lang w:eastAsia="lv-LV"/>
        </w:rPr>
        <w:t>Izdevumi.</w:t>
      </w:r>
      <w:r w:rsidRPr="00FF2FAC">
        <w:rPr>
          <w:rFonts w:ascii="Times New Roman" w:eastAsia="Times New Roman" w:hAnsi="Times New Roman"/>
          <w:bCs/>
          <w:color w:val="000000"/>
          <w:sz w:val="28"/>
          <w:szCs w:val="28"/>
          <w:lang w:eastAsia="lv-LV"/>
        </w:rPr>
        <w:t xml:space="preserve"> EPS </w:t>
      </w:r>
      <w:r>
        <w:rPr>
          <w:rFonts w:ascii="Times New Roman" w:eastAsia="Times New Roman" w:hAnsi="Times New Roman"/>
          <w:bCs/>
          <w:color w:val="000000"/>
          <w:sz w:val="28"/>
          <w:szCs w:val="28"/>
          <w:lang w:eastAsia="lv-LV"/>
        </w:rPr>
        <w:t>administrēšana.</w:t>
      </w:r>
    </w:p>
    <w:p w:rsidR="00E14EBF" w:rsidRPr="00FF2FAC" w:rsidRDefault="00E14EBF" w:rsidP="00E14EBF">
      <w:pPr>
        <w:spacing w:after="0" w:line="240" w:lineRule="auto"/>
        <w:ind w:firstLine="720"/>
        <w:jc w:val="both"/>
        <w:rPr>
          <w:rFonts w:ascii="Times New Roman" w:eastAsia="Times New Roman" w:hAnsi="Times New Roman"/>
          <w:bCs/>
          <w:color w:val="000000"/>
          <w:sz w:val="28"/>
          <w:szCs w:val="28"/>
          <w:lang w:eastAsia="lv-LV"/>
        </w:rPr>
      </w:pPr>
      <w:r w:rsidRPr="00FF2FAC">
        <w:rPr>
          <w:rFonts w:ascii="Times New Roman" w:eastAsia="Times New Roman" w:hAnsi="Times New Roman"/>
          <w:bCs/>
          <w:i/>
          <w:color w:val="000000"/>
          <w:sz w:val="28"/>
          <w:szCs w:val="28"/>
          <w:u w:val="single"/>
          <w:lang w:eastAsia="lv-LV"/>
        </w:rPr>
        <w:t>Ieņēmumi</w:t>
      </w:r>
      <w:r w:rsidRPr="00FF2FAC">
        <w:rPr>
          <w:rFonts w:ascii="Times New Roman" w:eastAsia="Times New Roman" w:hAnsi="Times New Roman"/>
          <w:bCs/>
          <w:i/>
          <w:color w:val="000000"/>
          <w:sz w:val="28"/>
          <w:szCs w:val="28"/>
          <w:lang w:eastAsia="lv-LV"/>
        </w:rPr>
        <w:t>.</w:t>
      </w:r>
      <w:r w:rsidRPr="00FF2FAC">
        <w:rPr>
          <w:rFonts w:ascii="Times New Roman" w:eastAsia="Times New Roman" w:hAnsi="Times New Roman"/>
          <w:bCs/>
          <w:color w:val="000000"/>
          <w:sz w:val="28"/>
          <w:szCs w:val="28"/>
          <w:lang w:eastAsia="lv-LV"/>
        </w:rPr>
        <w:t xml:space="preserve"> EPS ieviešanas gadījumā valstij var rasties ieņēmumi no šādiem avotiem: </w:t>
      </w:r>
    </w:p>
    <w:p w:rsidR="00E14EBF" w:rsidRPr="00FF2FAC" w:rsidRDefault="00E14EBF" w:rsidP="00E14EBF">
      <w:pPr>
        <w:spacing w:after="0" w:line="240" w:lineRule="auto"/>
        <w:ind w:firstLine="720"/>
        <w:jc w:val="both"/>
        <w:rPr>
          <w:rFonts w:ascii="Times New Roman" w:eastAsia="Times New Roman" w:hAnsi="Times New Roman"/>
          <w:bCs/>
          <w:color w:val="000000"/>
          <w:sz w:val="28"/>
          <w:szCs w:val="28"/>
          <w:lang w:eastAsia="lv-LV"/>
        </w:rPr>
      </w:pPr>
      <w:r w:rsidRPr="00FF2FAC">
        <w:rPr>
          <w:rFonts w:ascii="Times New Roman" w:eastAsia="Times New Roman" w:hAnsi="Times New Roman"/>
          <w:bCs/>
          <w:color w:val="000000"/>
          <w:sz w:val="28"/>
          <w:szCs w:val="28"/>
          <w:lang w:eastAsia="lv-LV"/>
        </w:rPr>
        <w:t xml:space="preserve">1) to atbildīgo pušu iemaksas, kas EPS pienākumu izvēlēsies izpildīt ar iemaksām valsts energoefektivitātes fondā (apjomā, kas atbilst nesasniegtā enerģijas ietaupījuma izmaksām); </w:t>
      </w:r>
    </w:p>
    <w:p w:rsidR="00E14EBF" w:rsidRPr="00FF2FAC" w:rsidRDefault="00E14EBF" w:rsidP="00E14EBF">
      <w:pPr>
        <w:spacing w:after="240" w:line="240" w:lineRule="auto"/>
        <w:ind w:firstLine="720"/>
        <w:jc w:val="both"/>
        <w:rPr>
          <w:rFonts w:ascii="Times New Roman" w:eastAsia="Times New Roman" w:hAnsi="Times New Roman"/>
          <w:bCs/>
          <w:color w:val="000000"/>
          <w:sz w:val="28"/>
          <w:szCs w:val="28"/>
          <w:lang w:eastAsia="lv-LV"/>
        </w:rPr>
      </w:pPr>
      <w:r w:rsidRPr="00FF2FAC">
        <w:rPr>
          <w:rFonts w:ascii="Times New Roman" w:eastAsia="Times New Roman" w:hAnsi="Times New Roman"/>
          <w:bCs/>
          <w:color w:val="000000"/>
          <w:sz w:val="28"/>
          <w:szCs w:val="28"/>
          <w:lang w:eastAsia="lv-LV"/>
        </w:rPr>
        <w:t xml:space="preserve">2) </w:t>
      </w:r>
      <w:r w:rsidR="00FE64A6">
        <w:rPr>
          <w:rFonts w:ascii="Times New Roman" w:eastAsia="Times New Roman" w:hAnsi="Times New Roman"/>
          <w:bCs/>
          <w:color w:val="000000"/>
          <w:sz w:val="28"/>
          <w:szCs w:val="28"/>
          <w:lang w:eastAsia="lv-LV"/>
        </w:rPr>
        <w:t>sankcijas</w:t>
      </w:r>
      <w:r w:rsidRPr="00FF2FAC">
        <w:rPr>
          <w:rFonts w:ascii="Times New Roman" w:eastAsia="Times New Roman" w:hAnsi="Times New Roman"/>
          <w:bCs/>
          <w:color w:val="000000"/>
          <w:sz w:val="28"/>
          <w:szCs w:val="28"/>
          <w:lang w:eastAsia="lv-LV"/>
        </w:rPr>
        <w:t xml:space="preserve"> </w:t>
      </w:r>
      <w:r w:rsidR="00813392">
        <w:rPr>
          <w:rFonts w:ascii="Times New Roman" w:eastAsia="Times New Roman" w:hAnsi="Times New Roman"/>
          <w:bCs/>
          <w:color w:val="000000"/>
          <w:sz w:val="28"/>
          <w:szCs w:val="28"/>
          <w:lang w:eastAsia="lv-LV"/>
        </w:rPr>
        <w:t xml:space="preserve">atbildīgajām pusēm </w:t>
      </w:r>
      <w:r w:rsidRPr="00FF2FAC">
        <w:rPr>
          <w:rFonts w:ascii="Times New Roman" w:eastAsia="Times New Roman" w:hAnsi="Times New Roman"/>
          <w:bCs/>
          <w:color w:val="000000"/>
          <w:sz w:val="28"/>
          <w:szCs w:val="28"/>
          <w:lang w:eastAsia="lv-LV"/>
        </w:rPr>
        <w:t>par mērķa neizpildi atbilstoši Direktīvas 2012/27/ES 13.</w:t>
      </w:r>
      <w:r w:rsidR="007E2895">
        <w:rPr>
          <w:rFonts w:ascii="Times New Roman" w:eastAsia="Times New Roman" w:hAnsi="Times New Roman"/>
          <w:bCs/>
          <w:color w:val="000000"/>
          <w:sz w:val="28"/>
          <w:szCs w:val="28"/>
          <w:lang w:eastAsia="lv-LV"/>
        </w:rPr>
        <w:t> </w:t>
      </w:r>
      <w:r w:rsidRPr="00FF2FAC">
        <w:rPr>
          <w:rFonts w:ascii="Times New Roman" w:eastAsia="Times New Roman" w:hAnsi="Times New Roman"/>
          <w:bCs/>
          <w:color w:val="000000"/>
          <w:sz w:val="28"/>
          <w:szCs w:val="28"/>
          <w:lang w:eastAsia="lv-LV"/>
        </w:rPr>
        <w:t>panta prasībām.</w:t>
      </w:r>
    </w:p>
    <w:p w:rsidR="00E14EBF" w:rsidRPr="00FF2FAC" w:rsidRDefault="00E14EBF" w:rsidP="00E14EBF">
      <w:pPr>
        <w:spacing w:after="240" w:line="240" w:lineRule="auto"/>
        <w:ind w:firstLine="720"/>
        <w:jc w:val="both"/>
        <w:rPr>
          <w:rFonts w:ascii="Times New Roman" w:eastAsia="Times New Roman" w:hAnsi="Times New Roman"/>
          <w:bCs/>
          <w:color w:val="000000"/>
          <w:sz w:val="28"/>
          <w:szCs w:val="28"/>
          <w:lang w:eastAsia="lv-LV"/>
        </w:rPr>
      </w:pPr>
      <w:r w:rsidRPr="00FF2FAC">
        <w:rPr>
          <w:rFonts w:ascii="Times New Roman" w:eastAsia="Times New Roman" w:hAnsi="Times New Roman"/>
          <w:bCs/>
          <w:color w:val="000000"/>
          <w:sz w:val="28"/>
          <w:szCs w:val="28"/>
          <w:u w:val="single"/>
          <w:lang w:eastAsia="lv-LV"/>
        </w:rPr>
        <w:t>Ietekme uz pašvaldību budžetu</w:t>
      </w:r>
      <w:r w:rsidRPr="00FF2FAC">
        <w:rPr>
          <w:rFonts w:ascii="Times New Roman" w:eastAsia="Times New Roman" w:hAnsi="Times New Roman"/>
          <w:bCs/>
          <w:color w:val="000000"/>
          <w:sz w:val="28"/>
          <w:szCs w:val="28"/>
          <w:lang w:eastAsia="lv-LV"/>
        </w:rPr>
        <w:t>. EPS komersantiem uzlikto pienākumu dēļ var paaugstināties maksa par centralizēto siltumenerģiju, elektroenerģiju un dabas gāzi, kas atstāj ietekmi uz pašvaldību un iedzīvotāju komunālajiem maksājumiem.</w:t>
      </w:r>
    </w:p>
    <w:p w:rsidR="00A845A6" w:rsidRDefault="00E14EBF" w:rsidP="00E14EBF">
      <w:pPr>
        <w:spacing w:after="240" w:line="240" w:lineRule="auto"/>
        <w:ind w:firstLine="720"/>
        <w:jc w:val="both"/>
        <w:rPr>
          <w:rFonts w:ascii="Times New Roman" w:hAnsi="Times New Roman"/>
          <w:bCs/>
          <w:color w:val="000000"/>
          <w:sz w:val="28"/>
          <w:szCs w:val="28"/>
          <w:lang w:eastAsia="lv-LV"/>
        </w:rPr>
      </w:pPr>
      <w:r w:rsidRPr="00D721A7">
        <w:rPr>
          <w:rFonts w:ascii="Times New Roman" w:eastAsia="Times New Roman" w:hAnsi="Times New Roman"/>
          <w:bCs/>
          <w:color w:val="000000"/>
          <w:sz w:val="28"/>
          <w:szCs w:val="28"/>
          <w:u w:val="single"/>
          <w:lang w:eastAsia="lv-LV"/>
        </w:rPr>
        <w:t>Ietekme uz tarifiem.</w:t>
      </w:r>
      <w:r w:rsidRPr="00D721A7">
        <w:rPr>
          <w:rFonts w:ascii="Times New Roman" w:eastAsia="Times New Roman" w:hAnsi="Times New Roman"/>
          <w:bCs/>
          <w:color w:val="000000"/>
          <w:sz w:val="28"/>
          <w:szCs w:val="28"/>
          <w:lang w:eastAsia="lv-LV"/>
        </w:rPr>
        <w:t xml:space="preserve"> </w:t>
      </w:r>
      <w:r w:rsidR="00AD46F2">
        <w:rPr>
          <w:rFonts w:ascii="Times New Roman" w:eastAsia="Times New Roman" w:hAnsi="Times New Roman"/>
          <w:bCs/>
          <w:color w:val="000000"/>
          <w:sz w:val="28"/>
          <w:szCs w:val="28"/>
          <w:lang w:eastAsia="lv-LV"/>
        </w:rPr>
        <w:t>Lai novērtētu maksimālās iespējas k</w:t>
      </w:r>
      <w:r w:rsidR="00A845A6" w:rsidRPr="00D721A7">
        <w:rPr>
          <w:rFonts w:ascii="Times New Roman" w:hAnsi="Times New Roman"/>
          <w:bCs/>
          <w:color w:val="000000"/>
          <w:sz w:val="28"/>
          <w:szCs w:val="28"/>
          <w:lang w:eastAsia="lv-LV"/>
        </w:rPr>
        <w:t xml:space="preserve">ā minēts iepriekš, ēku energoefektivitātes projektos Latvijā par efektīvām var uzskatīt ietaupītās enerģijas izmaksas robežās </w:t>
      </w:r>
      <w:r w:rsidRPr="00D721A7">
        <w:rPr>
          <w:rFonts w:ascii="Times New Roman" w:eastAsia="Times New Roman" w:hAnsi="Times New Roman"/>
          <w:bCs/>
          <w:color w:val="000000"/>
          <w:sz w:val="28"/>
          <w:szCs w:val="28"/>
          <w:lang w:eastAsia="lv-LV"/>
        </w:rPr>
        <w:t>no 300 - 600 LVL/</w:t>
      </w:r>
      <w:proofErr w:type="spellStart"/>
      <w:r w:rsidRPr="00D721A7">
        <w:rPr>
          <w:rFonts w:ascii="Times New Roman" w:eastAsia="Times New Roman" w:hAnsi="Times New Roman"/>
          <w:bCs/>
          <w:color w:val="000000"/>
          <w:sz w:val="28"/>
          <w:szCs w:val="28"/>
          <w:lang w:eastAsia="lv-LV"/>
        </w:rPr>
        <w:t>MWh</w:t>
      </w:r>
      <w:proofErr w:type="spellEnd"/>
      <w:r w:rsidRPr="00D721A7">
        <w:rPr>
          <w:rFonts w:ascii="Times New Roman" w:eastAsia="Times New Roman" w:hAnsi="Times New Roman"/>
          <w:bCs/>
          <w:color w:val="000000"/>
          <w:sz w:val="28"/>
          <w:szCs w:val="28"/>
          <w:lang w:eastAsia="lv-LV"/>
        </w:rPr>
        <w:t xml:space="preserve"> </w:t>
      </w:r>
      <w:r w:rsidRPr="00D721A7">
        <w:rPr>
          <w:rFonts w:ascii="Times New Roman" w:eastAsia="Times New Roman" w:hAnsi="Times New Roman"/>
          <w:color w:val="000000"/>
          <w:sz w:val="28"/>
          <w:szCs w:val="28"/>
          <w:lang w:eastAsia="lv-LV"/>
        </w:rPr>
        <w:t>(426,86 – 853,72 EUR/</w:t>
      </w:r>
      <w:proofErr w:type="spellStart"/>
      <w:r w:rsidRPr="00D721A7">
        <w:rPr>
          <w:rFonts w:ascii="Times New Roman" w:eastAsia="Times New Roman" w:hAnsi="Times New Roman"/>
          <w:color w:val="000000"/>
          <w:sz w:val="28"/>
          <w:szCs w:val="28"/>
          <w:lang w:eastAsia="lv-LV"/>
        </w:rPr>
        <w:t>MWh</w:t>
      </w:r>
      <w:proofErr w:type="spellEnd"/>
      <w:r w:rsidRPr="00D721A7">
        <w:rPr>
          <w:rFonts w:ascii="Times New Roman" w:eastAsia="Times New Roman" w:hAnsi="Times New Roman"/>
          <w:color w:val="000000"/>
          <w:sz w:val="28"/>
          <w:szCs w:val="28"/>
          <w:lang w:eastAsia="lv-LV"/>
        </w:rPr>
        <w:t>)</w:t>
      </w:r>
      <w:r w:rsidRPr="00D721A7">
        <w:rPr>
          <w:rFonts w:ascii="Times New Roman" w:eastAsia="Times New Roman" w:hAnsi="Times New Roman"/>
          <w:bCs/>
          <w:color w:val="000000"/>
          <w:sz w:val="28"/>
          <w:szCs w:val="28"/>
          <w:lang w:eastAsia="lv-LV"/>
        </w:rPr>
        <w:t xml:space="preserve">. </w:t>
      </w:r>
      <w:r w:rsidR="00A845A6" w:rsidRPr="00D721A7">
        <w:rPr>
          <w:rFonts w:ascii="Times New Roman" w:hAnsi="Times New Roman"/>
          <w:bCs/>
          <w:color w:val="000000"/>
          <w:sz w:val="28"/>
          <w:szCs w:val="28"/>
          <w:lang w:eastAsia="lv-LV"/>
        </w:rPr>
        <w:t>Saskaņā ar ārvalstu pieredzi EPS ietekmē enerģijas lietotāju rēķini par siltumenerģiju, elektroenerģiju un gāzi vidēji pieaug no 2 % līdz 4 %. Šajā 7. panta ieviešanas 1. variantā (mērķa izpilde tikai ar EPS, bez alternatīvajiem pasākumiem) viss mērķī noteiktais enerģijas ietaupījums nodrošināšanas slogs uzlikts atbildīgajām pusēm – uzņēmumiem. EPS iesaistīto atbildīgo pušu izdevumi ir jāsedz, lai uzņēmumi neciestu zaudējumus no piedalīšanās EPS. EPS radītās izmaksas var segt subsīdijas, patērētāji, pašvaldības, iekārtu piegādātāji. Lielākajā daļā gadījumu  energoefektivitātes pasākumu izmaksas gulstas uz enerģijas patē</w:t>
      </w:r>
      <w:r w:rsidR="00BB7471" w:rsidRPr="00D721A7">
        <w:rPr>
          <w:rFonts w:ascii="Times New Roman" w:hAnsi="Times New Roman"/>
          <w:bCs/>
          <w:color w:val="000000"/>
          <w:sz w:val="28"/>
          <w:szCs w:val="28"/>
          <w:lang w:eastAsia="lv-LV"/>
        </w:rPr>
        <w:t>rē</w:t>
      </w:r>
      <w:r w:rsidR="00A845A6" w:rsidRPr="00D721A7">
        <w:rPr>
          <w:rFonts w:ascii="Times New Roman" w:hAnsi="Times New Roman"/>
          <w:bCs/>
          <w:color w:val="000000"/>
          <w:sz w:val="28"/>
          <w:szCs w:val="28"/>
          <w:lang w:eastAsia="lv-LV"/>
        </w:rPr>
        <w:t>tājiem. EPS atbildīgās puses ar energoefektivitātes komponenti tarifā sava pienākuma izpildei sedz līdz 50 % no enerģijas efektivitātes pasākumu izmaksām, bet atlikušo izmaksu daļu finansē konkrētais patērētājs, kas iegūst tiešo labumu no enerģijas efektivitātes pasākuma veikšanas. EPS atbildīgo pušu izdevumi tādā gadījumā tiek segti caur tarifiem no visiem patērētājiem. Pie šāda izmaksu sadalījuma kopējās enerģijas realizācijas tarifa palielinājuma ir atkarīgs no konkrēto pasākumu izmaksām, to dzīves laika un komersanta izvēlētās stratēģijas pasākumu ieviešanā saistību perioda laikā. Līdz ar to 1. varianta ietekme uz enerģijas tarifiem novērtējama tikai indikatīvi – enerģijas realizācijas gala tarifs varētu palielināties līdz 1 % elektroenerģijas un dabas gāzes patērētājiem, bet līdz 4,5 % centralizētās siltumenerģijas patērētājiem.</w:t>
      </w:r>
      <w:r w:rsidR="00A845A6" w:rsidRPr="005A3841">
        <w:rPr>
          <w:rFonts w:ascii="Times New Roman" w:hAnsi="Times New Roman"/>
          <w:bCs/>
          <w:color w:val="000000"/>
          <w:sz w:val="28"/>
          <w:szCs w:val="28"/>
          <w:lang w:eastAsia="lv-LV"/>
        </w:rPr>
        <w:t xml:space="preserve"> </w:t>
      </w:r>
    </w:p>
    <w:p w:rsidR="00E14EBF" w:rsidRPr="00FF2FAC" w:rsidRDefault="00E14EBF" w:rsidP="00E14EBF">
      <w:pPr>
        <w:spacing w:after="24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bCs/>
          <w:color w:val="000000"/>
          <w:sz w:val="28"/>
          <w:szCs w:val="28"/>
          <w:u w:val="single"/>
          <w:lang w:eastAsia="lv-LV"/>
        </w:rPr>
        <w:lastRenderedPageBreak/>
        <w:t>Ietekme uz komersantiem kas piedalās EPS</w:t>
      </w:r>
      <w:r w:rsidRPr="00FF2FAC">
        <w:rPr>
          <w:rFonts w:ascii="Times New Roman" w:eastAsia="Times New Roman" w:hAnsi="Times New Roman"/>
          <w:bCs/>
          <w:color w:val="000000"/>
          <w:sz w:val="28"/>
          <w:szCs w:val="28"/>
          <w:lang w:eastAsia="lv-LV"/>
        </w:rPr>
        <w:t>: Komersantiem</w:t>
      </w:r>
      <w:r>
        <w:rPr>
          <w:rFonts w:ascii="Times New Roman" w:eastAsia="Times New Roman" w:hAnsi="Times New Roman"/>
          <w:bCs/>
          <w:color w:val="000000"/>
          <w:sz w:val="28"/>
          <w:szCs w:val="28"/>
          <w:lang w:eastAsia="lv-LV"/>
        </w:rPr>
        <w:t xml:space="preserve"> (atbildīgajām pusēm)</w:t>
      </w:r>
      <w:r w:rsidRPr="00FF2FAC">
        <w:rPr>
          <w:rFonts w:ascii="Times New Roman" w:eastAsia="Times New Roman" w:hAnsi="Times New Roman"/>
          <w:bCs/>
          <w:color w:val="000000"/>
          <w:sz w:val="28"/>
          <w:szCs w:val="28"/>
          <w:lang w:eastAsia="lv-LV"/>
        </w:rPr>
        <w:t xml:space="preserve"> būs izdevumi energoefektivitātes pasākumu veikšanai. </w:t>
      </w:r>
      <w:r w:rsidRPr="00FF2FAC">
        <w:rPr>
          <w:rFonts w:ascii="Times New Roman" w:eastAsia="Times New Roman" w:hAnsi="Times New Roman"/>
          <w:color w:val="000000"/>
          <w:sz w:val="28"/>
          <w:szCs w:val="28"/>
          <w:lang w:eastAsia="lv-LV"/>
        </w:rPr>
        <w:t xml:space="preserve">EPS darbības sākumā dažām atbildīgajām pusēm pieredzes trūkuma dēļ varētu būt grūtības patstāvīgi veikt vai kontraktēt pasākumus vajadzīgajā apjomā. Tāpēc atbildīgajām pusēm </w:t>
      </w:r>
      <w:r w:rsidR="00AD46F2">
        <w:rPr>
          <w:rFonts w:ascii="Times New Roman" w:eastAsia="Times New Roman" w:hAnsi="Times New Roman"/>
          <w:color w:val="000000"/>
          <w:sz w:val="28"/>
          <w:szCs w:val="28"/>
          <w:lang w:eastAsia="lv-LV"/>
        </w:rPr>
        <w:t xml:space="preserve">būs iespēja </w:t>
      </w:r>
      <w:r w:rsidRPr="00FF2FAC">
        <w:rPr>
          <w:rFonts w:ascii="Times New Roman" w:eastAsia="Times New Roman" w:hAnsi="Times New Roman"/>
          <w:color w:val="000000"/>
          <w:sz w:val="28"/>
          <w:szCs w:val="28"/>
          <w:lang w:eastAsia="lv-LV"/>
        </w:rPr>
        <w:t xml:space="preserve">par neizpildīto pienākuma daļu </w:t>
      </w:r>
      <w:r w:rsidR="00AD46F2">
        <w:rPr>
          <w:rFonts w:ascii="Times New Roman" w:eastAsia="Times New Roman" w:hAnsi="Times New Roman"/>
          <w:color w:val="000000"/>
          <w:sz w:val="28"/>
          <w:szCs w:val="28"/>
          <w:lang w:eastAsia="lv-LV"/>
        </w:rPr>
        <w:t>veikt</w:t>
      </w:r>
      <w:r w:rsidRPr="00FF2FAC">
        <w:rPr>
          <w:rFonts w:ascii="Times New Roman" w:eastAsia="Times New Roman" w:hAnsi="Times New Roman"/>
          <w:color w:val="000000"/>
          <w:sz w:val="28"/>
          <w:szCs w:val="28"/>
          <w:lang w:eastAsia="lv-LV"/>
        </w:rPr>
        <w:t xml:space="preserve"> maksājum</w:t>
      </w:r>
      <w:r w:rsidR="00AD46F2">
        <w:rPr>
          <w:rFonts w:ascii="Times New Roman" w:eastAsia="Times New Roman" w:hAnsi="Times New Roman"/>
          <w:color w:val="000000"/>
          <w:sz w:val="28"/>
          <w:szCs w:val="28"/>
          <w:lang w:eastAsia="lv-LV"/>
        </w:rPr>
        <w:t>u</w:t>
      </w:r>
      <w:r w:rsidRPr="00FF2FAC">
        <w:rPr>
          <w:rFonts w:ascii="Times New Roman" w:eastAsia="Times New Roman" w:hAnsi="Times New Roman"/>
          <w:color w:val="000000"/>
          <w:sz w:val="28"/>
          <w:szCs w:val="28"/>
          <w:lang w:eastAsia="lv-LV"/>
        </w:rPr>
        <w:t xml:space="preserve">s valsts energoefektivitātes fondā </w:t>
      </w:r>
      <w:r w:rsidR="00562E0B">
        <w:rPr>
          <w:rFonts w:ascii="Times New Roman" w:eastAsia="Times New Roman" w:hAnsi="Times New Roman"/>
          <w:color w:val="000000"/>
          <w:sz w:val="28"/>
          <w:szCs w:val="28"/>
          <w:lang w:eastAsia="lv-LV"/>
        </w:rPr>
        <w:t xml:space="preserve">atbilstoši šī enerģijas apjoma </w:t>
      </w:r>
      <w:r w:rsidRPr="00FF2FAC">
        <w:rPr>
          <w:rFonts w:ascii="Times New Roman" w:eastAsia="Times New Roman" w:hAnsi="Times New Roman"/>
          <w:color w:val="000000"/>
          <w:sz w:val="28"/>
          <w:szCs w:val="28"/>
          <w:lang w:eastAsia="lv-LV"/>
        </w:rPr>
        <w:t>ietaupīšanas izmaksām.</w:t>
      </w:r>
    </w:p>
    <w:p w:rsidR="00E14EBF" w:rsidRPr="00FF2FAC" w:rsidRDefault="00E14EBF" w:rsidP="00E14EBF">
      <w:pPr>
        <w:spacing w:after="240" w:line="240" w:lineRule="auto"/>
        <w:jc w:val="both"/>
        <w:rPr>
          <w:rFonts w:ascii="Times New Roman" w:eastAsia="Times New Roman" w:hAnsi="Times New Roman"/>
          <w:b/>
          <w:bCs/>
          <w:color w:val="000000"/>
          <w:sz w:val="28"/>
          <w:szCs w:val="28"/>
          <w:lang w:eastAsia="lv-LV"/>
        </w:rPr>
      </w:pPr>
      <w:r w:rsidRPr="00FF2FAC">
        <w:rPr>
          <w:rFonts w:ascii="Times New Roman" w:eastAsia="Times New Roman" w:hAnsi="Times New Roman"/>
          <w:b/>
          <w:bCs/>
          <w:color w:val="000000"/>
          <w:sz w:val="28"/>
          <w:szCs w:val="28"/>
          <w:lang w:eastAsia="lv-LV"/>
        </w:rPr>
        <w:t>2. variants - Energoefektivitātes pienākumu shēma un alternatīvie pasākumi</w:t>
      </w:r>
    </w:p>
    <w:p w:rsidR="00E14EBF" w:rsidRDefault="00E14EBF" w:rsidP="00E14EBF">
      <w:pPr>
        <w:spacing w:after="240" w:line="240" w:lineRule="auto"/>
        <w:ind w:firstLine="720"/>
        <w:jc w:val="both"/>
        <w:rPr>
          <w:rFonts w:ascii="Times New Roman" w:eastAsia="Times New Roman" w:hAnsi="Times New Roman"/>
          <w:bCs/>
          <w:color w:val="000000"/>
          <w:sz w:val="28"/>
          <w:szCs w:val="28"/>
          <w:lang w:eastAsia="lv-LV"/>
        </w:rPr>
      </w:pPr>
      <w:r w:rsidRPr="00FF2FAC">
        <w:rPr>
          <w:rFonts w:ascii="Times New Roman" w:eastAsia="Times New Roman" w:hAnsi="Times New Roman"/>
          <w:color w:val="000000"/>
          <w:sz w:val="28"/>
          <w:szCs w:val="28"/>
          <w:lang w:eastAsia="lv-LV"/>
        </w:rPr>
        <w:t xml:space="preserve">Latvijas gadījumā, lai samazinātu enerģijas pārvades un mazumtirdzniecības uzņēmumiem uzlikto mērķa slogu, daļu no aprēķinātā obligātā ietaupījumu mērķa var plānot sasniegt ar alternatīviem pasākumiem. Kā alternatīvie pasākumi vispirms būtu jāapskata NAP2020 iekļautās rīcības un plānotās ES fondu programmas energoefektivitātes paaugstināšanai. </w:t>
      </w:r>
      <w:r w:rsidRPr="00FF2FAC">
        <w:rPr>
          <w:rFonts w:ascii="Times New Roman" w:eastAsia="Times New Roman" w:hAnsi="Times New Roman"/>
          <w:bCs/>
          <w:color w:val="000000"/>
          <w:sz w:val="28"/>
          <w:szCs w:val="28"/>
          <w:lang w:eastAsia="lv-LV"/>
        </w:rPr>
        <w:t xml:space="preserve">NAP2020 paredzētie pasākumi rīcības virziena „Energoefektivitāte un enerģijas ražošana” īstenošanai redzami </w:t>
      </w:r>
      <w:r w:rsidR="00A6188B">
        <w:rPr>
          <w:rFonts w:ascii="Times New Roman" w:eastAsia="Times New Roman" w:hAnsi="Times New Roman"/>
          <w:bCs/>
          <w:color w:val="000000"/>
          <w:sz w:val="28"/>
          <w:szCs w:val="28"/>
          <w:lang w:eastAsia="lv-LV"/>
        </w:rPr>
        <w:t>1</w:t>
      </w:r>
      <w:r>
        <w:rPr>
          <w:rFonts w:ascii="Times New Roman" w:eastAsia="Times New Roman" w:hAnsi="Times New Roman"/>
          <w:bCs/>
          <w:color w:val="000000"/>
          <w:sz w:val="28"/>
          <w:szCs w:val="28"/>
          <w:lang w:eastAsia="lv-LV"/>
        </w:rPr>
        <w:t>.</w:t>
      </w:r>
      <w:r w:rsidR="00F47B8C">
        <w:rPr>
          <w:rFonts w:ascii="Times New Roman" w:eastAsia="Times New Roman" w:hAnsi="Times New Roman"/>
          <w:bCs/>
          <w:color w:val="000000"/>
          <w:sz w:val="28"/>
          <w:szCs w:val="28"/>
          <w:lang w:eastAsia="lv-LV"/>
        </w:rPr>
        <w:t> </w:t>
      </w:r>
      <w:r>
        <w:rPr>
          <w:rFonts w:ascii="Times New Roman" w:eastAsia="Times New Roman" w:hAnsi="Times New Roman"/>
          <w:bCs/>
          <w:color w:val="000000"/>
          <w:sz w:val="28"/>
          <w:szCs w:val="28"/>
          <w:lang w:eastAsia="lv-LV"/>
        </w:rPr>
        <w:t>tabulā</w:t>
      </w:r>
      <w:r w:rsidRPr="00FF2FAC">
        <w:rPr>
          <w:rFonts w:ascii="Times New Roman" w:eastAsia="Times New Roman" w:hAnsi="Times New Roman"/>
          <w:bCs/>
          <w:color w:val="000000"/>
          <w:sz w:val="28"/>
          <w:szCs w:val="28"/>
          <w:lang w:eastAsia="lv-LV"/>
        </w:rPr>
        <w:t xml:space="preserve">. Atbilstoši Direktīvas 2012/27/ES prasībām, lai nodrošinātu 1,5 % mērķa sasniegšanu, energoefektivitātes pasākumi jārealizē pie enerģijas </w:t>
      </w:r>
      <w:r>
        <w:rPr>
          <w:rFonts w:ascii="Times New Roman" w:eastAsia="Times New Roman" w:hAnsi="Times New Roman"/>
          <w:bCs/>
          <w:color w:val="000000"/>
          <w:sz w:val="28"/>
          <w:szCs w:val="28"/>
          <w:lang w:eastAsia="lv-LV"/>
        </w:rPr>
        <w:t>galalietotājiem</w:t>
      </w:r>
      <w:r w:rsidRPr="00FF2FAC">
        <w:rPr>
          <w:rFonts w:ascii="Times New Roman" w:eastAsia="Times New Roman" w:hAnsi="Times New Roman"/>
          <w:bCs/>
          <w:color w:val="000000"/>
          <w:sz w:val="28"/>
          <w:szCs w:val="28"/>
          <w:lang w:eastAsia="lv-LV"/>
        </w:rPr>
        <w:t>, līdz ar to kā alternatīvi pasākum</w:t>
      </w:r>
      <w:r>
        <w:rPr>
          <w:rFonts w:ascii="Times New Roman" w:eastAsia="Times New Roman" w:hAnsi="Times New Roman"/>
          <w:bCs/>
          <w:color w:val="000000"/>
          <w:sz w:val="28"/>
          <w:szCs w:val="28"/>
          <w:lang w:eastAsia="lv-LV"/>
        </w:rPr>
        <w:t>i</w:t>
      </w:r>
      <w:r w:rsidRPr="00FF2FAC">
        <w:rPr>
          <w:rFonts w:ascii="Times New Roman" w:eastAsia="Times New Roman" w:hAnsi="Times New Roman"/>
          <w:bCs/>
          <w:color w:val="000000"/>
          <w:sz w:val="28"/>
          <w:szCs w:val="28"/>
          <w:lang w:eastAsia="lv-LV"/>
        </w:rPr>
        <w:t xml:space="preserve"> nevar tikt ieskaitīti ES fondu finansētie enerģijas ražošanas un sadales energoefektivitātes pasākumi centralizētajā siltumapgādē – </w:t>
      </w:r>
      <w:proofErr w:type="spellStart"/>
      <w:r w:rsidRPr="00FF2FAC">
        <w:rPr>
          <w:rFonts w:ascii="Times New Roman" w:eastAsia="Times New Roman" w:hAnsi="Times New Roman"/>
          <w:bCs/>
          <w:color w:val="000000"/>
          <w:sz w:val="28"/>
          <w:szCs w:val="28"/>
          <w:lang w:eastAsia="lv-LV"/>
        </w:rPr>
        <w:t>siltumavotu</w:t>
      </w:r>
      <w:proofErr w:type="spellEnd"/>
      <w:r w:rsidRPr="00FF2FAC">
        <w:rPr>
          <w:rFonts w:ascii="Times New Roman" w:eastAsia="Times New Roman" w:hAnsi="Times New Roman"/>
          <w:bCs/>
          <w:color w:val="000000"/>
          <w:sz w:val="28"/>
          <w:szCs w:val="28"/>
          <w:lang w:eastAsia="lv-LV"/>
        </w:rPr>
        <w:t xml:space="preserve"> un siltumtrašu rekonstrukcija.</w:t>
      </w:r>
    </w:p>
    <w:p w:rsidR="00B479A5" w:rsidRDefault="00A6188B" w:rsidP="00B479A5">
      <w:pPr>
        <w:spacing w:after="0" w:line="240" w:lineRule="auto"/>
        <w:jc w:val="right"/>
      </w:pPr>
      <w:r>
        <w:rPr>
          <w:rFonts w:ascii="Times New Roman" w:eastAsia="Times New Roman" w:hAnsi="Times New Roman"/>
          <w:b/>
          <w:bCs/>
          <w:color w:val="000000"/>
          <w:sz w:val="24"/>
          <w:szCs w:val="24"/>
          <w:lang w:eastAsia="lv-LV"/>
        </w:rPr>
        <w:t>1</w:t>
      </w:r>
      <w:r w:rsidR="00E14EBF" w:rsidRPr="00267981">
        <w:rPr>
          <w:rFonts w:ascii="Times New Roman" w:eastAsia="Times New Roman" w:hAnsi="Times New Roman"/>
          <w:b/>
          <w:bCs/>
          <w:color w:val="000000"/>
          <w:sz w:val="24"/>
          <w:szCs w:val="24"/>
          <w:lang w:eastAsia="lv-LV"/>
        </w:rPr>
        <w:t>. tabula</w:t>
      </w:r>
      <w:r w:rsidR="00272AE2">
        <w:rPr>
          <w:rFonts w:ascii="Times New Roman" w:eastAsia="Times New Roman" w:hAnsi="Times New Roman"/>
          <w:b/>
          <w:bCs/>
          <w:color w:val="000000"/>
          <w:sz w:val="24"/>
          <w:szCs w:val="24"/>
          <w:lang w:eastAsia="lv-LV"/>
        </w:rPr>
        <w:t>.</w:t>
      </w:r>
      <w:r w:rsidR="00E14EBF" w:rsidRPr="00267981">
        <w:t xml:space="preserve"> </w:t>
      </w:r>
    </w:p>
    <w:p w:rsidR="00E14EBF" w:rsidRPr="00FF2FAC" w:rsidRDefault="00E14EBF" w:rsidP="00B479A5">
      <w:pPr>
        <w:spacing w:after="0" w:line="240" w:lineRule="auto"/>
        <w:jc w:val="right"/>
        <w:rPr>
          <w:rFonts w:ascii="Times New Roman" w:eastAsia="Times New Roman" w:hAnsi="Times New Roman"/>
          <w:b/>
          <w:bCs/>
          <w:color w:val="000000"/>
          <w:sz w:val="24"/>
          <w:szCs w:val="24"/>
          <w:lang w:eastAsia="lv-LV"/>
        </w:rPr>
      </w:pPr>
      <w:r w:rsidRPr="00267981">
        <w:rPr>
          <w:rFonts w:ascii="Times New Roman" w:eastAsia="Times New Roman" w:hAnsi="Times New Roman"/>
          <w:b/>
          <w:bCs/>
          <w:color w:val="000000"/>
          <w:sz w:val="24"/>
          <w:szCs w:val="24"/>
          <w:lang w:eastAsia="lv-LV"/>
        </w:rPr>
        <w:t>NAP2020 iekļautās rīcības</w:t>
      </w:r>
      <w:r>
        <w:rPr>
          <w:rFonts w:ascii="Times New Roman" w:eastAsia="Times New Roman" w:hAnsi="Times New Roman"/>
          <w:b/>
          <w:bCs/>
          <w:color w:val="000000"/>
          <w:sz w:val="24"/>
          <w:szCs w:val="24"/>
          <w:lang w:eastAsia="lv-LV"/>
        </w:rPr>
        <w:t xml:space="preserve"> ēku energoefektivitātes jomā</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63"/>
        <w:gridCol w:w="1772"/>
        <w:gridCol w:w="1732"/>
      </w:tblGrid>
      <w:tr w:rsidR="00E14EBF" w:rsidRPr="00FF2FAC" w:rsidTr="00E14EBF">
        <w:tc>
          <w:tcPr>
            <w:tcW w:w="4352" w:type="dxa"/>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r w:rsidRPr="00B479A5">
              <w:rPr>
                <w:rFonts w:ascii="Times New Roman" w:eastAsia="Times New Roman" w:hAnsi="Times New Roman"/>
                <w:b/>
                <w:color w:val="000000"/>
                <w:sz w:val="24"/>
                <w:szCs w:val="24"/>
                <w:lang w:eastAsia="lv-LV"/>
              </w:rPr>
              <w:t>Pasākums</w:t>
            </w:r>
          </w:p>
        </w:tc>
        <w:tc>
          <w:tcPr>
            <w:tcW w:w="1426" w:type="dxa"/>
          </w:tcPr>
          <w:p w:rsidR="00E14EBF" w:rsidRPr="00B479A5" w:rsidRDefault="00E14EBF" w:rsidP="00E14EBF">
            <w:pPr>
              <w:spacing w:after="0" w:line="240" w:lineRule="auto"/>
              <w:jc w:val="both"/>
              <w:rPr>
                <w:rFonts w:ascii="Times New Roman" w:hAnsi="Times New Roman"/>
                <w:b/>
                <w:color w:val="000000"/>
                <w:sz w:val="24"/>
                <w:szCs w:val="24"/>
              </w:rPr>
            </w:pPr>
            <w:r w:rsidRPr="00B479A5">
              <w:rPr>
                <w:rFonts w:ascii="Times New Roman" w:hAnsi="Times New Roman"/>
                <w:b/>
                <w:color w:val="000000"/>
                <w:sz w:val="24"/>
                <w:szCs w:val="24"/>
              </w:rPr>
              <w:t xml:space="preserve">Plānotie enerģijas ietaupījumi, </w:t>
            </w:r>
            <w:proofErr w:type="spellStart"/>
            <w:r w:rsidRPr="00B479A5">
              <w:rPr>
                <w:rFonts w:ascii="Times New Roman" w:hAnsi="Times New Roman"/>
                <w:b/>
                <w:color w:val="000000"/>
                <w:sz w:val="24"/>
                <w:szCs w:val="24"/>
              </w:rPr>
              <w:t>tūkst</w:t>
            </w:r>
            <w:proofErr w:type="spellEnd"/>
            <w:r w:rsidRPr="00B479A5">
              <w:rPr>
                <w:rFonts w:ascii="Times New Roman" w:hAnsi="Times New Roman"/>
                <w:b/>
                <w:color w:val="000000"/>
                <w:sz w:val="24"/>
                <w:szCs w:val="24"/>
              </w:rPr>
              <w:t xml:space="preserve">. </w:t>
            </w:r>
            <w:proofErr w:type="spellStart"/>
            <w:r w:rsidRPr="00B479A5">
              <w:rPr>
                <w:rFonts w:ascii="Times New Roman" w:hAnsi="Times New Roman"/>
                <w:b/>
                <w:color w:val="000000"/>
                <w:sz w:val="24"/>
                <w:szCs w:val="24"/>
              </w:rPr>
              <w:t>MWh</w:t>
            </w:r>
            <w:proofErr w:type="spellEnd"/>
          </w:p>
        </w:tc>
        <w:tc>
          <w:tcPr>
            <w:tcW w:w="1773" w:type="dxa"/>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r w:rsidRPr="00B479A5">
              <w:rPr>
                <w:rFonts w:ascii="Times New Roman" w:eastAsia="Times New Roman" w:hAnsi="Times New Roman"/>
                <w:b/>
                <w:color w:val="000000"/>
                <w:sz w:val="24"/>
                <w:szCs w:val="24"/>
                <w:lang w:eastAsia="lv-LV"/>
              </w:rPr>
              <w:t>Finansējuma avots</w:t>
            </w:r>
          </w:p>
        </w:tc>
        <w:tc>
          <w:tcPr>
            <w:tcW w:w="1736" w:type="dxa"/>
          </w:tcPr>
          <w:p w:rsidR="00E14EBF" w:rsidRPr="00B479A5" w:rsidRDefault="00013B4C" w:rsidP="00E14EBF">
            <w:pPr>
              <w:spacing w:after="0" w:line="240" w:lineRule="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Indikatīvais f</w:t>
            </w:r>
            <w:r w:rsidR="00E14EBF" w:rsidRPr="00B479A5">
              <w:rPr>
                <w:rFonts w:ascii="Times New Roman" w:eastAsia="Times New Roman" w:hAnsi="Times New Roman"/>
                <w:b/>
                <w:color w:val="000000"/>
                <w:sz w:val="24"/>
                <w:szCs w:val="24"/>
                <w:lang w:eastAsia="lv-LV"/>
              </w:rPr>
              <w:t xml:space="preserve">inansējuma apjoms </w:t>
            </w:r>
            <w:proofErr w:type="spellStart"/>
            <w:r w:rsidR="00E14EBF" w:rsidRPr="00B479A5">
              <w:rPr>
                <w:rFonts w:ascii="Times New Roman" w:eastAsia="Times New Roman" w:hAnsi="Times New Roman"/>
                <w:b/>
                <w:color w:val="000000"/>
                <w:sz w:val="24"/>
                <w:szCs w:val="24"/>
                <w:lang w:eastAsia="lv-LV"/>
              </w:rPr>
              <w:t>milj</w:t>
            </w:r>
            <w:proofErr w:type="spellEnd"/>
            <w:r w:rsidR="00E14EBF" w:rsidRPr="00B479A5">
              <w:rPr>
                <w:rFonts w:ascii="Times New Roman" w:eastAsia="Times New Roman" w:hAnsi="Times New Roman"/>
                <w:b/>
                <w:color w:val="000000"/>
                <w:sz w:val="24"/>
                <w:szCs w:val="24"/>
                <w:lang w:eastAsia="lv-LV"/>
              </w:rPr>
              <w:t>. LVL (</w:t>
            </w:r>
            <w:proofErr w:type="spellStart"/>
            <w:r w:rsidR="00E14EBF" w:rsidRPr="00B479A5">
              <w:rPr>
                <w:rFonts w:ascii="Times New Roman" w:eastAsia="Times New Roman" w:hAnsi="Times New Roman"/>
                <w:b/>
                <w:color w:val="000000"/>
                <w:sz w:val="24"/>
                <w:szCs w:val="24"/>
                <w:lang w:eastAsia="lv-LV"/>
              </w:rPr>
              <w:t>milj</w:t>
            </w:r>
            <w:proofErr w:type="spellEnd"/>
            <w:r w:rsidR="00E14EBF" w:rsidRPr="00B479A5">
              <w:rPr>
                <w:rFonts w:ascii="Times New Roman" w:eastAsia="Times New Roman" w:hAnsi="Times New Roman"/>
                <w:b/>
                <w:color w:val="000000"/>
                <w:sz w:val="24"/>
                <w:szCs w:val="24"/>
                <w:lang w:eastAsia="lv-LV"/>
              </w:rPr>
              <w:t>. EUR)</w:t>
            </w:r>
          </w:p>
        </w:tc>
      </w:tr>
      <w:tr w:rsidR="00E14EBF" w:rsidRPr="00FF2FAC" w:rsidTr="00E14EBF">
        <w:trPr>
          <w:trHeight w:val="277"/>
        </w:trPr>
        <w:tc>
          <w:tcPr>
            <w:tcW w:w="4352" w:type="dxa"/>
            <w:vMerge w:val="restart"/>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r w:rsidRPr="00B479A5">
              <w:rPr>
                <w:rFonts w:ascii="Times New Roman" w:eastAsia="Times New Roman" w:hAnsi="Times New Roman"/>
                <w:b/>
                <w:color w:val="000000"/>
                <w:sz w:val="24"/>
                <w:szCs w:val="24"/>
                <w:lang w:eastAsia="lv-LV"/>
              </w:rPr>
              <w:t>Atbalsts ražojošiem un pakalpojumus sniedzošiem uzņēmumiem energoefektivitātes uzlabošanai</w:t>
            </w:r>
          </w:p>
        </w:tc>
        <w:tc>
          <w:tcPr>
            <w:tcW w:w="1426" w:type="dxa"/>
            <w:vMerge w:val="restart"/>
          </w:tcPr>
          <w:p w:rsidR="00E14EBF" w:rsidRPr="007D0BDD" w:rsidRDefault="00E14EBF" w:rsidP="00E14EBF">
            <w:pPr>
              <w:spacing w:after="0" w:line="240" w:lineRule="auto"/>
              <w:jc w:val="both"/>
              <w:rPr>
                <w:rFonts w:ascii="Times New Roman" w:hAnsi="Times New Roman"/>
                <w:color w:val="000000"/>
                <w:sz w:val="24"/>
                <w:szCs w:val="24"/>
              </w:rPr>
            </w:pPr>
            <w:r w:rsidRPr="007D0BDD">
              <w:rPr>
                <w:rFonts w:ascii="Times New Roman" w:hAnsi="Times New Roman"/>
                <w:color w:val="000000"/>
                <w:sz w:val="24"/>
                <w:szCs w:val="24"/>
              </w:rPr>
              <w:t xml:space="preserve">19 </w:t>
            </w:r>
          </w:p>
        </w:tc>
        <w:tc>
          <w:tcPr>
            <w:tcW w:w="1773" w:type="dxa"/>
            <w:shd w:val="clear" w:color="auto" w:fill="auto"/>
          </w:tcPr>
          <w:p w:rsidR="00E14EBF" w:rsidRPr="00FF2FAC"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Valsts budžets</w:t>
            </w:r>
          </w:p>
        </w:tc>
        <w:tc>
          <w:tcPr>
            <w:tcW w:w="1736" w:type="dxa"/>
          </w:tcPr>
          <w:p w:rsidR="00E14EBF" w:rsidRPr="00FF2FAC"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4,05 (5,763)</w:t>
            </w:r>
          </w:p>
        </w:tc>
      </w:tr>
      <w:tr w:rsidR="00E14EBF" w:rsidRPr="00FF2FAC" w:rsidTr="00E14EBF">
        <w:trPr>
          <w:trHeight w:val="264"/>
        </w:trPr>
        <w:tc>
          <w:tcPr>
            <w:tcW w:w="4352" w:type="dxa"/>
            <w:vMerge/>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p>
        </w:tc>
        <w:tc>
          <w:tcPr>
            <w:tcW w:w="1426" w:type="dxa"/>
            <w:vMerge/>
          </w:tcPr>
          <w:p w:rsidR="00E14EBF" w:rsidRPr="007D0BDD" w:rsidRDefault="00E14EBF" w:rsidP="00E14EBF">
            <w:pPr>
              <w:spacing w:after="0" w:line="240" w:lineRule="auto"/>
              <w:jc w:val="both"/>
              <w:rPr>
                <w:rFonts w:ascii="Times New Roman" w:hAnsi="Times New Roman"/>
                <w:color w:val="000000"/>
                <w:sz w:val="24"/>
                <w:szCs w:val="24"/>
              </w:rPr>
            </w:pPr>
          </w:p>
        </w:tc>
        <w:tc>
          <w:tcPr>
            <w:tcW w:w="1773" w:type="dxa"/>
            <w:shd w:val="clear" w:color="auto" w:fill="auto"/>
          </w:tcPr>
          <w:p w:rsidR="00E14EBF"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ERAF</w:t>
            </w:r>
          </w:p>
        </w:tc>
        <w:tc>
          <w:tcPr>
            <w:tcW w:w="1736" w:type="dxa"/>
          </w:tcPr>
          <w:p w:rsidR="00E14EBF"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22,95 (32,655)</w:t>
            </w:r>
          </w:p>
        </w:tc>
      </w:tr>
      <w:tr w:rsidR="00E14EBF" w:rsidRPr="00FF2FAC" w:rsidTr="00E14EBF">
        <w:trPr>
          <w:trHeight w:val="276"/>
        </w:trPr>
        <w:tc>
          <w:tcPr>
            <w:tcW w:w="4352" w:type="dxa"/>
            <w:vMerge/>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p>
        </w:tc>
        <w:tc>
          <w:tcPr>
            <w:tcW w:w="1426" w:type="dxa"/>
            <w:vMerge/>
          </w:tcPr>
          <w:p w:rsidR="00E14EBF" w:rsidRPr="007D0BDD" w:rsidRDefault="00E14EBF" w:rsidP="00E14EBF">
            <w:pPr>
              <w:spacing w:after="0" w:line="240" w:lineRule="auto"/>
              <w:jc w:val="both"/>
              <w:rPr>
                <w:rFonts w:ascii="Times New Roman" w:hAnsi="Times New Roman"/>
                <w:color w:val="000000"/>
                <w:sz w:val="24"/>
                <w:szCs w:val="24"/>
              </w:rPr>
            </w:pPr>
          </w:p>
        </w:tc>
        <w:tc>
          <w:tcPr>
            <w:tcW w:w="1773" w:type="dxa"/>
            <w:shd w:val="clear" w:color="auto" w:fill="auto"/>
          </w:tcPr>
          <w:p w:rsidR="00E14EBF" w:rsidRPr="009D0B3C" w:rsidRDefault="00E14EBF" w:rsidP="00E14EBF">
            <w:pPr>
              <w:spacing w:after="0" w:line="240" w:lineRule="auto"/>
              <w:jc w:val="right"/>
              <w:rPr>
                <w:rFonts w:ascii="Times New Roman" w:eastAsia="Times New Roman" w:hAnsi="Times New Roman"/>
                <w:b/>
                <w:color w:val="000000"/>
                <w:sz w:val="24"/>
                <w:szCs w:val="24"/>
                <w:lang w:eastAsia="lv-LV"/>
              </w:rPr>
            </w:pPr>
            <w:r w:rsidRPr="009D0B3C">
              <w:rPr>
                <w:rFonts w:ascii="Times New Roman" w:eastAsia="Times New Roman" w:hAnsi="Times New Roman"/>
                <w:b/>
                <w:color w:val="000000"/>
                <w:sz w:val="24"/>
                <w:szCs w:val="24"/>
                <w:lang w:eastAsia="lv-LV"/>
              </w:rPr>
              <w:t>Kopā</w:t>
            </w:r>
          </w:p>
        </w:tc>
        <w:tc>
          <w:tcPr>
            <w:tcW w:w="1736" w:type="dxa"/>
          </w:tcPr>
          <w:p w:rsidR="00E14EBF" w:rsidRDefault="00E14EBF" w:rsidP="00E14EBF">
            <w:pPr>
              <w:spacing w:after="0" w:line="240" w:lineRule="auto"/>
              <w:jc w:val="right"/>
              <w:rPr>
                <w:rFonts w:ascii="Times New Roman" w:eastAsia="Times New Roman" w:hAnsi="Times New Roman"/>
                <w:color w:val="000000"/>
                <w:sz w:val="24"/>
                <w:szCs w:val="24"/>
                <w:lang w:eastAsia="lv-LV"/>
              </w:rPr>
            </w:pPr>
            <w:r w:rsidRPr="00FF2FAC">
              <w:rPr>
                <w:rFonts w:ascii="Times New Roman" w:eastAsia="Times New Roman" w:hAnsi="Times New Roman"/>
                <w:color w:val="000000"/>
                <w:sz w:val="24"/>
                <w:szCs w:val="24"/>
                <w:lang w:eastAsia="lv-LV"/>
              </w:rPr>
              <w:t>27,0</w:t>
            </w:r>
            <w:r>
              <w:rPr>
                <w:rFonts w:ascii="Times New Roman" w:eastAsia="Times New Roman" w:hAnsi="Times New Roman"/>
                <w:color w:val="000000"/>
                <w:sz w:val="24"/>
                <w:szCs w:val="24"/>
                <w:lang w:eastAsia="lv-LV"/>
              </w:rPr>
              <w:t xml:space="preserve"> (38,418)</w:t>
            </w:r>
          </w:p>
        </w:tc>
      </w:tr>
      <w:tr w:rsidR="00E14EBF" w:rsidRPr="00FF2FAC" w:rsidTr="00E14EBF">
        <w:trPr>
          <w:trHeight w:val="323"/>
        </w:trPr>
        <w:tc>
          <w:tcPr>
            <w:tcW w:w="4352" w:type="dxa"/>
            <w:vMerge w:val="restart"/>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r w:rsidRPr="00B479A5">
              <w:rPr>
                <w:rFonts w:ascii="Times New Roman" w:eastAsia="Times New Roman" w:hAnsi="Times New Roman"/>
                <w:b/>
                <w:color w:val="000000"/>
                <w:sz w:val="24"/>
                <w:szCs w:val="24"/>
                <w:lang w:eastAsia="lv-LV"/>
              </w:rPr>
              <w:t>Publisko ēku energoefektivitātes pasākumi</w:t>
            </w:r>
          </w:p>
        </w:tc>
        <w:tc>
          <w:tcPr>
            <w:tcW w:w="1426" w:type="dxa"/>
            <w:vMerge w:val="restart"/>
          </w:tcPr>
          <w:p w:rsidR="00E14EBF" w:rsidRPr="007D0BDD" w:rsidRDefault="00E14EBF" w:rsidP="00E14EBF">
            <w:pPr>
              <w:spacing w:after="0" w:line="240" w:lineRule="auto"/>
              <w:jc w:val="both"/>
              <w:rPr>
                <w:rFonts w:ascii="Times New Roman" w:hAnsi="Times New Roman"/>
                <w:color w:val="000000"/>
                <w:sz w:val="24"/>
                <w:szCs w:val="24"/>
              </w:rPr>
            </w:pPr>
            <w:r w:rsidRPr="007D0BDD">
              <w:rPr>
                <w:rFonts w:ascii="Times New Roman" w:hAnsi="Times New Roman"/>
                <w:color w:val="000000"/>
                <w:sz w:val="24"/>
                <w:szCs w:val="24"/>
              </w:rPr>
              <w:t>102 </w:t>
            </w:r>
          </w:p>
          <w:p w:rsidR="00E14EBF" w:rsidRPr="007D0BDD" w:rsidRDefault="00E14EBF" w:rsidP="00E14EBF">
            <w:pPr>
              <w:spacing w:after="0" w:line="240" w:lineRule="auto"/>
              <w:jc w:val="both"/>
              <w:rPr>
                <w:rFonts w:ascii="Times New Roman" w:hAnsi="Times New Roman"/>
                <w:color w:val="000000"/>
                <w:sz w:val="24"/>
                <w:szCs w:val="24"/>
              </w:rPr>
            </w:pPr>
          </w:p>
        </w:tc>
        <w:tc>
          <w:tcPr>
            <w:tcW w:w="1773" w:type="dxa"/>
            <w:shd w:val="clear" w:color="auto" w:fill="auto"/>
          </w:tcPr>
          <w:p w:rsidR="00E14EBF" w:rsidRPr="00FF2FAC"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Valsts budžets</w:t>
            </w:r>
          </w:p>
        </w:tc>
        <w:tc>
          <w:tcPr>
            <w:tcW w:w="1736" w:type="dxa"/>
          </w:tcPr>
          <w:p w:rsidR="00E14EBF" w:rsidRPr="00FF2FAC"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6,57 (9,35)</w:t>
            </w:r>
          </w:p>
        </w:tc>
      </w:tr>
      <w:tr w:rsidR="00E14EBF" w:rsidRPr="00FF2FAC" w:rsidTr="00E14EBF">
        <w:trPr>
          <w:trHeight w:val="264"/>
        </w:trPr>
        <w:tc>
          <w:tcPr>
            <w:tcW w:w="4352" w:type="dxa"/>
            <w:vMerge/>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p>
        </w:tc>
        <w:tc>
          <w:tcPr>
            <w:tcW w:w="1426" w:type="dxa"/>
            <w:vMerge/>
          </w:tcPr>
          <w:p w:rsidR="00E14EBF" w:rsidRPr="007D0BDD" w:rsidRDefault="00E14EBF" w:rsidP="00E14EBF">
            <w:pPr>
              <w:spacing w:after="0" w:line="240" w:lineRule="auto"/>
              <w:jc w:val="both"/>
              <w:rPr>
                <w:rFonts w:ascii="Times New Roman" w:hAnsi="Times New Roman"/>
                <w:color w:val="000000"/>
                <w:sz w:val="24"/>
                <w:szCs w:val="24"/>
              </w:rPr>
            </w:pPr>
          </w:p>
        </w:tc>
        <w:tc>
          <w:tcPr>
            <w:tcW w:w="1773" w:type="dxa"/>
            <w:shd w:val="clear" w:color="auto" w:fill="auto"/>
          </w:tcPr>
          <w:p w:rsidR="00E14EBF"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ERAF</w:t>
            </w:r>
          </w:p>
        </w:tc>
        <w:tc>
          <w:tcPr>
            <w:tcW w:w="1736" w:type="dxa"/>
          </w:tcPr>
          <w:p w:rsidR="00E14EBF"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117,23 (166,80)</w:t>
            </w:r>
          </w:p>
        </w:tc>
      </w:tr>
      <w:tr w:rsidR="00E14EBF" w:rsidRPr="00FF2FAC" w:rsidTr="00E14EBF">
        <w:trPr>
          <w:trHeight w:val="580"/>
        </w:trPr>
        <w:tc>
          <w:tcPr>
            <w:tcW w:w="4352" w:type="dxa"/>
            <w:vMerge/>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p>
        </w:tc>
        <w:tc>
          <w:tcPr>
            <w:tcW w:w="1426" w:type="dxa"/>
            <w:vMerge/>
          </w:tcPr>
          <w:p w:rsidR="00E14EBF" w:rsidRPr="007D0BDD" w:rsidRDefault="00E14EBF" w:rsidP="00E14EBF">
            <w:pPr>
              <w:spacing w:after="0" w:line="240" w:lineRule="auto"/>
              <w:jc w:val="both"/>
              <w:rPr>
                <w:rFonts w:ascii="Times New Roman" w:hAnsi="Times New Roman"/>
                <w:color w:val="000000"/>
                <w:sz w:val="24"/>
                <w:szCs w:val="24"/>
              </w:rPr>
            </w:pPr>
          </w:p>
        </w:tc>
        <w:tc>
          <w:tcPr>
            <w:tcW w:w="1773" w:type="dxa"/>
            <w:shd w:val="clear" w:color="auto" w:fill="auto"/>
          </w:tcPr>
          <w:p w:rsidR="00E14EBF"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pašvaldības finansējums</w:t>
            </w:r>
          </w:p>
        </w:tc>
        <w:tc>
          <w:tcPr>
            <w:tcW w:w="1736" w:type="dxa"/>
          </w:tcPr>
          <w:p w:rsidR="00E14EBF"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20 (28,46)</w:t>
            </w:r>
          </w:p>
        </w:tc>
      </w:tr>
      <w:tr w:rsidR="00E14EBF" w:rsidRPr="00FF2FAC" w:rsidTr="00E14EBF">
        <w:trPr>
          <w:trHeight w:val="472"/>
        </w:trPr>
        <w:tc>
          <w:tcPr>
            <w:tcW w:w="4352" w:type="dxa"/>
            <w:vMerge/>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p>
        </w:tc>
        <w:tc>
          <w:tcPr>
            <w:tcW w:w="1426" w:type="dxa"/>
            <w:vMerge/>
          </w:tcPr>
          <w:p w:rsidR="00E14EBF" w:rsidRPr="007D0BDD" w:rsidRDefault="00E14EBF" w:rsidP="00E14EBF">
            <w:pPr>
              <w:spacing w:after="0" w:line="240" w:lineRule="auto"/>
              <w:jc w:val="both"/>
              <w:rPr>
                <w:rFonts w:ascii="Times New Roman" w:hAnsi="Times New Roman"/>
                <w:color w:val="000000"/>
                <w:sz w:val="24"/>
                <w:szCs w:val="24"/>
              </w:rPr>
            </w:pPr>
          </w:p>
        </w:tc>
        <w:tc>
          <w:tcPr>
            <w:tcW w:w="1773" w:type="dxa"/>
            <w:shd w:val="clear" w:color="auto" w:fill="auto"/>
          </w:tcPr>
          <w:p w:rsidR="00E14EBF" w:rsidRPr="009D0B3C" w:rsidRDefault="00E14EBF" w:rsidP="00E14EBF">
            <w:pPr>
              <w:spacing w:after="0" w:line="240" w:lineRule="auto"/>
              <w:jc w:val="right"/>
              <w:rPr>
                <w:rFonts w:ascii="Times New Roman" w:eastAsia="Times New Roman" w:hAnsi="Times New Roman"/>
                <w:b/>
                <w:color w:val="000000"/>
                <w:sz w:val="24"/>
                <w:szCs w:val="24"/>
                <w:lang w:eastAsia="lv-LV"/>
              </w:rPr>
            </w:pPr>
            <w:r w:rsidRPr="009D0B3C">
              <w:rPr>
                <w:rFonts w:ascii="Times New Roman" w:eastAsia="Times New Roman" w:hAnsi="Times New Roman"/>
                <w:b/>
                <w:color w:val="000000"/>
                <w:sz w:val="24"/>
                <w:szCs w:val="24"/>
                <w:lang w:eastAsia="lv-LV"/>
              </w:rPr>
              <w:t>Kopā</w:t>
            </w:r>
          </w:p>
        </w:tc>
        <w:tc>
          <w:tcPr>
            <w:tcW w:w="1736" w:type="dxa"/>
          </w:tcPr>
          <w:p w:rsidR="00E14EBF" w:rsidRDefault="00E14EBF" w:rsidP="00E14EBF">
            <w:pPr>
              <w:spacing w:after="0" w:line="240" w:lineRule="auto"/>
              <w:jc w:val="right"/>
              <w:rPr>
                <w:rFonts w:ascii="Times New Roman" w:eastAsia="Times New Roman" w:hAnsi="Times New Roman"/>
                <w:color w:val="000000"/>
                <w:sz w:val="24"/>
                <w:szCs w:val="24"/>
                <w:lang w:eastAsia="lv-LV"/>
              </w:rPr>
            </w:pPr>
            <w:r w:rsidRPr="00FF2FAC">
              <w:rPr>
                <w:rFonts w:ascii="Times New Roman" w:eastAsia="Times New Roman" w:hAnsi="Times New Roman"/>
                <w:color w:val="000000"/>
                <w:sz w:val="24"/>
                <w:szCs w:val="24"/>
                <w:lang w:eastAsia="lv-LV"/>
              </w:rPr>
              <w:t>143,8</w:t>
            </w:r>
            <w:r>
              <w:rPr>
                <w:rFonts w:ascii="Times New Roman" w:eastAsia="Times New Roman" w:hAnsi="Times New Roman"/>
                <w:color w:val="000000"/>
                <w:sz w:val="24"/>
                <w:szCs w:val="24"/>
                <w:lang w:eastAsia="lv-LV"/>
              </w:rPr>
              <w:t xml:space="preserve"> (204,61)</w:t>
            </w:r>
          </w:p>
        </w:tc>
      </w:tr>
      <w:tr w:rsidR="00E14EBF" w:rsidRPr="00FF2FAC" w:rsidTr="00E14EBF">
        <w:trPr>
          <w:trHeight w:val="265"/>
        </w:trPr>
        <w:tc>
          <w:tcPr>
            <w:tcW w:w="4352" w:type="dxa"/>
            <w:vMerge w:val="restart"/>
            <w:shd w:val="clear" w:color="auto" w:fill="auto"/>
          </w:tcPr>
          <w:p w:rsidR="00E14EBF" w:rsidRPr="00B479A5" w:rsidRDefault="00E14EBF" w:rsidP="00E14EBF">
            <w:pPr>
              <w:spacing w:after="0" w:line="240" w:lineRule="auto"/>
              <w:rPr>
                <w:rFonts w:ascii="Times New Roman" w:eastAsia="Times New Roman" w:hAnsi="Times New Roman"/>
                <w:b/>
                <w:color w:val="000000"/>
                <w:sz w:val="24"/>
                <w:szCs w:val="24"/>
                <w:lang w:eastAsia="lv-LV"/>
              </w:rPr>
            </w:pPr>
            <w:r w:rsidRPr="00B479A5">
              <w:rPr>
                <w:rFonts w:ascii="Times New Roman" w:eastAsia="Times New Roman" w:hAnsi="Times New Roman"/>
                <w:b/>
                <w:color w:val="000000"/>
                <w:sz w:val="24"/>
                <w:szCs w:val="24"/>
                <w:lang w:eastAsia="lv-LV"/>
              </w:rPr>
              <w:t>Daudzdzīvokļu ēku renovācija energoefektivitātes paaugstināšanai</w:t>
            </w:r>
          </w:p>
        </w:tc>
        <w:tc>
          <w:tcPr>
            <w:tcW w:w="1426" w:type="dxa"/>
            <w:vMerge w:val="restart"/>
          </w:tcPr>
          <w:p w:rsidR="00E14EBF" w:rsidRPr="007D0BDD" w:rsidRDefault="00E14EBF" w:rsidP="00E14EBF">
            <w:pPr>
              <w:spacing w:after="0" w:line="240" w:lineRule="auto"/>
              <w:jc w:val="both"/>
              <w:rPr>
                <w:rFonts w:ascii="Times New Roman" w:hAnsi="Times New Roman"/>
                <w:color w:val="000000"/>
                <w:sz w:val="24"/>
                <w:szCs w:val="24"/>
              </w:rPr>
            </w:pPr>
            <w:r w:rsidRPr="007D0BDD">
              <w:rPr>
                <w:rFonts w:ascii="Times New Roman" w:hAnsi="Times New Roman"/>
                <w:color w:val="000000"/>
                <w:sz w:val="24"/>
                <w:szCs w:val="24"/>
              </w:rPr>
              <w:t>71 </w:t>
            </w:r>
          </w:p>
        </w:tc>
        <w:tc>
          <w:tcPr>
            <w:tcW w:w="1773" w:type="dxa"/>
            <w:shd w:val="clear" w:color="auto" w:fill="auto"/>
          </w:tcPr>
          <w:p w:rsidR="00E14EBF" w:rsidRPr="00FF2FAC"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ERAF</w:t>
            </w:r>
          </w:p>
        </w:tc>
        <w:tc>
          <w:tcPr>
            <w:tcW w:w="1736" w:type="dxa"/>
          </w:tcPr>
          <w:p w:rsidR="00E14EBF" w:rsidRPr="00FF2FAC"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50 (71,14)</w:t>
            </w:r>
          </w:p>
        </w:tc>
      </w:tr>
      <w:tr w:rsidR="00E14EBF" w:rsidRPr="00FF2FAC" w:rsidTr="00E14EBF">
        <w:trPr>
          <w:trHeight w:val="276"/>
        </w:trPr>
        <w:tc>
          <w:tcPr>
            <w:tcW w:w="4352" w:type="dxa"/>
            <w:vMerge/>
            <w:shd w:val="clear" w:color="auto" w:fill="auto"/>
          </w:tcPr>
          <w:p w:rsidR="00E14EBF" w:rsidRPr="00FF2FAC" w:rsidRDefault="00E14EBF" w:rsidP="00E14EBF">
            <w:pPr>
              <w:spacing w:after="0" w:line="240" w:lineRule="auto"/>
              <w:rPr>
                <w:rFonts w:ascii="Times New Roman" w:eastAsia="Times New Roman" w:hAnsi="Times New Roman"/>
                <w:color w:val="000000"/>
                <w:sz w:val="24"/>
                <w:szCs w:val="24"/>
                <w:lang w:eastAsia="lv-LV"/>
              </w:rPr>
            </w:pPr>
          </w:p>
        </w:tc>
        <w:tc>
          <w:tcPr>
            <w:tcW w:w="1426" w:type="dxa"/>
            <w:vMerge/>
          </w:tcPr>
          <w:p w:rsidR="00E14EBF" w:rsidRPr="007D0BDD" w:rsidRDefault="00E14EBF" w:rsidP="00E14EBF">
            <w:pPr>
              <w:spacing w:after="0" w:line="240" w:lineRule="auto"/>
              <w:jc w:val="both"/>
              <w:rPr>
                <w:rFonts w:ascii="Times New Roman" w:hAnsi="Times New Roman"/>
                <w:color w:val="000000"/>
                <w:sz w:val="24"/>
                <w:szCs w:val="24"/>
              </w:rPr>
            </w:pPr>
          </w:p>
        </w:tc>
        <w:tc>
          <w:tcPr>
            <w:tcW w:w="1773" w:type="dxa"/>
            <w:shd w:val="clear" w:color="auto" w:fill="auto"/>
          </w:tcPr>
          <w:p w:rsidR="00E14EBF"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privātais līdzfinansējums</w:t>
            </w:r>
          </w:p>
        </w:tc>
        <w:tc>
          <w:tcPr>
            <w:tcW w:w="1736" w:type="dxa"/>
          </w:tcPr>
          <w:p w:rsidR="00E14EBF" w:rsidRPr="00FF2FAC" w:rsidRDefault="00E14EBF" w:rsidP="00E14EBF">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100 (142,29)</w:t>
            </w:r>
          </w:p>
        </w:tc>
      </w:tr>
      <w:tr w:rsidR="00E14EBF" w:rsidRPr="00FF2FAC" w:rsidTr="00E14EBF">
        <w:trPr>
          <w:trHeight w:val="276"/>
        </w:trPr>
        <w:tc>
          <w:tcPr>
            <w:tcW w:w="4352" w:type="dxa"/>
            <w:vMerge/>
            <w:shd w:val="clear" w:color="auto" w:fill="auto"/>
          </w:tcPr>
          <w:p w:rsidR="00E14EBF" w:rsidRPr="00FF2FAC" w:rsidRDefault="00E14EBF" w:rsidP="00E14EBF">
            <w:pPr>
              <w:spacing w:after="0" w:line="240" w:lineRule="auto"/>
              <w:rPr>
                <w:rFonts w:ascii="Times New Roman" w:eastAsia="Times New Roman" w:hAnsi="Times New Roman"/>
                <w:color w:val="000000"/>
                <w:sz w:val="24"/>
                <w:szCs w:val="24"/>
                <w:lang w:eastAsia="lv-LV"/>
              </w:rPr>
            </w:pPr>
          </w:p>
        </w:tc>
        <w:tc>
          <w:tcPr>
            <w:tcW w:w="1426" w:type="dxa"/>
            <w:vMerge/>
          </w:tcPr>
          <w:p w:rsidR="00E14EBF" w:rsidRPr="007D0BDD" w:rsidRDefault="00E14EBF" w:rsidP="00E14EBF">
            <w:pPr>
              <w:spacing w:after="0" w:line="240" w:lineRule="auto"/>
              <w:jc w:val="both"/>
              <w:rPr>
                <w:rFonts w:ascii="Times New Roman" w:hAnsi="Times New Roman"/>
                <w:color w:val="000000"/>
                <w:sz w:val="24"/>
                <w:szCs w:val="24"/>
              </w:rPr>
            </w:pPr>
          </w:p>
        </w:tc>
        <w:tc>
          <w:tcPr>
            <w:tcW w:w="1773" w:type="dxa"/>
            <w:shd w:val="clear" w:color="auto" w:fill="auto"/>
          </w:tcPr>
          <w:p w:rsidR="00E14EBF" w:rsidRPr="009D0B3C" w:rsidRDefault="00E14EBF" w:rsidP="00E14EBF">
            <w:pPr>
              <w:spacing w:after="0" w:line="240" w:lineRule="auto"/>
              <w:jc w:val="right"/>
              <w:rPr>
                <w:rFonts w:ascii="Times New Roman" w:eastAsia="Times New Roman" w:hAnsi="Times New Roman"/>
                <w:b/>
                <w:color w:val="000000"/>
                <w:sz w:val="24"/>
                <w:szCs w:val="24"/>
                <w:lang w:eastAsia="lv-LV"/>
              </w:rPr>
            </w:pPr>
            <w:r w:rsidRPr="009D0B3C">
              <w:rPr>
                <w:rFonts w:ascii="Times New Roman" w:eastAsia="Times New Roman" w:hAnsi="Times New Roman"/>
                <w:b/>
                <w:color w:val="000000"/>
                <w:sz w:val="24"/>
                <w:szCs w:val="24"/>
                <w:lang w:eastAsia="lv-LV"/>
              </w:rPr>
              <w:t xml:space="preserve">Kopā </w:t>
            </w:r>
          </w:p>
        </w:tc>
        <w:tc>
          <w:tcPr>
            <w:tcW w:w="1736" w:type="dxa"/>
          </w:tcPr>
          <w:p w:rsidR="00E14EBF" w:rsidRPr="00FF2FAC" w:rsidRDefault="00E14EBF" w:rsidP="00E14EBF">
            <w:pPr>
              <w:spacing w:after="0" w:line="240" w:lineRule="auto"/>
              <w:jc w:val="right"/>
              <w:rPr>
                <w:rFonts w:ascii="Times New Roman" w:eastAsia="Times New Roman" w:hAnsi="Times New Roman"/>
                <w:color w:val="000000"/>
                <w:sz w:val="24"/>
                <w:szCs w:val="24"/>
                <w:lang w:eastAsia="lv-LV"/>
              </w:rPr>
            </w:pPr>
            <w:r w:rsidRPr="00FF2FAC">
              <w:rPr>
                <w:rFonts w:ascii="Times New Roman" w:eastAsia="Times New Roman" w:hAnsi="Times New Roman"/>
                <w:color w:val="000000"/>
                <w:sz w:val="24"/>
                <w:szCs w:val="24"/>
                <w:lang w:eastAsia="lv-LV"/>
              </w:rPr>
              <w:t>150,0</w:t>
            </w:r>
            <w:r>
              <w:rPr>
                <w:rFonts w:ascii="Times New Roman" w:eastAsia="Times New Roman" w:hAnsi="Times New Roman"/>
                <w:color w:val="000000"/>
                <w:sz w:val="24"/>
                <w:szCs w:val="24"/>
                <w:lang w:eastAsia="lv-LV"/>
              </w:rPr>
              <w:t xml:space="preserve"> (213,43)</w:t>
            </w:r>
          </w:p>
        </w:tc>
      </w:tr>
      <w:tr w:rsidR="00E14EBF" w:rsidRPr="00FF2FAC" w:rsidTr="00E14EBF">
        <w:tc>
          <w:tcPr>
            <w:tcW w:w="4352" w:type="dxa"/>
            <w:shd w:val="clear" w:color="auto" w:fill="auto"/>
          </w:tcPr>
          <w:p w:rsidR="00E14EBF" w:rsidRPr="00FF2FAC" w:rsidRDefault="00E14EBF" w:rsidP="00E14EBF">
            <w:pPr>
              <w:spacing w:after="0" w:line="240" w:lineRule="auto"/>
              <w:ind w:firstLine="720"/>
              <w:jc w:val="right"/>
              <w:rPr>
                <w:rFonts w:ascii="Times New Roman" w:eastAsia="Times New Roman" w:hAnsi="Times New Roman"/>
                <w:b/>
                <w:color w:val="000000"/>
                <w:sz w:val="24"/>
                <w:szCs w:val="24"/>
                <w:lang w:eastAsia="lv-LV"/>
              </w:rPr>
            </w:pPr>
            <w:r w:rsidRPr="00FF2FAC">
              <w:rPr>
                <w:rFonts w:ascii="Times New Roman" w:eastAsia="Times New Roman" w:hAnsi="Times New Roman"/>
                <w:b/>
                <w:color w:val="000000"/>
                <w:sz w:val="24"/>
                <w:szCs w:val="24"/>
                <w:lang w:eastAsia="lv-LV"/>
              </w:rPr>
              <w:t>KOPĀ:</w:t>
            </w:r>
          </w:p>
        </w:tc>
        <w:tc>
          <w:tcPr>
            <w:tcW w:w="1426" w:type="dxa"/>
          </w:tcPr>
          <w:p w:rsidR="00E14EBF" w:rsidRPr="007D0BDD" w:rsidRDefault="00E14EBF" w:rsidP="00E14EBF">
            <w:pPr>
              <w:spacing w:after="0" w:line="240" w:lineRule="auto"/>
              <w:jc w:val="both"/>
              <w:rPr>
                <w:rFonts w:ascii="Times New Roman" w:hAnsi="Times New Roman"/>
                <w:color w:val="000000"/>
                <w:sz w:val="24"/>
                <w:szCs w:val="24"/>
              </w:rPr>
            </w:pPr>
            <w:r w:rsidRPr="007D0BDD">
              <w:rPr>
                <w:rFonts w:ascii="Times New Roman" w:hAnsi="Times New Roman"/>
                <w:color w:val="000000"/>
                <w:sz w:val="24"/>
                <w:szCs w:val="24"/>
              </w:rPr>
              <w:t xml:space="preserve">192 </w:t>
            </w:r>
          </w:p>
        </w:tc>
        <w:tc>
          <w:tcPr>
            <w:tcW w:w="1773" w:type="dxa"/>
            <w:shd w:val="clear" w:color="auto" w:fill="auto"/>
          </w:tcPr>
          <w:p w:rsidR="00E14EBF" w:rsidRPr="00FF2FAC" w:rsidRDefault="00E14EBF" w:rsidP="00E14EBF">
            <w:pPr>
              <w:spacing w:after="0" w:line="240" w:lineRule="auto"/>
              <w:jc w:val="right"/>
              <w:rPr>
                <w:rFonts w:ascii="Times New Roman" w:eastAsia="Times New Roman" w:hAnsi="Times New Roman"/>
                <w:b/>
                <w:color w:val="000000"/>
                <w:sz w:val="24"/>
                <w:szCs w:val="24"/>
                <w:lang w:eastAsia="lv-LV"/>
              </w:rPr>
            </w:pPr>
          </w:p>
        </w:tc>
        <w:tc>
          <w:tcPr>
            <w:tcW w:w="1736" w:type="dxa"/>
          </w:tcPr>
          <w:p w:rsidR="00E14EBF" w:rsidRPr="00FF2FAC" w:rsidRDefault="00E14EBF" w:rsidP="00E14EBF">
            <w:pPr>
              <w:spacing w:after="0" w:line="240" w:lineRule="auto"/>
              <w:jc w:val="right"/>
              <w:rPr>
                <w:rFonts w:ascii="Times New Roman" w:eastAsia="Times New Roman" w:hAnsi="Times New Roman"/>
                <w:b/>
                <w:color w:val="000000"/>
                <w:sz w:val="24"/>
                <w:szCs w:val="24"/>
                <w:lang w:eastAsia="lv-LV"/>
              </w:rPr>
            </w:pPr>
            <w:r w:rsidRPr="00FF2FAC">
              <w:rPr>
                <w:rFonts w:ascii="Times New Roman" w:eastAsia="Times New Roman" w:hAnsi="Times New Roman"/>
                <w:b/>
                <w:color w:val="000000"/>
                <w:sz w:val="24"/>
                <w:szCs w:val="24"/>
                <w:lang w:eastAsia="lv-LV"/>
              </w:rPr>
              <w:t>320,8</w:t>
            </w:r>
            <w:r>
              <w:rPr>
                <w:rFonts w:ascii="Times New Roman" w:eastAsia="Times New Roman" w:hAnsi="Times New Roman"/>
                <w:b/>
                <w:color w:val="000000"/>
                <w:sz w:val="24"/>
                <w:szCs w:val="24"/>
                <w:lang w:eastAsia="lv-LV"/>
              </w:rPr>
              <w:t xml:space="preserve"> (456,46)</w:t>
            </w:r>
          </w:p>
        </w:tc>
      </w:tr>
    </w:tbl>
    <w:p w:rsidR="00FA23D2" w:rsidRDefault="00E14EBF" w:rsidP="00633911">
      <w:pPr>
        <w:spacing w:after="0" w:line="240" w:lineRule="auto"/>
        <w:jc w:val="both"/>
        <w:rPr>
          <w:rFonts w:ascii="Times New Roman" w:eastAsia="Times New Roman" w:hAnsi="Times New Roman"/>
          <w:bCs/>
          <w:color w:val="000000"/>
          <w:sz w:val="28"/>
          <w:szCs w:val="28"/>
          <w:lang w:eastAsia="lv-LV"/>
        </w:rPr>
      </w:pPr>
      <w:r w:rsidRPr="00FF2FAC">
        <w:rPr>
          <w:rFonts w:ascii="Times New Roman" w:eastAsia="Times New Roman" w:hAnsi="Times New Roman"/>
          <w:color w:val="000000"/>
          <w:sz w:val="28"/>
          <w:szCs w:val="28"/>
          <w:lang w:eastAsia="lv-LV"/>
        </w:rPr>
        <w:tab/>
        <w:t>Kopumā alternatīvie pasākumi</w:t>
      </w:r>
      <w:r>
        <w:rPr>
          <w:rFonts w:ascii="Times New Roman" w:eastAsia="Times New Roman" w:hAnsi="Times New Roman"/>
          <w:color w:val="000000"/>
          <w:sz w:val="28"/>
          <w:szCs w:val="28"/>
          <w:lang w:eastAsia="lv-LV"/>
        </w:rPr>
        <w:t xml:space="preserve"> daļējai 1,5 % mērķa izpildei,</w:t>
      </w:r>
      <w:r w:rsidRPr="00FF2FAC">
        <w:rPr>
          <w:rFonts w:ascii="Times New Roman" w:eastAsia="Times New Roman" w:hAnsi="Times New Roman"/>
          <w:color w:val="000000"/>
          <w:sz w:val="28"/>
          <w:szCs w:val="28"/>
          <w:lang w:eastAsia="lv-LV"/>
        </w:rPr>
        <w:t xml:space="preserve"> izmaksātu 320,8 </w:t>
      </w:r>
      <w:proofErr w:type="spellStart"/>
      <w:r w:rsidRPr="00FF2FAC">
        <w:rPr>
          <w:rFonts w:ascii="Times New Roman" w:eastAsia="Times New Roman" w:hAnsi="Times New Roman"/>
          <w:color w:val="000000"/>
          <w:sz w:val="28"/>
          <w:szCs w:val="28"/>
          <w:lang w:eastAsia="lv-LV"/>
        </w:rPr>
        <w:t>milj</w:t>
      </w:r>
      <w:proofErr w:type="spellEnd"/>
      <w:r w:rsidRPr="00FF2FAC">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 xml:space="preserve"> LVL </w:t>
      </w:r>
      <w:r w:rsidRPr="004A579E">
        <w:rPr>
          <w:rFonts w:ascii="Times New Roman" w:eastAsia="Times New Roman" w:hAnsi="Times New Roman"/>
          <w:color w:val="000000"/>
          <w:sz w:val="28"/>
          <w:szCs w:val="28"/>
          <w:lang w:eastAsia="lv-LV"/>
        </w:rPr>
        <w:t>(</w:t>
      </w:r>
      <w:r w:rsidRPr="009E432D">
        <w:rPr>
          <w:rFonts w:ascii="Times New Roman" w:eastAsia="Times New Roman" w:hAnsi="Times New Roman"/>
          <w:color w:val="000000"/>
          <w:sz w:val="28"/>
          <w:szCs w:val="28"/>
          <w:lang w:eastAsia="lv-LV"/>
        </w:rPr>
        <w:t>456 457 276,85 EUR).</w:t>
      </w:r>
      <w:r w:rsidRPr="00FF2FAC">
        <w:rPr>
          <w:rFonts w:ascii="Times New Roman" w:eastAsia="Times New Roman" w:hAnsi="Times New Roman"/>
          <w:color w:val="000000"/>
          <w:sz w:val="28"/>
          <w:szCs w:val="28"/>
          <w:lang w:eastAsia="lv-LV"/>
        </w:rPr>
        <w:t xml:space="preserve"> Plānotais enerģijas ietaupījums ES </w:t>
      </w:r>
      <w:r w:rsidRPr="00FF2FAC">
        <w:rPr>
          <w:rFonts w:ascii="Times New Roman" w:eastAsia="Times New Roman" w:hAnsi="Times New Roman"/>
          <w:color w:val="000000"/>
          <w:sz w:val="28"/>
          <w:szCs w:val="28"/>
          <w:lang w:eastAsia="lv-LV"/>
        </w:rPr>
        <w:lastRenderedPageBreak/>
        <w:t xml:space="preserve">fondu programmu ieviešanas rezultātā ēku renovācijā ir </w:t>
      </w:r>
      <w:r w:rsidR="00540A50">
        <w:rPr>
          <w:rFonts w:ascii="Times New Roman" w:eastAsia="Times New Roman" w:hAnsi="Times New Roman"/>
          <w:color w:val="000000"/>
          <w:sz w:val="28"/>
          <w:szCs w:val="28"/>
          <w:lang w:eastAsia="lv-LV"/>
        </w:rPr>
        <w:t>662</w:t>
      </w:r>
      <w:r w:rsidRPr="00FF2FAC">
        <w:rPr>
          <w:rFonts w:ascii="Times New Roman" w:eastAsia="Times New Roman" w:hAnsi="Times New Roman"/>
          <w:color w:val="000000"/>
          <w:sz w:val="28"/>
          <w:szCs w:val="28"/>
          <w:lang w:eastAsia="lv-LV"/>
        </w:rPr>
        <w:t xml:space="preserve"> </w:t>
      </w:r>
      <w:r w:rsidR="00540A50">
        <w:rPr>
          <w:rFonts w:ascii="Times New Roman" w:eastAsia="Times New Roman" w:hAnsi="Times New Roman"/>
          <w:color w:val="000000"/>
          <w:sz w:val="28"/>
          <w:szCs w:val="28"/>
          <w:lang w:eastAsia="lv-LV"/>
        </w:rPr>
        <w:t xml:space="preserve">000 </w:t>
      </w:r>
      <w:proofErr w:type="spellStart"/>
      <w:r w:rsidR="00540A50">
        <w:rPr>
          <w:rFonts w:ascii="Times New Roman" w:eastAsia="Times New Roman" w:hAnsi="Times New Roman"/>
          <w:color w:val="000000"/>
          <w:sz w:val="28"/>
          <w:szCs w:val="28"/>
          <w:lang w:eastAsia="lv-LV"/>
        </w:rPr>
        <w:t>MWh</w:t>
      </w:r>
      <w:proofErr w:type="spellEnd"/>
      <w:r w:rsidR="00540A50">
        <w:rPr>
          <w:rFonts w:ascii="Times New Roman" w:eastAsia="Times New Roman" w:hAnsi="Times New Roman"/>
          <w:color w:val="000000"/>
          <w:sz w:val="28"/>
          <w:szCs w:val="28"/>
          <w:lang w:eastAsia="lv-LV"/>
        </w:rPr>
        <w:t>, jeb 0,041</w:t>
      </w:r>
      <w:r w:rsidRPr="00FF2FAC">
        <w:rPr>
          <w:rFonts w:ascii="Times New Roman" w:eastAsia="Times New Roman" w:hAnsi="Times New Roman"/>
          <w:color w:val="000000"/>
          <w:sz w:val="28"/>
          <w:szCs w:val="28"/>
          <w:lang w:eastAsia="lv-LV"/>
        </w:rPr>
        <w:t xml:space="preserve"> </w:t>
      </w:r>
      <w:proofErr w:type="spellStart"/>
      <w:r w:rsidRPr="00FF2FAC">
        <w:rPr>
          <w:rFonts w:ascii="Times New Roman" w:eastAsia="Times New Roman" w:hAnsi="Times New Roman"/>
          <w:color w:val="000000"/>
          <w:sz w:val="28"/>
          <w:szCs w:val="28"/>
          <w:lang w:eastAsia="lv-LV"/>
        </w:rPr>
        <w:t>Mtoe</w:t>
      </w:r>
      <w:proofErr w:type="spellEnd"/>
      <w:r w:rsidRPr="00FF2FAC">
        <w:rPr>
          <w:rFonts w:ascii="Times New Roman" w:eastAsia="Times New Roman" w:hAnsi="Times New Roman"/>
          <w:color w:val="000000"/>
          <w:sz w:val="28"/>
          <w:szCs w:val="28"/>
          <w:lang w:eastAsia="lv-LV"/>
        </w:rPr>
        <w:t xml:space="preserve">, kas ir </w:t>
      </w:r>
      <w:r w:rsidR="00540A50">
        <w:rPr>
          <w:rFonts w:ascii="Times New Roman" w:eastAsia="Times New Roman" w:hAnsi="Times New Roman"/>
          <w:color w:val="000000"/>
          <w:sz w:val="28"/>
          <w:szCs w:val="28"/>
          <w:lang w:eastAsia="lv-LV"/>
        </w:rPr>
        <w:t>19</w:t>
      </w:r>
      <w:r w:rsidRPr="00FF2FAC">
        <w:rPr>
          <w:rFonts w:ascii="Times New Roman" w:eastAsia="Times New Roman" w:hAnsi="Times New Roman"/>
          <w:color w:val="000000"/>
          <w:sz w:val="28"/>
          <w:szCs w:val="28"/>
          <w:lang w:eastAsia="lv-LV"/>
        </w:rPr>
        <w:t xml:space="preserve"> % no aprēķinātā obligātā mērķa. Līdzīgi kā 1.</w:t>
      </w:r>
      <w:r w:rsidR="00F47B8C">
        <w:rPr>
          <w:rFonts w:ascii="Times New Roman" w:eastAsia="Times New Roman" w:hAnsi="Times New Roman"/>
          <w:color w:val="000000"/>
          <w:sz w:val="28"/>
          <w:szCs w:val="28"/>
          <w:lang w:eastAsia="lv-LV"/>
        </w:rPr>
        <w:t> </w:t>
      </w:r>
      <w:r w:rsidRPr="00FF2FAC">
        <w:rPr>
          <w:rFonts w:ascii="Times New Roman" w:eastAsia="Times New Roman" w:hAnsi="Times New Roman"/>
          <w:color w:val="000000"/>
          <w:sz w:val="28"/>
          <w:szCs w:val="28"/>
          <w:lang w:eastAsia="lv-LV"/>
        </w:rPr>
        <w:t xml:space="preserve">variantā, </w:t>
      </w:r>
      <w:r>
        <w:rPr>
          <w:rFonts w:ascii="Times New Roman" w:eastAsia="Times New Roman" w:hAnsi="Times New Roman"/>
          <w:bCs/>
          <w:color w:val="000000"/>
          <w:sz w:val="28"/>
          <w:szCs w:val="28"/>
          <w:lang w:eastAsia="lv-LV"/>
        </w:rPr>
        <w:t>nepieciešams finansējums</w:t>
      </w:r>
      <w:r w:rsidRPr="00FF2FAC">
        <w:rPr>
          <w:rFonts w:ascii="Times New Roman" w:eastAsia="Times New Roman" w:hAnsi="Times New Roman"/>
          <w:bCs/>
          <w:color w:val="000000"/>
          <w:sz w:val="28"/>
          <w:szCs w:val="28"/>
          <w:lang w:eastAsia="lv-LV"/>
        </w:rPr>
        <w:t xml:space="preserve"> EPS administrēšanai</w:t>
      </w:r>
      <w:r>
        <w:rPr>
          <w:rFonts w:ascii="Times New Roman" w:eastAsia="Times New Roman" w:hAnsi="Times New Roman"/>
          <w:bCs/>
          <w:color w:val="000000"/>
          <w:sz w:val="28"/>
          <w:szCs w:val="28"/>
          <w:lang w:eastAsia="lv-LV"/>
        </w:rPr>
        <w:t>.</w:t>
      </w:r>
      <w:r w:rsidRPr="00FF2FAC">
        <w:rPr>
          <w:rFonts w:ascii="Times New Roman" w:eastAsia="Times New Roman" w:hAnsi="Times New Roman"/>
          <w:bCs/>
          <w:color w:val="000000"/>
          <w:sz w:val="28"/>
          <w:szCs w:val="28"/>
          <w:lang w:eastAsia="lv-LV"/>
        </w:rPr>
        <w:t xml:space="preserve"> </w:t>
      </w:r>
    </w:p>
    <w:p w:rsidR="00CE3801" w:rsidRDefault="00AE6959" w:rsidP="00272AE2">
      <w:pPr>
        <w:spacing w:after="0" w:line="240" w:lineRule="auto"/>
        <w:ind w:firstLine="720"/>
        <w:jc w:val="both"/>
        <w:rPr>
          <w:rFonts w:ascii="Times New Roman" w:hAnsi="Times New Roman"/>
          <w:bCs/>
          <w:color w:val="000000"/>
          <w:sz w:val="28"/>
          <w:szCs w:val="28"/>
          <w:lang w:eastAsia="lv-LV"/>
        </w:rPr>
      </w:pPr>
      <w:r w:rsidRPr="00D721A7">
        <w:rPr>
          <w:rFonts w:ascii="Times New Roman" w:hAnsi="Times New Roman"/>
          <w:bCs/>
          <w:color w:val="000000"/>
          <w:sz w:val="28"/>
          <w:szCs w:val="28"/>
          <w:lang w:eastAsia="lv-LV"/>
        </w:rPr>
        <w:t>Arī 2. varianta ietekme uz enerģijas tarifiem novērtējama tikai indikatīvi</w:t>
      </w:r>
      <w:r w:rsidR="00913722" w:rsidRPr="00D721A7">
        <w:rPr>
          <w:rFonts w:ascii="Times New Roman" w:hAnsi="Times New Roman"/>
          <w:bCs/>
          <w:color w:val="000000"/>
          <w:sz w:val="28"/>
          <w:szCs w:val="28"/>
          <w:lang w:eastAsia="lv-LV"/>
        </w:rPr>
        <w:t>. Alternatīvie pasākumi var samazināt EPS daļu obligātā mērķa sasniegšanā l</w:t>
      </w:r>
      <w:r w:rsidR="00540A50">
        <w:rPr>
          <w:rFonts w:ascii="Times New Roman" w:hAnsi="Times New Roman"/>
          <w:bCs/>
          <w:color w:val="000000"/>
          <w:sz w:val="28"/>
          <w:szCs w:val="28"/>
          <w:lang w:eastAsia="lv-LV"/>
        </w:rPr>
        <w:t>īdz 81</w:t>
      </w:r>
      <w:r w:rsidR="00777C7F" w:rsidRPr="00D721A7">
        <w:rPr>
          <w:rFonts w:ascii="Times New Roman" w:hAnsi="Times New Roman"/>
          <w:bCs/>
          <w:color w:val="000000"/>
          <w:sz w:val="28"/>
          <w:szCs w:val="28"/>
          <w:lang w:eastAsia="lv-LV"/>
        </w:rPr>
        <w:t xml:space="preserve"> %, kā rezultātā e</w:t>
      </w:r>
      <w:r w:rsidRPr="00D721A7">
        <w:rPr>
          <w:rFonts w:ascii="Times New Roman" w:hAnsi="Times New Roman"/>
          <w:bCs/>
          <w:color w:val="000000"/>
          <w:sz w:val="28"/>
          <w:szCs w:val="28"/>
          <w:lang w:eastAsia="lv-LV"/>
        </w:rPr>
        <w:t xml:space="preserve">nerģijas realizācijas gala tarifs varētu palielināties līdz </w:t>
      </w:r>
      <w:r w:rsidR="00913722" w:rsidRPr="00D721A7">
        <w:rPr>
          <w:rFonts w:ascii="Times New Roman" w:hAnsi="Times New Roman"/>
          <w:bCs/>
          <w:color w:val="000000"/>
          <w:sz w:val="28"/>
          <w:szCs w:val="28"/>
          <w:lang w:eastAsia="lv-LV"/>
        </w:rPr>
        <w:t>0,8</w:t>
      </w:r>
      <w:r w:rsidRPr="00D721A7">
        <w:rPr>
          <w:rFonts w:ascii="Times New Roman" w:hAnsi="Times New Roman"/>
          <w:bCs/>
          <w:color w:val="000000"/>
          <w:sz w:val="28"/>
          <w:szCs w:val="28"/>
          <w:lang w:eastAsia="lv-LV"/>
        </w:rPr>
        <w:t xml:space="preserve"> % elektroenerģijas un dabas gāzes patērētājiem, </w:t>
      </w:r>
      <w:r w:rsidR="00352802" w:rsidRPr="00D721A7">
        <w:rPr>
          <w:rFonts w:ascii="Times New Roman" w:hAnsi="Times New Roman"/>
          <w:bCs/>
          <w:color w:val="000000"/>
          <w:sz w:val="28"/>
          <w:szCs w:val="28"/>
          <w:lang w:eastAsia="lv-LV"/>
        </w:rPr>
        <w:t>un</w:t>
      </w:r>
      <w:r w:rsidRPr="00D721A7">
        <w:rPr>
          <w:rFonts w:ascii="Times New Roman" w:hAnsi="Times New Roman"/>
          <w:bCs/>
          <w:color w:val="000000"/>
          <w:sz w:val="28"/>
          <w:szCs w:val="28"/>
          <w:lang w:eastAsia="lv-LV"/>
        </w:rPr>
        <w:t xml:space="preserve"> līdz </w:t>
      </w:r>
      <w:r w:rsidR="00913722" w:rsidRPr="00D721A7">
        <w:rPr>
          <w:rFonts w:ascii="Times New Roman" w:hAnsi="Times New Roman"/>
          <w:bCs/>
          <w:color w:val="000000"/>
          <w:sz w:val="28"/>
          <w:szCs w:val="28"/>
          <w:lang w:eastAsia="lv-LV"/>
        </w:rPr>
        <w:t>2,8</w:t>
      </w:r>
      <w:r w:rsidRPr="00D721A7">
        <w:rPr>
          <w:rFonts w:ascii="Times New Roman" w:hAnsi="Times New Roman"/>
          <w:bCs/>
          <w:color w:val="000000"/>
          <w:sz w:val="28"/>
          <w:szCs w:val="28"/>
          <w:lang w:eastAsia="lv-LV"/>
        </w:rPr>
        <w:t> % centralizētās siltumenerģijas patērētājiem, kas ir mazāk nekā īstenojot 1. variantu.</w:t>
      </w:r>
      <w:r w:rsidR="00CE3801">
        <w:rPr>
          <w:rFonts w:ascii="Times New Roman" w:hAnsi="Times New Roman"/>
          <w:bCs/>
          <w:color w:val="000000"/>
          <w:sz w:val="28"/>
          <w:szCs w:val="28"/>
          <w:lang w:eastAsia="lv-LV"/>
        </w:rPr>
        <w:t xml:space="preserve"> </w:t>
      </w:r>
    </w:p>
    <w:p w:rsidR="00E14EBF" w:rsidRDefault="00E14EBF" w:rsidP="00272AE2">
      <w:pPr>
        <w:spacing w:after="0" w:line="240" w:lineRule="auto"/>
        <w:ind w:firstLine="720"/>
        <w:jc w:val="both"/>
        <w:rPr>
          <w:rFonts w:ascii="Times New Roman" w:eastAsia="Times New Roman" w:hAnsi="Times New Roman"/>
          <w:bCs/>
          <w:color w:val="000000"/>
          <w:sz w:val="28"/>
          <w:szCs w:val="28"/>
          <w:lang w:eastAsia="lv-LV"/>
        </w:rPr>
      </w:pPr>
      <w:r>
        <w:rPr>
          <w:rFonts w:ascii="Times New Roman" w:eastAsia="Times New Roman" w:hAnsi="Times New Roman"/>
          <w:sz w:val="28"/>
          <w:szCs w:val="28"/>
          <w:lang w:eastAsia="lv-LV"/>
        </w:rPr>
        <w:t>Pieņēmumi par pienākumu sadali izdarīti tikai 1. un 2. risinājuma varianta ietekmes uz tarifiem salīdzinošai novērtēšanai. Precīzā pienākumu sadale EPS ietvaros tiks noteikta atkarībā no veidojamās Latvijas EPS kopējās uzbūves, kas ietver savstarpēji saskaņotu</w:t>
      </w:r>
      <w:r w:rsidR="00562E0B">
        <w:rPr>
          <w:rFonts w:ascii="Times New Roman" w:eastAsia="Times New Roman" w:hAnsi="Times New Roman"/>
          <w:sz w:val="28"/>
          <w:szCs w:val="28"/>
          <w:lang w:eastAsia="lv-LV"/>
        </w:rPr>
        <w:t xml:space="preserve"> nosacījumu un elementu kopumu.</w:t>
      </w:r>
    </w:p>
    <w:p w:rsidR="00DF574D" w:rsidRDefault="00DF574D" w:rsidP="00B479A5">
      <w:pPr>
        <w:spacing w:after="0" w:line="240" w:lineRule="auto"/>
        <w:ind w:firstLine="720"/>
        <w:jc w:val="right"/>
        <w:rPr>
          <w:rFonts w:ascii="Times New Roman" w:eastAsia="Times New Roman" w:hAnsi="Times New Roman"/>
          <w:b/>
          <w:bCs/>
          <w:color w:val="000000"/>
          <w:sz w:val="24"/>
          <w:szCs w:val="24"/>
          <w:lang w:eastAsia="lv-LV"/>
        </w:rPr>
      </w:pPr>
    </w:p>
    <w:p w:rsidR="00E14EBF" w:rsidRDefault="00E14EBF" w:rsidP="00E14EBF">
      <w:pPr>
        <w:spacing w:after="0" w:line="240" w:lineRule="auto"/>
        <w:ind w:firstLine="720"/>
        <w:jc w:val="both"/>
        <w:rPr>
          <w:rFonts w:ascii="Times New Roman" w:eastAsia="Times New Roman" w:hAnsi="Times New Roman"/>
          <w:bCs/>
          <w:color w:val="000000"/>
          <w:sz w:val="28"/>
          <w:szCs w:val="28"/>
          <w:lang w:eastAsia="lv-LV"/>
        </w:rPr>
      </w:pPr>
      <w:r>
        <w:rPr>
          <w:rFonts w:ascii="Times New Roman" w:eastAsia="Times New Roman" w:hAnsi="Times New Roman"/>
          <w:bCs/>
          <w:color w:val="000000"/>
          <w:sz w:val="28"/>
          <w:szCs w:val="28"/>
          <w:lang w:eastAsia="lv-LV"/>
        </w:rPr>
        <w:t xml:space="preserve">Iztrūkstošās obligātā energoefektivitātes mērķa daļas sasniegšanai kā alternatīvais pasākums var tikt apsvērta  brīvprātīgo līgumu slēgšana ar pašvaldībām un rūpniecības un būvniecības sektoru par </w:t>
      </w:r>
      <w:proofErr w:type="spellStart"/>
      <w:r>
        <w:rPr>
          <w:rFonts w:ascii="Times New Roman" w:eastAsia="Times New Roman" w:hAnsi="Times New Roman"/>
          <w:bCs/>
          <w:color w:val="000000"/>
          <w:sz w:val="28"/>
          <w:szCs w:val="28"/>
          <w:lang w:eastAsia="lv-LV"/>
        </w:rPr>
        <w:t>energotaupības</w:t>
      </w:r>
      <w:proofErr w:type="spellEnd"/>
      <w:r>
        <w:rPr>
          <w:rFonts w:ascii="Times New Roman" w:eastAsia="Times New Roman" w:hAnsi="Times New Roman"/>
          <w:bCs/>
          <w:color w:val="000000"/>
          <w:sz w:val="28"/>
          <w:szCs w:val="28"/>
          <w:lang w:eastAsia="lv-LV"/>
        </w:rPr>
        <w:t xml:space="preserve"> pasākumiem, it īpaši ar tām pašvaldībām, kuras jau ir pievienojušās Pilsētu mēru paktam un kur tiek izstrādāti enerģijas rīcības plāni līdz 2020. gadam, kā arī kādi no alternatīvajiem pasākumiem, kas tiek izvērtēti 3.</w:t>
      </w:r>
      <w:r w:rsidR="009C40DD">
        <w:rPr>
          <w:rFonts w:ascii="Times New Roman" w:eastAsia="Times New Roman" w:hAnsi="Times New Roman"/>
          <w:bCs/>
          <w:color w:val="000000"/>
          <w:sz w:val="28"/>
          <w:szCs w:val="28"/>
          <w:lang w:eastAsia="lv-LV"/>
        </w:rPr>
        <w:t> </w:t>
      </w:r>
      <w:r>
        <w:rPr>
          <w:rFonts w:ascii="Times New Roman" w:eastAsia="Times New Roman" w:hAnsi="Times New Roman"/>
          <w:bCs/>
          <w:color w:val="000000"/>
          <w:sz w:val="28"/>
          <w:szCs w:val="28"/>
          <w:lang w:eastAsia="lv-LV"/>
        </w:rPr>
        <w:t>variantā.</w:t>
      </w:r>
    </w:p>
    <w:p w:rsidR="00E14EBF" w:rsidRPr="007A2739" w:rsidRDefault="00E14EBF" w:rsidP="00E14EBF">
      <w:pPr>
        <w:spacing w:after="0" w:line="240" w:lineRule="auto"/>
        <w:ind w:firstLine="720"/>
        <w:jc w:val="both"/>
        <w:rPr>
          <w:rFonts w:ascii="Times New Roman" w:eastAsia="Times New Roman" w:hAnsi="Times New Roman"/>
          <w:bCs/>
          <w:color w:val="000000"/>
          <w:sz w:val="28"/>
          <w:szCs w:val="28"/>
          <w:lang w:eastAsia="lv-LV"/>
        </w:rPr>
      </w:pPr>
    </w:p>
    <w:p w:rsidR="00E14EBF" w:rsidRPr="00FF2FAC" w:rsidRDefault="00E14EBF" w:rsidP="00E14EBF">
      <w:pPr>
        <w:spacing w:after="240" w:line="240" w:lineRule="auto"/>
        <w:jc w:val="both"/>
        <w:rPr>
          <w:rFonts w:ascii="Times New Roman" w:eastAsia="Times New Roman" w:hAnsi="Times New Roman"/>
          <w:b/>
          <w:color w:val="000000"/>
          <w:sz w:val="28"/>
          <w:szCs w:val="28"/>
          <w:lang w:eastAsia="lv-LV"/>
        </w:rPr>
      </w:pPr>
      <w:r w:rsidRPr="00FF2FAC">
        <w:rPr>
          <w:rFonts w:ascii="Times New Roman" w:eastAsia="Times New Roman" w:hAnsi="Times New Roman"/>
          <w:b/>
          <w:color w:val="000000"/>
          <w:sz w:val="28"/>
          <w:szCs w:val="28"/>
          <w:lang w:eastAsia="lv-LV"/>
        </w:rPr>
        <w:t>3. variants – Tikai alternatīvie pasākumi</w:t>
      </w:r>
    </w:p>
    <w:p w:rsidR="00E14EBF" w:rsidRPr="00FF2FAC" w:rsidRDefault="00E14EBF" w:rsidP="00272AE2">
      <w:p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ab/>
        <w:t>Kā alternatīvos pasākumus papildus iepriekš minētajām ES fondu  programmām var vērtēt šādus:</w:t>
      </w:r>
    </w:p>
    <w:p w:rsidR="00E14EBF" w:rsidRPr="00FF2FAC" w:rsidRDefault="00E14EBF" w:rsidP="00272AE2">
      <w:pPr>
        <w:spacing w:after="0" w:line="240" w:lineRule="auto"/>
        <w:jc w:val="both"/>
        <w:rPr>
          <w:rFonts w:ascii="Times New Roman" w:eastAsia="Times New Roman" w:hAnsi="Times New Roman"/>
          <w:color w:val="000000"/>
          <w:sz w:val="28"/>
          <w:szCs w:val="28"/>
          <w:u w:val="single"/>
          <w:lang w:eastAsia="lv-LV"/>
        </w:rPr>
      </w:pPr>
      <w:r w:rsidRPr="00B06FBD">
        <w:rPr>
          <w:rFonts w:ascii="Times New Roman" w:eastAsia="Times New Roman" w:hAnsi="Times New Roman"/>
          <w:color w:val="000000"/>
          <w:sz w:val="28"/>
          <w:szCs w:val="28"/>
          <w:lang w:eastAsia="lv-LV"/>
        </w:rPr>
        <w:tab/>
      </w:r>
      <w:r w:rsidRPr="00FF2FAC">
        <w:rPr>
          <w:rFonts w:ascii="Times New Roman" w:eastAsia="Times New Roman" w:hAnsi="Times New Roman"/>
          <w:color w:val="000000"/>
          <w:sz w:val="28"/>
          <w:szCs w:val="28"/>
          <w:u w:val="single"/>
          <w:lang w:eastAsia="lv-LV"/>
        </w:rPr>
        <w:t>1) enerģijas vai dabas resursu nodokļa paaugstināšana, kuras rezultātā samazinās gala enerģijas patēriņš;</w:t>
      </w:r>
    </w:p>
    <w:p w:rsidR="00E14EBF" w:rsidRPr="00FF2FAC" w:rsidRDefault="00E14EBF" w:rsidP="00272AE2">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Pašlaik elektroenerģijas nodokļa likme ir 0,71 LVL/</w:t>
      </w:r>
      <w:proofErr w:type="spellStart"/>
      <w:r w:rsidRPr="00FF2FAC">
        <w:rPr>
          <w:rFonts w:ascii="Times New Roman" w:eastAsia="Times New Roman" w:hAnsi="Times New Roman"/>
          <w:color w:val="000000"/>
          <w:sz w:val="28"/>
          <w:szCs w:val="28"/>
          <w:lang w:eastAsia="lv-LV"/>
        </w:rPr>
        <w:t>MWh</w:t>
      </w:r>
      <w:proofErr w:type="spellEnd"/>
      <w:r>
        <w:rPr>
          <w:rFonts w:ascii="Times New Roman" w:eastAsia="Times New Roman" w:hAnsi="Times New Roman"/>
          <w:color w:val="000000"/>
          <w:sz w:val="28"/>
          <w:szCs w:val="28"/>
          <w:lang w:eastAsia="lv-LV"/>
        </w:rPr>
        <w:t xml:space="preserve"> (1,01 EUR)</w:t>
      </w:r>
      <w:r w:rsidRPr="00FF2FAC">
        <w:rPr>
          <w:rFonts w:ascii="Times New Roman" w:eastAsia="Times New Roman" w:hAnsi="Times New Roman"/>
          <w:color w:val="000000"/>
          <w:sz w:val="28"/>
          <w:szCs w:val="28"/>
          <w:lang w:eastAsia="lv-LV"/>
        </w:rPr>
        <w:t>. Elektroenerģijas nodokļa maksātāji</w:t>
      </w:r>
      <w:r w:rsidR="00562E0B">
        <w:rPr>
          <w:rFonts w:ascii="Times New Roman" w:eastAsia="Times New Roman" w:hAnsi="Times New Roman"/>
          <w:color w:val="000000"/>
          <w:sz w:val="28"/>
          <w:szCs w:val="28"/>
          <w:lang w:eastAsia="lv-LV"/>
        </w:rPr>
        <w:t xml:space="preserve"> </w:t>
      </w:r>
      <w:r w:rsidRPr="00FF2FAC">
        <w:rPr>
          <w:rFonts w:ascii="Times New Roman" w:eastAsia="Times New Roman" w:hAnsi="Times New Roman"/>
          <w:color w:val="000000"/>
          <w:sz w:val="28"/>
          <w:szCs w:val="28"/>
          <w:lang w:eastAsia="lv-LV"/>
        </w:rPr>
        <w:t xml:space="preserve">ir juridiskās personas, kuras saskaņā ar Elektroenerģijas tirgus likumu var nodarboties ar elektroenerģijas tirdzniecību. „Elektroenerģijas nodokļa likums” (stājies spēkā 01.01.2007.) nosaka kārtību, kādā elektroenerģiju apliek ar elektroenerģijas nodokli Latvijas Republikā. Likums attiecas uz personām, kas veic elektroenerģijas ražošanu, sadali, piegādi, tirdzniecību un citas darbības ar elektroenerģiju. </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No nodokļa atbrīvota elektroenerģija, kura iegūta no atjaunojamajiem energoresursiem (biomasas, saules, vēja enerģijas, hidroelektrostacijās) un koģenerācijas elektrostacijās, kas atbilst normatīvajos aktos par elektroenerģijas ražošanu koģenerācijas procesā noteiktajiem efektivitātes kritērijiem.</w:t>
      </w:r>
    </w:p>
    <w:p w:rsidR="00E14EBF"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Tāpat no nodokļa</w:t>
      </w:r>
      <w:r w:rsidR="00562E0B">
        <w:rPr>
          <w:rFonts w:ascii="Times New Roman" w:eastAsia="Times New Roman" w:hAnsi="Times New Roman"/>
          <w:color w:val="000000"/>
          <w:sz w:val="28"/>
          <w:szCs w:val="28"/>
          <w:lang w:eastAsia="lv-LV"/>
        </w:rPr>
        <w:t xml:space="preserve"> </w:t>
      </w:r>
      <w:r w:rsidRPr="00FF2FAC">
        <w:rPr>
          <w:rFonts w:ascii="Times New Roman" w:eastAsia="Times New Roman" w:hAnsi="Times New Roman"/>
          <w:color w:val="000000"/>
          <w:sz w:val="28"/>
          <w:szCs w:val="28"/>
          <w:lang w:eastAsia="lv-LV"/>
        </w:rPr>
        <w:t>ir atbrīvota elektroenerģija, kuru izmanto mājsaimniecību lietotāji (iedzīvotāji), kā arī elektroenerģija, kas tiek izmantota preču pārvadājumiem un sabiedriskajiem pasažieru pārvadājumiem. Savukārt elektroenerģijai, kuru piegādā komersantiem ielu apgaismošanas pakalpojumu sniegšanai, piemēro nodokļa atvieglojumu un nodokli aprēķinās pēc likmes - 0 latu par megavatstundu.</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2E2130">
        <w:rPr>
          <w:rFonts w:ascii="Times New Roman" w:eastAsia="Times New Roman" w:hAnsi="Times New Roman"/>
          <w:color w:val="000000"/>
          <w:sz w:val="28"/>
          <w:szCs w:val="28"/>
          <w:lang w:eastAsia="lv-LV"/>
        </w:rPr>
        <w:lastRenderedPageBreak/>
        <w:t>Vēl kā enerģijas ietaupījumus no alternatīviem pasākumiem var minēt tādu enerģijas ietaupījumu, kas gūts, piemērojot nodokļu pasākumus</w:t>
      </w:r>
      <w:r>
        <w:rPr>
          <w:rFonts w:ascii="Times New Roman" w:eastAsia="Times New Roman" w:hAnsi="Times New Roman"/>
          <w:color w:val="000000"/>
          <w:sz w:val="28"/>
          <w:szCs w:val="28"/>
          <w:lang w:eastAsia="lv-LV"/>
        </w:rPr>
        <w:t xml:space="preserve">, kuri pārsniedz minimālo nodokļu līmeni, ko piemēro kurināmajam atbilstoši Padomes Direktīvai 2003/96/EK (2003. gada 27. oktobris), kas pārkārto Kopienas noteikumus par nodokļu uzlikšanu </w:t>
      </w:r>
      <w:proofErr w:type="spellStart"/>
      <w:r>
        <w:rPr>
          <w:rFonts w:ascii="Times New Roman" w:eastAsia="Times New Roman" w:hAnsi="Times New Roman"/>
          <w:color w:val="000000"/>
          <w:sz w:val="28"/>
          <w:szCs w:val="28"/>
          <w:lang w:eastAsia="lv-LV"/>
        </w:rPr>
        <w:t>energoproduktiem</w:t>
      </w:r>
      <w:proofErr w:type="spellEnd"/>
      <w:r>
        <w:rPr>
          <w:rFonts w:ascii="Times New Roman" w:eastAsia="Times New Roman" w:hAnsi="Times New Roman"/>
          <w:color w:val="000000"/>
          <w:sz w:val="28"/>
          <w:szCs w:val="28"/>
          <w:lang w:eastAsia="lv-LV"/>
        </w:rPr>
        <w:t xml:space="preserve"> un elektroenerģijai vai Padomes Direktīvai 2006/112/EK (2006. gada 28. novembris) par kopējo pievienotās vērtības nodokļa sistēmu. Pēc šiem principiem energoefektivitātes mērķī ir iespējams ieskaitīt dabasgāzes patēriņa samazinājumu, kas radies akcīzes nodokļa piemērošanas rezultātā, jo Latvijā akcīzes nodoklis dabasgāzei pārsniedz minimālo nodokļu līmeni.</w:t>
      </w:r>
    </w:p>
    <w:p w:rsidR="00E14EBF" w:rsidRPr="00FF2FAC" w:rsidRDefault="00E14EBF" w:rsidP="00E14EBF">
      <w:pPr>
        <w:spacing w:after="0" w:line="240" w:lineRule="auto"/>
        <w:jc w:val="both"/>
        <w:rPr>
          <w:rFonts w:ascii="Times New Roman" w:eastAsia="Times New Roman" w:hAnsi="Times New Roman"/>
          <w:color w:val="000000"/>
          <w:sz w:val="28"/>
          <w:szCs w:val="28"/>
          <w:u w:val="single"/>
          <w:lang w:eastAsia="lv-LV"/>
        </w:rPr>
      </w:pPr>
      <w:r w:rsidRPr="00FF2FAC">
        <w:rPr>
          <w:rFonts w:ascii="Times New Roman" w:eastAsia="Times New Roman" w:hAnsi="Times New Roman"/>
          <w:color w:val="000000"/>
          <w:sz w:val="28"/>
          <w:szCs w:val="28"/>
          <w:u w:val="single"/>
          <w:lang w:eastAsia="lv-LV"/>
        </w:rPr>
        <w:t xml:space="preserve">2) noteikumi vai brīvprātīgas vienošanās, kuru ietekmē tiek piemērotas </w:t>
      </w:r>
      <w:proofErr w:type="spellStart"/>
      <w:r w:rsidRPr="00FF2FAC">
        <w:rPr>
          <w:rFonts w:ascii="Times New Roman" w:eastAsia="Times New Roman" w:hAnsi="Times New Roman"/>
          <w:color w:val="000000"/>
          <w:sz w:val="28"/>
          <w:szCs w:val="28"/>
          <w:u w:val="single"/>
          <w:lang w:eastAsia="lv-LV"/>
        </w:rPr>
        <w:t>energoefektīvas</w:t>
      </w:r>
      <w:proofErr w:type="spellEnd"/>
      <w:r w:rsidRPr="00FF2FAC">
        <w:rPr>
          <w:rFonts w:ascii="Times New Roman" w:eastAsia="Times New Roman" w:hAnsi="Times New Roman"/>
          <w:color w:val="000000"/>
          <w:sz w:val="28"/>
          <w:szCs w:val="28"/>
          <w:u w:val="single"/>
          <w:lang w:eastAsia="lv-LV"/>
        </w:rPr>
        <w:t xml:space="preserve"> tehnoloģijas, kuru izmantošanas rezultātā samazinās gala enerģijas patēriņš;</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Šādu vienošanos noslēgšanas iespēju jau šobrīd nosaka Ministru kabineta 2011. gada 12. jūlija noteikumi </w:t>
      </w:r>
      <w:proofErr w:type="spellStart"/>
      <w:r w:rsidRPr="00FF2FAC">
        <w:rPr>
          <w:rFonts w:ascii="Times New Roman" w:eastAsia="Times New Roman" w:hAnsi="Times New Roman"/>
          <w:color w:val="000000"/>
          <w:sz w:val="28"/>
          <w:szCs w:val="28"/>
          <w:lang w:eastAsia="lv-LV"/>
        </w:rPr>
        <w:t>Nr</w:t>
      </w:r>
      <w:proofErr w:type="spellEnd"/>
      <w:r w:rsidRPr="00FF2FAC">
        <w:rPr>
          <w:rFonts w:ascii="Times New Roman" w:eastAsia="Times New Roman" w:hAnsi="Times New Roman"/>
          <w:color w:val="000000"/>
          <w:sz w:val="28"/>
          <w:szCs w:val="28"/>
          <w:lang w:eastAsia="lv-LV"/>
        </w:rPr>
        <w:t xml:space="preserve">. 555 „Noteikumi par kārtību, kādā noslēdz un pārrauga vienošanos par energoefektivitātes paaugstināšanu” (turpmāk - MK noteikumi </w:t>
      </w:r>
      <w:proofErr w:type="spellStart"/>
      <w:r w:rsidRPr="00FF2FAC">
        <w:rPr>
          <w:rFonts w:ascii="Times New Roman" w:eastAsia="Times New Roman" w:hAnsi="Times New Roman"/>
          <w:color w:val="000000"/>
          <w:sz w:val="28"/>
          <w:szCs w:val="28"/>
          <w:lang w:eastAsia="lv-LV"/>
        </w:rPr>
        <w:t>Nr</w:t>
      </w:r>
      <w:proofErr w:type="spellEnd"/>
      <w:r w:rsidRPr="00FF2FAC">
        <w:rPr>
          <w:rFonts w:ascii="Times New Roman" w:eastAsia="Times New Roman" w:hAnsi="Times New Roman"/>
          <w:color w:val="000000"/>
          <w:sz w:val="28"/>
          <w:szCs w:val="28"/>
          <w:lang w:eastAsia="lv-LV"/>
        </w:rPr>
        <w:t xml:space="preserve">. 555). MK noteikumi </w:t>
      </w:r>
      <w:proofErr w:type="spellStart"/>
      <w:r w:rsidRPr="00FF2FAC">
        <w:rPr>
          <w:rFonts w:ascii="Times New Roman" w:eastAsia="Times New Roman" w:hAnsi="Times New Roman"/>
          <w:color w:val="000000"/>
          <w:sz w:val="28"/>
          <w:szCs w:val="28"/>
          <w:lang w:eastAsia="lv-LV"/>
        </w:rPr>
        <w:t>Nr</w:t>
      </w:r>
      <w:proofErr w:type="spellEnd"/>
      <w:r w:rsidRPr="00FF2FAC">
        <w:rPr>
          <w:rFonts w:ascii="Times New Roman" w:eastAsia="Times New Roman" w:hAnsi="Times New Roman"/>
          <w:color w:val="000000"/>
          <w:sz w:val="28"/>
          <w:szCs w:val="28"/>
          <w:lang w:eastAsia="lv-LV"/>
        </w:rPr>
        <w:t>. 555 paredz, ka vienošanās mērķis ir sasniegt vismaz 10 % enerģijas ietaupījumu nozarē, uzņēmumā vai pašvaldībā. Enerģijas ietaupījumu mērķa sasniegšanu pamato energoefektivitātes rīcības plāns. Uz koncepcijas izstrādāšanas brīdi nav tikusi noslēgta neviena vienošanās. Ņemot vērā to, ka pēc ekspertu novērtējuma rūpniecībā ir augsts enerģijas ietaupījumu potenciāls, iespējams, ir jāpārskata noteikumos paredzētais enerģijas ietaupījumu mērķis (jāpaaugstina līdz 20 %), un vienošanās noslēgšana ir jānosaka kā obligāta vismaz atsevišķu nozaru uzņēmumiem.</w:t>
      </w:r>
    </w:p>
    <w:p w:rsidR="00E14EBF" w:rsidRPr="00FF2FAC" w:rsidRDefault="00B479A5" w:rsidP="00E14EBF">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 xml:space="preserve">Jārosina </w:t>
      </w:r>
      <w:r w:rsidR="00E14EBF" w:rsidRPr="00B479A5">
        <w:rPr>
          <w:rFonts w:ascii="Times New Roman" w:eastAsia="Times New Roman" w:hAnsi="Times New Roman"/>
          <w:b/>
          <w:color w:val="000000"/>
          <w:sz w:val="28"/>
          <w:szCs w:val="28"/>
          <w:lang w:eastAsia="lv-LV"/>
        </w:rPr>
        <w:t>pašvaldības</w:t>
      </w:r>
      <w:r w:rsidR="00E14EBF" w:rsidRPr="00FF2FAC">
        <w:rPr>
          <w:rFonts w:ascii="Times New Roman" w:eastAsia="Times New Roman" w:hAnsi="Times New Roman"/>
          <w:color w:val="000000"/>
          <w:sz w:val="28"/>
          <w:szCs w:val="28"/>
          <w:lang w:eastAsia="lv-LV"/>
        </w:rPr>
        <w:t xml:space="preserve"> slēgt vienošanās par energoefektivitātes paaugstināšanu. Enerģijas galapatēriņa efektivitātes likuma 12. panta otrās daļas otrais punkts paredz, valstij ir iespējams noteikt subsīdijas energoauditiem un atsevišķiem energoefektivitātes paaugstināšanas pasākumiem, kas tiek īstenoti saskaņā ar šo vienošanos. </w:t>
      </w:r>
      <w:r w:rsidR="00E14EBF">
        <w:rPr>
          <w:rFonts w:ascii="Times New Roman" w:eastAsia="Times New Roman" w:hAnsi="Times New Roman"/>
          <w:color w:val="000000"/>
          <w:sz w:val="28"/>
          <w:szCs w:val="28"/>
          <w:lang w:eastAsia="lv-LV"/>
        </w:rPr>
        <w:t>Vienlaikus ES fondu plānošanas 2014.</w:t>
      </w:r>
      <w:r w:rsidR="005E2A09">
        <w:rPr>
          <w:rFonts w:ascii="Times New Roman" w:eastAsia="Times New Roman" w:hAnsi="Times New Roman"/>
          <w:color w:val="000000"/>
          <w:sz w:val="28"/>
          <w:szCs w:val="28"/>
          <w:lang w:eastAsia="lv-LV"/>
        </w:rPr>
        <w:t> </w:t>
      </w:r>
      <w:r w:rsidR="00E14EBF">
        <w:rPr>
          <w:rFonts w:ascii="Times New Roman" w:eastAsia="Times New Roman" w:hAnsi="Times New Roman"/>
          <w:color w:val="000000"/>
          <w:sz w:val="28"/>
          <w:szCs w:val="28"/>
          <w:lang w:eastAsia="lv-LV"/>
        </w:rPr>
        <w:t>-</w:t>
      </w:r>
      <w:r w:rsidR="005E2A09">
        <w:rPr>
          <w:rFonts w:ascii="Times New Roman" w:eastAsia="Times New Roman" w:hAnsi="Times New Roman"/>
          <w:color w:val="000000"/>
          <w:sz w:val="28"/>
          <w:szCs w:val="28"/>
          <w:lang w:eastAsia="lv-LV"/>
        </w:rPr>
        <w:t> </w:t>
      </w:r>
      <w:r w:rsidR="00E14EBF">
        <w:rPr>
          <w:rFonts w:ascii="Times New Roman" w:eastAsia="Times New Roman" w:hAnsi="Times New Roman"/>
          <w:color w:val="000000"/>
          <w:sz w:val="28"/>
          <w:szCs w:val="28"/>
          <w:lang w:eastAsia="lv-LV"/>
        </w:rPr>
        <w:t>2020.</w:t>
      </w:r>
      <w:r w:rsidR="005E2A09">
        <w:rPr>
          <w:rFonts w:ascii="Times New Roman" w:eastAsia="Times New Roman" w:hAnsi="Times New Roman"/>
          <w:color w:val="000000"/>
          <w:sz w:val="28"/>
          <w:szCs w:val="28"/>
          <w:lang w:eastAsia="lv-LV"/>
        </w:rPr>
        <w:t> </w:t>
      </w:r>
      <w:r w:rsidR="00E14EBF">
        <w:rPr>
          <w:rFonts w:ascii="Times New Roman" w:eastAsia="Times New Roman" w:hAnsi="Times New Roman"/>
          <w:color w:val="000000"/>
          <w:sz w:val="28"/>
          <w:szCs w:val="28"/>
          <w:lang w:eastAsia="lv-LV"/>
        </w:rPr>
        <w:t xml:space="preserve">gada periodā paredzēts, ka pašvaldību </w:t>
      </w:r>
      <w:proofErr w:type="spellStart"/>
      <w:r w:rsidR="00E14EBF">
        <w:rPr>
          <w:rFonts w:ascii="Times New Roman" w:eastAsia="Times New Roman" w:hAnsi="Times New Roman"/>
          <w:color w:val="000000"/>
          <w:sz w:val="28"/>
          <w:szCs w:val="28"/>
          <w:lang w:eastAsia="lv-LV"/>
        </w:rPr>
        <w:t>energoplāns</w:t>
      </w:r>
      <w:proofErr w:type="spellEnd"/>
      <w:r w:rsidR="00E14EBF">
        <w:rPr>
          <w:rFonts w:ascii="Times New Roman" w:eastAsia="Times New Roman" w:hAnsi="Times New Roman"/>
          <w:color w:val="000000"/>
          <w:sz w:val="28"/>
          <w:szCs w:val="28"/>
          <w:lang w:eastAsia="lv-LV"/>
        </w:rPr>
        <w:t xml:space="preserve"> būs obligāta prasība, pretendējot uz finansējumu energoefektivitātes pasākumiem.</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Latvijā  </w:t>
      </w:r>
      <w:r w:rsidRPr="00FF2FAC">
        <w:rPr>
          <w:rFonts w:ascii="Times New Roman" w:eastAsia="Times New Roman" w:hAnsi="Times New Roman"/>
          <w:b/>
          <w:color w:val="000000"/>
          <w:sz w:val="28"/>
          <w:szCs w:val="28"/>
          <w:lang w:eastAsia="lv-LV"/>
        </w:rPr>
        <w:t>rūpniecība un būvniecība</w:t>
      </w:r>
      <w:r w:rsidRPr="00FF2FAC">
        <w:rPr>
          <w:rFonts w:ascii="Times New Roman" w:eastAsia="Times New Roman" w:hAnsi="Times New Roman"/>
          <w:color w:val="000000"/>
          <w:sz w:val="28"/>
          <w:szCs w:val="28"/>
          <w:lang w:eastAsia="lv-LV"/>
        </w:rPr>
        <w:t xml:space="preserve"> (atbilstoši NACE 2. redakcijai ieguves rūpniecība – B, apstrādes rūpniecība – C un būvniecība – F) ir trešais lielākais enerģijas gala</w:t>
      </w:r>
      <w:r>
        <w:rPr>
          <w:rFonts w:ascii="Times New Roman" w:eastAsia="Times New Roman" w:hAnsi="Times New Roman"/>
          <w:color w:val="000000"/>
          <w:sz w:val="28"/>
          <w:szCs w:val="28"/>
          <w:lang w:eastAsia="lv-LV"/>
        </w:rPr>
        <w:t>lietotājs</w:t>
      </w:r>
      <w:r w:rsidRPr="00FF2FAC">
        <w:rPr>
          <w:rFonts w:ascii="Times New Roman" w:eastAsia="Times New Roman" w:hAnsi="Times New Roman"/>
          <w:color w:val="000000"/>
          <w:sz w:val="28"/>
          <w:szCs w:val="28"/>
          <w:lang w:eastAsia="lv-LV"/>
        </w:rPr>
        <w:t xml:space="preserve"> valstī aiz mājsaimniecībām un transporta nozares. Lielākie enerģijas patērētāji ir koksnes izstrādājumu (izņemot mēbeles) ražošana, nemetālisko minerālu izstrādājumu ražošana, kā arī pārtikas produktu, dzērienu un tabakas ražošana. Rūpniecībā svarīgi panākt rūpniecisko ražošanas procesu siltuma zudumu efektīvu izmantošanu (rekuperāciju), kas varētu nosegt siltumenerģijas pieprasījumu paša uzņēmuma apkurei, dzesēšanai vai tehnoloģiskajiem procesiem, vai arī pārdot siltumenerģiju centralizētajām siltumapgādes sistēmām.</w:t>
      </w: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lastRenderedPageBreak/>
        <w:t>Energoefektivitātes pasākumus rūpniecības sektorā var iedalīt divās galvenajās grupās:</w:t>
      </w:r>
    </w:p>
    <w:p w:rsidR="00E14EBF" w:rsidRPr="00FF2FAC" w:rsidRDefault="00E14EBF" w:rsidP="00E14EBF">
      <w:pPr>
        <w:numPr>
          <w:ilvl w:val="0"/>
          <w:numId w:val="13"/>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Ar ražošanas procesu saistītās tehnoloģiskās iekārtas ir specifiskas, tās bieži ir tikai vienā vai dažās rūpnīcās un to nomaiņa parasti prasa lielus finanšu ieguldījumus;</w:t>
      </w:r>
    </w:p>
    <w:p w:rsidR="00E14EBF" w:rsidRPr="00FF2FAC" w:rsidRDefault="00E14EBF" w:rsidP="00E14EBF">
      <w:pPr>
        <w:numPr>
          <w:ilvl w:val="0"/>
          <w:numId w:val="13"/>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Tehnoloģiskās iekārtas kas tiek izmantotas neatkarīgi no nozares:</w:t>
      </w:r>
    </w:p>
    <w:p w:rsidR="00E14EBF" w:rsidRPr="00FF2FAC" w:rsidRDefault="00E14EBF" w:rsidP="00E14EBF">
      <w:pPr>
        <w:numPr>
          <w:ilvl w:val="0"/>
          <w:numId w:val="13"/>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Elektroenerģiju patērējošās (pārsvarā dažāda veida motori un sūkņi);</w:t>
      </w:r>
    </w:p>
    <w:p w:rsidR="00E14EBF" w:rsidRPr="00FF2FAC" w:rsidRDefault="00E14EBF" w:rsidP="00E14EBF">
      <w:pPr>
        <w:numPr>
          <w:ilvl w:val="0"/>
          <w:numId w:val="13"/>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Siltumu vai tvaiku ražojošās un izmantojošās tehnoloģijas.</w:t>
      </w:r>
    </w:p>
    <w:p w:rsidR="00E14EBF" w:rsidRPr="00FF2FAC" w:rsidRDefault="00E14EBF" w:rsidP="00E14EBF">
      <w:p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Pēc ekspertu novērtējuma atkarībā no energoefektivitātes politikas intensitātes apstrādājošā rūpniecībā Latvijā 2020. gadā var ietaupīt:</w:t>
      </w:r>
    </w:p>
    <w:p w:rsidR="00E14EBF" w:rsidRPr="00FF2FAC" w:rsidRDefault="00E14EBF" w:rsidP="00E14EBF">
      <w:pPr>
        <w:numPr>
          <w:ilvl w:val="0"/>
          <w:numId w:val="26"/>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12 - 15 % no gala enerģijas patēriņa nozarē;</w:t>
      </w:r>
    </w:p>
    <w:p w:rsidR="00E14EBF" w:rsidRPr="00FF2FAC" w:rsidRDefault="00E14EBF" w:rsidP="00E14EBF">
      <w:pPr>
        <w:numPr>
          <w:ilvl w:val="0"/>
          <w:numId w:val="26"/>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30 – 35 % no elektroenerģijas patēriņa;</w:t>
      </w:r>
    </w:p>
    <w:p w:rsidR="00E14EBF" w:rsidRPr="00FF2FAC" w:rsidRDefault="00E14EBF" w:rsidP="00E14EBF">
      <w:pPr>
        <w:numPr>
          <w:ilvl w:val="0"/>
          <w:numId w:val="26"/>
        </w:num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5 – 10 % no kurināmā patēriņa.  </w:t>
      </w:r>
    </w:p>
    <w:p w:rsidR="00E14EBF" w:rsidRPr="00FF2FAC" w:rsidRDefault="00E14EBF" w:rsidP="00E14EBF">
      <w:pPr>
        <w:spacing w:after="0" w:line="240" w:lineRule="auto"/>
        <w:jc w:val="both"/>
        <w:rPr>
          <w:rFonts w:ascii="Times New Roman" w:eastAsia="Times New Roman" w:hAnsi="Times New Roman"/>
          <w:color w:val="000000"/>
          <w:sz w:val="28"/>
          <w:szCs w:val="28"/>
          <w:u w:val="single"/>
          <w:lang w:eastAsia="lv-LV"/>
        </w:rPr>
      </w:pPr>
      <w:r w:rsidRPr="00FF2FAC">
        <w:rPr>
          <w:rFonts w:ascii="Times New Roman" w:eastAsia="Times New Roman" w:hAnsi="Times New Roman"/>
          <w:color w:val="000000"/>
          <w:sz w:val="28"/>
          <w:szCs w:val="28"/>
          <w:u w:val="single"/>
          <w:lang w:eastAsia="lv-LV"/>
        </w:rPr>
        <w:t xml:space="preserve">3) energoefektivitātes kritēriju iekļaušana valsts atbalsta programmu nosacījumos. </w:t>
      </w:r>
    </w:p>
    <w:p w:rsidR="00E14EBF" w:rsidRDefault="00E14EBF" w:rsidP="00B479A5">
      <w:p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ab/>
        <w:t>Enerģētikas ilgtermiņa stratēģijā 2030 norādīts, ka tās darbības periodā energoefektivitāte ir nacionāla prioritāte un ir ātrākais un izmaksu ziņā efektīvākais ilgtspējas un konkurētspējas risku samazināšanas veids, vienlaicīgi radot papildu darbavietas un veicinot izaugsmi. Tāpēc valstij savas intervences jomās svarīgi izmantot visas iespējas energoefektivitātes paaugstināšanai.</w:t>
      </w:r>
    </w:p>
    <w:p w:rsidR="00B479A5" w:rsidRPr="00A03201" w:rsidRDefault="00B479A5" w:rsidP="00B479A5">
      <w:pPr>
        <w:spacing w:after="0" w:line="240" w:lineRule="auto"/>
        <w:jc w:val="both"/>
        <w:rPr>
          <w:rFonts w:ascii="Times New Roman" w:hAnsi="Times New Roman" w:cs="Times New Roman"/>
          <w:sz w:val="28"/>
          <w:szCs w:val="28"/>
          <w:u w:val="single"/>
          <w:lang w:eastAsia="lv-LV"/>
        </w:rPr>
      </w:pPr>
      <w:r w:rsidRPr="00A03201">
        <w:rPr>
          <w:rFonts w:ascii="Times New Roman" w:hAnsi="Times New Roman" w:cs="Times New Roman"/>
          <w:sz w:val="28"/>
          <w:szCs w:val="28"/>
          <w:u w:val="single"/>
          <w:lang w:eastAsia="lv-LV"/>
        </w:rPr>
        <w:t>4) mērķu noteikšana paaugstinātas energoefektivitātes klases ēku būvniecībai un esošo ēku rekonstruēšanai par paaugstinātas energoefektivitātes klases ēkām atbilstoši Ēku energoefektivitātes likuma 10.</w:t>
      </w:r>
      <w:r w:rsidR="005E2A09" w:rsidRPr="00A03201">
        <w:rPr>
          <w:rFonts w:ascii="Times New Roman" w:hAnsi="Times New Roman" w:cs="Times New Roman"/>
          <w:sz w:val="28"/>
          <w:szCs w:val="28"/>
          <w:u w:val="single"/>
          <w:lang w:eastAsia="lv-LV"/>
        </w:rPr>
        <w:t> </w:t>
      </w:r>
      <w:r w:rsidRPr="00A03201">
        <w:rPr>
          <w:rFonts w:ascii="Times New Roman" w:hAnsi="Times New Roman" w:cs="Times New Roman"/>
          <w:sz w:val="28"/>
          <w:szCs w:val="28"/>
          <w:u w:val="single"/>
          <w:lang w:eastAsia="lv-LV"/>
        </w:rPr>
        <w:t>panta prasībām.</w:t>
      </w:r>
    </w:p>
    <w:p w:rsidR="00B479A5" w:rsidRPr="00A03201" w:rsidRDefault="00B479A5" w:rsidP="00272AE2">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color w:val="000000"/>
          <w:sz w:val="28"/>
          <w:szCs w:val="28"/>
          <w:lang w:eastAsia="lv-LV"/>
        </w:rPr>
        <w:t>Direktīvas 2012/27/ES 7.</w:t>
      </w:r>
      <w:r w:rsidR="005E2A09">
        <w:rPr>
          <w:rFonts w:ascii="Times New Roman" w:hAnsi="Times New Roman" w:cs="Times New Roman"/>
          <w:color w:val="000000"/>
          <w:sz w:val="28"/>
          <w:szCs w:val="28"/>
          <w:lang w:eastAsia="lv-LV"/>
        </w:rPr>
        <w:t> </w:t>
      </w:r>
      <w:r>
        <w:rPr>
          <w:rFonts w:ascii="Times New Roman" w:hAnsi="Times New Roman" w:cs="Times New Roman"/>
          <w:color w:val="000000"/>
          <w:sz w:val="28"/>
          <w:szCs w:val="28"/>
          <w:lang w:eastAsia="lv-LV"/>
        </w:rPr>
        <w:t xml:space="preserve">panta prasības atļauj obligātajā mērķī ieskaitīt ietaupījumus, kas pārsniedz valstī obligāti noteiktās minimālās ēku energoefektivitātes prasības. Tāpēc ir svarīgi politikas plānošanas dokumentos noteikt </w:t>
      </w:r>
      <w:r w:rsidRPr="00A03201">
        <w:rPr>
          <w:rFonts w:ascii="Times New Roman" w:hAnsi="Times New Roman" w:cs="Times New Roman"/>
          <w:sz w:val="28"/>
          <w:szCs w:val="28"/>
          <w:lang w:eastAsia="lv-LV"/>
        </w:rPr>
        <w:t>mērķus paaugstinātas energoefektivitātes klases ēku būvniecībai un esošo ēku rekonstruēšanai par paaugstinātas energoefektivitātes klases ēkām, kā arī apsvērt iespēju noteikt, ka</w:t>
      </w:r>
      <w:r w:rsidRPr="00A03201">
        <w:t xml:space="preserve"> </w:t>
      </w:r>
      <w:r w:rsidRPr="00A03201">
        <w:rPr>
          <w:rFonts w:ascii="Times New Roman" w:hAnsi="Times New Roman" w:cs="Times New Roman"/>
          <w:sz w:val="28"/>
          <w:szCs w:val="28"/>
          <w:lang w:eastAsia="lv-LV"/>
        </w:rPr>
        <w:t>tās renovējamās ēkas, kuras tiks renovētas atbilstoši paaugstinātas efektivitātes prasībām, saņem papildus priekšrocības, pretendējot uz valsts atbalstu Eiropas struktūrfondu vai citu programmu ietvaros.</w:t>
      </w:r>
    </w:p>
    <w:p w:rsidR="00395331" w:rsidRDefault="00A03201" w:rsidP="00272AE2">
      <w:pPr>
        <w:spacing w:after="0" w:line="240" w:lineRule="auto"/>
        <w:ind w:firstLine="720"/>
        <w:jc w:val="both"/>
        <w:rPr>
          <w:rFonts w:ascii="Times New Roman" w:hAnsi="Times New Roman" w:cs="Times New Roman"/>
          <w:sz w:val="28"/>
          <w:szCs w:val="28"/>
          <w:lang w:eastAsia="lv-LV"/>
        </w:rPr>
      </w:pPr>
      <w:r w:rsidRPr="00A03201">
        <w:rPr>
          <w:rFonts w:ascii="Times New Roman" w:hAnsi="Times New Roman" w:cs="Times New Roman"/>
          <w:sz w:val="28"/>
          <w:szCs w:val="28"/>
          <w:lang w:eastAsia="lv-LV"/>
        </w:rPr>
        <w:t>Eiropas Savienības struktūrfondu un Kohēzijas fonda (ES fondi) 2014.</w:t>
      </w:r>
      <w:r w:rsidR="009C0AC7">
        <w:rPr>
          <w:rFonts w:ascii="Times New Roman" w:hAnsi="Times New Roman" w:cs="Times New Roman"/>
          <w:sz w:val="28"/>
          <w:szCs w:val="28"/>
          <w:lang w:eastAsia="lv-LV"/>
        </w:rPr>
        <w:t> </w:t>
      </w:r>
      <w:r w:rsidRPr="00A03201">
        <w:rPr>
          <w:rFonts w:ascii="Times New Roman" w:hAnsi="Times New Roman" w:cs="Times New Roman"/>
          <w:sz w:val="28"/>
          <w:szCs w:val="28"/>
          <w:lang w:eastAsia="lv-LV"/>
        </w:rPr>
        <w:t>-2020.</w:t>
      </w:r>
      <w:r w:rsidR="009C0AC7">
        <w:rPr>
          <w:rFonts w:ascii="Times New Roman" w:hAnsi="Times New Roman" w:cs="Times New Roman"/>
          <w:sz w:val="28"/>
          <w:szCs w:val="28"/>
          <w:lang w:eastAsia="lv-LV"/>
        </w:rPr>
        <w:t> </w:t>
      </w:r>
      <w:r w:rsidRPr="00A03201">
        <w:rPr>
          <w:rFonts w:ascii="Times New Roman" w:hAnsi="Times New Roman" w:cs="Times New Roman"/>
          <w:sz w:val="28"/>
          <w:szCs w:val="28"/>
          <w:lang w:eastAsia="lv-LV"/>
        </w:rPr>
        <w:t>gada plānošanas perioda plānošanas dokumentos netiek paredzēt</w:t>
      </w:r>
      <w:r w:rsidR="00C17108">
        <w:rPr>
          <w:rFonts w:ascii="Times New Roman" w:hAnsi="Times New Roman" w:cs="Times New Roman"/>
          <w:sz w:val="28"/>
          <w:szCs w:val="28"/>
          <w:lang w:eastAsia="lv-LV"/>
        </w:rPr>
        <w:t>s</w:t>
      </w:r>
      <w:r w:rsidRPr="00A03201">
        <w:rPr>
          <w:rFonts w:ascii="Times New Roman" w:hAnsi="Times New Roman" w:cs="Times New Roman"/>
          <w:sz w:val="28"/>
          <w:szCs w:val="28"/>
          <w:lang w:eastAsia="lv-LV"/>
        </w:rPr>
        <w:t xml:space="preserve"> </w:t>
      </w:r>
      <w:r w:rsidR="00C17108">
        <w:rPr>
          <w:rFonts w:ascii="Times New Roman" w:hAnsi="Times New Roman" w:cs="Times New Roman"/>
          <w:sz w:val="28"/>
          <w:szCs w:val="28"/>
          <w:lang w:eastAsia="lv-LV"/>
        </w:rPr>
        <w:t xml:space="preserve">atsevišķs </w:t>
      </w:r>
      <w:r w:rsidRPr="00A03201">
        <w:rPr>
          <w:rFonts w:ascii="Times New Roman" w:hAnsi="Times New Roman" w:cs="Times New Roman"/>
          <w:sz w:val="28"/>
          <w:szCs w:val="28"/>
          <w:lang w:eastAsia="lv-LV"/>
        </w:rPr>
        <w:t>specifisk</w:t>
      </w:r>
      <w:r w:rsidR="00C17108">
        <w:rPr>
          <w:rFonts w:ascii="Times New Roman" w:hAnsi="Times New Roman" w:cs="Times New Roman"/>
          <w:sz w:val="28"/>
          <w:szCs w:val="28"/>
          <w:lang w:eastAsia="lv-LV"/>
        </w:rPr>
        <w:t>s</w:t>
      </w:r>
      <w:r w:rsidRPr="00A03201">
        <w:rPr>
          <w:rFonts w:ascii="Times New Roman" w:hAnsi="Times New Roman" w:cs="Times New Roman"/>
          <w:sz w:val="28"/>
          <w:szCs w:val="28"/>
          <w:lang w:eastAsia="lv-LV"/>
        </w:rPr>
        <w:t xml:space="preserve"> atbalst</w:t>
      </w:r>
      <w:r w:rsidR="00C17108">
        <w:rPr>
          <w:rFonts w:ascii="Times New Roman" w:hAnsi="Times New Roman" w:cs="Times New Roman"/>
          <w:sz w:val="28"/>
          <w:szCs w:val="28"/>
          <w:lang w:eastAsia="lv-LV"/>
        </w:rPr>
        <w:t>s</w:t>
      </w:r>
      <w:r w:rsidRPr="00A03201">
        <w:rPr>
          <w:rFonts w:ascii="Times New Roman" w:hAnsi="Times New Roman" w:cs="Times New Roman"/>
          <w:sz w:val="28"/>
          <w:szCs w:val="28"/>
          <w:lang w:eastAsia="lv-LV"/>
        </w:rPr>
        <w:t xml:space="preserve"> paaugstinātas energoefektivitātes klases ēku būvniecībai</w:t>
      </w:r>
      <w:r w:rsidR="00C17108">
        <w:rPr>
          <w:rFonts w:ascii="Times New Roman" w:hAnsi="Times New Roman" w:cs="Times New Roman"/>
          <w:sz w:val="28"/>
          <w:szCs w:val="28"/>
          <w:lang w:eastAsia="lv-LV"/>
        </w:rPr>
        <w:t>. Vienlaicīgi netiek izslēgts sniegt publisko finansējumu</w:t>
      </w:r>
      <w:r w:rsidRPr="00A03201">
        <w:rPr>
          <w:rFonts w:ascii="Times New Roman" w:hAnsi="Times New Roman" w:cs="Times New Roman"/>
          <w:sz w:val="28"/>
          <w:szCs w:val="28"/>
          <w:lang w:eastAsia="lv-LV"/>
        </w:rPr>
        <w:t xml:space="preserve"> tādām renovējamām ēkām, kuras tiks renovētas atbilstoši paaugstinātas efektivitātes prasībām.</w:t>
      </w:r>
      <w:r>
        <w:rPr>
          <w:rFonts w:ascii="Times New Roman" w:hAnsi="Times New Roman" w:cs="Times New Roman"/>
          <w:sz w:val="28"/>
          <w:szCs w:val="28"/>
          <w:lang w:eastAsia="lv-LV"/>
        </w:rPr>
        <w:t xml:space="preserve"> </w:t>
      </w:r>
    </w:p>
    <w:p w:rsidR="00C17108" w:rsidRDefault="00C17108" w:rsidP="00272AE2">
      <w:pPr>
        <w:spacing w:after="0" w:line="240" w:lineRule="auto"/>
        <w:ind w:firstLine="720"/>
        <w:jc w:val="both"/>
        <w:rPr>
          <w:rFonts w:ascii="Times New Roman" w:hAnsi="Times New Roman" w:cs="Times New Roman"/>
          <w:sz w:val="28"/>
          <w:szCs w:val="28"/>
          <w:lang w:eastAsia="lv-LV"/>
        </w:rPr>
      </w:pPr>
    </w:p>
    <w:p w:rsidR="00E14EBF" w:rsidRPr="00FF2FAC" w:rsidRDefault="00E14EBF" w:rsidP="00E14EBF">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u w:val="single"/>
          <w:lang w:eastAsia="lv-LV"/>
        </w:rPr>
        <w:t>Ietekme uz valsts budžetu:</w:t>
      </w:r>
      <w:r w:rsidRPr="00FF2FAC">
        <w:rPr>
          <w:rFonts w:ascii="Times New Roman" w:eastAsia="Times New Roman" w:hAnsi="Times New Roman"/>
          <w:color w:val="000000"/>
          <w:sz w:val="28"/>
          <w:szCs w:val="28"/>
          <w:lang w:eastAsia="lv-LV"/>
        </w:rPr>
        <w:t xml:space="preserve"> </w:t>
      </w:r>
    </w:p>
    <w:p w:rsidR="00E14EBF" w:rsidRPr="00FF2FAC" w:rsidRDefault="00E14EBF" w:rsidP="00B479A5">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Izmaksas: Ja valsts kā alternatīvos pasākumus izvēlas vienošanās par enerģijas ietaupījumiem, tad komersantu iesaistīšanās veicināšanai valsts varētu segt līdz pat  60 % no energoauditu izmaksām rūpniecībā, kas kopā veidotu </w:t>
      </w:r>
      <w:r w:rsidRPr="00FF2FAC">
        <w:rPr>
          <w:rFonts w:ascii="Times New Roman" w:eastAsia="Times New Roman" w:hAnsi="Times New Roman"/>
          <w:color w:val="000000"/>
          <w:sz w:val="28"/>
          <w:szCs w:val="28"/>
          <w:lang w:eastAsia="lv-LV"/>
        </w:rPr>
        <w:lastRenderedPageBreak/>
        <w:t>228 000 LVL</w:t>
      </w:r>
      <w:r w:rsidRPr="00FF2FAC">
        <w:rPr>
          <w:rFonts w:ascii="Times New Roman" w:eastAsia="Times New Roman" w:hAnsi="Times New Roman"/>
          <w:color w:val="000000"/>
          <w:sz w:val="28"/>
          <w:szCs w:val="28"/>
          <w:vertAlign w:val="superscript"/>
          <w:lang w:eastAsia="lv-LV"/>
        </w:rPr>
        <w:footnoteReference w:id="10"/>
      </w:r>
      <w:r>
        <w:rPr>
          <w:rFonts w:ascii="Times New Roman" w:eastAsia="Times New Roman" w:hAnsi="Times New Roman"/>
          <w:color w:val="000000"/>
          <w:sz w:val="28"/>
          <w:szCs w:val="28"/>
          <w:lang w:eastAsia="lv-LV"/>
        </w:rPr>
        <w:t xml:space="preserve"> (324 414,77 EUR)</w:t>
      </w:r>
      <w:r w:rsidRPr="00FF2FAC">
        <w:rPr>
          <w:rFonts w:ascii="Times New Roman" w:eastAsia="Times New Roman" w:hAnsi="Times New Roman"/>
          <w:color w:val="000000"/>
          <w:sz w:val="28"/>
          <w:szCs w:val="28"/>
          <w:lang w:eastAsia="lv-LV"/>
        </w:rPr>
        <w:t xml:space="preserve"> laikā no 2014.</w:t>
      </w:r>
      <w:r w:rsidR="005E2A09">
        <w:rPr>
          <w:rFonts w:ascii="Times New Roman" w:eastAsia="Times New Roman" w:hAnsi="Times New Roman"/>
          <w:color w:val="000000"/>
          <w:sz w:val="28"/>
          <w:szCs w:val="28"/>
          <w:lang w:eastAsia="lv-LV"/>
        </w:rPr>
        <w:t> </w:t>
      </w:r>
      <w:r w:rsidRPr="00FF2FAC">
        <w:rPr>
          <w:rFonts w:ascii="Times New Roman" w:eastAsia="Times New Roman" w:hAnsi="Times New Roman"/>
          <w:color w:val="000000"/>
          <w:sz w:val="28"/>
          <w:szCs w:val="28"/>
          <w:lang w:eastAsia="lv-LV"/>
        </w:rPr>
        <w:t>-</w:t>
      </w:r>
      <w:r w:rsidR="005E2A09">
        <w:rPr>
          <w:rFonts w:ascii="Times New Roman" w:eastAsia="Times New Roman" w:hAnsi="Times New Roman"/>
          <w:color w:val="000000"/>
          <w:sz w:val="28"/>
          <w:szCs w:val="28"/>
          <w:lang w:eastAsia="lv-LV"/>
        </w:rPr>
        <w:t> </w:t>
      </w:r>
      <w:r w:rsidRPr="00FF2FAC">
        <w:rPr>
          <w:rFonts w:ascii="Times New Roman" w:eastAsia="Times New Roman" w:hAnsi="Times New Roman"/>
          <w:color w:val="000000"/>
          <w:sz w:val="28"/>
          <w:szCs w:val="28"/>
          <w:lang w:eastAsia="lv-LV"/>
        </w:rPr>
        <w:t>2020.</w:t>
      </w:r>
      <w:r w:rsidR="009B3890">
        <w:rPr>
          <w:rFonts w:ascii="Times New Roman" w:eastAsia="Times New Roman" w:hAnsi="Times New Roman"/>
          <w:color w:val="000000"/>
          <w:sz w:val="28"/>
          <w:szCs w:val="28"/>
          <w:lang w:eastAsia="lv-LV"/>
        </w:rPr>
        <w:t> </w:t>
      </w:r>
      <w:r w:rsidRPr="00FF2FAC">
        <w:rPr>
          <w:rFonts w:ascii="Times New Roman" w:eastAsia="Times New Roman" w:hAnsi="Times New Roman"/>
          <w:color w:val="000000"/>
          <w:sz w:val="28"/>
          <w:szCs w:val="28"/>
          <w:lang w:eastAsia="lv-LV"/>
        </w:rPr>
        <w:t xml:space="preserve">gadam. Risinājuma 3. variants kopumā rada vislielāko slogu uz valsts budžetu, jo valstij jānodrošina visi mērķa sasniegšanai nepieciešamie pasākumi, attiecīgi piešķirot pilnīgi vai daļēji finansējumu vai uzliekot energoefektivitātes pienākumus no EPS atšķirīgā veidā. </w:t>
      </w:r>
    </w:p>
    <w:p w:rsidR="00E14EBF" w:rsidRDefault="00E14EBF" w:rsidP="00B479A5">
      <w:pPr>
        <w:spacing w:after="0" w:line="240" w:lineRule="auto"/>
        <w:ind w:firstLine="720"/>
        <w:jc w:val="both"/>
        <w:rPr>
          <w:rFonts w:ascii="Times New Roman" w:eastAsia="Times New Roman" w:hAnsi="Times New Roman"/>
          <w:bCs/>
          <w:color w:val="000000"/>
          <w:sz w:val="28"/>
          <w:szCs w:val="28"/>
          <w:lang w:eastAsia="lv-LV"/>
        </w:rPr>
      </w:pPr>
      <w:r w:rsidRPr="00FF2FAC">
        <w:rPr>
          <w:rFonts w:ascii="Times New Roman" w:eastAsia="Times New Roman" w:hAnsi="Times New Roman"/>
          <w:color w:val="000000"/>
          <w:sz w:val="28"/>
          <w:szCs w:val="28"/>
          <w:lang w:eastAsia="lv-LV"/>
        </w:rPr>
        <w:t xml:space="preserve">Administrēšanas iestāžu izdevumi </w:t>
      </w:r>
      <w:r>
        <w:rPr>
          <w:rFonts w:ascii="Times New Roman" w:eastAsia="Times New Roman" w:hAnsi="Times New Roman"/>
          <w:color w:val="000000"/>
          <w:sz w:val="28"/>
          <w:szCs w:val="28"/>
          <w:lang w:eastAsia="lv-LV"/>
        </w:rPr>
        <w:t>ir l</w:t>
      </w:r>
      <w:r w:rsidRPr="00FF2FAC">
        <w:rPr>
          <w:rFonts w:ascii="Times New Roman" w:eastAsia="Times New Roman" w:hAnsi="Times New Roman"/>
          <w:color w:val="000000"/>
          <w:sz w:val="28"/>
          <w:szCs w:val="28"/>
          <w:lang w:eastAsia="lv-LV"/>
        </w:rPr>
        <w:t>īdzīgi kā 1.</w:t>
      </w:r>
      <w:r w:rsidR="005E2A09">
        <w:rPr>
          <w:rFonts w:ascii="Times New Roman" w:eastAsia="Times New Roman" w:hAnsi="Times New Roman"/>
          <w:color w:val="000000"/>
          <w:sz w:val="28"/>
          <w:szCs w:val="28"/>
          <w:lang w:eastAsia="lv-LV"/>
        </w:rPr>
        <w:t> </w:t>
      </w:r>
      <w:r w:rsidRPr="00FF2FAC">
        <w:rPr>
          <w:rFonts w:ascii="Times New Roman" w:eastAsia="Times New Roman" w:hAnsi="Times New Roman"/>
          <w:color w:val="000000"/>
          <w:sz w:val="28"/>
          <w:szCs w:val="28"/>
          <w:lang w:eastAsia="lv-LV"/>
        </w:rPr>
        <w:t>un 2.</w:t>
      </w:r>
      <w:r>
        <w:rPr>
          <w:rFonts w:ascii="Times New Roman" w:eastAsia="Times New Roman" w:hAnsi="Times New Roman"/>
          <w:color w:val="000000"/>
          <w:sz w:val="28"/>
          <w:szCs w:val="28"/>
          <w:lang w:eastAsia="lv-LV"/>
        </w:rPr>
        <w:t>, tā arī 3.</w:t>
      </w:r>
      <w:r w:rsidR="005E2A09">
        <w:rPr>
          <w:rFonts w:ascii="Times New Roman" w:eastAsia="Times New Roman" w:hAnsi="Times New Roman"/>
          <w:color w:val="000000"/>
          <w:sz w:val="28"/>
          <w:szCs w:val="28"/>
          <w:lang w:eastAsia="lv-LV"/>
        </w:rPr>
        <w:t> </w:t>
      </w:r>
      <w:r>
        <w:rPr>
          <w:rFonts w:ascii="Times New Roman" w:eastAsia="Times New Roman" w:hAnsi="Times New Roman"/>
          <w:color w:val="000000"/>
          <w:sz w:val="28"/>
          <w:szCs w:val="28"/>
          <w:lang w:eastAsia="lv-LV"/>
        </w:rPr>
        <w:t>variantā</w:t>
      </w:r>
      <w:r w:rsidRPr="00FF2FAC">
        <w:rPr>
          <w:rFonts w:ascii="Times New Roman" w:eastAsia="Times New Roman" w:hAnsi="Times New Roman"/>
          <w:color w:val="000000"/>
          <w:sz w:val="28"/>
          <w:szCs w:val="28"/>
          <w:lang w:eastAsia="lv-LV"/>
        </w:rPr>
        <w:t xml:space="preserve">, jo nepieciešama arī </w:t>
      </w:r>
      <w:r w:rsidRPr="00FF2FAC">
        <w:rPr>
          <w:rFonts w:ascii="Times New Roman" w:eastAsia="Times New Roman" w:hAnsi="Times New Roman"/>
          <w:bCs/>
          <w:color w:val="000000"/>
          <w:sz w:val="28"/>
          <w:szCs w:val="28"/>
          <w:lang w:eastAsia="lv-LV"/>
        </w:rPr>
        <w:t>alternatīvo pasākumu administrēšana.</w:t>
      </w:r>
    </w:p>
    <w:p w:rsidR="00E14EBF" w:rsidRPr="00FF2FAC" w:rsidRDefault="00E14EBF" w:rsidP="00B479A5">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bCs/>
          <w:color w:val="000000"/>
          <w:sz w:val="28"/>
          <w:szCs w:val="28"/>
          <w:lang w:eastAsia="lv-LV"/>
        </w:rPr>
        <w:t>Ja EPS administrēšanai tiek veidota jauna struktūra EM ietvaros, tad</w:t>
      </w:r>
      <w:r w:rsidRPr="00FF2FAC">
        <w:rPr>
          <w:rFonts w:ascii="Times New Roman" w:eastAsia="Times New Roman" w:hAnsi="Times New Roman"/>
          <w:color w:val="000000"/>
          <w:sz w:val="28"/>
          <w:szCs w:val="28"/>
          <w:lang w:eastAsia="lv-LV"/>
        </w:rPr>
        <w:t xml:space="preserve"> administrēšanai plānots piesaistīt 4 darbiniekus. </w:t>
      </w:r>
      <w:r>
        <w:rPr>
          <w:rFonts w:ascii="Times New Roman" w:eastAsia="Times New Roman" w:hAnsi="Times New Roman"/>
          <w:color w:val="000000"/>
          <w:sz w:val="28"/>
          <w:szCs w:val="28"/>
          <w:lang w:eastAsia="lv-LV"/>
        </w:rPr>
        <w:t xml:space="preserve">Visu darbinieku </w:t>
      </w:r>
      <w:r w:rsidRPr="00FF2FAC">
        <w:rPr>
          <w:rFonts w:ascii="Times New Roman" w:eastAsia="Times New Roman" w:hAnsi="Times New Roman"/>
          <w:color w:val="000000"/>
          <w:sz w:val="28"/>
          <w:szCs w:val="28"/>
          <w:lang w:eastAsia="lv-LV"/>
        </w:rPr>
        <w:t xml:space="preserve">gada plānotās izmaksas ir </w:t>
      </w:r>
      <w:r w:rsidR="00725CED">
        <w:rPr>
          <w:rFonts w:ascii="Times New Roman" w:hAnsi="Times New Roman" w:cs="Times New Roman"/>
          <w:sz w:val="28"/>
          <w:szCs w:val="28"/>
        </w:rPr>
        <w:t>76 834</w:t>
      </w:r>
      <w:r w:rsidR="00725CED" w:rsidRPr="00B83171">
        <w:rPr>
          <w:rFonts w:ascii="Times New Roman" w:hAnsi="Times New Roman" w:cs="Times New Roman"/>
          <w:sz w:val="28"/>
          <w:szCs w:val="28"/>
        </w:rPr>
        <w:t xml:space="preserve"> LVL/gadā</w:t>
      </w:r>
      <w:r w:rsidR="00725CED">
        <w:rPr>
          <w:rFonts w:ascii="Times New Roman" w:hAnsi="Times New Roman" w:cs="Times New Roman"/>
          <w:sz w:val="28"/>
          <w:szCs w:val="28"/>
        </w:rPr>
        <w:t xml:space="preserve"> (109 325 EUR/gadā)</w:t>
      </w:r>
      <w:r w:rsidRPr="00FF2FAC">
        <w:rPr>
          <w:rFonts w:ascii="Times New Roman" w:eastAsia="Times New Roman" w:hAnsi="Times New Roman"/>
          <w:color w:val="000000"/>
          <w:sz w:val="28"/>
          <w:szCs w:val="28"/>
          <w:lang w:eastAsia="lv-LV"/>
        </w:rPr>
        <w:t>, sākot ar 2014.</w:t>
      </w:r>
      <w:r w:rsidR="005E2A09">
        <w:rPr>
          <w:rFonts w:ascii="Times New Roman" w:eastAsia="Times New Roman" w:hAnsi="Times New Roman"/>
          <w:color w:val="000000"/>
          <w:sz w:val="28"/>
          <w:szCs w:val="28"/>
          <w:lang w:eastAsia="lv-LV"/>
        </w:rPr>
        <w:t> </w:t>
      </w:r>
      <w:r w:rsidRPr="00FF2FAC">
        <w:rPr>
          <w:rFonts w:ascii="Times New Roman" w:eastAsia="Times New Roman" w:hAnsi="Times New Roman"/>
          <w:color w:val="000000"/>
          <w:sz w:val="28"/>
          <w:szCs w:val="28"/>
          <w:lang w:eastAsia="lv-LV"/>
        </w:rPr>
        <w:t>gadu.</w:t>
      </w:r>
    </w:p>
    <w:p w:rsidR="00E14EBF" w:rsidRPr="00FF2FAC" w:rsidRDefault="00E14EBF" w:rsidP="00B479A5">
      <w:pPr>
        <w:spacing w:after="0" w:line="240" w:lineRule="auto"/>
        <w:ind w:firstLine="72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Ja EPS administrēšana tiek veikta kā viena no funkcijām, kas jāveic Enerģētikas administrēšanas iestādei Ekonomikas ministra padotībā, tad tā tiktu veidota saskaņā ar Publisko aģentūru likumu. Likuma 2.</w:t>
      </w:r>
      <w:r w:rsidR="00637EC6">
        <w:rPr>
          <w:rFonts w:ascii="Times New Roman" w:eastAsia="Times New Roman" w:hAnsi="Times New Roman"/>
          <w:color w:val="000000"/>
          <w:sz w:val="28"/>
          <w:szCs w:val="28"/>
          <w:lang w:eastAsia="lv-LV"/>
        </w:rPr>
        <w:t> </w:t>
      </w:r>
      <w:r w:rsidRPr="00FF2FAC">
        <w:rPr>
          <w:rFonts w:ascii="Times New Roman" w:eastAsia="Times New Roman" w:hAnsi="Times New Roman"/>
          <w:color w:val="000000"/>
          <w:sz w:val="28"/>
          <w:szCs w:val="28"/>
          <w:lang w:eastAsia="lv-LV"/>
        </w:rPr>
        <w:t xml:space="preserve">panta pirmā daļa nosaka, ka </w:t>
      </w:r>
      <w:r w:rsidRPr="00FF2FAC">
        <w:rPr>
          <w:rFonts w:ascii="Times New Roman" w:eastAsia="Times New Roman" w:hAnsi="Times New Roman"/>
          <w:sz w:val="28"/>
          <w:szCs w:val="28"/>
          <w:lang w:eastAsia="lv-LV"/>
        </w:rPr>
        <w:t xml:space="preserve">valsts aģentūra ir Ministru kabineta locekļa padotībā esoša iestāde, kurai ar likumu vai Ministru kabineta noteikumiem ir noteikta kompetence pakalpojumu sniegšanas jomā. Aģentūras veidošana varētu uzlabot valsts kompetencē esošo pakalpojumu sniegšanas kvalitāti, stabilitāti, kā arī samazināt izmaksas tādās jomās kā politikas plānošanai un ieviešanas monitoringam nepieciešamie pētījumi, prognozes, ziņošana. </w:t>
      </w:r>
      <w:r w:rsidRPr="00FF2FAC">
        <w:rPr>
          <w:rFonts w:ascii="Times New Roman" w:eastAsia="Times New Roman" w:hAnsi="Times New Roman"/>
          <w:color w:val="000000"/>
          <w:sz w:val="28"/>
          <w:szCs w:val="28"/>
          <w:lang w:eastAsia="lv-LV"/>
        </w:rPr>
        <w:t xml:space="preserve">Enerģētikas administrēšanas iestādes (aģentūras) līdzekļus varētu veidot: </w:t>
      </w:r>
    </w:p>
    <w:p w:rsidR="00E14EBF" w:rsidRPr="00FF2FAC" w:rsidRDefault="00E14EBF" w:rsidP="00B479A5">
      <w:pPr>
        <w:numPr>
          <w:ilvl w:val="0"/>
          <w:numId w:val="24"/>
        </w:numPr>
        <w:spacing w:after="0" w:line="240" w:lineRule="auto"/>
        <w:ind w:left="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valsts budžeta dotācijas no vispārējiem ieņēmumiem (atbilstoši Publisko aģentūru likuma 5. panta ceturtajai daļai Valsts aģentūra var sniegt pakalpojumus, kas atsevišķu valsts pārvaldes uzdevumu izpildei dotēti no vispārējiem ieņēmumiem); </w:t>
      </w:r>
    </w:p>
    <w:p w:rsidR="00E14EBF" w:rsidRPr="00FF2FAC" w:rsidRDefault="00E14EBF" w:rsidP="00B479A5">
      <w:pPr>
        <w:numPr>
          <w:ilvl w:val="0"/>
          <w:numId w:val="24"/>
        </w:numPr>
        <w:spacing w:after="0" w:line="240" w:lineRule="auto"/>
        <w:ind w:left="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pašu ieņēmumi, to skaitā ieņēmumi no aģentūras sniegtajiem maksas pakalpojumiem; </w:t>
      </w:r>
    </w:p>
    <w:p w:rsidR="00E14EBF" w:rsidRPr="00FF2FAC" w:rsidRDefault="00E14EBF" w:rsidP="00B479A5">
      <w:pPr>
        <w:numPr>
          <w:ilvl w:val="0"/>
          <w:numId w:val="24"/>
        </w:numPr>
        <w:spacing w:after="0" w:line="240" w:lineRule="auto"/>
        <w:ind w:left="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 xml:space="preserve">ārvalstu finansiālā palīdzība; </w:t>
      </w:r>
    </w:p>
    <w:p w:rsidR="00E14EBF" w:rsidRPr="00FF2FAC" w:rsidRDefault="00E14EBF" w:rsidP="00B479A5">
      <w:pPr>
        <w:numPr>
          <w:ilvl w:val="0"/>
          <w:numId w:val="24"/>
        </w:numPr>
        <w:spacing w:after="0" w:line="240" w:lineRule="auto"/>
        <w:ind w:left="0"/>
        <w:jc w:val="both"/>
        <w:rPr>
          <w:rFonts w:ascii="Times New Roman" w:eastAsia="Times New Roman" w:hAnsi="Times New Roman"/>
          <w:color w:val="000000"/>
          <w:sz w:val="28"/>
          <w:szCs w:val="28"/>
          <w:lang w:eastAsia="lv-LV"/>
        </w:rPr>
      </w:pPr>
      <w:r w:rsidRPr="00FF2FAC">
        <w:rPr>
          <w:rFonts w:ascii="Times New Roman" w:eastAsia="Times New Roman" w:hAnsi="Times New Roman"/>
          <w:color w:val="000000"/>
          <w:sz w:val="28"/>
          <w:szCs w:val="28"/>
          <w:lang w:eastAsia="lv-LV"/>
        </w:rPr>
        <w:t>ziedojumi un dāvinājumi.</w:t>
      </w:r>
    </w:p>
    <w:p w:rsidR="00E14EBF" w:rsidRPr="00FF2FAC" w:rsidRDefault="00E14EBF" w:rsidP="00B479A5">
      <w:pPr>
        <w:spacing w:after="0" w:line="240" w:lineRule="auto"/>
        <w:ind w:firstLine="567"/>
        <w:jc w:val="both"/>
        <w:rPr>
          <w:rFonts w:ascii="Times New Roman" w:hAnsi="Times New Roman"/>
          <w:color w:val="000000"/>
          <w:sz w:val="28"/>
          <w:szCs w:val="28"/>
        </w:rPr>
      </w:pPr>
      <w:r w:rsidRPr="00FF2FAC">
        <w:rPr>
          <w:rFonts w:ascii="Times New Roman" w:hAnsi="Times New Roman"/>
          <w:sz w:val="28"/>
          <w:szCs w:val="28"/>
        </w:rPr>
        <w:t>Tādā gadījumā iestādes darbībai nepieciešamais finansējums 201</w:t>
      </w:r>
      <w:r w:rsidR="00725CED">
        <w:rPr>
          <w:rFonts w:ascii="Times New Roman" w:hAnsi="Times New Roman"/>
          <w:sz w:val="28"/>
          <w:szCs w:val="28"/>
        </w:rPr>
        <w:t>5</w:t>
      </w:r>
      <w:r w:rsidRPr="00FF2FAC">
        <w:rPr>
          <w:rFonts w:ascii="Times New Roman" w:hAnsi="Times New Roman"/>
          <w:sz w:val="28"/>
          <w:szCs w:val="28"/>
        </w:rPr>
        <w:t>. gadā tiktu noteikts ar likumu „Par valsts budžetu 201</w:t>
      </w:r>
      <w:r w:rsidR="00725CED">
        <w:rPr>
          <w:rFonts w:ascii="Times New Roman" w:hAnsi="Times New Roman"/>
          <w:sz w:val="28"/>
          <w:szCs w:val="28"/>
        </w:rPr>
        <w:t>5</w:t>
      </w:r>
      <w:r w:rsidRPr="00FF2FAC">
        <w:rPr>
          <w:rFonts w:ascii="Times New Roman" w:hAnsi="Times New Roman"/>
          <w:sz w:val="28"/>
          <w:szCs w:val="28"/>
        </w:rPr>
        <w:t>. gadam”. Aģentūras  dibināšanai ar 10 darbiniekiem un darbības nodrošināšanai 201</w:t>
      </w:r>
      <w:r w:rsidR="00725CED">
        <w:rPr>
          <w:rFonts w:ascii="Times New Roman" w:hAnsi="Times New Roman"/>
          <w:sz w:val="28"/>
          <w:szCs w:val="28"/>
        </w:rPr>
        <w:t>5</w:t>
      </w:r>
      <w:r w:rsidRPr="00FF2FAC">
        <w:rPr>
          <w:rFonts w:ascii="Times New Roman" w:hAnsi="Times New Roman"/>
          <w:sz w:val="28"/>
          <w:szCs w:val="28"/>
        </w:rPr>
        <w:t>. gadā būtu nepieciešami 156 223 LVL</w:t>
      </w:r>
      <w:r>
        <w:rPr>
          <w:rFonts w:ascii="Times New Roman" w:hAnsi="Times New Roman"/>
          <w:sz w:val="28"/>
          <w:szCs w:val="28"/>
        </w:rPr>
        <w:t xml:space="preserve"> (222 285,30 EUR)</w:t>
      </w:r>
      <w:r w:rsidRPr="00FF2FAC">
        <w:rPr>
          <w:rFonts w:ascii="Times New Roman" w:hAnsi="Times New Roman"/>
          <w:sz w:val="28"/>
          <w:szCs w:val="28"/>
        </w:rPr>
        <w:t xml:space="preserve">. Aģentūras darbinieka plānotās izmaksas gada aplūkotas </w:t>
      </w:r>
      <w:r w:rsidR="00A6188B">
        <w:rPr>
          <w:rFonts w:ascii="Times New Roman" w:hAnsi="Times New Roman"/>
          <w:sz w:val="28"/>
          <w:szCs w:val="28"/>
        </w:rPr>
        <w:t>2</w:t>
      </w:r>
      <w:r>
        <w:rPr>
          <w:rFonts w:ascii="Times New Roman" w:hAnsi="Times New Roman"/>
          <w:sz w:val="28"/>
          <w:szCs w:val="28"/>
        </w:rPr>
        <w:t>.</w:t>
      </w:r>
      <w:r w:rsidR="009C40DD">
        <w:rPr>
          <w:rFonts w:ascii="Times New Roman" w:hAnsi="Times New Roman"/>
          <w:sz w:val="28"/>
          <w:szCs w:val="28"/>
        </w:rPr>
        <w:t> </w:t>
      </w:r>
      <w:r>
        <w:rPr>
          <w:rFonts w:ascii="Times New Roman" w:hAnsi="Times New Roman"/>
          <w:sz w:val="28"/>
          <w:szCs w:val="28"/>
        </w:rPr>
        <w:t>tabulā.</w:t>
      </w:r>
      <w:r w:rsidRPr="00FF2FAC">
        <w:rPr>
          <w:rFonts w:ascii="Times New Roman" w:hAnsi="Times New Roman"/>
          <w:sz w:val="28"/>
          <w:szCs w:val="28"/>
        </w:rPr>
        <w:t xml:space="preserve"> </w:t>
      </w:r>
    </w:p>
    <w:p w:rsidR="00E14EBF" w:rsidRDefault="00E14EBF" w:rsidP="00B479A5">
      <w:pPr>
        <w:spacing w:after="0" w:line="240" w:lineRule="auto"/>
        <w:ind w:firstLine="567"/>
        <w:jc w:val="both"/>
        <w:rPr>
          <w:rFonts w:ascii="Times New Roman" w:eastAsia="Times New Roman" w:hAnsi="Times New Roman"/>
          <w:sz w:val="28"/>
          <w:szCs w:val="28"/>
          <w:lang w:eastAsia="lv-LV"/>
        </w:rPr>
      </w:pPr>
      <w:r w:rsidRPr="00FF2FAC">
        <w:rPr>
          <w:rFonts w:ascii="Times New Roman" w:eastAsia="Times New Roman" w:hAnsi="Times New Roman"/>
          <w:sz w:val="28"/>
          <w:szCs w:val="28"/>
          <w:lang w:eastAsia="lv-LV"/>
        </w:rPr>
        <w:t xml:space="preserve">EAA aģentūras amatpersonu (darbinieka) amatus klasificēs saskaņā ar normatīvajiem aktiem par vienotu amatu klasifikācijas sistēmu un amatu klasificēšanas kārtību valsts un pašvaldību institūcijās (amatu katalogs) un </w:t>
      </w:r>
      <w:r w:rsidRPr="00FF2FAC">
        <w:rPr>
          <w:rFonts w:ascii="Times New Roman" w:eastAsia="Times New Roman" w:hAnsi="Times New Roman"/>
          <w:sz w:val="28"/>
          <w:szCs w:val="28"/>
          <w:lang w:eastAsia="lv-LV"/>
        </w:rPr>
        <w:lastRenderedPageBreak/>
        <w:t xml:space="preserve">nosaka amata saimi un līmeni. Pamatojoties uz amata saimi un līmeni, noteiks amatam atbilstošo mēnešalgu grupu.  </w:t>
      </w:r>
    </w:p>
    <w:p w:rsidR="00E14EBF" w:rsidRPr="00FF2FAC" w:rsidRDefault="00A6188B" w:rsidP="00E14EBF">
      <w:pPr>
        <w:spacing w:after="0" w:line="240" w:lineRule="auto"/>
        <w:jc w:val="right"/>
        <w:rPr>
          <w:rFonts w:ascii="Times New Roman" w:hAnsi="Times New Roman"/>
          <w:b/>
          <w:sz w:val="24"/>
          <w:szCs w:val="24"/>
        </w:rPr>
      </w:pPr>
      <w:r>
        <w:rPr>
          <w:rFonts w:ascii="Times New Roman" w:hAnsi="Times New Roman"/>
          <w:b/>
          <w:sz w:val="24"/>
          <w:szCs w:val="24"/>
        </w:rPr>
        <w:t>2</w:t>
      </w:r>
      <w:r w:rsidR="00E14EBF">
        <w:rPr>
          <w:rFonts w:ascii="Times New Roman" w:hAnsi="Times New Roman"/>
          <w:b/>
          <w:sz w:val="24"/>
          <w:szCs w:val="24"/>
        </w:rPr>
        <w:t>.</w:t>
      </w:r>
      <w:r w:rsidR="00E14EBF" w:rsidRPr="00FF2FAC">
        <w:rPr>
          <w:rFonts w:ascii="Times New Roman" w:hAnsi="Times New Roman"/>
          <w:b/>
          <w:sz w:val="24"/>
          <w:szCs w:val="24"/>
        </w:rPr>
        <w:t> tabula</w:t>
      </w:r>
    </w:p>
    <w:p w:rsidR="00E14EBF" w:rsidRPr="00D320A4" w:rsidRDefault="00E14EBF" w:rsidP="00E14EBF">
      <w:pPr>
        <w:spacing w:after="240" w:line="240" w:lineRule="auto"/>
        <w:jc w:val="right"/>
        <w:rPr>
          <w:rFonts w:ascii="Times New Roman" w:hAnsi="Times New Roman"/>
          <w:b/>
          <w:sz w:val="24"/>
          <w:szCs w:val="24"/>
        </w:rPr>
      </w:pPr>
      <w:r w:rsidRPr="00D320A4">
        <w:rPr>
          <w:rFonts w:ascii="Times New Roman" w:hAnsi="Times New Roman"/>
          <w:b/>
          <w:sz w:val="24"/>
          <w:szCs w:val="24"/>
        </w:rPr>
        <w:t>EAA aģentūras izmaksas gadā*</w:t>
      </w:r>
    </w:p>
    <w:tbl>
      <w:tblPr>
        <w:tblW w:w="0" w:type="auto"/>
        <w:tblCellMar>
          <w:left w:w="0" w:type="dxa"/>
          <w:right w:w="0" w:type="dxa"/>
        </w:tblCellMar>
        <w:tblLook w:val="04A0" w:firstRow="1" w:lastRow="0" w:firstColumn="1" w:lastColumn="0" w:noHBand="0" w:noVBand="1"/>
      </w:tblPr>
      <w:tblGrid>
        <w:gridCol w:w="3354"/>
        <w:gridCol w:w="1576"/>
        <w:gridCol w:w="1576"/>
        <w:gridCol w:w="2016"/>
      </w:tblGrid>
      <w:tr w:rsidR="00E14EBF" w:rsidRPr="00FF2FAC" w:rsidTr="00E14EBF">
        <w:trPr>
          <w:trHeight w:val="1038"/>
        </w:trPr>
        <w:tc>
          <w:tcPr>
            <w:tcW w:w="3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r w:rsidRPr="00FF2FAC">
              <w:rPr>
                <w:rFonts w:ascii="Times New Roman" w:hAnsi="Times New Roman"/>
                <w:sz w:val="24"/>
                <w:szCs w:val="24"/>
              </w:rPr>
              <w:t>Rādītājs</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jc w:val="center"/>
              <w:rPr>
                <w:rFonts w:ascii="Times New Roman" w:hAnsi="Times New Roman"/>
                <w:sz w:val="24"/>
                <w:szCs w:val="24"/>
                <w:lang w:eastAsia="hi-IN"/>
              </w:rPr>
            </w:pPr>
            <w:r w:rsidRPr="00FF2FAC">
              <w:rPr>
                <w:rFonts w:ascii="Times New Roman" w:hAnsi="Times New Roman"/>
                <w:sz w:val="24"/>
                <w:szCs w:val="24"/>
              </w:rPr>
              <w:t>Darbinieks</w:t>
            </w:r>
          </w:p>
          <w:p w:rsidR="00E14EBF" w:rsidRPr="00FF2FAC" w:rsidRDefault="00E14EBF" w:rsidP="00E14EBF">
            <w:pPr>
              <w:spacing w:after="0" w:line="240" w:lineRule="auto"/>
              <w:jc w:val="center"/>
              <w:rPr>
                <w:rFonts w:ascii="Times New Roman" w:hAnsi="Times New Roman"/>
                <w:sz w:val="24"/>
                <w:szCs w:val="24"/>
                <w:lang w:eastAsia="hi-IN"/>
              </w:rPr>
            </w:pPr>
            <w:r w:rsidRPr="00FF2FAC">
              <w:rPr>
                <w:rFonts w:ascii="Times New Roman" w:hAnsi="Times New Roman"/>
                <w:sz w:val="24"/>
                <w:szCs w:val="24"/>
              </w:rPr>
              <w:t>(mēnešalga 700 LVL</w:t>
            </w:r>
            <w:r>
              <w:rPr>
                <w:rFonts w:ascii="Times New Roman" w:hAnsi="Times New Roman"/>
                <w:sz w:val="24"/>
                <w:szCs w:val="24"/>
              </w:rPr>
              <w:t xml:space="preserve"> (996,01 EUR)</w:t>
            </w:r>
            <w:r w:rsidRPr="00FF2FAC">
              <w:rPr>
                <w:rFonts w:ascii="Times New Roman" w:hAnsi="Times New Roman"/>
                <w:sz w:val="24"/>
                <w:szCs w:val="24"/>
              </w:rPr>
              <w:t>)</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jc w:val="center"/>
              <w:rPr>
                <w:rFonts w:ascii="Times New Roman" w:hAnsi="Times New Roman"/>
                <w:sz w:val="24"/>
                <w:szCs w:val="24"/>
                <w:lang w:eastAsia="hi-IN"/>
              </w:rPr>
            </w:pPr>
            <w:r w:rsidRPr="00FF2FAC">
              <w:rPr>
                <w:rFonts w:ascii="Times New Roman" w:hAnsi="Times New Roman"/>
                <w:sz w:val="24"/>
                <w:szCs w:val="24"/>
              </w:rPr>
              <w:t>Darbinieks (mēnešalga 800 LVL</w:t>
            </w:r>
            <w:r>
              <w:rPr>
                <w:rFonts w:ascii="Times New Roman" w:hAnsi="Times New Roman"/>
                <w:sz w:val="24"/>
                <w:szCs w:val="24"/>
              </w:rPr>
              <w:t xml:space="preserve"> (1138,30 EUR)</w:t>
            </w:r>
            <w:r w:rsidRPr="00FF2FAC">
              <w:rPr>
                <w:rFonts w:ascii="Times New Roman" w:hAnsi="Times New Roman"/>
                <w:sz w:val="24"/>
                <w:szCs w:val="24"/>
              </w:rPr>
              <w:t>)</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jc w:val="center"/>
              <w:rPr>
                <w:rFonts w:ascii="Times New Roman" w:hAnsi="Times New Roman"/>
                <w:sz w:val="24"/>
                <w:szCs w:val="24"/>
                <w:lang w:eastAsia="hi-IN"/>
              </w:rPr>
            </w:pPr>
            <w:r w:rsidRPr="00FF2FAC">
              <w:rPr>
                <w:rFonts w:ascii="Times New Roman" w:hAnsi="Times New Roman"/>
                <w:sz w:val="24"/>
                <w:szCs w:val="24"/>
              </w:rPr>
              <w:t>Darbinieks</w:t>
            </w:r>
          </w:p>
          <w:p w:rsidR="00E14EBF" w:rsidRPr="00FF2FAC" w:rsidRDefault="00E14EBF" w:rsidP="00E14EBF">
            <w:pPr>
              <w:spacing w:after="0" w:line="240" w:lineRule="auto"/>
              <w:jc w:val="center"/>
              <w:rPr>
                <w:rFonts w:ascii="Times New Roman" w:hAnsi="Times New Roman"/>
                <w:sz w:val="24"/>
                <w:szCs w:val="24"/>
                <w:lang w:eastAsia="hi-IN"/>
              </w:rPr>
            </w:pPr>
            <w:r w:rsidRPr="00FF2FAC">
              <w:rPr>
                <w:rFonts w:ascii="Times New Roman" w:hAnsi="Times New Roman"/>
                <w:sz w:val="24"/>
                <w:szCs w:val="24"/>
              </w:rPr>
              <w:t>(mēnešalga 1100 LVL</w:t>
            </w:r>
            <w:r>
              <w:rPr>
                <w:rFonts w:ascii="Times New Roman" w:hAnsi="Times New Roman"/>
                <w:sz w:val="24"/>
                <w:szCs w:val="24"/>
              </w:rPr>
              <w:t xml:space="preserve"> (1565,16 EUR)</w:t>
            </w:r>
            <w:r w:rsidRPr="00FF2FAC">
              <w:rPr>
                <w:rFonts w:ascii="Times New Roman" w:hAnsi="Times New Roman"/>
                <w:sz w:val="24"/>
                <w:szCs w:val="24"/>
              </w:rPr>
              <w:t>)</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r w:rsidRPr="00FF2FAC">
              <w:rPr>
                <w:rFonts w:ascii="Times New Roman" w:hAnsi="Times New Roman"/>
                <w:sz w:val="24"/>
                <w:szCs w:val="24"/>
              </w:rPr>
              <w:t>Atalgojums</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8</w:t>
            </w:r>
            <w:r>
              <w:rPr>
                <w:rFonts w:ascii="Times New Roman" w:hAnsi="Times New Roman"/>
                <w:sz w:val="24"/>
                <w:szCs w:val="24"/>
              </w:rPr>
              <w:t> </w:t>
            </w:r>
            <w:r w:rsidRPr="00FF2FAC">
              <w:rPr>
                <w:rFonts w:ascii="Times New Roman" w:hAnsi="Times New Roman"/>
                <w:sz w:val="24"/>
                <w:szCs w:val="24"/>
              </w:rPr>
              <w:t>400</w:t>
            </w:r>
            <w:r>
              <w:rPr>
                <w:rFonts w:ascii="Times New Roman" w:hAnsi="Times New Roman"/>
                <w:sz w:val="24"/>
                <w:szCs w:val="24"/>
              </w:rPr>
              <w:t xml:space="preserve"> (11 952,12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9</w:t>
            </w:r>
            <w:r>
              <w:rPr>
                <w:rFonts w:ascii="Times New Roman" w:hAnsi="Times New Roman"/>
                <w:sz w:val="24"/>
                <w:szCs w:val="24"/>
              </w:rPr>
              <w:t> </w:t>
            </w:r>
            <w:r w:rsidRPr="00FF2FAC">
              <w:rPr>
                <w:rFonts w:ascii="Times New Roman" w:hAnsi="Times New Roman"/>
                <w:sz w:val="24"/>
                <w:szCs w:val="24"/>
              </w:rPr>
              <w:t>600</w:t>
            </w:r>
            <w:r>
              <w:rPr>
                <w:rFonts w:ascii="Times New Roman" w:hAnsi="Times New Roman"/>
                <w:sz w:val="24"/>
                <w:szCs w:val="24"/>
              </w:rPr>
              <w:t xml:space="preserve"> (13659,57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13</w:t>
            </w:r>
            <w:r>
              <w:rPr>
                <w:rFonts w:ascii="Times New Roman" w:hAnsi="Times New Roman"/>
                <w:sz w:val="24"/>
                <w:szCs w:val="24"/>
              </w:rPr>
              <w:t> </w:t>
            </w:r>
            <w:r w:rsidRPr="00FF2FAC">
              <w:rPr>
                <w:rFonts w:ascii="Times New Roman" w:hAnsi="Times New Roman"/>
                <w:sz w:val="24"/>
                <w:szCs w:val="24"/>
              </w:rPr>
              <w:t>200</w:t>
            </w:r>
            <w:r>
              <w:rPr>
                <w:rFonts w:ascii="Times New Roman" w:hAnsi="Times New Roman"/>
                <w:sz w:val="24"/>
                <w:szCs w:val="24"/>
              </w:rPr>
              <w:t xml:space="preserve"> (18 781,91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r w:rsidRPr="00FF2FAC">
              <w:rPr>
                <w:rFonts w:ascii="Times New Roman" w:hAnsi="Times New Roman"/>
                <w:sz w:val="24"/>
                <w:szCs w:val="24"/>
              </w:rPr>
              <w:t>Darba devēja sociālās apdrošināšanas obligātās iemaksas</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2</w:t>
            </w:r>
            <w:r>
              <w:rPr>
                <w:rFonts w:ascii="Times New Roman" w:hAnsi="Times New Roman"/>
                <w:sz w:val="24"/>
                <w:szCs w:val="24"/>
              </w:rPr>
              <w:t> </w:t>
            </w:r>
            <w:r w:rsidRPr="00FF2FAC">
              <w:rPr>
                <w:rFonts w:ascii="Times New Roman" w:hAnsi="Times New Roman"/>
                <w:sz w:val="24"/>
                <w:szCs w:val="24"/>
              </w:rPr>
              <w:t>024</w:t>
            </w:r>
            <w:r>
              <w:rPr>
                <w:rFonts w:ascii="Times New Roman" w:hAnsi="Times New Roman"/>
                <w:sz w:val="24"/>
                <w:szCs w:val="24"/>
              </w:rPr>
              <w:t xml:space="preserve"> (2 879,89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2</w:t>
            </w:r>
            <w:r>
              <w:rPr>
                <w:rFonts w:ascii="Times New Roman" w:hAnsi="Times New Roman"/>
                <w:sz w:val="24"/>
                <w:szCs w:val="24"/>
              </w:rPr>
              <w:t> </w:t>
            </w:r>
            <w:r w:rsidRPr="00FF2FAC">
              <w:rPr>
                <w:rFonts w:ascii="Times New Roman" w:hAnsi="Times New Roman"/>
                <w:sz w:val="24"/>
                <w:szCs w:val="24"/>
              </w:rPr>
              <w:t>313</w:t>
            </w:r>
            <w:r>
              <w:rPr>
                <w:rFonts w:ascii="Times New Roman" w:hAnsi="Times New Roman"/>
                <w:sz w:val="24"/>
                <w:szCs w:val="24"/>
              </w:rPr>
              <w:t xml:space="preserve"> (3 291,10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3</w:t>
            </w:r>
            <w:r>
              <w:rPr>
                <w:rFonts w:ascii="Times New Roman" w:hAnsi="Times New Roman"/>
                <w:sz w:val="24"/>
                <w:szCs w:val="24"/>
              </w:rPr>
              <w:t> </w:t>
            </w:r>
            <w:r w:rsidRPr="00FF2FAC">
              <w:rPr>
                <w:rFonts w:ascii="Times New Roman" w:hAnsi="Times New Roman"/>
                <w:sz w:val="24"/>
                <w:szCs w:val="24"/>
              </w:rPr>
              <w:t>180</w:t>
            </w:r>
            <w:r>
              <w:rPr>
                <w:rFonts w:ascii="Times New Roman" w:hAnsi="Times New Roman"/>
                <w:sz w:val="24"/>
                <w:szCs w:val="24"/>
              </w:rPr>
              <w:t xml:space="preserve"> (4 524,32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b/>
                <w:bCs/>
                <w:sz w:val="24"/>
                <w:szCs w:val="24"/>
                <w:lang w:eastAsia="hi-IN"/>
              </w:rPr>
            </w:pPr>
            <w:r w:rsidRPr="00FF2FAC">
              <w:rPr>
                <w:rFonts w:ascii="Times New Roman" w:hAnsi="Times New Roman"/>
                <w:b/>
                <w:bCs/>
                <w:sz w:val="24"/>
                <w:szCs w:val="24"/>
              </w:rPr>
              <w:t>Atlīdzība kopā</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10</w:t>
            </w:r>
            <w:r>
              <w:rPr>
                <w:rFonts w:ascii="Times New Roman" w:hAnsi="Times New Roman"/>
                <w:b/>
                <w:bCs/>
                <w:sz w:val="24"/>
                <w:szCs w:val="24"/>
              </w:rPr>
              <w:t> </w:t>
            </w:r>
            <w:r w:rsidRPr="00FF2FAC">
              <w:rPr>
                <w:rFonts w:ascii="Times New Roman" w:hAnsi="Times New Roman"/>
                <w:b/>
                <w:bCs/>
                <w:sz w:val="24"/>
                <w:szCs w:val="24"/>
              </w:rPr>
              <w:t>424</w:t>
            </w:r>
            <w:r>
              <w:rPr>
                <w:rFonts w:ascii="Times New Roman" w:hAnsi="Times New Roman"/>
                <w:b/>
                <w:bCs/>
                <w:sz w:val="24"/>
                <w:szCs w:val="24"/>
              </w:rPr>
              <w:t xml:space="preserve"> (14 832,02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11</w:t>
            </w:r>
            <w:r>
              <w:rPr>
                <w:rFonts w:ascii="Times New Roman" w:hAnsi="Times New Roman"/>
                <w:b/>
                <w:bCs/>
                <w:sz w:val="24"/>
                <w:szCs w:val="24"/>
              </w:rPr>
              <w:t> </w:t>
            </w:r>
            <w:r w:rsidRPr="00FF2FAC">
              <w:rPr>
                <w:rFonts w:ascii="Times New Roman" w:hAnsi="Times New Roman"/>
                <w:b/>
                <w:bCs/>
                <w:sz w:val="24"/>
                <w:szCs w:val="24"/>
              </w:rPr>
              <w:t>913</w:t>
            </w:r>
            <w:r>
              <w:rPr>
                <w:rFonts w:ascii="Times New Roman" w:hAnsi="Times New Roman"/>
                <w:b/>
                <w:bCs/>
                <w:sz w:val="24"/>
                <w:szCs w:val="24"/>
              </w:rPr>
              <w:t xml:space="preserve"> (16 950,67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16</w:t>
            </w:r>
            <w:r>
              <w:rPr>
                <w:rFonts w:ascii="Times New Roman" w:hAnsi="Times New Roman"/>
                <w:b/>
                <w:bCs/>
                <w:sz w:val="24"/>
                <w:szCs w:val="24"/>
              </w:rPr>
              <w:t> </w:t>
            </w:r>
            <w:r w:rsidRPr="00FF2FAC">
              <w:rPr>
                <w:rFonts w:ascii="Times New Roman" w:hAnsi="Times New Roman"/>
                <w:b/>
                <w:bCs/>
                <w:sz w:val="24"/>
                <w:szCs w:val="24"/>
              </w:rPr>
              <w:t>380</w:t>
            </w:r>
            <w:r>
              <w:rPr>
                <w:rFonts w:ascii="Times New Roman" w:hAnsi="Times New Roman"/>
                <w:b/>
                <w:bCs/>
                <w:sz w:val="24"/>
                <w:szCs w:val="24"/>
              </w:rPr>
              <w:t xml:space="preserve"> (23 306,64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r w:rsidRPr="00FF2FAC">
              <w:rPr>
                <w:rFonts w:ascii="Times New Roman" w:hAnsi="Times New Roman"/>
                <w:sz w:val="24"/>
                <w:szCs w:val="24"/>
              </w:rPr>
              <w:t>Komandējumi</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tcPr>
          <w:p w:rsidR="00E14EBF" w:rsidRPr="00FF2FAC" w:rsidRDefault="00E14EBF" w:rsidP="00E14EBF">
            <w:pPr>
              <w:spacing w:after="0" w:line="240" w:lineRule="auto"/>
              <w:ind w:firstLine="720"/>
              <w:jc w:val="right"/>
              <w:rPr>
                <w:rFonts w:ascii="Times New Roman" w:hAnsi="Times New Roman"/>
                <w:sz w:val="24"/>
                <w:szCs w:val="24"/>
                <w:lang w:eastAsia="hi-IN"/>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tcPr>
          <w:p w:rsidR="00E14EBF" w:rsidRPr="00FF2FAC" w:rsidRDefault="00E14EBF" w:rsidP="00E14EBF">
            <w:pPr>
              <w:spacing w:after="0" w:line="240" w:lineRule="auto"/>
              <w:ind w:firstLine="720"/>
              <w:jc w:val="right"/>
              <w:rPr>
                <w:rFonts w:ascii="Times New Roman" w:hAnsi="Times New Roman"/>
                <w:sz w:val="24"/>
                <w:szCs w:val="24"/>
                <w:lang w:eastAsia="hi-IN"/>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tcPr>
          <w:p w:rsidR="00E14EBF" w:rsidRPr="00FF2FAC" w:rsidRDefault="00E14EBF" w:rsidP="00E14EBF">
            <w:pPr>
              <w:spacing w:after="0" w:line="240" w:lineRule="auto"/>
              <w:ind w:firstLine="720"/>
              <w:jc w:val="right"/>
              <w:rPr>
                <w:rFonts w:ascii="Times New Roman" w:hAnsi="Times New Roman"/>
                <w:sz w:val="24"/>
                <w:szCs w:val="24"/>
                <w:lang w:eastAsia="hi-IN"/>
              </w:rPr>
            </w:pP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r w:rsidRPr="00FF2FAC">
              <w:rPr>
                <w:rFonts w:ascii="Times New Roman" w:hAnsi="Times New Roman"/>
                <w:sz w:val="24"/>
                <w:szCs w:val="24"/>
              </w:rPr>
              <w:t>Sakaru pakalpojumi</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280</w:t>
            </w:r>
            <w:r>
              <w:rPr>
                <w:rFonts w:ascii="Times New Roman" w:hAnsi="Times New Roman"/>
                <w:sz w:val="24"/>
                <w:szCs w:val="24"/>
              </w:rPr>
              <w:t xml:space="preserve"> (398,40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280</w:t>
            </w:r>
            <w:r>
              <w:rPr>
                <w:rFonts w:ascii="Times New Roman" w:hAnsi="Times New Roman"/>
                <w:sz w:val="24"/>
                <w:szCs w:val="24"/>
              </w:rPr>
              <w:t xml:space="preserve"> (398,40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280</w:t>
            </w:r>
            <w:r>
              <w:rPr>
                <w:rFonts w:ascii="Times New Roman" w:hAnsi="Times New Roman"/>
                <w:sz w:val="24"/>
                <w:szCs w:val="24"/>
              </w:rPr>
              <w:t xml:space="preserve"> (398,40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r w:rsidRPr="00FF2FAC">
              <w:rPr>
                <w:rFonts w:ascii="Times New Roman" w:hAnsi="Times New Roman"/>
                <w:sz w:val="24"/>
                <w:szCs w:val="24"/>
              </w:rPr>
              <w:t>Komunālo pakalpojumu apmaksa</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485</w:t>
            </w:r>
            <w:r>
              <w:rPr>
                <w:rFonts w:ascii="Times New Roman" w:hAnsi="Times New Roman"/>
                <w:sz w:val="24"/>
                <w:szCs w:val="24"/>
              </w:rPr>
              <w:t xml:space="preserve"> (690,09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485</w:t>
            </w:r>
            <w:r>
              <w:rPr>
                <w:rFonts w:ascii="Times New Roman" w:hAnsi="Times New Roman"/>
                <w:sz w:val="24"/>
                <w:szCs w:val="24"/>
              </w:rPr>
              <w:t xml:space="preserve"> (690,09 EUR)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485</w:t>
            </w:r>
            <w:r>
              <w:rPr>
                <w:rFonts w:ascii="Times New Roman" w:hAnsi="Times New Roman"/>
                <w:sz w:val="24"/>
                <w:szCs w:val="24"/>
              </w:rPr>
              <w:t xml:space="preserve"> (690,09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proofErr w:type="spellStart"/>
            <w:r w:rsidRPr="00FF2FAC">
              <w:rPr>
                <w:rFonts w:ascii="Times New Roman" w:hAnsi="Times New Roman"/>
                <w:sz w:val="24"/>
                <w:szCs w:val="24"/>
              </w:rPr>
              <w:t>Inv.rem</w:t>
            </w:r>
            <w:proofErr w:type="spellEnd"/>
            <w:r w:rsidRPr="00FF2FAC">
              <w:rPr>
                <w:rFonts w:ascii="Times New Roman" w:hAnsi="Times New Roman"/>
                <w:sz w:val="24"/>
                <w:szCs w:val="24"/>
              </w:rPr>
              <w:t>., uzturēšanas izdevumi</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540</w:t>
            </w:r>
            <w:r>
              <w:rPr>
                <w:rFonts w:ascii="Times New Roman" w:hAnsi="Times New Roman"/>
                <w:sz w:val="24"/>
                <w:szCs w:val="24"/>
              </w:rPr>
              <w:t xml:space="preserve"> (768,35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540</w:t>
            </w:r>
            <w:r>
              <w:rPr>
                <w:rFonts w:ascii="Times New Roman" w:hAnsi="Times New Roman"/>
                <w:sz w:val="24"/>
                <w:szCs w:val="24"/>
              </w:rPr>
              <w:t xml:space="preserve"> (768,35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540</w:t>
            </w:r>
            <w:r>
              <w:rPr>
                <w:rFonts w:ascii="Times New Roman" w:hAnsi="Times New Roman"/>
                <w:sz w:val="24"/>
                <w:szCs w:val="24"/>
              </w:rPr>
              <w:t xml:space="preserve"> (768,35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r w:rsidRPr="00FF2FAC">
              <w:rPr>
                <w:rFonts w:ascii="Times New Roman" w:hAnsi="Times New Roman"/>
                <w:sz w:val="24"/>
                <w:szCs w:val="24"/>
              </w:rPr>
              <w:t>Informācijas tehnoloģiju pakalpojumi</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375</w:t>
            </w:r>
            <w:r>
              <w:rPr>
                <w:rFonts w:ascii="Times New Roman" w:hAnsi="Times New Roman"/>
                <w:sz w:val="24"/>
                <w:szCs w:val="24"/>
              </w:rPr>
              <w:t xml:space="preserve"> (533,58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375</w:t>
            </w:r>
            <w:r>
              <w:rPr>
                <w:rFonts w:ascii="Times New Roman" w:hAnsi="Times New Roman"/>
                <w:sz w:val="24"/>
                <w:szCs w:val="24"/>
              </w:rPr>
              <w:t xml:space="preserve"> (533,58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375</w:t>
            </w:r>
            <w:r>
              <w:rPr>
                <w:rFonts w:ascii="Times New Roman" w:hAnsi="Times New Roman"/>
                <w:sz w:val="24"/>
                <w:szCs w:val="24"/>
              </w:rPr>
              <w:t xml:space="preserve"> (533,58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r w:rsidRPr="00FF2FAC">
              <w:rPr>
                <w:rFonts w:ascii="Times New Roman" w:hAnsi="Times New Roman"/>
                <w:sz w:val="24"/>
                <w:szCs w:val="24"/>
              </w:rPr>
              <w:t xml:space="preserve">Citi pakalpojumi (telpu noma </w:t>
            </w:r>
            <w:proofErr w:type="spellStart"/>
            <w:r w:rsidRPr="00FF2FAC">
              <w:rPr>
                <w:rFonts w:ascii="Times New Roman" w:hAnsi="Times New Roman"/>
                <w:sz w:val="24"/>
                <w:szCs w:val="24"/>
              </w:rPr>
              <w:t>u.c</w:t>
            </w:r>
            <w:proofErr w:type="spellEnd"/>
            <w:r w:rsidRPr="00FF2FAC">
              <w:rPr>
                <w:rFonts w:ascii="Times New Roman" w:hAnsi="Times New Roman"/>
                <w:sz w:val="24"/>
                <w:szCs w:val="24"/>
              </w:rPr>
              <w:t>.)</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126</w:t>
            </w:r>
            <w:r>
              <w:rPr>
                <w:rFonts w:ascii="Times New Roman" w:hAnsi="Times New Roman"/>
                <w:sz w:val="24"/>
                <w:szCs w:val="24"/>
              </w:rPr>
              <w:t xml:space="preserve"> (179,28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126</w:t>
            </w:r>
            <w:r>
              <w:rPr>
                <w:rFonts w:ascii="Times New Roman" w:hAnsi="Times New Roman"/>
                <w:sz w:val="24"/>
                <w:szCs w:val="24"/>
              </w:rPr>
              <w:t xml:space="preserve"> (179,28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126</w:t>
            </w:r>
            <w:r>
              <w:rPr>
                <w:rFonts w:ascii="Times New Roman" w:hAnsi="Times New Roman"/>
                <w:sz w:val="24"/>
                <w:szCs w:val="24"/>
              </w:rPr>
              <w:t xml:space="preserve"> (179,28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center"/>
              <w:rPr>
                <w:rFonts w:ascii="Times New Roman" w:hAnsi="Times New Roman"/>
                <w:sz w:val="24"/>
                <w:szCs w:val="24"/>
                <w:lang w:eastAsia="hi-IN"/>
              </w:rPr>
            </w:pPr>
            <w:r w:rsidRPr="00FF2FAC">
              <w:rPr>
                <w:rFonts w:ascii="Times New Roman" w:hAnsi="Times New Roman"/>
                <w:sz w:val="24"/>
                <w:szCs w:val="24"/>
              </w:rPr>
              <w:t>Biroja preces, inventārs</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1</w:t>
            </w:r>
            <w:r>
              <w:rPr>
                <w:rFonts w:ascii="Times New Roman" w:hAnsi="Times New Roman"/>
                <w:sz w:val="24"/>
                <w:szCs w:val="24"/>
              </w:rPr>
              <w:t> </w:t>
            </w:r>
            <w:r w:rsidRPr="00FF2FAC">
              <w:rPr>
                <w:rFonts w:ascii="Times New Roman" w:hAnsi="Times New Roman"/>
                <w:sz w:val="24"/>
                <w:szCs w:val="24"/>
              </w:rPr>
              <w:t>350</w:t>
            </w:r>
            <w:r>
              <w:rPr>
                <w:rFonts w:ascii="Times New Roman" w:hAnsi="Times New Roman"/>
                <w:sz w:val="24"/>
                <w:szCs w:val="24"/>
              </w:rPr>
              <w:t xml:space="preserve"> (3 343,75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1</w:t>
            </w:r>
            <w:r>
              <w:rPr>
                <w:rFonts w:ascii="Times New Roman" w:hAnsi="Times New Roman"/>
                <w:sz w:val="24"/>
                <w:szCs w:val="24"/>
              </w:rPr>
              <w:t> </w:t>
            </w:r>
            <w:r w:rsidRPr="00FF2FAC">
              <w:rPr>
                <w:rFonts w:ascii="Times New Roman" w:hAnsi="Times New Roman"/>
                <w:sz w:val="24"/>
                <w:szCs w:val="24"/>
              </w:rPr>
              <w:t>350</w:t>
            </w:r>
            <w:r>
              <w:rPr>
                <w:rFonts w:ascii="Times New Roman" w:hAnsi="Times New Roman"/>
                <w:sz w:val="24"/>
                <w:szCs w:val="24"/>
              </w:rPr>
              <w:t xml:space="preserve"> (3 343,75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sz w:val="24"/>
                <w:szCs w:val="24"/>
                <w:lang w:eastAsia="hi-IN"/>
              </w:rPr>
            </w:pPr>
            <w:r w:rsidRPr="00FF2FAC">
              <w:rPr>
                <w:rFonts w:ascii="Times New Roman" w:hAnsi="Times New Roman"/>
                <w:sz w:val="24"/>
                <w:szCs w:val="24"/>
              </w:rPr>
              <w:t>1</w:t>
            </w:r>
            <w:r>
              <w:rPr>
                <w:rFonts w:ascii="Times New Roman" w:hAnsi="Times New Roman"/>
                <w:sz w:val="24"/>
                <w:szCs w:val="24"/>
              </w:rPr>
              <w:t> </w:t>
            </w:r>
            <w:r w:rsidRPr="00FF2FAC">
              <w:rPr>
                <w:rFonts w:ascii="Times New Roman" w:hAnsi="Times New Roman"/>
                <w:sz w:val="24"/>
                <w:szCs w:val="24"/>
              </w:rPr>
              <w:t>350</w:t>
            </w:r>
            <w:r>
              <w:rPr>
                <w:rFonts w:ascii="Times New Roman" w:hAnsi="Times New Roman"/>
                <w:sz w:val="24"/>
                <w:szCs w:val="24"/>
              </w:rPr>
              <w:t xml:space="preserve"> (3 343,75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jc w:val="both"/>
              <w:rPr>
                <w:rFonts w:ascii="Times New Roman" w:hAnsi="Times New Roman"/>
                <w:b/>
                <w:bCs/>
                <w:sz w:val="24"/>
                <w:szCs w:val="24"/>
                <w:lang w:eastAsia="hi-IN"/>
              </w:rPr>
            </w:pPr>
            <w:r w:rsidRPr="00FF2FAC">
              <w:rPr>
                <w:rFonts w:ascii="Times New Roman" w:hAnsi="Times New Roman"/>
                <w:b/>
                <w:bCs/>
                <w:sz w:val="24"/>
                <w:szCs w:val="24"/>
              </w:rPr>
              <w:t>Preces un pakalpojumi kopā</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3</w:t>
            </w:r>
            <w:r>
              <w:rPr>
                <w:rFonts w:ascii="Times New Roman" w:hAnsi="Times New Roman"/>
                <w:b/>
                <w:bCs/>
                <w:sz w:val="24"/>
                <w:szCs w:val="24"/>
              </w:rPr>
              <w:t> </w:t>
            </w:r>
            <w:r w:rsidRPr="00FF2FAC">
              <w:rPr>
                <w:rFonts w:ascii="Times New Roman" w:hAnsi="Times New Roman"/>
                <w:b/>
                <w:bCs/>
                <w:sz w:val="24"/>
                <w:szCs w:val="24"/>
              </w:rPr>
              <w:t>156</w:t>
            </w:r>
            <w:r>
              <w:rPr>
                <w:rFonts w:ascii="Times New Roman" w:hAnsi="Times New Roman"/>
                <w:b/>
                <w:bCs/>
                <w:sz w:val="24"/>
                <w:szCs w:val="24"/>
              </w:rPr>
              <w:t xml:space="preserve"> (4 490,58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3</w:t>
            </w:r>
            <w:r>
              <w:rPr>
                <w:rFonts w:ascii="Times New Roman" w:hAnsi="Times New Roman"/>
                <w:b/>
                <w:bCs/>
                <w:sz w:val="24"/>
                <w:szCs w:val="24"/>
              </w:rPr>
              <w:t> </w:t>
            </w:r>
            <w:r w:rsidRPr="00FF2FAC">
              <w:rPr>
                <w:rFonts w:ascii="Times New Roman" w:hAnsi="Times New Roman"/>
                <w:b/>
                <w:bCs/>
                <w:sz w:val="24"/>
                <w:szCs w:val="24"/>
              </w:rPr>
              <w:t>156</w:t>
            </w:r>
            <w:r>
              <w:rPr>
                <w:rFonts w:ascii="Times New Roman" w:hAnsi="Times New Roman"/>
                <w:b/>
                <w:bCs/>
                <w:sz w:val="24"/>
                <w:szCs w:val="24"/>
              </w:rPr>
              <w:t xml:space="preserve"> (4 490,58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3</w:t>
            </w:r>
            <w:r>
              <w:rPr>
                <w:rFonts w:ascii="Times New Roman" w:hAnsi="Times New Roman"/>
                <w:b/>
                <w:bCs/>
                <w:sz w:val="24"/>
                <w:szCs w:val="24"/>
              </w:rPr>
              <w:t> </w:t>
            </w:r>
            <w:r w:rsidRPr="00FF2FAC">
              <w:rPr>
                <w:rFonts w:ascii="Times New Roman" w:hAnsi="Times New Roman"/>
                <w:b/>
                <w:bCs/>
                <w:sz w:val="24"/>
                <w:szCs w:val="24"/>
              </w:rPr>
              <w:t>156</w:t>
            </w:r>
            <w:r>
              <w:rPr>
                <w:rFonts w:ascii="Times New Roman" w:hAnsi="Times New Roman"/>
                <w:b/>
                <w:bCs/>
                <w:sz w:val="24"/>
                <w:szCs w:val="24"/>
              </w:rPr>
              <w:t xml:space="preserve"> (4 490,58 EUR)</w:t>
            </w:r>
          </w:p>
        </w:tc>
      </w:tr>
      <w:tr w:rsidR="00E14EBF" w:rsidRPr="00FF2FAC" w:rsidTr="00E14EBF">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jc w:val="both"/>
              <w:rPr>
                <w:rFonts w:ascii="Times New Roman" w:hAnsi="Times New Roman"/>
                <w:b/>
                <w:bCs/>
                <w:sz w:val="24"/>
                <w:szCs w:val="24"/>
                <w:lang w:eastAsia="hi-IN"/>
              </w:rPr>
            </w:pPr>
            <w:r w:rsidRPr="00FF2FAC">
              <w:rPr>
                <w:rFonts w:ascii="Times New Roman" w:hAnsi="Times New Roman"/>
                <w:b/>
                <w:bCs/>
                <w:sz w:val="24"/>
                <w:szCs w:val="24"/>
              </w:rPr>
              <w:t>Uzturēšanas izdevumi kopā</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13</w:t>
            </w:r>
            <w:r>
              <w:rPr>
                <w:rFonts w:ascii="Times New Roman" w:hAnsi="Times New Roman"/>
                <w:b/>
                <w:bCs/>
                <w:sz w:val="24"/>
                <w:szCs w:val="24"/>
              </w:rPr>
              <w:t> </w:t>
            </w:r>
            <w:r w:rsidRPr="00FF2FAC">
              <w:rPr>
                <w:rFonts w:ascii="Times New Roman" w:hAnsi="Times New Roman"/>
                <w:b/>
                <w:bCs/>
                <w:sz w:val="24"/>
                <w:szCs w:val="24"/>
              </w:rPr>
              <w:t>580</w:t>
            </w:r>
            <w:r>
              <w:rPr>
                <w:rFonts w:ascii="Times New Roman" w:hAnsi="Times New Roman"/>
                <w:b/>
                <w:bCs/>
                <w:sz w:val="24"/>
                <w:szCs w:val="24"/>
              </w:rPr>
              <w:t xml:space="preserve"> (19 322,60 EUR)</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15</w:t>
            </w:r>
            <w:r>
              <w:rPr>
                <w:rFonts w:ascii="Times New Roman" w:hAnsi="Times New Roman"/>
                <w:b/>
                <w:bCs/>
                <w:sz w:val="24"/>
                <w:szCs w:val="24"/>
              </w:rPr>
              <w:t> </w:t>
            </w:r>
            <w:r w:rsidRPr="00FF2FAC">
              <w:rPr>
                <w:rFonts w:ascii="Times New Roman" w:hAnsi="Times New Roman"/>
                <w:b/>
                <w:bCs/>
                <w:sz w:val="24"/>
                <w:szCs w:val="24"/>
              </w:rPr>
              <w:t>069</w:t>
            </w:r>
            <w:r>
              <w:rPr>
                <w:rFonts w:ascii="Times New Roman" w:hAnsi="Times New Roman"/>
                <w:b/>
                <w:bCs/>
                <w:sz w:val="24"/>
                <w:szCs w:val="24"/>
              </w:rPr>
              <w:t xml:space="preserve"> (19 322,60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19</w:t>
            </w:r>
            <w:r>
              <w:rPr>
                <w:rFonts w:ascii="Times New Roman" w:hAnsi="Times New Roman"/>
                <w:b/>
                <w:bCs/>
                <w:sz w:val="24"/>
                <w:szCs w:val="24"/>
              </w:rPr>
              <w:t> </w:t>
            </w:r>
            <w:r w:rsidRPr="00FF2FAC">
              <w:rPr>
                <w:rFonts w:ascii="Times New Roman" w:hAnsi="Times New Roman"/>
                <w:b/>
                <w:bCs/>
                <w:sz w:val="24"/>
                <w:szCs w:val="24"/>
              </w:rPr>
              <w:t>536</w:t>
            </w:r>
            <w:r>
              <w:rPr>
                <w:rFonts w:ascii="Times New Roman" w:hAnsi="Times New Roman"/>
                <w:b/>
                <w:bCs/>
                <w:sz w:val="24"/>
                <w:szCs w:val="24"/>
              </w:rPr>
              <w:t xml:space="preserve"> (19 322,60 EUR)</w:t>
            </w:r>
          </w:p>
        </w:tc>
      </w:tr>
      <w:tr w:rsidR="00E14EBF" w:rsidRPr="00FF2FAC" w:rsidTr="00E14EBF">
        <w:tc>
          <w:tcPr>
            <w:tcW w:w="335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jc w:val="both"/>
              <w:rPr>
                <w:rFonts w:ascii="Times New Roman" w:hAnsi="Times New Roman"/>
                <w:b/>
                <w:bCs/>
                <w:sz w:val="24"/>
                <w:szCs w:val="24"/>
                <w:lang w:eastAsia="hi-IN"/>
              </w:rPr>
            </w:pPr>
            <w:r w:rsidRPr="00FF2FAC">
              <w:rPr>
                <w:rFonts w:ascii="Times New Roman" w:hAnsi="Times New Roman"/>
                <w:b/>
                <w:bCs/>
                <w:sz w:val="24"/>
                <w:szCs w:val="24"/>
              </w:rPr>
              <w:t>Datortehnika un cita biroja tehnika</w:t>
            </w:r>
          </w:p>
        </w:tc>
        <w:tc>
          <w:tcPr>
            <w:tcW w:w="1576"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w:t>
            </w:r>
            <w:r>
              <w:rPr>
                <w:rFonts w:ascii="Times New Roman" w:hAnsi="Times New Roman"/>
                <w:b/>
                <w:bCs/>
                <w:sz w:val="24"/>
                <w:szCs w:val="24"/>
              </w:rPr>
              <w:t> </w:t>
            </w:r>
            <w:r w:rsidRPr="00FF2FAC">
              <w:rPr>
                <w:rFonts w:ascii="Times New Roman" w:hAnsi="Times New Roman"/>
                <w:b/>
                <w:bCs/>
                <w:sz w:val="24"/>
                <w:szCs w:val="24"/>
              </w:rPr>
              <w:t>000</w:t>
            </w:r>
            <w:r>
              <w:rPr>
                <w:rFonts w:ascii="Times New Roman" w:hAnsi="Times New Roman"/>
                <w:b/>
                <w:bCs/>
                <w:sz w:val="24"/>
                <w:szCs w:val="24"/>
              </w:rPr>
              <w:t xml:space="preserve"> (1 422,87 EUR)</w:t>
            </w:r>
          </w:p>
        </w:tc>
        <w:tc>
          <w:tcPr>
            <w:tcW w:w="1576"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w:t>
            </w:r>
            <w:r>
              <w:rPr>
                <w:rFonts w:ascii="Times New Roman" w:hAnsi="Times New Roman"/>
                <w:b/>
                <w:bCs/>
                <w:sz w:val="24"/>
                <w:szCs w:val="24"/>
              </w:rPr>
              <w:t> </w:t>
            </w:r>
            <w:r w:rsidRPr="00FF2FAC">
              <w:rPr>
                <w:rFonts w:ascii="Times New Roman" w:hAnsi="Times New Roman"/>
                <w:b/>
                <w:bCs/>
                <w:sz w:val="24"/>
                <w:szCs w:val="24"/>
              </w:rPr>
              <w:t>000</w:t>
            </w:r>
            <w:r>
              <w:rPr>
                <w:rFonts w:ascii="Times New Roman" w:hAnsi="Times New Roman"/>
                <w:b/>
                <w:bCs/>
                <w:sz w:val="24"/>
                <w:szCs w:val="24"/>
              </w:rPr>
              <w:t xml:space="preserve"> (1 422,87 EUR)</w:t>
            </w:r>
          </w:p>
        </w:tc>
        <w:tc>
          <w:tcPr>
            <w:tcW w:w="2016"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w:t>
            </w:r>
            <w:r>
              <w:rPr>
                <w:rFonts w:ascii="Times New Roman" w:hAnsi="Times New Roman"/>
                <w:b/>
                <w:bCs/>
                <w:sz w:val="24"/>
                <w:szCs w:val="24"/>
              </w:rPr>
              <w:t> </w:t>
            </w:r>
            <w:r w:rsidRPr="00FF2FAC">
              <w:rPr>
                <w:rFonts w:ascii="Times New Roman" w:hAnsi="Times New Roman"/>
                <w:b/>
                <w:bCs/>
                <w:sz w:val="24"/>
                <w:szCs w:val="24"/>
              </w:rPr>
              <w:t>000</w:t>
            </w:r>
            <w:r>
              <w:rPr>
                <w:rFonts w:ascii="Times New Roman" w:hAnsi="Times New Roman"/>
                <w:b/>
                <w:bCs/>
                <w:sz w:val="24"/>
                <w:szCs w:val="24"/>
              </w:rPr>
              <w:t xml:space="preserve"> (1 422,87 EUR)</w:t>
            </w:r>
          </w:p>
        </w:tc>
      </w:tr>
      <w:tr w:rsidR="00E14EBF" w:rsidRPr="00FF2FAC" w:rsidTr="00E14EBF">
        <w:tc>
          <w:tcPr>
            <w:tcW w:w="3354"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Kopā gadā</w:t>
            </w:r>
          </w:p>
        </w:tc>
        <w:tc>
          <w:tcPr>
            <w:tcW w:w="157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14</w:t>
            </w:r>
            <w:r>
              <w:rPr>
                <w:rFonts w:ascii="Times New Roman" w:hAnsi="Times New Roman"/>
                <w:b/>
                <w:bCs/>
                <w:sz w:val="24"/>
                <w:szCs w:val="24"/>
              </w:rPr>
              <w:t> </w:t>
            </w:r>
            <w:r w:rsidRPr="00FF2FAC">
              <w:rPr>
                <w:rFonts w:ascii="Times New Roman" w:hAnsi="Times New Roman"/>
                <w:b/>
                <w:bCs/>
                <w:sz w:val="24"/>
                <w:szCs w:val="24"/>
              </w:rPr>
              <w:t>580</w:t>
            </w:r>
            <w:r>
              <w:rPr>
                <w:rFonts w:ascii="Times New Roman" w:hAnsi="Times New Roman"/>
                <w:b/>
                <w:bCs/>
                <w:sz w:val="24"/>
                <w:szCs w:val="24"/>
              </w:rPr>
              <w:t xml:space="preserve"> (20 745,47 EUR)</w:t>
            </w:r>
          </w:p>
        </w:tc>
        <w:tc>
          <w:tcPr>
            <w:tcW w:w="157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16</w:t>
            </w:r>
            <w:r>
              <w:rPr>
                <w:rFonts w:ascii="Times New Roman" w:hAnsi="Times New Roman"/>
                <w:b/>
                <w:bCs/>
                <w:sz w:val="24"/>
                <w:szCs w:val="24"/>
              </w:rPr>
              <w:t> </w:t>
            </w:r>
            <w:r w:rsidRPr="00FF2FAC">
              <w:rPr>
                <w:rFonts w:ascii="Times New Roman" w:hAnsi="Times New Roman"/>
                <w:b/>
                <w:bCs/>
                <w:sz w:val="24"/>
                <w:szCs w:val="24"/>
              </w:rPr>
              <w:t>069</w:t>
            </w:r>
            <w:r>
              <w:rPr>
                <w:rFonts w:ascii="Times New Roman" w:hAnsi="Times New Roman"/>
                <w:b/>
                <w:bCs/>
                <w:sz w:val="24"/>
                <w:szCs w:val="24"/>
              </w:rPr>
              <w:t xml:space="preserve"> (22 864,13 EUR)</w:t>
            </w:r>
          </w:p>
        </w:tc>
        <w:tc>
          <w:tcPr>
            <w:tcW w:w="201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lang w:eastAsia="hi-IN"/>
              </w:rPr>
            </w:pPr>
            <w:r w:rsidRPr="00FF2FAC">
              <w:rPr>
                <w:rFonts w:ascii="Times New Roman" w:hAnsi="Times New Roman"/>
                <w:b/>
                <w:bCs/>
                <w:sz w:val="24"/>
                <w:szCs w:val="24"/>
              </w:rPr>
              <w:t>20</w:t>
            </w:r>
            <w:r>
              <w:rPr>
                <w:rFonts w:ascii="Times New Roman" w:hAnsi="Times New Roman"/>
                <w:b/>
                <w:bCs/>
                <w:sz w:val="24"/>
                <w:szCs w:val="24"/>
              </w:rPr>
              <w:t> </w:t>
            </w:r>
            <w:r w:rsidRPr="00FF2FAC">
              <w:rPr>
                <w:rFonts w:ascii="Times New Roman" w:hAnsi="Times New Roman"/>
                <w:b/>
                <w:bCs/>
                <w:sz w:val="24"/>
                <w:szCs w:val="24"/>
              </w:rPr>
              <w:t>536</w:t>
            </w:r>
            <w:r>
              <w:rPr>
                <w:rFonts w:ascii="Times New Roman" w:hAnsi="Times New Roman"/>
                <w:b/>
                <w:bCs/>
                <w:sz w:val="24"/>
                <w:szCs w:val="24"/>
              </w:rPr>
              <w:t xml:space="preserve"> (29 220,10 EUR)</w:t>
            </w:r>
          </w:p>
        </w:tc>
      </w:tr>
      <w:tr w:rsidR="00E14EBF" w:rsidRPr="00FF2FAC" w:rsidTr="00E14EBF">
        <w:tc>
          <w:tcPr>
            <w:tcW w:w="3354"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rPr>
                <w:rFonts w:ascii="Times New Roman" w:hAnsi="Times New Roman"/>
                <w:b/>
                <w:bCs/>
                <w:sz w:val="24"/>
                <w:szCs w:val="24"/>
              </w:rPr>
            </w:pPr>
            <w:r w:rsidRPr="00FF2FAC">
              <w:rPr>
                <w:rFonts w:ascii="Times New Roman" w:hAnsi="Times New Roman"/>
                <w:b/>
                <w:bCs/>
                <w:sz w:val="24"/>
                <w:szCs w:val="24"/>
              </w:rPr>
              <w:t>Kopā gadā visiem darbiniekiem</w:t>
            </w:r>
          </w:p>
        </w:tc>
        <w:tc>
          <w:tcPr>
            <w:tcW w:w="157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rPr>
            </w:pPr>
            <w:r w:rsidRPr="00FF2FAC">
              <w:rPr>
                <w:rFonts w:ascii="Times New Roman" w:hAnsi="Times New Roman"/>
                <w:b/>
                <w:bCs/>
                <w:sz w:val="24"/>
                <w:szCs w:val="24"/>
              </w:rPr>
              <w:t>87</w:t>
            </w:r>
            <w:r>
              <w:rPr>
                <w:rFonts w:ascii="Times New Roman" w:hAnsi="Times New Roman"/>
                <w:b/>
                <w:bCs/>
                <w:sz w:val="24"/>
                <w:szCs w:val="24"/>
              </w:rPr>
              <w:t> </w:t>
            </w:r>
            <w:r w:rsidRPr="00FF2FAC">
              <w:rPr>
                <w:rFonts w:ascii="Times New Roman" w:hAnsi="Times New Roman"/>
                <w:b/>
                <w:bCs/>
                <w:sz w:val="24"/>
                <w:szCs w:val="24"/>
              </w:rPr>
              <w:t>480</w:t>
            </w:r>
            <w:r>
              <w:rPr>
                <w:rFonts w:ascii="Times New Roman" w:hAnsi="Times New Roman"/>
                <w:b/>
                <w:bCs/>
                <w:sz w:val="24"/>
                <w:szCs w:val="24"/>
              </w:rPr>
              <w:t xml:space="preserve"> (124 472,83 EUR)</w:t>
            </w:r>
          </w:p>
        </w:tc>
        <w:tc>
          <w:tcPr>
            <w:tcW w:w="157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rPr>
            </w:pPr>
            <w:r w:rsidRPr="00FF2FAC">
              <w:rPr>
                <w:rFonts w:ascii="Times New Roman" w:hAnsi="Times New Roman"/>
                <w:b/>
                <w:bCs/>
                <w:sz w:val="24"/>
                <w:szCs w:val="24"/>
              </w:rPr>
              <w:t>48</w:t>
            </w:r>
            <w:r>
              <w:rPr>
                <w:rFonts w:ascii="Times New Roman" w:hAnsi="Times New Roman"/>
                <w:b/>
                <w:bCs/>
                <w:sz w:val="24"/>
                <w:szCs w:val="24"/>
              </w:rPr>
              <w:t> </w:t>
            </w:r>
            <w:r w:rsidRPr="00FF2FAC">
              <w:rPr>
                <w:rFonts w:ascii="Times New Roman" w:hAnsi="Times New Roman"/>
                <w:b/>
                <w:bCs/>
                <w:sz w:val="24"/>
                <w:szCs w:val="24"/>
              </w:rPr>
              <w:t>207</w:t>
            </w:r>
            <w:r>
              <w:rPr>
                <w:rFonts w:ascii="Times New Roman" w:hAnsi="Times New Roman"/>
                <w:b/>
                <w:bCs/>
                <w:sz w:val="24"/>
                <w:szCs w:val="24"/>
              </w:rPr>
              <w:t xml:space="preserve"> (68 592,38 EUR)</w:t>
            </w:r>
          </w:p>
        </w:tc>
        <w:tc>
          <w:tcPr>
            <w:tcW w:w="201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E14EBF" w:rsidRPr="00FF2FAC" w:rsidRDefault="00E14EBF" w:rsidP="00E14EBF">
            <w:pPr>
              <w:spacing w:after="0" w:line="240" w:lineRule="auto"/>
              <w:ind w:firstLine="720"/>
              <w:jc w:val="right"/>
              <w:rPr>
                <w:rFonts w:ascii="Times New Roman" w:hAnsi="Times New Roman"/>
                <w:b/>
                <w:bCs/>
                <w:sz w:val="24"/>
                <w:szCs w:val="24"/>
              </w:rPr>
            </w:pPr>
            <w:r w:rsidRPr="00FF2FAC">
              <w:rPr>
                <w:rFonts w:ascii="Times New Roman" w:hAnsi="Times New Roman"/>
                <w:b/>
                <w:bCs/>
                <w:sz w:val="24"/>
                <w:szCs w:val="24"/>
              </w:rPr>
              <w:t>20</w:t>
            </w:r>
            <w:r>
              <w:rPr>
                <w:rFonts w:ascii="Times New Roman" w:hAnsi="Times New Roman"/>
                <w:b/>
                <w:bCs/>
                <w:sz w:val="24"/>
                <w:szCs w:val="24"/>
              </w:rPr>
              <w:t> </w:t>
            </w:r>
            <w:r w:rsidRPr="00FF2FAC">
              <w:rPr>
                <w:rFonts w:ascii="Times New Roman" w:hAnsi="Times New Roman"/>
                <w:b/>
                <w:bCs/>
                <w:sz w:val="24"/>
                <w:szCs w:val="24"/>
              </w:rPr>
              <w:t>536</w:t>
            </w:r>
            <w:r>
              <w:rPr>
                <w:rFonts w:ascii="Times New Roman" w:hAnsi="Times New Roman"/>
                <w:b/>
                <w:bCs/>
                <w:sz w:val="24"/>
                <w:szCs w:val="24"/>
              </w:rPr>
              <w:t xml:space="preserve"> (29 220,10 EUR)</w:t>
            </w:r>
          </w:p>
        </w:tc>
      </w:tr>
    </w:tbl>
    <w:p w:rsidR="00E14EBF" w:rsidRPr="00FF2FAC" w:rsidRDefault="00E14EBF" w:rsidP="00E14EBF">
      <w:pPr>
        <w:spacing w:after="0" w:line="240" w:lineRule="auto"/>
        <w:rPr>
          <w:rFonts w:ascii="Times New Roman" w:hAnsi="Times New Roman"/>
          <w:sz w:val="24"/>
          <w:szCs w:val="24"/>
          <w:lang w:val="en-US" w:eastAsia="hi-IN"/>
        </w:rPr>
      </w:pPr>
      <w:r w:rsidRPr="00FF2FAC">
        <w:rPr>
          <w:rFonts w:ascii="Times New Roman" w:hAnsi="Times New Roman"/>
          <w:sz w:val="24"/>
          <w:szCs w:val="24"/>
        </w:rPr>
        <w:t xml:space="preserve">* </w:t>
      </w:r>
      <w:r w:rsidRPr="00FF2FAC">
        <w:rPr>
          <w:rFonts w:ascii="Times New Roman" w:hAnsi="Times New Roman"/>
          <w:i/>
          <w:iCs/>
          <w:sz w:val="24"/>
          <w:szCs w:val="24"/>
        </w:rPr>
        <w:t>EM vidējās izmaksas</w:t>
      </w:r>
    </w:p>
    <w:p w:rsidR="00E14EBF" w:rsidRPr="00FF2FAC" w:rsidRDefault="00E14EBF" w:rsidP="00E14EBF">
      <w:pPr>
        <w:spacing w:after="0" w:line="240" w:lineRule="auto"/>
        <w:ind w:firstLine="720"/>
        <w:jc w:val="both"/>
        <w:rPr>
          <w:rFonts w:ascii="Times New Roman" w:eastAsia="Times New Roman" w:hAnsi="Times New Roman"/>
          <w:sz w:val="28"/>
          <w:szCs w:val="28"/>
          <w:lang w:eastAsia="lv-LV"/>
        </w:rPr>
      </w:pPr>
    </w:p>
    <w:p w:rsidR="00E14EBF" w:rsidRPr="00FF2FAC" w:rsidRDefault="00E14EBF" w:rsidP="00B479A5">
      <w:pPr>
        <w:spacing w:after="0" w:line="240" w:lineRule="auto"/>
        <w:rPr>
          <w:rFonts w:ascii="Times New Roman" w:eastAsia="Times New Roman" w:hAnsi="Times New Roman"/>
          <w:sz w:val="28"/>
          <w:szCs w:val="28"/>
          <w:lang w:eastAsia="lv-LV"/>
        </w:rPr>
      </w:pPr>
      <w:r w:rsidRPr="00FF2FAC">
        <w:rPr>
          <w:rFonts w:ascii="Times New Roman" w:eastAsia="Times New Roman" w:hAnsi="Times New Roman"/>
          <w:sz w:val="28"/>
          <w:szCs w:val="28"/>
          <w:u w:val="single"/>
          <w:lang w:eastAsia="lv-LV"/>
        </w:rPr>
        <w:t>Ietekme uz pašvaldību budžetiem</w:t>
      </w:r>
      <w:r w:rsidRPr="00FF2FAC">
        <w:rPr>
          <w:rFonts w:ascii="Times New Roman" w:eastAsia="Times New Roman" w:hAnsi="Times New Roman"/>
          <w:sz w:val="28"/>
          <w:szCs w:val="28"/>
          <w:lang w:eastAsia="lv-LV"/>
        </w:rPr>
        <w:t xml:space="preserve">: tiešas nav. </w:t>
      </w:r>
    </w:p>
    <w:p w:rsidR="00E14EBF" w:rsidRPr="00FF2FAC" w:rsidRDefault="00E14EBF" w:rsidP="00B479A5">
      <w:pPr>
        <w:spacing w:after="0" w:line="240" w:lineRule="auto"/>
        <w:jc w:val="both"/>
        <w:rPr>
          <w:rFonts w:ascii="Times New Roman" w:eastAsia="Times New Roman" w:hAnsi="Times New Roman"/>
          <w:color w:val="000000"/>
          <w:sz w:val="28"/>
          <w:szCs w:val="28"/>
          <w:lang w:eastAsia="lv-LV"/>
        </w:rPr>
      </w:pPr>
      <w:r w:rsidRPr="00FF2FAC">
        <w:rPr>
          <w:rFonts w:ascii="Times New Roman" w:eastAsia="Times New Roman" w:hAnsi="Times New Roman"/>
          <w:b/>
          <w:color w:val="000000"/>
          <w:sz w:val="28"/>
          <w:szCs w:val="28"/>
          <w:lang w:eastAsia="lv-LV"/>
        </w:rPr>
        <w:t>Izvērtējot EPS ieviešanas variantus, priekšroka dodama 2.</w:t>
      </w:r>
      <w:r w:rsidR="00637EC6">
        <w:rPr>
          <w:rFonts w:ascii="Times New Roman" w:eastAsia="Times New Roman" w:hAnsi="Times New Roman"/>
          <w:b/>
          <w:color w:val="000000"/>
          <w:sz w:val="28"/>
          <w:szCs w:val="28"/>
          <w:lang w:eastAsia="lv-LV"/>
        </w:rPr>
        <w:t> </w:t>
      </w:r>
      <w:r w:rsidRPr="00FF2FAC">
        <w:rPr>
          <w:rFonts w:ascii="Times New Roman" w:eastAsia="Times New Roman" w:hAnsi="Times New Roman"/>
          <w:b/>
          <w:color w:val="000000"/>
          <w:sz w:val="28"/>
          <w:szCs w:val="28"/>
          <w:lang w:eastAsia="lv-LV"/>
        </w:rPr>
        <w:t>variantam, kas paredz EPS apvienojumā ar alternatīvajiem pasākumiem</w:t>
      </w:r>
      <w:r>
        <w:rPr>
          <w:rFonts w:ascii="Times New Roman" w:eastAsia="Times New Roman" w:hAnsi="Times New Roman"/>
          <w:b/>
          <w:color w:val="000000"/>
          <w:sz w:val="28"/>
          <w:szCs w:val="28"/>
          <w:lang w:eastAsia="lv-LV"/>
        </w:rPr>
        <w:t>, tādējādi samazinot komersantiem uzliekamo pienākumu apjomu</w:t>
      </w:r>
      <w:r w:rsidRPr="00FF2FAC">
        <w:rPr>
          <w:rFonts w:ascii="Times New Roman" w:eastAsia="Times New Roman" w:hAnsi="Times New Roman"/>
          <w:b/>
          <w:color w:val="000000"/>
          <w:sz w:val="28"/>
          <w:szCs w:val="28"/>
          <w:lang w:eastAsia="lv-LV"/>
        </w:rPr>
        <w:t>.</w:t>
      </w:r>
      <w:r>
        <w:rPr>
          <w:rFonts w:ascii="Times New Roman" w:eastAsia="Times New Roman" w:hAnsi="Times New Roman"/>
          <w:b/>
          <w:color w:val="000000"/>
          <w:sz w:val="28"/>
          <w:szCs w:val="28"/>
          <w:lang w:eastAsia="lv-LV"/>
        </w:rPr>
        <w:t xml:space="preserve"> 2. variants atstāj mazāku ietekmi uz enerģijas tarifiem salīdzinājumā ar 1.</w:t>
      </w:r>
      <w:r w:rsidR="00637EC6">
        <w:rPr>
          <w:rFonts w:ascii="Times New Roman" w:eastAsia="Times New Roman" w:hAnsi="Times New Roman"/>
          <w:b/>
          <w:color w:val="000000"/>
          <w:sz w:val="28"/>
          <w:szCs w:val="28"/>
          <w:lang w:eastAsia="lv-LV"/>
        </w:rPr>
        <w:t> </w:t>
      </w:r>
      <w:r>
        <w:rPr>
          <w:rFonts w:ascii="Times New Roman" w:eastAsia="Times New Roman" w:hAnsi="Times New Roman"/>
          <w:b/>
          <w:color w:val="000000"/>
          <w:sz w:val="28"/>
          <w:szCs w:val="28"/>
          <w:lang w:eastAsia="lv-LV"/>
        </w:rPr>
        <w:t>variantu. Savukārt, tikai ar alternatīvajiem pasākumiem, ko paredz 3.</w:t>
      </w:r>
      <w:r w:rsidR="00637EC6">
        <w:rPr>
          <w:rFonts w:ascii="Times New Roman" w:eastAsia="Times New Roman" w:hAnsi="Times New Roman"/>
          <w:b/>
          <w:color w:val="000000"/>
          <w:sz w:val="28"/>
          <w:szCs w:val="28"/>
          <w:lang w:eastAsia="lv-LV"/>
        </w:rPr>
        <w:t> </w:t>
      </w:r>
      <w:r>
        <w:rPr>
          <w:rFonts w:ascii="Times New Roman" w:eastAsia="Times New Roman" w:hAnsi="Times New Roman"/>
          <w:b/>
          <w:color w:val="000000"/>
          <w:sz w:val="28"/>
          <w:szCs w:val="28"/>
          <w:lang w:eastAsia="lv-LV"/>
        </w:rPr>
        <w:t xml:space="preserve">variants, energoefektivitātes mērķa sasniegšana  prasītu būtisku valsts budžeta finansējumu. Attiecībā uz energoefektivitātes shēmas administrēšanu, ņemot vērā budžeta ierobežojumus, kā pagaidu izvēle tuvākajiem 2 gadiem būtu pieņemama neliela struktūrvienība EM ietvaros. Turpmākajos gados būtu izskatāma iespēja veidot aģentūras tipa institūciju, kas ļautu koordinēti un efektīvāk nekā pašreiz veikt visas funkcijas saistībā ar enerģētikas nozares uzraudzību, monitoringu, ziņošanu un prognozēšanu. </w:t>
      </w:r>
    </w:p>
    <w:p w:rsidR="00E14EBF" w:rsidRPr="00FF2FAC" w:rsidRDefault="00E14EBF" w:rsidP="00DF574D">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hAnsi="Times New Roman"/>
          <w:color w:val="000000"/>
          <w:sz w:val="28"/>
          <w:szCs w:val="28"/>
        </w:rPr>
        <w:t xml:space="preserve">  </w:t>
      </w:r>
    </w:p>
    <w:p w:rsidR="00B94A5E" w:rsidRPr="00025D28" w:rsidRDefault="00A84CE4" w:rsidP="00B479A5">
      <w:pPr>
        <w:pStyle w:val="Heading2"/>
        <w:spacing w:before="0" w:line="240" w:lineRule="auto"/>
        <w:jc w:val="center"/>
        <w:rPr>
          <w:rFonts w:ascii="Times New Roman" w:hAnsi="Times New Roman" w:cs="Times New Roman"/>
          <w:color w:val="auto"/>
          <w:sz w:val="28"/>
          <w:szCs w:val="28"/>
        </w:rPr>
      </w:pPr>
      <w:bookmarkStart w:id="12" w:name="_Toc372269913"/>
      <w:r w:rsidRPr="00025D28">
        <w:rPr>
          <w:rFonts w:ascii="Times New Roman" w:hAnsi="Times New Roman" w:cs="Times New Roman"/>
          <w:color w:val="auto"/>
          <w:sz w:val="28"/>
          <w:szCs w:val="28"/>
        </w:rPr>
        <w:t>2.</w:t>
      </w:r>
      <w:r w:rsidR="007137FE" w:rsidRPr="00025D28">
        <w:rPr>
          <w:rFonts w:ascii="Times New Roman" w:hAnsi="Times New Roman" w:cs="Times New Roman"/>
          <w:color w:val="auto"/>
          <w:sz w:val="28"/>
          <w:szCs w:val="28"/>
        </w:rPr>
        <w:t>4</w:t>
      </w:r>
      <w:r w:rsidRPr="00025D28">
        <w:rPr>
          <w:rFonts w:ascii="Times New Roman" w:hAnsi="Times New Roman" w:cs="Times New Roman"/>
          <w:color w:val="auto"/>
          <w:sz w:val="28"/>
          <w:szCs w:val="28"/>
        </w:rPr>
        <w:t xml:space="preserve">. </w:t>
      </w:r>
      <w:r w:rsidR="007137FE" w:rsidRPr="00025D28">
        <w:rPr>
          <w:rFonts w:ascii="Times New Roman" w:hAnsi="Times New Roman" w:cs="Times New Roman"/>
          <w:color w:val="auto"/>
          <w:sz w:val="28"/>
          <w:szCs w:val="28"/>
        </w:rPr>
        <w:t xml:space="preserve">Siltumapgādes un dzesēšanas efektivitātes veicināšana </w:t>
      </w:r>
      <w:r w:rsidRPr="00025D28">
        <w:rPr>
          <w:rFonts w:ascii="Times New Roman" w:hAnsi="Times New Roman" w:cs="Times New Roman"/>
          <w:color w:val="auto"/>
          <w:sz w:val="28"/>
          <w:szCs w:val="28"/>
        </w:rPr>
        <w:t>(14.</w:t>
      </w:r>
      <w:r w:rsidR="00B170A3">
        <w:rPr>
          <w:rFonts w:ascii="Times New Roman" w:hAnsi="Times New Roman" w:cs="Times New Roman"/>
          <w:color w:val="auto"/>
          <w:sz w:val="28"/>
          <w:szCs w:val="28"/>
        </w:rPr>
        <w:t> </w:t>
      </w:r>
      <w:r w:rsidRPr="00025D28">
        <w:rPr>
          <w:rFonts w:ascii="Times New Roman" w:hAnsi="Times New Roman" w:cs="Times New Roman"/>
          <w:color w:val="auto"/>
          <w:sz w:val="28"/>
          <w:szCs w:val="28"/>
        </w:rPr>
        <w:t>pants)</w:t>
      </w:r>
      <w:bookmarkEnd w:id="12"/>
    </w:p>
    <w:p w:rsidR="00AC58F8" w:rsidRPr="0047199E" w:rsidRDefault="0047199E" w:rsidP="00B479A5">
      <w:pPr>
        <w:pStyle w:val="Heading3"/>
        <w:spacing w:before="0" w:line="240" w:lineRule="auto"/>
        <w:jc w:val="center"/>
        <w:rPr>
          <w:rFonts w:ascii="Times New Roman" w:hAnsi="Times New Roman" w:cs="Times New Roman"/>
          <w:color w:val="auto"/>
          <w:sz w:val="28"/>
          <w:szCs w:val="28"/>
        </w:rPr>
      </w:pPr>
      <w:bookmarkStart w:id="13" w:name="_Toc372269914"/>
      <w:r w:rsidRPr="0047199E">
        <w:rPr>
          <w:rFonts w:ascii="Times New Roman" w:hAnsi="Times New Roman" w:cs="Times New Roman"/>
          <w:color w:val="auto"/>
          <w:sz w:val="28"/>
          <w:szCs w:val="28"/>
        </w:rPr>
        <w:t xml:space="preserve">2.4.1. </w:t>
      </w:r>
      <w:r w:rsidR="00AC58F8" w:rsidRPr="0047199E">
        <w:rPr>
          <w:rFonts w:ascii="Times New Roman" w:hAnsi="Times New Roman" w:cs="Times New Roman"/>
          <w:color w:val="auto"/>
          <w:sz w:val="28"/>
          <w:szCs w:val="28"/>
        </w:rPr>
        <w:t>Direktīvas prasības</w:t>
      </w:r>
      <w:bookmarkEnd w:id="13"/>
      <w:r w:rsidR="00FF2FAC">
        <w:rPr>
          <w:rFonts w:ascii="Times New Roman" w:hAnsi="Times New Roman" w:cs="Times New Roman"/>
          <w:color w:val="auto"/>
          <w:sz w:val="28"/>
          <w:szCs w:val="28"/>
        </w:rPr>
        <w:t xml:space="preserve"> </w:t>
      </w:r>
    </w:p>
    <w:p w:rsidR="00AC58F8" w:rsidRDefault="00266169" w:rsidP="00B479A5">
      <w:pPr>
        <w:spacing w:after="0" w:line="240" w:lineRule="auto"/>
        <w:ind w:firstLine="72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Direktīva 20</w:t>
      </w:r>
      <w:r w:rsidR="00AC58F8" w:rsidRPr="00AC58F8">
        <w:rPr>
          <w:rFonts w:ascii="Times New Roman" w:eastAsiaTheme="majorEastAsia" w:hAnsi="Times New Roman" w:cs="Times New Roman"/>
          <w:bCs/>
          <w:sz w:val="28"/>
          <w:szCs w:val="28"/>
        </w:rPr>
        <w:t xml:space="preserve">12/27/ES uzliek pienākumu Latvijai līdz 2015. gada 31. decembrim veikt uz izmaksu un ieguvumu analīzi balstītu augstas efektivitātes koģenerācijas un efektīvas centralizētās siltumapgādes izmantošanas potenciāla </w:t>
      </w:r>
      <w:r w:rsidR="00AC58F8" w:rsidRPr="00B06FBD">
        <w:rPr>
          <w:rFonts w:ascii="Times New Roman" w:eastAsiaTheme="majorEastAsia" w:hAnsi="Times New Roman" w:cs="Times New Roman"/>
          <w:bCs/>
          <w:sz w:val="28"/>
          <w:szCs w:val="28"/>
          <w:u w:val="single"/>
        </w:rPr>
        <w:t>visaptverošu</w:t>
      </w:r>
      <w:r w:rsidR="00AC58F8" w:rsidRPr="00AC58F8">
        <w:rPr>
          <w:rFonts w:ascii="Times New Roman" w:eastAsiaTheme="majorEastAsia" w:hAnsi="Times New Roman" w:cs="Times New Roman"/>
          <w:bCs/>
          <w:sz w:val="28"/>
          <w:szCs w:val="28"/>
        </w:rPr>
        <w:t xml:space="preserve"> izvērtējumu ar priekšlikumiem tās attīstībai, kā arī un ne tikai, iekļaujot siltumapgādes un tās infrastruktūras aprakstu, prognozes par sagaidāmo pieprasījumu, apzinot vietas, kurās iespējams attīstīt jaunas iekārtas vai vietas, kurās iespējama esošo koģenerācijas iekārtu modernizācija, kā arī vietas, kurās rodas siltuma pārpalikums.</w:t>
      </w:r>
    </w:p>
    <w:p w:rsidR="00C23AC6" w:rsidRDefault="00C23AC6" w:rsidP="00B479A5">
      <w:pPr>
        <w:spacing w:after="0" w:line="240" w:lineRule="auto"/>
        <w:ind w:firstLine="720"/>
        <w:jc w:val="both"/>
        <w:rPr>
          <w:rFonts w:ascii="Times New Roman" w:eastAsiaTheme="majorEastAsia" w:hAnsi="Times New Roman" w:cs="Times New Roman"/>
          <w:bCs/>
          <w:sz w:val="28"/>
          <w:szCs w:val="28"/>
        </w:rPr>
      </w:pPr>
      <w:r w:rsidRPr="00C23AC6">
        <w:rPr>
          <w:rFonts w:ascii="Times New Roman" w:eastAsiaTheme="majorEastAsia" w:hAnsi="Times New Roman" w:cs="Times New Roman"/>
          <w:bCs/>
          <w:sz w:val="28"/>
          <w:szCs w:val="28"/>
        </w:rPr>
        <w:t xml:space="preserve">Tiks izstrādāts informatīvais ziņojums, kas saturēs augstas efektivitātes koģenerācijas un efektīvas centralizētas siltumapgādes un dzesēšanas izmantošanas potenciāla visaptverošu izvērtējumu. Minētā ziņojuma saturu un metodiskos principus nosaka Direktīvas 2012/27/ES VIII un IX pielikums. Ziņojumā jāveic ekonomiskā analīze - efektīva siltuma potenciāla izmantošanas ieguvumu un izmaksu (ja tas iespējams, ekonomiskajā analīzē iekļaujot arī vides un veselības izmaksas) aprēķins. Ziņojums jādara zināms Eiropas Komisijai. Direktīva 2012/27/ES nosaka, ka valstu pienākums ir ieviest pasākumus konstatētā ekonomiski efektīvā potenciāla apgūšanai. Līdz ar to ziņojums kalpos par pamatu </w:t>
      </w:r>
      <w:r>
        <w:rPr>
          <w:rFonts w:ascii="Times New Roman" w:eastAsiaTheme="majorEastAsia" w:hAnsi="Times New Roman" w:cs="Times New Roman"/>
          <w:bCs/>
          <w:sz w:val="28"/>
          <w:szCs w:val="28"/>
        </w:rPr>
        <w:t xml:space="preserve">attīstības </w:t>
      </w:r>
      <w:r w:rsidRPr="00C23AC6">
        <w:rPr>
          <w:rFonts w:ascii="Times New Roman" w:eastAsiaTheme="majorEastAsia" w:hAnsi="Times New Roman" w:cs="Times New Roman"/>
          <w:bCs/>
          <w:sz w:val="28"/>
          <w:szCs w:val="28"/>
        </w:rPr>
        <w:t xml:space="preserve">plānošanas dokumentu </w:t>
      </w:r>
      <w:r>
        <w:rPr>
          <w:rFonts w:ascii="Times New Roman" w:eastAsiaTheme="majorEastAsia" w:hAnsi="Times New Roman" w:cs="Times New Roman"/>
          <w:bCs/>
          <w:sz w:val="28"/>
          <w:szCs w:val="28"/>
        </w:rPr>
        <w:t>projektiem</w:t>
      </w:r>
      <w:r w:rsidRPr="00C23AC6">
        <w:rPr>
          <w:rFonts w:ascii="Times New Roman" w:eastAsiaTheme="majorEastAsia" w:hAnsi="Times New Roman" w:cs="Times New Roman"/>
          <w:bCs/>
          <w:sz w:val="28"/>
          <w:szCs w:val="28"/>
        </w:rPr>
        <w:t>, piemēram, 2017.</w:t>
      </w:r>
      <w:r w:rsidR="009B3890">
        <w:rPr>
          <w:rFonts w:ascii="Times New Roman" w:eastAsiaTheme="majorEastAsia" w:hAnsi="Times New Roman" w:cs="Times New Roman"/>
          <w:bCs/>
          <w:sz w:val="28"/>
          <w:szCs w:val="28"/>
        </w:rPr>
        <w:t> </w:t>
      </w:r>
      <w:r w:rsidRPr="00C23AC6">
        <w:rPr>
          <w:rFonts w:ascii="Times New Roman" w:eastAsiaTheme="majorEastAsia" w:hAnsi="Times New Roman" w:cs="Times New Roman"/>
          <w:bCs/>
          <w:sz w:val="28"/>
          <w:szCs w:val="28"/>
        </w:rPr>
        <w:t>gada aprīlī Eiropas Komisijā iesniedzamajam Valsts energoefektivitātes rīcības plānam.</w:t>
      </w:r>
      <w:r>
        <w:rPr>
          <w:rFonts w:ascii="Times New Roman" w:eastAsiaTheme="majorEastAsia" w:hAnsi="Times New Roman" w:cs="Times New Roman"/>
          <w:bCs/>
          <w:sz w:val="28"/>
          <w:szCs w:val="28"/>
        </w:rPr>
        <w:t xml:space="preserve"> </w:t>
      </w:r>
    </w:p>
    <w:p w:rsidR="00687B0D" w:rsidRDefault="00AC58F8" w:rsidP="00B479A5">
      <w:pPr>
        <w:spacing w:after="0" w:line="240" w:lineRule="auto"/>
        <w:ind w:firstLine="720"/>
        <w:jc w:val="both"/>
        <w:rPr>
          <w:rFonts w:ascii="Times New Roman" w:eastAsiaTheme="majorEastAsia" w:hAnsi="Times New Roman" w:cs="Times New Roman"/>
          <w:bCs/>
          <w:sz w:val="28"/>
          <w:szCs w:val="28"/>
        </w:rPr>
      </w:pPr>
      <w:r w:rsidRPr="00AC58F8">
        <w:rPr>
          <w:rFonts w:ascii="Times New Roman" w:eastAsiaTheme="majorEastAsia" w:hAnsi="Times New Roman" w:cs="Times New Roman"/>
          <w:bCs/>
          <w:sz w:val="28"/>
          <w:szCs w:val="28"/>
        </w:rPr>
        <w:t>Direktīva</w:t>
      </w:r>
      <w:r w:rsidR="00B15CDA">
        <w:rPr>
          <w:rFonts w:ascii="Times New Roman" w:eastAsiaTheme="majorEastAsia" w:hAnsi="Times New Roman" w:cs="Times New Roman"/>
          <w:bCs/>
          <w:sz w:val="28"/>
          <w:szCs w:val="28"/>
        </w:rPr>
        <w:t>s</w:t>
      </w:r>
      <w:r w:rsidRPr="00AC58F8">
        <w:rPr>
          <w:rFonts w:ascii="Times New Roman" w:eastAsiaTheme="majorEastAsia" w:hAnsi="Times New Roman" w:cs="Times New Roman"/>
          <w:bCs/>
          <w:sz w:val="28"/>
          <w:szCs w:val="28"/>
        </w:rPr>
        <w:t xml:space="preserve"> 2012/27/ES 14. pant</w:t>
      </w:r>
      <w:r w:rsidR="00B15CDA">
        <w:rPr>
          <w:rFonts w:ascii="Times New Roman" w:eastAsiaTheme="majorEastAsia" w:hAnsi="Times New Roman" w:cs="Times New Roman"/>
          <w:bCs/>
          <w:sz w:val="28"/>
          <w:szCs w:val="28"/>
        </w:rPr>
        <w:t>s</w:t>
      </w:r>
      <w:r w:rsidRPr="00AC58F8">
        <w:rPr>
          <w:rFonts w:ascii="Times New Roman" w:eastAsiaTheme="majorEastAsia" w:hAnsi="Times New Roman" w:cs="Times New Roman"/>
          <w:bCs/>
          <w:sz w:val="28"/>
          <w:szCs w:val="28"/>
        </w:rPr>
        <w:t xml:space="preserve"> paredz </w:t>
      </w:r>
      <w:r w:rsidR="00574A66" w:rsidRPr="00574A66">
        <w:rPr>
          <w:rFonts w:ascii="Times New Roman" w:eastAsiaTheme="majorEastAsia" w:hAnsi="Times New Roman" w:cs="Times New Roman"/>
          <w:bCs/>
          <w:sz w:val="28"/>
          <w:szCs w:val="28"/>
        </w:rPr>
        <w:t>dalībvalstīm</w:t>
      </w:r>
      <w:r w:rsidR="00574A66" w:rsidRPr="00574A66" w:rsidDel="00574A66">
        <w:rPr>
          <w:rFonts w:ascii="Times New Roman" w:eastAsiaTheme="majorEastAsia" w:hAnsi="Times New Roman" w:cs="Times New Roman"/>
          <w:bCs/>
          <w:sz w:val="28"/>
          <w:szCs w:val="28"/>
        </w:rPr>
        <w:t xml:space="preserve"> </w:t>
      </w:r>
      <w:r w:rsidRPr="00AC58F8">
        <w:rPr>
          <w:rFonts w:ascii="Times New Roman" w:eastAsiaTheme="majorEastAsia" w:hAnsi="Times New Roman" w:cs="Times New Roman"/>
          <w:bCs/>
          <w:sz w:val="28"/>
          <w:szCs w:val="28"/>
        </w:rPr>
        <w:t xml:space="preserve"> pienākumus</w:t>
      </w:r>
      <w:r w:rsidR="003F526F">
        <w:rPr>
          <w:rFonts w:ascii="Times New Roman" w:eastAsiaTheme="majorEastAsia" w:hAnsi="Times New Roman" w:cs="Times New Roman"/>
          <w:bCs/>
          <w:sz w:val="28"/>
          <w:szCs w:val="28"/>
        </w:rPr>
        <w:t>, kuru</w:t>
      </w:r>
      <w:r w:rsidRPr="00AC58F8">
        <w:rPr>
          <w:rFonts w:ascii="Times New Roman" w:eastAsiaTheme="majorEastAsia" w:hAnsi="Times New Roman" w:cs="Times New Roman"/>
          <w:bCs/>
          <w:sz w:val="28"/>
          <w:szCs w:val="28"/>
        </w:rPr>
        <w:t xml:space="preserve"> mērķi</w:t>
      </w:r>
      <w:r w:rsidR="003F526F">
        <w:rPr>
          <w:rFonts w:ascii="Times New Roman" w:eastAsiaTheme="majorEastAsia" w:hAnsi="Times New Roman" w:cs="Times New Roman"/>
          <w:bCs/>
          <w:sz w:val="28"/>
          <w:szCs w:val="28"/>
        </w:rPr>
        <w:t>s ir</w:t>
      </w:r>
      <w:r w:rsidR="00574A66">
        <w:rPr>
          <w:rFonts w:ascii="Times New Roman" w:eastAsiaTheme="majorEastAsia" w:hAnsi="Times New Roman" w:cs="Times New Roman"/>
          <w:bCs/>
          <w:sz w:val="28"/>
          <w:szCs w:val="28"/>
        </w:rPr>
        <w:t xml:space="preserve"> veicināt</w:t>
      </w:r>
      <w:r w:rsidRPr="00AC58F8">
        <w:rPr>
          <w:rFonts w:ascii="Times New Roman" w:eastAsiaTheme="majorEastAsia" w:hAnsi="Times New Roman" w:cs="Times New Roman"/>
          <w:bCs/>
          <w:sz w:val="28"/>
          <w:szCs w:val="28"/>
        </w:rPr>
        <w:t xml:space="preserve"> primārās enerģijas ietaupījum</w:t>
      </w:r>
      <w:r w:rsidR="00574A66">
        <w:rPr>
          <w:rFonts w:ascii="Times New Roman" w:eastAsiaTheme="majorEastAsia" w:hAnsi="Times New Roman" w:cs="Times New Roman"/>
          <w:bCs/>
          <w:sz w:val="28"/>
          <w:szCs w:val="28"/>
        </w:rPr>
        <w:t>us</w:t>
      </w:r>
      <w:r w:rsidRPr="00AC58F8">
        <w:rPr>
          <w:rFonts w:ascii="Times New Roman" w:eastAsiaTheme="majorEastAsia" w:hAnsi="Times New Roman" w:cs="Times New Roman"/>
          <w:bCs/>
          <w:sz w:val="28"/>
          <w:szCs w:val="28"/>
        </w:rPr>
        <w:t xml:space="preserve">. Gadījumā, ja izvērtējumā un izmaksu/ieguvumu analīzē tiek konstatēts augstas efektivitātes koģenerācijas potenciāls, un/vai potenciāls efektīvas siltumapgādes izmantošanai, un, ja papildu ieguvumi pārsniedz izmaksas, dalībvalstīm </w:t>
      </w:r>
      <w:r w:rsidR="003F526F">
        <w:rPr>
          <w:rFonts w:ascii="Times New Roman" w:eastAsiaTheme="majorEastAsia" w:hAnsi="Times New Roman" w:cs="Times New Roman"/>
          <w:bCs/>
          <w:sz w:val="28"/>
          <w:szCs w:val="28"/>
        </w:rPr>
        <w:t>jāpieņem politiski</w:t>
      </w:r>
      <w:r w:rsidRPr="00AC58F8">
        <w:rPr>
          <w:rFonts w:ascii="Times New Roman" w:eastAsiaTheme="majorEastAsia" w:hAnsi="Times New Roman" w:cs="Times New Roman"/>
          <w:bCs/>
          <w:sz w:val="28"/>
          <w:szCs w:val="28"/>
        </w:rPr>
        <w:t xml:space="preserve"> pasākumi</w:t>
      </w:r>
      <w:r w:rsidR="003F526F">
        <w:rPr>
          <w:rFonts w:ascii="Times New Roman" w:eastAsiaTheme="majorEastAsia" w:hAnsi="Times New Roman" w:cs="Times New Roman"/>
          <w:bCs/>
          <w:sz w:val="28"/>
          <w:szCs w:val="28"/>
        </w:rPr>
        <w:t xml:space="preserve">, </w:t>
      </w:r>
      <w:r w:rsidR="003F526F">
        <w:rPr>
          <w:rFonts w:ascii="Times New Roman" w:eastAsiaTheme="majorEastAsia" w:hAnsi="Times New Roman" w:cs="Times New Roman"/>
          <w:bCs/>
          <w:sz w:val="28"/>
          <w:szCs w:val="28"/>
        </w:rPr>
        <w:lastRenderedPageBreak/>
        <w:t>lai mudinātu siltumapgādes sistēmu potenciāla izmantošanu vietējā un reģionālā līmenī, īpaši attiecībā uz augstas efektivitātes koģenerāciju.</w:t>
      </w:r>
    </w:p>
    <w:p w:rsidR="00687B0D" w:rsidRDefault="00687B0D" w:rsidP="00B479A5">
      <w:pPr>
        <w:spacing w:after="0" w:line="240" w:lineRule="auto"/>
        <w:ind w:firstLine="72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Koģenerācijas ieguvumu un izmaksu novērtējums ir jāveic arī atsevišķu iekārtu līmenī.</w:t>
      </w:r>
      <w:r w:rsidRPr="00687B0D">
        <w:t xml:space="preserve"> </w:t>
      </w:r>
      <w:r w:rsidRPr="00687B0D">
        <w:rPr>
          <w:rFonts w:ascii="Times New Roman" w:eastAsiaTheme="majorEastAsia" w:hAnsi="Times New Roman" w:cs="Times New Roman"/>
          <w:bCs/>
          <w:sz w:val="28"/>
          <w:szCs w:val="28"/>
        </w:rPr>
        <w:t>Direktīva</w:t>
      </w:r>
      <w:r w:rsidR="00BD5168">
        <w:rPr>
          <w:rFonts w:ascii="Times New Roman" w:eastAsiaTheme="majorEastAsia" w:hAnsi="Times New Roman" w:cs="Times New Roman"/>
          <w:bCs/>
          <w:sz w:val="28"/>
          <w:szCs w:val="28"/>
        </w:rPr>
        <w:t xml:space="preserve"> </w:t>
      </w:r>
      <w:r w:rsidR="00AC69E2" w:rsidRPr="00AC69E2">
        <w:rPr>
          <w:rFonts w:ascii="Times New Roman" w:eastAsiaTheme="majorEastAsia" w:hAnsi="Times New Roman" w:cs="Times New Roman"/>
          <w:bCs/>
          <w:sz w:val="28"/>
          <w:szCs w:val="28"/>
        </w:rPr>
        <w:t>2012/27/ES</w:t>
      </w:r>
      <w:r w:rsidRPr="00687B0D">
        <w:rPr>
          <w:rFonts w:ascii="Times New Roman" w:eastAsiaTheme="majorEastAsia" w:hAnsi="Times New Roman" w:cs="Times New Roman"/>
          <w:bCs/>
          <w:sz w:val="28"/>
          <w:szCs w:val="28"/>
        </w:rPr>
        <w:t xml:space="preserve"> ļauj Latvijai paziņot par atbrīvojumiem no pienākuma veikt izmaksu un ieguvumu analīzi</w:t>
      </w:r>
      <w:r w:rsidR="008B1432">
        <w:rPr>
          <w:rFonts w:ascii="Times New Roman" w:eastAsiaTheme="majorEastAsia" w:hAnsi="Times New Roman" w:cs="Times New Roman"/>
          <w:bCs/>
          <w:sz w:val="28"/>
          <w:szCs w:val="28"/>
        </w:rPr>
        <w:t xml:space="preserve"> </w:t>
      </w:r>
      <w:r w:rsidR="00FD4222">
        <w:rPr>
          <w:rFonts w:ascii="Times New Roman" w:eastAsiaTheme="majorEastAsia" w:hAnsi="Times New Roman" w:cs="Times New Roman"/>
          <w:bCs/>
          <w:sz w:val="28"/>
          <w:szCs w:val="28"/>
        </w:rPr>
        <w:t xml:space="preserve">jaunām </w:t>
      </w:r>
      <w:r w:rsidR="008B1432">
        <w:rPr>
          <w:rFonts w:ascii="Times New Roman" w:eastAsiaTheme="majorEastAsia" w:hAnsi="Times New Roman" w:cs="Times New Roman"/>
          <w:bCs/>
          <w:sz w:val="28"/>
          <w:szCs w:val="28"/>
        </w:rPr>
        <w:t>elektroenerģijas iekārtām, ko ekspluatē mazāk kā 1 500 stundas gadā, kodolenerģijas iekārt</w:t>
      </w:r>
      <w:r w:rsidR="00FD4222">
        <w:rPr>
          <w:rFonts w:ascii="Times New Roman" w:eastAsiaTheme="majorEastAsia" w:hAnsi="Times New Roman" w:cs="Times New Roman"/>
          <w:bCs/>
          <w:sz w:val="28"/>
          <w:szCs w:val="28"/>
        </w:rPr>
        <w:t>ām</w:t>
      </w:r>
      <w:r w:rsidR="008B1432">
        <w:rPr>
          <w:rFonts w:ascii="Times New Roman" w:eastAsiaTheme="majorEastAsia" w:hAnsi="Times New Roman" w:cs="Times New Roman"/>
          <w:bCs/>
          <w:sz w:val="28"/>
          <w:szCs w:val="28"/>
        </w:rPr>
        <w:t xml:space="preserve"> un iekārt</w:t>
      </w:r>
      <w:r w:rsidR="00FD4222">
        <w:rPr>
          <w:rFonts w:ascii="Times New Roman" w:eastAsiaTheme="majorEastAsia" w:hAnsi="Times New Roman" w:cs="Times New Roman"/>
          <w:bCs/>
          <w:sz w:val="28"/>
          <w:szCs w:val="28"/>
        </w:rPr>
        <w:t>ām</w:t>
      </w:r>
      <w:r w:rsidR="008B1432">
        <w:rPr>
          <w:rFonts w:ascii="Times New Roman" w:eastAsiaTheme="majorEastAsia" w:hAnsi="Times New Roman" w:cs="Times New Roman"/>
          <w:bCs/>
          <w:sz w:val="28"/>
          <w:szCs w:val="28"/>
        </w:rPr>
        <w:t>, k</w:t>
      </w:r>
      <w:r w:rsidR="00FD4222">
        <w:rPr>
          <w:rFonts w:ascii="Times New Roman" w:eastAsiaTheme="majorEastAsia" w:hAnsi="Times New Roman" w:cs="Times New Roman"/>
          <w:bCs/>
          <w:sz w:val="28"/>
          <w:szCs w:val="28"/>
        </w:rPr>
        <w:t xml:space="preserve">urām </w:t>
      </w:r>
      <w:r w:rsidR="008B1432">
        <w:rPr>
          <w:rFonts w:ascii="Times New Roman" w:eastAsiaTheme="majorEastAsia" w:hAnsi="Times New Roman" w:cs="Times New Roman"/>
          <w:bCs/>
          <w:sz w:val="28"/>
          <w:szCs w:val="28"/>
        </w:rPr>
        <w:t>jāatrodas tuvu CO</w:t>
      </w:r>
      <w:r w:rsidR="008B1432" w:rsidRPr="00BD5168">
        <w:rPr>
          <w:rFonts w:ascii="Times New Roman" w:eastAsiaTheme="majorEastAsia" w:hAnsi="Times New Roman" w:cs="Times New Roman"/>
          <w:bCs/>
          <w:sz w:val="28"/>
          <w:szCs w:val="28"/>
          <w:vertAlign w:val="subscript"/>
        </w:rPr>
        <w:t>2</w:t>
      </w:r>
      <w:r w:rsidR="008B1432">
        <w:rPr>
          <w:rFonts w:ascii="Times New Roman" w:eastAsiaTheme="majorEastAsia" w:hAnsi="Times New Roman" w:cs="Times New Roman"/>
          <w:bCs/>
          <w:sz w:val="28"/>
          <w:szCs w:val="28"/>
        </w:rPr>
        <w:t xml:space="preserve"> ģeoloģiskās uzglabāšanas vietām, </w:t>
      </w:r>
      <w:r w:rsidRPr="00687B0D">
        <w:rPr>
          <w:rFonts w:ascii="Times New Roman" w:eastAsiaTheme="majorEastAsia" w:hAnsi="Times New Roman" w:cs="Times New Roman"/>
          <w:bCs/>
          <w:sz w:val="28"/>
          <w:szCs w:val="28"/>
        </w:rPr>
        <w:t>atsevišķām siltumenerģijas ražošanas iekārtām un rūpnieciskās iekārtām, kā arī centralizētās siltumapgādes sistēmās plānotām jaunām enerģijas ražošanas iekārtām</w:t>
      </w:r>
      <w:r>
        <w:rPr>
          <w:rFonts w:ascii="Times New Roman" w:eastAsiaTheme="majorEastAsia" w:hAnsi="Times New Roman" w:cs="Times New Roman"/>
          <w:bCs/>
          <w:sz w:val="28"/>
          <w:szCs w:val="28"/>
        </w:rPr>
        <w:t>, kuru jauda pārsniedz 20 MW. Tādā gadījumā par izņēmumu piemērošanu ir jāziņo EK līdz 2013.</w:t>
      </w:r>
      <w:r w:rsidR="00BD5168">
        <w:rPr>
          <w:rFonts w:ascii="Times New Roman" w:eastAsiaTheme="majorEastAsia" w:hAnsi="Times New Roman" w:cs="Times New Roman"/>
          <w:bCs/>
          <w:sz w:val="28"/>
          <w:szCs w:val="28"/>
        </w:rPr>
        <w:t> </w:t>
      </w:r>
      <w:r>
        <w:rPr>
          <w:rFonts w:ascii="Times New Roman" w:eastAsiaTheme="majorEastAsia" w:hAnsi="Times New Roman" w:cs="Times New Roman"/>
          <w:bCs/>
          <w:sz w:val="28"/>
          <w:szCs w:val="28"/>
        </w:rPr>
        <w:t>gada 31.</w:t>
      </w:r>
      <w:r w:rsidR="00BD5168">
        <w:rPr>
          <w:rFonts w:ascii="Times New Roman" w:eastAsiaTheme="majorEastAsia" w:hAnsi="Times New Roman" w:cs="Times New Roman"/>
          <w:bCs/>
          <w:sz w:val="28"/>
          <w:szCs w:val="28"/>
        </w:rPr>
        <w:t> </w:t>
      </w:r>
      <w:r>
        <w:rPr>
          <w:rFonts w:ascii="Times New Roman" w:eastAsiaTheme="majorEastAsia" w:hAnsi="Times New Roman" w:cs="Times New Roman"/>
          <w:bCs/>
          <w:sz w:val="28"/>
          <w:szCs w:val="28"/>
        </w:rPr>
        <w:t>decembrim.</w:t>
      </w:r>
    </w:p>
    <w:p w:rsidR="008F7A8A" w:rsidRPr="008F7A8A" w:rsidRDefault="008F7A8A" w:rsidP="00B479A5">
      <w:pPr>
        <w:spacing w:after="0" w:line="240" w:lineRule="auto"/>
        <w:ind w:firstLine="720"/>
        <w:jc w:val="both"/>
        <w:rPr>
          <w:rFonts w:ascii="Times New Roman" w:eastAsiaTheme="majorEastAsia" w:hAnsi="Times New Roman" w:cs="Times New Roman"/>
          <w:bCs/>
          <w:sz w:val="28"/>
          <w:szCs w:val="28"/>
        </w:rPr>
      </w:pPr>
      <w:r w:rsidRPr="008F7A8A">
        <w:rPr>
          <w:rFonts w:ascii="Times New Roman" w:eastAsiaTheme="majorEastAsia" w:hAnsi="Times New Roman" w:cs="Times New Roman"/>
          <w:bCs/>
          <w:sz w:val="28"/>
          <w:szCs w:val="28"/>
        </w:rPr>
        <w:t xml:space="preserve">Latvijā ir izveidota tiesiskā bāze, lai nodrošinātu tādas koģenerācijas veicināšanu, kas balstīta uz lietderīgo siltuma pieprasījumu iekšējā enerģijas tirgū. Latvijas enerģētikas sektorā kopš 2000. gada ir vērojama strauja efektīvas koģenerācijas izplatība. 2011. gadā darbojās jau 83 koģenerācijas stacijas ar kopējo elektrisko jaudu 963,4 MW, kuras saražoja 3134 </w:t>
      </w:r>
      <w:proofErr w:type="spellStart"/>
      <w:r w:rsidRPr="008F7A8A">
        <w:rPr>
          <w:rFonts w:ascii="Times New Roman" w:eastAsiaTheme="majorEastAsia" w:hAnsi="Times New Roman" w:cs="Times New Roman"/>
          <w:bCs/>
          <w:sz w:val="28"/>
          <w:szCs w:val="28"/>
        </w:rPr>
        <w:t>GWh</w:t>
      </w:r>
      <w:proofErr w:type="spellEnd"/>
      <w:r w:rsidRPr="008F7A8A">
        <w:rPr>
          <w:rFonts w:ascii="Times New Roman" w:eastAsiaTheme="majorEastAsia" w:hAnsi="Times New Roman" w:cs="Times New Roman"/>
          <w:bCs/>
          <w:sz w:val="28"/>
          <w:szCs w:val="28"/>
        </w:rPr>
        <w:t xml:space="preserve"> elektroenerģijas, kas sastādīja 42,7 % no kopējās elektroenerģijas piegādes. Koģenerācijas stacijas 2011. gadā saražoja 4112 </w:t>
      </w:r>
      <w:proofErr w:type="spellStart"/>
      <w:r w:rsidRPr="008F7A8A">
        <w:rPr>
          <w:rFonts w:ascii="Times New Roman" w:eastAsiaTheme="majorEastAsia" w:hAnsi="Times New Roman" w:cs="Times New Roman"/>
          <w:bCs/>
          <w:sz w:val="28"/>
          <w:szCs w:val="28"/>
        </w:rPr>
        <w:t>GWh</w:t>
      </w:r>
      <w:proofErr w:type="spellEnd"/>
      <w:r w:rsidRPr="008F7A8A">
        <w:rPr>
          <w:rFonts w:ascii="Times New Roman" w:eastAsiaTheme="majorEastAsia" w:hAnsi="Times New Roman" w:cs="Times New Roman"/>
          <w:bCs/>
          <w:sz w:val="28"/>
          <w:szCs w:val="28"/>
        </w:rPr>
        <w:t xml:space="preserve"> centralizētās siltumenerģijas, kas sastādīja 59,2 % no kopējās centralizētās siltumenerģijas piegādes.</w:t>
      </w:r>
    </w:p>
    <w:p w:rsidR="008F7A8A" w:rsidRDefault="008F7A8A" w:rsidP="00B479A5">
      <w:pPr>
        <w:spacing w:after="0" w:line="240" w:lineRule="auto"/>
        <w:ind w:firstLine="720"/>
        <w:jc w:val="both"/>
        <w:rPr>
          <w:rFonts w:ascii="Times New Roman" w:eastAsiaTheme="majorEastAsia" w:hAnsi="Times New Roman" w:cs="Times New Roman"/>
          <w:bCs/>
          <w:sz w:val="28"/>
          <w:szCs w:val="28"/>
        </w:rPr>
      </w:pPr>
      <w:r w:rsidRPr="008F7A8A">
        <w:rPr>
          <w:rFonts w:ascii="Times New Roman" w:eastAsiaTheme="majorEastAsia" w:hAnsi="Times New Roman" w:cs="Times New Roman"/>
          <w:bCs/>
          <w:sz w:val="28"/>
          <w:szCs w:val="28"/>
        </w:rPr>
        <w:t xml:space="preserve">Augsti efektīvā koģenerācijā 2011. gadā tika saražots 2888 </w:t>
      </w:r>
      <w:proofErr w:type="spellStart"/>
      <w:r w:rsidRPr="008F7A8A">
        <w:rPr>
          <w:rFonts w:ascii="Times New Roman" w:eastAsiaTheme="majorEastAsia" w:hAnsi="Times New Roman" w:cs="Times New Roman"/>
          <w:bCs/>
          <w:sz w:val="28"/>
          <w:szCs w:val="28"/>
        </w:rPr>
        <w:t>GWh</w:t>
      </w:r>
      <w:proofErr w:type="spellEnd"/>
      <w:r w:rsidRPr="008F7A8A">
        <w:rPr>
          <w:rFonts w:ascii="Times New Roman" w:eastAsiaTheme="majorEastAsia" w:hAnsi="Times New Roman" w:cs="Times New Roman"/>
          <w:bCs/>
          <w:sz w:val="28"/>
          <w:szCs w:val="28"/>
        </w:rPr>
        <w:t xml:space="preserve"> elektroenerģijas, kas ir 92 % no kopējā koģenerācijā saražotās elektroenerģijas apjoma. Šo augsto rādītāju veicinājis līdz šim īstenotais atbalsta mehānisms - obligātais elektroenerģijas iepirkums, kā ietvaros arī esošās siltumenerģijas ražošanas iekārtas pakāpeniski tiek aizstātas ar vietējos energoresursus izmantojošām un efektīvām koģenerācijas iekārtām.</w:t>
      </w:r>
      <w:r w:rsidR="003F526F">
        <w:rPr>
          <w:rFonts w:ascii="Times New Roman" w:eastAsiaTheme="majorEastAsia" w:hAnsi="Times New Roman" w:cs="Times New Roman"/>
          <w:bCs/>
          <w:sz w:val="28"/>
          <w:szCs w:val="28"/>
        </w:rPr>
        <w:t xml:space="preserve"> </w:t>
      </w:r>
      <w:r w:rsidR="003F526F" w:rsidRPr="005822AB">
        <w:rPr>
          <w:rFonts w:ascii="Times New Roman" w:eastAsiaTheme="majorEastAsia" w:hAnsi="Times New Roman" w:cs="Times New Roman"/>
          <w:bCs/>
          <w:sz w:val="28"/>
          <w:szCs w:val="28"/>
        </w:rPr>
        <w:t>Savukārt, s</w:t>
      </w:r>
      <w:r w:rsidR="003F526F" w:rsidRPr="005822AB">
        <w:rPr>
          <w:rFonts w:ascii="Times New Roman" w:hAnsi="Times New Roman" w:cs="Times New Roman"/>
          <w:sz w:val="28"/>
          <w:szCs w:val="28"/>
        </w:rPr>
        <w:t>alīdzinājumā ar 2011. gadu, 2012.</w:t>
      </w:r>
      <w:r w:rsidR="00637EC6">
        <w:rPr>
          <w:rFonts w:ascii="Times New Roman" w:hAnsi="Times New Roman" w:cs="Times New Roman"/>
          <w:sz w:val="28"/>
          <w:szCs w:val="28"/>
        </w:rPr>
        <w:t> </w:t>
      </w:r>
      <w:r w:rsidR="003F526F" w:rsidRPr="005822AB">
        <w:rPr>
          <w:rFonts w:ascii="Times New Roman" w:hAnsi="Times New Roman" w:cs="Times New Roman"/>
          <w:sz w:val="28"/>
          <w:szCs w:val="28"/>
        </w:rPr>
        <w:t>gadā koģenerācijas staciju skaits palielinājies</w:t>
      </w:r>
      <w:r w:rsidR="003F526F">
        <w:rPr>
          <w:rFonts w:ascii="Times New Roman" w:hAnsi="Times New Roman" w:cs="Times New Roman"/>
          <w:sz w:val="28"/>
          <w:szCs w:val="28"/>
        </w:rPr>
        <w:t xml:space="preserve"> un 2012.</w:t>
      </w:r>
      <w:r w:rsidR="00637EC6">
        <w:rPr>
          <w:rFonts w:ascii="Times New Roman" w:hAnsi="Times New Roman" w:cs="Times New Roman"/>
          <w:sz w:val="28"/>
          <w:szCs w:val="28"/>
        </w:rPr>
        <w:t> </w:t>
      </w:r>
      <w:r w:rsidR="003F526F">
        <w:rPr>
          <w:rFonts w:ascii="Times New Roman" w:hAnsi="Times New Roman" w:cs="Times New Roman"/>
          <w:sz w:val="28"/>
          <w:szCs w:val="28"/>
        </w:rPr>
        <w:t xml:space="preserve">gadā darbojās </w:t>
      </w:r>
      <w:r w:rsidR="003F526F" w:rsidRPr="005822AB">
        <w:rPr>
          <w:rFonts w:ascii="Times New Roman" w:hAnsi="Times New Roman" w:cs="Times New Roman"/>
          <w:sz w:val="28"/>
          <w:szCs w:val="28"/>
        </w:rPr>
        <w:t>133 koģenerācijas stacij</w:t>
      </w:r>
      <w:r w:rsidR="003F526F">
        <w:rPr>
          <w:rFonts w:ascii="Times New Roman" w:hAnsi="Times New Roman" w:cs="Times New Roman"/>
          <w:sz w:val="28"/>
          <w:szCs w:val="28"/>
        </w:rPr>
        <w:t>as</w:t>
      </w:r>
      <w:r w:rsidR="003F526F" w:rsidRPr="005822AB">
        <w:rPr>
          <w:rFonts w:ascii="Times New Roman" w:hAnsi="Times New Roman" w:cs="Times New Roman"/>
          <w:sz w:val="28"/>
          <w:szCs w:val="28"/>
        </w:rPr>
        <w:t xml:space="preserve"> ar kopējo elektrisko jaudu 1021 </w:t>
      </w:r>
      <w:r w:rsidR="003F526F">
        <w:rPr>
          <w:rFonts w:ascii="Times New Roman" w:hAnsi="Times New Roman" w:cs="Times New Roman"/>
          <w:sz w:val="28"/>
          <w:szCs w:val="28"/>
        </w:rPr>
        <w:t>MW.</w:t>
      </w:r>
    </w:p>
    <w:p w:rsidR="000A39C3" w:rsidRPr="000A39C3" w:rsidRDefault="000A39C3" w:rsidP="00B479A5">
      <w:pPr>
        <w:spacing w:after="0" w:line="240" w:lineRule="auto"/>
        <w:ind w:firstLine="720"/>
        <w:jc w:val="both"/>
        <w:rPr>
          <w:rFonts w:ascii="Times New Roman" w:eastAsiaTheme="majorEastAsia" w:hAnsi="Times New Roman" w:cs="Times New Roman"/>
          <w:bCs/>
          <w:sz w:val="28"/>
          <w:szCs w:val="28"/>
        </w:rPr>
      </w:pPr>
      <w:r w:rsidRPr="000A39C3">
        <w:rPr>
          <w:rFonts w:ascii="Times New Roman" w:eastAsiaTheme="majorEastAsia" w:hAnsi="Times New Roman" w:cs="Times New Roman"/>
          <w:bCs/>
          <w:sz w:val="28"/>
          <w:szCs w:val="28"/>
        </w:rPr>
        <w:t xml:space="preserve">Latvijā enerģijas ražošanu koģenerācijā regulē Enerģētikas likums, Elektroenerģijas tirgus likums un saskaņā ar to izdotie Ministru kabineta 2009. gada 10. marta noteikumi </w:t>
      </w:r>
      <w:proofErr w:type="spellStart"/>
      <w:r w:rsidRPr="000A39C3">
        <w:rPr>
          <w:rFonts w:ascii="Times New Roman" w:eastAsiaTheme="majorEastAsia" w:hAnsi="Times New Roman" w:cs="Times New Roman"/>
          <w:bCs/>
          <w:sz w:val="28"/>
          <w:szCs w:val="28"/>
        </w:rPr>
        <w:t>Nr</w:t>
      </w:r>
      <w:proofErr w:type="spellEnd"/>
      <w:r w:rsidRPr="000A39C3">
        <w:rPr>
          <w:rFonts w:ascii="Times New Roman" w:eastAsiaTheme="majorEastAsia" w:hAnsi="Times New Roman" w:cs="Times New Roman"/>
          <w:bCs/>
          <w:sz w:val="28"/>
          <w:szCs w:val="28"/>
        </w:rPr>
        <w:t>. 221 „Noteikumi par elektroenerģijas ražošanu un cenu noteikšanu, ražojot elektroenerģiju koģenerācijā”, kā arī likums “Par sabiedrisko pakalpojumu regulatoriem” un saskaņā ar to izdotie Ministru kabineta noteikumi.</w:t>
      </w:r>
    </w:p>
    <w:p w:rsidR="006109AA" w:rsidRDefault="008F7A8A" w:rsidP="00B479A5">
      <w:pPr>
        <w:spacing w:after="0" w:line="240" w:lineRule="auto"/>
        <w:ind w:firstLine="72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Minētās normas un pasākumi ieviesti, izpildot </w:t>
      </w:r>
      <w:r w:rsidR="000A39C3" w:rsidRPr="000A39C3">
        <w:rPr>
          <w:rFonts w:ascii="Times New Roman" w:eastAsiaTheme="majorEastAsia" w:hAnsi="Times New Roman" w:cs="Times New Roman"/>
          <w:bCs/>
          <w:sz w:val="28"/>
          <w:szCs w:val="28"/>
        </w:rPr>
        <w:t>Direktīva</w:t>
      </w:r>
      <w:r>
        <w:rPr>
          <w:rFonts w:ascii="Times New Roman" w:eastAsiaTheme="majorEastAsia" w:hAnsi="Times New Roman" w:cs="Times New Roman"/>
          <w:bCs/>
          <w:sz w:val="28"/>
          <w:szCs w:val="28"/>
        </w:rPr>
        <w:t>s</w:t>
      </w:r>
      <w:r w:rsidR="000A39C3" w:rsidRPr="000A39C3">
        <w:rPr>
          <w:rFonts w:ascii="Times New Roman" w:eastAsiaTheme="majorEastAsia" w:hAnsi="Times New Roman" w:cs="Times New Roman"/>
          <w:bCs/>
          <w:sz w:val="28"/>
          <w:szCs w:val="28"/>
        </w:rPr>
        <w:t xml:space="preserve"> 2004/8/EK</w:t>
      </w:r>
      <w:r>
        <w:rPr>
          <w:rStyle w:val="FootnoteReference"/>
          <w:rFonts w:ascii="Times New Roman" w:eastAsiaTheme="majorEastAsia" w:hAnsi="Times New Roman" w:cs="Times New Roman"/>
          <w:bCs/>
          <w:sz w:val="28"/>
          <w:szCs w:val="28"/>
        </w:rPr>
        <w:footnoteReference w:id="11"/>
      </w:r>
      <w:r w:rsidR="000A39C3" w:rsidRPr="000A39C3">
        <w:rPr>
          <w:rFonts w:ascii="Times New Roman" w:eastAsiaTheme="majorEastAsia" w:hAnsi="Times New Roman" w:cs="Times New Roman"/>
          <w:bCs/>
          <w:sz w:val="28"/>
          <w:szCs w:val="28"/>
        </w:rPr>
        <w:t xml:space="preserve"> prasības</w:t>
      </w:r>
      <w:r>
        <w:rPr>
          <w:rFonts w:ascii="Times New Roman" w:eastAsiaTheme="majorEastAsia" w:hAnsi="Times New Roman" w:cs="Times New Roman"/>
          <w:bCs/>
          <w:sz w:val="28"/>
          <w:szCs w:val="28"/>
        </w:rPr>
        <w:t xml:space="preserve">. </w:t>
      </w:r>
      <w:r w:rsidR="000A39C3" w:rsidRPr="000A39C3">
        <w:rPr>
          <w:rFonts w:ascii="Times New Roman" w:eastAsiaTheme="majorEastAsia" w:hAnsi="Times New Roman" w:cs="Times New Roman"/>
          <w:bCs/>
          <w:sz w:val="28"/>
          <w:szCs w:val="28"/>
        </w:rPr>
        <w:t>Tā kā ar Direktīvu 2012/27/ES tiek aizstāta Direktīva 2004/8/EK,</w:t>
      </w:r>
      <w:r w:rsidR="003F526F">
        <w:rPr>
          <w:rFonts w:ascii="Times New Roman" w:eastAsiaTheme="majorEastAsia" w:hAnsi="Times New Roman" w:cs="Times New Roman"/>
          <w:bCs/>
          <w:sz w:val="28"/>
          <w:szCs w:val="28"/>
        </w:rPr>
        <w:t xml:space="preserve"> un</w:t>
      </w:r>
      <w:r w:rsidR="000A39C3" w:rsidRPr="000A39C3">
        <w:rPr>
          <w:rFonts w:ascii="Times New Roman" w:eastAsiaTheme="majorEastAsia" w:hAnsi="Times New Roman" w:cs="Times New Roman"/>
          <w:bCs/>
          <w:sz w:val="28"/>
          <w:szCs w:val="28"/>
        </w:rPr>
        <w:t xml:space="preserve"> Latvijai līdz 2014. gada 5. jūnijam arī Direktīvas 2012/27/ES 14. pants ir jāiev</w:t>
      </w:r>
      <w:r w:rsidR="003F526F">
        <w:rPr>
          <w:rFonts w:ascii="Times New Roman" w:eastAsiaTheme="majorEastAsia" w:hAnsi="Times New Roman" w:cs="Times New Roman"/>
          <w:bCs/>
          <w:sz w:val="28"/>
          <w:szCs w:val="28"/>
        </w:rPr>
        <w:t>ieš nacionālajā tiesību sistēmā, ir jāpārskata līdz šim Latvijā ieviestās Direktīvas 2004/8/EK tiesību normas.</w:t>
      </w:r>
    </w:p>
    <w:p w:rsidR="00086C51" w:rsidRPr="00265182" w:rsidRDefault="00086C51" w:rsidP="00B479A5">
      <w:pPr>
        <w:spacing w:after="0" w:line="240" w:lineRule="auto"/>
        <w:ind w:firstLine="720"/>
        <w:jc w:val="both"/>
        <w:rPr>
          <w:rFonts w:ascii="Times New Roman" w:eastAsiaTheme="majorEastAsia" w:hAnsi="Times New Roman" w:cs="Times New Roman"/>
          <w:bCs/>
          <w:sz w:val="28"/>
          <w:szCs w:val="28"/>
        </w:rPr>
      </w:pPr>
    </w:p>
    <w:p w:rsidR="000F3ABE" w:rsidRPr="00AD5B1D" w:rsidRDefault="000F3ABE" w:rsidP="00B479A5">
      <w:pPr>
        <w:spacing w:after="0" w:line="240" w:lineRule="auto"/>
        <w:ind w:firstLine="720"/>
        <w:jc w:val="center"/>
        <w:rPr>
          <w:rFonts w:ascii="Times New Roman" w:eastAsiaTheme="majorEastAsia" w:hAnsi="Times New Roman" w:cs="Times New Roman"/>
          <w:b/>
          <w:bCs/>
          <w:sz w:val="28"/>
          <w:szCs w:val="28"/>
        </w:rPr>
      </w:pPr>
      <w:r w:rsidRPr="00AD5B1D">
        <w:rPr>
          <w:rFonts w:ascii="Times New Roman" w:eastAsiaTheme="majorEastAsia" w:hAnsi="Times New Roman" w:cs="Times New Roman"/>
          <w:b/>
          <w:bCs/>
          <w:sz w:val="28"/>
          <w:szCs w:val="28"/>
        </w:rPr>
        <w:lastRenderedPageBreak/>
        <w:t>2.4.2. Direktīvas 14.</w:t>
      </w:r>
      <w:r w:rsidR="00086C51">
        <w:rPr>
          <w:rFonts w:ascii="Times New Roman" w:eastAsiaTheme="majorEastAsia" w:hAnsi="Times New Roman" w:cs="Times New Roman"/>
          <w:b/>
          <w:bCs/>
          <w:sz w:val="28"/>
          <w:szCs w:val="28"/>
        </w:rPr>
        <w:t> </w:t>
      </w:r>
      <w:r w:rsidRPr="00AD5B1D">
        <w:rPr>
          <w:rFonts w:ascii="Times New Roman" w:eastAsiaTheme="majorEastAsia" w:hAnsi="Times New Roman" w:cs="Times New Roman"/>
          <w:b/>
          <w:bCs/>
          <w:sz w:val="28"/>
          <w:szCs w:val="28"/>
        </w:rPr>
        <w:t>panta prasību ieviešanas risinājuma varianti</w:t>
      </w:r>
      <w:r w:rsidR="000A39C3">
        <w:rPr>
          <w:rFonts w:ascii="Times New Roman" w:eastAsiaTheme="majorEastAsia" w:hAnsi="Times New Roman" w:cs="Times New Roman"/>
          <w:b/>
          <w:bCs/>
          <w:sz w:val="28"/>
          <w:szCs w:val="28"/>
        </w:rPr>
        <w:t xml:space="preserve"> un to ietekme</w:t>
      </w:r>
    </w:p>
    <w:p w:rsidR="000F3ABE" w:rsidRDefault="000F3ABE" w:rsidP="00B479A5">
      <w:pPr>
        <w:spacing w:after="0" w:line="240" w:lineRule="auto"/>
        <w:ind w:firstLine="72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Kā minēts iepriekš,  </w:t>
      </w:r>
      <w:r w:rsidRPr="000F3ABE">
        <w:rPr>
          <w:rFonts w:ascii="Times New Roman" w:eastAsiaTheme="majorEastAsia" w:hAnsi="Times New Roman" w:cs="Times New Roman"/>
          <w:bCs/>
          <w:sz w:val="28"/>
          <w:szCs w:val="28"/>
        </w:rPr>
        <w:t>Direktīv</w:t>
      </w:r>
      <w:r>
        <w:rPr>
          <w:rFonts w:ascii="Times New Roman" w:eastAsiaTheme="majorEastAsia" w:hAnsi="Times New Roman" w:cs="Times New Roman"/>
          <w:bCs/>
          <w:sz w:val="28"/>
          <w:szCs w:val="28"/>
        </w:rPr>
        <w:t>a</w:t>
      </w:r>
      <w:r w:rsidRPr="000F3ABE">
        <w:rPr>
          <w:rFonts w:ascii="Times New Roman" w:eastAsiaTheme="majorEastAsia" w:hAnsi="Times New Roman" w:cs="Times New Roman"/>
          <w:bCs/>
          <w:sz w:val="28"/>
          <w:szCs w:val="28"/>
        </w:rPr>
        <w:t xml:space="preserve"> 2012/27/ES</w:t>
      </w:r>
      <w:r>
        <w:rPr>
          <w:rFonts w:ascii="Times New Roman" w:eastAsiaTheme="majorEastAsia" w:hAnsi="Times New Roman" w:cs="Times New Roman"/>
          <w:bCs/>
          <w:sz w:val="28"/>
          <w:szCs w:val="28"/>
        </w:rPr>
        <w:t xml:space="preserve"> 14.</w:t>
      </w:r>
      <w:r w:rsidR="00BD5168">
        <w:rPr>
          <w:rFonts w:ascii="Times New Roman" w:eastAsiaTheme="majorEastAsia" w:hAnsi="Times New Roman" w:cs="Times New Roman"/>
          <w:bCs/>
          <w:sz w:val="28"/>
          <w:szCs w:val="28"/>
        </w:rPr>
        <w:t> </w:t>
      </w:r>
      <w:r w:rsidR="003F526F">
        <w:rPr>
          <w:rFonts w:ascii="Times New Roman" w:eastAsiaTheme="majorEastAsia" w:hAnsi="Times New Roman" w:cs="Times New Roman"/>
          <w:bCs/>
          <w:sz w:val="28"/>
          <w:szCs w:val="28"/>
        </w:rPr>
        <w:t xml:space="preserve">pants </w:t>
      </w:r>
      <w:r>
        <w:rPr>
          <w:rFonts w:ascii="Times New Roman" w:eastAsiaTheme="majorEastAsia" w:hAnsi="Times New Roman" w:cs="Times New Roman"/>
          <w:bCs/>
          <w:sz w:val="28"/>
          <w:szCs w:val="28"/>
        </w:rPr>
        <w:t>ļauj dalībvalstīm  nepiemērot dažas no tā prasībām</w:t>
      </w:r>
      <w:r w:rsidR="003F526F">
        <w:rPr>
          <w:rFonts w:ascii="Times New Roman" w:eastAsiaTheme="majorEastAsia" w:hAnsi="Times New Roman" w:cs="Times New Roman"/>
          <w:bCs/>
          <w:sz w:val="28"/>
          <w:szCs w:val="28"/>
        </w:rPr>
        <w:t xml:space="preserve"> un</w:t>
      </w:r>
      <w:r>
        <w:rPr>
          <w:rFonts w:ascii="Times New Roman" w:eastAsiaTheme="majorEastAsia" w:hAnsi="Times New Roman" w:cs="Times New Roman"/>
          <w:bCs/>
          <w:sz w:val="28"/>
          <w:szCs w:val="28"/>
        </w:rPr>
        <w:t xml:space="preserve"> nosa</w:t>
      </w:r>
      <w:r w:rsidR="003F526F">
        <w:rPr>
          <w:rFonts w:ascii="Times New Roman" w:eastAsiaTheme="majorEastAsia" w:hAnsi="Times New Roman" w:cs="Times New Roman"/>
          <w:bCs/>
          <w:sz w:val="28"/>
          <w:szCs w:val="28"/>
        </w:rPr>
        <w:t>ka</w:t>
      </w:r>
      <w:r>
        <w:rPr>
          <w:rFonts w:ascii="Times New Roman" w:eastAsiaTheme="majorEastAsia" w:hAnsi="Times New Roman" w:cs="Times New Roman"/>
          <w:bCs/>
          <w:sz w:val="28"/>
          <w:szCs w:val="28"/>
        </w:rPr>
        <w:t xml:space="preserve"> izņēmumus. Tādējādi </w:t>
      </w:r>
      <w:r w:rsidR="003F526F">
        <w:rPr>
          <w:rFonts w:ascii="Times New Roman" w:eastAsiaTheme="majorEastAsia" w:hAnsi="Times New Roman" w:cs="Times New Roman"/>
          <w:bCs/>
          <w:sz w:val="28"/>
          <w:szCs w:val="28"/>
        </w:rPr>
        <w:t>Direktīvas 2012/27/ES 14.</w:t>
      </w:r>
      <w:r w:rsidR="00086C51">
        <w:rPr>
          <w:rFonts w:ascii="Times New Roman" w:eastAsiaTheme="majorEastAsia" w:hAnsi="Times New Roman" w:cs="Times New Roman"/>
          <w:bCs/>
          <w:sz w:val="28"/>
          <w:szCs w:val="28"/>
        </w:rPr>
        <w:t> </w:t>
      </w:r>
      <w:r w:rsidR="003F526F">
        <w:rPr>
          <w:rFonts w:ascii="Times New Roman" w:eastAsiaTheme="majorEastAsia" w:hAnsi="Times New Roman" w:cs="Times New Roman"/>
          <w:bCs/>
          <w:sz w:val="28"/>
          <w:szCs w:val="28"/>
        </w:rPr>
        <w:t xml:space="preserve">panta piemērošanā </w:t>
      </w:r>
      <w:r>
        <w:rPr>
          <w:rFonts w:ascii="Times New Roman" w:eastAsiaTheme="majorEastAsia" w:hAnsi="Times New Roman" w:cs="Times New Roman"/>
          <w:bCs/>
          <w:sz w:val="28"/>
          <w:szCs w:val="28"/>
        </w:rPr>
        <w:t>pastāv 2 varianti.</w:t>
      </w:r>
    </w:p>
    <w:p w:rsidR="00866FDA" w:rsidRPr="00EC6911" w:rsidRDefault="00866FDA" w:rsidP="00B479A5">
      <w:pPr>
        <w:spacing w:after="0" w:line="240" w:lineRule="auto"/>
        <w:jc w:val="both"/>
        <w:rPr>
          <w:rFonts w:ascii="Times New Roman" w:eastAsiaTheme="majorEastAsia" w:hAnsi="Times New Roman" w:cs="Times New Roman"/>
          <w:b/>
          <w:bCs/>
          <w:sz w:val="28"/>
          <w:szCs w:val="28"/>
        </w:rPr>
      </w:pPr>
      <w:r w:rsidRPr="00EC6911">
        <w:rPr>
          <w:rFonts w:ascii="Times New Roman" w:eastAsiaTheme="majorEastAsia" w:hAnsi="Times New Roman" w:cs="Times New Roman"/>
          <w:b/>
          <w:bCs/>
          <w:sz w:val="28"/>
          <w:szCs w:val="28"/>
        </w:rPr>
        <w:t>1.</w:t>
      </w:r>
      <w:r w:rsidR="00BD5168">
        <w:rPr>
          <w:rFonts w:ascii="Times New Roman" w:eastAsiaTheme="majorEastAsia" w:hAnsi="Times New Roman" w:cs="Times New Roman"/>
          <w:b/>
          <w:bCs/>
          <w:sz w:val="28"/>
          <w:szCs w:val="28"/>
        </w:rPr>
        <w:t> </w:t>
      </w:r>
      <w:r w:rsidR="003F526F">
        <w:rPr>
          <w:rFonts w:ascii="Times New Roman" w:eastAsiaTheme="majorEastAsia" w:hAnsi="Times New Roman" w:cs="Times New Roman"/>
          <w:b/>
          <w:bCs/>
          <w:sz w:val="28"/>
          <w:szCs w:val="28"/>
        </w:rPr>
        <w:t>variants – a</w:t>
      </w:r>
      <w:r w:rsidRPr="00EC6911">
        <w:rPr>
          <w:rFonts w:ascii="Times New Roman" w:eastAsiaTheme="majorEastAsia" w:hAnsi="Times New Roman" w:cs="Times New Roman"/>
          <w:b/>
          <w:bCs/>
          <w:sz w:val="28"/>
          <w:szCs w:val="28"/>
        </w:rPr>
        <w:t xml:space="preserve">tbrīvot atsevišķas iekārtas no obligāta siltuma un koģenerācijas potenciāla, izmaksu un ieguvumu analīzes veikšanas. </w:t>
      </w:r>
    </w:p>
    <w:p w:rsidR="00866FDA" w:rsidRDefault="003F526F" w:rsidP="00B479A5">
      <w:pPr>
        <w:spacing w:after="0" w:line="240" w:lineRule="auto"/>
        <w:ind w:firstLine="72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Ņemot vērā</w:t>
      </w:r>
      <w:r w:rsidR="00FD4222">
        <w:rPr>
          <w:rFonts w:ascii="Times New Roman" w:eastAsiaTheme="majorEastAsia" w:hAnsi="Times New Roman" w:cs="Times New Roman"/>
          <w:bCs/>
          <w:sz w:val="28"/>
          <w:szCs w:val="28"/>
        </w:rPr>
        <w:t xml:space="preserve"> </w:t>
      </w:r>
      <w:r w:rsidR="00F22D4D">
        <w:rPr>
          <w:rFonts w:ascii="Times New Roman" w:eastAsiaTheme="majorEastAsia" w:hAnsi="Times New Roman" w:cs="Times New Roman"/>
          <w:bCs/>
          <w:sz w:val="28"/>
          <w:szCs w:val="28"/>
        </w:rPr>
        <w:t>EM</w:t>
      </w:r>
      <w:r w:rsidR="00FD4222">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pieejamo informāciju par izsniegtajām atļaujām elektroenerģijas ražošanas jaunu jaudu palielināšanai</w:t>
      </w:r>
      <w:r w:rsidRPr="00D765A8">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vai jaunas ražošanas iekārtas ieviešanai, var secināt, ka</w:t>
      </w:r>
      <w:r w:rsidR="00FD4222">
        <w:rPr>
          <w:rFonts w:ascii="Times New Roman" w:eastAsiaTheme="majorEastAsia" w:hAnsi="Times New Roman" w:cs="Times New Roman"/>
          <w:bCs/>
          <w:sz w:val="28"/>
          <w:szCs w:val="28"/>
        </w:rPr>
        <w:t xml:space="preserve"> Latvijā nav plānots ieviest vai būtiski modernizēt</w:t>
      </w:r>
      <w:r w:rsidR="00FD4222" w:rsidRPr="00FD4222">
        <w:t xml:space="preserve"> </w:t>
      </w:r>
      <w:r w:rsidR="00FD4222" w:rsidRPr="00FD4222">
        <w:rPr>
          <w:rFonts w:ascii="Times New Roman" w:eastAsiaTheme="majorEastAsia" w:hAnsi="Times New Roman" w:cs="Times New Roman"/>
          <w:bCs/>
          <w:sz w:val="28"/>
          <w:szCs w:val="28"/>
        </w:rPr>
        <w:t>elektroenerģijas iekārt</w:t>
      </w:r>
      <w:r w:rsidR="00FD4222">
        <w:rPr>
          <w:rFonts w:ascii="Times New Roman" w:eastAsiaTheme="majorEastAsia" w:hAnsi="Times New Roman" w:cs="Times New Roman"/>
          <w:bCs/>
          <w:sz w:val="28"/>
          <w:szCs w:val="28"/>
        </w:rPr>
        <w:t>as</w:t>
      </w:r>
      <w:r>
        <w:rPr>
          <w:rFonts w:ascii="Times New Roman" w:eastAsiaTheme="majorEastAsia" w:hAnsi="Times New Roman" w:cs="Times New Roman"/>
          <w:bCs/>
          <w:sz w:val="28"/>
          <w:szCs w:val="28"/>
        </w:rPr>
        <w:t xml:space="preserve"> ar ievadīto siltuma jaudu virs 20 MW</w:t>
      </w:r>
      <w:r w:rsidR="00FD4222" w:rsidRPr="00FD4222">
        <w:rPr>
          <w:rFonts w:ascii="Times New Roman" w:eastAsiaTheme="majorEastAsia" w:hAnsi="Times New Roman" w:cs="Times New Roman"/>
          <w:bCs/>
          <w:sz w:val="28"/>
          <w:szCs w:val="28"/>
        </w:rPr>
        <w:t>, ko ekspluatē mazāk kā 1 500 stundas gadā</w:t>
      </w:r>
      <w:r w:rsidR="00AA334D">
        <w:rPr>
          <w:rFonts w:ascii="Times New Roman" w:eastAsiaTheme="majorEastAsia" w:hAnsi="Times New Roman" w:cs="Times New Roman"/>
          <w:bCs/>
          <w:sz w:val="28"/>
          <w:szCs w:val="28"/>
        </w:rPr>
        <w:t>,</w:t>
      </w:r>
      <w:r w:rsidR="00FD4222" w:rsidRPr="00FD4222">
        <w:rPr>
          <w:rFonts w:ascii="Times New Roman" w:eastAsiaTheme="majorEastAsia" w:hAnsi="Times New Roman" w:cs="Times New Roman"/>
          <w:bCs/>
          <w:sz w:val="28"/>
          <w:szCs w:val="28"/>
        </w:rPr>
        <w:t xml:space="preserve"> kodolenerģijas iekārt</w:t>
      </w:r>
      <w:r w:rsidR="00AA334D">
        <w:rPr>
          <w:rFonts w:ascii="Times New Roman" w:eastAsiaTheme="majorEastAsia" w:hAnsi="Times New Roman" w:cs="Times New Roman"/>
          <w:bCs/>
          <w:sz w:val="28"/>
          <w:szCs w:val="28"/>
        </w:rPr>
        <w:t>as</w:t>
      </w:r>
      <w:r w:rsidR="00FD4222" w:rsidRPr="00FD4222">
        <w:rPr>
          <w:rFonts w:ascii="Times New Roman" w:eastAsiaTheme="majorEastAsia" w:hAnsi="Times New Roman" w:cs="Times New Roman"/>
          <w:bCs/>
          <w:sz w:val="28"/>
          <w:szCs w:val="28"/>
        </w:rPr>
        <w:t xml:space="preserve"> un iekārt</w:t>
      </w:r>
      <w:r w:rsidR="00FD4222">
        <w:rPr>
          <w:rFonts w:ascii="Times New Roman" w:eastAsiaTheme="majorEastAsia" w:hAnsi="Times New Roman" w:cs="Times New Roman"/>
          <w:bCs/>
          <w:sz w:val="28"/>
          <w:szCs w:val="28"/>
        </w:rPr>
        <w:t>as</w:t>
      </w:r>
      <w:r w:rsidR="00FD4222" w:rsidRPr="00FD4222">
        <w:rPr>
          <w:rFonts w:ascii="Times New Roman" w:eastAsiaTheme="majorEastAsia" w:hAnsi="Times New Roman" w:cs="Times New Roman"/>
          <w:bCs/>
          <w:sz w:val="28"/>
          <w:szCs w:val="28"/>
        </w:rPr>
        <w:t>, kurām jāatrodas tuvu CO</w:t>
      </w:r>
      <w:r w:rsidR="00FD4222" w:rsidRPr="00AD5B1D">
        <w:rPr>
          <w:rFonts w:ascii="Times New Roman" w:eastAsiaTheme="majorEastAsia" w:hAnsi="Times New Roman" w:cs="Times New Roman"/>
          <w:bCs/>
          <w:sz w:val="28"/>
          <w:szCs w:val="28"/>
          <w:vertAlign w:val="subscript"/>
        </w:rPr>
        <w:t>2</w:t>
      </w:r>
      <w:r w:rsidR="00FD4222" w:rsidRPr="00FD4222">
        <w:rPr>
          <w:rFonts w:ascii="Times New Roman" w:eastAsiaTheme="majorEastAsia" w:hAnsi="Times New Roman" w:cs="Times New Roman"/>
          <w:bCs/>
          <w:sz w:val="28"/>
          <w:szCs w:val="28"/>
        </w:rPr>
        <w:t xml:space="preserve"> ģeoloģiskās uzglabāšanas vietām</w:t>
      </w:r>
      <w:r w:rsidR="00FD4222">
        <w:rPr>
          <w:rFonts w:ascii="Times New Roman" w:eastAsiaTheme="majorEastAsia" w:hAnsi="Times New Roman" w:cs="Times New Roman"/>
          <w:bCs/>
          <w:sz w:val="28"/>
          <w:szCs w:val="28"/>
        </w:rPr>
        <w:t xml:space="preserve">. </w:t>
      </w:r>
      <w:r w:rsidR="00515037">
        <w:rPr>
          <w:rFonts w:ascii="Times New Roman" w:eastAsiaTheme="majorEastAsia" w:hAnsi="Times New Roman" w:cs="Times New Roman"/>
          <w:bCs/>
          <w:sz w:val="28"/>
          <w:szCs w:val="28"/>
        </w:rPr>
        <w:t>Tāpat pēc</w:t>
      </w:r>
      <w:r w:rsidR="00EC6911">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Vides aizsardzības un reģionālās attīstības ministrijas sniegtās informācijas,</w:t>
      </w:r>
      <w:r w:rsidR="00515037">
        <w:rPr>
          <w:rFonts w:ascii="Times New Roman" w:eastAsiaTheme="majorEastAsia" w:hAnsi="Times New Roman" w:cs="Times New Roman"/>
          <w:bCs/>
          <w:sz w:val="28"/>
          <w:szCs w:val="28"/>
        </w:rPr>
        <w:t xml:space="preserve"> pašlaik nav iesniegti pieprasījumi izsniegt</w:t>
      </w:r>
      <w:r>
        <w:rPr>
          <w:rFonts w:ascii="Times New Roman" w:eastAsiaTheme="majorEastAsia" w:hAnsi="Times New Roman" w:cs="Times New Roman"/>
          <w:bCs/>
          <w:sz w:val="28"/>
          <w:szCs w:val="28"/>
        </w:rPr>
        <w:t xml:space="preserve"> vides piesārņojuma</w:t>
      </w:r>
      <w:r w:rsidR="00515037">
        <w:rPr>
          <w:rFonts w:ascii="Times New Roman" w:eastAsiaTheme="majorEastAsia" w:hAnsi="Times New Roman" w:cs="Times New Roman"/>
          <w:bCs/>
          <w:sz w:val="28"/>
          <w:szCs w:val="28"/>
        </w:rPr>
        <w:t xml:space="preserve"> atļaujas jaunām vai modernizējamām rūpnieciskām un siltuma ražošanas iekārtām ar jaudu 20 MW un lielāku, kas sāktu darbību pēc 2014.</w:t>
      </w:r>
      <w:r w:rsidR="003019F8">
        <w:rPr>
          <w:rFonts w:ascii="Times New Roman" w:eastAsiaTheme="majorEastAsia" w:hAnsi="Times New Roman" w:cs="Times New Roman"/>
          <w:bCs/>
          <w:sz w:val="28"/>
          <w:szCs w:val="28"/>
        </w:rPr>
        <w:t> </w:t>
      </w:r>
      <w:r w:rsidR="00515037">
        <w:rPr>
          <w:rFonts w:ascii="Times New Roman" w:eastAsiaTheme="majorEastAsia" w:hAnsi="Times New Roman" w:cs="Times New Roman"/>
          <w:bCs/>
          <w:sz w:val="28"/>
          <w:szCs w:val="28"/>
        </w:rPr>
        <w:t>gada 5.</w:t>
      </w:r>
      <w:r w:rsidR="003019F8">
        <w:rPr>
          <w:rFonts w:ascii="Times New Roman" w:eastAsiaTheme="majorEastAsia" w:hAnsi="Times New Roman" w:cs="Times New Roman"/>
          <w:bCs/>
          <w:sz w:val="28"/>
          <w:szCs w:val="28"/>
        </w:rPr>
        <w:t> </w:t>
      </w:r>
      <w:r w:rsidR="00515037">
        <w:rPr>
          <w:rFonts w:ascii="Times New Roman" w:eastAsiaTheme="majorEastAsia" w:hAnsi="Times New Roman" w:cs="Times New Roman"/>
          <w:bCs/>
          <w:sz w:val="28"/>
          <w:szCs w:val="28"/>
        </w:rPr>
        <w:t xml:space="preserve">jūnija. </w:t>
      </w:r>
      <w:r w:rsidR="00EC6911">
        <w:rPr>
          <w:rFonts w:ascii="Times New Roman" w:eastAsiaTheme="majorEastAsia" w:hAnsi="Times New Roman" w:cs="Times New Roman"/>
          <w:bCs/>
          <w:sz w:val="28"/>
          <w:szCs w:val="28"/>
        </w:rPr>
        <w:t xml:space="preserve">Gadījumā, ja izņēmumi nepieciešami, tie jāpaziņo </w:t>
      </w:r>
      <w:r w:rsidR="00F22D4D">
        <w:rPr>
          <w:rFonts w:ascii="Times New Roman" w:eastAsiaTheme="majorEastAsia" w:hAnsi="Times New Roman" w:cs="Times New Roman"/>
          <w:bCs/>
          <w:sz w:val="28"/>
          <w:szCs w:val="28"/>
        </w:rPr>
        <w:t>EK</w:t>
      </w:r>
      <w:r w:rsidR="00EC6911">
        <w:rPr>
          <w:rFonts w:ascii="Times New Roman" w:eastAsiaTheme="majorEastAsia" w:hAnsi="Times New Roman" w:cs="Times New Roman"/>
          <w:bCs/>
          <w:sz w:val="28"/>
          <w:szCs w:val="28"/>
        </w:rPr>
        <w:t xml:space="preserve"> līdz 2013.</w:t>
      </w:r>
      <w:r w:rsidR="00BD5168">
        <w:rPr>
          <w:rFonts w:ascii="Times New Roman" w:eastAsiaTheme="majorEastAsia" w:hAnsi="Times New Roman" w:cs="Times New Roman"/>
          <w:bCs/>
          <w:sz w:val="28"/>
          <w:szCs w:val="28"/>
        </w:rPr>
        <w:t> </w:t>
      </w:r>
      <w:r w:rsidR="00EC6911">
        <w:rPr>
          <w:rFonts w:ascii="Times New Roman" w:eastAsiaTheme="majorEastAsia" w:hAnsi="Times New Roman" w:cs="Times New Roman"/>
          <w:bCs/>
          <w:sz w:val="28"/>
          <w:szCs w:val="28"/>
        </w:rPr>
        <w:t>gada 31.</w:t>
      </w:r>
      <w:r w:rsidR="00BD5168">
        <w:rPr>
          <w:rFonts w:ascii="Times New Roman" w:eastAsiaTheme="majorEastAsia" w:hAnsi="Times New Roman" w:cs="Times New Roman"/>
          <w:bCs/>
          <w:sz w:val="28"/>
          <w:szCs w:val="28"/>
        </w:rPr>
        <w:t> </w:t>
      </w:r>
      <w:r w:rsidR="00EC6911">
        <w:rPr>
          <w:rFonts w:ascii="Times New Roman" w:eastAsiaTheme="majorEastAsia" w:hAnsi="Times New Roman" w:cs="Times New Roman"/>
          <w:bCs/>
          <w:sz w:val="28"/>
          <w:szCs w:val="28"/>
        </w:rPr>
        <w:t>decembrim.</w:t>
      </w:r>
    </w:p>
    <w:p w:rsidR="00EC6911" w:rsidRDefault="00EC6911" w:rsidP="00B479A5">
      <w:pPr>
        <w:spacing w:after="0" w:line="240" w:lineRule="auto"/>
        <w:ind w:firstLine="72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Risinājums tieši neietekmē valsts un pašvaldību budžetus. Vienlaikus pastāv iespēja, ka atļaujot izņēmumus un neveicot siltuma potenciāla izmantošanas izmaksu un ieguvumu novērtējumu, atsevišķos gadījumos tiek </w:t>
      </w:r>
      <w:r w:rsidR="00AD5B1D">
        <w:rPr>
          <w:rFonts w:ascii="Times New Roman" w:eastAsiaTheme="majorEastAsia" w:hAnsi="Times New Roman" w:cs="Times New Roman"/>
          <w:bCs/>
          <w:sz w:val="28"/>
          <w:szCs w:val="28"/>
        </w:rPr>
        <w:t>izvēlēts</w:t>
      </w:r>
      <w:r>
        <w:rPr>
          <w:rFonts w:ascii="Times New Roman" w:eastAsiaTheme="majorEastAsia" w:hAnsi="Times New Roman" w:cs="Times New Roman"/>
          <w:bCs/>
          <w:sz w:val="28"/>
          <w:szCs w:val="28"/>
        </w:rPr>
        <w:t xml:space="preserve"> ekonomiski neizdevīgs siltumapgādes risinājums, kas ilgtermiņā rada lielākas izmaksas patērētājiem.</w:t>
      </w:r>
    </w:p>
    <w:p w:rsidR="00EC6911" w:rsidRPr="00C50A9A" w:rsidRDefault="00EC6911" w:rsidP="00B479A5">
      <w:pPr>
        <w:spacing w:after="0" w:line="240" w:lineRule="auto"/>
        <w:jc w:val="both"/>
        <w:rPr>
          <w:rFonts w:ascii="Times New Roman" w:eastAsiaTheme="majorEastAsia" w:hAnsi="Times New Roman" w:cs="Times New Roman"/>
          <w:b/>
          <w:bCs/>
          <w:sz w:val="28"/>
          <w:szCs w:val="28"/>
        </w:rPr>
      </w:pPr>
      <w:r w:rsidRPr="00C50A9A">
        <w:rPr>
          <w:rFonts w:ascii="Times New Roman" w:eastAsiaTheme="majorEastAsia" w:hAnsi="Times New Roman" w:cs="Times New Roman"/>
          <w:b/>
          <w:bCs/>
          <w:sz w:val="28"/>
          <w:szCs w:val="28"/>
        </w:rPr>
        <w:t>2.</w:t>
      </w:r>
      <w:r w:rsidR="00697620">
        <w:rPr>
          <w:rFonts w:ascii="Times New Roman" w:eastAsiaTheme="majorEastAsia" w:hAnsi="Times New Roman" w:cs="Times New Roman"/>
          <w:b/>
          <w:bCs/>
          <w:sz w:val="28"/>
          <w:szCs w:val="28"/>
        </w:rPr>
        <w:t> </w:t>
      </w:r>
      <w:r w:rsidR="003F526F">
        <w:rPr>
          <w:rFonts w:ascii="Times New Roman" w:eastAsiaTheme="majorEastAsia" w:hAnsi="Times New Roman" w:cs="Times New Roman"/>
          <w:b/>
          <w:bCs/>
          <w:sz w:val="28"/>
          <w:szCs w:val="28"/>
        </w:rPr>
        <w:t>variants – n</w:t>
      </w:r>
      <w:r w:rsidRPr="00C50A9A">
        <w:rPr>
          <w:rFonts w:ascii="Times New Roman" w:eastAsiaTheme="majorEastAsia" w:hAnsi="Times New Roman" w:cs="Times New Roman"/>
          <w:b/>
          <w:bCs/>
          <w:sz w:val="28"/>
          <w:szCs w:val="28"/>
        </w:rPr>
        <w:t>enoteikt atbrīvojumus</w:t>
      </w:r>
      <w:r w:rsidR="00FD4408" w:rsidRPr="00C50A9A">
        <w:rPr>
          <w:rFonts w:ascii="Times New Roman" w:eastAsiaTheme="majorEastAsia" w:hAnsi="Times New Roman" w:cs="Times New Roman"/>
          <w:b/>
          <w:bCs/>
          <w:sz w:val="28"/>
          <w:szCs w:val="28"/>
        </w:rPr>
        <w:t xml:space="preserve">, visām </w:t>
      </w:r>
      <w:r w:rsidR="003F526F">
        <w:rPr>
          <w:rFonts w:ascii="Times New Roman" w:eastAsiaTheme="majorEastAsia" w:hAnsi="Times New Roman" w:cs="Times New Roman"/>
          <w:b/>
          <w:bCs/>
          <w:sz w:val="28"/>
          <w:szCs w:val="28"/>
        </w:rPr>
        <w:t xml:space="preserve">Direktīvas 2012/27/ES </w:t>
      </w:r>
      <w:r w:rsidR="00FD4408" w:rsidRPr="00C50A9A">
        <w:rPr>
          <w:rFonts w:ascii="Times New Roman" w:eastAsiaTheme="majorEastAsia" w:hAnsi="Times New Roman" w:cs="Times New Roman"/>
          <w:b/>
          <w:bCs/>
          <w:sz w:val="28"/>
          <w:szCs w:val="28"/>
        </w:rPr>
        <w:t>14.</w:t>
      </w:r>
      <w:r w:rsidR="00697620">
        <w:rPr>
          <w:rFonts w:ascii="Times New Roman" w:eastAsiaTheme="majorEastAsia" w:hAnsi="Times New Roman" w:cs="Times New Roman"/>
          <w:b/>
          <w:bCs/>
          <w:sz w:val="28"/>
          <w:szCs w:val="28"/>
        </w:rPr>
        <w:t> </w:t>
      </w:r>
      <w:r w:rsidR="00FD4408" w:rsidRPr="00C50A9A">
        <w:rPr>
          <w:rFonts w:ascii="Times New Roman" w:eastAsiaTheme="majorEastAsia" w:hAnsi="Times New Roman" w:cs="Times New Roman"/>
          <w:b/>
          <w:bCs/>
          <w:sz w:val="28"/>
          <w:szCs w:val="28"/>
        </w:rPr>
        <w:t>pantā uzskaitītajām iekārtām ieviest siltuma un koģenerācijas potenciāla, izmaksu un ieguvumu analīzes veikšanas pienākumu.</w:t>
      </w:r>
    </w:p>
    <w:p w:rsidR="006A3C3F" w:rsidRDefault="00FD4408" w:rsidP="00B479A5">
      <w:pPr>
        <w:spacing w:after="0" w:line="240" w:lineRule="auto"/>
        <w:ind w:firstLine="72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Risinājums tieši neietekmē valsts un pašvaldību budžetus. Vienlaikus vispārējs pienākums izvērtēt siltuma un koģenerācijas potenciālu, ieguvumus un izmaksas ieviešot jaunas iekārtas un modernizējot siltumtīklus, dod iespēju izvēlēties efektīvākos risinājumus. Gadījumā, ja iekārtas vai siltumtīkli tiek finansēti no ES fondiem un līdzfinansēti no pašvaldību budžetiem, </w:t>
      </w:r>
      <w:r w:rsidR="006109AA">
        <w:rPr>
          <w:rFonts w:ascii="Times New Roman" w:eastAsiaTheme="majorEastAsia" w:hAnsi="Times New Roman" w:cs="Times New Roman"/>
          <w:bCs/>
          <w:sz w:val="28"/>
          <w:szCs w:val="28"/>
        </w:rPr>
        <w:t xml:space="preserve">to </w:t>
      </w:r>
      <w:r>
        <w:rPr>
          <w:rFonts w:ascii="Times New Roman" w:eastAsiaTheme="majorEastAsia" w:hAnsi="Times New Roman" w:cs="Times New Roman"/>
          <w:bCs/>
          <w:sz w:val="28"/>
          <w:szCs w:val="28"/>
        </w:rPr>
        <w:t>lī</w:t>
      </w:r>
      <w:r w:rsidR="007B5FBB">
        <w:rPr>
          <w:rFonts w:ascii="Times New Roman" w:eastAsiaTheme="majorEastAsia" w:hAnsi="Times New Roman" w:cs="Times New Roman"/>
          <w:bCs/>
          <w:sz w:val="28"/>
          <w:szCs w:val="28"/>
        </w:rPr>
        <w:t>dzekļi tiks ieguldīti efektīvāk,</w:t>
      </w:r>
      <w:r w:rsidR="007B5FBB" w:rsidRPr="007B5FBB">
        <w:rPr>
          <w:rFonts w:ascii="Times New Roman" w:eastAsiaTheme="majorEastAsia" w:hAnsi="Times New Roman" w:cs="Times New Roman"/>
          <w:bCs/>
          <w:sz w:val="28"/>
          <w:szCs w:val="28"/>
        </w:rPr>
        <w:t xml:space="preserve"> </w:t>
      </w:r>
      <w:r w:rsidR="007B5FBB">
        <w:rPr>
          <w:rFonts w:ascii="Times New Roman" w:eastAsiaTheme="majorEastAsia" w:hAnsi="Times New Roman" w:cs="Times New Roman"/>
          <w:bCs/>
          <w:sz w:val="28"/>
          <w:szCs w:val="28"/>
        </w:rPr>
        <w:t>tāpēc būtu ieteicams 2.</w:t>
      </w:r>
      <w:r w:rsidR="003019F8">
        <w:rPr>
          <w:rFonts w:ascii="Times New Roman" w:eastAsiaTheme="majorEastAsia" w:hAnsi="Times New Roman" w:cs="Times New Roman"/>
          <w:bCs/>
          <w:sz w:val="28"/>
          <w:szCs w:val="28"/>
        </w:rPr>
        <w:t> </w:t>
      </w:r>
      <w:r w:rsidR="007B5FBB">
        <w:rPr>
          <w:rFonts w:ascii="Times New Roman" w:eastAsiaTheme="majorEastAsia" w:hAnsi="Times New Roman" w:cs="Times New Roman"/>
          <w:bCs/>
          <w:sz w:val="28"/>
          <w:szCs w:val="28"/>
        </w:rPr>
        <w:t>risinājuma variants.</w:t>
      </w:r>
      <w:r w:rsidR="006A3C3F">
        <w:rPr>
          <w:rFonts w:ascii="Times New Roman" w:eastAsiaTheme="majorEastAsia" w:hAnsi="Times New Roman" w:cs="Times New Roman"/>
          <w:bCs/>
          <w:sz w:val="28"/>
          <w:szCs w:val="28"/>
        </w:rPr>
        <w:t xml:space="preserve"> </w:t>
      </w:r>
    </w:p>
    <w:p w:rsidR="006A3C3F" w:rsidRDefault="006A3C3F" w:rsidP="00B479A5">
      <w:pPr>
        <w:pStyle w:val="Heading2"/>
        <w:spacing w:before="0" w:line="240" w:lineRule="auto"/>
        <w:jc w:val="center"/>
        <w:rPr>
          <w:rFonts w:ascii="Times New Roman" w:hAnsi="Times New Roman" w:cs="Times New Roman"/>
          <w:color w:val="auto"/>
          <w:sz w:val="28"/>
          <w:szCs w:val="28"/>
        </w:rPr>
      </w:pPr>
    </w:p>
    <w:p w:rsidR="00285AE4" w:rsidRDefault="00285AE4" w:rsidP="00B479A5">
      <w:pPr>
        <w:pStyle w:val="Heading2"/>
        <w:spacing w:before="0" w:line="240" w:lineRule="auto"/>
        <w:jc w:val="center"/>
        <w:rPr>
          <w:rFonts w:ascii="Times New Roman" w:hAnsi="Times New Roman" w:cs="Times New Roman"/>
          <w:color w:val="auto"/>
          <w:sz w:val="28"/>
          <w:szCs w:val="28"/>
        </w:rPr>
      </w:pPr>
      <w:bookmarkStart w:id="14" w:name="_Toc372269915"/>
      <w:r w:rsidRPr="00285AE4">
        <w:rPr>
          <w:rFonts w:ascii="Times New Roman" w:hAnsi="Times New Roman" w:cs="Times New Roman"/>
          <w:color w:val="auto"/>
          <w:sz w:val="28"/>
          <w:szCs w:val="28"/>
        </w:rPr>
        <w:t>2.5. Enerģijas pārveide, pārvade un sadale (15.</w:t>
      </w:r>
      <w:r w:rsidR="00A04EE6">
        <w:rPr>
          <w:rFonts w:ascii="Times New Roman" w:hAnsi="Times New Roman" w:cs="Times New Roman"/>
          <w:color w:val="auto"/>
          <w:sz w:val="28"/>
          <w:szCs w:val="28"/>
        </w:rPr>
        <w:t> </w:t>
      </w:r>
      <w:r w:rsidRPr="00285AE4">
        <w:rPr>
          <w:rFonts w:ascii="Times New Roman" w:hAnsi="Times New Roman" w:cs="Times New Roman"/>
          <w:color w:val="auto"/>
          <w:sz w:val="28"/>
          <w:szCs w:val="28"/>
        </w:rPr>
        <w:t>pants)</w:t>
      </w:r>
      <w:bookmarkEnd w:id="14"/>
    </w:p>
    <w:p w:rsidR="00285AE4" w:rsidRPr="00285AE4" w:rsidRDefault="00285AE4" w:rsidP="00B479A5">
      <w:pPr>
        <w:spacing w:after="0" w:line="240" w:lineRule="auto"/>
        <w:jc w:val="both"/>
        <w:rPr>
          <w:rFonts w:ascii="Times New Roman" w:eastAsiaTheme="majorEastAsia" w:hAnsi="Times New Roman" w:cs="Times New Roman"/>
          <w:bCs/>
          <w:sz w:val="28"/>
          <w:szCs w:val="28"/>
        </w:rPr>
      </w:pPr>
      <w:r w:rsidRPr="00285AE4">
        <w:rPr>
          <w:rFonts w:ascii="Times New Roman" w:eastAsiaTheme="majorEastAsia" w:hAnsi="Times New Roman" w:cs="Times New Roman"/>
          <w:bCs/>
          <w:sz w:val="28"/>
          <w:szCs w:val="28"/>
        </w:rPr>
        <w:t xml:space="preserve">Direktīvā 2012/27/ES noteiktas prasības, kas uzliek </w:t>
      </w:r>
      <w:proofErr w:type="spellStart"/>
      <w:r w:rsidRPr="00285AE4">
        <w:rPr>
          <w:rFonts w:ascii="Times New Roman" w:eastAsiaTheme="majorEastAsia" w:hAnsi="Times New Roman" w:cs="Times New Roman"/>
          <w:bCs/>
          <w:sz w:val="28"/>
          <w:szCs w:val="28"/>
        </w:rPr>
        <w:t>energoregulatoriem</w:t>
      </w:r>
      <w:proofErr w:type="spellEnd"/>
      <w:r w:rsidRPr="00285AE4">
        <w:rPr>
          <w:rFonts w:ascii="Times New Roman" w:eastAsiaTheme="majorEastAsia" w:hAnsi="Times New Roman" w:cs="Times New Roman"/>
          <w:bCs/>
          <w:sz w:val="28"/>
          <w:szCs w:val="28"/>
        </w:rPr>
        <w:t xml:space="preserve"> šādus pienākumus:</w:t>
      </w:r>
    </w:p>
    <w:p w:rsidR="00285AE4" w:rsidRPr="00285AE4" w:rsidRDefault="00285AE4" w:rsidP="00B479A5">
      <w:pPr>
        <w:spacing w:after="0" w:line="240" w:lineRule="auto"/>
        <w:ind w:firstLine="720"/>
        <w:jc w:val="both"/>
        <w:rPr>
          <w:rFonts w:ascii="Times New Roman" w:eastAsiaTheme="majorEastAsia" w:hAnsi="Times New Roman" w:cs="Times New Roman"/>
          <w:bCs/>
          <w:sz w:val="28"/>
          <w:szCs w:val="28"/>
        </w:rPr>
      </w:pPr>
      <w:r w:rsidRPr="00285AE4">
        <w:rPr>
          <w:rFonts w:ascii="Times New Roman" w:eastAsiaTheme="majorEastAsia" w:hAnsi="Times New Roman" w:cs="Times New Roman"/>
          <w:bCs/>
          <w:sz w:val="28"/>
          <w:szCs w:val="28"/>
        </w:rPr>
        <w:t>1) lēmumos par gāzes un elektroenerģijas infrastruktūras darbību ņemt vērā energoefektivitātes apsvērumus;</w:t>
      </w:r>
    </w:p>
    <w:p w:rsidR="00285AE4" w:rsidRPr="00285AE4" w:rsidRDefault="00285AE4" w:rsidP="00B479A5">
      <w:pPr>
        <w:spacing w:after="0" w:line="240" w:lineRule="auto"/>
        <w:ind w:firstLine="720"/>
        <w:jc w:val="both"/>
        <w:rPr>
          <w:rFonts w:ascii="Times New Roman" w:eastAsiaTheme="majorEastAsia" w:hAnsi="Times New Roman" w:cs="Times New Roman"/>
          <w:bCs/>
          <w:sz w:val="28"/>
          <w:szCs w:val="28"/>
        </w:rPr>
      </w:pPr>
      <w:r w:rsidRPr="00285AE4">
        <w:rPr>
          <w:rFonts w:ascii="Times New Roman" w:eastAsiaTheme="majorEastAsia" w:hAnsi="Times New Roman" w:cs="Times New Roman"/>
          <w:bCs/>
          <w:sz w:val="28"/>
          <w:szCs w:val="28"/>
        </w:rPr>
        <w:t>2) veidojot tīkla tarifus un noteikumus, stimulēt to, lai tīklu operatori tīklu lietotājiem darītu pieejamus sistēmas pakalpojumus, kas ļautu tiem īstenot energoefektivitātes uzlabošanas pasākumus viedo tīklu ieviešanas kontekstā;</w:t>
      </w:r>
    </w:p>
    <w:p w:rsidR="00285AE4" w:rsidRPr="00285AE4" w:rsidRDefault="00285AE4" w:rsidP="00B479A5">
      <w:pPr>
        <w:spacing w:after="0" w:line="240" w:lineRule="auto"/>
        <w:ind w:firstLine="720"/>
        <w:jc w:val="both"/>
        <w:rPr>
          <w:rFonts w:ascii="Times New Roman" w:eastAsiaTheme="majorEastAsia" w:hAnsi="Times New Roman" w:cs="Times New Roman"/>
          <w:bCs/>
          <w:sz w:val="28"/>
          <w:szCs w:val="28"/>
        </w:rPr>
      </w:pPr>
      <w:r w:rsidRPr="00285AE4">
        <w:rPr>
          <w:rFonts w:ascii="Times New Roman" w:eastAsiaTheme="majorEastAsia" w:hAnsi="Times New Roman" w:cs="Times New Roman"/>
          <w:bCs/>
          <w:sz w:val="28"/>
          <w:szCs w:val="28"/>
        </w:rPr>
        <w:t>3) var atļaut pie tīkla piesaistītai enerģijas pārvadei un sadalei izmantot tādus shēmu un tarifu struktūru elementus, kuriem ir sociāls mērķis;</w:t>
      </w:r>
    </w:p>
    <w:p w:rsidR="00285AE4" w:rsidRPr="00285AE4" w:rsidRDefault="00285AE4" w:rsidP="00B479A5">
      <w:pPr>
        <w:spacing w:after="0" w:line="240" w:lineRule="auto"/>
        <w:ind w:firstLine="720"/>
        <w:jc w:val="both"/>
        <w:rPr>
          <w:rFonts w:ascii="Times New Roman" w:eastAsiaTheme="majorEastAsia" w:hAnsi="Times New Roman" w:cs="Times New Roman"/>
          <w:bCs/>
          <w:sz w:val="28"/>
          <w:szCs w:val="28"/>
        </w:rPr>
      </w:pPr>
      <w:r w:rsidRPr="00285AE4">
        <w:rPr>
          <w:rFonts w:ascii="Times New Roman" w:eastAsiaTheme="majorEastAsia" w:hAnsi="Times New Roman" w:cs="Times New Roman"/>
          <w:bCs/>
          <w:sz w:val="28"/>
          <w:szCs w:val="28"/>
        </w:rPr>
        <w:lastRenderedPageBreak/>
        <w:t xml:space="preserve">4) atcelt pārvades un sadales tarifos iestrādātos stimulus, kas negatīvi ietekmē elektrības ražošanas, pārvades, sadales un piegādes kopējo efektivitāti (tostarp energoefektivitāti); </w:t>
      </w:r>
    </w:p>
    <w:p w:rsidR="00285AE4" w:rsidRPr="00285AE4" w:rsidRDefault="00285AE4" w:rsidP="00B479A5">
      <w:pPr>
        <w:spacing w:after="0" w:line="240" w:lineRule="auto"/>
        <w:ind w:firstLine="720"/>
        <w:jc w:val="both"/>
        <w:rPr>
          <w:rFonts w:ascii="Times New Roman" w:eastAsiaTheme="majorEastAsia" w:hAnsi="Times New Roman" w:cs="Times New Roman"/>
          <w:bCs/>
          <w:sz w:val="28"/>
          <w:szCs w:val="28"/>
        </w:rPr>
      </w:pPr>
      <w:r w:rsidRPr="00285AE4">
        <w:rPr>
          <w:rFonts w:ascii="Times New Roman" w:eastAsiaTheme="majorEastAsia" w:hAnsi="Times New Roman" w:cs="Times New Roman"/>
          <w:bCs/>
          <w:sz w:val="28"/>
          <w:szCs w:val="28"/>
        </w:rPr>
        <w:t xml:space="preserve">5) stimulēt infrastruktūras plānojuma un darbības efektivitātes uzlabošanu, tostarp ar tarifiem palielinot patērētāju līdzdalību sistēmas efektivitātē;  </w:t>
      </w:r>
    </w:p>
    <w:p w:rsidR="00285AE4" w:rsidRPr="00285AE4" w:rsidRDefault="00285AE4" w:rsidP="00B479A5">
      <w:pPr>
        <w:spacing w:after="0" w:line="240" w:lineRule="auto"/>
        <w:ind w:firstLine="720"/>
        <w:jc w:val="both"/>
        <w:rPr>
          <w:rFonts w:ascii="Times New Roman" w:eastAsiaTheme="majorEastAsia" w:hAnsi="Times New Roman" w:cs="Times New Roman"/>
          <w:bCs/>
          <w:sz w:val="28"/>
          <w:szCs w:val="28"/>
        </w:rPr>
      </w:pPr>
      <w:r w:rsidRPr="00285AE4">
        <w:rPr>
          <w:rFonts w:ascii="Times New Roman" w:eastAsiaTheme="majorEastAsia" w:hAnsi="Times New Roman" w:cs="Times New Roman"/>
          <w:bCs/>
          <w:sz w:val="28"/>
          <w:szCs w:val="28"/>
        </w:rPr>
        <w:t xml:space="preserve">6) veicināt to, lai vairumtirdzniecības un mazumtirdzniecības tirgos līdzās piedāvājumam piedalītos arī pieprasījuma puses resursi; </w:t>
      </w:r>
    </w:p>
    <w:p w:rsidR="00285AE4" w:rsidRPr="00285AE4" w:rsidRDefault="00285AE4" w:rsidP="00B479A5">
      <w:pPr>
        <w:spacing w:after="0" w:line="240" w:lineRule="auto"/>
        <w:ind w:firstLine="720"/>
        <w:jc w:val="both"/>
        <w:rPr>
          <w:rFonts w:ascii="Times New Roman" w:eastAsiaTheme="majorEastAsia" w:hAnsi="Times New Roman" w:cs="Times New Roman"/>
          <w:bCs/>
          <w:sz w:val="28"/>
          <w:szCs w:val="28"/>
        </w:rPr>
      </w:pPr>
      <w:r w:rsidRPr="00285AE4">
        <w:rPr>
          <w:rFonts w:ascii="Times New Roman" w:eastAsiaTheme="majorEastAsia" w:hAnsi="Times New Roman" w:cs="Times New Roman"/>
          <w:bCs/>
          <w:sz w:val="28"/>
          <w:szCs w:val="28"/>
        </w:rPr>
        <w:t>7)</w:t>
      </w:r>
      <w:r w:rsidR="00CD7927">
        <w:rPr>
          <w:rFonts w:ascii="Times New Roman" w:eastAsiaTheme="majorEastAsia" w:hAnsi="Times New Roman" w:cs="Times New Roman"/>
          <w:bCs/>
          <w:sz w:val="28"/>
          <w:szCs w:val="28"/>
        </w:rPr>
        <w:t xml:space="preserve"> </w:t>
      </w:r>
      <w:r w:rsidRPr="00285AE4">
        <w:rPr>
          <w:rFonts w:ascii="Times New Roman" w:eastAsiaTheme="majorEastAsia" w:hAnsi="Times New Roman" w:cs="Times New Roman"/>
          <w:bCs/>
          <w:sz w:val="28"/>
          <w:szCs w:val="28"/>
        </w:rPr>
        <w:t xml:space="preserve">nodrošināt, lai pārvades sistēmu un sadales sistēmu operatori pret pieprasījuma reakcijas sniedzējiem, tostarp </w:t>
      </w:r>
      <w:proofErr w:type="spellStart"/>
      <w:r w:rsidRPr="00285AE4">
        <w:rPr>
          <w:rFonts w:ascii="Times New Roman" w:eastAsiaTheme="majorEastAsia" w:hAnsi="Times New Roman" w:cs="Times New Roman"/>
          <w:bCs/>
          <w:sz w:val="28"/>
          <w:szCs w:val="28"/>
        </w:rPr>
        <w:t>agregatoriem</w:t>
      </w:r>
      <w:proofErr w:type="spellEnd"/>
      <w:r w:rsidRPr="00285AE4">
        <w:rPr>
          <w:rFonts w:ascii="Times New Roman" w:eastAsiaTheme="majorEastAsia" w:hAnsi="Times New Roman" w:cs="Times New Roman"/>
          <w:bCs/>
          <w:sz w:val="28"/>
          <w:szCs w:val="28"/>
        </w:rPr>
        <w:t>, izturas nediskriminējoši.</w:t>
      </w:r>
    </w:p>
    <w:p w:rsidR="00285AE4" w:rsidRDefault="00285AE4" w:rsidP="00B479A5">
      <w:pPr>
        <w:spacing w:after="0" w:line="240" w:lineRule="auto"/>
        <w:ind w:firstLine="720"/>
        <w:jc w:val="both"/>
        <w:rPr>
          <w:rFonts w:ascii="Times New Roman" w:eastAsiaTheme="majorEastAsia" w:hAnsi="Times New Roman" w:cs="Times New Roman"/>
          <w:bCs/>
          <w:sz w:val="28"/>
          <w:szCs w:val="28"/>
        </w:rPr>
      </w:pPr>
      <w:r w:rsidRPr="00285AE4">
        <w:rPr>
          <w:rFonts w:ascii="Times New Roman" w:eastAsiaTheme="majorEastAsia" w:hAnsi="Times New Roman" w:cs="Times New Roman"/>
          <w:bCs/>
          <w:sz w:val="28"/>
          <w:szCs w:val="28"/>
        </w:rPr>
        <w:t>Lai ieviestu minētās prasības Latvijas tiesību aktos, ir jāveic to detalizēta analīze un nepieciešamo grozījumu sagatavošana.</w:t>
      </w:r>
    </w:p>
    <w:p w:rsidR="00847313" w:rsidRDefault="00847313" w:rsidP="00B479A5">
      <w:pPr>
        <w:spacing w:after="0" w:line="240" w:lineRule="auto"/>
        <w:ind w:firstLine="12"/>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ab/>
      </w:r>
      <w:r w:rsidRPr="00847313">
        <w:rPr>
          <w:rFonts w:ascii="Times New Roman" w:eastAsiaTheme="majorEastAsia" w:hAnsi="Times New Roman" w:cs="Times New Roman"/>
          <w:bCs/>
          <w:sz w:val="28"/>
          <w:szCs w:val="28"/>
        </w:rPr>
        <w:t>Inovatīvas tehnoloģijas un iekārtas informācijas un komunikāciju jomā, tostarp viedo mērierīču (</w:t>
      </w:r>
      <w:proofErr w:type="spellStart"/>
      <w:r w:rsidRPr="00847313">
        <w:rPr>
          <w:rFonts w:ascii="Times New Roman" w:eastAsiaTheme="majorEastAsia" w:hAnsi="Times New Roman" w:cs="Times New Roman"/>
          <w:bCs/>
          <w:sz w:val="28"/>
          <w:szCs w:val="28"/>
        </w:rPr>
        <w:t>smart</w:t>
      </w:r>
      <w:proofErr w:type="spellEnd"/>
      <w:r w:rsidRPr="00847313">
        <w:rPr>
          <w:rFonts w:ascii="Times New Roman" w:eastAsiaTheme="majorEastAsia" w:hAnsi="Times New Roman" w:cs="Times New Roman"/>
          <w:bCs/>
          <w:sz w:val="28"/>
          <w:szCs w:val="28"/>
        </w:rPr>
        <w:t xml:space="preserve"> </w:t>
      </w:r>
      <w:proofErr w:type="spellStart"/>
      <w:r w:rsidRPr="00847313">
        <w:rPr>
          <w:rFonts w:ascii="Times New Roman" w:eastAsiaTheme="majorEastAsia" w:hAnsi="Times New Roman" w:cs="Times New Roman"/>
          <w:bCs/>
          <w:sz w:val="28"/>
          <w:szCs w:val="28"/>
        </w:rPr>
        <w:t>metering</w:t>
      </w:r>
      <w:proofErr w:type="spellEnd"/>
      <w:r w:rsidRPr="00847313">
        <w:rPr>
          <w:rFonts w:ascii="Times New Roman" w:eastAsiaTheme="majorEastAsia" w:hAnsi="Times New Roman" w:cs="Times New Roman"/>
          <w:bCs/>
          <w:sz w:val="28"/>
          <w:szCs w:val="28"/>
        </w:rPr>
        <w:t>) un viedo tīklu (</w:t>
      </w:r>
      <w:proofErr w:type="spellStart"/>
      <w:r w:rsidRPr="00847313">
        <w:rPr>
          <w:rFonts w:ascii="Times New Roman" w:eastAsiaTheme="majorEastAsia" w:hAnsi="Times New Roman" w:cs="Times New Roman"/>
          <w:bCs/>
          <w:sz w:val="28"/>
          <w:szCs w:val="28"/>
        </w:rPr>
        <w:t>smart</w:t>
      </w:r>
      <w:proofErr w:type="spellEnd"/>
      <w:r w:rsidRPr="00847313">
        <w:rPr>
          <w:rFonts w:ascii="Times New Roman" w:eastAsiaTheme="majorEastAsia" w:hAnsi="Times New Roman" w:cs="Times New Roman"/>
          <w:bCs/>
          <w:sz w:val="28"/>
          <w:szCs w:val="28"/>
        </w:rPr>
        <w:t xml:space="preserve"> </w:t>
      </w:r>
      <w:proofErr w:type="spellStart"/>
      <w:r w:rsidRPr="00847313">
        <w:rPr>
          <w:rFonts w:ascii="Times New Roman" w:eastAsiaTheme="majorEastAsia" w:hAnsi="Times New Roman" w:cs="Times New Roman"/>
          <w:bCs/>
          <w:sz w:val="28"/>
          <w:szCs w:val="28"/>
        </w:rPr>
        <w:t>grids</w:t>
      </w:r>
      <w:proofErr w:type="spellEnd"/>
      <w:r w:rsidRPr="00847313">
        <w:rPr>
          <w:rFonts w:ascii="Times New Roman" w:eastAsiaTheme="majorEastAsia" w:hAnsi="Times New Roman" w:cs="Times New Roman"/>
          <w:bCs/>
          <w:sz w:val="28"/>
          <w:szCs w:val="28"/>
        </w:rPr>
        <w:t>) ieviešana ļauj spert nopietnu soli uz viedo pilsētu (</w:t>
      </w:r>
      <w:proofErr w:type="spellStart"/>
      <w:r w:rsidRPr="00847313">
        <w:rPr>
          <w:rFonts w:ascii="Times New Roman" w:eastAsiaTheme="majorEastAsia" w:hAnsi="Times New Roman" w:cs="Times New Roman"/>
          <w:bCs/>
          <w:sz w:val="28"/>
          <w:szCs w:val="28"/>
        </w:rPr>
        <w:t>Smart</w:t>
      </w:r>
      <w:proofErr w:type="spellEnd"/>
      <w:r w:rsidRPr="00847313">
        <w:rPr>
          <w:rFonts w:ascii="Times New Roman" w:eastAsiaTheme="majorEastAsia" w:hAnsi="Times New Roman" w:cs="Times New Roman"/>
          <w:bCs/>
          <w:sz w:val="28"/>
          <w:szCs w:val="28"/>
        </w:rPr>
        <w:t xml:space="preserve"> </w:t>
      </w:r>
      <w:proofErr w:type="spellStart"/>
      <w:r w:rsidRPr="00847313">
        <w:rPr>
          <w:rFonts w:ascii="Times New Roman" w:eastAsiaTheme="majorEastAsia" w:hAnsi="Times New Roman" w:cs="Times New Roman"/>
          <w:bCs/>
          <w:sz w:val="28"/>
          <w:szCs w:val="28"/>
        </w:rPr>
        <w:t>Cities</w:t>
      </w:r>
      <w:proofErr w:type="spellEnd"/>
      <w:r w:rsidRPr="00847313">
        <w:rPr>
          <w:rFonts w:ascii="Times New Roman" w:eastAsiaTheme="majorEastAsia" w:hAnsi="Times New Roman" w:cs="Times New Roman"/>
          <w:bCs/>
          <w:sz w:val="28"/>
          <w:szCs w:val="28"/>
        </w:rPr>
        <w:t>) veidošanu. Tāds reāls mērķis ir arī Rīgai un citām Latvijas pilsētām.</w:t>
      </w:r>
    </w:p>
    <w:p w:rsidR="00847313" w:rsidRPr="00847313" w:rsidRDefault="00847313" w:rsidP="00B479A5">
      <w:pPr>
        <w:spacing w:after="0" w:line="240" w:lineRule="auto"/>
        <w:ind w:firstLine="12"/>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ab/>
      </w:r>
      <w:r w:rsidRPr="00847313">
        <w:rPr>
          <w:rFonts w:ascii="Times New Roman" w:eastAsiaTheme="majorEastAsia" w:hAnsi="Times New Roman" w:cs="Times New Roman"/>
          <w:bCs/>
          <w:sz w:val="28"/>
          <w:szCs w:val="28"/>
        </w:rPr>
        <w:t xml:space="preserve">AS "Latvenergo" īsteno projektu "Energoefektivitātes veicināšana mājsaimniecībās, izmantojot viedās tehnoloģijas". Šā projekta, kas ilgs piecus gadus, mērķis ir nodrošināt mājsaimniecības ar detalizētu informāciju par to enerģijas patēriņu, CO2 emisijām, kā arī samazināt to elektroenerģijas patēriņu par 10 </w:t>
      </w:r>
      <w:r>
        <w:rPr>
          <w:rFonts w:ascii="Times New Roman" w:eastAsiaTheme="majorEastAsia" w:hAnsi="Times New Roman" w:cs="Times New Roman"/>
          <w:bCs/>
          <w:sz w:val="28"/>
          <w:szCs w:val="28"/>
        </w:rPr>
        <w:t>%</w:t>
      </w:r>
      <w:r w:rsidRPr="00847313">
        <w:rPr>
          <w:rFonts w:ascii="Times New Roman" w:eastAsiaTheme="majorEastAsia" w:hAnsi="Times New Roman" w:cs="Times New Roman"/>
          <w:bCs/>
          <w:sz w:val="28"/>
          <w:szCs w:val="28"/>
        </w:rPr>
        <w:t>. Kopumā projektā tiks iesaistītas 500 mājsaimniecības. Arī AS "Rīgas siltums" strādā pie sistēmas izveides, kas nodrošinātu attālinātu datu automātisku nolasīšanu no 8000 siltumskaitītāju.</w:t>
      </w:r>
    </w:p>
    <w:p w:rsidR="00847313" w:rsidRPr="00285AE4" w:rsidRDefault="00847313" w:rsidP="00B479A5">
      <w:pPr>
        <w:spacing w:after="0" w:line="240" w:lineRule="auto"/>
        <w:ind w:firstLine="720"/>
        <w:jc w:val="both"/>
        <w:rPr>
          <w:rFonts w:ascii="Times New Roman" w:eastAsiaTheme="majorEastAsia" w:hAnsi="Times New Roman" w:cs="Times New Roman"/>
          <w:bCs/>
          <w:sz w:val="28"/>
          <w:szCs w:val="28"/>
        </w:rPr>
      </w:pPr>
      <w:r w:rsidRPr="00847313">
        <w:rPr>
          <w:rFonts w:ascii="Times New Roman" w:eastAsiaTheme="majorEastAsia" w:hAnsi="Times New Roman" w:cs="Times New Roman"/>
          <w:bCs/>
          <w:sz w:val="28"/>
          <w:szCs w:val="28"/>
        </w:rPr>
        <w:t>Tādā veidā Rīga rāda piemēru citām Latvijas pilsētām, kurās pakāpeniski tiek ieviestas viedās sistēmas enerģijas uzskaitē.</w:t>
      </w:r>
    </w:p>
    <w:p w:rsidR="006109AA" w:rsidRPr="00F40E06" w:rsidRDefault="00F40E06" w:rsidP="00B479A5">
      <w:pPr>
        <w:spacing w:after="0" w:line="240" w:lineRule="auto"/>
        <w:ind w:firstLine="720"/>
        <w:jc w:val="both"/>
        <w:rPr>
          <w:rFonts w:ascii="Times New Roman" w:eastAsiaTheme="majorEastAsia" w:hAnsi="Times New Roman" w:cs="Times New Roman"/>
          <w:bCs/>
          <w:sz w:val="28"/>
          <w:szCs w:val="28"/>
        </w:rPr>
      </w:pPr>
      <w:r w:rsidRPr="00F40E06">
        <w:rPr>
          <w:rFonts w:ascii="Times New Roman" w:eastAsiaTheme="majorEastAsia" w:hAnsi="Times New Roman" w:cs="Times New Roman"/>
          <w:bCs/>
          <w:sz w:val="28"/>
          <w:szCs w:val="28"/>
        </w:rPr>
        <w:t>Atsevišķu 15. panta prasību ieviešanas variantu izstrādāšanai Ekonomikas ministrijai būtu jāveido darba grupa,  iesaistot pārstāvjus no Sabiedrisko pakalpojumu regulēšanas komisijas, kā arī pārstāvjus no lielākajiem elektroenerģijas un dabasgāzes piegādes komersantiem</w:t>
      </w:r>
      <w:r w:rsidR="00285AE4" w:rsidRPr="00285AE4">
        <w:rPr>
          <w:rFonts w:ascii="Times New Roman" w:eastAsiaTheme="majorEastAsia" w:hAnsi="Times New Roman" w:cs="Times New Roman"/>
          <w:bCs/>
          <w:sz w:val="28"/>
          <w:szCs w:val="28"/>
        </w:rPr>
        <w:t>.</w:t>
      </w:r>
    </w:p>
    <w:p w:rsidR="00A20424" w:rsidRPr="000F3ABE" w:rsidRDefault="000F3ABE" w:rsidP="00B479A5">
      <w:pPr>
        <w:pStyle w:val="Heading2"/>
        <w:spacing w:before="0" w:line="240" w:lineRule="auto"/>
        <w:jc w:val="center"/>
        <w:rPr>
          <w:rFonts w:ascii="Times New Roman" w:hAnsi="Times New Roman" w:cs="Times New Roman"/>
          <w:color w:val="auto"/>
          <w:sz w:val="28"/>
          <w:szCs w:val="28"/>
        </w:rPr>
      </w:pPr>
      <w:bookmarkStart w:id="15" w:name="_Toc372269916"/>
      <w:r w:rsidRPr="000F3ABE">
        <w:rPr>
          <w:rFonts w:ascii="Times New Roman" w:hAnsi="Times New Roman" w:cs="Times New Roman"/>
          <w:color w:val="auto"/>
          <w:sz w:val="28"/>
          <w:szCs w:val="28"/>
        </w:rPr>
        <w:t>2.</w:t>
      </w:r>
      <w:r w:rsidR="00B62CF5">
        <w:rPr>
          <w:rFonts w:ascii="Times New Roman" w:hAnsi="Times New Roman" w:cs="Times New Roman"/>
          <w:color w:val="auto"/>
          <w:sz w:val="28"/>
          <w:szCs w:val="28"/>
        </w:rPr>
        <w:t>6</w:t>
      </w:r>
      <w:r w:rsidRPr="000F3ABE">
        <w:rPr>
          <w:rFonts w:ascii="Times New Roman" w:hAnsi="Times New Roman" w:cs="Times New Roman"/>
          <w:color w:val="auto"/>
          <w:sz w:val="28"/>
          <w:szCs w:val="28"/>
        </w:rPr>
        <w:t xml:space="preserve">. </w:t>
      </w:r>
      <w:r w:rsidR="00A20424" w:rsidRPr="000F3ABE">
        <w:rPr>
          <w:rFonts w:ascii="Times New Roman" w:hAnsi="Times New Roman" w:cs="Times New Roman"/>
          <w:color w:val="auto"/>
          <w:sz w:val="28"/>
          <w:szCs w:val="28"/>
        </w:rPr>
        <w:t>Valsts energoefektivitātes fonds, finansēšana un tehnisks atbalsts (20.</w:t>
      </w:r>
      <w:r w:rsidR="00254870" w:rsidRPr="000F3ABE">
        <w:rPr>
          <w:rFonts w:ascii="Times New Roman" w:hAnsi="Times New Roman" w:cs="Times New Roman"/>
          <w:color w:val="auto"/>
          <w:sz w:val="28"/>
          <w:szCs w:val="28"/>
        </w:rPr>
        <w:t> </w:t>
      </w:r>
      <w:r w:rsidR="00A20424" w:rsidRPr="000F3ABE">
        <w:rPr>
          <w:rFonts w:ascii="Times New Roman" w:hAnsi="Times New Roman" w:cs="Times New Roman"/>
          <w:color w:val="auto"/>
          <w:sz w:val="28"/>
          <w:szCs w:val="28"/>
        </w:rPr>
        <w:t>pants)</w:t>
      </w:r>
      <w:bookmarkEnd w:id="15"/>
    </w:p>
    <w:p w:rsidR="00A20424" w:rsidRPr="00C6501B" w:rsidRDefault="000F3ABE" w:rsidP="00B479A5">
      <w:pPr>
        <w:pStyle w:val="Heading3"/>
        <w:spacing w:before="0" w:line="240" w:lineRule="auto"/>
        <w:jc w:val="center"/>
        <w:rPr>
          <w:rFonts w:ascii="Times New Roman" w:hAnsi="Times New Roman" w:cs="Times New Roman"/>
          <w:b w:val="0"/>
          <w:sz w:val="28"/>
          <w:szCs w:val="28"/>
        </w:rPr>
      </w:pPr>
      <w:bookmarkStart w:id="16" w:name="_Toc372269917"/>
      <w:r>
        <w:rPr>
          <w:rFonts w:ascii="Times New Roman" w:hAnsi="Times New Roman" w:cs="Times New Roman"/>
          <w:color w:val="auto"/>
          <w:sz w:val="28"/>
          <w:szCs w:val="28"/>
        </w:rPr>
        <w:t>2.</w:t>
      </w:r>
      <w:r w:rsidR="00B62CF5">
        <w:rPr>
          <w:rFonts w:ascii="Times New Roman" w:hAnsi="Times New Roman" w:cs="Times New Roman"/>
          <w:color w:val="auto"/>
          <w:sz w:val="28"/>
          <w:szCs w:val="28"/>
        </w:rPr>
        <w:t>6</w:t>
      </w:r>
      <w:r>
        <w:rPr>
          <w:rFonts w:ascii="Times New Roman" w:hAnsi="Times New Roman" w:cs="Times New Roman"/>
          <w:color w:val="auto"/>
          <w:sz w:val="28"/>
          <w:szCs w:val="28"/>
        </w:rPr>
        <w:t xml:space="preserve">.1. </w:t>
      </w:r>
      <w:r w:rsidR="00A20424" w:rsidRPr="00C6501B">
        <w:rPr>
          <w:rFonts w:ascii="Times New Roman" w:hAnsi="Times New Roman" w:cs="Times New Roman"/>
          <w:color w:val="auto"/>
          <w:sz w:val="28"/>
          <w:szCs w:val="28"/>
        </w:rPr>
        <w:t>Direktīv</w:t>
      </w:r>
      <w:r w:rsidR="007137FE">
        <w:rPr>
          <w:rFonts w:ascii="Times New Roman" w:hAnsi="Times New Roman" w:cs="Times New Roman"/>
          <w:color w:val="auto"/>
          <w:sz w:val="28"/>
          <w:szCs w:val="28"/>
        </w:rPr>
        <w:t>as prasības</w:t>
      </w:r>
      <w:bookmarkEnd w:id="16"/>
    </w:p>
    <w:p w:rsidR="00513081" w:rsidRPr="00A67CE5" w:rsidRDefault="00364CFB" w:rsidP="00B479A5">
      <w:pPr>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 xml:space="preserve">Atbilstoši </w:t>
      </w:r>
      <w:r>
        <w:rPr>
          <w:rFonts w:ascii="Times New Roman" w:eastAsiaTheme="majorEastAsia" w:hAnsi="Times New Roman" w:cs="Times New Roman"/>
          <w:bCs/>
          <w:sz w:val="28"/>
          <w:szCs w:val="28"/>
        </w:rPr>
        <w:t xml:space="preserve">Direktīvas </w:t>
      </w:r>
      <w:r w:rsidRPr="00AC58F8">
        <w:rPr>
          <w:rFonts w:ascii="Times New Roman" w:eastAsiaTheme="majorEastAsia" w:hAnsi="Times New Roman" w:cs="Times New Roman"/>
          <w:bCs/>
          <w:sz w:val="28"/>
          <w:szCs w:val="28"/>
        </w:rPr>
        <w:t>2012/27/ES</w:t>
      </w:r>
      <w:r>
        <w:rPr>
          <w:rFonts w:ascii="Times New Roman" w:eastAsiaTheme="majorEastAsia" w:hAnsi="Times New Roman" w:cs="Times New Roman"/>
          <w:bCs/>
          <w:sz w:val="28"/>
          <w:szCs w:val="28"/>
        </w:rPr>
        <w:t xml:space="preserve"> 20.</w:t>
      </w:r>
      <w:r w:rsidR="00BD5168">
        <w:rPr>
          <w:rFonts w:ascii="Times New Roman" w:eastAsiaTheme="majorEastAsia" w:hAnsi="Times New Roman" w:cs="Times New Roman"/>
          <w:bCs/>
          <w:sz w:val="28"/>
          <w:szCs w:val="28"/>
        </w:rPr>
        <w:t> </w:t>
      </w:r>
      <w:r>
        <w:rPr>
          <w:rFonts w:ascii="Times New Roman" w:eastAsiaTheme="majorEastAsia" w:hAnsi="Times New Roman" w:cs="Times New Roman"/>
          <w:bCs/>
          <w:sz w:val="28"/>
          <w:szCs w:val="28"/>
        </w:rPr>
        <w:t xml:space="preserve">panta </w:t>
      </w:r>
      <w:r w:rsidR="003012CC">
        <w:rPr>
          <w:rFonts w:ascii="Times New Roman" w:eastAsiaTheme="majorEastAsia" w:hAnsi="Times New Roman" w:cs="Times New Roman"/>
          <w:bCs/>
          <w:sz w:val="28"/>
          <w:szCs w:val="28"/>
        </w:rPr>
        <w:t>5</w:t>
      </w:r>
      <w:r>
        <w:rPr>
          <w:rFonts w:ascii="Times New Roman" w:eastAsiaTheme="majorEastAsia" w:hAnsi="Times New Roman" w:cs="Times New Roman"/>
          <w:bCs/>
          <w:sz w:val="28"/>
          <w:szCs w:val="28"/>
        </w:rPr>
        <w:t>.</w:t>
      </w:r>
      <w:r w:rsidR="00BD5168">
        <w:rPr>
          <w:rFonts w:ascii="Times New Roman" w:eastAsiaTheme="majorEastAsia" w:hAnsi="Times New Roman" w:cs="Times New Roman"/>
          <w:bCs/>
          <w:sz w:val="28"/>
          <w:szCs w:val="28"/>
        </w:rPr>
        <w:t> </w:t>
      </w:r>
      <w:r>
        <w:rPr>
          <w:rFonts w:ascii="Times New Roman" w:eastAsiaTheme="majorEastAsia" w:hAnsi="Times New Roman" w:cs="Times New Roman"/>
          <w:bCs/>
          <w:sz w:val="28"/>
          <w:szCs w:val="28"/>
        </w:rPr>
        <w:t>punktam</w:t>
      </w:r>
      <w:r>
        <w:rPr>
          <w:rFonts w:ascii="Times New Roman" w:eastAsia="Times New Roman" w:hAnsi="Times New Roman" w:cs="Times New Roman"/>
          <w:sz w:val="28"/>
          <w:szCs w:val="24"/>
          <w:lang w:eastAsia="lv-LV"/>
        </w:rPr>
        <w:t>, d</w:t>
      </w:r>
      <w:r w:rsidR="00E33297" w:rsidRPr="00A67CE5">
        <w:rPr>
          <w:rFonts w:ascii="Times New Roman" w:eastAsia="Times New Roman" w:hAnsi="Times New Roman" w:cs="Times New Roman"/>
          <w:sz w:val="28"/>
          <w:szCs w:val="24"/>
          <w:lang w:eastAsia="lv-LV"/>
        </w:rPr>
        <w:t>alībvalstis var izveidot valsts energoefektivitātes fondu. Fonda mērķis ir atbalstīt valst</w:t>
      </w:r>
      <w:r w:rsidR="003012CC">
        <w:rPr>
          <w:rFonts w:ascii="Times New Roman" w:eastAsia="Times New Roman" w:hAnsi="Times New Roman" w:cs="Times New Roman"/>
          <w:sz w:val="28"/>
          <w:szCs w:val="24"/>
          <w:lang w:eastAsia="lv-LV"/>
        </w:rPr>
        <w:t>s</w:t>
      </w:r>
      <w:r w:rsidR="00E33297" w:rsidRPr="00A67CE5">
        <w:rPr>
          <w:rFonts w:ascii="Times New Roman" w:eastAsia="Times New Roman" w:hAnsi="Times New Roman" w:cs="Times New Roman"/>
          <w:sz w:val="28"/>
          <w:szCs w:val="24"/>
          <w:lang w:eastAsia="lv-LV"/>
        </w:rPr>
        <w:t xml:space="preserve"> iniciatīvas energoefektivitātes jomā.</w:t>
      </w:r>
    </w:p>
    <w:p w:rsidR="00E33297" w:rsidRPr="00A67CE5" w:rsidRDefault="00E33297" w:rsidP="00B479A5">
      <w:pPr>
        <w:spacing w:after="0" w:line="240" w:lineRule="auto"/>
        <w:ind w:firstLine="720"/>
        <w:jc w:val="both"/>
        <w:rPr>
          <w:rFonts w:ascii="Times New Roman" w:eastAsia="Times New Roman" w:hAnsi="Times New Roman" w:cs="Times New Roman"/>
          <w:sz w:val="28"/>
          <w:szCs w:val="24"/>
          <w:lang w:eastAsia="lv-LV"/>
        </w:rPr>
      </w:pPr>
      <w:r w:rsidRPr="00A67CE5">
        <w:rPr>
          <w:rFonts w:ascii="Times New Roman" w:eastAsia="Times New Roman" w:hAnsi="Times New Roman" w:cs="Times New Roman"/>
          <w:sz w:val="28"/>
          <w:szCs w:val="24"/>
          <w:lang w:eastAsia="lv-LV"/>
        </w:rPr>
        <w:t>Dalībvalstis var ļaut 5. </w:t>
      </w:r>
      <w:r w:rsidR="003012CC">
        <w:rPr>
          <w:rFonts w:ascii="Times New Roman" w:eastAsia="Times New Roman" w:hAnsi="Times New Roman" w:cs="Times New Roman"/>
          <w:sz w:val="28"/>
          <w:szCs w:val="24"/>
          <w:lang w:eastAsia="lv-LV"/>
        </w:rPr>
        <w:t>p</w:t>
      </w:r>
      <w:r w:rsidRPr="00A67CE5">
        <w:rPr>
          <w:rFonts w:ascii="Times New Roman" w:eastAsia="Times New Roman" w:hAnsi="Times New Roman" w:cs="Times New Roman"/>
          <w:sz w:val="28"/>
          <w:szCs w:val="24"/>
          <w:lang w:eastAsia="lv-LV"/>
        </w:rPr>
        <w:t>ant</w:t>
      </w:r>
      <w:r w:rsidR="003012CC">
        <w:rPr>
          <w:rFonts w:ascii="Times New Roman" w:eastAsia="Times New Roman" w:hAnsi="Times New Roman" w:cs="Times New Roman"/>
          <w:sz w:val="28"/>
          <w:szCs w:val="24"/>
          <w:lang w:eastAsia="lv-LV"/>
        </w:rPr>
        <w:t>ā noteikto 3</w:t>
      </w:r>
      <w:r w:rsidR="00BD5168">
        <w:rPr>
          <w:rFonts w:ascii="Times New Roman" w:eastAsia="Times New Roman" w:hAnsi="Times New Roman" w:cs="Times New Roman"/>
          <w:sz w:val="28"/>
          <w:szCs w:val="24"/>
          <w:lang w:eastAsia="lv-LV"/>
        </w:rPr>
        <w:t> </w:t>
      </w:r>
      <w:r w:rsidR="003012CC">
        <w:rPr>
          <w:rFonts w:ascii="Times New Roman" w:eastAsia="Times New Roman" w:hAnsi="Times New Roman" w:cs="Times New Roman"/>
          <w:sz w:val="28"/>
          <w:szCs w:val="24"/>
          <w:lang w:eastAsia="lv-LV"/>
        </w:rPr>
        <w:t>% valsts ēku renovācijas mērķi</w:t>
      </w:r>
      <w:r w:rsidRPr="00A67CE5">
        <w:rPr>
          <w:rFonts w:ascii="Times New Roman" w:eastAsia="Times New Roman" w:hAnsi="Times New Roman" w:cs="Times New Roman"/>
          <w:sz w:val="28"/>
          <w:szCs w:val="24"/>
          <w:lang w:eastAsia="lv-LV"/>
        </w:rPr>
        <w:t xml:space="preserve"> izpildīt, katru gadu valsts energoefektivitātes fondā iemaksājot </w:t>
      </w:r>
      <w:r w:rsidR="00834898">
        <w:rPr>
          <w:rFonts w:ascii="Times New Roman" w:eastAsia="Times New Roman" w:hAnsi="Times New Roman" w:cs="Times New Roman"/>
          <w:sz w:val="28"/>
          <w:szCs w:val="24"/>
          <w:lang w:eastAsia="lv-LV"/>
        </w:rPr>
        <w:t>mērķa izpildei nepieciešamo summu.</w:t>
      </w:r>
      <w:r w:rsidR="002334DB">
        <w:rPr>
          <w:rFonts w:ascii="Times New Roman" w:eastAsia="Times New Roman" w:hAnsi="Times New Roman" w:cs="Times New Roman"/>
          <w:sz w:val="28"/>
          <w:szCs w:val="24"/>
          <w:lang w:eastAsia="lv-LV"/>
        </w:rPr>
        <w:t xml:space="preserve"> </w:t>
      </w:r>
    </w:p>
    <w:p w:rsidR="006109AA" w:rsidRPr="00BC6D46" w:rsidRDefault="00753EF6" w:rsidP="00B479A5">
      <w:pPr>
        <w:spacing w:after="0" w:line="240" w:lineRule="auto"/>
        <w:ind w:firstLine="720"/>
        <w:jc w:val="both"/>
        <w:rPr>
          <w:rFonts w:ascii="Times New Roman" w:eastAsia="Times New Roman" w:hAnsi="Times New Roman" w:cs="Times New Roman"/>
          <w:sz w:val="28"/>
          <w:szCs w:val="24"/>
          <w:lang w:eastAsia="lv-LV"/>
        </w:rPr>
      </w:pPr>
      <w:r w:rsidRPr="00A67CE5">
        <w:rPr>
          <w:rFonts w:ascii="Times New Roman" w:eastAsia="Times New Roman" w:hAnsi="Times New Roman" w:cs="Times New Roman"/>
          <w:sz w:val="28"/>
          <w:szCs w:val="24"/>
          <w:lang w:eastAsia="lv-LV"/>
        </w:rPr>
        <w:t>Dalībvalstis var noteikt, ka atbildīgās puses</w:t>
      </w:r>
      <w:r w:rsidR="00737ABE">
        <w:rPr>
          <w:rFonts w:ascii="Times New Roman" w:eastAsia="Times New Roman" w:hAnsi="Times New Roman" w:cs="Times New Roman"/>
          <w:sz w:val="28"/>
          <w:szCs w:val="24"/>
          <w:lang w:eastAsia="lv-LV"/>
        </w:rPr>
        <w:t xml:space="preserve"> (enerģijas mazumtirdzniecības un sadales uzņēmumi) </w:t>
      </w:r>
      <w:r w:rsidRPr="00A67CE5">
        <w:rPr>
          <w:rFonts w:ascii="Times New Roman" w:eastAsia="Times New Roman" w:hAnsi="Times New Roman" w:cs="Times New Roman"/>
          <w:sz w:val="28"/>
          <w:szCs w:val="24"/>
          <w:lang w:eastAsia="lv-LV"/>
        </w:rPr>
        <w:t xml:space="preserve">savus </w:t>
      </w:r>
      <w:r w:rsidR="002334DB">
        <w:rPr>
          <w:rFonts w:ascii="Times New Roman" w:eastAsia="Times New Roman" w:hAnsi="Times New Roman" w:cs="Times New Roman"/>
          <w:sz w:val="28"/>
          <w:szCs w:val="24"/>
          <w:lang w:eastAsia="lv-LV"/>
        </w:rPr>
        <w:t>EPS enerģijas ietaupījuma</w:t>
      </w:r>
      <w:r w:rsidRPr="00A67CE5">
        <w:rPr>
          <w:rFonts w:ascii="Times New Roman" w:eastAsia="Times New Roman" w:hAnsi="Times New Roman" w:cs="Times New Roman"/>
          <w:sz w:val="28"/>
          <w:szCs w:val="24"/>
          <w:lang w:eastAsia="lv-LV"/>
        </w:rPr>
        <w:t xml:space="preserve"> pienākumus var izpildīt, katru gadu valsts energoefektivitātes fondā iemaksājot summu, kas ir līdzvērtīga ieguldījumi</w:t>
      </w:r>
      <w:r w:rsidR="002334DB">
        <w:rPr>
          <w:rFonts w:ascii="Times New Roman" w:eastAsia="Times New Roman" w:hAnsi="Times New Roman" w:cs="Times New Roman"/>
          <w:sz w:val="28"/>
          <w:szCs w:val="24"/>
          <w:lang w:eastAsia="lv-LV"/>
        </w:rPr>
        <w:t xml:space="preserve">em, kuri būtu nepieciešami attiecīgā </w:t>
      </w:r>
      <w:r w:rsidR="002334DB">
        <w:rPr>
          <w:rFonts w:ascii="Times New Roman" w:eastAsia="Times New Roman" w:hAnsi="Times New Roman" w:cs="Times New Roman"/>
          <w:sz w:val="28"/>
          <w:szCs w:val="24"/>
          <w:lang w:eastAsia="lv-LV"/>
        </w:rPr>
        <w:lastRenderedPageBreak/>
        <w:t xml:space="preserve">ietaupījuma sasniegšanai. </w:t>
      </w:r>
      <w:r w:rsidR="006109AA" w:rsidRPr="006109AA">
        <w:rPr>
          <w:rFonts w:ascii="Times New Roman" w:eastAsia="Times New Roman" w:hAnsi="Times New Roman" w:cs="Times New Roman"/>
          <w:sz w:val="28"/>
          <w:szCs w:val="24"/>
          <w:lang w:eastAsia="lv-LV"/>
        </w:rPr>
        <w:t xml:space="preserve">Direktīva 2012/27/ES pamatā paredz 2 iespējas – valsts energoefektivitātes fondu (turpmāk </w:t>
      </w:r>
      <w:r w:rsidR="005E5DD6">
        <w:rPr>
          <w:rFonts w:ascii="Times New Roman" w:eastAsia="Times New Roman" w:hAnsi="Times New Roman" w:cs="Times New Roman"/>
          <w:sz w:val="28"/>
          <w:szCs w:val="24"/>
          <w:lang w:eastAsia="lv-LV"/>
        </w:rPr>
        <w:t xml:space="preserve">- </w:t>
      </w:r>
      <w:r w:rsidR="006109AA" w:rsidRPr="006109AA">
        <w:rPr>
          <w:rFonts w:ascii="Times New Roman" w:eastAsia="Times New Roman" w:hAnsi="Times New Roman" w:cs="Times New Roman"/>
          <w:sz w:val="28"/>
          <w:szCs w:val="24"/>
          <w:lang w:eastAsia="lv-LV"/>
        </w:rPr>
        <w:t>VEEF) veidot vai arī neveidot, valsts energoefektivitātes mērķu sasniegšanu izmantojot jau esošos finanšu instrumentus.</w:t>
      </w:r>
    </w:p>
    <w:p w:rsidR="00737ABE" w:rsidRPr="00B14463" w:rsidRDefault="00B14463" w:rsidP="00B479A5">
      <w:pPr>
        <w:spacing w:after="0" w:line="240" w:lineRule="auto"/>
        <w:ind w:firstLine="720"/>
        <w:jc w:val="center"/>
        <w:rPr>
          <w:rFonts w:ascii="Times New Roman" w:eastAsia="Times New Roman" w:hAnsi="Times New Roman" w:cs="Times New Roman"/>
          <w:b/>
          <w:sz w:val="28"/>
          <w:szCs w:val="24"/>
          <w:lang w:eastAsia="lv-LV"/>
        </w:rPr>
      </w:pPr>
      <w:r w:rsidRPr="00B14463">
        <w:rPr>
          <w:rFonts w:ascii="Times New Roman" w:eastAsia="Times New Roman" w:hAnsi="Times New Roman" w:cs="Times New Roman"/>
          <w:b/>
          <w:sz w:val="28"/>
          <w:szCs w:val="24"/>
          <w:lang w:eastAsia="lv-LV"/>
        </w:rPr>
        <w:t>2.</w:t>
      </w:r>
      <w:r w:rsidR="00B62CF5">
        <w:rPr>
          <w:rFonts w:ascii="Times New Roman" w:eastAsia="Times New Roman" w:hAnsi="Times New Roman" w:cs="Times New Roman"/>
          <w:b/>
          <w:sz w:val="28"/>
          <w:szCs w:val="24"/>
          <w:lang w:eastAsia="lv-LV"/>
        </w:rPr>
        <w:t>6</w:t>
      </w:r>
      <w:r w:rsidRPr="00B14463">
        <w:rPr>
          <w:rFonts w:ascii="Times New Roman" w:eastAsia="Times New Roman" w:hAnsi="Times New Roman" w:cs="Times New Roman"/>
          <w:b/>
          <w:sz w:val="28"/>
          <w:szCs w:val="24"/>
          <w:lang w:eastAsia="lv-LV"/>
        </w:rPr>
        <w:t>.2. Direktīvas 20.</w:t>
      </w:r>
      <w:r w:rsidR="00697620">
        <w:rPr>
          <w:rFonts w:ascii="Times New Roman" w:eastAsia="Times New Roman" w:hAnsi="Times New Roman" w:cs="Times New Roman"/>
          <w:b/>
          <w:sz w:val="28"/>
          <w:szCs w:val="24"/>
          <w:lang w:eastAsia="lv-LV"/>
        </w:rPr>
        <w:t> </w:t>
      </w:r>
      <w:r w:rsidRPr="00B14463">
        <w:rPr>
          <w:rFonts w:ascii="Times New Roman" w:eastAsia="Times New Roman" w:hAnsi="Times New Roman" w:cs="Times New Roman"/>
          <w:b/>
          <w:sz w:val="28"/>
          <w:szCs w:val="24"/>
          <w:lang w:eastAsia="lv-LV"/>
        </w:rPr>
        <w:t>panta prasību ieviešanas risinājuma varianti</w:t>
      </w:r>
      <w:r w:rsidR="006109AA">
        <w:rPr>
          <w:rFonts w:ascii="Times New Roman" w:eastAsia="Times New Roman" w:hAnsi="Times New Roman" w:cs="Times New Roman"/>
          <w:b/>
          <w:sz w:val="28"/>
          <w:szCs w:val="24"/>
          <w:lang w:eastAsia="lv-LV"/>
        </w:rPr>
        <w:t xml:space="preserve"> un to ietekme</w:t>
      </w:r>
    </w:p>
    <w:p w:rsidR="006109AA" w:rsidRPr="006109AA" w:rsidRDefault="006109AA" w:rsidP="00B479A5">
      <w:pPr>
        <w:spacing w:after="0" w:line="240" w:lineRule="auto"/>
        <w:jc w:val="both"/>
        <w:rPr>
          <w:rFonts w:ascii="Times New Roman" w:hAnsi="Times New Roman" w:cs="Times New Roman"/>
          <w:b/>
          <w:sz w:val="28"/>
          <w:szCs w:val="28"/>
        </w:rPr>
      </w:pPr>
      <w:r w:rsidRPr="006109AA">
        <w:rPr>
          <w:rFonts w:ascii="Times New Roman" w:hAnsi="Times New Roman" w:cs="Times New Roman"/>
          <w:b/>
          <w:sz w:val="28"/>
          <w:szCs w:val="28"/>
        </w:rPr>
        <w:t>1.</w:t>
      </w:r>
      <w:r w:rsidR="00BC6D46">
        <w:rPr>
          <w:rFonts w:ascii="Times New Roman" w:hAnsi="Times New Roman" w:cs="Times New Roman"/>
          <w:b/>
          <w:sz w:val="28"/>
          <w:szCs w:val="28"/>
        </w:rPr>
        <w:t> </w:t>
      </w:r>
      <w:r w:rsidRPr="006109AA">
        <w:rPr>
          <w:rFonts w:ascii="Times New Roman" w:hAnsi="Times New Roman" w:cs="Times New Roman"/>
          <w:b/>
          <w:sz w:val="28"/>
          <w:szCs w:val="28"/>
        </w:rPr>
        <w:t>variants – Valsts energoefektivitātes fonda izveidošana</w:t>
      </w:r>
    </w:p>
    <w:p w:rsidR="00A41288" w:rsidRDefault="00A41288" w:rsidP="00B479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VEEF</w:t>
      </w:r>
      <w:r w:rsidRPr="00A41288">
        <w:rPr>
          <w:rFonts w:ascii="Times New Roman" w:hAnsi="Times New Roman" w:cs="Times New Roman"/>
          <w:sz w:val="28"/>
          <w:szCs w:val="28"/>
        </w:rPr>
        <w:t xml:space="preserve"> mērķis ir atbalstīt valsts iniciatīvas energoefektivitātes jomā.</w:t>
      </w:r>
      <w:r>
        <w:rPr>
          <w:rFonts w:ascii="Times New Roman" w:hAnsi="Times New Roman" w:cs="Times New Roman"/>
          <w:sz w:val="28"/>
          <w:szCs w:val="28"/>
        </w:rPr>
        <w:t xml:space="preserve"> </w:t>
      </w:r>
      <w:r w:rsidR="00834898">
        <w:rPr>
          <w:rFonts w:ascii="Times New Roman" w:hAnsi="Times New Roman" w:cs="Times New Roman"/>
          <w:sz w:val="28"/>
          <w:szCs w:val="28"/>
        </w:rPr>
        <w:t>VEEF finanšu pamatu veido 2014.</w:t>
      </w:r>
      <w:r w:rsidR="00BC6D46">
        <w:rPr>
          <w:rFonts w:ascii="Times New Roman" w:hAnsi="Times New Roman" w:cs="Times New Roman"/>
          <w:sz w:val="28"/>
          <w:szCs w:val="28"/>
        </w:rPr>
        <w:t> </w:t>
      </w:r>
      <w:r w:rsidR="00834898">
        <w:rPr>
          <w:rFonts w:ascii="Times New Roman" w:hAnsi="Times New Roman" w:cs="Times New Roman"/>
          <w:sz w:val="28"/>
          <w:szCs w:val="28"/>
        </w:rPr>
        <w:t>-</w:t>
      </w:r>
      <w:r w:rsidR="00BC6D46">
        <w:rPr>
          <w:rFonts w:ascii="Times New Roman" w:hAnsi="Times New Roman" w:cs="Times New Roman"/>
          <w:sz w:val="28"/>
          <w:szCs w:val="28"/>
        </w:rPr>
        <w:t> </w:t>
      </w:r>
      <w:r w:rsidR="00834898">
        <w:rPr>
          <w:rFonts w:ascii="Times New Roman" w:hAnsi="Times New Roman" w:cs="Times New Roman"/>
          <w:sz w:val="28"/>
          <w:szCs w:val="28"/>
        </w:rPr>
        <w:t>202</w:t>
      </w:r>
      <w:r w:rsidR="00BC6D46">
        <w:rPr>
          <w:rFonts w:ascii="Times New Roman" w:hAnsi="Times New Roman" w:cs="Times New Roman"/>
          <w:sz w:val="28"/>
          <w:szCs w:val="28"/>
        </w:rPr>
        <w:t>0</w:t>
      </w:r>
      <w:r w:rsidR="00834898">
        <w:rPr>
          <w:rFonts w:ascii="Times New Roman" w:hAnsi="Times New Roman" w:cs="Times New Roman"/>
          <w:sz w:val="28"/>
          <w:szCs w:val="28"/>
        </w:rPr>
        <w:t>. ES fondu plānošanas periodā energoefektivitātei paredzētie ES fondu līdzekļi.</w:t>
      </w:r>
      <w:r w:rsidR="00A52A8C">
        <w:rPr>
          <w:rFonts w:ascii="Times New Roman" w:hAnsi="Times New Roman" w:cs="Times New Roman"/>
          <w:sz w:val="28"/>
          <w:szCs w:val="28"/>
        </w:rPr>
        <w:t xml:space="preserve"> VEEF piešķir finansējumu gan aizdevumu, gan grantu veidā.</w:t>
      </w:r>
      <w:r w:rsidR="00834898">
        <w:rPr>
          <w:rFonts w:ascii="Times New Roman" w:hAnsi="Times New Roman" w:cs="Times New Roman"/>
          <w:sz w:val="28"/>
          <w:szCs w:val="28"/>
        </w:rPr>
        <w:t xml:space="preserve"> </w:t>
      </w:r>
      <w:r>
        <w:rPr>
          <w:rFonts w:ascii="Times New Roman" w:hAnsi="Times New Roman" w:cs="Times New Roman"/>
          <w:sz w:val="28"/>
          <w:szCs w:val="28"/>
        </w:rPr>
        <w:t xml:space="preserve">VEEF jānodrošina tās funkcijas, kas nepieciešamas Direktīvas </w:t>
      </w:r>
      <w:r w:rsidR="00894824" w:rsidRPr="00894824">
        <w:rPr>
          <w:rFonts w:ascii="Times New Roman" w:hAnsi="Times New Roman" w:cs="Times New Roman"/>
          <w:sz w:val="28"/>
          <w:szCs w:val="28"/>
        </w:rPr>
        <w:t>2012/27/ES</w:t>
      </w:r>
      <w:r w:rsidR="00894824">
        <w:rPr>
          <w:rFonts w:ascii="Times New Roman" w:hAnsi="Times New Roman" w:cs="Times New Roman"/>
          <w:sz w:val="28"/>
          <w:szCs w:val="28"/>
        </w:rPr>
        <w:t xml:space="preserve"> prasību izpildei</w:t>
      </w:r>
      <w:r>
        <w:rPr>
          <w:rFonts w:ascii="Times New Roman" w:hAnsi="Times New Roman" w:cs="Times New Roman"/>
          <w:sz w:val="28"/>
          <w:szCs w:val="28"/>
        </w:rPr>
        <w:t>:</w:t>
      </w:r>
    </w:p>
    <w:p w:rsidR="00A41288" w:rsidRDefault="00A41288" w:rsidP="00B479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2334DB">
        <w:rPr>
          <w:rFonts w:ascii="Times New Roman" w:hAnsi="Times New Roman" w:cs="Times New Roman"/>
          <w:sz w:val="28"/>
          <w:szCs w:val="28"/>
        </w:rPr>
        <w:t xml:space="preserve"> </w:t>
      </w:r>
      <w:r w:rsidR="009C5D89">
        <w:rPr>
          <w:rFonts w:ascii="Times New Roman" w:hAnsi="Times New Roman" w:cs="Times New Roman"/>
          <w:sz w:val="28"/>
          <w:szCs w:val="28"/>
        </w:rPr>
        <w:t>valsts ēku 3</w:t>
      </w:r>
      <w:r w:rsidR="00BD5168">
        <w:rPr>
          <w:rFonts w:ascii="Times New Roman" w:hAnsi="Times New Roman" w:cs="Times New Roman"/>
          <w:sz w:val="28"/>
          <w:szCs w:val="28"/>
        </w:rPr>
        <w:t> </w:t>
      </w:r>
      <w:r w:rsidR="009C5D89">
        <w:rPr>
          <w:rFonts w:ascii="Times New Roman" w:hAnsi="Times New Roman" w:cs="Times New Roman"/>
          <w:sz w:val="28"/>
          <w:szCs w:val="28"/>
        </w:rPr>
        <w:t xml:space="preserve">% mērķa izpildes finansēšana </w:t>
      </w:r>
      <w:r>
        <w:rPr>
          <w:rFonts w:ascii="Times New Roman" w:hAnsi="Times New Roman" w:cs="Times New Roman"/>
          <w:sz w:val="28"/>
          <w:szCs w:val="28"/>
        </w:rPr>
        <w:t xml:space="preserve">vai alternatīvās pieejas gadījumā – valsts iemaksu akumulēšana un izmantošana tādiem pasākumiem, kas nodrošina līdzvērtīgu enerģijas ietaupījumu </w:t>
      </w:r>
      <w:r w:rsidRPr="00A41288">
        <w:rPr>
          <w:rFonts w:ascii="Times New Roman" w:hAnsi="Times New Roman" w:cs="Times New Roman"/>
          <w:sz w:val="28"/>
          <w:szCs w:val="28"/>
        </w:rPr>
        <w:t xml:space="preserve">50 885 </w:t>
      </w:r>
      <w:proofErr w:type="spellStart"/>
      <w:r w:rsidRPr="00A41288">
        <w:rPr>
          <w:rFonts w:ascii="Times New Roman" w:hAnsi="Times New Roman" w:cs="Times New Roman"/>
          <w:sz w:val="28"/>
          <w:szCs w:val="28"/>
        </w:rPr>
        <w:t>MWh</w:t>
      </w:r>
      <w:proofErr w:type="spellEnd"/>
      <w:r>
        <w:rPr>
          <w:rFonts w:ascii="Times New Roman" w:hAnsi="Times New Roman" w:cs="Times New Roman"/>
          <w:sz w:val="28"/>
          <w:szCs w:val="28"/>
        </w:rPr>
        <w:t xml:space="preserve"> apjomā;</w:t>
      </w:r>
    </w:p>
    <w:p w:rsidR="000C0CD1" w:rsidRDefault="000C0CD1" w:rsidP="00B479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mājokļu, pašvaldību, </w:t>
      </w:r>
      <w:proofErr w:type="spellStart"/>
      <w:r>
        <w:rPr>
          <w:rFonts w:ascii="Times New Roman" w:hAnsi="Times New Roman" w:cs="Times New Roman"/>
          <w:sz w:val="28"/>
          <w:szCs w:val="28"/>
        </w:rPr>
        <w:t>komercplatību</w:t>
      </w:r>
      <w:proofErr w:type="spellEnd"/>
      <w:r>
        <w:rPr>
          <w:rFonts w:ascii="Times New Roman" w:hAnsi="Times New Roman" w:cs="Times New Roman"/>
          <w:sz w:val="28"/>
          <w:szCs w:val="28"/>
        </w:rPr>
        <w:t xml:space="preserve"> ēku energoefektivitātes pasākumu finansēšana;</w:t>
      </w:r>
    </w:p>
    <w:p w:rsidR="002334DB" w:rsidRDefault="000C0CD1" w:rsidP="00B479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41288">
        <w:rPr>
          <w:rFonts w:ascii="Times New Roman" w:hAnsi="Times New Roman" w:cs="Times New Roman"/>
          <w:sz w:val="28"/>
          <w:szCs w:val="28"/>
        </w:rPr>
        <w:t xml:space="preserve">) </w:t>
      </w:r>
      <w:r w:rsidR="009C5D89">
        <w:rPr>
          <w:rFonts w:ascii="Times New Roman" w:hAnsi="Times New Roman" w:cs="Times New Roman"/>
          <w:sz w:val="28"/>
          <w:szCs w:val="28"/>
        </w:rPr>
        <w:t>energoefektivitātes shēmas atbildīgo pušu iemaksāto līdzekļu izmantošana tiem noteikto pienākumu izpildei</w:t>
      </w:r>
      <w:r w:rsidR="002334DB">
        <w:rPr>
          <w:rFonts w:ascii="Times New Roman" w:hAnsi="Times New Roman" w:cs="Times New Roman"/>
          <w:sz w:val="28"/>
          <w:szCs w:val="28"/>
        </w:rPr>
        <w:t>;</w:t>
      </w:r>
    </w:p>
    <w:p w:rsidR="002334DB" w:rsidRDefault="000C0CD1" w:rsidP="00B479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334DB">
        <w:rPr>
          <w:rFonts w:ascii="Times New Roman" w:hAnsi="Times New Roman" w:cs="Times New Roman"/>
          <w:sz w:val="28"/>
          <w:szCs w:val="28"/>
        </w:rPr>
        <w:t>) visa veida energoefektivitātes pasākumu veicināšana, kas nepieciešama indikatīvā valsts energoefektivitātes mērķa sasniegšanai</w:t>
      </w:r>
      <w:r>
        <w:rPr>
          <w:rFonts w:ascii="Times New Roman" w:hAnsi="Times New Roman" w:cs="Times New Roman"/>
          <w:sz w:val="28"/>
          <w:szCs w:val="28"/>
        </w:rPr>
        <w:t>, tai skaitā enerģijas ražošanā, pārvadē un sadalē</w:t>
      </w:r>
      <w:r w:rsidR="002334DB">
        <w:rPr>
          <w:rFonts w:ascii="Times New Roman" w:hAnsi="Times New Roman" w:cs="Times New Roman"/>
          <w:sz w:val="28"/>
          <w:szCs w:val="28"/>
        </w:rPr>
        <w:t>;</w:t>
      </w:r>
    </w:p>
    <w:p w:rsidR="0062646A" w:rsidRDefault="000C0CD1" w:rsidP="00B479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2334DB">
        <w:rPr>
          <w:rFonts w:ascii="Times New Roman" w:hAnsi="Times New Roman" w:cs="Times New Roman"/>
          <w:sz w:val="28"/>
          <w:szCs w:val="28"/>
        </w:rPr>
        <w:t>) informatīvu un izglītojošu kampaņu finansēšana</w:t>
      </w:r>
      <w:r w:rsidR="0062646A">
        <w:rPr>
          <w:rFonts w:ascii="Times New Roman" w:hAnsi="Times New Roman" w:cs="Times New Roman"/>
          <w:sz w:val="28"/>
          <w:szCs w:val="28"/>
        </w:rPr>
        <w:t>;</w:t>
      </w:r>
    </w:p>
    <w:p w:rsidR="002334DB" w:rsidRDefault="0062646A" w:rsidP="00B479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energopakalpojumu attīstības veicināšana.</w:t>
      </w:r>
    </w:p>
    <w:p w:rsidR="00834898" w:rsidRDefault="00894824" w:rsidP="00B479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C167B">
        <w:rPr>
          <w:rFonts w:ascii="Times New Roman" w:hAnsi="Times New Roman" w:cs="Times New Roman"/>
          <w:sz w:val="28"/>
          <w:szCs w:val="28"/>
        </w:rPr>
        <w:t xml:space="preserve">Latvijā pašlaik esošās finanšu institūcijas neveic funkcijas, kas nepieciešamas </w:t>
      </w:r>
      <w:r w:rsidR="000C167B" w:rsidRPr="000C167B">
        <w:rPr>
          <w:rFonts w:ascii="Times New Roman" w:hAnsi="Times New Roman" w:cs="Times New Roman"/>
          <w:sz w:val="28"/>
          <w:szCs w:val="28"/>
        </w:rPr>
        <w:t>Direktīvas 2012/27/ES prasību izpildei</w:t>
      </w:r>
      <w:r w:rsidR="00FD299D">
        <w:rPr>
          <w:rFonts w:ascii="Times New Roman" w:hAnsi="Times New Roman" w:cs="Times New Roman"/>
          <w:sz w:val="28"/>
          <w:szCs w:val="28"/>
        </w:rPr>
        <w:t>.</w:t>
      </w:r>
      <w:r w:rsidR="000C167B">
        <w:rPr>
          <w:rFonts w:ascii="Times New Roman" w:hAnsi="Times New Roman" w:cs="Times New Roman"/>
          <w:sz w:val="28"/>
          <w:szCs w:val="28"/>
        </w:rPr>
        <w:t xml:space="preserve"> </w:t>
      </w:r>
      <w:r w:rsidR="00971FE1">
        <w:rPr>
          <w:rFonts w:ascii="Times New Roman" w:hAnsi="Times New Roman" w:cs="Times New Roman"/>
          <w:sz w:val="28"/>
          <w:szCs w:val="28"/>
        </w:rPr>
        <w:t>Fondam būtu jāsekmē</w:t>
      </w:r>
      <w:r w:rsidR="00A41288" w:rsidRPr="00A41288">
        <w:rPr>
          <w:rFonts w:ascii="Times New Roman" w:hAnsi="Times New Roman" w:cs="Times New Roman"/>
          <w:sz w:val="28"/>
          <w:szCs w:val="28"/>
        </w:rPr>
        <w:t xml:space="preserve"> jaunveidojamu vai spēkā esošu mehānismu izmantošana energoefektivitātes uzlabošanas pasākumiem, lai pēc iespējas palielinātu dažādu finansējumu plūsmu sniegtos ieguvumus. </w:t>
      </w:r>
      <w:r w:rsidR="00D536E1" w:rsidRPr="003E017C">
        <w:rPr>
          <w:rFonts w:ascii="Times New Roman" w:hAnsi="Times New Roman" w:cs="Times New Roman"/>
          <w:sz w:val="28"/>
          <w:szCs w:val="28"/>
        </w:rPr>
        <w:t xml:space="preserve">Jāņem vērā, ka </w:t>
      </w:r>
      <w:r w:rsidR="00EB5B68">
        <w:rPr>
          <w:rFonts w:ascii="Times New Roman" w:hAnsi="Times New Roman" w:cs="Times New Roman"/>
          <w:sz w:val="28"/>
          <w:szCs w:val="28"/>
        </w:rPr>
        <w:t>ES</w:t>
      </w:r>
      <w:r w:rsidR="00D536E1" w:rsidRPr="003E017C">
        <w:rPr>
          <w:rFonts w:ascii="Times New Roman" w:hAnsi="Times New Roman" w:cs="Times New Roman"/>
          <w:sz w:val="28"/>
          <w:szCs w:val="28"/>
        </w:rPr>
        <w:t xml:space="preserve"> struktūrfondu un </w:t>
      </w:r>
      <w:r w:rsidR="002A3A7F">
        <w:rPr>
          <w:rFonts w:ascii="Times New Roman" w:hAnsi="Times New Roman" w:cs="Times New Roman"/>
          <w:sz w:val="28"/>
          <w:szCs w:val="28"/>
        </w:rPr>
        <w:t>KF</w:t>
      </w:r>
      <w:r w:rsidR="00D536E1" w:rsidRPr="003E017C">
        <w:rPr>
          <w:rFonts w:ascii="Times New Roman" w:hAnsi="Times New Roman" w:cs="Times New Roman"/>
          <w:sz w:val="28"/>
          <w:szCs w:val="28"/>
        </w:rPr>
        <w:t xml:space="preserve"> 2014. – 2020. gada plānošanas perioda finansējums ir indikatīvs.</w:t>
      </w:r>
    </w:p>
    <w:p w:rsidR="00834898" w:rsidRPr="00834898" w:rsidRDefault="00834898" w:rsidP="00B479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834898">
        <w:rPr>
          <w:rFonts w:ascii="Times New Roman" w:hAnsi="Times New Roman" w:cs="Times New Roman"/>
          <w:b/>
          <w:sz w:val="28"/>
          <w:szCs w:val="28"/>
        </w:rPr>
        <w:t>.</w:t>
      </w:r>
      <w:r w:rsidR="00BC6D46">
        <w:rPr>
          <w:rFonts w:ascii="Times New Roman" w:hAnsi="Times New Roman" w:cs="Times New Roman"/>
          <w:b/>
          <w:sz w:val="28"/>
          <w:szCs w:val="28"/>
        </w:rPr>
        <w:t> </w:t>
      </w:r>
      <w:r w:rsidRPr="00834898">
        <w:rPr>
          <w:rFonts w:ascii="Times New Roman" w:hAnsi="Times New Roman" w:cs="Times New Roman"/>
          <w:b/>
          <w:sz w:val="28"/>
          <w:szCs w:val="28"/>
        </w:rPr>
        <w:t xml:space="preserve">variants – </w:t>
      </w:r>
      <w:r>
        <w:rPr>
          <w:rFonts w:ascii="Times New Roman" w:hAnsi="Times New Roman" w:cs="Times New Roman"/>
          <w:b/>
          <w:sz w:val="28"/>
          <w:szCs w:val="28"/>
        </w:rPr>
        <w:t>neveidot v</w:t>
      </w:r>
      <w:r w:rsidRPr="00834898">
        <w:rPr>
          <w:rFonts w:ascii="Times New Roman" w:hAnsi="Times New Roman" w:cs="Times New Roman"/>
          <w:b/>
          <w:sz w:val="28"/>
          <w:szCs w:val="28"/>
        </w:rPr>
        <w:t>alsts energoefektivitātes fond</w:t>
      </w:r>
      <w:r>
        <w:rPr>
          <w:rFonts w:ascii="Times New Roman" w:hAnsi="Times New Roman" w:cs="Times New Roman"/>
          <w:b/>
          <w:sz w:val="28"/>
          <w:szCs w:val="28"/>
        </w:rPr>
        <w:t>u</w:t>
      </w:r>
    </w:p>
    <w:p w:rsidR="00834898" w:rsidRPr="00834898" w:rsidRDefault="00834898" w:rsidP="00CF3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Šajā variantā </w:t>
      </w:r>
      <w:r w:rsidR="00A41288" w:rsidRPr="00A41288">
        <w:rPr>
          <w:rFonts w:ascii="Times New Roman" w:hAnsi="Times New Roman" w:cs="Times New Roman"/>
          <w:sz w:val="28"/>
          <w:szCs w:val="28"/>
        </w:rPr>
        <w:t xml:space="preserve"> </w:t>
      </w:r>
      <w:r w:rsidRPr="00834898">
        <w:rPr>
          <w:rFonts w:ascii="Times New Roman" w:hAnsi="Times New Roman" w:cs="Times New Roman"/>
          <w:sz w:val="28"/>
          <w:szCs w:val="28"/>
        </w:rPr>
        <w:t>Direktīvas 2012/27/ES prasīb</w:t>
      </w:r>
      <w:r>
        <w:rPr>
          <w:rFonts w:ascii="Times New Roman" w:hAnsi="Times New Roman" w:cs="Times New Roman"/>
          <w:sz w:val="28"/>
          <w:szCs w:val="28"/>
        </w:rPr>
        <w:t xml:space="preserve">as </w:t>
      </w:r>
      <w:r w:rsidRPr="00834898">
        <w:rPr>
          <w:rFonts w:ascii="Times New Roman" w:hAnsi="Times New Roman" w:cs="Times New Roman"/>
          <w:sz w:val="28"/>
          <w:szCs w:val="28"/>
        </w:rPr>
        <w:t>izpild</w:t>
      </w:r>
      <w:r>
        <w:rPr>
          <w:rFonts w:ascii="Times New Roman" w:hAnsi="Times New Roman" w:cs="Times New Roman"/>
          <w:sz w:val="28"/>
          <w:szCs w:val="28"/>
        </w:rPr>
        <w:t xml:space="preserve">āmas ar esošajiem finanšu instrumentiem un institūcijām, kuru kompetence būtu jāpapildina, lai nodrošinātu visas funkcijas, </w:t>
      </w:r>
      <w:r w:rsidR="00E2120D">
        <w:rPr>
          <w:rFonts w:ascii="Times New Roman" w:hAnsi="Times New Roman" w:cs="Times New Roman"/>
          <w:sz w:val="28"/>
          <w:szCs w:val="28"/>
        </w:rPr>
        <w:t>kas</w:t>
      </w:r>
      <w:r>
        <w:rPr>
          <w:rFonts w:ascii="Times New Roman" w:hAnsi="Times New Roman" w:cs="Times New Roman"/>
          <w:sz w:val="28"/>
          <w:szCs w:val="28"/>
        </w:rPr>
        <w:t xml:space="preserve"> minētas 1.</w:t>
      </w:r>
      <w:r w:rsidR="003019F8">
        <w:rPr>
          <w:rFonts w:ascii="Times New Roman" w:hAnsi="Times New Roman" w:cs="Times New Roman"/>
          <w:sz w:val="28"/>
          <w:szCs w:val="28"/>
        </w:rPr>
        <w:t> </w:t>
      </w:r>
      <w:r>
        <w:rPr>
          <w:rFonts w:ascii="Times New Roman" w:hAnsi="Times New Roman" w:cs="Times New Roman"/>
          <w:sz w:val="28"/>
          <w:szCs w:val="28"/>
        </w:rPr>
        <w:t>variantā.</w:t>
      </w:r>
    </w:p>
    <w:p w:rsidR="00A41288" w:rsidRDefault="0062646A" w:rsidP="00CF37C3">
      <w:pPr>
        <w:spacing w:after="0" w:line="240" w:lineRule="auto"/>
        <w:ind w:firstLine="720"/>
        <w:jc w:val="both"/>
        <w:rPr>
          <w:rFonts w:ascii="Times New Roman" w:hAnsi="Times New Roman" w:cs="Times New Roman"/>
          <w:b/>
          <w:sz w:val="28"/>
          <w:szCs w:val="28"/>
        </w:rPr>
      </w:pPr>
      <w:r w:rsidRPr="0062646A">
        <w:rPr>
          <w:rFonts w:ascii="Times New Roman" w:hAnsi="Times New Roman" w:cs="Times New Roman"/>
          <w:b/>
          <w:sz w:val="28"/>
          <w:szCs w:val="28"/>
        </w:rPr>
        <w:t>Ņemot vērā nepieciešamību labāk koordinēt ieguldījumus energoefektivitātē, priekšroka do</w:t>
      </w:r>
      <w:r w:rsidR="00437142">
        <w:rPr>
          <w:rFonts w:ascii="Times New Roman" w:hAnsi="Times New Roman" w:cs="Times New Roman"/>
          <w:b/>
          <w:sz w:val="28"/>
          <w:szCs w:val="28"/>
        </w:rPr>
        <w:t>dama 1.</w:t>
      </w:r>
      <w:r w:rsidR="00BC6D46">
        <w:rPr>
          <w:rFonts w:ascii="Times New Roman" w:hAnsi="Times New Roman" w:cs="Times New Roman"/>
          <w:b/>
          <w:sz w:val="28"/>
          <w:szCs w:val="28"/>
        </w:rPr>
        <w:t> </w:t>
      </w:r>
      <w:r w:rsidR="00437142">
        <w:rPr>
          <w:rFonts w:ascii="Times New Roman" w:hAnsi="Times New Roman" w:cs="Times New Roman"/>
          <w:b/>
          <w:sz w:val="28"/>
          <w:szCs w:val="28"/>
        </w:rPr>
        <w:t>variantam – VEEF izveidei</w:t>
      </w:r>
      <w:r w:rsidRPr="0062646A">
        <w:rPr>
          <w:rFonts w:ascii="Times New Roman" w:hAnsi="Times New Roman" w:cs="Times New Roman"/>
          <w:b/>
          <w:sz w:val="28"/>
          <w:szCs w:val="28"/>
        </w:rPr>
        <w:t>.</w:t>
      </w:r>
    </w:p>
    <w:p w:rsidR="00CF37C3" w:rsidRPr="00CF37C3" w:rsidRDefault="006B4976" w:rsidP="00CF37C3">
      <w:pPr>
        <w:spacing w:after="0" w:line="240" w:lineRule="auto"/>
        <w:jc w:val="both"/>
        <w:rPr>
          <w:rFonts w:ascii="Times New Roman" w:hAnsi="Times New Roman"/>
          <w:sz w:val="28"/>
          <w:szCs w:val="28"/>
        </w:rPr>
      </w:pPr>
      <w:r>
        <w:rPr>
          <w:rFonts w:ascii="Times New Roman" w:hAnsi="Times New Roman"/>
          <w:sz w:val="28"/>
          <w:szCs w:val="28"/>
        </w:rPr>
        <w:tab/>
      </w:r>
      <w:r w:rsidRPr="006B4976">
        <w:rPr>
          <w:rFonts w:ascii="Times New Roman" w:hAnsi="Times New Roman"/>
          <w:sz w:val="28"/>
          <w:szCs w:val="28"/>
        </w:rPr>
        <w:t>Jāveido rotācijas fonds – kā finanšu instruments ilgtspējīgu finanšu investīciju projektu īstenošanai, nodrošinot projektu finansēšanai aizdevumus ar procentu likmēm līdz 3</w:t>
      </w:r>
      <w:r w:rsidR="003019F8">
        <w:rPr>
          <w:rFonts w:ascii="Times New Roman" w:hAnsi="Times New Roman"/>
          <w:sz w:val="28"/>
          <w:szCs w:val="28"/>
        </w:rPr>
        <w:t> </w:t>
      </w:r>
      <w:r w:rsidRPr="006B4976">
        <w:rPr>
          <w:rFonts w:ascii="Times New Roman" w:hAnsi="Times New Roman"/>
          <w:sz w:val="28"/>
          <w:szCs w:val="28"/>
        </w:rPr>
        <w:t>% gadā un kombinējot ar citiem atbalsta instrumentiem, kas tiek piešķirti atkarībā no sasniegtā enerģijas ietaupījuma konkrētajā projektā, pēc tā pabeigšanas. Ņemot vērā ES fondu 2007.</w:t>
      </w:r>
      <w:r w:rsidR="003019F8">
        <w:rPr>
          <w:rFonts w:ascii="Times New Roman" w:hAnsi="Times New Roman"/>
          <w:sz w:val="28"/>
          <w:szCs w:val="28"/>
        </w:rPr>
        <w:t> </w:t>
      </w:r>
      <w:r w:rsidRPr="006B4976">
        <w:rPr>
          <w:rFonts w:ascii="Times New Roman" w:hAnsi="Times New Roman"/>
          <w:sz w:val="28"/>
          <w:szCs w:val="28"/>
        </w:rPr>
        <w:t>-</w:t>
      </w:r>
      <w:r w:rsidR="003019F8">
        <w:rPr>
          <w:rFonts w:ascii="Times New Roman" w:hAnsi="Times New Roman"/>
          <w:sz w:val="28"/>
          <w:szCs w:val="28"/>
        </w:rPr>
        <w:t> </w:t>
      </w:r>
      <w:r w:rsidRPr="006B4976">
        <w:rPr>
          <w:rFonts w:ascii="Times New Roman" w:hAnsi="Times New Roman"/>
          <w:sz w:val="28"/>
          <w:szCs w:val="28"/>
        </w:rPr>
        <w:t>2013.</w:t>
      </w:r>
      <w:r w:rsidR="003019F8">
        <w:rPr>
          <w:rFonts w:ascii="Times New Roman" w:hAnsi="Times New Roman"/>
          <w:sz w:val="28"/>
          <w:szCs w:val="28"/>
        </w:rPr>
        <w:t> </w:t>
      </w:r>
      <w:r w:rsidRPr="006B4976">
        <w:rPr>
          <w:rFonts w:ascii="Times New Roman" w:hAnsi="Times New Roman"/>
          <w:sz w:val="28"/>
          <w:szCs w:val="28"/>
        </w:rPr>
        <w:t xml:space="preserve">gada plānošanas pieredzi </w:t>
      </w:r>
      <w:proofErr w:type="spellStart"/>
      <w:r w:rsidRPr="006B4976">
        <w:rPr>
          <w:rFonts w:ascii="Times New Roman" w:hAnsi="Times New Roman"/>
          <w:sz w:val="28"/>
          <w:szCs w:val="28"/>
        </w:rPr>
        <w:t>t.sk</w:t>
      </w:r>
      <w:proofErr w:type="spellEnd"/>
      <w:r w:rsidRPr="006B4976">
        <w:rPr>
          <w:rFonts w:ascii="Times New Roman" w:hAnsi="Times New Roman"/>
          <w:sz w:val="28"/>
          <w:szCs w:val="28"/>
        </w:rPr>
        <w:t xml:space="preserve">. problēmas finansējuma pieejamībā no komercbankām, nākamajā plānošanas periodā ir būtiski nodrošināt tādu finansēšanas mehānismu, ka </w:t>
      </w:r>
      <w:r w:rsidRPr="006B4976">
        <w:rPr>
          <w:rFonts w:ascii="Times New Roman" w:hAnsi="Times New Roman"/>
          <w:sz w:val="28"/>
          <w:szCs w:val="28"/>
        </w:rPr>
        <w:lastRenderedPageBreak/>
        <w:t>projektam, kas atbildīs ES fondu aktivitātes nosacījumiem, nepieciešamais finansējums tiek nodrošināts.</w:t>
      </w:r>
      <w:r w:rsidR="007B5FBB" w:rsidRPr="007B5FBB">
        <w:rPr>
          <w:rFonts w:ascii="Times New Roman" w:hAnsi="Times New Roman"/>
          <w:sz w:val="28"/>
          <w:szCs w:val="28"/>
        </w:rPr>
        <w:t xml:space="preserve"> </w:t>
      </w:r>
      <w:r w:rsidR="00CF37C3" w:rsidRPr="00CF37C3">
        <w:rPr>
          <w:rFonts w:ascii="Times New Roman" w:hAnsi="Times New Roman"/>
          <w:sz w:val="28"/>
          <w:szCs w:val="28"/>
        </w:rPr>
        <w:t>Jauns, koordinēts finansēšanas risinājums sabiedrisko ēku un dzīvojamā fonda energoefektivitātes palielināšanai</w:t>
      </w:r>
      <w:r w:rsidR="005E5DD6">
        <w:rPr>
          <w:rFonts w:ascii="Times New Roman" w:hAnsi="Times New Roman"/>
          <w:sz w:val="28"/>
          <w:szCs w:val="28"/>
        </w:rPr>
        <w:t xml:space="preserve"> </w:t>
      </w:r>
      <w:r w:rsidR="00CF37C3" w:rsidRPr="00CF37C3">
        <w:rPr>
          <w:rFonts w:ascii="Times New Roman" w:hAnsi="Times New Roman"/>
          <w:sz w:val="28"/>
          <w:szCs w:val="28"/>
        </w:rPr>
        <w:t>ir apskatīts Ekonomikas ministrijas sagatavotajā politikas plānošanas dokumentā „Informatīvais ziņojums Latvijas Enerģētikas ilgtermiņa stratēģija 2030 – konkurētspējīga enerģētika sabiedrībai”. Minētais risinājums būtu attiecināms uz šeit piedāvāto 1.</w:t>
      </w:r>
      <w:r w:rsidR="00CF37C3">
        <w:rPr>
          <w:rFonts w:ascii="Times New Roman" w:hAnsi="Times New Roman"/>
          <w:sz w:val="28"/>
          <w:szCs w:val="28"/>
        </w:rPr>
        <w:t> </w:t>
      </w:r>
      <w:r w:rsidR="00CF37C3" w:rsidRPr="00CF37C3">
        <w:rPr>
          <w:rFonts w:ascii="Times New Roman" w:hAnsi="Times New Roman"/>
          <w:sz w:val="28"/>
          <w:szCs w:val="28"/>
        </w:rPr>
        <w:t>variantu.</w:t>
      </w:r>
    </w:p>
    <w:p w:rsidR="006B4976" w:rsidRDefault="006B4976" w:rsidP="00CF37C3">
      <w:pPr>
        <w:spacing w:after="0" w:line="240" w:lineRule="auto"/>
        <w:ind w:firstLine="720"/>
        <w:jc w:val="both"/>
        <w:rPr>
          <w:rFonts w:ascii="Times New Roman" w:hAnsi="Times New Roman" w:cs="Times New Roman"/>
          <w:sz w:val="28"/>
          <w:szCs w:val="28"/>
        </w:rPr>
      </w:pPr>
      <w:r w:rsidRPr="006B4976">
        <w:rPr>
          <w:rFonts w:ascii="Times New Roman" w:hAnsi="Times New Roman" w:cs="Times New Roman"/>
          <w:sz w:val="28"/>
          <w:szCs w:val="28"/>
        </w:rPr>
        <w:t>Fonda darbības institucionālais modelis un nosacījumi tiks sagatavoti Energoefektivitātes likuma ietvaros.</w:t>
      </w:r>
    </w:p>
    <w:p w:rsidR="006A3C3F" w:rsidRPr="006B4976" w:rsidRDefault="006A3C3F" w:rsidP="00B479A5">
      <w:pPr>
        <w:spacing w:after="0" w:line="240" w:lineRule="auto"/>
        <w:ind w:firstLine="720"/>
        <w:jc w:val="both"/>
        <w:rPr>
          <w:rFonts w:ascii="Times New Roman" w:hAnsi="Times New Roman" w:cs="Times New Roman"/>
          <w:sz w:val="28"/>
          <w:szCs w:val="28"/>
        </w:rPr>
      </w:pPr>
    </w:p>
    <w:p w:rsidR="00C218A5" w:rsidRPr="00C218A5" w:rsidRDefault="00C218A5" w:rsidP="00B479A5">
      <w:pPr>
        <w:pStyle w:val="Heading1"/>
        <w:numPr>
          <w:ilvl w:val="0"/>
          <w:numId w:val="3"/>
        </w:numPr>
        <w:spacing w:before="0" w:line="240" w:lineRule="auto"/>
        <w:ind w:left="0" w:hanging="391"/>
        <w:jc w:val="center"/>
        <w:rPr>
          <w:rFonts w:ascii="Times New Roman" w:hAnsi="Times New Roman" w:cs="Times New Roman"/>
          <w:color w:val="auto"/>
        </w:rPr>
      </w:pPr>
      <w:bookmarkStart w:id="17" w:name="_Toc353892627"/>
      <w:bookmarkStart w:id="18" w:name="_Toc372269918"/>
      <w:r w:rsidRPr="00C218A5">
        <w:rPr>
          <w:rFonts w:ascii="Times New Roman" w:hAnsi="Times New Roman" w:cs="Times New Roman"/>
          <w:color w:val="auto"/>
        </w:rPr>
        <w:t>Risinājuma variantu ietekme uz valsts un pašvaldību budžetiem</w:t>
      </w:r>
      <w:bookmarkEnd w:id="17"/>
      <w:bookmarkEnd w:id="18"/>
    </w:p>
    <w:p w:rsidR="00FF346B" w:rsidRPr="00670E4A" w:rsidRDefault="00C218A5" w:rsidP="00B479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w:t>
      </w:r>
      <w:r w:rsidR="0059736E" w:rsidRPr="00670E4A">
        <w:rPr>
          <w:rFonts w:ascii="Times New Roman" w:hAnsi="Times New Roman" w:cs="Times New Roman"/>
          <w:sz w:val="28"/>
          <w:szCs w:val="28"/>
        </w:rPr>
        <w:t>oncepcijā ņemti vērā tie pasākumi valsts un pašvaldību sektorā, kuriem finansējums jau paredzēts NAP2020. Tādējādi koncepcij</w:t>
      </w:r>
      <w:r>
        <w:rPr>
          <w:rFonts w:ascii="Times New Roman" w:hAnsi="Times New Roman" w:cs="Times New Roman"/>
          <w:sz w:val="28"/>
          <w:szCs w:val="28"/>
        </w:rPr>
        <w:t>a</w:t>
      </w:r>
      <w:r w:rsidR="0059736E" w:rsidRPr="00670E4A">
        <w:rPr>
          <w:rFonts w:ascii="Times New Roman" w:hAnsi="Times New Roman" w:cs="Times New Roman"/>
          <w:sz w:val="28"/>
          <w:szCs w:val="28"/>
        </w:rPr>
        <w:t xml:space="preserve"> neparedz papildus finansējuma pieprasījumu pasākumiem salīdzinājumā ar  NAP2020 ieplānoto.</w:t>
      </w:r>
    </w:p>
    <w:p w:rsidR="0059736E" w:rsidRDefault="0059736E" w:rsidP="00B479A5">
      <w:pPr>
        <w:spacing w:after="0" w:line="240" w:lineRule="auto"/>
        <w:ind w:firstLine="709"/>
        <w:jc w:val="both"/>
        <w:rPr>
          <w:rFonts w:ascii="Times New Roman" w:hAnsi="Times New Roman" w:cs="Times New Roman"/>
          <w:sz w:val="28"/>
          <w:szCs w:val="28"/>
        </w:rPr>
      </w:pPr>
      <w:r w:rsidRPr="00670E4A">
        <w:rPr>
          <w:rFonts w:ascii="Times New Roman" w:hAnsi="Times New Roman" w:cs="Times New Roman"/>
          <w:sz w:val="28"/>
          <w:szCs w:val="28"/>
        </w:rPr>
        <w:t>Vienlaikus jānorāda, ka</w:t>
      </w:r>
      <w:r w:rsidR="005E5DD6">
        <w:rPr>
          <w:rFonts w:ascii="Times New Roman" w:hAnsi="Times New Roman" w:cs="Times New Roman"/>
          <w:sz w:val="28"/>
          <w:szCs w:val="28"/>
        </w:rPr>
        <w:t>,</w:t>
      </w:r>
      <w:r w:rsidR="00D73B47" w:rsidRPr="00670E4A">
        <w:rPr>
          <w:rFonts w:ascii="Times New Roman" w:hAnsi="Times New Roman" w:cs="Times New Roman"/>
          <w:sz w:val="28"/>
          <w:szCs w:val="28"/>
        </w:rPr>
        <w:t xml:space="preserve"> plānojot ES fondu aktivitātes publisko ēku sektorā,</w:t>
      </w:r>
      <w:r w:rsidRPr="00670E4A">
        <w:rPr>
          <w:rFonts w:ascii="Times New Roman" w:hAnsi="Times New Roman" w:cs="Times New Roman"/>
          <w:sz w:val="28"/>
          <w:szCs w:val="28"/>
        </w:rPr>
        <w:t xml:space="preserve"> valsts ēku 3</w:t>
      </w:r>
      <w:r w:rsidR="00BD5168">
        <w:rPr>
          <w:rFonts w:ascii="Times New Roman" w:hAnsi="Times New Roman" w:cs="Times New Roman"/>
          <w:sz w:val="28"/>
          <w:szCs w:val="28"/>
        </w:rPr>
        <w:t> </w:t>
      </w:r>
      <w:r w:rsidRPr="00670E4A">
        <w:rPr>
          <w:rFonts w:ascii="Times New Roman" w:hAnsi="Times New Roman" w:cs="Times New Roman"/>
          <w:sz w:val="28"/>
          <w:szCs w:val="28"/>
        </w:rPr>
        <w:t>% renovācijas obligāt</w:t>
      </w:r>
      <w:r w:rsidR="00D73B47" w:rsidRPr="00670E4A">
        <w:rPr>
          <w:rFonts w:ascii="Times New Roman" w:hAnsi="Times New Roman" w:cs="Times New Roman"/>
          <w:sz w:val="28"/>
          <w:szCs w:val="28"/>
        </w:rPr>
        <w:t>ā mērķa izpildei</w:t>
      </w:r>
      <w:r w:rsidRPr="00670E4A">
        <w:rPr>
          <w:rFonts w:ascii="Times New Roman" w:hAnsi="Times New Roman" w:cs="Times New Roman"/>
          <w:sz w:val="28"/>
          <w:szCs w:val="28"/>
        </w:rPr>
        <w:t xml:space="preserve"> </w:t>
      </w:r>
      <w:r w:rsidR="00D73B47" w:rsidRPr="00670E4A">
        <w:rPr>
          <w:rFonts w:ascii="Times New Roman" w:hAnsi="Times New Roman" w:cs="Times New Roman"/>
          <w:sz w:val="28"/>
          <w:szCs w:val="28"/>
        </w:rPr>
        <w:t xml:space="preserve">būs jāparedz kopējais finansējums </w:t>
      </w:r>
      <w:r w:rsidR="00C218A5" w:rsidRPr="00C218A5">
        <w:rPr>
          <w:rFonts w:ascii="Times New Roman" w:hAnsi="Times New Roman" w:cs="Times New Roman"/>
          <w:sz w:val="28"/>
          <w:szCs w:val="28"/>
        </w:rPr>
        <w:t xml:space="preserve">67,85 </w:t>
      </w:r>
      <w:proofErr w:type="spellStart"/>
      <w:r w:rsidR="00C218A5" w:rsidRPr="00C218A5">
        <w:rPr>
          <w:rFonts w:ascii="Times New Roman" w:hAnsi="Times New Roman" w:cs="Times New Roman"/>
          <w:sz w:val="28"/>
          <w:szCs w:val="28"/>
        </w:rPr>
        <w:t>milj</w:t>
      </w:r>
      <w:proofErr w:type="spellEnd"/>
      <w:r w:rsidR="00C218A5" w:rsidRPr="00C218A5">
        <w:rPr>
          <w:rFonts w:ascii="Times New Roman" w:hAnsi="Times New Roman" w:cs="Times New Roman"/>
          <w:sz w:val="28"/>
          <w:szCs w:val="28"/>
        </w:rPr>
        <w:t>. LVL</w:t>
      </w:r>
      <w:r w:rsidR="00ED2D83">
        <w:rPr>
          <w:rFonts w:ascii="Times New Roman" w:hAnsi="Times New Roman" w:cs="Times New Roman"/>
          <w:sz w:val="28"/>
          <w:szCs w:val="28"/>
        </w:rPr>
        <w:t xml:space="preserve"> (96 541 852,35 EUR)</w:t>
      </w:r>
      <w:r w:rsidR="00C218A5" w:rsidRPr="00C218A5">
        <w:rPr>
          <w:rFonts w:ascii="Times New Roman" w:hAnsi="Times New Roman" w:cs="Times New Roman"/>
          <w:sz w:val="28"/>
          <w:szCs w:val="28"/>
        </w:rPr>
        <w:t xml:space="preserve"> apjomā</w:t>
      </w:r>
      <w:r w:rsidR="00C218A5">
        <w:rPr>
          <w:rFonts w:ascii="Times New Roman" w:hAnsi="Times New Roman" w:cs="Times New Roman"/>
          <w:sz w:val="28"/>
          <w:szCs w:val="28"/>
        </w:rPr>
        <w:t xml:space="preserve">. </w:t>
      </w:r>
      <w:r w:rsidR="00C61E46">
        <w:rPr>
          <w:rFonts w:ascii="Times New Roman" w:hAnsi="Times New Roman" w:cs="Times New Roman"/>
          <w:sz w:val="28"/>
          <w:szCs w:val="28"/>
        </w:rPr>
        <w:t xml:space="preserve">Gadījumā, ja </w:t>
      </w:r>
      <w:r w:rsidR="00670E4A" w:rsidRPr="00670E4A">
        <w:rPr>
          <w:rFonts w:ascii="Times New Roman" w:hAnsi="Times New Roman" w:cs="Times New Roman"/>
          <w:sz w:val="28"/>
          <w:szCs w:val="28"/>
        </w:rPr>
        <w:t xml:space="preserve">valsts budžeta finansējums publisko ēku sektorā </w:t>
      </w:r>
      <w:r w:rsidR="00C61E46">
        <w:rPr>
          <w:rFonts w:ascii="Times New Roman" w:hAnsi="Times New Roman" w:cs="Times New Roman"/>
          <w:sz w:val="28"/>
          <w:szCs w:val="28"/>
        </w:rPr>
        <w:t xml:space="preserve">tiek piešķirts </w:t>
      </w:r>
      <w:r w:rsidR="00224B79" w:rsidRPr="00224B79">
        <w:rPr>
          <w:rFonts w:ascii="Times New Roman" w:hAnsi="Times New Roman" w:cs="Times New Roman"/>
          <w:sz w:val="28"/>
          <w:szCs w:val="28"/>
        </w:rPr>
        <w:t xml:space="preserve">NAP2020 </w:t>
      </w:r>
      <w:r w:rsidR="00224B79">
        <w:rPr>
          <w:rFonts w:ascii="Times New Roman" w:hAnsi="Times New Roman" w:cs="Times New Roman"/>
          <w:sz w:val="28"/>
          <w:szCs w:val="28"/>
        </w:rPr>
        <w:t xml:space="preserve">paredzētajā apjomā (6,57 </w:t>
      </w:r>
      <w:proofErr w:type="spellStart"/>
      <w:r w:rsidR="00224B79">
        <w:rPr>
          <w:rFonts w:ascii="Times New Roman" w:hAnsi="Times New Roman" w:cs="Times New Roman"/>
          <w:sz w:val="28"/>
          <w:szCs w:val="28"/>
        </w:rPr>
        <w:t>milj</w:t>
      </w:r>
      <w:proofErr w:type="spellEnd"/>
      <w:r w:rsidR="00224B79">
        <w:rPr>
          <w:rFonts w:ascii="Times New Roman" w:hAnsi="Times New Roman" w:cs="Times New Roman"/>
          <w:sz w:val="28"/>
          <w:szCs w:val="28"/>
        </w:rPr>
        <w:t>.</w:t>
      </w:r>
      <w:r w:rsidR="00BD5168">
        <w:rPr>
          <w:rFonts w:ascii="Times New Roman" w:hAnsi="Times New Roman" w:cs="Times New Roman"/>
          <w:sz w:val="28"/>
          <w:szCs w:val="28"/>
        </w:rPr>
        <w:t xml:space="preserve"> </w:t>
      </w:r>
      <w:r w:rsidR="00224B79">
        <w:rPr>
          <w:rFonts w:ascii="Times New Roman" w:hAnsi="Times New Roman" w:cs="Times New Roman"/>
          <w:sz w:val="28"/>
          <w:szCs w:val="28"/>
        </w:rPr>
        <w:t>LVL</w:t>
      </w:r>
      <w:r w:rsidR="00ED2D83">
        <w:rPr>
          <w:rFonts w:ascii="Times New Roman" w:hAnsi="Times New Roman" w:cs="Times New Roman"/>
          <w:sz w:val="28"/>
          <w:szCs w:val="28"/>
        </w:rPr>
        <w:t xml:space="preserve"> (9 348 267,80 EUR)</w:t>
      </w:r>
      <w:r w:rsidR="00224B79">
        <w:rPr>
          <w:rFonts w:ascii="Times New Roman" w:hAnsi="Times New Roman" w:cs="Times New Roman"/>
          <w:sz w:val="28"/>
          <w:szCs w:val="28"/>
        </w:rPr>
        <w:t xml:space="preserve">), risinājums neatstāj papildus ietekmi uz valsts budžetu. Gadījumā, ja valsts ēku renovācija tiek finansēta no VEEF (aizdevums ar granta elementu), tad valsts budžetā jāparedz visa renovācijas summa un ietekme uz budžetu ir </w:t>
      </w:r>
      <w:r w:rsidR="00C218A5" w:rsidRPr="00C218A5">
        <w:rPr>
          <w:rFonts w:ascii="Times New Roman" w:hAnsi="Times New Roman" w:cs="Times New Roman"/>
          <w:sz w:val="28"/>
          <w:szCs w:val="28"/>
        </w:rPr>
        <w:t>67,85</w:t>
      </w:r>
      <w:r w:rsidR="00C218A5">
        <w:rPr>
          <w:rFonts w:ascii="Times New Roman" w:hAnsi="Times New Roman" w:cs="Times New Roman"/>
          <w:sz w:val="28"/>
          <w:szCs w:val="28"/>
        </w:rPr>
        <w:t xml:space="preserve"> </w:t>
      </w:r>
      <w:proofErr w:type="spellStart"/>
      <w:r w:rsidR="00C218A5">
        <w:rPr>
          <w:rFonts w:ascii="Times New Roman" w:hAnsi="Times New Roman" w:cs="Times New Roman"/>
          <w:sz w:val="28"/>
          <w:szCs w:val="28"/>
        </w:rPr>
        <w:t>milj</w:t>
      </w:r>
      <w:proofErr w:type="spellEnd"/>
      <w:r w:rsidR="00C218A5">
        <w:rPr>
          <w:rFonts w:ascii="Times New Roman" w:hAnsi="Times New Roman" w:cs="Times New Roman"/>
          <w:sz w:val="28"/>
          <w:szCs w:val="28"/>
        </w:rPr>
        <w:t>. LVL</w:t>
      </w:r>
      <w:r w:rsidR="00ED2D83">
        <w:rPr>
          <w:rFonts w:ascii="Times New Roman" w:hAnsi="Times New Roman" w:cs="Times New Roman"/>
          <w:sz w:val="28"/>
          <w:szCs w:val="28"/>
        </w:rPr>
        <w:t xml:space="preserve"> (96 541 852,35 EUR)</w:t>
      </w:r>
      <w:r w:rsidR="00224B79">
        <w:rPr>
          <w:rFonts w:ascii="Times New Roman" w:hAnsi="Times New Roman" w:cs="Times New Roman"/>
          <w:sz w:val="28"/>
          <w:szCs w:val="28"/>
        </w:rPr>
        <w:t>.</w:t>
      </w:r>
    </w:p>
    <w:p w:rsidR="00F26A34" w:rsidRDefault="00F26A34" w:rsidP="00B479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Dotās koncepcijas novērtētā papildus ietekme uz izmaksām ir šāda:</w:t>
      </w:r>
    </w:p>
    <w:p w:rsidR="00F26A34" w:rsidRDefault="00F26A34" w:rsidP="00B479A5">
      <w:pPr>
        <w:pStyle w:val="ListParagraph"/>
        <w:numPr>
          <w:ilvl w:val="0"/>
          <w:numId w:val="15"/>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valsts budžeta ienākumi (izdevumu samazinājums) 2,</w:t>
      </w:r>
      <w:r w:rsidR="00CB5386">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milj</w:t>
      </w:r>
      <w:proofErr w:type="spellEnd"/>
      <w:r w:rsidR="00BD5168">
        <w:rPr>
          <w:rFonts w:ascii="Times New Roman" w:hAnsi="Times New Roman" w:cs="Times New Roman"/>
          <w:sz w:val="28"/>
          <w:szCs w:val="28"/>
        </w:rPr>
        <w:t>.</w:t>
      </w:r>
      <w:r>
        <w:rPr>
          <w:rFonts w:ascii="Times New Roman" w:hAnsi="Times New Roman" w:cs="Times New Roman"/>
          <w:sz w:val="28"/>
          <w:szCs w:val="28"/>
        </w:rPr>
        <w:t xml:space="preserve"> LVL/gadā</w:t>
      </w:r>
      <w:r w:rsidR="00ED2D83">
        <w:rPr>
          <w:rFonts w:ascii="Times New Roman" w:hAnsi="Times New Roman" w:cs="Times New Roman"/>
          <w:sz w:val="28"/>
          <w:szCs w:val="28"/>
        </w:rPr>
        <w:t xml:space="preserve"> (3 272 605,16 EUR/gadā)</w:t>
      </w:r>
      <w:r>
        <w:rPr>
          <w:rFonts w:ascii="Times New Roman" w:hAnsi="Times New Roman" w:cs="Times New Roman"/>
          <w:sz w:val="28"/>
          <w:szCs w:val="28"/>
        </w:rPr>
        <w:t>, sākot ar 2020.</w:t>
      </w:r>
      <w:r w:rsidR="00BD5168">
        <w:rPr>
          <w:rFonts w:ascii="Times New Roman" w:hAnsi="Times New Roman" w:cs="Times New Roman"/>
          <w:sz w:val="28"/>
          <w:szCs w:val="28"/>
        </w:rPr>
        <w:t> </w:t>
      </w:r>
      <w:r>
        <w:rPr>
          <w:rFonts w:ascii="Times New Roman" w:hAnsi="Times New Roman" w:cs="Times New Roman"/>
          <w:sz w:val="28"/>
          <w:szCs w:val="28"/>
        </w:rPr>
        <w:t>gadu (samazinās maksa par siltumu valsts ēku renovācijas rezultātā);</w:t>
      </w:r>
    </w:p>
    <w:p w:rsidR="00CC331F" w:rsidRPr="00CC331F" w:rsidRDefault="00CC331F" w:rsidP="00B479A5">
      <w:pPr>
        <w:pStyle w:val="ListParagraph"/>
        <w:numPr>
          <w:ilvl w:val="0"/>
          <w:numId w:val="15"/>
        </w:numPr>
        <w:tabs>
          <w:tab w:val="left" w:pos="0"/>
        </w:tabs>
        <w:spacing w:after="0" w:line="240" w:lineRule="auto"/>
        <w:ind w:left="0" w:firstLine="0"/>
        <w:jc w:val="both"/>
        <w:rPr>
          <w:rFonts w:ascii="Times New Roman" w:hAnsi="Times New Roman" w:cs="Times New Roman"/>
          <w:sz w:val="28"/>
          <w:szCs w:val="28"/>
        </w:rPr>
      </w:pPr>
      <w:r w:rsidRPr="00CC331F">
        <w:rPr>
          <w:rFonts w:ascii="Times New Roman" w:hAnsi="Times New Roman" w:cs="Times New Roman"/>
          <w:sz w:val="28"/>
          <w:szCs w:val="28"/>
        </w:rPr>
        <w:t xml:space="preserve">valsts budžeta ieņēmumi no </w:t>
      </w:r>
      <w:r>
        <w:rPr>
          <w:rFonts w:ascii="Times New Roman" w:hAnsi="Times New Roman" w:cs="Times New Roman"/>
          <w:sz w:val="28"/>
          <w:szCs w:val="28"/>
        </w:rPr>
        <w:t xml:space="preserve">EPS </w:t>
      </w:r>
      <w:r w:rsidRPr="00CC331F">
        <w:rPr>
          <w:rFonts w:ascii="Times New Roman" w:hAnsi="Times New Roman" w:cs="Times New Roman"/>
          <w:sz w:val="28"/>
          <w:szCs w:val="28"/>
        </w:rPr>
        <w:t>atbildīgo pušu iemaks</w:t>
      </w:r>
      <w:r>
        <w:rPr>
          <w:rFonts w:ascii="Times New Roman" w:hAnsi="Times New Roman" w:cs="Times New Roman"/>
          <w:sz w:val="28"/>
          <w:szCs w:val="28"/>
        </w:rPr>
        <w:t>ām un soda naudām – nav precīzi novērtējams, atkarīgs no atbildīgo pušu lēmuma;</w:t>
      </w:r>
      <w:r w:rsidRPr="00CC331F">
        <w:rPr>
          <w:rFonts w:ascii="Times New Roman" w:hAnsi="Times New Roman" w:cs="Times New Roman"/>
          <w:sz w:val="28"/>
          <w:szCs w:val="28"/>
        </w:rPr>
        <w:t xml:space="preserve"> </w:t>
      </w:r>
    </w:p>
    <w:p w:rsidR="00CC331F" w:rsidRPr="00BC6D46" w:rsidRDefault="00CC331F" w:rsidP="00B479A5">
      <w:pPr>
        <w:pStyle w:val="ListParagraph"/>
        <w:numPr>
          <w:ilvl w:val="0"/>
          <w:numId w:val="15"/>
        </w:numPr>
        <w:tabs>
          <w:tab w:val="left" w:pos="0"/>
        </w:tabs>
        <w:spacing w:after="0" w:line="240" w:lineRule="auto"/>
        <w:ind w:left="0" w:firstLine="0"/>
        <w:jc w:val="both"/>
        <w:rPr>
          <w:rFonts w:ascii="Times New Roman" w:hAnsi="Times New Roman" w:cs="Times New Roman"/>
          <w:sz w:val="28"/>
          <w:szCs w:val="28"/>
        </w:rPr>
      </w:pPr>
      <w:r w:rsidRPr="00BC6D46">
        <w:rPr>
          <w:rFonts w:ascii="Times New Roman" w:hAnsi="Times New Roman" w:cs="Times New Roman"/>
          <w:sz w:val="28"/>
          <w:szCs w:val="28"/>
        </w:rPr>
        <w:t>atbildīgo pušu soda naudas par mērķa neizpildi atbilstoši Direktīvas 2012/27/ES 13.</w:t>
      </w:r>
      <w:r w:rsidR="00BC6D46" w:rsidRPr="00BC6D46">
        <w:rPr>
          <w:rFonts w:ascii="Times New Roman" w:hAnsi="Times New Roman" w:cs="Times New Roman"/>
          <w:sz w:val="28"/>
          <w:szCs w:val="28"/>
        </w:rPr>
        <w:t> </w:t>
      </w:r>
      <w:r w:rsidR="00BC6D46">
        <w:rPr>
          <w:rFonts w:ascii="Times New Roman" w:hAnsi="Times New Roman" w:cs="Times New Roman"/>
          <w:sz w:val="28"/>
          <w:szCs w:val="28"/>
        </w:rPr>
        <w:t>panta prasībām;</w:t>
      </w:r>
    </w:p>
    <w:p w:rsidR="00F26A34" w:rsidRPr="00CB5386" w:rsidRDefault="00F26A34" w:rsidP="00B479A5">
      <w:pPr>
        <w:pStyle w:val="ListParagraph"/>
        <w:numPr>
          <w:ilvl w:val="0"/>
          <w:numId w:val="15"/>
        </w:numPr>
        <w:tabs>
          <w:tab w:val="left" w:pos="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valsts budžeta izdevumi EPS administrēšanai </w:t>
      </w:r>
      <w:r w:rsidR="00725CED">
        <w:rPr>
          <w:rFonts w:ascii="Times New Roman" w:hAnsi="Times New Roman" w:cs="Times New Roman"/>
          <w:sz w:val="28"/>
          <w:szCs w:val="28"/>
        </w:rPr>
        <w:t>76 834</w:t>
      </w:r>
      <w:r w:rsidR="00725CED" w:rsidRPr="00B83171">
        <w:rPr>
          <w:rFonts w:ascii="Times New Roman" w:hAnsi="Times New Roman" w:cs="Times New Roman"/>
          <w:sz w:val="28"/>
          <w:szCs w:val="28"/>
        </w:rPr>
        <w:t xml:space="preserve"> LVL/gadā</w:t>
      </w:r>
      <w:r w:rsidR="00725CED">
        <w:rPr>
          <w:rFonts w:ascii="Times New Roman" w:hAnsi="Times New Roman" w:cs="Times New Roman"/>
          <w:sz w:val="28"/>
          <w:szCs w:val="28"/>
        </w:rPr>
        <w:t xml:space="preserve"> (109 325 EUR/gadā)</w:t>
      </w:r>
      <w:r w:rsidR="003E017C">
        <w:rPr>
          <w:rFonts w:ascii="Times New Roman" w:hAnsi="Times New Roman" w:cs="Times New Roman"/>
          <w:sz w:val="28"/>
          <w:szCs w:val="28"/>
        </w:rPr>
        <w:t xml:space="preserve"> (saskaņā ar 2.3.</w:t>
      </w:r>
      <w:r w:rsidR="003019F8">
        <w:rPr>
          <w:rFonts w:ascii="Times New Roman" w:hAnsi="Times New Roman" w:cs="Times New Roman"/>
          <w:sz w:val="28"/>
          <w:szCs w:val="28"/>
        </w:rPr>
        <w:t> </w:t>
      </w:r>
      <w:r w:rsidR="003E017C">
        <w:rPr>
          <w:rFonts w:ascii="Times New Roman" w:hAnsi="Times New Roman" w:cs="Times New Roman"/>
          <w:sz w:val="28"/>
          <w:szCs w:val="28"/>
        </w:rPr>
        <w:t>nodaļā minēto)</w:t>
      </w:r>
      <w:r>
        <w:rPr>
          <w:rFonts w:ascii="Times New Roman" w:hAnsi="Times New Roman" w:cs="Times New Roman"/>
          <w:sz w:val="28"/>
          <w:szCs w:val="28"/>
        </w:rPr>
        <w:t>, sākot ar 201</w:t>
      </w:r>
      <w:r w:rsidR="00CB5386">
        <w:rPr>
          <w:rFonts w:ascii="Times New Roman" w:hAnsi="Times New Roman" w:cs="Times New Roman"/>
          <w:sz w:val="28"/>
          <w:szCs w:val="28"/>
        </w:rPr>
        <w:t>4</w:t>
      </w:r>
      <w:r>
        <w:rPr>
          <w:rFonts w:ascii="Times New Roman" w:hAnsi="Times New Roman" w:cs="Times New Roman"/>
          <w:sz w:val="28"/>
          <w:szCs w:val="28"/>
        </w:rPr>
        <w:t>.</w:t>
      </w:r>
      <w:r w:rsidR="00BD5168">
        <w:rPr>
          <w:rFonts w:ascii="Times New Roman" w:hAnsi="Times New Roman" w:cs="Times New Roman"/>
          <w:sz w:val="28"/>
          <w:szCs w:val="28"/>
        </w:rPr>
        <w:t> </w:t>
      </w:r>
      <w:r w:rsidR="00CB5386">
        <w:rPr>
          <w:rFonts w:ascii="Times New Roman" w:hAnsi="Times New Roman" w:cs="Times New Roman"/>
          <w:sz w:val="28"/>
          <w:szCs w:val="28"/>
        </w:rPr>
        <w:t>gadu,</w:t>
      </w:r>
      <w:r w:rsidR="00CB5386" w:rsidRPr="00CB5386">
        <w:rPr>
          <w:rFonts w:ascii="Times New Roman" w:eastAsia="Times New Roman" w:hAnsi="Times New Roman" w:cs="Times New Roman"/>
          <w:color w:val="000000"/>
          <w:sz w:val="28"/>
          <w:szCs w:val="28"/>
          <w:lang w:eastAsia="lv-LV"/>
        </w:rPr>
        <w:t xml:space="preserve"> </w:t>
      </w:r>
      <w:r w:rsidR="00CB5386" w:rsidRPr="00CB5386">
        <w:rPr>
          <w:rFonts w:ascii="Times New Roman" w:hAnsi="Times New Roman" w:cs="Times New Roman"/>
          <w:sz w:val="28"/>
          <w:szCs w:val="28"/>
        </w:rPr>
        <w:t>bet ja tiek pieņemts lēmums veidot aģentūru ar plašākām funkcijām, tad 156 223 LVL gadā</w:t>
      </w:r>
      <w:r w:rsidR="00ED2D83">
        <w:rPr>
          <w:rFonts w:ascii="Times New Roman" w:hAnsi="Times New Roman" w:cs="Times New Roman"/>
          <w:sz w:val="28"/>
          <w:szCs w:val="28"/>
        </w:rPr>
        <w:t xml:space="preserve"> </w:t>
      </w:r>
      <w:r w:rsidR="00ED2D83">
        <w:rPr>
          <w:rFonts w:ascii="Times New Roman" w:eastAsia="Calibri" w:hAnsi="Times New Roman" w:cs="Times New Roman"/>
          <w:sz w:val="28"/>
          <w:szCs w:val="28"/>
        </w:rPr>
        <w:t>(222 285,30 EUR gadā)</w:t>
      </w:r>
      <w:r w:rsidR="003E017C">
        <w:rPr>
          <w:rFonts w:ascii="Times New Roman" w:eastAsia="Calibri" w:hAnsi="Times New Roman" w:cs="Times New Roman"/>
          <w:sz w:val="28"/>
          <w:szCs w:val="28"/>
        </w:rPr>
        <w:t>,</w:t>
      </w:r>
      <w:r w:rsidR="00CB5386">
        <w:rPr>
          <w:rFonts w:ascii="Times New Roman" w:hAnsi="Times New Roman" w:cs="Times New Roman"/>
          <w:sz w:val="28"/>
          <w:szCs w:val="28"/>
        </w:rPr>
        <w:t xml:space="preserve"> sākot ar 201</w:t>
      </w:r>
      <w:r w:rsidR="00725CED">
        <w:rPr>
          <w:rFonts w:ascii="Times New Roman" w:hAnsi="Times New Roman" w:cs="Times New Roman"/>
          <w:sz w:val="28"/>
          <w:szCs w:val="28"/>
        </w:rPr>
        <w:t>5</w:t>
      </w:r>
      <w:r w:rsidR="00CB5386">
        <w:rPr>
          <w:rFonts w:ascii="Times New Roman" w:hAnsi="Times New Roman" w:cs="Times New Roman"/>
          <w:sz w:val="28"/>
          <w:szCs w:val="28"/>
        </w:rPr>
        <w:t>.</w:t>
      </w:r>
      <w:r w:rsidR="00BC6D46">
        <w:rPr>
          <w:rFonts w:ascii="Times New Roman" w:hAnsi="Times New Roman" w:cs="Times New Roman"/>
          <w:sz w:val="28"/>
          <w:szCs w:val="28"/>
        </w:rPr>
        <w:t> </w:t>
      </w:r>
      <w:r w:rsidR="00CB5386">
        <w:rPr>
          <w:rFonts w:ascii="Times New Roman" w:hAnsi="Times New Roman" w:cs="Times New Roman"/>
          <w:sz w:val="28"/>
          <w:szCs w:val="28"/>
        </w:rPr>
        <w:t>gadu</w:t>
      </w:r>
      <w:r w:rsidR="00CB5386" w:rsidRPr="00CB5386">
        <w:rPr>
          <w:rFonts w:ascii="Times New Roman" w:hAnsi="Times New Roman" w:cs="Times New Roman"/>
          <w:sz w:val="28"/>
          <w:szCs w:val="28"/>
        </w:rPr>
        <w:t xml:space="preserve">. </w:t>
      </w:r>
    </w:p>
    <w:p w:rsidR="00F26A34" w:rsidRDefault="00C977B1" w:rsidP="00B479A5">
      <w:pPr>
        <w:pStyle w:val="ListParagraph"/>
        <w:numPr>
          <w:ilvl w:val="0"/>
          <w:numId w:val="15"/>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valsts budžeta izdevumi rūpniecisko ener</w:t>
      </w:r>
      <w:r w:rsidR="00CB5386">
        <w:rPr>
          <w:rFonts w:ascii="Times New Roman" w:hAnsi="Times New Roman" w:cs="Times New Roman"/>
          <w:sz w:val="28"/>
          <w:szCs w:val="28"/>
        </w:rPr>
        <w:t>goauditu atbalstam 228 000 LVL</w:t>
      </w:r>
      <w:r w:rsidR="00ED2D83">
        <w:rPr>
          <w:rFonts w:ascii="Times New Roman" w:hAnsi="Times New Roman" w:cs="Times New Roman"/>
          <w:sz w:val="28"/>
          <w:szCs w:val="28"/>
        </w:rPr>
        <w:t xml:space="preserve"> (324 414,77 EUR)</w:t>
      </w:r>
      <w:r w:rsidR="00CB5386">
        <w:rPr>
          <w:rFonts w:ascii="Times New Roman" w:hAnsi="Times New Roman" w:cs="Times New Roman"/>
          <w:sz w:val="28"/>
          <w:szCs w:val="28"/>
        </w:rPr>
        <w:t xml:space="preserve"> laikā</w:t>
      </w:r>
      <w:r>
        <w:rPr>
          <w:rFonts w:ascii="Times New Roman" w:hAnsi="Times New Roman" w:cs="Times New Roman"/>
          <w:sz w:val="28"/>
          <w:szCs w:val="28"/>
        </w:rPr>
        <w:t xml:space="preserve"> no </w:t>
      </w:r>
      <w:r w:rsidR="003E017C">
        <w:rPr>
          <w:rFonts w:ascii="Times New Roman" w:hAnsi="Times New Roman" w:cs="Times New Roman"/>
          <w:sz w:val="28"/>
          <w:szCs w:val="28"/>
        </w:rPr>
        <w:t>2017</w:t>
      </w:r>
      <w:r>
        <w:rPr>
          <w:rFonts w:ascii="Times New Roman" w:hAnsi="Times New Roman" w:cs="Times New Roman"/>
          <w:sz w:val="28"/>
          <w:szCs w:val="28"/>
        </w:rPr>
        <w:t>.</w:t>
      </w:r>
      <w:r w:rsidR="00BD5168">
        <w:rPr>
          <w:rFonts w:ascii="Times New Roman" w:hAnsi="Times New Roman" w:cs="Times New Roman"/>
          <w:sz w:val="28"/>
          <w:szCs w:val="28"/>
        </w:rPr>
        <w:t> </w:t>
      </w:r>
      <w:r>
        <w:rPr>
          <w:rFonts w:ascii="Times New Roman" w:hAnsi="Times New Roman" w:cs="Times New Roman"/>
          <w:sz w:val="28"/>
          <w:szCs w:val="28"/>
        </w:rPr>
        <w:t>-</w:t>
      </w:r>
      <w:r w:rsidR="00BD5168">
        <w:rPr>
          <w:rFonts w:ascii="Times New Roman" w:hAnsi="Times New Roman" w:cs="Times New Roman"/>
          <w:sz w:val="28"/>
          <w:szCs w:val="28"/>
        </w:rPr>
        <w:t> </w:t>
      </w:r>
      <w:r>
        <w:rPr>
          <w:rFonts w:ascii="Times New Roman" w:hAnsi="Times New Roman" w:cs="Times New Roman"/>
          <w:sz w:val="28"/>
          <w:szCs w:val="28"/>
        </w:rPr>
        <w:t>2020.</w:t>
      </w:r>
      <w:r w:rsidR="00BD5168">
        <w:rPr>
          <w:rFonts w:ascii="Times New Roman" w:hAnsi="Times New Roman" w:cs="Times New Roman"/>
          <w:sz w:val="28"/>
          <w:szCs w:val="28"/>
        </w:rPr>
        <w:t> </w:t>
      </w:r>
      <w:r>
        <w:rPr>
          <w:rFonts w:ascii="Times New Roman" w:hAnsi="Times New Roman" w:cs="Times New Roman"/>
          <w:sz w:val="28"/>
          <w:szCs w:val="28"/>
        </w:rPr>
        <w:t>gadam.</w:t>
      </w:r>
    </w:p>
    <w:p w:rsidR="00C977B1" w:rsidRPr="00C977B1" w:rsidRDefault="00C977B1" w:rsidP="00B47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Koncepcija neatstāj tiešu papildus ietekmi uz pašvaldību budžetiem.</w:t>
      </w:r>
    </w:p>
    <w:p w:rsidR="001103CC" w:rsidRDefault="00EB4EB6" w:rsidP="00B479A5">
      <w:pPr>
        <w:pStyle w:val="naiskr"/>
        <w:spacing w:before="0" w:after="0"/>
        <w:ind w:firstLine="720"/>
        <w:jc w:val="both"/>
        <w:rPr>
          <w:sz w:val="28"/>
        </w:rPr>
      </w:pPr>
      <w:r w:rsidRPr="00A67CE5">
        <w:rPr>
          <w:sz w:val="28"/>
        </w:rPr>
        <w:t xml:space="preserve">Energoefektivitātes </w:t>
      </w:r>
      <w:r w:rsidR="00670E4A">
        <w:rPr>
          <w:sz w:val="28"/>
        </w:rPr>
        <w:t xml:space="preserve">paaugstināšanās kopumā atstāj pozitīvu ietekmi uz tautsaimniecību. </w:t>
      </w:r>
      <w:proofErr w:type="spellStart"/>
      <w:r w:rsidR="00670E4A">
        <w:rPr>
          <w:sz w:val="28"/>
        </w:rPr>
        <w:t>Īstermiņā</w:t>
      </w:r>
      <w:proofErr w:type="spellEnd"/>
      <w:r w:rsidR="00670E4A">
        <w:rPr>
          <w:sz w:val="28"/>
        </w:rPr>
        <w:t xml:space="preserve"> energoefektivitātes </w:t>
      </w:r>
      <w:r w:rsidR="00450B94">
        <w:rPr>
          <w:sz w:val="28"/>
        </w:rPr>
        <w:t xml:space="preserve">pasākumu veikšana rada papildus darba vietas, savukārt ilgtermiņā samazinās ar energoresursiem saistītās izmaksas, tādējādi paaugstinot konkurētspēju. Rodas iespējas ar energoefektivitātes nodrošināšanu saistītajai uzņēmējdarbībai, kā arī samazinās </w:t>
      </w:r>
      <w:r w:rsidR="009070DA" w:rsidRPr="00C50A9A">
        <w:rPr>
          <w:sz w:val="28"/>
        </w:rPr>
        <w:t xml:space="preserve"> </w:t>
      </w:r>
      <w:r w:rsidR="009070DA" w:rsidRPr="00C50A9A">
        <w:rPr>
          <w:sz w:val="28"/>
        </w:rPr>
        <w:lastRenderedPageBreak/>
        <w:t>enerģētiski nabadzīgo mājsaimniecību skait</w:t>
      </w:r>
      <w:r w:rsidR="00450B94">
        <w:rPr>
          <w:sz w:val="28"/>
        </w:rPr>
        <w:t>s</w:t>
      </w:r>
      <w:r w:rsidR="009070DA" w:rsidRPr="00C50A9A">
        <w:rPr>
          <w:sz w:val="28"/>
        </w:rPr>
        <w:t>. Energoefektivitāte nozīmē arī energoresursu efektīvāku izmantošanu un mazāku atkarību no importa. Mazāks enerģijas patēriņš nozīmē arī mazākas CO</w:t>
      </w:r>
      <w:r w:rsidR="009070DA" w:rsidRPr="00BD5168">
        <w:rPr>
          <w:sz w:val="28"/>
          <w:vertAlign w:val="subscript"/>
        </w:rPr>
        <w:t>2</w:t>
      </w:r>
      <w:r w:rsidR="009070DA" w:rsidRPr="00C50A9A">
        <w:rPr>
          <w:sz w:val="28"/>
        </w:rPr>
        <w:t xml:space="preserve"> un citu kaitīgu vielu emisijas, mazāku ietekmi uz ekosistēmu un </w:t>
      </w:r>
      <w:r w:rsidR="00450B94">
        <w:rPr>
          <w:sz w:val="28"/>
        </w:rPr>
        <w:t>cilvēku veselību.</w:t>
      </w:r>
      <w:r w:rsidR="009070DA" w:rsidRPr="00C50A9A">
        <w:rPr>
          <w:sz w:val="28"/>
        </w:rPr>
        <w:t xml:space="preserve"> Energoefektivitātes pasākumu īstenošana dotu būtisku ieguldījumu </w:t>
      </w:r>
      <w:r w:rsidR="00697620">
        <w:rPr>
          <w:sz w:val="28"/>
        </w:rPr>
        <w:t>Enerģētikas ilgtermiņa s</w:t>
      </w:r>
      <w:r w:rsidR="009070DA" w:rsidRPr="00C50A9A">
        <w:rPr>
          <w:sz w:val="28"/>
        </w:rPr>
        <w:t>tratēģijā 2030</w:t>
      </w:r>
      <w:r w:rsidR="001103CC" w:rsidRPr="00C50A9A">
        <w:rPr>
          <w:sz w:val="28"/>
        </w:rPr>
        <w:t xml:space="preserve"> izvirzīto mērķu sasniegšanai, tostarp, </w:t>
      </w:r>
      <w:r w:rsidR="009070DA" w:rsidRPr="00C50A9A">
        <w:rPr>
          <w:sz w:val="28"/>
          <w:szCs w:val="28"/>
        </w:rPr>
        <w:t>līdz 2030.</w:t>
      </w:r>
      <w:r w:rsidR="00BD5168">
        <w:rPr>
          <w:sz w:val="28"/>
          <w:szCs w:val="28"/>
        </w:rPr>
        <w:t> </w:t>
      </w:r>
      <w:r w:rsidR="009070DA" w:rsidRPr="00C50A9A">
        <w:rPr>
          <w:sz w:val="28"/>
          <w:szCs w:val="28"/>
        </w:rPr>
        <w:t xml:space="preserve">gadam </w:t>
      </w:r>
      <w:r w:rsidR="009070DA" w:rsidRPr="00450B94">
        <w:rPr>
          <w:sz w:val="28"/>
          <w:szCs w:val="28"/>
        </w:rPr>
        <w:t>vidēj</w:t>
      </w:r>
      <w:r w:rsidR="001103CC" w:rsidRPr="00450B94">
        <w:rPr>
          <w:sz w:val="28"/>
          <w:szCs w:val="28"/>
        </w:rPr>
        <w:t>o</w:t>
      </w:r>
      <w:r w:rsidR="009070DA" w:rsidRPr="00450B94">
        <w:rPr>
          <w:sz w:val="28"/>
          <w:szCs w:val="28"/>
        </w:rPr>
        <w:t xml:space="preserve"> siltumenerģijas </w:t>
      </w:r>
      <w:r w:rsidR="001103CC" w:rsidRPr="00450B94">
        <w:rPr>
          <w:sz w:val="28"/>
          <w:szCs w:val="28"/>
        </w:rPr>
        <w:t>patēriņu apkurei samazināt</w:t>
      </w:r>
      <w:r w:rsidR="009070DA" w:rsidRPr="00450B94">
        <w:rPr>
          <w:sz w:val="28"/>
          <w:szCs w:val="28"/>
        </w:rPr>
        <w:t xml:space="preserve"> par 50</w:t>
      </w:r>
      <w:r w:rsidR="00BD5168">
        <w:rPr>
          <w:sz w:val="28"/>
          <w:szCs w:val="28"/>
        </w:rPr>
        <w:t> </w:t>
      </w:r>
      <w:r w:rsidR="009070DA" w:rsidRPr="00450B94">
        <w:rPr>
          <w:sz w:val="28"/>
          <w:szCs w:val="28"/>
        </w:rPr>
        <w:t>%</w:t>
      </w:r>
      <w:r w:rsidR="009070DA" w:rsidRPr="00C50A9A">
        <w:rPr>
          <w:sz w:val="28"/>
          <w:szCs w:val="28"/>
        </w:rPr>
        <w:t xml:space="preserve"> pret pašreizējo rādītāju, kas ar klimata korekciju ir aptuveni 200 kWh/m</w:t>
      </w:r>
      <w:r w:rsidR="009070DA" w:rsidRPr="00C50A9A">
        <w:rPr>
          <w:sz w:val="28"/>
          <w:szCs w:val="28"/>
          <w:vertAlign w:val="superscript"/>
        </w:rPr>
        <w:t>2</w:t>
      </w:r>
      <w:r w:rsidR="009070DA" w:rsidRPr="00C50A9A">
        <w:rPr>
          <w:sz w:val="28"/>
          <w:szCs w:val="28"/>
        </w:rPr>
        <w:t xml:space="preserve"> gadā (2009. gadā – 202 kWh/m</w:t>
      </w:r>
      <w:r w:rsidR="009070DA" w:rsidRPr="00C50A9A">
        <w:rPr>
          <w:sz w:val="28"/>
          <w:szCs w:val="28"/>
          <w:vertAlign w:val="superscript"/>
        </w:rPr>
        <w:t>2</w:t>
      </w:r>
      <w:r w:rsidR="009070DA" w:rsidRPr="00C50A9A">
        <w:rPr>
          <w:sz w:val="28"/>
          <w:szCs w:val="28"/>
        </w:rPr>
        <w:t xml:space="preserve">). </w:t>
      </w:r>
      <w:r w:rsidR="001103CC" w:rsidRPr="00C50A9A">
        <w:rPr>
          <w:sz w:val="28"/>
          <w:szCs w:val="28"/>
        </w:rPr>
        <w:t xml:space="preserve">Kopumā tiks </w:t>
      </w:r>
      <w:r w:rsidR="009070DA" w:rsidRPr="00C50A9A">
        <w:rPr>
          <w:sz w:val="28"/>
        </w:rPr>
        <w:t xml:space="preserve">radīta pārredzama un labvēlīga vide </w:t>
      </w:r>
      <w:r w:rsidR="001103CC" w:rsidRPr="00C50A9A">
        <w:rPr>
          <w:sz w:val="28"/>
        </w:rPr>
        <w:t>energoefektivitātes pasākumu</w:t>
      </w:r>
      <w:r w:rsidR="009070DA" w:rsidRPr="00C50A9A">
        <w:rPr>
          <w:sz w:val="28"/>
        </w:rPr>
        <w:t xml:space="preserve"> </w:t>
      </w:r>
      <w:r w:rsidR="00CB5386">
        <w:rPr>
          <w:sz w:val="28"/>
        </w:rPr>
        <w:t>investīcijām</w:t>
      </w:r>
      <w:r w:rsidR="009070DA" w:rsidRPr="00C50A9A">
        <w:rPr>
          <w:sz w:val="28"/>
        </w:rPr>
        <w:t>, vienlaikus nodrošinot, ka</w:t>
      </w:r>
      <w:r w:rsidR="001103CC">
        <w:rPr>
          <w:sz w:val="28"/>
        </w:rPr>
        <w:t xml:space="preserve"> netiks </w:t>
      </w:r>
      <w:r w:rsidR="009070DA" w:rsidRPr="00C50A9A">
        <w:rPr>
          <w:sz w:val="28"/>
        </w:rPr>
        <w:t>kropļo</w:t>
      </w:r>
      <w:r w:rsidR="001103CC">
        <w:rPr>
          <w:sz w:val="28"/>
        </w:rPr>
        <w:t>ta</w:t>
      </w:r>
      <w:r w:rsidR="009070DA" w:rsidRPr="00C50A9A">
        <w:rPr>
          <w:sz w:val="28"/>
        </w:rPr>
        <w:t xml:space="preserve"> tirgus darbīb</w:t>
      </w:r>
      <w:r w:rsidR="00CB5386">
        <w:rPr>
          <w:sz w:val="28"/>
        </w:rPr>
        <w:t>a</w:t>
      </w:r>
      <w:r w:rsidR="009070DA" w:rsidRPr="00C50A9A">
        <w:rPr>
          <w:sz w:val="28"/>
        </w:rPr>
        <w:t xml:space="preserve">. </w:t>
      </w:r>
    </w:p>
    <w:p w:rsidR="00C8482A" w:rsidRPr="008F6ED6" w:rsidRDefault="00A20424" w:rsidP="00BC6D46">
      <w:pPr>
        <w:pStyle w:val="Heading1"/>
        <w:numPr>
          <w:ilvl w:val="0"/>
          <w:numId w:val="3"/>
        </w:numPr>
        <w:spacing w:before="0" w:after="240" w:line="240" w:lineRule="auto"/>
        <w:ind w:left="391" w:hanging="391"/>
        <w:jc w:val="center"/>
        <w:rPr>
          <w:rFonts w:ascii="Times New Roman" w:hAnsi="Times New Roman" w:cs="Times New Roman"/>
          <w:color w:val="auto"/>
        </w:rPr>
      </w:pPr>
      <w:bookmarkStart w:id="19" w:name="313140"/>
      <w:bookmarkStart w:id="20" w:name="_Toc372269919"/>
      <w:bookmarkEnd w:id="19"/>
      <w:r w:rsidRPr="00F333E9">
        <w:rPr>
          <w:rFonts w:ascii="Times New Roman" w:hAnsi="Times New Roman" w:cs="Times New Roman"/>
          <w:color w:val="auto"/>
        </w:rPr>
        <w:t>Priekšlikumi turpmākās rīcības plānojumam</w:t>
      </w:r>
      <w:bookmarkEnd w:id="20"/>
    </w:p>
    <w:p w:rsidR="00E0781C" w:rsidRDefault="00F22D4D" w:rsidP="00BC6D46">
      <w:pPr>
        <w:pStyle w:val="naiskr"/>
        <w:spacing w:before="0" w:after="240"/>
        <w:ind w:firstLine="709"/>
        <w:jc w:val="both"/>
        <w:rPr>
          <w:sz w:val="28"/>
          <w:szCs w:val="28"/>
        </w:rPr>
      </w:pPr>
      <w:r>
        <w:rPr>
          <w:sz w:val="28"/>
          <w:szCs w:val="28"/>
        </w:rPr>
        <w:t>EM</w:t>
      </w:r>
      <w:r w:rsidR="002F4375">
        <w:rPr>
          <w:sz w:val="28"/>
          <w:szCs w:val="28"/>
        </w:rPr>
        <w:t xml:space="preserve"> kompetencē esoš</w:t>
      </w:r>
      <w:r w:rsidR="008205CE">
        <w:rPr>
          <w:sz w:val="28"/>
          <w:szCs w:val="28"/>
        </w:rPr>
        <w:t>u atsevišķu</w:t>
      </w:r>
      <w:r w:rsidR="002F4375">
        <w:rPr>
          <w:sz w:val="28"/>
          <w:szCs w:val="28"/>
        </w:rPr>
        <w:t xml:space="preserve"> </w:t>
      </w:r>
      <w:r w:rsidR="002F4375" w:rsidRPr="002F4375">
        <w:rPr>
          <w:sz w:val="28"/>
          <w:szCs w:val="28"/>
        </w:rPr>
        <w:t xml:space="preserve">Direktīvas 2012/27/ES prasību </w:t>
      </w:r>
      <w:r w:rsidR="008205CE">
        <w:rPr>
          <w:sz w:val="28"/>
          <w:szCs w:val="28"/>
        </w:rPr>
        <w:t>izpildes</w:t>
      </w:r>
      <w:r w:rsidR="002F4375" w:rsidRPr="002F4375">
        <w:rPr>
          <w:sz w:val="28"/>
          <w:szCs w:val="28"/>
        </w:rPr>
        <w:t xml:space="preserve"> termiņi doti </w:t>
      </w:r>
      <w:r w:rsidR="00A6188B">
        <w:rPr>
          <w:sz w:val="28"/>
          <w:szCs w:val="28"/>
        </w:rPr>
        <w:t>3</w:t>
      </w:r>
      <w:r w:rsidR="002F4375" w:rsidRPr="002F4375">
        <w:rPr>
          <w:sz w:val="28"/>
          <w:szCs w:val="28"/>
        </w:rPr>
        <w:t>.</w:t>
      </w:r>
      <w:r w:rsidR="00BD5168">
        <w:rPr>
          <w:sz w:val="28"/>
          <w:szCs w:val="28"/>
        </w:rPr>
        <w:t> </w:t>
      </w:r>
      <w:r w:rsidR="00E0781C">
        <w:rPr>
          <w:sz w:val="28"/>
          <w:szCs w:val="28"/>
        </w:rPr>
        <w:t>tabulā.</w:t>
      </w:r>
    </w:p>
    <w:p w:rsidR="00272AE2" w:rsidRDefault="00A6188B" w:rsidP="00272AE2">
      <w:pPr>
        <w:pStyle w:val="naiskr"/>
        <w:spacing w:before="0" w:after="0"/>
        <w:jc w:val="right"/>
        <w:rPr>
          <w:b/>
          <w:iCs/>
        </w:rPr>
      </w:pPr>
      <w:r>
        <w:rPr>
          <w:b/>
          <w:iCs/>
        </w:rPr>
        <w:t>3</w:t>
      </w:r>
      <w:r w:rsidR="00E0781C">
        <w:rPr>
          <w:b/>
          <w:iCs/>
        </w:rPr>
        <w:t>.</w:t>
      </w:r>
      <w:r w:rsidR="009C40DD">
        <w:rPr>
          <w:b/>
          <w:iCs/>
        </w:rPr>
        <w:t> </w:t>
      </w:r>
      <w:r w:rsidR="00E0781C">
        <w:rPr>
          <w:b/>
          <w:iCs/>
        </w:rPr>
        <w:t xml:space="preserve">tabula. </w:t>
      </w:r>
    </w:p>
    <w:p w:rsidR="00E0781C" w:rsidRPr="00E0781C" w:rsidRDefault="00E0781C" w:rsidP="00272AE2">
      <w:pPr>
        <w:pStyle w:val="naiskr"/>
        <w:spacing w:before="0" w:after="0"/>
        <w:jc w:val="right"/>
        <w:rPr>
          <w:sz w:val="28"/>
          <w:szCs w:val="28"/>
        </w:rPr>
      </w:pPr>
      <w:r w:rsidRPr="003E068A">
        <w:rPr>
          <w:b/>
          <w:iCs/>
        </w:rPr>
        <w:t xml:space="preserve">Direktīvas 2012/27/ES par energoefektivitāti </w:t>
      </w:r>
      <w:r>
        <w:rPr>
          <w:b/>
          <w:iCs/>
        </w:rPr>
        <w:t xml:space="preserve">atsevišķu prasību izpildes </w:t>
      </w:r>
      <w:r w:rsidRPr="003E068A">
        <w:rPr>
          <w:b/>
          <w:iCs/>
        </w:rPr>
        <w:t>termiņ</w:t>
      </w:r>
      <w:r>
        <w:rPr>
          <w:b/>
          <w:iCs/>
        </w:rPr>
        <w:t>i</w:t>
      </w:r>
      <w:r w:rsidRPr="003E068A">
        <w:rPr>
          <w:b/>
          <w:iCs/>
        </w:rPr>
        <w:t xml:space="preserve"> </w:t>
      </w:r>
    </w:p>
    <w:tbl>
      <w:tblPr>
        <w:tblStyle w:val="TableGrid"/>
        <w:tblW w:w="9072" w:type="dxa"/>
        <w:tblInd w:w="108" w:type="dxa"/>
        <w:tblLayout w:type="fixed"/>
        <w:tblLook w:val="04A0" w:firstRow="1" w:lastRow="0" w:firstColumn="1" w:lastColumn="0" w:noHBand="0" w:noVBand="1"/>
      </w:tblPr>
      <w:tblGrid>
        <w:gridCol w:w="1560"/>
        <w:gridCol w:w="4536"/>
        <w:gridCol w:w="1275"/>
        <w:gridCol w:w="1701"/>
      </w:tblGrid>
      <w:tr w:rsidR="00E0781C" w:rsidRPr="003E068A" w:rsidTr="00C85071">
        <w:tc>
          <w:tcPr>
            <w:tcW w:w="1560" w:type="dxa"/>
            <w:shd w:val="clear" w:color="auto" w:fill="FFFFFF" w:themeFill="background1"/>
          </w:tcPr>
          <w:p w:rsidR="00E0781C" w:rsidRPr="003E068A" w:rsidRDefault="00E0781C" w:rsidP="00265182">
            <w:pPr>
              <w:rPr>
                <w:rFonts w:ascii="Times New Roman" w:hAnsi="Times New Roman" w:cs="Times New Roman"/>
                <w:b/>
                <w:sz w:val="24"/>
                <w:szCs w:val="24"/>
              </w:rPr>
            </w:pPr>
            <w:r w:rsidRPr="003E068A">
              <w:rPr>
                <w:rFonts w:ascii="Times New Roman" w:hAnsi="Times New Roman" w:cs="Times New Roman"/>
                <w:b/>
                <w:sz w:val="24"/>
                <w:szCs w:val="24"/>
              </w:rPr>
              <w:t>Izpildes termiņš</w:t>
            </w:r>
          </w:p>
        </w:tc>
        <w:tc>
          <w:tcPr>
            <w:tcW w:w="4536" w:type="dxa"/>
            <w:shd w:val="clear" w:color="auto" w:fill="auto"/>
          </w:tcPr>
          <w:p w:rsidR="00E0781C" w:rsidRPr="003E068A" w:rsidRDefault="00E0781C" w:rsidP="00265182">
            <w:pPr>
              <w:rPr>
                <w:rFonts w:ascii="Times New Roman" w:hAnsi="Times New Roman" w:cs="Times New Roman"/>
                <w:b/>
                <w:sz w:val="24"/>
                <w:szCs w:val="24"/>
              </w:rPr>
            </w:pPr>
            <w:r w:rsidRPr="003E068A">
              <w:rPr>
                <w:rFonts w:ascii="Times New Roman" w:hAnsi="Times New Roman" w:cs="Times New Roman"/>
                <w:b/>
                <w:sz w:val="24"/>
                <w:szCs w:val="24"/>
              </w:rPr>
              <w:t>Nepieciešamā rīcība</w:t>
            </w:r>
          </w:p>
        </w:tc>
        <w:tc>
          <w:tcPr>
            <w:tcW w:w="1275" w:type="dxa"/>
          </w:tcPr>
          <w:p w:rsidR="00E0781C" w:rsidRPr="003E068A" w:rsidRDefault="00E0781C" w:rsidP="00265182">
            <w:pPr>
              <w:rPr>
                <w:rFonts w:ascii="Times New Roman" w:hAnsi="Times New Roman" w:cs="Times New Roman"/>
                <w:b/>
                <w:sz w:val="24"/>
                <w:szCs w:val="24"/>
              </w:rPr>
            </w:pPr>
            <w:r>
              <w:rPr>
                <w:rFonts w:ascii="Times New Roman" w:hAnsi="Times New Roman" w:cs="Times New Roman"/>
                <w:b/>
                <w:sz w:val="24"/>
                <w:szCs w:val="24"/>
              </w:rPr>
              <w:t>Atbildīgā institūcija</w:t>
            </w:r>
          </w:p>
        </w:tc>
        <w:tc>
          <w:tcPr>
            <w:tcW w:w="1701" w:type="dxa"/>
            <w:shd w:val="clear" w:color="auto" w:fill="FFFFFF" w:themeFill="background1"/>
          </w:tcPr>
          <w:p w:rsidR="00E0781C" w:rsidRPr="003E068A" w:rsidRDefault="00E0781C" w:rsidP="00265182">
            <w:pPr>
              <w:rPr>
                <w:rFonts w:ascii="Times New Roman" w:hAnsi="Times New Roman" w:cs="Times New Roman"/>
                <w:b/>
                <w:sz w:val="24"/>
                <w:szCs w:val="24"/>
              </w:rPr>
            </w:pPr>
            <w:r w:rsidRPr="003E068A">
              <w:rPr>
                <w:rFonts w:ascii="Times New Roman" w:hAnsi="Times New Roman" w:cs="Times New Roman"/>
                <w:b/>
                <w:sz w:val="24"/>
                <w:szCs w:val="24"/>
              </w:rPr>
              <w:t>Direktīvas pants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2013.gada 5.decembris</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Ziņot Komisijai par metodoloģiju, saskaņā ar kuru ir paredzēts īstenot energoefektivitātes pienākuma shēmas vai alternatīvu pieeju (ja plāno neizmantot energ</w:t>
            </w:r>
            <w:r w:rsidR="00A93386">
              <w:rPr>
                <w:rFonts w:ascii="Times New Roman" w:hAnsi="Times New Roman" w:cs="Times New Roman"/>
                <w:sz w:val="24"/>
                <w:szCs w:val="24"/>
              </w:rPr>
              <w:t>oefektivitātes pienākuma shēmu)</w:t>
            </w:r>
          </w:p>
        </w:tc>
        <w:tc>
          <w:tcPr>
            <w:tcW w:w="1275" w:type="dxa"/>
          </w:tcPr>
          <w:p w:rsidR="00E0781C" w:rsidRPr="003E068A" w:rsidRDefault="00E0781C" w:rsidP="00265182">
            <w:pPr>
              <w:rPr>
                <w:rFonts w:ascii="Times New Roman" w:hAnsi="Times New Roman" w:cs="Times New Roman"/>
                <w:sz w:val="24"/>
                <w:szCs w:val="24"/>
              </w:rPr>
            </w:pPr>
            <w:r>
              <w:rPr>
                <w:rFonts w:ascii="Times New Roman" w:hAnsi="Times New Roman" w:cs="Times New Roman"/>
                <w:sz w:val="24"/>
                <w:szCs w:val="24"/>
              </w:rPr>
              <w:t>EM</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7.panta</w:t>
            </w:r>
          </w:p>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1.punkts 9.punkts</w:t>
            </w:r>
          </w:p>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V pielikuma 4.punkts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2013.gada 31.decembris</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Ziņot Komisijai par jebkādiem atbrīvojumiem no prasības veikt jaunas/modernizētas elektroenerģijas ražošanas un rūpniecisko iekārtu izmaksu un ieguvumu analīzi</w:t>
            </w:r>
          </w:p>
        </w:tc>
        <w:tc>
          <w:tcPr>
            <w:tcW w:w="1275" w:type="dxa"/>
          </w:tcPr>
          <w:p w:rsidR="00E0781C" w:rsidRPr="003E068A" w:rsidRDefault="00E0781C" w:rsidP="00265182">
            <w:pPr>
              <w:rPr>
                <w:rFonts w:ascii="Times New Roman" w:hAnsi="Times New Roman" w:cs="Times New Roman"/>
                <w:sz w:val="24"/>
                <w:szCs w:val="24"/>
              </w:rPr>
            </w:pPr>
            <w:r>
              <w:rPr>
                <w:rFonts w:ascii="Times New Roman" w:hAnsi="Times New Roman" w:cs="Times New Roman"/>
                <w:sz w:val="24"/>
                <w:szCs w:val="24"/>
              </w:rPr>
              <w:t>EM</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14.panta 6.punkts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 xml:space="preserve">2014.gada 1.janvāris </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Ziņot Komisijai par alternatīviem pasākumiem (ja tiek plānots sasniegt energoefektivitātes mērķus centrālās valdības īpašumā esošajās un izmantotajās ēkās, izmantojot citus rentablus pasākumus)</w:t>
            </w:r>
          </w:p>
        </w:tc>
        <w:tc>
          <w:tcPr>
            <w:tcW w:w="1275" w:type="dxa"/>
          </w:tcPr>
          <w:p w:rsidR="00E0781C" w:rsidRPr="003E068A" w:rsidRDefault="00E0781C" w:rsidP="00265182">
            <w:pPr>
              <w:rPr>
                <w:rFonts w:ascii="Times New Roman" w:hAnsi="Times New Roman" w:cs="Times New Roman"/>
                <w:sz w:val="24"/>
                <w:szCs w:val="24"/>
              </w:rPr>
            </w:pPr>
            <w:r>
              <w:rPr>
                <w:rFonts w:ascii="Times New Roman" w:hAnsi="Times New Roman" w:cs="Times New Roman"/>
                <w:sz w:val="24"/>
                <w:szCs w:val="24"/>
              </w:rPr>
              <w:t>EM</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5.panta 6.punkts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Katru 3-šo gadu, sākot ar 2014.gada 30.aprīli</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Iesniegt Komisijai valsts energoefektivitātes rīcības plānu</w:t>
            </w:r>
          </w:p>
        </w:tc>
        <w:tc>
          <w:tcPr>
            <w:tcW w:w="1275" w:type="dxa"/>
          </w:tcPr>
          <w:p w:rsidR="00E0781C" w:rsidRPr="003E068A" w:rsidRDefault="00E0781C" w:rsidP="00265182">
            <w:pPr>
              <w:rPr>
                <w:rFonts w:ascii="Times New Roman" w:hAnsi="Times New Roman" w:cs="Times New Roman"/>
                <w:sz w:val="24"/>
                <w:szCs w:val="24"/>
              </w:rPr>
            </w:pPr>
            <w:r>
              <w:rPr>
                <w:rFonts w:ascii="Times New Roman" w:hAnsi="Times New Roman" w:cs="Times New Roman"/>
                <w:sz w:val="24"/>
                <w:szCs w:val="24"/>
              </w:rPr>
              <w:t>EM</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24.panta 2.punkts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Katru 3-šo gadu, sākot ar 2014.gada 30.aprīli</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Ziņot par  ēku renovācijas ilgtermiņa stratēģijas pirmo versiju un ik pēc trīs gadiem par tās atjauninātu versiju</w:t>
            </w:r>
          </w:p>
        </w:tc>
        <w:tc>
          <w:tcPr>
            <w:tcW w:w="1275" w:type="dxa"/>
          </w:tcPr>
          <w:p w:rsidR="00E0781C" w:rsidRPr="003E068A" w:rsidRDefault="00E0781C" w:rsidP="00265182">
            <w:pPr>
              <w:rPr>
                <w:rFonts w:ascii="Times New Roman" w:hAnsi="Times New Roman" w:cs="Times New Roman"/>
                <w:sz w:val="24"/>
                <w:szCs w:val="24"/>
              </w:rPr>
            </w:pPr>
            <w:r>
              <w:rPr>
                <w:rFonts w:ascii="Times New Roman" w:hAnsi="Times New Roman" w:cs="Times New Roman"/>
                <w:sz w:val="24"/>
                <w:szCs w:val="24"/>
              </w:rPr>
              <w:t>EM</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4.pants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2014.gada 5.jūnijs</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Ziņot Komisijai par noteikto enerģijas ietaupījumu mērķu samazināšanu ne vairāk kā par 25 %</w:t>
            </w:r>
          </w:p>
        </w:tc>
        <w:tc>
          <w:tcPr>
            <w:tcW w:w="1275" w:type="dxa"/>
          </w:tcPr>
          <w:p w:rsidR="00E0781C" w:rsidRPr="003E068A" w:rsidRDefault="00E0781C" w:rsidP="00265182">
            <w:pPr>
              <w:rPr>
                <w:rFonts w:ascii="Times New Roman" w:hAnsi="Times New Roman" w:cs="Times New Roman"/>
                <w:sz w:val="24"/>
                <w:szCs w:val="24"/>
              </w:rPr>
            </w:pPr>
            <w:r>
              <w:rPr>
                <w:rFonts w:ascii="Times New Roman" w:hAnsi="Times New Roman" w:cs="Times New Roman"/>
                <w:sz w:val="24"/>
                <w:szCs w:val="24"/>
              </w:rPr>
              <w:t>EM</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7.panta 2.punkts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 xml:space="preserve">2015.gada 1.janvāris </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 xml:space="preserve">Ja nepieciešams, energopakalpojumu sniedzējiem, energoauditu veicējiem, </w:t>
            </w:r>
            <w:proofErr w:type="spellStart"/>
            <w:r w:rsidRPr="003E068A">
              <w:rPr>
                <w:rFonts w:ascii="Times New Roman" w:hAnsi="Times New Roman" w:cs="Times New Roman"/>
                <w:sz w:val="24"/>
                <w:szCs w:val="24"/>
              </w:rPr>
              <w:t>energopārvaldniekiem</w:t>
            </w:r>
            <w:proofErr w:type="spellEnd"/>
            <w:r w:rsidRPr="003E068A">
              <w:rPr>
                <w:rFonts w:ascii="Times New Roman" w:hAnsi="Times New Roman" w:cs="Times New Roman"/>
                <w:sz w:val="24"/>
                <w:szCs w:val="24"/>
              </w:rPr>
              <w:t xml:space="preserve"> un ar enerģiju saistītu būves elementu uzstādītājiem darīt </w:t>
            </w:r>
            <w:r w:rsidRPr="003E068A">
              <w:rPr>
                <w:rFonts w:ascii="Times New Roman" w:hAnsi="Times New Roman" w:cs="Times New Roman"/>
                <w:sz w:val="24"/>
                <w:szCs w:val="24"/>
              </w:rPr>
              <w:lastRenderedPageBreak/>
              <w:t>pieejamas sertifikācijas un/vai akreditācijas shēmas un/vai līdzvērtīgas kvalifikācijas shēmas</w:t>
            </w:r>
          </w:p>
        </w:tc>
        <w:tc>
          <w:tcPr>
            <w:tcW w:w="1275" w:type="dxa"/>
          </w:tcPr>
          <w:p w:rsidR="00E0781C" w:rsidRPr="003E068A" w:rsidRDefault="003B3AE3" w:rsidP="00265182">
            <w:pPr>
              <w:rPr>
                <w:rFonts w:ascii="Times New Roman" w:hAnsi="Times New Roman" w:cs="Times New Roman"/>
                <w:sz w:val="24"/>
                <w:szCs w:val="24"/>
              </w:rPr>
            </w:pPr>
            <w:r>
              <w:rPr>
                <w:rFonts w:ascii="Times New Roman" w:hAnsi="Times New Roman" w:cs="Times New Roman"/>
                <w:sz w:val="24"/>
                <w:szCs w:val="24"/>
              </w:rPr>
              <w:lastRenderedPageBreak/>
              <w:t>EM</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16.panta 1.punkts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lastRenderedPageBreak/>
              <w:t>Katru gadu,  sākot ar 2015.gada 30.aprīli</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Iesniegt Komisijai statistikas datus par valsts elektroenerģijas un siltuma ražošanu augstas un zemas efektivitātes koģenerācijas režīmā  attiecībā pret kopējo siltuma un elektroenerģijas ražošanas jaudu</w:t>
            </w:r>
          </w:p>
        </w:tc>
        <w:tc>
          <w:tcPr>
            <w:tcW w:w="1275" w:type="dxa"/>
          </w:tcPr>
          <w:p w:rsidR="00E0781C" w:rsidRPr="003E068A" w:rsidRDefault="003B3AE3" w:rsidP="00265182">
            <w:pPr>
              <w:rPr>
                <w:rFonts w:ascii="Times New Roman" w:hAnsi="Times New Roman" w:cs="Times New Roman"/>
                <w:sz w:val="24"/>
                <w:szCs w:val="24"/>
              </w:rPr>
            </w:pPr>
            <w:r>
              <w:rPr>
                <w:rFonts w:ascii="Times New Roman" w:hAnsi="Times New Roman" w:cs="Times New Roman"/>
                <w:sz w:val="24"/>
                <w:szCs w:val="24"/>
              </w:rPr>
              <w:t>EM, CSP</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24.panta 6.punkts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2015.gada 30.jūnijs</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Izvērtēt gāzes un elektroenerģijas infrastruktūras energoefektivitātes potenciālu un identificēt energoefektivitātes uzlabošanas pasākumus</w:t>
            </w:r>
          </w:p>
        </w:tc>
        <w:tc>
          <w:tcPr>
            <w:tcW w:w="1275" w:type="dxa"/>
          </w:tcPr>
          <w:p w:rsidR="00E0781C" w:rsidRPr="003E068A" w:rsidRDefault="003B3AE3" w:rsidP="00265182">
            <w:pPr>
              <w:rPr>
                <w:rFonts w:ascii="Times New Roman" w:hAnsi="Times New Roman" w:cs="Times New Roman"/>
                <w:sz w:val="24"/>
                <w:szCs w:val="24"/>
              </w:rPr>
            </w:pPr>
            <w:r>
              <w:rPr>
                <w:rFonts w:ascii="Times New Roman" w:hAnsi="Times New Roman" w:cs="Times New Roman"/>
                <w:sz w:val="24"/>
                <w:szCs w:val="24"/>
              </w:rPr>
              <w:t>EM, SPRK</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15.panta 2.punkts</w:t>
            </w:r>
          </w:p>
        </w:tc>
      </w:tr>
      <w:tr w:rsidR="00E0781C" w:rsidRPr="003E068A" w:rsidTr="00C85071">
        <w:tc>
          <w:tcPr>
            <w:tcW w:w="1560" w:type="dxa"/>
            <w:shd w:val="clear" w:color="auto" w:fill="D9D9D9" w:themeFill="background1" w:themeFillShade="D9"/>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2015.gada 31.decembris</w:t>
            </w:r>
          </w:p>
        </w:tc>
        <w:tc>
          <w:tcPr>
            <w:tcW w:w="4536"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Ziņot Komisijai par augstas efektivitātes koģenerācijas un efektīvas centralizētas siltumapgādes un dzesēšanas izmantošanas potenciāla izvērtējumu; veic atbilstošus pasākumus šī potenciāla izmantošanai</w:t>
            </w:r>
          </w:p>
        </w:tc>
        <w:tc>
          <w:tcPr>
            <w:tcW w:w="1275" w:type="dxa"/>
          </w:tcPr>
          <w:p w:rsidR="00E0781C" w:rsidRPr="003E068A" w:rsidRDefault="003B3AE3" w:rsidP="00265182">
            <w:pPr>
              <w:rPr>
                <w:rFonts w:ascii="Times New Roman" w:hAnsi="Times New Roman" w:cs="Times New Roman"/>
                <w:sz w:val="24"/>
                <w:szCs w:val="24"/>
              </w:rPr>
            </w:pPr>
            <w:r>
              <w:rPr>
                <w:rFonts w:ascii="Times New Roman" w:hAnsi="Times New Roman" w:cs="Times New Roman"/>
                <w:sz w:val="24"/>
                <w:szCs w:val="24"/>
              </w:rPr>
              <w:t>EM</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14.panta 1.-2.punkts</w:t>
            </w:r>
          </w:p>
        </w:tc>
      </w:tr>
      <w:tr w:rsidR="00E0781C" w:rsidRPr="003E068A" w:rsidTr="00C85071">
        <w:tc>
          <w:tcPr>
            <w:tcW w:w="1560" w:type="dxa"/>
            <w:shd w:val="clear" w:color="auto" w:fill="D9D9D9" w:themeFill="background1" w:themeFillShade="D9"/>
          </w:tcPr>
          <w:p w:rsidR="00E0781C" w:rsidRPr="003E068A" w:rsidRDefault="00E0781C" w:rsidP="002D2D83">
            <w:pPr>
              <w:rPr>
                <w:rFonts w:ascii="Times New Roman" w:hAnsi="Times New Roman" w:cs="Times New Roman"/>
                <w:sz w:val="24"/>
                <w:szCs w:val="24"/>
              </w:rPr>
            </w:pPr>
            <w:r w:rsidRPr="003E068A">
              <w:rPr>
                <w:rFonts w:ascii="Times New Roman" w:hAnsi="Times New Roman" w:cs="Times New Roman"/>
                <w:sz w:val="24"/>
                <w:szCs w:val="24"/>
              </w:rPr>
              <w:t>201</w:t>
            </w:r>
            <w:r w:rsidR="002D2D83">
              <w:rPr>
                <w:rFonts w:ascii="Times New Roman" w:hAnsi="Times New Roman" w:cs="Times New Roman"/>
                <w:sz w:val="24"/>
                <w:szCs w:val="24"/>
              </w:rPr>
              <w:t>4</w:t>
            </w:r>
            <w:r w:rsidRPr="003E068A">
              <w:rPr>
                <w:rFonts w:ascii="Times New Roman" w:hAnsi="Times New Roman" w:cs="Times New Roman"/>
                <w:sz w:val="24"/>
                <w:szCs w:val="24"/>
              </w:rPr>
              <w:t>.gada 31.decembris</w:t>
            </w:r>
          </w:p>
        </w:tc>
        <w:tc>
          <w:tcPr>
            <w:tcW w:w="4536" w:type="dxa"/>
          </w:tcPr>
          <w:p w:rsidR="00E0781C" w:rsidRPr="003E068A" w:rsidRDefault="003B3AE3" w:rsidP="003B3AE3">
            <w:pPr>
              <w:rPr>
                <w:rFonts w:ascii="Times New Roman" w:hAnsi="Times New Roman" w:cs="Times New Roman"/>
                <w:sz w:val="24"/>
                <w:szCs w:val="24"/>
              </w:rPr>
            </w:pPr>
            <w:r>
              <w:rPr>
                <w:rFonts w:ascii="Times New Roman" w:hAnsi="Times New Roman" w:cs="Times New Roman"/>
                <w:sz w:val="24"/>
                <w:szCs w:val="24"/>
              </w:rPr>
              <w:t>Nodrošināt regulējumu, kas liek u</w:t>
            </w:r>
            <w:r w:rsidR="00E0781C" w:rsidRPr="003E068A">
              <w:rPr>
                <w:rFonts w:ascii="Times New Roman" w:hAnsi="Times New Roman" w:cs="Times New Roman"/>
                <w:sz w:val="24"/>
                <w:szCs w:val="24"/>
              </w:rPr>
              <w:t>zstādīt daudzdzīvokļu ēkās un daudzfunkcionālās ēkās individuālos patēriņa skaitītājus, ja tas ir tehniski iespējams un ekonomiski pamatoti</w:t>
            </w:r>
          </w:p>
        </w:tc>
        <w:tc>
          <w:tcPr>
            <w:tcW w:w="1275" w:type="dxa"/>
          </w:tcPr>
          <w:p w:rsidR="00E0781C" w:rsidRPr="003E068A" w:rsidRDefault="003B3AE3" w:rsidP="00265182">
            <w:pPr>
              <w:rPr>
                <w:rFonts w:ascii="Times New Roman" w:hAnsi="Times New Roman" w:cs="Times New Roman"/>
                <w:sz w:val="24"/>
                <w:szCs w:val="24"/>
              </w:rPr>
            </w:pPr>
            <w:r>
              <w:rPr>
                <w:rFonts w:ascii="Times New Roman" w:hAnsi="Times New Roman" w:cs="Times New Roman"/>
                <w:sz w:val="24"/>
                <w:szCs w:val="24"/>
              </w:rPr>
              <w:t>EM</w:t>
            </w:r>
          </w:p>
        </w:tc>
        <w:tc>
          <w:tcPr>
            <w:tcW w:w="1701" w:type="dxa"/>
          </w:tcPr>
          <w:p w:rsidR="00E0781C" w:rsidRPr="003E068A" w:rsidRDefault="00E0781C" w:rsidP="00265182">
            <w:pPr>
              <w:rPr>
                <w:rFonts w:ascii="Times New Roman" w:hAnsi="Times New Roman" w:cs="Times New Roman"/>
                <w:sz w:val="24"/>
                <w:szCs w:val="24"/>
              </w:rPr>
            </w:pPr>
            <w:r w:rsidRPr="003E068A">
              <w:rPr>
                <w:rFonts w:ascii="Times New Roman" w:hAnsi="Times New Roman" w:cs="Times New Roman"/>
                <w:sz w:val="24"/>
                <w:szCs w:val="24"/>
              </w:rPr>
              <w:t>9.panta 3.punkts</w:t>
            </w:r>
          </w:p>
        </w:tc>
      </w:tr>
    </w:tbl>
    <w:p w:rsidR="00E0781C" w:rsidRPr="003E068A" w:rsidRDefault="00E0781C" w:rsidP="00E0781C">
      <w:pPr>
        <w:spacing w:after="0" w:line="240" w:lineRule="auto"/>
        <w:rPr>
          <w:rFonts w:ascii="Times New Roman" w:hAnsi="Times New Roman" w:cs="Times New Roman"/>
          <w:sz w:val="24"/>
          <w:szCs w:val="24"/>
        </w:rPr>
      </w:pPr>
    </w:p>
    <w:p w:rsidR="00C85071" w:rsidRDefault="002F4375" w:rsidP="00BC6D46">
      <w:pPr>
        <w:pStyle w:val="naiskr"/>
        <w:spacing w:before="0" w:after="240"/>
        <w:ind w:firstLine="709"/>
        <w:jc w:val="both"/>
        <w:rPr>
          <w:sz w:val="28"/>
          <w:szCs w:val="28"/>
        </w:rPr>
      </w:pPr>
      <w:r>
        <w:rPr>
          <w:sz w:val="28"/>
          <w:szCs w:val="28"/>
        </w:rPr>
        <w:t>Pilnīgai direktīvas prasību ieviešanai</w:t>
      </w:r>
      <w:r w:rsidR="00AB55DD">
        <w:rPr>
          <w:sz w:val="28"/>
          <w:szCs w:val="28"/>
        </w:rPr>
        <w:t xml:space="preserve"> nepieciešama arī citu institūciju rīcība kā norādīts </w:t>
      </w:r>
      <w:r w:rsidR="00A6188B">
        <w:rPr>
          <w:sz w:val="28"/>
          <w:szCs w:val="28"/>
        </w:rPr>
        <w:t>4</w:t>
      </w:r>
      <w:r w:rsidR="00AB55DD">
        <w:rPr>
          <w:sz w:val="28"/>
          <w:szCs w:val="28"/>
        </w:rPr>
        <w:t>.</w:t>
      </w:r>
      <w:r w:rsidR="00BD5168">
        <w:rPr>
          <w:sz w:val="28"/>
          <w:szCs w:val="28"/>
        </w:rPr>
        <w:t> </w:t>
      </w:r>
      <w:r w:rsidR="00AB55DD">
        <w:rPr>
          <w:sz w:val="28"/>
          <w:szCs w:val="28"/>
        </w:rPr>
        <w:t>tabulā.</w:t>
      </w:r>
    </w:p>
    <w:p w:rsidR="00272AE2" w:rsidRDefault="00A6188B" w:rsidP="00272AE2">
      <w:pPr>
        <w:pStyle w:val="naiskr"/>
        <w:spacing w:before="0" w:after="0"/>
        <w:jc w:val="right"/>
        <w:rPr>
          <w:b/>
        </w:rPr>
      </w:pPr>
      <w:r>
        <w:rPr>
          <w:b/>
        </w:rPr>
        <w:t>4</w:t>
      </w:r>
      <w:r w:rsidR="00AB55DD" w:rsidRPr="00C85071">
        <w:rPr>
          <w:b/>
        </w:rPr>
        <w:t>.</w:t>
      </w:r>
      <w:r w:rsidR="009C40DD">
        <w:rPr>
          <w:b/>
        </w:rPr>
        <w:t> </w:t>
      </w:r>
      <w:r w:rsidR="00AB55DD" w:rsidRPr="00C85071">
        <w:rPr>
          <w:b/>
        </w:rPr>
        <w:t>tabula</w:t>
      </w:r>
      <w:r w:rsidR="00C85071" w:rsidRPr="00C85071">
        <w:rPr>
          <w:b/>
        </w:rPr>
        <w:t xml:space="preserve">. </w:t>
      </w:r>
    </w:p>
    <w:p w:rsidR="00AB55DD" w:rsidRPr="00C85071" w:rsidRDefault="00AB55DD" w:rsidP="00272AE2">
      <w:pPr>
        <w:pStyle w:val="naiskr"/>
        <w:spacing w:before="0" w:after="0"/>
        <w:jc w:val="right"/>
        <w:rPr>
          <w:sz w:val="28"/>
          <w:szCs w:val="28"/>
        </w:rPr>
      </w:pPr>
      <w:r w:rsidRPr="00C85071">
        <w:rPr>
          <w:b/>
        </w:rPr>
        <w:t>Turpmākās rīcības Direktīvas 2012/27/ES prasību ieviešanai</w:t>
      </w:r>
    </w:p>
    <w:tbl>
      <w:tblPr>
        <w:tblStyle w:val="TableGrid"/>
        <w:tblW w:w="0" w:type="auto"/>
        <w:tblLook w:val="04A0" w:firstRow="1" w:lastRow="0" w:firstColumn="1" w:lastColumn="0" w:noHBand="0" w:noVBand="1"/>
      </w:tblPr>
      <w:tblGrid>
        <w:gridCol w:w="4785"/>
        <w:gridCol w:w="1647"/>
        <w:gridCol w:w="1621"/>
        <w:gridCol w:w="1234"/>
      </w:tblGrid>
      <w:tr w:rsidR="00877378" w:rsidRPr="00AB55DD" w:rsidTr="00877378">
        <w:tc>
          <w:tcPr>
            <w:tcW w:w="4785" w:type="dxa"/>
          </w:tcPr>
          <w:p w:rsidR="00877378" w:rsidRPr="00AB55DD" w:rsidRDefault="00877378" w:rsidP="00C218A5">
            <w:pPr>
              <w:pStyle w:val="naiskr"/>
              <w:spacing w:before="0" w:after="0"/>
              <w:jc w:val="both"/>
            </w:pPr>
            <w:r w:rsidRPr="00AB55DD">
              <w:t xml:space="preserve">Uzdevums </w:t>
            </w:r>
          </w:p>
        </w:tc>
        <w:tc>
          <w:tcPr>
            <w:tcW w:w="1647" w:type="dxa"/>
          </w:tcPr>
          <w:p w:rsidR="00877378" w:rsidRPr="00AB55DD" w:rsidRDefault="00877378" w:rsidP="00C218A5">
            <w:pPr>
              <w:pStyle w:val="naiskr"/>
              <w:spacing w:before="0" w:after="0"/>
              <w:jc w:val="both"/>
            </w:pPr>
            <w:r w:rsidRPr="00AB55DD">
              <w:t>Atbildīgā institūcija</w:t>
            </w:r>
          </w:p>
        </w:tc>
        <w:tc>
          <w:tcPr>
            <w:tcW w:w="1621" w:type="dxa"/>
          </w:tcPr>
          <w:p w:rsidR="00877378" w:rsidRPr="00AB55DD" w:rsidRDefault="00877378" w:rsidP="00C218A5">
            <w:pPr>
              <w:pStyle w:val="naiskr"/>
              <w:spacing w:before="0" w:after="0"/>
              <w:jc w:val="both"/>
            </w:pPr>
            <w:r w:rsidRPr="00AB55DD">
              <w:t>Termiņš</w:t>
            </w:r>
          </w:p>
        </w:tc>
        <w:tc>
          <w:tcPr>
            <w:tcW w:w="1234" w:type="dxa"/>
          </w:tcPr>
          <w:p w:rsidR="00877378" w:rsidRPr="00AB55DD" w:rsidRDefault="00877378" w:rsidP="00C218A5">
            <w:pPr>
              <w:pStyle w:val="naiskr"/>
              <w:spacing w:before="0" w:after="0"/>
              <w:jc w:val="both"/>
            </w:pPr>
            <w:r>
              <w:t>Direktīvas prasība</w:t>
            </w:r>
          </w:p>
        </w:tc>
      </w:tr>
      <w:tr w:rsidR="00877378" w:rsidRPr="00AB55DD" w:rsidTr="00877378">
        <w:tc>
          <w:tcPr>
            <w:tcW w:w="4785" w:type="dxa"/>
          </w:tcPr>
          <w:p w:rsidR="00877378" w:rsidRPr="00AB55DD" w:rsidRDefault="00F6442E" w:rsidP="00A82669">
            <w:pPr>
              <w:pStyle w:val="naiskr"/>
              <w:spacing w:before="0" w:after="0"/>
              <w:jc w:val="both"/>
            </w:pPr>
            <w:r w:rsidRPr="00F6442E">
              <w:t>Izstrādāt un iesniegt Ministru kabinetā Energoefektivitātes likumprojektu, kurā tiktu iekļauta energoefektivitātes fonda izveide</w:t>
            </w:r>
            <w:r>
              <w:t>.</w:t>
            </w:r>
          </w:p>
        </w:tc>
        <w:tc>
          <w:tcPr>
            <w:tcW w:w="1647" w:type="dxa"/>
          </w:tcPr>
          <w:p w:rsidR="00877378" w:rsidRPr="00AB55DD" w:rsidRDefault="00877378" w:rsidP="004B7D0F">
            <w:pPr>
              <w:pStyle w:val="naiskr"/>
              <w:spacing w:before="0" w:after="0"/>
              <w:jc w:val="both"/>
            </w:pPr>
            <w:r>
              <w:t>EM,</w:t>
            </w:r>
            <w:r w:rsidRPr="00AB55DD">
              <w:t xml:space="preserve"> FM</w:t>
            </w:r>
            <w:r>
              <w:t xml:space="preserve"> </w:t>
            </w:r>
          </w:p>
        </w:tc>
        <w:tc>
          <w:tcPr>
            <w:tcW w:w="1621" w:type="dxa"/>
          </w:tcPr>
          <w:p w:rsidR="00877378" w:rsidRPr="00AB55DD" w:rsidRDefault="0068037F" w:rsidP="0068037F">
            <w:pPr>
              <w:pStyle w:val="naiskr"/>
              <w:spacing w:before="0" w:after="0"/>
              <w:jc w:val="both"/>
            </w:pPr>
            <w:r>
              <w:t>10.02</w:t>
            </w:r>
            <w:r w:rsidR="00877378" w:rsidRPr="00AB55DD">
              <w:t>.2014.</w:t>
            </w:r>
          </w:p>
        </w:tc>
        <w:tc>
          <w:tcPr>
            <w:tcW w:w="1234" w:type="dxa"/>
          </w:tcPr>
          <w:p w:rsidR="00877378" w:rsidRPr="00AB55DD" w:rsidRDefault="00877378" w:rsidP="00C218A5">
            <w:pPr>
              <w:pStyle w:val="naiskr"/>
              <w:spacing w:before="0" w:after="0"/>
              <w:jc w:val="both"/>
            </w:pPr>
            <w:r>
              <w:t>20. panta 4. punkts</w:t>
            </w:r>
          </w:p>
        </w:tc>
      </w:tr>
      <w:tr w:rsidR="00877378" w:rsidRPr="00AB55DD" w:rsidTr="00877378">
        <w:tc>
          <w:tcPr>
            <w:tcW w:w="4785" w:type="dxa"/>
          </w:tcPr>
          <w:p w:rsidR="00877378" w:rsidRPr="00AB55DD" w:rsidRDefault="00165012" w:rsidP="007F55FA">
            <w:pPr>
              <w:pStyle w:val="naiskr"/>
              <w:spacing w:before="0" w:after="0"/>
              <w:jc w:val="both"/>
            </w:pPr>
            <w:r w:rsidRPr="00165012">
              <w:t>Ministru kabinetā iesniegt</w:t>
            </w:r>
            <w:r w:rsidR="00877378">
              <w:t xml:space="preserve"> normatīvo aktu grozījumus publiskā iepirkuma jomā, lai nodrošinātu, ka </w:t>
            </w:r>
            <w:r w:rsidR="007F55FA">
              <w:t xml:space="preserve">centrālās </w:t>
            </w:r>
            <w:r w:rsidR="00877378">
              <w:t xml:space="preserve">valdības </w:t>
            </w:r>
            <w:r w:rsidR="007F55FA">
              <w:t>iestādes</w:t>
            </w:r>
            <w:r w:rsidR="00877378">
              <w:t xml:space="preserve"> iegādājas tikai augsti </w:t>
            </w:r>
            <w:proofErr w:type="spellStart"/>
            <w:r w:rsidR="00877378">
              <w:t>energoefektīvus</w:t>
            </w:r>
            <w:proofErr w:type="spellEnd"/>
            <w:r w:rsidR="00877378">
              <w:t xml:space="preserve"> ražojumus, pakalpojumus un ēkas.</w:t>
            </w:r>
          </w:p>
        </w:tc>
        <w:tc>
          <w:tcPr>
            <w:tcW w:w="1647" w:type="dxa"/>
          </w:tcPr>
          <w:p w:rsidR="00877378" w:rsidRPr="00AB55DD" w:rsidRDefault="00877378" w:rsidP="004B7D0F">
            <w:pPr>
              <w:pStyle w:val="naiskr"/>
              <w:spacing w:before="0" w:after="0"/>
            </w:pPr>
            <w:r w:rsidRPr="00AD328F">
              <w:t xml:space="preserve">EM, </w:t>
            </w:r>
            <w:r>
              <w:t>FM, VARAM,   IUB</w:t>
            </w:r>
          </w:p>
        </w:tc>
        <w:tc>
          <w:tcPr>
            <w:tcW w:w="1621" w:type="dxa"/>
          </w:tcPr>
          <w:p w:rsidR="00877378" w:rsidRPr="00AB55DD" w:rsidRDefault="00DB6141" w:rsidP="00DB6141">
            <w:pPr>
              <w:pStyle w:val="naiskr"/>
              <w:spacing w:before="0" w:after="0"/>
              <w:jc w:val="both"/>
            </w:pPr>
            <w:r>
              <w:t>10</w:t>
            </w:r>
            <w:r w:rsidR="00165012">
              <w:t>.</w:t>
            </w:r>
            <w:r>
              <w:t>02</w:t>
            </w:r>
            <w:r w:rsidR="00877378">
              <w:t>.201</w:t>
            </w:r>
            <w:r>
              <w:t>4</w:t>
            </w:r>
            <w:r w:rsidR="00877378">
              <w:t>.</w:t>
            </w:r>
          </w:p>
        </w:tc>
        <w:tc>
          <w:tcPr>
            <w:tcW w:w="1234" w:type="dxa"/>
          </w:tcPr>
          <w:p w:rsidR="00877378" w:rsidRDefault="00877378" w:rsidP="00C218A5">
            <w:pPr>
              <w:pStyle w:val="naiskr"/>
              <w:spacing w:before="0" w:after="0"/>
              <w:jc w:val="both"/>
            </w:pPr>
            <w:r>
              <w:t>6. panta 1. punkts</w:t>
            </w:r>
          </w:p>
        </w:tc>
      </w:tr>
      <w:tr w:rsidR="00877378" w:rsidRPr="00AB55DD" w:rsidTr="00877378">
        <w:tc>
          <w:tcPr>
            <w:tcW w:w="4785" w:type="dxa"/>
          </w:tcPr>
          <w:p w:rsidR="00877378" w:rsidRDefault="00165012" w:rsidP="007F55FA">
            <w:pPr>
              <w:pStyle w:val="naiskr"/>
              <w:spacing w:before="0" w:after="0"/>
              <w:jc w:val="both"/>
            </w:pPr>
            <w:r w:rsidRPr="00165012">
              <w:t>Ministru kabinetā iesniegt</w:t>
            </w:r>
            <w:r w:rsidR="00877378">
              <w:t xml:space="preserve"> normatīvo aktu grozījumus ietekmes uz vidi novērtējuma un darbības atļauju jomā, lai nodrošinātu siltumapgādes sistēmu un koģenerācijas potenciāla apguves izmaksu un ieguvumu analīzi jau</w:t>
            </w:r>
            <w:r w:rsidR="007F55FA">
              <w:t>nām un rekonstruējamām iekārtām</w:t>
            </w:r>
            <w:r w:rsidR="00877378">
              <w:t>.</w:t>
            </w:r>
          </w:p>
        </w:tc>
        <w:tc>
          <w:tcPr>
            <w:tcW w:w="1647" w:type="dxa"/>
          </w:tcPr>
          <w:p w:rsidR="00877378" w:rsidRDefault="00877378" w:rsidP="00C218A5">
            <w:pPr>
              <w:pStyle w:val="naiskr"/>
              <w:spacing w:before="0" w:after="0"/>
              <w:jc w:val="both"/>
            </w:pPr>
            <w:r>
              <w:t>EM</w:t>
            </w:r>
            <w:r w:rsidR="007C4EA6">
              <w:t>, VARAM</w:t>
            </w:r>
          </w:p>
        </w:tc>
        <w:tc>
          <w:tcPr>
            <w:tcW w:w="1621" w:type="dxa"/>
          </w:tcPr>
          <w:p w:rsidR="00877378" w:rsidRDefault="00DB6141" w:rsidP="00DB6141">
            <w:pPr>
              <w:pStyle w:val="naiskr"/>
              <w:spacing w:before="0" w:after="0"/>
              <w:jc w:val="both"/>
            </w:pPr>
            <w:r>
              <w:t>10</w:t>
            </w:r>
            <w:r w:rsidR="00165012">
              <w:t>.</w:t>
            </w:r>
            <w:r>
              <w:t>0</w:t>
            </w:r>
            <w:r w:rsidR="00165012">
              <w:t>2</w:t>
            </w:r>
            <w:r w:rsidR="00877378" w:rsidRPr="00AB55DD">
              <w:t>.201</w:t>
            </w:r>
            <w:r>
              <w:t>4</w:t>
            </w:r>
            <w:r w:rsidR="00877378" w:rsidRPr="00AB55DD">
              <w:t>.</w:t>
            </w:r>
          </w:p>
        </w:tc>
        <w:tc>
          <w:tcPr>
            <w:tcW w:w="1234" w:type="dxa"/>
          </w:tcPr>
          <w:p w:rsidR="00877378" w:rsidRPr="00AB55DD" w:rsidRDefault="00877378" w:rsidP="009257AF">
            <w:pPr>
              <w:pStyle w:val="naiskr"/>
              <w:spacing w:before="0" w:after="0"/>
              <w:jc w:val="both"/>
            </w:pPr>
            <w:r>
              <w:t>14. pants</w:t>
            </w:r>
          </w:p>
        </w:tc>
      </w:tr>
      <w:tr w:rsidR="00877378" w:rsidRPr="00AB55DD" w:rsidTr="00877378">
        <w:tc>
          <w:tcPr>
            <w:tcW w:w="4785" w:type="dxa"/>
          </w:tcPr>
          <w:p w:rsidR="00877378" w:rsidRDefault="00877378" w:rsidP="00C218A5">
            <w:pPr>
              <w:pStyle w:val="naiskr"/>
              <w:spacing w:before="0" w:after="0"/>
              <w:jc w:val="both"/>
            </w:pPr>
            <w:r>
              <w:t xml:space="preserve">Izstrādāt metodiskos norādījumus energoefektivitātes jautājumu iekļaušanai pašvaldību attīstības programmās un </w:t>
            </w:r>
            <w:proofErr w:type="spellStart"/>
            <w:r>
              <w:t>energoplānos</w:t>
            </w:r>
            <w:proofErr w:type="spellEnd"/>
            <w:r>
              <w:t>.</w:t>
            </w:r>
          </w:p>
        </w:tc>
        <w:tc>
          <w:tcPr>
            <w:tcW w:w="1647" w:type="dxa"/>
          </w:tcPr>
          <w:p w:rsidR="00877378" w:rsidRDefault="007F55FA" w:rsidP="007F55FA">
            <w:pPr>
              <w:pStyle w:val="naiskr"/>
              <w:spacing w:before="0" w:after="0"/>
              <w:jc w:val="both"/>
            </w:pPr>
            <w:r>
              <w:t xml:space="preserve">EM, </w:t>
            </w:r>
            <w:r w:rsidR="00877378">
              <w:t xml:space="preserve">VARAM </w:t>
            </w:r>
          </w:p>
        </w:tc>
        <w:tc>
          <w:tcPr>
            <w:tcW w:w="1621" w:type="dxa"/>
          </w:tcPr>
          <w:p w:rsidR="00877378" w:rsidRPr="00AB55DD" w:rsidRDefault="00DB6141" w:rsidP="00DB6141">
            <w:pPr>
              <w:pStyle w:val="naiskr"/>
              <w:spacing w:before="0" w:after="0"/>
              <w:jc w:val="both"/>
            </w:pPr>
            <w:r>
              <w:t>10</w:t>
            </w:r>
            <w:r w:rsidR="00877378">
              <w:t>.</w:t>
            </w:r>
            <w:r>
              <w:t>0</w:t>
            </w:r>
            <w:r w:rsidR="00877378">
              <w:t>2.201</w:t>
            </w:r>
            <w:r>
              <w:t>4</w:t>
            </w:r>
            <w:r w:rsidR="00877378">
              <w:t>.</w:t>
            </w:r>
          </w:p>
        </w:tc>
        <w:tc>
          <w:tcPr>
            <w:tcW w:w="1234" w:type="dxa"/>
          </w:tcPr>
          <w:p w:rsidR="00877378" w:rsidRDefault="00877378" w:rsidP="00C218A5">
            <w:pPr>
              <w:pStyle w:val="naiskr"/>
              <w:spacing w:before="0" w:after="0"/>
              <w:jc w:val="both"/>
            </w:pPr>
          </w:p>
        </w:tc>
      </w:tr>
      <w:tr w:rsidR="00877378" w:rsidRPr="00AB55DD" w:rsidTr="00877378">
        <w:tc>
          <w:tcPr>
            <w:tcW w:w="4785" w:type="dxa"/>
          </w:tcPr>
          <w:p w:rsidR="00877378" w:rsidRDefault="00877378" w:rsidP="00247471">
            <w:pPr>
              <w:pStyle w:val="naiskr"/>
            </w:pPr>
            <w:r>
              <w:rPr>
                <w:bCs/>
              </w:rPr>
              <w:t>Iz</w:t>
            </w:r>
            <w:r w:rsidRPr="00186977">
              <w:rPr>
                <w:bCs/>
              </w:rPr>
              <w:t>veidot darba grupu</w:t>
            </w:r>
            <w:r>
              <w:t xml:space="preserve"> </w:t>
            </w:r>
            <w:r w:rsidRPr="00186977">
              <w:t xml:space="preserve">Direktīvas 2012/27/ES </w:t>
            </w:r>
            <w:r>
              <w:t>prasību ieviešanai e</w:t>
            </w:r>
            <w:r w:rsidRPr="00186977">
              <w:rPr>
                <w:bCs/>
              </w:rPr>
              <w:t>nerģijas pārveide</w:t>
            </w:r>
            <w:r>
              <w:rPr>
                <w:bCs/>
              </w:rPr>
              <w:t>s</w:t>
            </w:r>
            <w:r w:rsidRPr="00186977">
              <w:rPr>
                <w:bCs/>
              </w:rPr>
              <w:t xml:space="preserve">, </w:t>
            </w:r>
            <w:r w:rsidRPr="00186977">
              <w:rPr>
                <w:bCs/>
              </w:rPr>
              <w:lastRenderedPageBreak/>
              <w:t>pārvade</w:t>
            </w:r>
            <w:r>
              <w:rPr>
                <w:bCs/>
              </w:rPr>
              <w:t>s</w:t>
            </w:r>
            <w:r w:rsidRPr="00186977">
              <w:rPr>
                <w:bCs/>
              </w:rPr>
              <w:t xml:space="preserve"> un sadale</w:t>
            </w:r>
            <w:r>
              <w:rPr>
                <w:bCs/>
              </w:rPr>
              <w:t xml:space="preserve">s </w:t>
            </w:r>
            <w:r w:rsidR="007F55FA">
              <w:rPr>
                <w:bCs/>
              </w:rPr>
              <w:t xml:space="preserve">regulēšanas </w:t>
            </w:r>
            <w:r>
              <w:rPr>
                <w:bCs/>
              </w:rPr>
              <w:t>jomā</w:t>
            </w:r>
            <w:r w:rsidRPr="00186977">
              <w:rPr>
                <w:bCs/>
              </w:rPr>
              <w:t xml:space="preserve">,  iesaistot pārstāvjus no Sabiedrisko pakalpojumu regulēšanas </w:t>
            </w:r>
            <w:r w:rsidR="007F55FA">
              <w:rPr>
                <w:bCs/>
              </w:rPr>
              <w:t xml:space="preserve">komisijas un lielākajiem </w:t>
            </w:r>
            <w:r w:rsidRPr="00186977">
              <w:rPr>
                <w:bCs/>
              </w:rPr>
              <w:t>enerģijas piegādes komersantiem.</w:t>
            </w:r>
          </w:p>
        </w:tc>
        <w:tc>
          <w:tcPr>
            <w:tcW w:w="1647" w:type="dxa"/>
          </w:tcPr>
          <w:p w:rsidR="00877378" w:rsidRDefault="00877378" w:rsidP="003E017C">
            <w:pPr>
              <w:pStyle w:val="naiskr"/>
              <w:spacing w:before="0" w:after="0"/>
              <w:jc w:val="both"/>
            </w:pPr>
            <w:r>
              <w:lastRenderedPageBreak/>
              <w:t>EM</w:t>
            </w:r>
          </w:p>
        </w:tc>
        <w:tc>
          <w:tcPr>
            <w:tcW w:w="1621" w:type="dxa"/>
          </w:tcPr>
          <w:p w:rsidR="00877378" w:rsidRDefault="00877378" w:rsidP="00C218A5">
            <w:pPr>
              <w:pStyle w:val="naiskr"/>
              <w:spacing w:before="0" w:after="0"/>
              <w:jc w:val="both"/>
            </w:pPr>
            <w:r>
              <w:t>01.08.2013.</w:t>
            </w:r>
          </w:p>
        </w:tc>
        <w:tc>
          <w:tcPr>
            <w:tcW w:w="1234" w:type="dxa"/>
          </w:tcPr>
          <w:p w:rsidR="00877378" w:rsidRDefault="00877378" w:rsidP="00C218A5">
            <w:pPr>
              <w:pStyle w:val="naiskr"/>
              <w:spacing w:before="0" w:after="0"/>
              <w:jc w:val="both"/>
            </w:pPr>
          </w:p>
        </w:tc>
      </w:tr>
    </w:tbl>
    <w:p w:rsidR="00C8482A" w:rsidRDefault="00C8482A" w:rsidP="00C218A5">
      <w:pPr>
        <w:pStyle w:val="naiskr"/>
        <w:spacing w:before="0" w:after="0"/>
        <w:jc w:val="both"/>
        <w:rPr>
          <w:sz w:val="28"/>
          <w:szCs w:val="28"/>
        </w:rPr>
      </w:pPr>
    </w:p>
    <w:p w:rsidR="00A30415" w:rsidRDefault="00563E40" w:rsidP="00C218A5">
      <w:pPr>
        <w:pStyle w:val="naiskr"/>
        <w:spacing w:before="0" w:after="0"/>
        <w:ind w:firstLine="709"/>
        <w:jc w:val="both"/>
        <w:rPr>
          <w:sz w:val="28"/>
        </w:rPr>
      </w:pPr>
      <w:r w:rsidRPr="00563E40">
        <w:rPr>
          <w:sz w:val="28"/>
        </w:rPr>
        <w:t xml:space="preserve">Lai pilnībā pārņemtu </w:t>
      </w:r>
      <w:r w:rsidR="003A1BA6" w:rsidRPr="006475BA">
        <w:rPr>
          <w:color w:val="000000"/>
          <w:sz w:val="28"/>
          <w:szCs w:val="28"/>
        </w:rPr>
        <w:t>Direktīvas</w:t>
      </w:r>
      <w:r w:rsidR="003A1BA6">
        <w:rPr>
          <w:color w:val="000000"/>
          <w:sz w:val="28"/>
          <w:szCs w:val="28"/>
        </w:rPr>
        <w:t xml:space="preserve"> 2012/27/ES</w:t>
      </w:r>
      <w:r w:rsidR="003A1BA6" w:rsidRPr="006475BA">
        <w:rPr>
          <w:color w:val="000000"/>
          <w:sz w:val="28"/>
          <w:szCs w:val="28"/>
        </w:rPr>
        <w:t xml:space="preserve"> </w:t>
      </w:r>
      <w:r w:rsidRPr="00563E40">
        <w:rPr>
          <w:sz w:val="28"/>
        </w:rPr>
        <w:t>prasības Latvijas tiesību aktos</w:t>
      </w:r>
      <w:r w:rsidR="00BD5168">
        <w:rPr>
          <w:sz w:val="28"/>
        </w:rPr>
        <w:t>,</w:t>
      </w:r>
      <w:r w:rsidRPr="00563E40">
        <w:rPr>
          <w:sz w:val="28"/>
        </w:rPr>
        <w:t xml:space="preserve"> iespējami divi risinājuma varianti:</w:t>
      </w:r>
      <w:r>
        <w:rPr>
          <w:sz w:val="28"/>
        </w:rPr>
        <w:t xml:space="preserve"> jauna likuma izstrāde (ja grozījumi esošos tiesību aktos ir ļoti apjomīgi</w:t>
      </w:r>
      <w:r w:rsidR="003A1BA6">
        <w:rPr>
          <w:sz w:val="28"/>
        </w:rPr>
        <w:t xml:space="preserve"> un neveido pārskatāmu energoefektivitātes politiku</w:t>
      </w:r>
      <w:r>
        <w:rPr>
          <w:sz w:val="28"/>
        </w:rPr>
        <w:t>) un vairāku esošo tiesību aktu grozījumi.</w:t>
      </w:r>
    </w:p>
    <w:p w:rsidR="00563E40" w:rsidRPr="00563E40" w:rsidRDefault="00563E40" w:rsidP="00C218A5">
      <w:pPr>
        <w:pStyle w:val="naiskr"/>
        <w:spacing w:before="0" w:after="0"/>
        <w:ind w:firstLine="709"/>
        <w:jc w:val="both"/>
        <w:rPr>
          <w:sz w:val="28"/>
        </w:rPr>
      </w:pPr>
      <w:r w:rsidRPr="00563E40">
        <w:rPr>
          <w:sz w:val="28"/>
        </w:rPr>
        <w:t xml:space="preserve">Ja neizdod </w:t>
      </w:r>
      <w:r>
        <w:rPr>
          <w:sz w:val="28"/>
        </w:rPr>
        <w:t xml:space="preserve">jaunu </w:t>
      </w:r>
      <w:r w:rsidRPr="00563E40">
        <w:rPr>
          <w:sz w:val="28"/>
        </w:rPr>
        <w:t>vienotu Energoefektivitātes likumu, tad bū</w:t>
      </w:r>
      <w:r>
        <w:rPr>
          <w:sz w:val="28"/>
        </w:rPr>
        <w:t>tu</w:t>
      </w:r>
      <w:r w:rsidRPr="00563E40">
        <w:rPr>
          <w:sz w:val="28"/>
        </w:rPr>
        <w:t xml:space="preserve"> jāveic atbilstoši </w:t>
      </w:r>
      <w:r w:rsidRPr="00C977B1">
        <w:rPr>
          <w:sz w:val="28"/>
          <w:u w:val="single"/>
        </w:rPr>
        <w:t>grozījumi šādos likumos un Ministru kabineta noteikumos</w:t>
      </w:r>
      <w:r>
        <w:rPr>
          <w:sz w:val="28"/>
        </w:rPr>
        <w:t xml:space="preserve"> (saraksts var tikt papildināts Direktīvas prasību pārņemšanas gaitā saskaņā ar starpministriju apspriešanu)</w:t>
      </w:r>
      <w:r w:rsidRPr="00563E40">
        <w:rPr>
          <w:sz w:val="28"/>
        </w:rPr>
        <w:t>:</w:t>
      </w:r>
    </w:p>
    <w:p w:rsidR="00563E40" w:rsidRPr="003A1BA6" w:rsidRDefault="003A1BA6" w:rsidP="00C218A5">
      <w:pPr>
        <w:pStyle w:val="naiskr"/>
        <w:spacing w:before="0" w:after="0"/>
        <w:jc w:val="both"/>
        <w:rPr>
          <w:sz w:val="28"/>
          <w:szCs w:val="28"/>
        </w:rPr>
      </w:pPr>
      <w:r>
        <w:rPr>
          <w:sz w:val="28"/>
        </w:rPr>
        <w:t>1. </w:t>
      </w:r>
      <w:r w:rsidR="00563E40" w:rsidRPr="003A1BA6">
        <w:rPr>
          <w:sz w:val="28"/>
          <w:szCs w:val="28"/>
        </w:rPr>
        <w:t>Enerģētikas likums;</w:t>
      </w:r>
    </w:p>
    <w:p w:rsidR="00563E40" w:rsidRPr="003A1BA6" w:rsidRDefault="003A1BA6" w:rsidP="00C218A5">
      <w:pPr>
        <w:pStyle w:val="naiskr"/>
        <w:spacing w:before="0" w:after="0"/>
        <w:jc w:val="both"/>
        <w:rPr>
          <w:sz w:val="28"/>
          <w:szCs w:val="28"/>
        </w:rPr>
      </w:pPr>
      <w:r>
        <w:rPr>
          <w:sz w:val="28"/>
          <w:szCs w:val="28"/>
        </w:rPr>
        <w:t>2. </w:t>
      </w:r>
      <w:r w:rsidR="00563E40" w:rsidRPr="003A1BA6">
        <w:rPr>
          <w:sz w:val="28"/>
          <w:szCs w:val="28"/>
        </w:rPr>
        <w:t>Elektroenerģijas tirgus likums;</w:t>
      </w:r>
    </w:p>
    <w:p w:rsidR="00563E40" w:rsidRPr="003A1BA6" w:rsidRDefault="003A1BA6" w:rsidP="00C218A5">
      <w:pPr>
        <w:pStyle w:val="naiskr"/>
        <w:spacing w:before="0" w:after="0"/>
        <w:jc w:val="both"/>
        <w:rPr>
          <w:sz w:val="28"/>
          <w:szCs w:val="28"/>
        </w:rPr>
      </w:pPr>
      <w:r>
        <w:rPr>
          <w:sz w:val="28"/>
          <w:szCs w:val="28"/>
        </w:rPr>
        <w:t>3. </w:t>
      </w:r>
      <w:r w:rsidR="00563E40" w:rsidRPr="003A1BA6">
        <w:rPr>
          <w:sz w:val="28"/>
          <w:szCs w:val="28"/>
        </w:rPr>
        <w:t>Enerģijas galapatēriņa efektivitātes likums;</w:t>
      </w:r>
    </w:p>
    <w:p w:rsidR="00563E40" w:rsidRPr="003A1BA6" w:rsidRDefault="003A1BA6" w:rsidP="00C218A5">
      <w:pPr>
        <w:pStyle w:val="naiskr"/>
        <w:spacing w:before="0" w:after="0"/>
        <w:jc w:val="both"/>
        <w:rPr>
          <w:sz w:val="28"/>
          <w:szCs w:val="28"/>
        </w:rPr>
      </w:pPr>
      <w:r>
        <w:rPr>
          <w:sz w:val="28"/>
          <w:szCs w:val="28"/>
        </w:rPr>
        <w:t>4. </w:t>
      </w:r>
      <w:r w:rsidR="00563E40" w:rsidRPr="003A1BA6">
        <w:rPr>
          <w:sz w:val="28"/>
          <w:szCs w:val="28"/>
        </w:rPr>
        <w:t>Publisko iepirkumu likums;</w:t>
      </w:r>
    </w:p>
    <w:p w:rsidR="00E965EC" w:rsidRDefault="003A1BA6" w:rsidP="00C218A5">
      <w:pPr>
        <w:pStyle w:val="naiskr"/>
        <w:spacing w:before="0" w:after="0"/>
        <w:jc w:val="both"/>
        <w:rPr>
          <w:sz w:val="28"/>
          <w:szCs w:val="28"/>
        </w:rPr>
      </w:pPr>
      <w:r>
        <w:rPr>
          <w:sz w:val="28"/>
          <w:szCs w:val="28"/>
        </w:rPr>
        <w:t>5. </w:t>
      </w:r>
      <w:r w:rsidR="00563E40" w:rsidRPr="003A1BA6">
        <w:rPr>
          <w:sz w:val="28"/>
          <w:szCs w:val="28"/>
        </w:rPr>
        <w:t>Likums „Par pašvaldībām”;</w:t>
      </w:r>
      <w:r w:rsidR="00E101C5">
        <w:rPr>
          <w:sz w:val="28"/>
          <w:szCs w:val="28"/>
        </w:rPr>
        <w:t xml:space="preserve"> </w:t>
      </w:r>
    </w:p>
    <w:p w:rsidR="00C977B1" w:rsidRPr="003A1BA6" w:rsidRDefault="00C977B1" w:rsidP="00C218A5">
      <w:pPr>
        <w:pStyle w:val="naiskr"/>
        <w:spacing w:before="0" w:after="0"/>
        <w:jc w:val="both"/>
        <w:rPr>
          <w:sz w:val="28"/>
          <w:szCs w:val="28"/>
        </w:rPr>
      </w:pPr>
      <w:r>
        <w:rPr>
          <w:sz w:val="28"/>
          <w:szCs w:val="28"/>
        </w:rPr>
        <w:t>6. Likums „Par ietekmes uz vidi novērtējumu”;</w:t>
      </w:r>
    </w:p>
    <w:p w:rsidR="00563E40" w:rsidRPr="003A1BA6" w:rsidRDefault="00C977B1" w:rsidP="00C218A5">
      <w:pPr>
        <w:pStyle w:val="naiskr"/>
        <w:spacing w:before="0" w:after="0"/>
        <w:jc w:val="both"/>
        <w:rPr>
          <w:sz w:val="28"/>
          <w:szCs w:val="28"/>
        </w:rPr>
      </w:pPr>
      <w:r>
        <w:rPr>
          <w:sz w:val="28"/>
          <w:szCs w:val="28"/>
        </w:rPr>
        <w:t>7</w:t>
      </w:r>
      <w:r w:rsidR="003A1BA6">
        <w:rPr>
          <w:sz w:val="28"/>
          <w:szCs w:val="28"/>
        </w:rPr>
        <w:t>. </w:t>
      </w:r>
      <w:r w:rsidR="00563E40" w:rsidRPr="003A1BA6">
        <w:rPr>
          <w:sz w:val="28"/>
          <w:szCs w:val="28"/>
        </w:rPr>
        <w:t>Ministru kabineta 2012.</w:t>
      </w:r>
      <w:r w:rsidR="00BD5168">
        <w:rPr>
          <w:sz w:val="28"/>
          <w:szCs w:val="28"/>
        </w:rPr>
        <w:t> </w:t>
      </w:r>
      <w:r w:rsidR="00563E40" w:rsidRPr="003A1BA6">
        <w:rPr>
          <w:sz w:val="28"/>
          <w:szCs w:val="28"/>
        </w:rPr>
        <w:t>gada 16.</w:t>
      </w:r>
      <w:r w:rsidR="00BD5168">
        <w:rPr>
          <w:sz w:val="28"/>
          <w:szCs w:val="28"/>
        </w:rPr>
        <w:t> </w:t>
      </w:r>
      <w:r w:rsidR="00563E40" w:rsidRPr="003A1BA6">
        <w:rPr>
          <w:sz w:val="28"/>
          <w:szCs w:val="28"/>
        </w:rPr>
        <w:t xml:space="preserve">oktobra noteikumi </w:t>
      </w:r>
      <w:proofErr w:type="spellStart"/>
      <w:r w:rsidR="00563E40" w:rsidRPr="003A1BA6">
        <w:rPr>
          <w:sz w:val="28"/>
          <w:szCs w:val="28"/>
        </w:rPr>
        <w:t>Nr</w:t>
      </w:r>
      <w:proofErr w:type="spellEnd"/>
      <w:r w:rsidR="00563E40" w:rsidRPr="003A1BA6">
        <w:rPr>
          <w:sz w:val="28"/>
          <w:szCs w:val="28"/>
        </w:rPr>
        <w:t>.</w:t>
      </w:r>
      <w:r w:rsidR="00BD5168">
        <w:rPr>
          <w:sz w:val="28"/>
          <w:szCs w:val="28"/>
        </w:rPr>
        <w:t> </w:t>
      </w:r>
      <w:r w:rsidR="00563E40" w:rsidRPr="003A1BA6">
        <w:rPr>
          <w:sz w:val="28"/>
          <w:szCs w:val="28"/>
        </w:rPr>
        <w:t>711</w:t>
      </w:r>
      <w:r w:rsidR="003A1BA6">
        <w:rPr>
          <w:sz w:val="28"/>
          <w:szCs w:val="28"/>
        </w:rPr>
        <w:t xml:space="preserve"> </w:t>
      </w:r>
      <w:r w:rsidR="00563E40" w:rsidRPr="003A1BA6">
        <w:rPr>
          <w:sz w:val="28"/>
          <w:szCs w:val="28"/>
        </w:rPr>
        <w:t>„Noteikumi par pašvaldību teritorijas attīstības plānošanas dokumentiem”;</w:t>
      </w:r>
    </w:p>
    <w:p w:rsidR="00563E40" w:rsidRPr="003A1BA6" w:rsidRDefault="00C977B1" w:rsidP="00C218A5">
      <w:pPr>
        <w:pStyle w:val="naiskr"/>
        <w:spacing w:before="0" w:after="0"/>
        <w:jc w:val="both"/>
        <w:rPr>
          <w:sz w:val="28"/>
          <w:szCs w:val="28"/>
        </w:rPr>
      </w:pPr>
      <w:r>
        <w:rPr>
          <w:sz w:val="28"/>
          <w:szCs w:val="28"/>
        </w:rPr>
        <w:t>8</w:t>
      </w:r>
      <w:r w:rsidR="003A1BA6">
        <w:rPr>
          <w:sz w:val="28"/>
          <w:szCs w:val="28"/>
        </w:rPr>
        <w:t>. </w:t>
      </w:r>
      <w:r w:rsidR="00563E40" w:rsidRPr="003A1BA6">
        <w:rPr>
          <w:sz w:val="28"/>
          <w:szCs w:val="28"/>
        </w:rPr>
        <w:t>Ministru kabineta 2011.</w:t>
      </w:r>
      <w:r w:rsidR="00BD5168">
        <w:rPr>
          <w:sz w:val="28"/>
          <w:szCs w:val="28"/>
        </w:rPr>
        <w:t> </w:t>
      </w:r>
      <w:r w:rsidR="00563E40" w:rsidRPr="003A1BA6">
        <w:rPr>
          <w:sz w:val="28"/>
          <w:szCs w:val="28"/>
        </w:rPr>
        <w:t>gada 29.</w:t>
      </w:r>
      <w:r w:rsidR="00BD5168">
        <w:rPr>
          <w:sz w:val="28"/>
          <w:szCs w:val="28"/>
        </w:rPr>
        <w:t> </w:t>
      </w:r>
      <w:r w:rsidR="00563E40" w:rsidRPr="003A1BA6">
        <w:rPr>
          <w:sz w:val="28"/>
          <w:szCs w:val="28"/>
        </w:rPr>
        <w:t xml:space="preserve">novembra noteikumi </w:t>
      </w:r>
      <w:proofErr w:type="spellStart"/>
      <w:r w:rsidR="00563E40" w:rsidRPr="003A1BA6">
        <w:rPr>
          <w:sz w:val="28"/>
          <w:szCs w:val="28"/>
        </w:rPr>
        <w:t>Nr</w:t>
      </w:r>
      <w:proofErr w:type="spellEnd"/>
      <w:r w:rsidR="00563E40" w:rsidRPr="003A1BA6">
        <w:rPr>
          <w:sz w:val="28"/>
          <w:szCs w:val="28"/>
        </w:rPr>
        <w:t>.</w:t>
      </w:r>
      <w:r w:rsidR="00BD5168">
        <w:rPr>
          <w:sz w:val="28"/>
          <w:szCs w:val="28"/>
        </w:rPr>
        <w:t> </w:t>
      </w:r>
      <w:r w:rsidR="00563E40" w:rsidRPr="003A1BA6">
        <w:rPr>
          <w:sz w:val="28"/>
          <w:szCs w:val="28"/>
        </w:rPr>
        <w:t>914 „Elektroenerģijas tirdzniecības un lietošanas noteikumi”;</w:t>
      </w:r>
    </w:p>
    <w:p w:rsidR="00563E40" w:rsidRPr="003A1BA6" w:rsidRDefault="00C977B1" w:rsidP="00C218A5">
      <w:pPr>
        <w:pStyle w:val="naiskr"/>
        <w:spacing w:before="0" w:after="0"/>
        <w:jc w:val="both"/>
        <w:rPr>
          <w:sz w:val="28"/>
          <w:szCs w:val="28"/>
        </w:rPr>
      </w:pPr>
      <w:r>
        <w:rPr>
          <w:sz w:val="28"/>
          <w:szCs w:val="28"/>
        </w:rPr>
        <w:t>9</w:t>
      </w:r>
      <w:r w:rsidR="003A1BA6">
        <w:rPr>
          <w:sz w:val="28"/>
          <w:szCs w:val="28"/>
        </w:rPr>
        <w:t>. </w:t>
      </w:r>
      <w:r w:rsidR="00563E40" w:rsidRPr="003A1BA6">
        <w:rPr>
          <w:sz w:val="28"/>
          <w:szCs w:val="28"/>
        </w:rPr>
        <w:t>Ministru kabineta 2008.</w:t>
      </w:r>
      <w:r w:rsidR="00BD5168">
        <w:rPr>
          <w:sz w:val="28"/>
          <w:szCs w:val="28"/>
        </w:rPr>
        <w:t> </w:t>
      </w:r>
      <w:r w:rsidR="00563E40" w:rsidRPr="003A1BA6">
        <w:rPr>
          <w:sz w:val="28"/>
          <w:szCs w:val="28"/>
        </w:rPr>
        <w:t>gada</w:t>
      </w:r>
      <w:r w:rsidR="003A1BA6">
        <w:rPr>
          <w:sz w:val="28"/>
          <w:szCs w:val="28"/>
        </w:rPr>
        <w:t xml:space="preserve"> 16.</w:t>
      </w:r>
      <w:r w:rsidR="00BD5168">
        <w:rPr>
          <w:sz w:val="28"/>
          <w:szCs w:val="28"/>
        </w:rPr>
        <w:t> </w:t>
      </w:r>
      <w:r w:rsidR="003A1BA6">
        <w:rPr>
          <w:sz w:val="28"/>
          <w:szCs w:val="28"/>
        </w:rPr>
        <w:t xml:space="preserve">decembra noteikumi </w:t>
      </w:r>
      <w:proofErr w:type="spellStart"/>
      <w:r w:rsidR="003A1BA6">
        <w:rPr>
          <w:sz w:val="28"/>
          <w:szCs w:val="28"/>
        </w:rPr>
        <w:t>Nr</w:t>
      </w:r>
      <w:proofErr w:type="spellEnd"/>
      <w:r w:rsidR="003A1BA6">
        <w:rPr>
          <w:sz w:val="28"/>
          <w:szCs w:val="28"/>
        </w:rPr>
        <w:t>.</w:t>
      </w:r>
      <w:r w:rsidR="00BD5168">
        <w:rPr>
          <w:sz w:val="28"/>
          <w:szCs w:val="28"/>
        </w:rPr>
        <w:t> </w:t>
      </w:r>
      <w:r w:rsidR="003A1BA6">
        <w:rPr>
          <w:sz w:val="28"/>
          <w:szCs w:val="28"/>
        </w:rPr>
        <w:t xml:space="preserve">1048 </w:t>
      </w:r>
      <w:r w:rsidR="00563E40" w:rsidRPr="003A1BA6">
        <w:rPr>
          <w:sz w:val="28"/>
          <w:szCs w:val="28"/>
        </w:rPr>
        <w:t>„Dabasgāzes piegādes un lietošanas noteikumi”;</w:t>
      </w:r>
    </w:p>
    <w:p w:rsidR="00563E40" w:rsidRPr="003A1BA6" w:rsidRDefault="00C977B1" w:rsidP="00C218A5">
      <w:pPr>
        <w:pStyle w:val="naiskr"/>
        <w:spacing w:before="0" w:after="0"/>
        <w:jc w:val="both"/>
        <w:rPr>
          <w:sz w:val="28"/>
          <w:szCs w:val="28"/>
        </w:rPr>
      </w:pPr>
      <w:r>
        <w:rPr>
          <w:sz w:val="28"/>
          <w:szCs w:val="28"/>
        </w:rPr>
        <w:t>10</w:t>
      </w:r>
      <w:r w:rsidR="003A1BA6">
        <w:rPr>
          <w:sz w:val="28"/>
          <w:szCs w:val="28"/>
        </w:rPr>
        <w:t>. </w:t>
      </w:r>
      <w:r w:rsidR="00563E40" w:rsidRPr="003A1BA6">
        <w:rPr>
          <w:sz w:val="28"/>
          <w:szCs w:val="28"/>
        </w:rPr>
        <w:t>Ministru kabineta 2008.</w:t>
      </w:r>
      <w:r w:rsidR="00BD5168">
        <w:rPr>
          <w:sz w:val="28"/>
          <w:szCs w:val="28"/>
        </w:rPr>
        <w:t> </w:t>
      </w:r>
      <w:r w:rsidR="00563E40" w:rsidRPr="003A1BA6">
        <w:rPr>
          <w:sz w:val="28"/>
          <w:szCs w:val="28"/>
        </w:rPr>
        <w:t>g</w:t>
      </w:r>
      <w:r w:rsidR="003A1BA6">
        <w:rPr>
          <w:sz w:val="28"/>
          <w:szCs w:val="28"/>
        </w:rPr>
        <w:t>ada 21.</w:t>
      </w:r>
      <w:r w:rsidR="00BD5168">
        <w:rPr>
          <w:sz w:val="28"/>
          <w:szCs w:val="28"/>
        </w:rPr>
        <w:t> </w:t>
      </w:r>
      <w:r w:rsidR="003A1BA6">
        <w:rPr>
          <w:sz w:val="28"/>
          <w:szCs w:val="28"/>
        </w:rPr>
        <w:t xml:space="preserve">oktobra noteikumi </w:t>
      </w:r>
      <w:proofErr w:type="spellStart"/>
      <w:r w:rsidR="003A1BA6">
        <w:rPr>
          <w:sz w:val="28"/>
          <w:szCs w:val="28"/>
        </w:rPr>
        <w:t>Nr</w:t>
      </w:r>
      <w:proofErr w:type="spellEnd"/>
      <w:r w:rsidR="003A1BA6">
        <w:rPr>
          <w:sz w:val="28"/>
          <w:szCs w:val="28"/>
        </w:rPr>
        <w:t>.</w:t>
      </w:r>
      <w:r w:rsidR="00BD5168">
        <w:rPr>
          <w:sz w:val="28"/>
          <w:szCs w:val="28"/>
        </w:rPr>
        <w:t> </w:t>
      </w:r>
      <w:r w:rsidR="003A1BA6">
        <w:rPr>
          <w:sz w:val="28"/>
          <w:szCs w:val="28"/>
        </w:rPr>
        <w:t xml:space="preserve">876 </w:t>
      </w:r>
      <w:r w:rsidR="00563E40" w:rsidRPr="003A1BA6">
        <w:rPr>
          <w:sz w:val="28"/>
          <w:szCs w:val="28"/>
        </w:rPr>
        <w:t>„Siltumenerģijas piegādes un lietošanas noteikumi”;</w:t>
      </w:r>
    </w:p>
    <w:p w:rsidR="00563E40" w:rsidRPr="003A1BA6" w:rsidRDefault="003A1BA6" w:rsidP="00C218A5">
      <w:pPr>
        <w:pStyle w:val="naiskr"/>
        <w:spacing w:before="0" w:after="0"/>
        <w:jc w:val="both"/>
        <w:rPr>
          <w:sz w:val="28"/>
          <w:szCs w:val="28"/>
        </w:rPr>
      </w:pPr>
      <w:r>
        <w:rPr>
          <w:sz w:val="28"/>
          <w:szCs w:val="28"/>
        </w:rPr>
        <w:t>1</w:t>
      </w:r>
      <w:r w:rsidR="00C977B1">
        <w:rPr>
          <w:sz w:val="28"/>
          <w:szCs w:val="28"/>
        </w:rPr>
        <w:t>1</w:t>
      </w:r>
      <w:r>
        <w:rPr>
          <w:sz w:val="28"/>
          <w:szCs w:val="28"/>
        </w:rPr>
        <w:t>. </w:t>
      </w:r>
      <w:r w:rsidR="00563E40" w:rsidRPr="003A1BA6">
        <w:rPr>
          <w:sz w:val="28"/>
          <w:szCs w:val="28"/>
        </w:rPr>
        <w:t>Ministru kabineta 2010.</w:t>
      </w:r>
      <w:r w:rsidR="00BD5168">
        <w:rPr>
          <w:sz w:val="28"/>
          <w:szCs w:val="28"/>
        </w:rPr>
        <w:t> </w:t>
      </w:r>
      <w:r w:rsidR="00563E40" w:rsidRPr="003A1BA6">
        <w:rPr>
          <w:sz w:val="28"/>
          <w:szCs w:val="28"/>
        </w:rPr>
        <w:t>gada 30.</w:t>
      </w:r>
      <w:r w:rsidR="00BD5168">
        <w:rPr>
          <w:sz w:val="28"/>
          <w:szCs w:val="28"/>
        </w:rPr>
        <w:t> </w:t>
      </w:r>
      <w:r w:rsidR="00563E40" w:rsidRPr="003A1BA6">
        <w:rPr>
          <w:sz w:val="28"/>
          <w:szCs w:val="28"/>
        </w:rPr>
        <w:t xml:space="preserve">septembra noteikumi </w:t>
      </w:r>
      <w:proofErr w:type="spellStart"/>
      <w:r w:rsidR="00563E40" w:rsidRPr="003A1BA6">
        <w:rPr>
          <w:sz w:val="28"/>
          <w:szCs w:val="28"/>
        </w:rPr>
        <w:t>Nr</w:t>
      </w:r>
      <w:proofErr w:type="spellEnd"/>
      <w:r w:rsidR="00563E40" w:rsidRPr="003A1BA6">
        <w:rPr>
          <w:sz w:val="28"/>
          <w:szCs w:val="28"/>
        </w:rPr>
        <w:t>.</w:t>
      </w:r>
      <w:r w:rsidR="00BD5168">
        <w:rPr>
          <w:sz w:val="28"/>
          <w:szCs w:val="28"/>
        </w:rPr>
        <w:t> </w:t>
      </w:r>
      <w:r w:rsidR="00563E40" w:rsidRPr="003A1BA6">
        <w:rPr>
          <w:sz w:val="28"/>
          <w:szCs w:val="28"/>
        </w:rPr>
        <w:t xml:space="preserve">923 </w:t>
      </w:r>
      <w:r>
        <w:rPr>
          <w:sz w:val="28"/>
          <w:szCs w:val="28"/>
        </w:rPr>
        <w:t> </w:t>
      </w:r>
      <w:r w:rsidR="00563E40" w:rsidRPr="003A1BA6">
        <w:rPr>
          <w:sz w:val="28"/>
          <w:szCs w:val="28"/>
        </w:rPr>
        <w:t>„Kārtība, kādā uzskaita valsts enerģijas galapatēriņa ietaupījumu un nodrošina energoefektivitātes monitoringa sistēmas darbību”;</w:t>
      </w:r>
    </w:p>
    <w:p w:rsidR="00563E40" w:rsidRPr="003A1BA6" w:rsidRDefault="003A1BA6" w:rsidP="00C218A5">
      <w:pPr>
        <w:pStyle w:val="naiskr"/>
        <w:spacing w:before="0" w:after="0"/>
        <w:jc w:val="both"/>
        <w:rPr>
          <w:sz w:val="28"/>
          <w:szCs w:val="28"/>
        </w:rPr>
      </w:pPr>
      <w:r>
        <w:rPr>
          <w:sz w:val="28"/>
          <w:szCs w:val="28"/>
        </w:rPr>
        <w:t>1</w:t>
      </w:r>
      <w:r w:rsidR="00C977B1">
        <w:rPr>
          <w:sz w:val="28"/>
          <w:szCs w:val="28"/>
        </w:rPr>
        <w:t>2</w:t>
      </w:r>
      <w:r>
        <w:rPr>
          <w:sz w:val="28"/>
          <w:szCs w:val="28"/>
        </w:rPr>
        <w:t>. </w:t>
      </w:r>
      <w:r w:rsidR="00563E40" w:rsidRPr="003A1BA6">
        <w:rPr>
          <w:sz w:val="28"/>
          <w:szCs w:val="28"/>
        </w:rPr>
        <w:t>Ministru kabineta 2011.</w:t>
      </w:r>
      <w:r w:rsidR="00BD5168">
        <w:rPr>
          <w:sz w:val="28"/>
          <w:szCs w:val="28"/>
        </w:rPr>
        <w:t> </w:t>
      </w:r>
      <w:r w:rsidR="00563E40" w:rsidRPr="003A1BA6">
        <w:rPr>
          <w:sz w:val="28"/>
          <w:szCs w:val="28"/>
        </w:rPr>
        <w:t>gada 12.</w:t>
      </w:r>
      <w:r w:rsidR="00BD5168">
        <w:rPr>
          <w:sz w:val="28"/>
          <w:szCs w:val="28"/>
        </w:rPr>
        <w:t> </w:t>
      </w:r>
      <w:r w:rsidR="00563E40" w:rsidRPr="003A1BA6">
        <w:rPr>
          <w:sz w:val="28"/>
          <w:szCs w:val="28"/>
        </w:rPr>
        <w:t xml:space="preserve">jūlija noteikumi </w:t>
      </w:r>
      <w:proofErr w:type="spellStart"/>
      <w:r w:rsidR="00563E40" w:rsidRPr="003A1BA6">
        <w:rPr>
          <w:sz w:val="28"/>
          <w:szCs w:val="28"/>
        </w:rPr>
        <w:t>Nr</w:t>
      </w:r>
      <w:proofErr w:type="spellEnd"/>
      <w:r w:rsidR="00563E40" w:rsidRPr="003A1BA6">
        <w:rPr>
          <w:sz w:val="28"/>
          <w:szCs w:val="28"/>
        </w:rPr>
        <w:t>.</w:t>
      </w:r>
      <w:r w:rsidR="00BD5168">
        <w:rPr>
          <w:sz w:val="28"/>
          <w:szCs w:val="28"/>
        </w:rPr>
        <w:t> </w:t>
      </w:r>
      <w:r w:rsidR="00563E40" w:rsidRPr="003A1BA6">
        <w:rPr>
          <w:sz w:val="28"/>
          <w:szCs w:val="28"/>
        </w:rPr>
        <w:t xml:space="preserve">555 </w:t>
      </w:r>
      <w:r w:rsidR="00563E40" w:rsidRPr="00563E40">
        <w:rPr>
          <w:sz w:val="28"/>
        </w:rPr>
        <w:t>„Noteikumi par kārtību, kādā noslēdz un pārrauga vienošanos par energoefektivitātes paaugstināšanu”.</w:t>
      </w:r>
    </w:p>
    <w:p w:rsidR="001D38D6" w:rsidRPr="001D38D6" w:rsidRDefault="00094674" w:rsidP="00BC6D46">
      <w:pPr>
        <w:pStyle w:val="naiskr"/>
        <w:spacing w:before="0" w:after="240"/>
        <w:jc w:val="both"/>
        <w:rPr>
          <w:sz w:val="28"/>
        </w:rPr>
      </w:pPr>
      <w:r>
        <w:rPr>
          <w:sz w:val="28"/>
        </w:rPr>
        <w:t xml:space="preserve">13. </w:t>
      </w:r>
      <w:r w:rsidR="00563E40" w:rsidRPr="00563E40">
        <w:rPr>
          <w:sz w:val="28"/>
        </w:rPr>
        <w:t>Sabiedrisko pakalpojumu regulēšanas komisijas padomes 2012.</w:t>
      </w:r>
      <w:r w:rsidR="00BD5168">
        <w:rPr>
          <w:sz w:val="28"/>
        </w:rPr>
        <w:t> </w:t>
      </w:r>
      <w:r w:rsidR="00563E40" w:rsidRPr="00563E40">
        <w:rPr>
          <w:sz w:val="28"/>
        </w:rPr>
        <w:t>gada 8.</w:t>
      </w:r>
      <w:r w:rsidR="00BD5168">
        <w:rPr>
          <w:sz w:val="28"/>
        </w:rPr>
        <w:t> </w:t>
      </w:r>
      <w:r w:rsidR="00563E40" w:rsidRPr="00563E40">
        <w:rPr>
          <w:sz w:val="28"/>
        </w:rPr>
        <w:t>februāra lēmum</w:t>
      </w:r>
      <w:r>
        <w:rPr>
          <w:sz w:val="28"/>
        </w:rPr>
        <w:t>s</w:t>
      </w:r>
      <w:r w:rsidR="00563E40" w:rsidRPr="00563E40">
        <w:rPr>
          <w:sz w:val="28"/>
        </w:rPr>
        <w:t xml:space="preserve"> </w:t>
      </w:r>
      <w:proofErr w:type="spellStart"/>
      <w:r w:rsidR="00563E40" w:rsidRPr="00563E40">
        <w:rPr>
          <w:sz w:val="28"/>
        </w:rPr>
        <w:t>Nr</w:t>
      </w:r>
      <w:proofErr w:type="spellEnd"/>
      <w:r w:rsidR="00563E40" w:rsidRPr="00563E40">
        <w:rPr>
          <w:sz w:val="28"/>
        </w:rPr>
        <w:t>.</w:t>
      </w:r>
      <w:r w:rsidR="00BD5168">
        <w:rPr>
          <w:sz w:val="28"/>
        </w:rPr>
        <w:t> </w:t>
      </w:r>
      <w:r w:rsidR="00563E40" w:rsidRPr="00563E40">
        <w:rPr>
          <w:sz w:val="28"/>
        </w:rPr>
        <w:t>1/2 „Noteikumi par informāciju elektroenerģijas galalietotājiem”.</w:t>
      </w:r>
    </w:p>
    <w:p w:rsidR="00E965EC" w:rsidRPr="00C977B1" w:rsidRDefault="00A20424" w:rsidP="00C218A5">
      <w:pPr>
        <w:spacing w:after="0" w:line="240" w:lineRule="auto"/>
        <w:jc w:val="both"/>
        <w:rPr>
          <w:rFonts w:ascii="Times New Roman" w:hAnsi="Times New Roman" w:cs="Times New Roman"/>
          <w:sz w:val="28"/>
          <w:szCs w:val="28"/>
        </w:rPr>
      </w:pPr>
      <w:r w:rsidRPr="00C977B1">
        <w:rPr>
          <w:rFonts w:ascii="Times New Roman" w:hAnsi="Times New Roman" w:cs="Times New Roman"/>
          <w:sz w:val="28"/>
          <w:szCs w:val="28"/>
          <w:u w:val="single"/>
        </w:rPr>
        <w:t>Jaunu plānošanas dokumentu izstrāde</w:t>
      </w:r>
      <w:r w:rsidR="00C977B1" w:rsidRPr="00C977B1">
        <w:rPr>
          <w:rFonts w:ascii="Times New Roman" w:hAnsi="Times New Roman" w:cs="Times New Roman"/>
          <w:sz w:val="28"/>
          <w:szCs w:val="28"/>
        </w:rPr>
        <w:t xml:space="preserve">. </w:t>
      </w:r>
      <w:r w:rsidR="00E965EC" w:rsidRPr="00C977B1">
        <w:rPr>
          <w:rFonts w:ascii="Times New Roman" w:hAnsi="Times New Roman" w:cs="Times New Roman"/>
          <w:sz w:val="28"/>
          <w:szCs w:val="28"/>
        </w:rPr>
        <w:t xml:space="preserve">Atbilstoši </w:t>
      </w:r>
      <w:r w:rsidR="00E965EC" w:rsidRPr="00C977B1">
        <w:rPr>
          <w:rFonts w:ascii="Times New Roman" w:eastAsiaTheme="majorEastAsia" w:hAnsi="Times New Roman" w:cs="Times New Roman"/>
          <w:bCs/>
          <w:sz w:val="28"/>
          <w:szCs w:val="28"/>
        </w:rPr>
        <w:t>Direktīvas  2012/27/ES 24.</w:t>
      </w:r>
      <w:r w:rsidR="00BD5168">
        <w:rPr>
          <w:rFonts w:ascii="Times New Roman" w:eastAsiaTheme="majorEastAsia" w:hAnsi="Times New Roman" w:cs="Times New Roman"/>
          <w:bCs/>
          <w:sz w:val="28"/>
          <w:szCs w:val="28"/>
        </w:rPr>
        <w:t> </w:t>
      </w:r>
      <w:r w:rsidR="00E965EC" w:rsidRPr="00C977B1">
        <w:rPr>
          <w:rFonts w:ascii="Times New Roman" w:eastAsiaTheme="majorEastAsia" w:hAnsi="Times New Roman" w:cs="Times New Roman"/>
          <w:bCs/>
          <w:sz w:val="28"/>
          <w:szCs w:val="28"/>
        </w:rPr>
        <w:t>panta 2.</w:t>
      </w:r>
      <w:r w:rsidR="00BD5168">
        <w:rPr>
          <w:rFonts w:ascii="Times New Roman" w:eastAsiaTheme="majorEastAsia" w:hAnsi="Times New Roman" w:cs="Times New Roman"/>
          <w:bCs/>
          <w:sz w:val="28"/>
          <w:szCs w:val="28"/>
        </w:rPr>
        <w:t> </w:t>
      </w:r>
      <w:r w:rsidR="00E965EC" w:rsidRPr="00C977B1">
        <w:rPr>
          <w:rFonts w:ascii="Times New Roman" w:eastAsiaTheme="majorEastAsia" w:hAnsi="Times New Roman" w:cs="Times New Roman"/>
          <w:bCs/>
          <w:sz w:val="28"/>
          <w:szCs w:val="28"/>
        </w:rPr>
        <w:t>punktam līdz 2014.</w:t>
      </w:r>
      <w:r w:rsidR="00BD5168">
        <w:rPr>
          <w:rFonts w:ascii="Times New Roman" w:eastAsiaTheme="majorEastAsia" w:hAnsi="Times New Roman" w:cs="Times New Roman"/>
          <w:bCs/>
          <w:sz w:val="28"/>
          <w:szCs w:val="28"/>
        </w:rPr>
        <w:t> </w:t>
      </w:r>
      <w:r w:rsidR="00E965EC" w:rsidRPr="00C977B1">
        <w:rPr>
          <w:rFonts w:ascii="Times New Roman" w:eastAsiaTheme="majorEastAsia" w:hAnsi="Times New Roman" w:cs="Times New Roman"/>
          <w:bCs/>
          <w:sz w:val="28"/>
          <w:szCs w:val="28"/>
        </w:rPr>
        <w:t>gada 30.</w:t>
      </w:r>
      <w:r w:rsidR="00BD5168">
        <w:rPr>
          <w:rFonts w:ascii="Times New Roman" w:eastAsiaTheme="majorEastAsia" w:hAnsi="Times New Roman" w:cs="Times New Roman"/>
          <w:bCs/>
          <w:sz w:val="28"/>
          <w:szCs w:val="28"/>
        </w:rPr>
        <w:t> </w:t>
      </w:r>
      <w:r w:rsidR="00E965EC" w:rsidRPr="00C977B1">
        <w:rPr>
          <w:rFonts w:ascii="Times New Roman" w:eastAsiaTheme="majorEastAsia" w:hAnsi="Times New Roman" w:cs="Times New Roman"/>
          <w:bCs/>
          <w:sz w:val="28"/>
          <w:szCs w:val="28"/>
        </w:rPr>
        <w:t>aprīlim un pēc tam ik pēc trīs gadiem dalībvalstis izstrādā un iesniedz EK valstu energoefektivitāt</w:t>
      </w:r>
      <w:r w:rsidR="00BD5168">
        <w:rPr>
          <w:rFonts w:ascii="Times New Roman" w:eastAsiaTheme="majorEastAsia" w:hAnsi="Times New Roman" w:cs="Times New Roman"/>
          <w:bCs/>
          <w:sz w:val="28"/>
          <w:szCs w:val="28"/>
        </w:rPr>
        <w:t>es rīcības plānus (turpmāk – ERP).</w:t>
      </w:r>
      <w:r w:rsidR="00E965EC" w:rsidRPr="00C977B1">
        <w:rPr>
          <w:rFonts w:ascii="Times New Roman" w:eastAsiaTheme="majorEastAsia" w:hAnsi="Times New Roman" w:cs="Times New Roman"/>
          <w:bCs/>
          <w:sz w:val="28"/>
          <w:szCs w:val="28"/>
        </w:rPr>
        <w:t xml:space="preserve"> ERP apraksta nozīmīgus energoefektivitātes uzlabošanas pasākumus un paredzēto enerģijas ietaupījumu, tostarp enerģijas piegādē, pārvadē un sadalē, kā arī enerģijas galapatēriņā, lai sasniegtu 3.</w:t>
      </w:r>
      <w:r w:rsidR="00BD5168">
        <w:rPr>
          <w:rFonts w:ascii="Times New Roman" w:eastAsiaTheme="majorEastAsia" w:hAnsi="Times New Roman" w:cs="Times New Roman"/>
          <w:bCs/>
          <w:sz w:val="28"/>
          <w:szCs w:val="28"/>
        </w:rPr>
        <w:t> </w:t>
      </w:r>
      <w:r w:rsidR="00E965EC" w:rsidRPr="00C977B1">
        <w:rPr>
          <w:rFonts w:ascii="Times New Roman" w:eastAsiaTheme="majorEastAsia" w:hAnsi="Times New Roman" w:cs="Times New Roman"/>
          <w:bCs/>
          <w:sz w:val="28"/>
          <w:szCs w:val="28"/>
        </w:rPr>
        <w:t>panta 1.</w:t>
      </w:r>
      <w:r w:rsidR="00BD5168">
        <w:rPr>
          <w:rFonts w:ascii="Times New Roman" w:eastAsiaTheme="majorEastAsia" w:hAnsi="Times New Roman" w:cs="Times New Roman"/>
          <w:bCs/>
          <w:sz w:val="28"/>
          <w:szCs w:val="28"/>
        </w:rPr>
        <w:t> </w:t>
      </w:r>
      <w:r w:rsidR="00E965EC" w:rsidRPr="00C977B1">
        <w:rPr>
          <w:rFonts w:ascii="Times New Roman" w:eastAsiaTheme="majorEastAsia" w:hAnsi="Times New Roman" w:cs="Times New Roman"/>
          <w:bCs/>
          <w:sz w:val="28"/>
          <w:szCs w:val="28"/>
        </w:rPr>
        <w:t>punktā minēto valsts energoefektivitātes mērķi.</w:t>
      </w:r>
      <w:r w:rsidR="00CB2E0A" w:rsidRPr="00C977B1">
        <w:rPr>
          <w:rFonts w:ascii="Times New Roman" w:eastAsiaTheme="majorEastAsia" w:hAnsi="Times New Roman" w:cs="Times New Roman"/>
          <w:bCs/>
          <w:sz w:val="28"/>
          <w:szCs w:val="28"/>
        </w:rPr>
        <w:t xml:space="preserve"> </w:t>
      </w:r>
      <w:r w:rsidR="00E965EC" w:rsidRPr="00C977B1">
        <w:rPr>
          <w:rFonts w:ascii="Times New Roman" w:eastAsiaTheme="majorEastAsia" w:hAnsi="Times New Roman" w:cs="Times New Roman"/>
          <w:bCs/>
          <w:sz w:val="28"/>
          <w:szCs w:val="28"/>
        </w:rPr>
        <w:t xml:space="preserve">ERP pievieno atjauninātas aplēses par </w:t>
      </w:r>
      <w:r w:rsidR="00E965EC" w:rsidRPr="00C977B1">
        <w:rPr>
          <w:rFonts w:ascii="Times New Roman" w:eastAsiaTheme="majorEastAsia" w:hAnsi="Times New Roman" w:cs="Times New Roman"/>
          <w:bCs/>
          <w:sz w:val="28"/>
          <w:szCs w:val="28"/>
        </w:rPr>
        <w:lastRenderedPageBreak/>
        <w:t>gaidāmo kopējo primārās enerģijas patēriņu 2020.</w:t>
      </w:r>
      <w:r w:rsidR="00BD5168">
        <w:rPr>
          <w:rFonts w:ascii="Times New Roman" w:eastAsiaTheme="majorEastAsia" w:hAnsi="Times New Roman" w:cs="Times New Roman"/>
          <w:bCs/>
          <w:sz w:val="28"/>
          <w:szCs w:val="28"/>
        </w:rPr>
        <w:t> </w:t>
      </w:r>
      <w:r w:rsidR="00E965EC" w:rsidRPr="00C977B1">
        <w:rPr>
          <w:rFonts w:ascii="Times New Roman" w:eastAsiaTheme="majorEastAsia" w:hAnsi="Times New Roman" w:cs="Times New Roman"/>
          <w:bCs/>
          <w:sz w:val="28"/>
          <w:szCs w:val="28"/>
        </w:rPr>
        <w:t>gadā, kā arī aplēses par primārās enerģijas patēriņa līmeni</w:t>
      </w:r>
      <w:r w:rsidR="00CB2E0A" w:rsidRPr="00C977B1">
        <w:rPr>
          <w:rFonts w:ascii="Times New Roman" w:eastAsiaTheme="majorEastAsia" w:hAnsi="Times New Roman" w:cs="Times New Roman"/>
          <w:bCs/>
          <w:sz w:val="28"/>
          <w:szCs w:val="28"/>
        </w:rPr>
        <w:t xml:space="preserve"> rūpniecībā, transportā, mājsaimniecībās un pakalpojumu sektorā.</w:t>
      </w:r>
      <w:r w:rsidR="00E965EC" w:rsidRPr="00C977B1">
        <w:rPr>
          <w:rFonts w:ascii="Times New Roman" w:eastAsiaTheme="majorEastAsia" w:hAnsi="Times New Roman" w:cs="Times New Roman"/>
          <w:bCs/>
          <w:sz w:val="28"/>
          <w:szCs w:val="28"/>
        </w:rPr>
        <w:t xml:space="preserve"> </w:t>
      </w:r>
    </w:p>
    <w:p w:rsidR="00E965EC" w:rsidRPr="00C977B1" w:rsidRDefault="0007446E" w:rsidP="00BC6D46">
      <w:pPr>
        <w:spacing w:after="240" w:line="240" w:lineRule="auto"/>
        <w:ind w:firstLine="720"/>
        <w:jc w:val="both"/>
        <w:rPr>
          <w:rFonts w:ascii="Times New Roman" w:hAnsi="Times New Roman" w:cs="Times New Roman"/>
          <w:sz w:val="28"/>
          <w:szCs w:val="28"/>
        </w:rPr>
      </w:pPr>
      <w:r w:rsidRPr="00C977B1">
        <w:rPr>
          <w:rFonts w:ascii="Times New Roman" w:hAnsi="Times New Roman" w:cs="Times New Roman"/>
          <w:sz w:val="28"/>
          <w:szCs w:val="28"/>
        </w:rPr>
        <w:t>Atbilstoši Direktīvas 2012/27/ES 4.</w:t>
      </w:r>
      <w:r w:rsidR="00BD5168">
        <w:rPr>
          <w:rFonts w:ascii="Times New Roman" w:hAnsi="Times New Roman" w:cs="Times New Roman"/>
          <w:sz w:val="28"/>
          <w:szCs w:val="28"/>
        </w:rPr>
        <w:t> </w:t>
      </w:r>
      <w:r w:rsidRPr="00C977B1">
        <w:rPr>
          <w:rFonts w:ascii="Times New Roman" w:hAnsi="Times New Roman" w:cs="Times New Roman"/>
          <w:sz w:val="28"/>
          <w:szCs w:val="28"/>
        </w:rPr>
        <w:t xml:space="preserve">pantam jāizstrādā ilgtermiņa stratēģija, lai mobilizētu ieguldījumus gan valsts, gan privāto dzīvojamo ēku un </w:t>
      </w:r>
      <w:proofErr w:type="spellStart"/>
      <w:r w:rsidRPr="00C977B1">
        <w:rPr>
          <w:rFonts w:ascii="Times New Roman" w:hAnsi="Times New Roman" w:cs="Times New Roman"/>
          <w:sz w:val="28"/>
          <w:szCs w:val="28"/>
        </w:rPr>
        <w:t>komercplatību</w:t>
      </w:r>
      <w:proofErr w:type="spellEnd"/>
      <w:r w:rsidRPr="00C977B1">
        <w:rPr>
          <w:rFonts w:ascii="Times New Roman" w:hAnsi="Times New Roman" w:cs="Times New Roman"/>
          <w:sz w:val="28"/>
          <w:szCs w:val="28"/>
        </w:rPr>
        <w:t xml:space="preserve"> fonda renovācijā. Stratēģijas pirmo versiju dalībvalstis publicē līdz 2014. gada 30. aprīlim.</w:t>
      </w:r>
    </w:p>
    <w:p w:rsidR="00563E40" w:rsidRDefault="00613A0E" w:rsidP="00C218A5">
      <w:pPr>
        <w:spacing w:after="0" w:line="240" w:lineRule="auto"/>
        <w:jc w:val="both"/>
        <w:rPr>
          <w:rFonts w:ascii="Times New Roman" w:hAnsi="Times New Roman" w:cs="Times New Roman"/>
          <w:color w:val="000000"/>
          <w:sz w:val="28"/>
          <w:szCs w:val="28"/>
        </w:rPr>
      </w:pPr>
      <w:r w:rsidRPr="00C977B1">
        <w:rPr>
          <w:rFonts w:ascii="Times New Roman" w:hAnsi="Times New Roman" w:cs="Times New Roman"/>
          <w:sz w:val="28"/>
          <w:szCs w:val="28"/>
          <w:u w:val="single"/>
        </w:rPr>
        <w:t>Jaunu tiesību aktu projektu izstrāde</w:t>
      </w:r>
      <w:r w:rsidR="00C977B1">
        <w:rPr>
          <w:rFonts w:ascii="Times New Roman" w:hAnsi="Times New Roman" w:cs="Times New Roman"/>
          <w:sz w:val="28"/>
          <w:szCs w:val="28"/>
        </w:rPr>
        <w:t xml:space="preserve">. </w:t>
      </w:r>
      <w:r w:rsidR="003A1BA6" w:rsidRPr="00C977B1">
        <w:rPr>
          <w:rFonts w:ascii="Times New Roman" w:hAnsi="Times New Roman" w:cs="Times New Roman"/>
          <w:color w:val="000000"/>
          <w:sz w:val="28"/>
          <w:szCs w:val="28"/>
        </w:rPr>
        <w:t xml:space="preserve">Direktīvas 2012/27/ES </w:t>
      </w:r>
      <w:r w:rsidR="00563E40" w:rsidRPr="00C977B1">
        <w:rPr>
          <w:rFonts w:ascii="Times New Roman" w:hAnsi="Times New Roman" w:cs="Times New Roman"/>
          <w:color w:val="000000"/>
          <w:sz w:val="28"/>
          <w:szCs w:val="28"/>
        </w:rPr>
        <w:t>prasības izstrādātas, lai novērstu šķēršļus enerģijas tirgū un pārvarētu tirgus trūkumus, kas kavē enerģijas piegādes un patēriņa efektivitāti</w:t>
      </w:r>
      <w:r w:rsidR="00305A3C" w:rsidRPr="00C977B1">
        <w:rPr>
          <w:rFonts w:ascii="Times New Roman" w:hAnsi="Times New Roman" w:cs="Times New Roman"/>
          <w:color w:val="000000"/>
          <w:sz w:val="28"/>
          <w:szCs w:val="28"/>
        </w:rPr>
        <w:t>. E</w:t>
      </w:r>
      <w:r w:rsidR="00563E40" w:rsidRPr="00C977B1">
        <w:rPr>
          <w:rFonts w:ascii="Times New Roman" w:hAnsi="Times New Roman" w:cs="Times New Roman"/>
          <w:color w:val="000000"/>
          <w:sz w:val="28"/>
          <w:szCs w:val="28"/>
        </w:rPr>
        <w:t xml:space="preserve">sošais Enerģijas galapatēriņa efektivitātes likums vairs neatbilst </w:t>
      </w:r>
      <w:r w:rsidR="003A1BA6" w:rsidRPr="00C977B1">
        <w:rPr>
          <w:rFonts w:ascii="Times New Roman" w:hAnsi="Times New Roman" w:cs="Times New Roman"/>
          <w:color w:val="000000"/>
          <w:sz w:val="28"/>
          <w:szCs w:val="28"/>
        </w:rPr>
        <w:t xml:space="preserve">Direktīvas 2012/27/ES </w:t>
      </w:r>
      <w:r w:rsidR="00563E40" w:rsidRPr="00C977B1">
        <w:rPr>
          <w:rFonts w:ascii="Times New Roman" w:hAnsi="Times New Roman" w:cs="Times New Roman"/>
          <w:color w:val="000000"/>
          <w:sz w:val="28"/>
          <w:szCs w:val="28"/>
        </w:rPr>
        <w:t xml:space="preserve">prasībām, jo tajā noteiktas prasības tikai attiecībā uz enerģijas galapatēriņa efektivitāti. Lai vienotā likumā iekļautu </w:t>
      </w:r>
      <w:r w:rsidR="003A1BA6" w:rsidRPr="00C977B1">
        <w:rPr>
          <w:rFonts w:ascii="Times New Roman" w:hAnsi="Times New Roman" w:cs="Times New Roman"/>
          <w:color w:val="000000"/>
          <w:sz w:val="28"/>
          <w:szCs w:val="28"/>
        </w:rPr>
        <w:t xml:space="preserve">Direktīvas 2012/27/ES </w:t>
      </w:r>
      <w:r w:rsidR="00563E40" w:rsidRPr="00C977B1">
        <w:rPr>
          <w:rFonts w:ascii="Times New Roman" w:hAnsi="Times New Roman" w:cs="Times New Roman"/>
          <w:color w:val="000000"/>
          <w:sz w:val="28"/>
          <w:szCs w:val="28"/>
        </w:rPr>
        <w:t xml:space="preserve">pamatprasības, </w:t>
      </w:r>
      <w:r w:rsidR="00305A3C" w:rsidRPr="00C977B1">
        <w:rPr>
          <w:rFonts w:ascii="Times New Roman" w:hAnsi="Times New Roman" w:cs="Times New Roman"/>
          <w:color w:val="000000"/>
          <w:sz w:val="28"/>
          <w:szCs w:val="28"/>
        </w:rPr>
        <w:t>būtu</w:t>
      </w:r>
      <w:r w:rsidR="00563E40" w:rsidRPr="00C977B1">
        <w:rPr>
          <w:rFonts w:ascii="Times New Roman" w:hAnsi="Times New Roman" w:cs="Times New Roman"/>
          <w:color w:val="000000"/>
          <w:sz w:val="28"/>
          <w:szCs w:val="28"/>
        </w:rPr>
        <w:t xml:space="preserve"> jāizdod jauns Energoefektivitātes likums, kurā iekļautu </w:t>
      </w:r>
      <w:r w:rsidR="00305A3C" w:rsidRPr="00C977B1">
        <w:rPr>
          <w:rFonts w:ascii="Times New Roman" w:hAnsi="Times New Roman" w:cs="Times New Roman"/>
          <w:color w:val="000000"/>
          <w:sz w:val="28"/>
          <w:szCs w:val="28"/>
        </w:rPr>
        <w:t xml:space="preserve">visas </w:t>
      </w:r>
      <w:r w:rsidR="003A1BA6" w:rsidRPr="00C977B1">
        <w:rPr>
          <w:rFonts w:ascii="Times New Roman" w:hAnsi="Times New Roman" w:cs="Times New Roman"/>
          <w:color w:val="000000"/>
          <w:sz w:val="28"/>
          <w:szCs w:val="28"/>
        </w:rPr>
        <w:t>Direktīvas 2012/27/ES</w:t>
      </w:r>
      <w:r w:rsidR="00BD5168">
        <w:rPr>
          <w:rFonts w:ascii="Times New Roman" w:hAnsi="Times New Roman" w:cs="Times New Roman"/>
          <w:color w:val="000000"/>
          <w:sz w:val="28"/>
          <w:szCs w:val="28"/>
        </w:rPr>
        <w:t xml:space="preserve"> noteiktās</w:t>
      </w:r>
      <w:r w:rsidR="003A1BA6" w:rsidRPr="00C977B1">
        <w:rPr>
          <w:rFonts w:ascii="Times New Roman" w:hAnsi="Times New Roman" w:cs="Times New Roman"/>
          <w:color w:val="000000"/>
          <w:sz w:val="28"/>
          <w:szCs w:val="28"/>
        </w:rPr>
        <w:t xml:space="preserve"> </w:t>
      </w:r>
      <w:r w:rsidR="00563E40" w:rsidRPr="00C977B1">
        <w:rPr>
          <w:rFonts w:ascii="Times New Roman" w:hAnsi="Times New Roman" w:cs="Times New Roman"/>
          <w:color w:val="000000"/>
          <w:sz w:val="28"/>
          <w:szCs w:val="28"/>
        </w:rPr>
        <w:t>prasības</w:t>
      </w:r>
      <w:r w:rsidR="00BD5168">
        <w:rPr>
          <w:rFonts w:ascii="Times New Roman" w:hAnsi="Times New Roman" w:cs="Times New Roman"/>
          <w:color w:val="000000"/>
          <w:sz w:val="28"/>
          <w:szCs w:val="28"/>
        </w:rPr>
        <w:t>,</w:t>
      </w:r>
      <w:r w:rsidR="00563E40" w:rsidRPr="00C977B1">
        <w:rPr>
          <w:rFonts w:ascii="Times New Roman" w:hAnsi="Times New Roman" w:cs="Times New Roman"/>
          <w:color w:val="000000"/>
          <w:sz w:val="28"/>
          <w:szCs w:val="28"/>
        </w:rPr>
        <w:t xml:space="preserve"> kā arī prasības par regulārajiem ziņojumiem. Paralēli būtu jāizdara grozījumi tajos </w:t>
      </w:r>
      <w:r w:rsidR="003A1BA6" w:rsidRPr="00C977B1">
        <w:rPr>
          <w:rFonts w:ascii="Times New Roman" w:hAnsi="Times New Roman" w:cs="Times New Roman"/>
          <w:color w:val="000000"/>
          <w:sz w:val="28"/>
          <w:szCs w:val="28"/>
        </w:rPr>
        <w:t xml:space="preserve">šīs koncepcijas </w:t>
      </w:r>
      <w:r w:rsidR="00563E40" w:rsidRPr="00C977B1">
        <w:rPr>
          <w:rFonts w:ascii="Times New Roman" w:hAnsi="Times New Roman" w:cs="Times New Roman"/>
          <w:color w:val="000000"/>
          <w:sz w:val="28"/>
          <w:szCs w:val="28"/>
        </w:rPr>
        <w:t>4.</w:t>
      </w:r>
      <w:r w:rsidR="00BD5168">
        <w:rPr>
          <w:rFonts w:ascii="Times New Roman" w:hAnsi="Times New Roman" w:cs="Times New Roman"/>
          <w:color w:val="000000"/>
          <w:sz w:val="28"/>
          <w:szCs w:val="28"/>
        </w:rPr>
        <w:t> </w:t>
      </w:r>
      <w:r w:rsidR="00563E40" w:rsidRPr="00C977B1">
        <w:rPr>
          <w:rFonts w:ascii="Times New Roman" w:hAnsi="Times New Roman" w:cs="Times New Roman"/>
          <w:color w:val="000000"/>
          <w:sz w:val="28"/>
          <w:szCs w:val="28"/>
        </w:rPr>
        <w:t>sadaļā minētajos tiesību aktos, kas attiecas uz specifiskām jomām (</w:t>
      </w:r>
      <w:r w:rsidR="00CB2E0A" w:rsidRPr="00C977B1">
        <w:rPr>
          <w:rFonts w:ascii="Times New Roman" w:hAnsi="Times New Roman" w:cs="Times New Roman"/>
          <w:color w:val="000000"/>
          <w:sz w:val="28"/>
          <w:szCs w:val="28"/>
        </w:rPr>
        <w:t xml:space="preserve">koģenerācija, publiskie </w:t>
      </w:r>
      <w:r w:rsidR="00563E40" w:rsidRPr="00C977B1">
        <w:rPr>
          <w:rFonts w:ascii="Times New Roman" w:hAnsi="Times New Roman" w:cs="Times New Roman"/>
          <w:color w:val="000000"/>
          <w:sz w:val="28"/>
          <w:szCs w:val="28"/>
        </w:rPr>
        <w:t xml:space="preserve">iepirkumi, pašvaldības, vides prasības). </w:t>
      </w:r>
    </w:p>
    <w:p w:rsidR="00B66BE2" w:rsidRDefault="00B66BE2" w:rsidP="00C218A5">
      <w:pPr>
        <w:spacing w:after="0" w:line="240" w:lineRule="auto"/>
        <w:jc w:val="both"/>
        <w:rPr>
          <w:rFonts w:ascii="Times New Roman" w:hAnsi="Times New Roman" w:cs="Times New Roman"/>
          <w:color w:val="000000"/>
          <w:sz w:val="28"/>
          <w:szCs w:val="28"/>
        </w:rPr>
      </w:pPr>
    </w:p>
    <w:p w:rsidR="00741627" w:rsidRDefault="00741627" w:rsidP="00C218A5">
      <w:pPr>
        <w:spacing w:after="0" w:line="240" w:lineRule="auto"/>
        <w:jc w:val="both"/>
        <w:rPr>
          <w:rFonts w:ascii="Times New Roman" w:hAnsi="Times New Roman" w:cs="Times New Roman"/>
          <w:color w:val="000000"/>
          <w:sz w:val="28"/>
          <w:szCs w:val="28"/>
        </w:rPr>
      </w:pPr>
    </w:p>
    <w:p w:rsidR="009C579D" w:rsidRPr="009C579D" w:rsidRDefault="009C579D" w:rsidP="009C57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Ekonomikas ministrs</w:t>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00FA5F86">
        <w:rPr>
          <w:rFonts w:ascii="Times New Roman" w:hAnsi="Times New Roman" w:cs="Times New Roman"/>
          <w:color w:val="000000"/>
          <w:sz w:val="28"/>
          <w:szCs w:val="28"/>
        </w:rPr>
        <w:tab/>
      </w:r>
      <w:r w:rsidR="00FA5F86">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D</w:t>
      </w:r>
      <w:r w:rsidRPr="009C579D">
        <w:rPr>
          <w:rFonts w:ascii="Times New Roman" w:hAnsi="Times New Roman" w:cs="Times New Roman"/>
          <w:color w:val="000000"/>
          <w:sz w:val="28"/>
          <w:szCs w:val="28"/>
        </w:rPr>
        <w:t>.</w:t>
      </w:r>
      <w:r>
        <w:rPr>
          <w:rFonts w:ascii="Times New Roman" w:hAnsi="Times New Roman" w:cs="Times New Roman"/>
          <w:color w:val="000000"/>
          <w:sz w:val="28"/>
          <w:szCs w:val="28"/>
        </w:rPr>
        <w:t>Pavļuts</w:t>
      </w:r>
      <w:proofErr w:type="spellEnd"/>
    </w:p>
    <w:p w:rsidR="009C579D" w:rsidRPr="009C579D" w:rsidRDefault="009C579D" w:rsidP="009C579D">
      <w:pPr>
        <w:spacing w:after="0" w:line="240" w:lineRule="auto"/>
        <w:jc w:val="both"/>
        <w:rPr>
          <w:rFonts w:ascii="Times New Roman" w:hAnsi="Times New Roman" w:cs="Times New Roman"/>
          <w:color w:val="000000"/>
          <w:sz w:val="28"/>
          <w:szCs w:val="28"/>
        </w:rPr>
      </w:pPr>
    </w:p>
    <w:p w:rsidR="009C579D" w:rsidRPr="009C579D" w:rsidRDefault="009C579D" w:rsidP="009C579D">
      <w:pPr>
        <w:spacing w:after="0" w:line="240" w:lineRule="auto"/>
        <w:jc w:val="both"/>
        <w:rPr>
          <w:rFonts w:ascii="Times New Roman" w:hAnsi="Times New Roman" w:cs="Times New Roman"/>
          <w:color w:val="000000"/>
          <w:sz w:val="28"/>
          <w:szCs w:val="28"/>
        </w:rPr>
      </w:pPr>
    </w:p>
    <w:p w:rsidR="009C579D" w:rsidRPr="009C579D" w:rsidRDefault="00083775" w:rsidP="009C57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Vīza</w:t>
      </w:r>
      <w:r w:rsidR="009C579D" w:rsidRPr="009C579D">
        <w:rPr>
          <w:rFonts w:ascii="Times New Roman" w:hAnsi="Times New Roman" w:cs="Times New Roman"/>
          <w:color w:val="000000"/>
          <w:sz w:val="28"/>
          <w:szCs w:val="28"/>
        </w:rPr>
        <w:t>:</w:t>
      </w:r>
    </w:p>
    <w:p w:rsidR="009C579D" w:rsidRPr="009C579D" w:rsidRDefault="009C579D" w:rsidP="009C579D">
      <w:pPr>
        <w:spacing w:after="0" w:line="240" w:lineRule="auto"/>
        <w:jc w:val="both"/>
        <w:rPr>
          <w:rFonts w:ascii="Times New Roman" w:hAnsi="Times New Roman" w:cs="Times New Roman"/>
          <w:color w:val="000000"/>
          <w:sz w:val="28"/>
          <w:szCs w:val="28"/>
        </w:rPr>
      </w:pPr>
      <w:r w:rsidRPr="009C579D">
        <w:rPr>
          <w:rFonts w:ascii="Times New Roman" w:hAnsi="Times New Roman" w:cs="Times New Roman"/>
          <w:color w:val="000000"/>
          <w:sz w:val="28"/>
          <w:szCs w:val="28"/>
        </w:rPr>
        <w:t>Valsts sekretār</w:t>
      </w:r>
      <w:r>
        <w:rPr>
          <w:rFonts w:ascii="Times New Roman" w:hAnsi="Times New Roman" w:cs="Times New Roman"/>
          <w:color w:val="000000"/>
          <w:sz w:val="28"/>
          <w:szCs w:val="28"/>
        </w:rPr>
        <w:t>s</w:t>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00FA5F86">
        <w:rPr>
          <w:rFonts w:ascii="Times New Roman" w:hAnsi="Times New Roman" w:cs="Times New Roman"/>
          <w:color w:val="000000"/>
          <w:sz w:val="28"/>
          <w:szCs w:val="28"/>
        </w:rPr>
        <w:tab/>
      </w:r>
      <w:r w:rsidR="00FA5F86">
        <w:rPr>
          <w:rFonts w:ascii="Times New Roman" w:hAnsi="Times New Roman" w:cs="Times New Roman"/>
          <w:color w:val="000000"/>
          <w:sz w:val="28"/>
          <w:szCs w:val="28"/>
        </w:rPr>
        <w:tab/>
      </w:r>
      <w:r>
        <w:rPr>
          <w:rFonts w:ascii="Times New Roman" w:hAnsi="Times New Roman" w:cs="Times New Roman"/>
          <w:color w:val="000000"/>
          <w:sz w:val="28"/>
          <w:szCs w:val="28"/>
        </w:rPr>
        <w:t>J</w:t>
      </w:r>
      <w:r w:rsidRPr="009C579D">
        <w:rPr>
          <w:rFonts w:ascii="Times New Roman" w:hAnsi="Times New Roman" w:cs="Times New Roman"/>
          <w:color w:val="000000"/>
          <w:sz w:val="28"/>
          <w:szCs w:val="28"/>
        </w:rPr>
        <w:t>.</w:t>
      </w:r>
      <w:r>
        <w:rPr>
          <w:rFonts w:ascii="Times New Roman" w:hAnsi="Times New Roman" w:cs="Times New Roman"/>
          <w:color w:val="000000"/>
          <w:sz w:val="28"/>
          <w:szCs w:val="28"/>
        </w:rPr>
        <w:t>Pūce</w:t>
      </w:r>
    </w:p>
    <w:p w:rsidR="00B66BE2" w:rsidRDefault="00B66BE2" w:rsidP="00C218A5">
      <w:pPr>
        <w:spacing w:after="0" w:line="240" w:lineRule="auto"/>
        <w:jc w:val="both"/>
        <w:rPr>
          <w:rFonts w:ascii="Times New Roman" w:hAnsi="Times New Roman" w:cs="Times New Roman"/>
          <w:color w:val="000000"/>
          <w:sz w:val="28"/>
          <w:szCs w:val="28"/>
        </w:rPr>
      </w:pPr>
    </w:p>
    <w:p w:rsidR="00323165" w:rsidRDefault="00323165" w:rsidP="00C16666">
      <w:pPr>
        <w:pStyle w:val="BodyTEXT0"/>
        <w:spacing w:before="0" w:after="0"/>
        <w:rPr>
          <w:sz w:val="22"/>
        </w:rPr>
      </w:pPr>
    </w:p>
    <w:p w:rsidR="00A93386" w:rsidRDefault="00A93386" w:rsidP="00C16666">
      <w:pPr>
        <w:pStyle w:val="BodyTEXT0"/>
        <w:spacing w:before="0" w:after="0"/>
        <w:rPr>
          <w:sz w:val="22"/>
        </w:rPr>
      </w:pPr>
    </w:p>
    <w:p w:rsidR="00A93386" w:rsidRDefault="00A93386" w:rsidP="00C16666">
      <w:pPr>
        <w:pStyle w:val="BodyTEXT0"/>
        <w:spacing w:before="0" w:after="0"/>
        <w:rPr>
          <w:sz w:val="22"/>
        </w:rPr>
      </w:pPr>
    </w:p>
    <w:p w:rsidR="00A93386" w:rsidRDefault="00A93386" w:rsidP="00C16666">
      <w:pPr>
        <w:pStyle w:val="BodyTEXT0"/>
        <w:spacing w:before="0" w:after="0"/>
        <w:rPr>
          <w:sz w:val="22"/>
        </w:rPr>
      </w:pPr>
    </w:p>
    <w:p w:rsidR="00A93386" w:rsidRDefault="00A93386" w:rsidP="00C16666">
      <w:pPr>
        <w:pStyle w:val="BodyTEXT0"/>
        <w:spacing w:before="0" w:after="0"/>
        <w:rPr>
          <w:sz w:val="22"/>
        </w:rPr>
      </w:pPr>
    </w:p>
    <w:p w:rsidR="00A93386" w:rsidRDefault="00A93386" w:rsidP="00C16666">
      <w:pPr>
        <w:pStyle w:val="BodyTEXT0"/>
        <w:spacing w:before="0" w:after="0"/>
        <w:rPr>
          <w:sz w:val="22"/>
        </w:rPr>
      </w:pPr>
    </w:p>
    <w:p w:rsidR="00A93386" w:rsidRDefault="00A93386" w:rsidP="00C16666">
      <w:pPr>
        <w:pStyle w:val="BodyTEXT0"/>
        <w:spacing w:before="0" w:after="0"/>
        <w:rPr>
          <w:sz w:val="22"/>
        </w:rPr>
      </w:pPr>
    </w:p>
    <w:p w:rsidR="00A93386" w:rsidRDefault="00A93386" w:rsidP="00C16666">
      <w:pPr>
        <w:pStyle w:val="BodyTEXT0"/>
        <w:spacing w:before="0" w:after="0"/>
        <w:rPr>
          <w:sz w:val="22"/>
        </w:rPr>
      </w:pPr>
    </w:p>
    <w:p w:rsidR="00A93386" w:rsidRDefault="00A93386" w:rsidP="00C16666">
      <w:pPr>
        <w:pStyle w:val="BodyTEXT0"/>
        <w:spacing w:before="0" w:after="0"/>
        <w:rPr>
          <w:sz w:val="22"/>
        </w:rPr>
      </w:pPr>
    </w:p>
    <w:p w:rsidR="00F6669D" w:rsidRDefault="00F6669D" w:rsidP="00C16666">
      <w:pPr>
        <w:pStyle w:val="BodyTEXT0"/>
        <w:spacing w:before="0" w:after="0"/>
        <w:rPr>
          <w:sz w:val="22"/>
        </w:rPr>
      </w:pPr>
    </w:p>
    <w:p w:rsidR="00A93386" w:rsidRDefault="00A93386" w:rsidP="00C16666">
      <w:pPr>
        <w:pStyle w:val="BodyTEXT0"/>
        <w:spacing w:before="0" w:after="0"/>
        <w:rPr>
          <w:sz w:val="22"/>
        </w:rPr>
      </w:pPr>
    </w:p>
    <w:p w:rsidR="00C341F4" w:rsidRPr="00C16666" w:rsidRDefault="00CC3507" w:rsidP="00C16666">
      <w:pPr>
        <w:pStyle w:val="BodyTEXT0"/>
        <w:spacing w:before="0" w:after="0"/>
        <w:rPr>
          <w:sz w:val="22"/>
        </w:rPr>
      </w:pPr>
      <w:r>
        <w:rPr>
          <w:sz w:val="22"/>
        </w:rPr>
        <w:t>1</w:t>
      </w:r>
      <w:r w:rsidR="00C63546">
        <w:rPr>
          <w:sz w:val="22"/>
        </w:rPr>
        <w:t>5</w:t>
      </w:r>
      <w:r w:rsidR="00C341F4" w:rsidRPr="00C16666">
        <w:rPr>
          <w:sz w:val="22"/>
        </w:rPr>
        <w:t>.</w:t>
      </w:r>
      <w:r w:rsidR="00540921">
        <w:rPr>
          <w:sz w:val="22"/>
        </w:rPr>
        <w:t>11</w:t>
      </w:r>
      <w:r w:rsidR="00C341F4" w:rsidRPr="00C16666">
        <w:rPr>
          <w:sz w:val="22"/>
        </w:rPr>
        <w:t xml:space="preserve">.2013 </w:t>
      </w:r>
      <w:r>
        <w:rPr>
          <w:sz w:val="22"/>
        </w:rPr>
        <w:t>09</w:t>
      </w:r>
      <w:r w:rsidR="0018261E" w:rsidRPr="00C16666">
        <w:rPr>
          <w:sz w:val="22"/>
        </w:rPr>
        <w:t>:</w:t>
      </w:r>
      <w:r w:rsidR="00540921">
        <w:rPr>
          <w:sz w:val="22"/>
        </w:rPr>
        <w:t>45</w:t>
      </w:r>
    </w:p>
    <w:p w:rsidR="00FA5F86" w:rsidRPr="00C16666" w:rsidRDefault="00FA5F86" w:rsidP="00C16666">
      <w:pPr>
        <w:pStyle w:val="BodyTEXT0"/>
        <w:spacing w:before="0" w:after="0"/>
        <w:rPr>
          <w:sz w:val="22"/>
        </w:rPr>
      </w:pPr>
      <w:r w:rsidRPr="00C16666">
        <w:rPr>
          <w:sz w:val="22"/>
        </w:rPr>
        <w:fldChar w:fldCharType="begin"/>
      </w:r>
      <w:r w:rsidRPr="00C16666">
        <w:rPr>
          <w:sz w:val="22"/>
        </w:rPr>
        <w:instrText xml:space="preserve"> NUMWORDS   \* MERGEFORMAT </w:instrText>
      </w:r>
      <w:r w:rsidRPr="00C16666">
        <w:rPr>
          <w:sz w:val="22"/>
        </w:rPr>
        <w:fldChar w:fldCharType="separate"/>
      </w:r>
      <w:r w:rsidR="00691D05">
        <w:rPr>
          <w:noProof/>
          <w:sz w:val="22"/>
        </w:rPr>
        <w:t>11267</w:t>
      </w:r>
      <w:r w:rsidRPr="00C16666">
        <w:rPr>
          <w:sz w:val="22"/>
        </w:rPr>
        <w:fldChar w:fldCharType="end"/>
      </w:r>
      <w:bookmarkStart w:id="21" w:name="_GoBack"/>
      <w:bookmarkEnd w:id="21"/>
    </w:p>
    <w:p w:rsidR="00C341F4" w:rsidRPr="00C16666" w:rsidRDefault="00C341F4" w:rsidP="00C16666">
      <w:pPr>
        <w:pStyle w:val="BodyTEXT0"/>
        <w:spacing w:before="0" w:after="0"/>
        <w:rPr>
          <w:sz w:val="22"/>
        </w:rPr>
      </w:pPr>
      <w:r w:rsidRPr="00C16666">
        <w:rPr>
          <w:sz w:val="22"/>
        </w:rPr>
        <w:t>A.Pētersone, 670</w:t>
      </w:r>
      <w:r w:rsidR="00F6669D">
        <w:rPr>
          <w:sz w:val="22"/>
        </w:rPr>
        <w:t>13</w:t>
      </w:r>
      <w:r w:rsidRPr="00C16666">
        <w:rPr>
          <w:sz w:val="22"/>
        </w:rPr>
        <w:t>170</w:t>
      </w:r>
    </w:p>
    <w:p w:rsidR="00C341F4" w:rsidRDefault="00E33C69" w:rsidP="00733F5B">
      <w:pPr>
        <w:pStyle w:val="BodyTEXT0"/>
        <w:spacing w:before="0" w:after="0"/>
        <w:rPr>
          <w:sz w:val="22"/>
        </w:rPr>
      </w:pPr>
      <w:hyperlink r:id="rId12" w:history="1">
        <w:r w:rsidR="00C341F4" w:rsidRPr="00C16666">
          <w:rPr>
            <w:rStyle w:val="Hyperlink"/>
            <w:color w:val="auto"/>
            <w:kern w:val="28"/>
            <w:sz w:val="22"/>
            <w:szCs w:val="20"/>
          </w:rPr>
          <w:t>andzela.petersone@em.gov.lv</w:t>
        </w:r>
      </w:hyperlink>
      <w:r w:rsidR="00733F5B">
        <w:rPr>
          <w:sz w:val="22"/>
        </w:rPr>
        <w:t xml:space="preserve">  </w:t>
      </w:r>
    </w:p>
    <w:p w:rsidR="00205C36" w:rsidRDefault="00205C36" w:rsidP="00205C36">
      <w:pPr>
        <w:pStyle w:val="naisf"/>
        <w:tabs>
          <w:tab w:val="left" w:pos="0"/>
        </w:tabs>
        <w:spacing w:before="0" w:after="0"/>
        <w:ind w:firstLine="0"/>
        <w:rPr>
          <w:sz w:val="22"/>
          <w:szCs w:val="22"/>
        </w:rPr>
      </w:pPr>
    </w:p>
    <w:p w:rsidR="00222261" w:rsidRDefault="00222261" w:rsidP="00205C36">
      <w:pPr>
        <w:pStyle w:val="naisf"/>
        <w:tabs>
          <w:tab w:val="left" w:pos="0"/>
        </w:tabs>
        <w:spacing w:before="0" w:after="0"/>
        <w:ind w:firstLine="0"/>
        <w:rPr>
          <w:sz w:val="22"/>
          <w:szCs w:val="22"/>
        </w:rPr>
      </w:pPr>
      <w:r>
        <w:rPr>
          <w:sz w:val="22"/>
          <w:szCs w:val="22"/>
        </w:rPr>
        <w:t>K.Beihmanis</w:t>
      </w:r>
      <w:r w:rsidR="002A3FE6">
        <w:rPr>
          <w:sz w:val="22"/>
          <w:szCs w:val="22"/>
        </w:rPr>
        <w:t>, 67013260</w:t>
      </w:r>
    </w:p>
    <w:p w:rsidR="002A3FE6" w:rsidRDefault="00E33C69" w:rsidP="00205C36">
      <w:pPr>
        <w:pStyle w:val="naisf"/>
        <w:tabs>
          <w:tab w:val="left" w:pos="0"/>
        </w:tabs>
        <w:spacing w:before="0" w:after="0"/>
        <w:ind w:firstLine="0"/>
        <w:rPr>
          <w:rStyle w:val="Hyperlink"/>
          <w:color w:val="auto"/>
          <w:kern w:val="28"/>
          <w:sz w:val="22"/>
          <w:szCs w:val="20"/>
          <w:lang w:eastAsia="en-US" w:bidi="en-US"/>
        </w:rPr>
      </w:pPr>
      <w:hyperlink r:id="rId13" w:history="1">
        <w:r w:rsidR="00222261" w:rsidRPr="006745A8">
          <w:rPr>
            <w:rStyle w:val="Hyperlink"/>
            <w:color w:val="auto"/>
            <w:kern w:val="28"/>
            <w:sz w:val="22"/>
            <w:szCs w:val="20"/>
            <w:lang w:eastAsia="en-US" w:bidi="en-US"/>
          </w:rPr>
          <w:t>Karlis.Beihmanis@em.gov.lv</w:t>
        </w:r>
      </w:hyperlink>
    </w:p>
    <w:p w:rsidR="00F6669D" w:rsidRDefault="00F6669D" w:rsidP="00205C36">
      <w:pPr>
        <w:pStyle w:val="naisf"/>
        <w:tabs>
          <w:tab w:val="left" w:pos="0"/>
        </w:tabs>
        <w:spacing w:before="0" w:after="0"/>
        <w:ind w:firstLine="0"/>
        <w:rPr>
          <w:rStyle w:val="Hyperlink"/>
          <w:color w:val="auto"/>
          <w:kern w:val="28"/>
          <w:sz w:val="22"/>
          <w:szCs w:val="20"/>
          <w:lang w:eastAsia="en-US" w:bidi="en-US"/>
        </w:rPr>
      </w:pPr>
    </w:p>
    <w:p w:rsidR="00F6669D" w:rsidRDefault="00F6669D" w:rsidP="00205C36">
      <w:pPr>
        <w:pStyle w:val="naisf"/>
        <w:tabs>
          <w:tab w:val="left" w:pos="0"/>
        </w:tabs>
        <w:spacing w:before="0" w:after="0"/>
        <w:ind w:firstLine="0"/>
        <w:rPr>
          <w:rStyle w:val="Hyperlink"/>
          <w:color w:val="auto"/>
          <w:kern w:val="28"/>
          <w:sz w:val="22"/>
          <w:szCs w:val="20"/>
          <w:lang w:eastAsia="en-US" w:bidi="en-US"/>
        </w:rPr>
      </w:pPr>
      <w:r>
        <w:rPr>
          <w:rStyle w:val="Hyperlink"/>
          <w:color w:val="auto"/>
          <w:kern w:val="28"/>
          <w:sz w:val="22"/>
          <w:szCs w:val="20"/>
          <w:lang w:eastAsia="en-US" w:bidi="en-US"/>
        </w:rPr>
        <w:t>I.Ozoliņa, 67013175</w:t>
      </w:r>
    </w:p>
    <w:p w:rsidR="00F6669D" w:rsidRDefault="00F6669D" w:rsidP="00205C36">
      <w:pPr>
        <w:pStyle w:val="naisf"/>
        <w:tabs>
          <w:tab w:val="left" w:pos="0"/>
        </w:tabs>
        <w:spacing w:before="0" w:after="0"/>
        <w:ind w:firstLine="0"/>
        <w:rPr>
          <w:rStyle w:val="Hyperlink"/>
          <w:color w:val="auto"/>
          <w:kern w:val="28"/>
          <w:sz w:val="22"/>
          <w:szCs w:val="20"/>
          <w:lang w:eastAsia="en-US" w:bidi="en-US"/>
        </w:rPr>
      </w:pPr>
      <w:r>
        <w:rPr>
          <w:rStyle w:val="Hyperlink"/>
          <w:color w:val="auto"/>
          <w:kern w:val="28"/>
          <w:sz w:val="22"/>
          <w:szCs w:val="20"/>
          <w:lang w:eastAsia="en-US" w:bidi="en-US"/>
        </w:rPr>
        <w:t>Inguna.Ozolina@em.gov.lv</w:t>
      </w:r>
    </w:p>
    <w:sectPr w:rsidR="00F6669D" w:rsidSect="00793E16">
      <w:headerReference w:type="default" r:id="rId14"/>
      <w:footerReference w:type="defaul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69" w:rsidRDefault="00E33C69" w:rsidP="00094D10">
      <w:pPr>
        <w:spacing w:after="0" w:line="240" w:lineRule="auto"/>
      </w:pPr>
      <w:r>
        <w:separator/>
      </w:r>
    </w:p>
  </w:endnote>
  <w:endnote w:type="continuationSeparator" w:id="0">
    <w:p w:rsidR="00E33C69" w:rsidRDefault="00E33C69" w:rsidP="0009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69" w:rsidRPr="00E453E5" w:rsidRDefault="00E33C69" w:rsidP="00E453E5">
    <w:pPr>
      <w:pStyle w:val="Footer"/>
      <w:jc w:val="both"/>
      <w:rPr>
        <w:rFonts w:ascii="Times New Roman" w:hAnsi="Times New Roman" w:cs="Times New Roman"/>
        <w:bCs/>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 MERGEFORMAT </w:instrText>
    </w:r>
    <w:r>
      <w:rPr>
        <w:rFonts w:ascii="Times New Roman" w:hAnsi="Times New Roman" w:cs="Times New Roman"/>
        <w:sz w:val="24"/>
        <w:szCs w:val="24"/>
      </w:rPr>
      <w:fldChar w:fldCharType="separate"/>
    </w:r>
    <w:r w:rsidR="008B1A99">
      <w:rPr>
        <w:rFonts w:ascii="Times New Roman" w:hAnsi="Times New Roman" w:cs="Times New Roman"/>
        <w:noProof/>
        <w:sz w:val="24"/>
        <w:szCs w:val="24"/>
      </w:rPr>
      <w:t>EMKonc_151113_VSS_665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9700F">
      <w:rPr>
        <w:rFonts w:ascii="Times New Roman" w:hAnsi="Times New Roman" w:cs="Times New Roman"/>
        <w:sz w:val="24"/>
        <w:szCs w:val="24"/>
      </w:rPr>
      <w:t>Koncepcija par Direktīvas 2012/27/ES par energoefektivitāti  prasību pārņemšanu normatīvajos aktos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69" w:rsidRDefault="00E33C69" w:rsidP="00094D10">
      <w:pPr>
        <w:spacing w:after="0" w:line="240" w:lineRule="auto"/>
      </w:pPr>
      <w:r>
        <w:separator/>
      </w:r>
    </w:p>
  </w:footnote>
  <w:footnote w:type="continuationSeparator" w:id="0">
    <w:p w:rsidR="00E33C69" w:rsidRDefault="00E33C69" w:rsidP="00094D10">
      <w:pPr>
        <w:spacing w:after="0" w:line="240" w:lineRule="auto"/>
      </w:pPr>
      <w:r>
        <w:continuationSeparator/>
      </w:r>
    </w:p>
  </w:footnote>
  <w:footnote w:id="1">
    <w:p w:rsidR="00E33C69" w:rsidRDefault="00E33C69">
      <w:pPr>
        <w:pStyle w:val="FootnoteText"/>
      </w:pPr>
      <w:r>
        <w:rPr>
          <w:rStyle w:val="FootnoteReference"/>
        </w:rPr>
        <w:footnoteRef/>
      </w:r>
      <w:r>
        <w:t xml:space="preserve"> </w:t>
      </w:r>
      <w:r>
        <w:rPr>
          <w:rFonts w:ascii="Times New Roman" w:hAnsi="Times New Roman" w:cs="Times New Roman"/>
          <w:bCs/>
          <w:sz w:val="20"/>
          <w:szCs w:val="20"/>
        </w:rPr>
        <w:t>C</w:t>
      </w:r>
      <w:r w:rsidRPr="009E432D">
        <w:rPr>
          <w:rFonts w:ascii="Times New Roman" w:hAnsi="Times New Roman" w:cs="Times New Roman"/>
          <w:bCs/>
          <w:sz w:val="20"/>
          <w:szCs w:val="20"/>
        </w:rPr>
        <w:t>entrālās valdības ēka ir tiešajai valsts pārvaldes iestādei vai tās padotības iestādei īpašumā vai lietošanā esoša ēka, kurā</w:t>
      </w:r>
      <w:r w:rsidRPr="009E432D">
        <w:rPr>
          <w:rFonts w:ascii="Times New Roman" w:hAnsi="Times New Roman" w:cs="Times New Roman"/>
          <w:bCs/>
          <w:color w:val="000000"/>
          <w:sz w:val="20"/>
          <w:szCs w:val="20"/>
        </w:rPr>
        <w:t xml:space="preserve"> tiek īstenota valsts tiešās pārvaldes iestādes vai tās padotības iestādes funkcija.</w:t>
      </w:r>
      <w:r w:rsidRPr="009E432D">
        <w:rPr>
          <w:rFonts w:ascii="Times New Roman" w:hAnsi="Times New Roman" w:cs="Times New Roman"/>
          <w:bCs/>
          <w:sz w:val="20"/>
          <w:szCs w:val="20"/>
        </w:rPr>
        <w:t xml:space="preserve"> Centrālās valdības ēkas definīcijā netiek iekļautas VSIA, VAS, Kapitālsabiedrībai ar valsts daļu īpašumā vai lietošanā esoša ēka, ja tajā netiek īstenots valsts pārvaldes uzdevums</w:t>
      </w:r>
      <w:r>
        <w:rPr>
          <w:rFonts w:ascii="Times New Roman" w:hAnsi="Times New Roman" w:cs="Times New Roman"/>
          <w:bCs/>
          <w:sz w:val="20"/>
          <w:szCs w:val="20"/>
        </w:rPr>
        <w:t>.</w:t>
      </w:r>
    </w:p>
  </w:footnote>
  <w:footnote w:id="2">
    <w:p w:rsidR="00E33C69" w:rsidRDefault="00E33C69" w:rsidP="00FF23B8">
      <w:pPr>
        <w:pStyle w:val="FootnoteText"/>
        <w:jc w:val="both"/>
      </w:pPr>
      <w:r>
        <w:rPr>
          <w:rStyle w:val="FootnoteReference"/>
        </w:rPr>
        <w:footnoteRef/>
      </w:r>
      <w:r>
        <w:t xml:space="preserve"> </w:t>
      </w:r>
      <w:r w:rsidRPr="00FF23B8">
        <w:rPr>
          <w:rFonts w:ascii="Times New Roman" w:hAnsi="Times New Roman" w:cs="Times New Roman"/>
          <w:sz w:val="20"/>
          <w:szCs w:val="20"/>
        </w:rPr>
        <w:t>Direktīva 2006/32/EK par enerģijas galapatēriņa efektivitāti un energoefektivitātes pakalpojumiem un ar ko atceļ Padomes Direktīvu 93/76/EEK</w:t>
      </w:r>
    </w:p>
  </w:footnote>
  <w:footnote w:id="3">
    <w:p w:rsidR="00E33C69" w:rsidRPr="00946660" w:rsidRDefault="00E33C69" w:rsidP="00946660">
      <w:pPr>
        <w:pStyle w:val="FootnoteText"/>
        <w:jc w:val="both"/>
        <w:rPr>
          <w:rFonts w:ascii="Times New Roman" w:hAnsi="Times New Roman" w:cs="Times New Roman"/>
        </w:rPr>
      </w:pPr>
      <w:r w:rsidRPr="00946660">
        <w:rPr>
          <w:rStyle w:val="FootnoteReference"/>
          <w:rFonts w:ascii="Times New Roman" w:hAnsi="Times New Roman" w:cs="Times New Roman"/>
        </w:rPr>
        <w:footnoteRef/>
      </w:r>
      <w:r w:rsidRPr="00946660">
        <w:rPr>
          <w:rFonts w:ascii="Times New Roman" w:hAnsi="Times New Roman" w:cs="Times New Roman"/>
        </w:rPr>
        <w:t xml:space="preserve"> „Komisijas paziņojums Eiropas Parlamentam, Padomei, Eiropas Ekonomikas un sociālo lietu komitejai un Reģionu komitejai</w:t>
      </w:r>
      <w:r>
        <w:rPr>
          <w:rFonts w:ascii="Times New Roman" w:hAnsi="Times New Roman" w:cs="Times New Roman"/>
        </w:rPr>
        <w:t>:</w:t>
      </w:r>
      <w:r w:rsidRPr="00946660">
        <w:rPr>
          <w:rFonts w:ascii="Times New Roman" w:hAnsi="Times New Roman" w:cs="Times New Roman"/>
        </w:rPr>
        <w:t xml:space="preserve"> 2011. gada energoefektivitātes plāns” publicēts 2011. gada 8. martā </w:t>
      </w:r>
    </w:p>
  </w:footnote>
  <w:footnote w:id="4">
    <w:p w:rsidR="00E33C69" w:rsidRDefault="00E33C69">
      <w:pPr>
        <w:pStyle w:val="FootnoteText"/>
      </w:pPr>
      <w:r>
        <w:rPr>
          <w:rStyle w:val="FootnoteReference"/>
        </w:rPr>
        <w:footnoteRef/>
      </w:r>
      <w:r>
        <w:t xml:space="preserve"> </w:t>
      </w:r>
      <w:r>
        <w:rPr>
          <w:rFonts w:ascii="Times New Roman" w:hAnsi="Times New Roman" w:cs="Times New Roman"/>
          <w:bCs/>
          <w:sz w:val="20"/>
          <w:szCs w:val="20"/>
        </w:rPr>
        <w:t>C</w:t>
      </w:r>
      <w:r w:rsidRPr="009E432D">
        <w:rPr>
          <w:rFonts w:ascii="Times New Roman" w:hAnsi="Times New Roman" w:cs="Times New Roman"/>
          <w:bCs/>
          <w:sz w:val="20"/>
          <w:szCs w:val="20"/>
        </w:rPr>
        <w:t>entrālās valdības ēka ir tiešajai valsts pārvaldes iestādei vai tās padotības iestādei īpašumā vai lietošanā esoša ēka, kurā</w:t>
      </w:r>
      <w:r w:rsidRPr="009E432D">
        <w:rPr>
          <w:rFonts w:ascii="Times New Roman" w:hAnsi="Times New Roman" w:cs="Times New Roman"/>
          <w:bCs/>
          <w:color w:val="000000"/>
          <w:sz w:val="20"/>
          <w:szCs w:val="20"/>
        </w:rPr>
        <w:t xml:space="preserve"> tiek īstenota valsts tiešās pārvaldes iestādes vai tās padotības iestādes funkcija.</w:t>
      </w:r>
      <w:r w:rsidRPr="009E432D">
        <w:rPr>
          <w:rFonts w:ascii="Times New Roman" w:hAnsi="Times New Roman" w:cs="Times New Roman"/>
          <w:bCs/>
          <w:sz w:val="20"/>
          <w:szCs w:val="20"/>
        </w:rPr>
        <w:t xml:space="preserve"> Centrālās valdības ēkas definīcijā netiek iekļautas VSIA, VAS, Kapitālsabiedrībai ar valsts daļu īpašumā vai lietošanā esoša ēka, ja tajā netiek īstenots valsts pārvaldes uzdevums</w:t>
      </w:r>
      <w:r>
        <w:rPr>
          <w:rFonts w:ascii="Times New Roman" w:hAnsi="Times New Roman" w:cs="Times New Roman"/>
          <w:bCs/>
          <w:sz w:val="20"/>
          <w:szCs w:val="20"/>
        </w:rPr>
        <w:t>.</w:t>
      </w:r>
    </w:p>
  </w:footnote>
  <w:footnote w:id="5">
    <w:p w:rsidR="00E33C69" w:rsidRPr="00CF262F" w:rsidRDefault="00E33C69" w:rsidP="00A66F9E">
      <w:pPr>
        <w:spacing w:after="0" w:line="240" w:lineRule="auto"/>
        <w:jc w:val="both"/>
        <w:rPr>
          <w:sz w:val="20"/>
          <w:szCs w:val="20"/>
        </w:rPr>
      </w:pPr>
      <w:r w:rsidRPr="00CF262F">
        <w:rPr>
          <w:rStyle w:val="FootnoteReference"/>
          <w:rFonts w:ascii="Times New Roman" w:hAnsi="Times New Roman" w:cs="Times New Roman"/>
          <w:sz w:val="20"/>
          <w:szCs w:val="20"/>
        </w:rPr>
        <w:footnoteRef/>
      </w:r>
      <w:r>
        <w:t xml:space="preserve"> </w:t>
      </w:r>
      <w:r w:rsidRPr="00CF262F">
        <w:rPr>
          <w:rFonts w:ascii="Times New Roman" w:hAnsi="Times New Roman" w:cs="Times New Roman"/>
          <w:sz w:val="20"/>
          <w:szCs w:val="20"/>
        </w:rPr>
        <w:t xml:space="preserve">Paziņots </w:t>
      </w:r>
      <w:r>
        <w:rPr>
          <w:rFonts w:ascii="Times New Roman" w:hAnsi="Times New Roman" w:cs="Times New Roman"/>
          <w:sz w:val="20"/>
          <w:szCs w:val="20"/>
        </w:rPr>
        <w:t>EK</w:t>
      </w:r>
      <w:r w:rsidRPr="00CF262F">
        <w:rPr>
          <w:rFonts w:ascii="Times New Roman" w:hAnsi="Times New Roman" w:cs="Times New Roman"/>
          <w:sz w:val="20"/>
          <w:szCs w:val="20"/>
        </w:rPr>
        <w:t xml:space="preserve"> 2013.</w:t>
      </w:r>
      <w:r>
        <w:rPr>
          <w:rFonts w:ascii="Times New Roman" w:hAnsi="Times New Roman" w:cs="Times New Roman"/>
          <w:sz w:val="20"/>
          <w:szCs w:val="20"/>
        </w:rPr>
        <w:t> </w:t>
      </w:r>
      <w:r w:rsidRPr="00CF262F">
        <w:rPr>
          <w:rFonts w:ascii="Times New Roman" w:hAnsi="Times New Roman" w:cs="Times New Roman"/>
          <w:sz w:val="20"/>
          <w:szCs w:val="20"/>
        </w:rPr>
        <w:t>gada 2.</w:t>
      </w:r>
      <w:r>
        <w:rPr>
          <w:rFonts w:ascii="Times New Roman" w:hAnsi="Times New Roman" w:cs="Times New Roman"/>
          <w:sz w:val="20"/>
          <w:szCs w:val="20"/>
        </w:rPr>
        <w:t> </w:t>
      </w:r>
      <w:r w:rsidRPr="00CF262F">
        <w:rPr>
          <w:rFonts w:ascii="Times New Roman" w:hAnsi="Times New Roman" w:cs="Times New Roman"/>
          <w:sz w:val="20"/>
          <w:szCs w:val="20"/>
        </w:rPr>
        <w:t>maijā ar progresa ziņojumu par „Latvijas Nacionālās reformu programmas Eiropa 2020 stratēģijas kontekstā” īstenošanu.</w:t>
      </w:r>
    </w:p>
  </w:footnote>
  <w:footnote w:id="6">
    <w:p w:rsidR="00E33C69" w:rsidRPr="00CF262F" w:rsidRDefault="00E33C69" w:rsidP="00A66F9E">
      <w:pPr>
        <w:pStyle w:val="FootnoteText"/>
        <w:jc w:val="both"/>
        <w:rPr>
          <w:rFonts w:ascii="Times New Roman" w:hAnsi="Times New Roman" w:cs="Times New Roman"/>
          <w:sz w:val="20"/>
          <w:szCs w:val="20"/>
        </w:rPr>
      </w:pPr>
      <w:r w:rsidRPr="00CF262F">
        <w:rPr>
          <w:rStyle w:val="FootnoteReference"/>
          <w:rFonts w:ascii="Times New Roman" w:hAnsi="Times New Roman" w:cs="Times New Roman"/>
          <w:sz w:val="20"/>
          <w:szCs w:val="20"/>
        </w:rPr>
        <w:footnoteRef/>
      </w:r>
      <w:r w:rsidRPr="00CF262F">
        <w:rPr>
          <w:rFonts w:ascii="Times New Roman" w:hAnsi="Times New Roman" w:cs="Times New Roman"/>
          <w:sz w:val="20"/>
          <w:szCs w:val="20"/>
        </w:rPr>
        <w:t xml:space="preserve"> Ietaupījums, kas tiek aprēķināts kā starpība starp bāzes scenāriju un scenāriju ar pasākumiem; šis ietaupījums nenozīmē valsts enerģijas patēriņa absolūto samazinājumu, bet gan pieauguma ierobežojumu, ko nodrošina minētie pasākumi. Mērķa ziņošanas metodiskās prasības noteiktas Direktīvas 2012/27/ES V pielikumā.</w:t>
      </w:r>
    </w:p>
  </w:footnote>
  <w:footnote w:id="7">
    <w:p w:rsidR="00E33C69" w:rsidRPr="00CF262F" w:rsidRDefault="00E33C69" w:rsidP="00A66F9E">
      <w:pPr>
        <w:spacing w:after="0" w:line="240" w:lineRule="auto"/>
        <w:jc w:val="both"/>
        <w:rPr>
          <w:rFonts w:ascii="Times New Roman" w:hAnsi="Times New Roman" w:cs="Times New Roman"/>
          <w:sz w:val="20"/>
          <w:szCs w:val="20"/>
        </w:rPr>
      </w:pPr>
      <w:r w:rsidRPr="00CF262F">
        <w:rPr>
          <w:rStyle w:val="FootnoteReference"/>
          <w:rFonts w:ascii="Times New Roman" w:hAnsi="Times New Roman" w:cs="Times New Roman"/>
          <w:sz w:val="20"/>
          <w:szCs w:val="20"/>
        </w:rPr>
        <w:footnoteRef/>
      </w:r>
      <w:r w:rsidRPr="00CF262F">
        <w:rPr>
          <w:sz w:val="20"/>
          <w:szCs w:val="20"/>
        </w:rPr>
        <w:t xml:space="preserve"> </w:t>
      </w:r>
      <w:r w:rsidRPr="00CF262F">
        <w:rPr>
          <w:rFonts w:ascii="Times New Roman" w:hAnsi="Times New Roman" w:cs="Times New Roman"/>
          <w:sz w:val="20"/>
          <w:szCs w:val="20"/>
        </w:rPr>
        <w:t>Precīzais mērķa izpildes nosacījumiem atbilstošo ēku saraksts dalībvalstīm jāizveido līdz 2013.</w:t>
      </w:r>
      <w:r>
        <w:rPr>
          <w:rFonts w:ascii="Times New Roman" w:hAnsi="Times New Roman" w:cs="Times New Roman"/>
          <w:sz w:val="20"/>
          <w:szCs w:val="20"/>
        </w:rPr>
        <w:t> </w:t>
      </w:r>
      <w:r w:rsidRPr="00CF262F">
        <w:rPr>
          <w:rFonts w:ascii="Times New Roman" w:hAnsi="Times New Roman" w:cs="Times New Roman"/>
          <w:sz w:val="20"/>
          <w:szCs w:val="20"/>
        </w:rPr>
        <w:t>gada 31.</w:t>
      </w:r>
      <w:r>
        <w:rPr>
          <w:rFonts w:ascii="Times New Roman" w:hAnsi="Times New Roman" w:cs="Times New Roman"/>
          <w:sz w:val="20"/>
          <w:szCs w:val="20"/>
        </w:rPr>
        <w:t> </w:t>
      </w:r>
      <w:r w:rsidRPr="00CF262F">
        <w:rPr>
          <w:rFonts w:ascii="Times New Roman" w:hAnsi="Times New Roman" w:cs="Times New Roman"/>
          <w:sz w:val="20"/>
          <w:szCs w:val="20"/>
        </w:rPr>
        <w:t>decembrim.</w:t>
      </w:r>
    </w:p>
    <w:p w:rsidR="00E33C69" w:rsidRDefault="00E33C69" w:rsidP="00A66F9E">
      <w:pPr>
        <w:pStyle w:val="FootnoteText"/>
      </w:pPr>
    </w:p>
  </w:footnote>
  <w:footnote w:id="8">
    <w:p w:rsidR="00E33C69" w:rsidRPr="004062D8" w:rsidRDefault="00E33C69" w:rsidP="004062D8">
      <w:pPr>
        <w:pStyle w:val="FootnoteText"/>
        <w:jc w:val="both"/>
        <w:rPr>
          <w:rFonts w:ascii="Times New Roman" w:hAnsi="Times New Roman" w:cs="Times New Roman"/>
          <w:sz w:val="20"/>
          <w:szCs w:val="20"/>
        </w:rPr>
      </w:pPr>
      <w:r w:rsidRPr="004062D8">
        <w:rPr>
          <w:rStyle w:val="FootnoteReference"/>
          <w:rFonts w:ascii="Times New Roman" w:hAnsi="Times New Roman" w:cs="Times New Roman"/>
          <w:sz w:val="20"/>
          <w:szCs w:val="20"/>
        </w:rPr>
        <w:footnoteRef/>
      </w:r>
      <w:r w:rsidRPr="004062D8">
        <w:rPr>
          <w:rFonts w:ascii="Times New Roman" w:hAnsi="Times New Roman" w:cs="Times New Roman"/>
          <w:sz w:val="20"/>
          <w:szCs w:val="20"/>
        </w:rPr>
        <w:t xml:space="preserve"> Plāna saturu nosaka Komisijas lēmums (22.5.2013),</w:t>
      </w:r>
      <w:r>
        <w:rPr>
          <w:rFonts w:ascii="Times New Roman" w:hAnsi="Times New Roman" w:cs="Times New Roman"/>
          <w:sz w:val="20"/>
          <w:szCs w:val="20"/>
        </w:rPr>
        <w:t xml:space="preserve"> </w:t>
      </w:r>
      <w:r w:rsidRPr="004062D8">
        <w:rPr>
          <w:rFonts w:ascii="Times New Roman" w:hAnsi="Times New Roman" w:cs="Times New Roman"/>
          <w:sz w:val="20"/>
          <w:szCs w:val="20"/>
        </w:rPr>
        <w:t>ar ko izveido valsts energoefektivitātes rīcības plānu paraugu saskaņā ar Eiropas Parlamenta un Padomes Direktīvu 2012/27/ES</w:t>
      </w:r>
    </w:p>
  </w:footnote>
  <w:footnote w:id="9">
    <w:p w:rsidR="00E33C69" w:rsidRPr="00217304" w:rsidRDefault="00E33C69">
      <w:pPr>
        <w:pStyle w:val="FootnoteText"/>
        <w:rPr>
          <w:rFonts w:ascii="Times New Roman" w:hAnsi="Times New Roman" w:cs="Times New Roman"/>
          <w:sz w:val="20"/>
          <w:szCs w:val="20"/>
        </w:rPr>
      </w:pPr>
      <w:r w:rsidRPr="00217304">
        <w:rPr>
          <w:rStyle w:val="FootnoteReference"/>
          <w:rFonts w:ascii="Times New Roman" w:hAnsi="Times New Roman" w:cs="Times New Roman"/>
          <w:sz w:val="20"/>
          <w:szCs w:val="20"/>
        </w:rPr>
        <w:footnoteRef/>
      </w:r>
      <w:r w:rsidRPr="00217304">
        <w:rPr>
          <w:rFonts w:ascii="Times New Roman" w:hAnsi="Times New Roman" w:cs="Times New Roman"/>
          <w:sz w:val="20"/>
          <w:szCs w:val="20"/>
        </w:rPr>
        <w:t xml:space="preserve"> http://tpi.mk.gov.lv/ui/</w:t>
      </w:r>
    </w:p>
  </w:footnote>
  <w:footnote w:id="10">
    <w:p w:rsidR="00E33C69" w:rsidRPr="00B36996" w:rsidRDefault="00E33C69" w:rsidP="00E14EBF">
      <w:pPr>
        <w:pStyle w:val="FootnoteText"/>
        <w:jc w:val="both"/>
        <w:rPr>
          <w:rFonts w:ascii="Times New Roman" w:hAnsi="Times New Roman"/>
        </w:rPr>
      </w:pPr>
      <w:r w:rsidRPr="00B36996">
        <w:rPr>
          <w:rStyle w:val="FootnoteReference"/>
          <w:rFonts w:ascii="Times New Roman" w:hAnsi="Times New Roman"/>
        </w:rPr>
        <w:footnoteRef/>
      </w:r>
      <w:r w:rsidRPr="00B36996">
        <w:rPr>
          <w:rFonts w:ascii="Times New Roman" w:hAnsi="Times New Roman"/>
        </w:rPr>
        <w:t xml:space="preserve"> Tā kā energoauditu izmaksas rūpniecībā var ievērojami svārstīties atkarībā no uzņēmuma nozares, tad aprēķinā pieņemts, ka viena energoaudita vidējās izmaksas rūpniecībā lielajiem uzņēmumiem ir 3000 LVL</w:t>
      </w:r>
      <w:r>
        <w:rPr>
          <w:rFonts w:ascii="Times New Roman" w:hAnsi="Times New Roman"/>
        </w:rPr>
        <w:t xml:space="preserve"> (4268,62 EUR)</w:t>
      </w:r>
      <w:r w:rsidRPr="00B36996">
        <w:rPr>
          <w:rFonts w:ascii="Times New Roman" w:hAnsi="Times New Roman"/>
        </w:rPr>
        <w:t>. 3000 x 60 uzņēmumi gadā = 180000 LVL</w:t>
      </w:r>
      <w:r>
        <w:rPr>
          <w:rFonts w:ascii="Times New Roman" w:hAnsi="Times New Roman"/>
        </w:rPr>
        <w:t xml:space="preserve"> (256116,93 EUR)</w:t>
      </w:r>
      <w:r w:rsidRPr="00B36996">
        <w:rPr>
          <w:rFonts w:ascii="Times New Roman" w:hAnsi="Times New Roman"/>
        </w:rPr>
        <w:t xml:space="preserve"> kopā, 60 % no tā 108 000 LVL</w:t>
      </w:r>
      <w:r>
        <w:rPr>
          <w:rFonts w:ascii="Times New Roman" w:hAnsi="Times New Roman"/>
        </w:rPr>
        <w:t xml:space="preserve"> (153670,16 EUR)</w:t>
      </w:r>
      <w:r w:rsidRPr="00B36996">
        <w:rPr>
          <w:rFonts w:ascii="Times New Roman" w:hAnsi="Times New Roman"/>
        </w:rPr>
        <w:t>. Pieņemts, ka energoaudita izmaksas maziem un vidējiem uzņēmumiem ir vidēji 1000 LVL</w:t>
      </w:r>
      <w:r>
        <w:rPr>
          <w:rFonts w:ascii="Times New Roman" w:hAnsi="Times New Roman"/>
        </w:rPr>
        <w:t xml:space="preserve"> (1422,87 EUR)</w:t>
      </w:r>
      <w:r w:rsidRPr="00B36996">
        <w:rPr>
          <w:rFonts w:ascii="Times New Roman" w:hAnsi="Times New Roman"/>
        </w:rPr>
        <w:t xml:space="preserve"> (izmaksas valstij: 1000 LVL x 200 =200000 LVL</w:t>
      </w:r>
      <w:r>
        <w:rPr>
          <w:rFonts w:ascii="Times New Roman" w:hAnsi="Times New Roman"/>
        </w:rPr>
        <w:t xml:space="preserve"> (284574,36 EUR)</w:t>
      </w:r>
      <w:r w:rsidRPr="00B36996">
        <w:rPr>
          <w:rFonts w:ascii="Times New Roman" w:hAnsi="Times New Roman"/>
        </w:rPr>
        <w:t>, 60 % no tā 120 000 LVL</w:t>
      </w:r>
      <w:r>
        <w:rPr>
          <w:rFonts w:ascii="Times New Roman" w:hAnsi="Times New Roman"/>
        </w:rPr>
        <w:t xml:space="preserve"> (170744,62 EUR)</w:t>
      </w:r>
      <w:r w:rsidRPr="00B36996">
        <w:rPr>
          <w:rFonts w:ascii="Times New Roman" w:hAnsi="Times New Roman"/>
        </w:rPr>
        <w:t>).</w:t>
      </w:r>
    </w:p>
    <w:p w:rsidR="00E33C69" w:rsidRDefault="00E33C69" w:rsidP="00E14EBF">
      <w:pPr>
        <w:pStyle w:val="FootnoteText"/>
      </w:pPr>
    </w:p>
  </w:footnote>
  <w:footnote w:id="11">
    <w:p w:rsidR="00E33C69" w:rsidRPr="008F7A8A" w:rsidRDefault="00E33C69" w:rsidP="008F7A8A">
      <w:pPr>
        <w:pStyle w:val="FootnoteText"/>
        <w:jc w:val="both"/>
        <w:rPr>
          <w:rFonts w:ascii="Times New Roman" w:hAnsi="Times New Roman" w:cs="Times New Roman"/>
          <w:sz w:val="20"/>
          <w:szCs w:val="20"/>
        </w:rPr>
      </w:pPr>
      <w:r w:rsidRPr="008F7A8A">
        <w:rPr>
          <w:rStyle w:val="FootnoteReference"/>
          <w:rFonts w:ascii="Times New Roman" w:hAnsi="Times New Roman" w:cs="Times New Roman"/>
          <w:sz w:val="20"/>
          <w:szCs w:val="20"/>
        </w:rPr>
        <w:footnoteRef/>
      </w:r>
      <w:r w:rsidRPr="008F7A8A">
        <w:rPr>
          <w:rFonts w:ascii="Times New Roman" w:hAnsi="Times New Roman" w:cs="Times New Roman"/>
          <w:sz w:val="20"/>
          <w:szCs w:val="20"/>
        </w:rPr>
        <w:t xml:space="preserve"> </w:t>
      </w:r>
      <w:r w:rsidRPr="008F7A8A">
        <w:rPr>
          <w:rFonts w:ascii="Times New Roman" w:hAnsi="Times New Roman" w:cs="Times New Roman"/>
          <w:bCs/>
          <w:sz w:val="20"/>
          <w:szCs w:val="20"/>
        </w:rPr>
        <w:t>Eiropas Parlamenta un Padomes 2004. gada 11. februāra Direktīvas 2004/8/EK par tādas koģenerācijas veicināšanu, kas balstīta uz lietderīgo siltuma pieprasījumu iekšējā enerģijas tirgū, un ar ko groza Direktīvu 92/42/EEK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59679"/>
      <w:docPartObj>
        <w:docPartGallery w:val="Page Numbers (Top of Page)"/>
        <w:docPartUnique/>
      </w:docPartObj>
    </w:sdtPr>
    <w:sdtEndPr>
      <w:rPr>
        <w:rFonts w:ascii="Times New Roman" w:hAnsi="Times New Roman" w:cs="Times New Roman"/>
        <w:noProof/>
      </w:rPr>
    </w:sdtEndPr>
    <w:sdtContent>
      <w:p w:rsidR="00E33C69" w:rsidRPr="00DC0A7C" w:rsidRDefault="00E33C69">
        <w:pPr>
          <w:pStyle w:val="Header"/>
          <w:jc w:val="center"/>
          <w:rPr>
            <w:rFonts w:ascii="Times New Roman" w:hAnsi="Times New Roman" w:cs="Times New Roman"/>
          </w:rPr>
        </w:pPr>
        <w:r w:rsidRPr="00DC0A7C">
          <w:rPr>
            <w:rFonts w:ascii="Times New Roman" w:hAnsi="Times New Roman" w:cs="Times New Roman"/>
          </w:rPr>
          <w:fldChar w:fldCharType="begin"/>
        </w:r>
        <w:r w:rsidRPr="00DC0A7C">
          <w:rPr>
            <w:rFonts w:ascii="Times New Roman" w:hAnsi="Times New Roman" w:cs="Times New Roman"/>
          </w:rPr>
          <w:instrText xml:space="preserve"> PAGE   \* MERGEFORMAT </w:instrText>
        </w:r>
        <w:r w:rsidRPr="00DC0A7C">
          <w:rPr>
            <w:rFonts w:ascii="Times New Roman" w:hAnsi="Times New Roman" w:cs="Times New Roman"/>
          </w:rPr>
          <w:fldChar w:fldCharType="separate"/>
        </w:r>
        <w:r w:rsidR="00691D05">
          <w:rPr>
            <w:rFonts w:ascii="Times New Roman" w:hAnsi="Times New Roman" w:cs="Times New Roman"/>
            <w:noProof/>
          </w:rPr>
          <w:t>39</w:t>
        </w:r>
        <w:r w:rsidRPr="00DC0A7C">
          <w:rPr>
            <w:rFonts w:ascii="Times New Roman" w:hAnsi="Times New Roman" w:cs="Times New Roman"/>
            <w:noProof/>
          </w:rPr>
          <w:fldChar w:fldCharType="end"/>
        </w:r>
      </w:p>
    </w:sdtContent>
  </w:sdt>
  <w:p w:rsidR="00E33C69" w:rsidRDefault="00E33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2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F02911"/>
    <w:multiLevelType w:val="hybridMultilevel"/>
    <w:tmpl w:val="CE2C0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1292D0F"/>
    <w:multiLevelType w:val="multilevel"/>
    <w:tmpl w:val="8BD4B7C4"/>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02412F73"/>
    <w:multiLevelType w:val="hybridMultilevel"/>
    <w:tmpl w:val="039EFE4A"/>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2AC7DB9"/>
    <w:multiLevelType w:val="hybridMultilevel"/>
    <w:tmpl w:val="F1446D30"/>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50926F6"/>
    <w:multiLevelType w:val="hybridMultilevel"/>
    <w:tmpl w:val="D22A14E2"/>
    <w:lvl w:ilvl="0" w:tplc="099890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59C337E"/>
    <w:multiLevelType w:val="hybridMultilevel"/>
    <w:tmpl w:val="065A203A"/>
    <w:lvl w:ilvl="0" w:tplc="04260001">
      <w:start w:val="1"/>
      <w:numFmt w:val="bullet"/>
      <w:lvlText w:val=""/>
      <w:lvlJc w:val="left"/>
      <w:pPr>
        <w:ind w:left="786" w:hanging="360"/>
      </w:pPr>
      <w:rPr>
        <w:rFonts w:ascii="Symbol" w:hAnsi="Symbol" w:hint="default"/>
      </w:rPr>
    </w:lvl>
    <w:lvl w:ilvl="1" w:tplc="DFB01162">
      <w:start w:val="1"/>
      <w:numFmt w:val="bullet"/>
      <w:lvlText w:val="–"/>
      <w:lvlJc w:val="left"/>
      <w:pPr>
        <w:ind w:left="1647" w:hanging="360"/>
      </w:pPr>
      <w:rPr>
        <w:rFonts w:ascii="Times New Roman" w:hAnsi="Times New Roman" w:cs="Times New Roman" w:hint="default"/>
        <w:i w:val="0"/>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1B0F471D"/>
    <w:multiLevelType w:val="hybridMultilevel"/>
    <w:tmpl w:val="F1A84542"/>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8">
    <w:nsid w:val="1E2405DE"/>
    <w:multiLevelType w:val="hybridMultilevel"/>
    <w:tmpl w:val="97A29A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F9430BE"/>
    <w:multiLevelType w:val="hybridMultilevel"/>
    <w:tmpl w:val="B9D0EC44"/>
    <w:lvl w:ilvl="0" w:tplc="74A42996">
      <w:start w:val="1"/>
      <w:numFmt w:val="decimal"/>
      <w:lvlText w:val="%1)"/>
      <w:lvlJc w:val="left"/>
      <w:pPr>
        <w:ind w:left="37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FBD4267"/>
    <w:multiLevelType w:val="hybridMultilevel"/>
    <w:tmpl w:val="67C8E25C"/>
    <w:lvl w:ilvl="0" w:tplc="7C88FDF4">
      <w:start w:val="1"/>
      <w:numFmt w:val="bullet"/>
      <w:lvlText w:val=""/>
      <w:lvlJc w:val="left"/>
      <w:pPr>
        <w:tabs>
          <w:tab w:val="num" w:pos="357"/>
        </w:tabs>
        <w:ind w:left="567" w:hanging="210"/>
      </w:pPr>
      <w:rPr>
        <w:rFonts w:ascii="Wingdings" w:hAnsi="Wingdings"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29CA6A11"/>
    <w:multiLevelType w:val="hybridMultilevel"/>
    <w:tmpl w:val="9904CF4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FF631E3"/>
    <w:multiLevelType w:val="hybridMultilevel"/>
    <w:tmpl w:val="FE104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A47885"/>
    <w:multiLevelType w:val="hybridMultilevel"/>
    <w:tmpl w:val="C6265C9A"/>
    <w:lvl w:ilvl="0" w:tplc="DFB01162">
      <w:start w:val="1"/>
      <w:numFmt w:val="bullet"/>
      <w:lvlText w:val="–"/>
      <w:lvlJc w:val="left"/>
      <w:pPr>
        <w:ind w:left="720" w:hanging="360"/>
      </w:pPr>
      <w:rPr>
        <w:rFonts w:ascii="Times New Roman" w:hAnsi="Times New Roman" w:cs="Times New Roman" w:hint="default"/>
        <w:i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5596005"/>
    <w:multiLevelType w:val="hybridMultilevel"/>
    <w:tmpl w:val="EA683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AF450C2"/>
    <w:multiLevelType w:val="hybridMultilevel"/>
    <w:tmpl w:val="CB06301C"/>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nsid w:val="3F8109A6"/>
    <w:multiLevelType w:val="hybridMultilevel"/>
    <w:tmpl w:val="A87C42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00C4C08"/>
    <w:multiLevelType w:val="multilevel"/>
    <w:tmpl w:val="75D6000A"/>
    <w:lvl w:ilvl="0">
      <w:start w:val="1"/>
      <w:numFmt w:val="decimal"/>
      <w:lvlText w:val="%1."/>
      <w:lvlJc w:val="left"/>
      <w:pPr>
        <w:ind w:left="720" w:hanging="360"/>
      </w:pPr>
    </w:lvl>
    <w:lvl w:ilvl="1">
      <w:start w:val="1"/>
      <w:numFmt w:val="decimal"/>
      <w:lvlText w:val="%2."/>
      <w:lvlJc w:val="left"/>
      <w:pPr>
        <w:ind w:left="264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4800" w:hanging="120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8">
    <w:nsid w:val="43D17393"/>
    <w:multiLevelType w:val="hybridMultilevel"/>
    <w:tmpl w:val="73D66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7F301CD"/>
    <w:multiLevelType w:val="hybridMultilevel"/>
    <w:tmpl w:val="4F0AAC4C"/>
    <w:lvl w:ilvl="0" w:tplc="90F81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83E30AF"/>
    <w:multiLevelType w:val="hybridMultilevel"/>
    <w:tmpl w:val="DAAA3A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E4E3BC0"/>
    <w:multiLevelType w:val="hybridMultilevel"/>
    <w:tmpl w:val="FB767800"/>
    <w:lvl w:ilvl="0" w:tplc="099890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630250D"/>
    <w:multiLevelType w:val="hybridMultilevel"/>
    <w:tmpl w:val="8E2A8418"/>
    <w:lvl w:ilvl="0" w:tplc="0409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60BE2AC6"/>
    <w:multiLevelType w:val="hybridMultilevel"/>
    <w:tmpl w:val="69567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2411574"/>
    <w:multiLevelType w:val="hybridMultilevel"/>
    <w:tmpl w:val="B6FEC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6F2239F"/>
    <w:multiLevelType w:val="hybridMultilevel"/>
    <w:tmpl w:val="9FF0246C"/>
    <w:lvl w:ilvl="0" w:tplc="0409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9745788"/>
    <w:multiLevelType w:val="hybridMultilevel"/>
    <w:tmpl w:val="32E283A8"/>
    <w:lvl w:ilvl="0" w:tplc="279A95DA">
      <w:start w:val="2008"/>
      <w:numFmt w:val="bullet"/>
      <w:lvlText w:val="-"/>
      <w:lvlJc w:val="left"/>
      <w:pPr>
        <w:ind w:left="720" w:hanging="360"/>
      </w:pPr>
      <w:rPr>
        <w:rFonts w:ascii="Times New Roman" w:eastAsiaTheme="maj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1EB1E5E"/>
    <w:multiLevelType w:val="hybridMultilevel"/>
    <w:tmpl w:val="5C6C0BF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77C80F75"/>
    <w:multiLevelType w:val="hybridMultilevel"/>
    <w:tmpl w:val="5DE8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85E070A"/>
    <w:multiLevelType w:val="multilevel"/>
    <w:tmpl w:val="733E7CEC"/>
    <w:lvl w:ilvl="0">
      <w:start w:val="2"/>
      <w:numFmt w:val="decimal"/>
      <w:lvlText w:val="%1."/>
      <w:lvlJc w:val="left"/>
      <w:pPr>
        <w:ind w:left="390" w:hanging="390"/>
      </w:pPr>
      <w:rPr>
        <w:rFonts w:ascii="Times New Roman" w:hAnsi="Times New Roman" w:cs="Times New Roman" w:hint="default"/>
        <w:sz w:val="28"/>
        <w:szCs w:val="28"/>
      </w:rPr>
    </w:lvl>
    <w:lvl w:ilvl="1">
      <w:start w:val="2"/>
      <w:numFmt w:val="decimal"/>
      <w:lvlText w:val="%1.%2."/>
      <w:lvlJc w:val="left"/>
      <w:pPr>
        <w:ind w:left="3720" w:hanging="720"/>
      </w:pPr>
      <w:rPr>
        <w:rFonts w:hint="default"/>
      </w:rPr>
    </w:lvl>
    <w:lvl w:ilvl="2">
      <w:start w:val="1"/>
      <w:numFmt w:val="decimal"/>
      <w:lvlText w:val="%1.%2.%3."/>
      <w:lvlJc w:val="left"/>
      <w:pPr>
        <w:ind w:left="1134" w:firstLine="4866"/>
      </w:pPr>
      <w:rPr>
        <w:rFonts w:hint="default"/>
        <w:b/>
        <w:i w:val="0"/>
        <w:color w:val="auto"/>
      </w:rPr>
    </w:lvl>
    <w:lvl w:ilvl="3">
      <w:start w:val="1"/>
      <w:numFmt w:val="decimal"/>
      <w:lvlText w:val="%1.%2.%3.%4."/>
      <w:lvlJc w:val="left"/>
      <w:pPr>
        <w:ind w:left="10080" w:hanging="1080"/>
      </w:pPr>
      <w:rPr>
        <w:rFonts w:hint="default"/>
      </w:rPr>
    </w:lvl>
    <w:lvl w:ilvl="4">
      <w:start w:val="1"/>
      <w:numFmt w:val="decimal"/>
      <w:lvlText w:val="%1.%2.%3.%4.%5."/>
      <w:lvlJc w:val="left"/>
      <w:pPr>
        <w:ind w:left="13080" w:hanging="1080"/>
      </w:pPr>
      <w:rPr>
        <w:rFonts w:hint="default"/>
      </w:rPr>
    </w:lvl>
    <w:lvl w:ilvl="5">
      <w:start w:val="1"/>
      <w:numFmt w:val="decimal"/>
      <w:lvlText w:val="%1.%2.%3.%4.%5.%6."/>
      <w:lvlJc w:val="left"/>
      <w:pPr>
        <w:ind w:left="16440" w:hanging="1440"/>
      </w:pPr>
      <w:rPr>
        <w:rFonts w:hint="default"/>
      </w:rPr>
    </w:lvl>
    <w:lvl w:ilvl="6">
      <w:start w:val="1"/>
      <w:numFmt w:val="decimal"/>
      <w:lvlText w:val="%1.%2.%3.%4.%5.%6.%7."/>
      <w:lvlJc w:val="left"/>
      <w:pPr>
        <w:ind w:left="19440" w:hanging="1440"/>
      </w:pPr>
      <w:rPr>
        <w:rFonts w:hint="default"/>
      </w:rPr>
    </w:lvl>
    <w:lvl w:ilvl="7">
      <w:start w:val="1"/>
      <w:numFmt w:val="decimal"/>
      <w:lvlText w:val="%1.%2.%3.%4.%5.%6.%7.%8."/>
      <w:lvlJc w:val="left"/>
      <w:pPr>
        <w:ind w:left="22800" w:hanging="1800"/>
      </w:pPr>
      <w:rPr>
        <w:rFonts w:hint="default"/>
      </w:rPr>
    </w:lvl>
    <w:lvl w:ilvl="8">
      <w:start w:val="1"/>
      <w:numFmt w:val="decimal"/>
      <w:lvlText w:val="%1.%2.%3.%4.%5.%6.%7.%8.%9."/>
      <w:lvlJc w:val="left"/>
      <w:pPr>
        <w:ind w:left="25800" w:hanging="1800"/>
      </w:pPr>
      <w:rPr>
        <w:rFonts w:hint="default"/>
      </w:rPr>
    </w:lvl>
  </w:abstractNum>
  <w:num w:numId="1">
    <w:abstractNumId w:val="26"/>
  </w:num>
  <w:num w:numId="2">
    <w:abstractNumId w:val="17"/>
  </w:num>
  <w:num w:numId="3">
    <w:abstractNumId w:val="29"/>
  </w:num>
  <w:num w:numId="4">
    <w:abstractNumId w:val="2"/>
  </w:num>
  <w:num w:numId="5">
    <w:abstractNumId w:val="27"/>
  </w:num>
  <w:num w:numId="6">
    <w:abstractNumId w:val="6"/>
  </w:num>
  <w:num w:numId="7">
    <w:abstractNumId w:val="8"/>
  </w:num>
  <w:num w:numId="8">
    <w:abstractNumId w:val="24"/>
  </w:num>
  <w:num w:numId="9">
    <w:abstractNumId w:val="3"/>
  </w:num>
  <w:num w:numId="10">
    <w:abstractNumId w:val="4"/>
  </w:num>
  <w:num w:numId="11">
    <w:abstractNumId w:val="9"/>
  </w:num>
  <w:num w:numId="12">
    <w:abstractNumId w:val="18"/>
  </w:num>
  <w:num w:numId="13">
    <w:abstractNumId w:val="21"/>
  </w:num>
  <w:num w:numId="14">
    <w:abstractNumId w:val="12"/>
  </w:num>
  <w:num w:numId="15">
    <w:abstractNumId w:val="7"/>
  </w:num>
  <w:num w:numId="16">
    <w:abstractNumId w:val="15"/>
  </w:num>
  <w:num w:numId="17">
    <w:abstractNumId w:val="14"/>
  </w:num>
  <w:num w:numId="18">
    <w:abstractNumId w:val="22"/>
  </w:num>
  <w:num w:numId="19">
    <w:abstractNumId w:val="19"/>
  </w:num>
  <w:num w:numId="20">
    <w:abstractNumId w:val="13"/>
  </w:num>
  <w:num w:numId="21">
    <w:abstractNumId w:val="1"/>
  </w:num>
  <w:num w:numId="22">
    <w:abstractNumId w:val="28"/>
  </w:num>
  <w:num w:numId="23">
    <w:abstractNumId w:val="23"/>
  </w:num>
  <w:num w:numId="24">
    <w:abstractNumId w:val="0"/>
  </w:num>
  <w:num w:numId="25">
    <w:abstractNumId w:val="25"/>
  </w:num>
  <w:num w:numId="26">
    <w:abstractNumId w:val="5"/>
  </w:num>
  <w:num w:numId="27">
    <w:abstractNumId w:val="20"/>
  </w:num>
  <w:num w:numId="28">
    <w:abstractNumId w:val="11"/>
  </w:num>
  <w:num w:numId="29">
    <w:abstractNumId w:val="10"/>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1B"/>
    <w:rsid w:val="00001A9E"/>
    <w:rsid w:val="00004727"/>
    <w:rsid w:val="000060B5"/>
    <w:rsid w:val="0000694C"/>
    <w:rsid w:val="00007CCA"/>
    <w:rsid w:val="00012365"/>
    <w:rsid w:val="00013323"/>
    <w:rsid w:val="00013B4C"/>
    <w:rsid w:val="000143A9"/>
    <w:rsid w:val="00017B6F"/>
    <w:rsid w:val="000230FF"/>
    <w:rsid w:val="00025D28"/>
    <w:rsid w:val="00030707"/>
    <w:rsid w:val="00031F25"/>
    <w:rsid w:val="000359B9"/>
    <w:rsid w:val="00036FCC"/>
    <w:rsid w:val="000426A5"/>
    <w:rsid w:val="000434EC"/>
    <w:rsid w:val="00045211"/>
    <w:rsid w:val="000468F7"/>
    <w:rsid w:val="00047723"/>
    <w:rsid w:val="00047E30"/>
    <w:rsid w:val="000534D2"/>
    <w:rsid w:val="000564FB"/>
    <w:rsid w:val="00056675"/>
    <w:rsid w:val="00056742"/>
    <w:rsid w:val="000608CE"/>
    <w:rsid w:val="000610D5"/>
    <w:rsid w:val="000632A9"/>
    <w:rsid w:val="00067066"/>
    <w:rsid w:val="000704B4"/>
    <w:rsid w:val="000708B9"/>
    <w:rsid w:val="00070E1A"/>
    <w:rsid w:val="00070E31"/>
    <w:rsid w:val="00071B93"/>
    <w:rsid w:val="0007204F"/>
    <w:rsid w:val="00073B19"/>
    <w:rsid w:val="0007446E"/>
    <w:rsid w:val="00081760"/>
    <w:rsid w:val="0008374F"/>
    <w:rsid w:val="00083775"/>
    <w:rsid w:val="00083E58"/>
    <w:rsid w:val="00085814"/>
    <w:rsid w:val="00086C51"/>
    <w:rsid w:val="0009216F"/>
    <w:rsid w:val="00092DEB"/>
    <w:rsid w:val="00094674"/>
    <w:rsid w:val="00094D10"/>
    <w:rsid w:val="000953C1"/>
    <w:rsid w:val="00095C85"/>
    <w:rsid w:val="00096DF8"/>
    <w:rsid w:val="000A19FD"/>
    <w:rsid w:val="000A29C2"/>
    <w:rsid w:val="000A39C3"/>
    <w:rsid w:val="000A6607"/>
    <w:rsid w:val="000A6B6E"/>
    <w:rsid w:val="000A74BB"/>
    <w:rsid w:val="000B1F47"/>
    <w:rsid w:val="000B34A4"/>
    <w:rsid w:val="000B479C"/>
    <w:rsid w:val="000C0CD1"/>
    <w:rsid w:val="000C167B"/>
    <w:rsid w:val="000D117C"/>
    <w:rsid w:val="000D27B5"/>
    <w:rsid w:val="000D4580"/>
    <w:rsid w:val="000D4B09"/>
    <w:rsid w:val="000D65B7"/>
    <w:rsid w:val="000E4AD4"/>
    <w:rsid w:val="000E5706"/>
    <w:rsid w:val="000E5E2A"/>
    <w:rsid w:val="000F003F"/>
    <w:rsid w:val="000F1A61"/>
    <w:rsid w:val="000F3ABE"/>
    <w:rsid w:val="000F46C0"/>
    <w:rsid w:val="000F4B73"/>
    <w:rsid w:val="00106A6B"/>
    <w:rsid w:val="001103CC"/>
    <w:rsid w:val="00113A95"/>
    <w:rsid w:val="00113D8E"/>
    <w:rsid w:val="0011525C"/>
    <w:rsid w:val="00115E44"/>
    <w:rsid w:val="001167C6"/>
    <w:rsid w:val="00122E43"/>
    <w:rsid w:val="00123389"/>
    <w:rsid w:val="00123F83"/>
    <w:rsid w:val="00124307"/>
    <w:rsid w:val="00124693"/>
    <w:rsid w:val="00126A69"/>
    <w:rsid w:val="00134EFC"/>
    <w:rsid w:val="001357BA"/>
    <w:rsid w:val="0014171E"/>
    <w:rsid w:val="00144737"/>
    <w:rsid w:val="001459D5"/>
    <w:rsid w:val="00145E60"/>
    <w:rsid w:val="00150D5A"/>
    <w:rsid w:val="001546BE"/>
    <w:rsid w:val="00157445"/>
    <w:rsid w:val="00157C97"/>
    <w:rsid w:val="001615F6"/>
    <w:rsid w:val="00165012"/>
    <w:rsid w:val="00165832"/>
    <w:rsid w:val="00165E91"/>
    <w:rsid w:val="00173F22"/>
    <w:rsid w:val="001749E9"/>
    <w:rsid w:val="00174A70"/>
    <w:rsid w:val="00176C64"/>
    <w:rsid w:val="00181E7C"/>
    <w:rsid w:val="0018261E"/>
    <w:rsid w:val="00185596"/>
    <w:rsid w:val="00186977"/>
    <w:rsid w:val="001879CE"/>
    <w:rsid w:val="00193F5A"/>
    <w:rsid w:val="0019436D"/>
    <w:rsid w:val="00195975"/>
    <w:rsid w:val="0019700F"/>
    <w:rsid w:val="00197902"/>
    <w:rsid w:val="001A3223"/>
    <w:rsid w:val="001A4DB1"/>
    <w:rsid w:val="001A5072"/>
    <w:rsid w:val="001B0C36"/>
    <w:rsid w:val="001B262E"/>
    <w:rsid w:val="001B33DD"/>
    <w:rsid w:val="001B3B84"/>
    <w:rsid w:val="001B67B6"/>
    <w:rsid w:val="001C0847"/>
    <w:rsid w:val="001C30A2"/>
    <w:rsid w:val="001C41C0"/>
    <w:rsid w:val="001C64CE"/>
    <w:rsid w:val="001C670C"/>
    <w:rsid w:val="001D38D6"/>
    <w:rsid w:val="001D4056"/>
    <w:rsid w:val="001D4DDF"/>
    <w:rsid w:val="001D588D"/>
    <w:rsid w:val="001E07A7"/>
    <w:rsid w:val="001E101C"/>
    <w:rsid w:val="001E1316"/>
    <w:rsid w:val="001E3AB4"/>
    <w:rsid w:val="001F098E"/>
    <w:rsid w:val="001F1298"/>
    <w:rsid w:val="001F208B"/>
    <w:rsid w:val="001F4C9C"/>
    <w:rsid w:val="001F747F"/>
    <w:rsid w:val="00200D99"/>
    <w:rsid w:val="0020272F"/>
    <w:rsid w:val="0020301C"/>
    <w:rsid w:val="00205C36"/>
    <w:rsid w:val="00206CD3"/>
    <w:rsid w:val="00207BB9"/>
    <w:rsid w:val="00211A01"/>
    <w:rsid w:val="0021720D"/>
    <w:rsid w:val="00217304"/>
    <w:rsid w:val="00217954"/>
    <w:rsid w:val="00220069"/>
    <w:rsid w:val="00220DBB"/>
    <w:rsid w:val="00221499"/>
    <w:rsid w:val="00221780"/>
    <w:rsid w:val="00222261"/>
    <w:rsid w:val="00223245"/>
    <w:rsid w:val="00223838"/>
    <w:rsid w:val="00224B79"/>
    <w:rsid w:val="0022767D"/>
    <w:rsid w:val="00227BF7"/>
    <w:rsid w:val="002334DB"/>
    <w:rsid w:val="00234F25"/>
    <w:rsid w:val="00236302"/>
    <w:rsid w:val="00236EFA"/>
    <w:rsid w:val="00236F12"/>
    <w:rsid w:val="00237474"/>
    <w:rsid w:val="002376D9"/>
    <w:rsid w:val="002418A0"/>
    <w:rsid w:val="00243C22"/>
    <w:rsid w:val="00243DDE"/>
    <w:rsid w:val="0024672F"/>
    <w:rsid w:val="00247471"/>
    <w:rsid w:val="00250288"/>
    <w:rsid w:val="0025045E"/>
    <w:rsid w:val="00254870"/>
    <w:rsid w:val="00256C78"/>
    <w:rsid w:val="00260ED4"/>
    <w:rsid w:val="00263904"/>
    <w:rsid w:val="00263A7C"/>
    <w:rsid w:val="00265182"/>
    <w:rsid w:val="00266169"/>
    <w:rsid w:val="00266391"/>
    <w:rsid w:val="00267981"/>
    <w:rsid w:val="00272AE2"/>
    <w:rsid w:val="002765A1"/>
    <w:rsid w:val="00280E35"/>
    <w:rsid w:val="0028197A"/>
    <w:rsid w:val="00282E56"/>
    <w:rsid w:val="002847FA"/>
    <w:rsid w:val="00285AE4"/>
    <w:rsid w:val="00285D62"/>
    <w:rsid w:val="00286C47"/>
    <w:rsid w:val="00292189"/>
    <w:rsid w:val="00292FEC"/>
    <w:rsid w:val="00293969"/>
    <w:rsid w:val="0029422C"/>
    <w:rsid w:val="002A1646"/>
    <w:rsid w:val="002A2A12"/>
    <w:rsid w:val="002A3A7F"/>
    <w:rsid w:val="002A3EE9"/>
    <w:rsid w:val="002A3FE6"/>
    <w:rsid w:val="002B0590"/>
    <w:rsid w:val="002B2D09"/>
    <w:rsid w:val="002B2EEA"/>
    <w:rsid w:val="002B3770"/>
    <w:rsid w:val="002B46DC"/>
    <w:rsid w:val="002B4C97"/>
    <w:rsid w:val="002B50EC"/>
    <w:rsid w:val="002B652A"/>
    <w:rsid w:val="002C0CA8"/>
    <w:rsid w:val="002C126C"/>
    <w:rsid w:val="002C314F"/>
    <w:rsid w:val="002D1D21"/>
    <w:rsid w:val="002D23D6"/>
    <w:rsid w:val="002D2D83"/>
    <w:rsid w:val="002D4946"/>
    <w:rsid w:val="002D7852"/>
    <w:rsid w:val="002E00EB"/>
    <w:rsid w:val="002E0101"/>
    <w:rsid w:val="002E13F9"/>
    <w:rsid w:val="002E2130"/>
    <w:rsid w:val="002E2277"/>
    <w:rsid w:val="002E2D61"/>
    <w:rsid w:val="002E31DA"/>
    <w:rsid w:val="002E3960"/>
    <w:rsid w:val="002E48B3"/>
    <w:rsid w:val="002E6D84"/>
    <w:rsid w:val="002F22CE"/>
    <w:rsid w:val="002F4375"/>
    <w:rsid w:val="002F54E0"/>
    <w:rsid w:val="002F7797"/>
    <w:rsid w:val="002F7E3C"/>
    <w:rsid w:val="003012CC"/>
    <w:rsid w:val="003019F8"/>
    <w:rsid w:val="00304FF0"/>
    <w:rsid w:val="003058E3"/>
    <w:rsid w:val="00305A3C"/>
    <w:rsid w:val="003065B8"/>
    <w:rsid w:val="003102C0"/>
    <w:rsid w:val="00316B5F"/>
    <w:rsid w:val="00317297"/>
    <w:rsid w:val="003174FA"/>
    <w:rsid w:val="003218D3"/>
    <w:rsid w:val="00323165"/>
    <w:rsid w:val="003258D7"/>
    <w:rsid w:val="00326DDE"/>
    <w:rsid w:val="00327BFE"/>
    <w:rsid w:val="00330537"/>
    <w:rsid w:val="00333E7F"/>
    <w:rsid w:val="00335677"/>
    <w:rsid w:val="003369C4"/>
    <w:rsid w:val="00340AAD"/>
    <w:rsid w:val="003431D3"/>
    <w:rsid w:val="00344EBD"/>
    <w:rsid w:val="00350066"/>
    <w:rsid w:val="00350DD7"/>
    <w:rsid w:val="00352166"/>
    <w:rsid w:val="00352802"/>
    <w:rsid w:val="00352B68"/>
    <w:rsid w:val="00357C8E"/>
    <w:rsid w:val="00360D29"/>
    <w:rsid w:val="00361EF1"/>
    <w:rsid w:val="003622BB"/>
    <w:rsid w:val="00364501"/>
    <w:rsid w:val="0036454F"/>
    <w:rsid w:val="00364CFB"/>
    <w:rsid w:val="003679EE"/>
    <w:rsid w:val="00374192"/>
    <w:rsid w:val="00375578"/>
    <w:rsid w:val="00376728"/>
    <w:rsid w:val="00380EF2"/>
    <w:rsid w:val="0038591E"/>
    <w:rsid w:val="00390B6E"/>
    <w:rsid w:val="003916D5"/>
    <w:rsid w:val="003917AE"/>
    <w:rsid w:val="003917DC"/>
    <w:rsid w:val="00394193"/>
    <w:rsid w:val="00395331"/>
    <w:rsid w:val="003A02EE"/>
    <w:rsid w:val="003A1B22"/>
    <w:rsid w:val="003A1BA6"/>
    <w:rsid w:val="003A58E3"/>
    <w:rsid w:val="003A641D"/>
    <w:rsid w:val="003A6C76"/>
    <w:rsid w:val="003B3AE3"/>
    <w:rsid w:val="003B4E42"/>
    <w:rsid w:val="003C237B"/>
    <w:rsid w:val="003C328F"/>
    <w:rsid w:val="003C50C9"/>
    <w:rsid w:val="003C59E5"/>
    <w:rsid w:val="003C6BC1"/>
    <w:rsid w:val="003D3450"/>
    <w:rsid w:val="003D5C42"/>
    <w:rsid w:val="003D7229"/>
    <w:rsid w:val="003E017C"/>
    <w:rsid w:val="003E068A"/>
    <w:rsid w:val="003E1337"/>
    <w:rsid w:val="003E4ABC"/>
    <w:rsid w:val="003F0AA6"/>
    <w:rsid w:val="003F47F6"/>
    <w:rsid w:val="003F526F"/>
    <w:rsid w:val="003F6402"/>
    <w:rsid w:val="00401196"/>
    <w:rsid w:val="00405D50"/>
    <w:rsid w:val="004062D8"/>
    <w:rsid w:val="0040648A"/>
    <w:rsid w:val="0040690C"/>
    <w:rsid w:val="00412F66"/>
    <w:rsid w:val="00415024"/>
    <w:rsid w:val="0041567A"/>
    <w:rsid w:val="00416FCD"/>
    <w:rsid w:val="00417CC9"/>
    <w:rsid w:val="0042493C"/>
    <w:rsid w:val="0042498B"/>
    <w:rsid w:val="00434740"/>
    <w:rsid w:val="004350F3"/>
    <w:rsid w:val="004357B9"/>
    <w:rsid w:val="00435B96"/>
    <w:rsid w:val="00437142"/>
    <w:rsid w:val="00440968"/>
    <w:rsid w:val="0044137D"/>
    <w:rsid w:val="00444DDC"/>
    <w:rsid w:val="00446E3E"/>
    <w:rsid w:val="00450B94"/>
    <w:rsid w:val="004521FA"/>
    <w:rsid w:val="0045236B"/>
    <w:rsid w:val="00453058"/>
    <w:rsid w:val="00464960"/>
    <w:rsid w:val="00465326"/>
    <w:rsid w:val="004657FE"/>
    <w:rsid w:val="00465EBF"/>
    <w:rsid w:val="004671E6"/>
    <w:rsid w:val="0047199E"/>
    <w:rsid w:val="00471C2B"/>
    <w:rsid w:val="00473100"/>
    <w:rsid w:val="0048030D"/>
    <w:rsid w:val="004805D6"/>
    <w:rsid w:val="00483473"/>
    <w:rsid w:val="00486307"/>
    <w:rsid w:val="00487BA3"/>
    <w:rsid w:val="004924F5"/>
    <w:rsid w:val="004943FF"/>
    <w:rsid w:val="004963F2"/>
    <w:rsid w:val="00497115"/>
    <w:rsid w:val="004A2238"/>
    <w:rsid w:val="004A475C"/>
    <w:rsid w:val="004A579E"/>
    <w:rsid w:val="004A6684"/>
    <w:rsid w:val="004B09C5"/>
    <w:rsid w:val="004B137B"/>
    <w:rsid w:val="004B15CD"/>
    <w:rsid w:val="004B3179"/>
    <w:rsid w:val="004B3240"/>
    <w:rsid w:val="004B5735"/>
    <w:rsid w:val="004B5DCC"/>
    <w:rsid w:val="004B5E6C"/>
    <w:rsid w:val="004B694F"/>
    <w:rsid w:val="004B78BB"/>
    <w:rsid w:val="004B7D0F"/>
    <w:rsid w:val="004C0023"/>
    <w:rsid w:val="004C0975"/>
    <w:rsid w:val="004C3282"/>
    <w:rsid w:val="004C7AE3"/>
    <w:rsid w:val="004D1FC6"/>
    <w:rsid w:val="004D2182"/>
    <w:rsid w:val="004D3396"/>
    <w:rsid w:val="004D7B9B"/>
    <w:rsid w:val="004E04E0"/>
    <w:rsid w:val="004E0EDE"/>
    <w:rsid w:val="004E1838"/>
    <w:rsid w:val="004E3F6E"/>
    <w:rsid w:val="004E6688"/>
    <w:rsid w:val="004E7001"/>
    <w:rsid w:val="004F3318"/>
    <w:rsid w:val="004F4663"/>
    <w:rsid w:val="004F53E9"/>
    <w:rsid w:val="004F7A1C"/>
    <w:rsid w:val="0050156D"/>
    <w:rsid w:val="00506347"/>
    <w:rsid w:val="00506D86"/>
    <w:rsid w:val="00512FBB"/>
    <w:rsid w:val="00513081"/>
    <w:rsid w:val="00514325"/>
    <w:rsid w:val="00514A6E"/>
    <w:rsid w:val="00514D67"/>
    <w:rsid w:val="00515037"/>
    <w:rsid w:val="00516DA0"/>
    <w:rsid w:val="005257B2"/>
    <w:rsid w:val="00532675"/>
    <w:rsid w:val="00533DBB"/>
    <w:rsid w:val="00540921"/>
    <w:rsid w:val="00540A50"/>
    <w:rsid w:val="00540D1D"/>
    <w:rsid w:val="005420F3"/>
    <w:rsid w:val="00542BA4"/>
    <w:rsid w:val="00543AEB"/>
    <w:rsid w:val="00547D69"/>
    <w:rsid w:val="0055202F"/>
    <w:rsid w:val="00552109"/>
    <w:rsid w:val="00553FEA"/>
    <w:rsid w:val="00554525"/>
    <w:rsid w:val="00562E0B"/>
    <w:rsid w:val="00563E40"/>
    <w:rsid w:val="0056440F"/>
    <w:rsid w:val="00564AB0"/>
    <w:rsid w:val="005650B4"/>
    <w:rsid w:val="00565639"/>
    <w:rsid w:val="00566519"/>
    <w:rsid w:val="00566D0A"/>
    <w:rsid w:val="00566D82"/>
    <w:rsid w:val="00572C7B"/>
    <w:rsid w:val="0057393A"/>
    <w:rsid w:val="00574143"/>
    <w:rsid w:val="00574A66"/>
    <w:rsid w:val="005766D5"/>
    <w:rsid w:val="00576A0B"/>
    <w:rsid w:val="00577F63"/>
    <w:rsid w:val="005864CD"/>
    <w:rsid w:val="00587559"/>
    <w:rsid w:val="005922CF"/>
    <w:rsid w:val="00595EAF"/>
    <w:rsid w:val="00596A44"/>
    <w:rsid w:val="00596E81"/>
    <w:rsid w:val="0059736E"/>
    <w:rsid w:val="005A12A6"/>
    <w:rsid w:val="005A31A0"/>
    <w:rsid w:val="005A57E8"/>
    <w:rsid w:val="005B4A0F"/>
    <w:rsid w:val="005B4A9F"/>
    <w:rsid w:val="005B5386"/>
    <w:rsid w:val="005C2426"/>
    <w:rsid w:val="005C2B39"/>
    <w:rsid w:val="005C3764"/>
    <w:rsid w:val="005C393F"/>
    <w:rsid w:val="005C46D6"/>
    <w:rsid w:val="005D2C1E"/>
    <w:rsid w:val="005D318E"/>
    <w:rsid w:val="005E101B"/>
    <w:rsid w:val="005E22B7"/>
    <w:rsid w:val="005E2A09"/>
    <w:rsid w:val="005E37C4"/>
    <w:rsid w:val="005E487A"/>
    <w:rsid w:val="005E495D"/>
    <w:rsid w:val="005E5DD6"/>
    <w:rsid w:val="005F1F6C"/>
    <w:rsid w:val="005F26D3"/>
    <w:rsid w:val="005F4C49"/>
    <w:rsid w:val="005F4CA0"/>
    <w:rsid w:val="00603035"/>
    <w:rsid w:val="006074C6"/>
    <w:rsid w:val="006109AA"/>
    <w:rsid w:val="00610B61"/>
    <w:rsid w:val="0061233E"/>
    <w:rsid w:val="00613A0E"/>
    <w:rsid w:val="00613F34"/>
    <w:rsid w:val="0061585D"/>
    <w:rsid w:val="00616877"/>
    <w:rsid w:val="00616C31"/>
    <w:rsid w:val="0062028A"/>
    <w:rsid w:val="00621419"/>
    <w:rsid w:val="00622969"/>
    <w:rsid w:val="006229EC"/>
    <w:rsid w:val="0062646A"/>
    <w:rsid w:val="00627127"/>
    <w:rsid w:val="00631673"/>
    <w:rsid w:val="006325D4"/>
    <w:rsid w:val="00633911"/>
    <w:rsid w:val="00633F21"/>
    <w:rsid w:val="00635CAA"/>
    <w:rsid w:val="00636AED"/>
    <w:rsid w:val="00636DA2"/>
    <w:rsid w:val="00637EC6"/>
    <w:rsid w:val="00641CF5"/>
    <w:rsid w:val="006445FB"/>
    <w:rsid w:val="006475BA"/>
    <w:rsid w:val="00657C1F"/>
    <w:rsid w:val="0066567D"/>
    <w:rsid w:val="0066746A"/>
    <w:rsid w:val="00667869"/>
    <w:rsid w:val="00670E4A"/>
    <w:rsid w:val="006745A8"/>
    <w:rsid w:val="0068037F"/>
    <w:rsid w:val="0068196A"/>
    <w:rsid w:val="006827EC"/>
    <w:rsid w:val="00685A40"/>
    <w:rsid w:val="00687B0D"/>
    <w:rsid w:val="00690D1B"/>
    <w:rsid w:val="00691D05"/>
    <w:rsid w:val="00694825"/>
    <w:rsid w:val="00696615"/>
    <w:rsid w:val="00696916"/>
    <w:rsid w:val="00697620"/>
    <w:rsid w:val="006A0BA0"/>
    <w:rsid w:val="006A3B2E"/>
    <w:rsid w:val="006A3C3F"/>
    <w:rsid w:val="006B28D0"/>
    <w:rsid w:val="006B3FAA"/>
    <w:rsid w:val="006B44C9"/>
    <w:rsid w:val="006B4976"/>
    <w:rsid w:val="006B6166"/>
    <w:rsid w:val="006B741B"/>
    <w:rsid w:val="006C539A"/>
    <w:rsid w:val="006C77AD"/>
    <w:rsid w:val="006D0DC9"/>
    <w:rsid w:val="006D20A3"/>
    <w:rsid w:val="006D2FA8"/>
    <w:rsid w:val="006D545B"/>
    <w:rsid w:val="006D5B74"/>
    <w:rsid w:val="006D69ED"/>
    <w:rsid w:val="006D7B0C"/>
    <w:rsid w:val="006E23B3"/>
    <w:rsid w:val="006E31A1"/>
    <w:rsid w:val="006E5C4A"/>
    <w:rsid w:val="006F1357"/>
    <w:rsid w:val="006F28EB"/>
    <w:rsid w:val="006F417E"/>
    <w:rsid w:val="006F613F"/>
    <w:rsid w:val="00702126"/>
    <w:rsid w:val="00703F12"/>
    <w:rsid w:val="00705927"/>
    <w:rsid w:val="00711178"/>
    <w:rsid w:val="007118DA"/>
    <w:rsid w:val="00712896"/>
    <w:rsid w:val="007137FE"/>
    <w:rsid w:val="007161A0"/>
    <w:rsid w:val="0071760F"/>
    <w:rsid w:val="00717637"/>
    <w:rsid w:val="00720F1B"/>
    <w:rsid w:val="00723A30"/>
    <w:rsid w:val="0072447D"/>
    <w:rsid w:val="00725AC8"/>
    <w:rsid w:val="00725CED"/>
    <w:rsid w:val="007260D7"/>
    <w:rsid w:val="007274DD"/>
    <w:rsid w:val="007300A4"/>
    <w:rsid w:val="00730161"/>
    <w:rsid w:val="0073028A"/>
    <w:rsid w:val="00730C79"/>
    <w:rsid w:val="00731E8B"/>
    <w:rsid w:val="00733A45"/>
    <w:rsid w:val="00733F5B"/>
    <w:rsid w:val="00735278"/>
    <w:rsid w:val="00736C3E"/>
    <w:rsid w:val="00737ABE"/>
    <w:rsid w:val="00741627"/>
    <w:rsid w:val="00746D84"/>
    <w:rsid w:val="00753EF6"/>
    <w:rsid w:val="00754B3D"/>
    <w:rsid w:val="0075575D"/>
    <w:rsid w:val="00755A1E"/>
    <w:rsid w:val="00757B92"/>
    <w:rsid w:val="00760115"/>
    <w:rsid w:val="007611D0"/>
    <w:rsid w:val="0076208E"/>
    <w:rsid w:val="00762858"/>
    <w:rsid w:val="00771854"/>
    <w:rsid w:val="007748CE"/>
    <w:rsid w:val="007758FF"/>
    <w:rsid w:val="00777343"/>
    <w:rsid w:val="00777C7F"/>
    <w:rsid w:val="007804D6"/>
    <w:rsid w:val="0078109C"/>
    <w:rsid w:val="007825FA"/>
    <w:rsid w:val="00783C9C"/>
    <w:rsid w:val="00784E1F"/>
    <w:rsid w:val="0078560B"/>
    <w:rsid w:val="00785DD7"/>
    <w:rsid w:val="00791FAC"/>
    <w:rsid w:val="0079351A"/>
    <w:rsid w:val="00793E16"/>
    <w:rsid w:val="00797BD7"/>
    <w:rsid w:val="007A0554"/>
    <w:rsid w:val="007A2270"/>
    <w:rsid w:val="007A2D35"/>
    <w:rsid w:val="007A407D"/>
    <w:rsid w:val="007A6F5D"/>
    <w:rsid w:val="007A7596"/>
    <w:rsid w:val="007B343A"/>
    <w:rsid w:val="007B36CA"/>
    <w:rsid w:val="007B5A04"/>
    <w:rsid w:val="007B5FBB"/>
    <w:rsid w:val="007C24FE"/>
    <w:rsid w:val="007C3814"/>
    <w:rsid w:val="007C3885"/>
    <w:rsid w:val="007C4EA6"/>
    <w:rsid w:val="007D06FC"/>
    <w:rsid w:val="007D0BDD"/>
    <w:rsid w:val="007D4A03"/>
    <w:rsid w:val="007D4B3F"/>
    <w:rsid w:val="007E0F6A"/>
    <w:rsid w:val="007E195F"/>
    <w:rsid w:val="007E273F"/>
    <w:rsid w:val="007E2895"/>
    <w:rsid w:val="007E2D58"/>
    <w:rsid w:val="007F2C5A"/>
    <w:rsid w:val="007F2EA4"/>
    <w:rsid w:val="007F39B8"/>
    <w:rsid w:val="007F4945"/>
    <w:rsid w:val="007F55FA"/>
    <w:rsid w:val="007F5F7A"/>
    <w:rsid w:val="00801B3C"/>
    <w:rsid w:val="00801C7C"/>
    <w:rsid w:val="00802DF1"/>
    <w:rsid w:val="00810C82"/>
    <w:rsid w:val="00813392"/>
    <w:rsid w:val="00813867"/>
    <w:rsid w:val="00813AAA"/>
    <w:rsid w:val="00813DB9"/>
    <w:rsid w:val="008147F5"/>
    <w:rsid w:val="00814F3F"/>
    <w:rsid w:val="00816801"/>
    <w:rsid w:val="008205CE"/>
    <w:rsid w:val="008235C2"/>
    <w:rsid w:val="008242B0"/>
    <w:rsid w:val="0082574B"/>
    <w:rsid w:val="00830648"/>
    <w:rsid w:val="00830765"/>
    <w:rsid w:val="00834077"/>
    <w:rsid w:val="00834898"/>
    <w:rsid w:val="00836303"/>
    <w:rsid w:val="00836795"/>
    <w:rsid w:val="008401FD"/>
    <w:rsid w:val="00840672"/>
    <w:rsid w:val="00844B92"/>
    <w:rsid w:val="0084594A"/>
    <w:rsid w:val="00847313"/>
    <w:rsid w:val="00847CE1"/>
    <w:rsid w:val="008576E8"/>
    <w:rsid w:val="00862436"/>
    <w:rsid w:val="00862C6C"/>
    <w:rsid w:val="00863168"/>
    <w:rsid w:val="008644B7"/>
    <w:rsid w:val="008658C8"/>
    <w:rsid w:val="00866FDA"/>
    <w:rsid w:val="008701D0"/>
    <w:rsid w:val="00875514"/>
    <w:rsid w:val="0087708C"/>
    <w:rsid w:val="00877378"/>
    <w:rsid w:val="00877E44"/>
    <w:rsid w:val="00882423"/>
    <w:rsid w:val="00882ECF"/>
    <w:rsid w:val="00882FB9"/>
    <w:rsid w:val="008855F4"/>
    <w:rsid w:val="00886C96"/>
    <w:rsid w:val="00886ED6"/>
    <w:rsid w:val="00891EEF"/>
    <w:rsid w:val="00894824"/>
    <w:rsid w:val="00894A0A"/>
    <w:rsid w:val="008978ED"/>
    <w:rsid w:val="008A690B"/>
    <w:rsid w:val="008A7645"/>
    <w:rsid w:val="008B0051"/>
    <w:rsid w:val="008B1432"/>
    <w:rsid w:val="008B1A99"/>
    <w:rsid w:val="008B24F7"/>
    <w:rsid w:val="008B2A2C"/>
    <w:rsid w:val="008B3104"/>
    <w:rsid w:val="008B3B32"/>
    <w:rsid w:val="008B6288"/>
    <w:rsid w:val="008B680F"/>
    <w:rsid w:val="008B7308"/>
    <w:rsid w:val="008C5F65"/>
    <w:rsid w:val="008D04B7"/>
    <w:rsid w:val="008D2367"/>
    <w:rsid w:val="008D46BC"/>
    <w:rsid w:val="008D67F3"/>
    <w:rsid w:val="008D6A40"/>
    <w:rsid w:val="008D76DB"/>
    <w:rsid w:val="008E0213"/>
    <w:rsid w:val="008E0832"/>
    <w:rsid w:val="008E3273"/>
    <w:rsid w:val="008E54BF"/>
    <w:rsid w:val="008E59D0"/>
    <w:rsid w:val="008E5EDF"/>
    <w:rsid w:val="008E752F"/>
    <w:rsid w:val="008F53B5"/>
    <w:rsid w:val="008F6287"/>
    <w:rsid w:val="008F6ED6"/>
    <w:rsid w:val="008F7A8A"/>
    <w:rsid w:val="009017C3"/>
    <w:rsid w:val="00903058"/>
    <w:rsid w:val="00906F44"/>
    <w:rsid w:val="009070DA"/>
    <w:rsid w:val="009116D2"/>
    <w:rsid w:val="009117D0"/>
    <w:rsid w:val="00913722"/>
    <w:rsid w:val="009202F8"/>
    <w:rsid w:val="009207AF"/>
    <w:rsid w:val="00924D05"/>
    <w:rsid w:val="009257AF"/>
    <w:rsid w:val="00927486"/>
    <w:rsid w:val="00927805"/>
    <w:rsid w:val="00930756"/>
    <w:rsid w:val="0093082D"/>
    <w:rsid w:val="0093128C"/>
    <w:rsid w:val="00931EC3"/>
    <w:rsid w:val="00932B21"/>
    <w:rsid w:val="00932E6F"/>
    <w:rsid w:val="00933B32"/>
    <w:rsid w:val="009363A5"/>
    <w:rsid w:val="009403E7"/>
    <w:rsid w:val="00941653"/>
    <w:rsid w:val="009432CC"/>
    <w:rsid w:val="00945E4C"/>
    <w:rsid w:val="00946660"/>
    <w:rsid w:val="00947357"/>
    <w:rsid w:val="00947603"/>
    <w:rsid w:val="009514B7"/>
    <w:rsid w:val="00952F99"/>
    <w:rsid w:val="009539E0"/>
    <w:rsid w:val="00956270"/>
    <w:rsid w:val="0095638B"/>
    <w:rsid w:val="00956DD5"/>
    <w:rsid w:val="0096323D"/>
    <w:rsid w:val="0097106B"/>
    <w:rsid w:val="00971CDB"/>
    <w:rsid w:val="00971EC9"/>
    <w:rsid w:val="00971FE1"/>
    <w:rsid w:val="00973854"/>
    <w:rsid w:val="00975542"/>
    <w:rsid w:val="0097718A"/>
    <w:rsid w:val="009819E6"/>
    <w:rsid w:val="00982D44"/>
    <w:rsid w:val="009832D8"/>
    <w:rsid w:val="00985388"/>
    <w:rsid w:val="00986712"/>
    <w:rsid w:val="0098745E"/>
    <w:rsid w:val="00990A20"/>
    <w:rsid w:val="00994FC3"/>
    <w:rsid w:val="00995E9F"/>
    <w:rsid w:val="0099618C"/>
    <w:rsid w:val="009A048A"/>
    <w:rsid w:val="009A179B"/>
    <w:rsid w:val="009A6A73"/>
    <w:rsid w:val="009B2419"/>
    <w:rsid w:val="009B2680"/>
    <w:rsid w:val="009B37A1"/>
    <w:rsid w:val="009B3890"/>
    <w:rsid w:val="009B71D2"/>
    <w:rsid w:val="009B7224"/>
    <w:rsid w:val="009C0AC7"/>
    <w:rsid w:val="009C1090"/>
    <w:rsid w:val="009C29BD"/>
    <w:rsid w:val="009C32AD"/>
    <w:rsid w:val="009C35BF"/>
    <w:rsid w:val="009C3911"/>
    <w:rsid w:val="009C40DD"/>
    <w:rsid w:val="009C579D"/>
    <w:rsid w:val="009C5D89"/>
    <w:rsid w:val="009C7BEE"/>
    <w:rsid w:val="009D0B3C"/>
    <w:rsid w:val="009D105A"/>
    <w:rsid w:val="009D3B65"/>
    <w:rsid w:val="009D5DB0"/>
    <w:rsid w:val="009E1D21"/>
    <w:rsid w:val="009E432D"/>
    <w:rsid w:val="009F14EE"/>
    <w:rsid w:val="009F48B9"/>
    <w:rsid w:val="009F69B1"/>
    <w:rsid w:val="009F6DDC"/>
    <w:rsid w:val="00A0206F"/>
    <w:rsid w:val="00A027FA"/>
    <w:rsid w:val="00A03201"/>
    <w:rsid w:val="00A04EE6"/>
    <w:rsid w:val="00A102D0"/>
    <w:rsid w:val="00A121FA"/>
    <w:rsid w:val="00A153B0"/>
    <w:rsid w:val="00A16D9F"/>
    <w:rsid w:val="00A20424"/>
    <w:rsid w:val="00A209DF"/>
    <w:rsid w:val="00A25F04"/>
    <w:rsid w:val="00A26FF0"/>
    <w:rsid w:val="00A30415"/>
    <w:rsid w:val="00A30721"/>
    <w:rsid w:val="00A3097B"/>
    <w:rsid w:val="00A31060"/>
    <w:rsid w:val="00A319FE"/>
    <w:rsid w:val="00A32B1E"/>
    <w:rsid w:val="00A3435D"/>
    <w:rsid w:val="00A374D4"/>
    <w:rsid w:val="00A41288"/>
    <w:rsid w:val="00A434F0"/>
    <w:rsid w:val="00A43A97"/>
    <w:rsid w:val="00A51CC9"/>
    <w:rsid w:val="00A52A8C"/>
    <w:rsid w:val="00A5410B"/>
    <w:rsid w:val="00A54898"/>
    <w:rsid w:val="00A56107"/>
    <w:rsid w:val="00A60CB9"/>
    <w:rsid w:val="00A60DA6"/>
    <w:rsid w:val="00A6188B"/>
    <w:rsid w:val="00A64BC7"/>
    <w:rsid w:val="00A64EC7"/>
    <w:rsid w:val="00A652DD"/>
    <w:rsid w:val="00A65853"/>
    <w:rsid w:val="00A66210"/>
    <w:rsid w:val="00A66F9E"/>
    <w:rsid w:val="00A6740E"/>
    <w:rsid w:val="00A67CE5"/>
    <w:rsid w:val="00A7074C"/>
    <w:rsid w:val="00A711E0"/>
    <w:rsid w:val="00A73080"/>
    <w:rsid w:val="00A751FC"/>
    <w:rsid w:val="00A76A3F"/>
    <w:rsid w:val="00A82669"/>
    <w:rsid w:val="00A845A6"/>
    <w:rsid w:val="00A84CE4"/>
    <w:rsid w:val="00A865E1"/>
    <w:rsid w:val="00A93386"/>
    <w:rsid w:val="00A96C87"/>
    <w:rsid w:val="00AA02BC"/>
    <w:rsid w:val="00AA1384"/>
    <w:rsid w:val="00AA334D"/>
    <w:rsid w:val="00AA4D62"/>
    <w:rsid w:val="00AA74EF"/>
    <w:rsid w:val="00AB02E3"/>
    <w:rsid w:val="00AB23E6"/>
    <w:rsid w:val="00AB258E"/>
    <w:rsid w:val="00AB55DD"/>
    <w:rsid w:val="00AB576C"/>
    <w:rsid w:val="00AB5D7F"/>
    <w:rsid w:val="00AC105F"/>
    <w:rsid w:val="00AC3124"/>
    <w:rsid w:val="00AC58F8"/>
    <w:rsid w:val="00AC69E2"/>
    <w:rsid w:val="00AC7972"/>
    <w:rsid w:val="00AD328F"/>
    <w:rsid w:val="00AD46F2"/>
    <w:rsid w:val="00AD5969"/>
    <w:rsid w:val="00AD5B1D"/>
    <w:rsid w:val="00AD66C3"/>
    <w:rsid w:val="00AD7BAC"/>
    <w:rsid w:val="00AE027D"/>
    <w:rsid w:val="00AE4C26"/>
    <w:rsid w:val="00AE5D0F"/>
    <w:rsid w:val="00AE6959"/>
    <w:rsid w:val="00AE6A4D"/>
    <w:rsid w:val="00AF4FF9"/>
    <w:rsid w:val="00B01E9A"/>
    <w:rsid w:val="00B02362"/>
    <w:rsid w:val="00B023CE"/>
    <w:rsid w:val="00B02A50"/>
    <w:rsid w:val="00B06FBD"/>
    <w:rsid w:val="00B07892"/>
    <w:rsid w:val="00B07EFA"/>
    <w:rsid w:val="00B11D82"/>
    <w:rsid w:val="00B13FD3"/>
    <w:rsid w:val="00B14463"/>
    <w:rsid w:val="00B15CDA"/>
    <w:rsid w:val="00B16A15"/>
    <w:rsid w:val="00B170A3"/>
    <w:rsid w:val="00B25380"/>
    <w:rsid w:val="00B308F2"/>
    <w:rsid w:val="00B31814"/>
    <w:rsid w:val="00B3486E"/>
    <w:rsid w:val="00B34CA3"/>
    <w:rsid w:val="00B36538"/>
    <w:rsid w:val="00B369CA"/>
    <w:rsid w:val="00B37566"/>
    <w:rsid w:val="00B44848"/>
    <w:rsid w:val="00B45093"/>
    <w:rsid w:val="00B45879"/>
    <w:rsid w:val="00B479A5"/>
    <w:rsid w:val="00B5028E"/>
    <w:rsid w:val="00B51DFD"/>
    <w:rsid w:val="00B5542D"/>
    <w:rsid w:val="00B5653D"/>
    <w:rsid w:val="00B57EE5"/>
    <w:rsid w:val="00B61E57"/>
    <w:rsid w:val="00B61F51"/>
    <w:rsid w:val="00B62CF5"/>
    <w:rsid w:val="00B64CCE"/>
    <w:rsid w:val="00B65239"/>
    <w:rsid w:val="00B661C7"/>
    <w:rsid w:val="00B66BE2"/>
    <w:rsid w:val="00B67F53"/>
    <w:rsid w:val="00B7292D"/>
    <w:rsid w:val="00B8214B"/>
    <w:rsid w:val="00B83171"/>
    <w:rsid w:val="00B84381"/>
    <w:rsid w:val="00B84DED"/>
    <w:rsid w:val="00B86415"/>
    <w:rsid w:val="00B933B0"/>
    <w:rsid w:val="00B94A5E"/>
    <w:rsid w:val="00BA02D5"/>
    <w:rsid w:val="00BA0325"/>
    <w:rsid w:val="00BA5104"/>
    <w:rsid w:val="00BA5360"/>
    <w:rsid w:val="00BA5648"/>
    <w:rsid w:val="00BA775D"/>
    <w:rsid w:val="00BB0C7F"/>
    <w:rsid w:val="00BB1CCB"/>
    <w:rsid w:val="00BB7471"/>
    <w:rsid w:val="00BC26EA"/>
    <w:rsid w:val="00BC297B"/>
    <w:rsid w:val="00BC3C74"/>
    <w:rsid w:val="00BC4332"/>
    <w:rsid w:val="00BC6D46"/>
    <w:rsid w:val="00BC702F"/>
    <w:rsid w:val="00BC78D6"/>
    <w:rsid w:val="00BD0372"/>
    <w:rsid w:val="00BD1BC1"/>
    <w:rsid w:val="00BD5168"/>
    <w:rsid w:val="00BD6F72"/>
    <w:rsid w:val="00BE1206"/>
    <w:rsid w:val="00BE1EF7"/>
    <w:rsid w:val="00BE57B3"/>
    <w:rsid w:val="00BE5C4B"/>
    <w:rsid w:val="00BE73F9"/>
    <w:rsid w:val="00BE7AB1"/>
    <w:rsid w:val="00BF5AFB"/>
    <w:rsid w:val="00C06AD7"/>
    <w:rsid w:val="00C075E8"/>
    <w:rsid w:val="00C107B9"/>
    <w:rsid w:val="00C117B2"/>
    <w:rsid w:val="00C11B25"/>
    <w:rsid w:val="00C11C3C"/>
    <w:rsid w:val="00C12DEF"/>
    <w:rsid w:val="00C13EF3"/>
    <w:rsid w:val="00C160D8"/>
    <w:rsid w:val="00C16666"/>
    <w:rsid w:val="00C16D5B"/>
    <w:rsid w:val="00C17108"/>
    <w:rsid w:val="00C209DC"/>
    <w:rsid w:val="00C20D70"/>
    <w:rsid w:val="00C218A5"/>
    <w:rsid w:val="00C23AC6"/>
    <w:rsid w:val="00C2442B"/>
    <w:rsid w:val="00C272D9"/>
    <w:rsid w:val="00C305FD"/>
    <w:rsid w:val="00C33BED"/>
    <w:rsid w:val="00C341F4"/>
    <w:rsid w:val="00C3454C"/>
    <w:rsid w:val="00C35111"/>
    <w:rsid w:val="00C3687A"/>
    <w:rsid w:val="00C4398C"/>
    <w:rsid w:val="00C4470F"/>
    <w:rsid w:val="00C44753"/>
    <w:rsid w:val="00C4548F"/>
    <w:rsid w:val="00C45B7A"/>
    <w:rsid w:val="00C50A9A"/>
    <w:rsid w:val="00C50F8B"/>
    <w:rsid w:val="00C51782"/>
    <w:rsid w:val="00C530EA"/>
    <w:rsid w:val="00C539DE"/>
    <w:rsid w:val="00C6117D"/>
    <w:rsid w:val="00C61E46"/>
    <w:rsid w:val="00C62AD6"/>
    <w:rsid w:val="00C63546"/>
    <w:rsid w:val="00C64831"/>
    <w:rsid w:val="00C64CF5"/>
    <w:rsid w:val="00C6501B"/>
    <w:rsid w:val="00C7011F"/>
    <w:rsid w:val="00C71504"/>
    <w:rsid w:val="00C7166B"/>
    <w:rsid w:val="00C733B6"/>
    <w:rsid w:val="00C733CE"/>
    <w:rsid w:val="00C73A8A"/>
    <w:rsid w:val="00C81B87"/>
    <w:rsid w:val="00C81F97"/>
    <w:rsid w:val="00C82FE0"/>
    <w:rsid w:val="00C8482A"/>
    <w:rsid w:val="00C848E9"/>
    <w:rsid w:val="00C84D12"/>
    <w:rsid w:val="00C85071"/>
    <w:rsid w:val="00C85B95"/>
    <w:rsid w:val="00C902EC"/>
    <w:rsid w:val="00C90B15"/>
    <w:rsid w:val="00C94EFB"/>
    <w:rsid w:val="00C972A2"/>
    <w:rsid w:val="00C977B1"/>
    <w:rsid w:val="00CA0B7D"/>
    <w:rsid w:val="00CA18DD"/>
    <w:rsid w:val="00CA1F96"/>
    <w:rsid w:val="00CA2F48"/>
    <w:rsid w:val="00CA59B4"/>
    <w:rsid w:val="00CA6822"/>
    <w:rsid w:val="00CB11F7"/>
    <w:rsid w:val="00CB2E0A"/>
    <w:rsid w:val="00CB2F37"/>
    <w:rsid w:val="00CB3747"/>
    <w:rsid w:val="00CB5386"/>
    <w:rsid w:val="00CB5627"/>
    <w:rsid w:val="00CB5ED6"/>
    <w:rsid w:val="00CB608D"/>
    <w:rsid w:val="00CB63FF"/>
    <w:rsid w:val="00CC331F"/>
    <w:rsid w:val="00CC3507"/>
    <w:rsid w:val="00CC44AE"/>
    <w:rsid w:val="00CD1349"/>
    <w:rsid w:val="00CD141E"/>
    <w:rsid w:val="00CD7927"/>
    <w:rsid w:val="00CE2651"/>
    <w:rsid w:val="00CE3801"/>
    <w:rsid w:val="00CE5586"/>
    <w:rsid w:val="00CE6ABD"/>
    <w:rsid w:val="00CE6EBA"/>
    <w:rsid w:val="00CE755F"/>
    <w:rsid w:val="00CF0115"/>
    <w:rsid w:val="00CF14F4"/>
    <w:rsid w:val="00CF262F"/>
    <w:rsid w:val="00CF37C3"/>
    <w:rsid w:val="00CF489E"/>
    <w:rsid w:val="00CF647C"/>
    <w:rsid w:val="00CF7608"/>
    <w:rsid w:val="00D003A5"/>
    <w:rsid w:val="00D012E2"/>
    <w:rsid w:val="00D0375F"/>
    <w:rsid w:val="00D03E46"/>
    <w:rsid w:val="00D05F74"/>
    <w:rsid w:val="00D071AA"/>
    <w:rsid w:val="00D10401"/>
    <w:rsid w:val="00D1054A"/>
    <w:rsid w:val="00D139A9"/>
    <w:rsid w:val="00D147DB"/>
    <w:rsid w:val="00D14D86"/>
    <w:rsid w:val="00D15304"/>
    <w:rsid w:val="00D214A2"/>
    <w:rsid w:val="00D2350E"/>
    <w:rsid w:val="00D2506A"/>
    <w:rsid w:val="00D267CF"/>
    <w:rsid w:val="00D320A4"/>
    <w:rsid w:val="00D347A2"/>
    <w:rsid w:val="00D36050"/>
    <w:rsid w:val="00D36E7A"/>
    <w:rsid w:val="00D42739"/>
    <w:rsid w:val="00D4405E"/>
    <w:rsid w:val="00D4416A"/>
    <w:rsid w:val="00D45108"/>
    <w:rsid w:val="00D515A7"/>
    <w:rsid w:val="00D51C5B"/>
    <w:rsid w:val="00D535A8"/>
    <w:rsid w:val="00D536E1"/>
    <w:rsid w:val="00D53FFC"/>
    <w:rsid w:val="00D5648B"/>
    <w:rsid w:val="00D57638"/>
    <w:rsid w:val="00D627FD"/>
    <w:rsid w:val="00D628D5"/>
    <w:rsid w:val="00D63867"/>
    <w:rsid w:val="00D63E0F"/>
    <w:rsid w:val="00D65AF6"/>
    <w:rsid w:val="00D67006"/>
    <w:rsid w:val="00D6762E"/>
    <w:rsid w:val="00D721A7"/>
    <w:rsid w:val="00D731BC"/>
    <w:rsid w:val="00D73B47"/>
    <w:rsid w:val="00D77E24"/>
    <w:rsid w:val="00D841FE"/>
    <w:rsid w:val="00D864D6"/>
    <w:rsid w:val="00D87560"/>
    <w:rsid w:val="00D87888"/>
    <w:rsid w:val="00D91550"/>
    <w:rsid w:val="00D93854"/>
    <w:rsid w:val="00DA3F28"/>
    <w:rsid w:val="00DA6C29"/>
    <w:rsid w:val="00DB0851"/>
    <w:rsid w:val="00DB15FE"/>
    <w:rsid w:val="00DB170C"/>
    <w:rsid w:val="00DB1B0A"/>
    <w:rsid w:val="00DB3B9B"/>
    <w:rsid w:val="00DB6141"/>
    <w:rsid w:val="00DB733C"/>
    <w:rsid w:val="00DC0A7C"/>
    <w:rsid w:val="00DC1F58"/>
    <w:rsid w:val="00DC497B"/>
    <w:rsid w:val="00DC6170"/>
    <w:rsid w:val="00DC6359"/>
    <w:rsid w:val="00DD1B52"/>
    <w:rsid w:val="00DD554C"/>
    <w:rsid w:val="00DE0CA0"/>
    <w:rsid w:val="00DE35AA"/>
    <w:rsid w:val="00DE55D8"/>
    <w:rsid w:val="00DE5BCF"/>
    <w:rsid w:val="00DE7854"/>
    <w:rsid w:val="00DE7B59"/>
    <w:rsid w:val="00DF0058"/>
    <w:rsid w:val="00DF1447"/>
    <w:rsid w:val="00DF23EB"/>
    <w:rsid w:val="00DF2672"/>
    <w:rsid w:val="00DF503D"/>
    <w:rsid w:val="00DF53A5"/>
    <w:rsid w:val="00DF574D"/>
    <w:rsid w:val="00DF5E56"/>
    <w:rsid w:val="00DF7E38"/>
    <w:rsid w:val="00E00729"/>
    <w:rsid w:val="00E00962"/>
    <w:rsid w:val="00E02356"/>
    <w:rsid w:val="00E03420"/>
    <w:rsid w:val="00E034ED"/>
    <w:rsid w:val="00E03DAD"/>
    <w:rsid w:val="00E072AA"/>
    <w:rsid w:val="00E0781C"/>
    <w:rsid w:val="00E101C5"/>
    <w:rsid w:val="00E10E47"/>
    <w:rsid w:val="00E129AE"/>
    <w:rsid w:val="00E14EBF"/>
    <w:rsid w:val="00E152AC"/>
    <w:rsid w:val="00E175EE"/>
    <w:rsid w:val="00E200B1"/>
    <w:rsid w:val="00E2120D"/>
    <w:rsid w:val="00E224F2"/>
    <w:rsid w:val="00E33297"/>
    <w:rsid w:val="00E33C69"/>
    <w:rsid w:val="00E37ABE"/>
    <w:rsid w:val="00E4084D"/>
    <w:rsid w:val="00E423CC"/>
    <w:rsid w:val="00E42D3D"/>
    <w:rsid w:val="00E453E5"/>
    <w:rsid w:val="00E50031"/>
    <w:rsid w:val="00E51A7B"/>
    <w:rsid w:val="00E52B28"/>
    <w:rsid w:val="00E53873"/>
    <w:rsid w:val="00E55FC3"/>
    <w:rsid w:val="00E60309"/>
    <w:rsid w:val="00E61C97"/>
    <w:rsid w:val="00E629AE"/>
    <w:rsid w:val="00E64778"/>
    <w:rsid w:val="00E650A6"/>
    <w:rsid w:val="00E71B30"/>
    <w:rsid w:val="00E71E34"/>
    <w:rsid w:val="00E73135"/>
    <w:rsid w:val="00E801CF"/>
    <w:rsid w:val="00E91683"/>
    <w:rsid w:val="00E91DE5"/>
    <w:rsid w:val="00E95DCD"/>
    <w:rsid w:val="00E9604F"/>
    <w:rsid w:val="00E965EC"/>
    <w:rsid w:val="00EA0F57"/>
    <w:rsid w:val="00EA3A9B"/>
    <w:rsid w:val="00EA5AFD"/>
    <w:rsid w:val="00EB057D"/>
    <w:rsid w:val="00EB0ED1"/>
    <w:rsid w:val="00EB261D"/>
    <w:rsid w:val="00EB28BC"/>
    <w:rsid w:val="00EB4EB6"/>
    <w:rsid w:val="00EB5B68"/>
    <w:rsid w:val="00EC26E8"/>
    <w:rsid w:val="00EC344E"/>
    <w:rsid w:val="00EC6911"/>
    <w:rsid w:val="00ED09C8"/>
    <w:rsid w:val="00ED2D83"/>
    <w:rsid w:val="00ED30CE"/>
    <w:rsid w:val="00ED4C42"/>
    <w:rsid w:val="00ED518E"/>
    <w:rsid w:val="00ED712C"/>
    <w:rsid w:val="00ED7708"/>
    <w:rsid w:val="00ED7830"/>
    <w:rsid w:val="00EE095E"/>
    <w:rsid w:val="00EE0C42"/>
    <w:rsid w:val="00EE747C"/>
    <w:rsid w:val="00EE78F6"/>
    <w:rsid w:val="00EF0044"/>
    <w:rsid w:val="00EF06D3"/>
    <w:rsid w:val="00EF0F70"/>
    <w:rsid w:val="00EF1237"/>
    <w:rsid w:val="00EF3007"/>
    <w:rsid w:val="00EF321F"/>
    <w:rsid w:val="00EF48F4"/>
    <w:rsid w:val="00F01FF6"/>
    <w:rsid w:val="00F021F9"/>
    <w:rsid w:val="00F0245F"/>
    <w:rsid w:val="00F04BEA"/>
    <w:rsid w:val="00F0550F"/>
    <w:rsid w:val="00F06EF9"/>
    <w:rsid w:val="00F11F82"/>
    <w:rsid w:val="00F21C48"/>
    <w:rsid w:val="00F22CA0"/>
    <w:rsid w:val="00F22D4D"/>
    <w:rsid w:val="00F26A34"/>
    <w:rsid w:val="00F31FB6"/>
    <w:rsid w:val="00F320A2"/>
    <w:rsid w:val="00F322C6"/>
    <w:rsid w:val="00F333E9"/>
    <w:rsid w:val="00F371DA"/>
    <w:rsid w:val="00F4028C"/>
    <w:rsid w:val="00F40E06"/>
    <w:rsid w:val="00F42109"/>
    <w:rsid w:val="00F4272D"/>
    <w:rsid w:val="00F45055"/>
    <w:rsid w:val="00F47B8C"/>
    <w:rsid w:val="00F51971"/>
    <w:rsid w:val="00F57458"/>
    <w:rsid w:val="00F621D2"/>
    <w:rsid w:val="00F6442E"/>
    <w:rsid w:val="00F6669D"/>
    <w:rsid w:val="00F70DB1"/>
    <w:rsid w:val="00F718C9"/>
    <w:rsid w:val="00F72348"/>
    <w:rsid w:val="00F73326"/>
    <w:rsid w:val="00F73C76"/>
    <w:rsid w:val="00F73D16"/>
    <w:rsid w:val="00F74622"/>
    <w:rsid w:val="00F767C4"/>
    <w:rsid w:val="00F77150"/>
    <w:rsid w:val="00F80548"/>
    <w:rsid w:val="00F83CD7"/>
    <w:rsid w:val="00F947EE"/>
    <w:rsid w:val="00F94EAC"/>
    <w:rsid w:val="00F951BE"/>
    <w:rsid w:val="00FA12D8"/>
    <w:rsid w:val="00FA1775"/>
    <w:rsid w:val="00FA1C1B"/>
    <w:rsid w:val="00FA23D2"/>
    <w:rsid w:val="00FA57FC"/>
    <w:rsid w:val="00FA5F86"/>
    <w:rsid w:val="00FA781E"/>
    <w:rsid w:val="00FB3033"/>
    <w:rsid w:val="00FB519E"/>
    <w:rsid w:val="00FC0672"/>
    <w:rsid w:val="00FC1D42"/>
    <w:rsid w:val="00FC2AB3"/>
    <w:rsid w:val="00FC2ADD"/>
    <w:rsid w:val="00FC589F"/>
    <w:rsid w:val="00FC647F"/>
    <w:rsid w:val="00FD299D"/>
    <w:rsid w:val="00FD4222"/>
    <w:rsid w:val="00FD4408"/>
    <w:rsid w:val="00FE10B3"/>
    <w:rsid w:val="00FE2612"/>
    <w:rsid w:val="00FE3D8C"/>
    <w:rsid w:val="00FE5A4F"/>
    <w:rsid w:val="00FE6266"/>
    <w:rsid w:val="00FE646D"/>
    <w:rsid w:val="00FE64A6"/>
    <w:rsid w:val="00FE6DBB"/>
    <w:rsid w:val="00FE7872"/>
    <w:rsid w:val="00FF0D59"/>
    <w:rsid w:val="00FF2304"/>
    <w:rsid w:val="00FF23B8"/>
    <w:rsid w:val="00FF2CCE"/>
    <w:rsid w:val="00FF2FAC"/>
    <w:rsid w:val="00FF3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6C"/>
  </w:style>
  <w:style w:type="paragraph" w:styleId="Heading1">
    <w:name w:val="heading 1"/>
    <w:basedOn w:val="Normal"/>
    <w:next w:val="Normal"/>
    <w:link w:val="Heading1Char"/>
    <w:uiPriority w:val="9"/>
    <w:qFormat/>
    <w:rsid w:val="00435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5B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5B96"/>
    <w:pPr>
      <w:ind w:left="720"/>
      <w:contextualSpacing/>
    </w:pPr>
  </w:style>
  <w:style w:type="paragraph" w:styleId="NormalWeb">
    <w:name w:val="Normal (Web)"/>
    <w:aliases w:val="sākums"/>
    <w:basedOn w:val="Normal"/>
    <w:uiPriority w:val="99"/>
    <w:unhideWhenUsed/>
    <w:rsid w:val="001E101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A20424"/>
    <w:rPr>
      <w:rFonts w:asciiTheme="majorHAnsi" w:eastAsiaTheme="majorEastAsia" w:hAnsiTheme="majorHAnsi" w:cstheme="majorBidi"/>
      <w:b/>
      <w:bCs/>
      <w:color w:val="4F81BD" w:themeColor="accent1"/>
    </w:rPr>
  </w:style>
  <w:style w:type="paragraph" w:customStyle="1" w:styleId="naiskr">
    <w:name w:val="naiskr"/>
    <w:basedOn w:val="Normal"/>
    <w:rsid w:val="008B6288"/>
    <w:pPr>
      <w:spacing w:before="75" w:after="75" w:line="240" w:lineRule="auto"/>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8B6288"/>
    <w:pPr>
      <w:autoSpaceDE w:val="0"/>
      <w:autoSpaceDN w:val="0"/>
      <w:adjustRightInd w:val="0"/>
      <w:spacing w:after="0" w:line="240" w:lineRule="auto"/>
    </w:pPr>
    <w:rPr>
      <w:rFonts w:ascii="EUAlbertina" w:hAnsi="EUAlbertina"/>
      <w:sz w:val="24"/>
      <w:szCs w:val="24"/>
    </w:rPr>
  </w:style>
  <w:style w:type="paragraph" w:customStyle="1" w:styleId="Default">
    <w:name w:val="Default"/>
    <w:rsid w:val="00FB30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236302"/>
    <w:rPr>
      <w:rFonts w:ascii="EUAlbertina" w:hAnsi="EUAlbertina" w:cstheme="minorBidi"/>
      <w:color w:val="auto"/>
    </w:rPr>
  </w:style>
  <w:style w:type="paragraph" w:styleId="BalloonText">
    <w:name w:val="Balloon Text"/>
    <w:basedOn w:val="Normal"/>
    <w:link w:val="BalloonTextChar"/>
    <w:uiPriority w:val="99"/>
    <w:semiHidden/>
    <w:unhideWhenUsed/>
    <w:rsid w:val="00B51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FD"/>
    <w:rPr>
      <w:rFonts w:ascii="Tahoma" w:hAnsi="Tahoma" w:cs="Tahoma"/>
      <w:sz w:val="16"/>
      <w:szCs w:val="16"/>
    </w:rPr>
  </w:style>
  <w:style w:type="character" w:styleId="Hyperlink">
    <w:name w:val="Hyperlink"/>
    <w:basedOn w:val="DefaultParagraphFont"/>
    <w:uiPriority w:val="99"/>
    <w:unhideWhenUsed/>
    <w:rsid w:val="000E4AD4"/>
    <w:rPr>
      <w:strike w:val="0"/>
      <w:dstrike w:val="0"/>
      <w:color w:val="7C0F0F"/>
      <w:u w:val="none"/>
      <w:effect w:val="none"/>
    </w:rPr>
  </w:style>
  <w:style w:type="paragraph" w:styleId="TOCHeading">
    <w:name w:val="TOC Heading"/>
    <w:basedOn w:val="Heading1"/>
    <w:next w:val="Normal"/>
    <w:uiPriority w:val="39"/>
    <w:semiHidden/>
    <w:unhideWhenUsed/>
    <w:qFormat/>
    <w:rsid w:val="00F333E9"/>
    <w:pPr>
      <w:outlineLvl w:val="9"/>
    </w:pPr>
    <w:rPr>
      <w:lang w:val="en-US" w:eastAsia="ja-JP"/>
    </w:rPr>
  </w:style>
  <w:style w:type="paragraph" w:styleId="TOC1">
    <w:name w:val="toc 1"/>
    <w:basedOn w:val="Normal"/>
    <w:next w:val="Normal"/>
    <w:autoRedefine/>
    <w:uiPriority w:val="39"/>
    <w:unhideWhenUsed/>
    <w:rsid w:val="00F333E9"/>
    <w:pPr>
      <w:spacing w:after="100"/>
    </w:pPr>
  </w:style>
  <w:style w:type="paragraph" w:styleId="TOC2">
    <w:name w:val="toc 2"/>
    <w:basedOn w:val="Normal"/>
    <w:next w:val="Normal"/>
    <w:autoRedefine/>
    <w:uiPriority w:val="39"/>
    <w:unhideWhenUsed/>
    <w:rsid w:val="00F333E9"/>
    <w:pPr>
      <w:spacing w:after="100"/>
      <w:ind w:left="220"/>
    </w:pPr>
  </w:style>
  <w:style w:type="paragraph" w:styleId="TOC3">
    <w:name w:val="toc 3"/>
    <w:basedOn w:val="Normal"/>
    <w:next w:val="Normal"/>
    <w:autoRedefine/>
    <w:uiPriority w:val="39"/>
    <w:unhideWhenUsed/>
    <w:rsid w:val="00F333E9"/>
    <w:pPr>
      <w:tabs>
        <w:tab w:val="right" w:leader="dot" w:pos="9016"/>
      </w:tabs>
      <w:spacing w:after="100"/>
      <w:ind w:left="440"/>
    </w:pPr>
    <w:rPr>
      <w:rFonts w:ascii="Times New Roman" w:hAnsi="Times New Roman" w:cs="Times New Roman"/>
      <w:noProof/>
    </w:rPr>
  </w:style>
  <w:style w:type="table" w:styleId="TableGrid">
    <w:name w:val="Table Grid"/>
    <w:basedOn w:val="TableNormal"/>
    <w:uiPriority w:val="59"/>
    <w:rsid w:val="009F4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47FA"/>
    <w:rPr>
      <w:sz w:val="16"/>
      <w:szCs w:val="16"/>
    </w:rPr>
  </w:style>
  <w:style w:type="paragraph" w:styleId="CommentText">
    <w:name w:val="annotation text"/>
    <w:basedOn w:val="Normal"/>
    <w:link w:val="CommentTextChar"/>
    <w:uiPriority w:val="99"/>
    <w:semiHidden/>
    <w:unhideWhenUsed/>
    <w:rsid w:val="002847FA"/>
    <w:pPr>
      <w:spacing w:line="240" w:lineRule="auto"/>
    </w:pPr>
    <w:rPr>
      <w:sz w:val="20"/>
      <w:szCs w:val="20"/>
    </w:rPr>
  </w:style>
  <w:style w:type="character" w:customStyle="1" w:styleId="CommentTextChar">
    <w:name w:val="Comment Text Char"/>
    <w:basedOn w:val="DefaultParagraphFont"/>
    <w:link w:val="CommentText"/>
    <w:uiPriority w:val="99"/>
    <w:semiHidden/>
    <w:rsid w:val="002847FA"/>
    <w:rPr>
      <w:sz w:val="20"/>
      <w:szCs w:val="20"/>
    </w:rPr>
  </w:style>
  <w:style w:type="paragraph" w:styleId="CommentSubject">
    <w:name w:val="annotation subject"/>
    <w:basedOn w:val="CommentText"/>
    <w:next w:val="CommentText"/>
    <w:link w:val="CommentSubjectChar"/>
    <w:uiPriority w:val="99"/>
    <w:semiHidden/>
    <w:unhideWhenUsed/>
    <w:rsid w:val="002847FA"/>
    <w:rPr>
      <w:b/>
      <w:bCs/>
    </w:rPr>
  </w:style>
  <w:style w:type="character" w:customStyle="1" w:styleId="CommentSubjectChar">
    <w:name w:val="Comment Subject Char"/>
    <w:basedOn w:val="CommentTextChar"/>
    <w:link w:val="CommentSubject"/>
    <w:uiPriority w:val="99"/>
    <w:semiHidden/>
    <w:rsid w:val="002847FA"/>
    <w:rPr>
      <w:b/>
      <w:bCs/>
      <w:sz w:val="20"/>
      <w:szCs w:val="20"/>
    </w:rPr>
  </w:style>
  <w:style w:type="table" w:customStyle="1" w:styleId="TableGrid1">
    <w:name w:val="Table Grid1"/>
    <w:basedOn w:val="TableNormal"/>
    <w:next w:val="TableGrid"/>
    <w:uiPriority w:val="59"/>
    <w:rsid w:val="00174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3E58"/>
    <w:rPr>
      <w:b/>
      <w:bCs/>
    </w:rPr>
  </w:style>
  <w:style w:type="paragraph" w:styleId="BodyText">
    <w:name w:val="Body Text"/>
    <w:aliases w:val=" Rakstz."/>
    <w:basedOn w:val="Normal"/>
    <w:link w:val="BodyTextChar"/>
    <w:rsid w:val="00D51C5B"/>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 Rakstz. Char"/>
    <w:basedOn w:val="DefaultParagraphFont"/>
    <w:link w:val="BodyText"/>
    <w:rsid w:val="00D51C5B"/>
    <w:rPr>
      <w:rFonts w:ascii="Times New Roman" w:eastAsia="Times New Roman" w:hAnsi="Times New Roman" w:cs="Times New Roman"/>
      <w:sz w:val="24"/>
      <w:szCs w:val="24"/>
    </w:rPr>
  </w:style>
  <w:style w:type="paragraph" w:customStyle="1" w:styleId="BodyTEXT0">
    <w:name w:val="BodyTEXT"/>
    <w:basedOn w:val="Normal"/>
    <w:autoRedefine/>
    <w:qFormat/>
    <w:rsid w:val="009C3911"/>
    <w:pPr>
      <w:spacing w:before="120" w:after="120" w:line="240" w:lineRule="auto"/>
      <w:jc w:val="both"/>
    </w:pPr>
    <w:rPr>
      <w:rFonts w:ascii="Times New Roman" w:eastAsia="Times New Roman" w:hAnsi="Times New Roman" w:cs="Times New Roman"/>
      <w:sz w:val="28"/>
      <w:szCs w:val="28"/>
      <w:lang w:bidi="en-US"/>
    </w:rPr>
  </w:style>
  <w:style w:type="paragraph" w:customStyle="1" w:styleId="CM4">
    <w:name w:val="CM4"/>
    <w:basedOn w:val="Default"/>
    <w:next w:val="Default"/>
    <w:uiPriority w:val="99"/>
    <w:rsid w:val="00FE646D"/>
    <w:rPr>
      <w:rFonts w:ascii="EUAlbertina" w:hAnsi="EUAlbertina" w:cstheme="minorBidi"/>
      <w:color w:val="auto"/>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locked/>
    <w:rsid w:val="00C20D70"/>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C20D70"/>
    <w:pPr>
      <w:spacing w:after="0" w:line="240" w:lineRule="auto"/>
    </w:pPr>
  </w:style>
  <w:style w:type="character" w:customStyle="1" w:styleId="FootnoteTextChar1">
    <w:name w:val="Footnote Text Char1"/>
    <w:basedOn w:val="DefaultParagraphFont"/>
    <w:uiPriority w:val="99"/>
    <w:semiHidden/>
    <w:rsid w:val="00C20D70"/>
    <w:rPr>
      <w:sz w:val="20"/>
      <w:szCs w:val="20"/>
    </w:rPr>
  </w:style>
  <w:style w:type="character" w:styleId="FootnoteReference">
    <w:name w:val="footnote reference"/>
    <w:aliases w:val="Footnote Reference Number,SUPERS"/>
    <w:basedOn w:val="DefaultParagraphFont"/>
    <w:uiPriority w:val="99"/>
    <w:unhideWhenUsed/>
    <w:rsid w:val="00C20D70"/>
    <w:rPr>
      <w:vertAlign w:val="superscript"/>
    </w:rPr>
  </w:style>
  <w:style w:type="paragraph" w:styleId="Title">
    <w:name w:val="Title"/>
    <w:basedOn w:val="Normal"/>
    <w:next w:val="Normal"/>
    <w:link w:val="TitleChar"/>
    <w:autoRedefine/>
    <w:uiPriority w:val="10"/>
    <w:qFormat/>
    <w:rsid w:val="00BA5104"/>
    <w:pPr>
      <w:spacing w:after="30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basedOn w:val="DefaultParagraphFont"/>
    <w:link w:val="Title"/>
    <w:uiPriority w:val="10"/>
    <w:rsid w:val="00BA5104"/>
    <w:rPr>
      <w:rFonts w:ascii="Times New Roman" w:eastAsiaTheme="majorEastAsia" w:hAnsi="Times New Roman" w:cstheme="majorBidi"/>
      <w:b/>
      <w:spacing w:val="5"/>
      <w:kern w:val="28"/>
      <w:sz w:val="32"/>
      <w:szCs w:val="52"/>
    </w:rPr>
  </w:style>
  <w:style w:type="table" w:customStyle="1" w:styleId="TableGrid2">
    <w:name w:val="Table Grid2"/>
    <w:basedOn w:val="TableNormal"/>
    <w:next w:val="TableGrid"/>
    <w:uiPriority w:val="59"/>
    <w:rsid w:val="00A561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731BC"/>
    <w:pPr>
      <w:spacing w:after="0" w:line="240" w:lineRule="auto"/>
    </w:pPr>
    <w:rPr>
      <w:rFonts w:ascii="Times New Roman" w:eastAsia="Calibri" w:hAnsi="Times New Roman" w:cs="Times New Roman"/>
      <w:color w:val="000000" w:themeColor="text1" w:themeShade="BF"/>
      <w:sz w:val="20"/>
      <w:szCs w:val="20"/>
      <w:lang w:eastAsia="lv-LV"/>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1">
    <w:name w:val="tv2131"/>
    <w:basedOn w:val="Normal"/>
    <w:rsid w:val="000A74BB"/>
    <w:pPr>
      <w:spacing w:before="240" w:after="0" w:line="360" w:lineRule="auto"/>
      <w:ind w:firstLine="300"/>
      <w:jc w:val="both"/>
    </w:pPr>
    <w:rPr>
      <w:rFonts w:ascii="Verdana" w:eastAsia="Times New Roman" w:hAnsi="Verdana" w:cs="Times New Roman"/>
      <w:sz w:val="18"/>
      <w:szCs w:val="18"/>
      <w:lang w:eastAsia="lv-LV"/>
    </w:rPr>
  </w:style>
  <w:style w:type="paragraph" w:customStyle="1" w:styleId="tv212">
    <w:name w:val="tv212"/>
    <w:basedOn w:val="Normal"/>
    <w:rsid w:val="00335677"/>
    <w:pPr>
      <w:spacing w:before="100" w:beforeAutospacing="1" w:after="100" w:afterAutospacing="1" w:line="240" w:lineRule="auto"/>
    </w:pPr>
    <w:rPr>
      <w:rFonts w:ascii="Times New Roman" w:hAnsi="Times New Roman" w:cs="Times New Roman"/>
      <w:sz w:val="24"/>
      <w:szCs w:val="24"/>
      <w:lang w:eastAsia="lv-LV"/>
    </w:rPr>
  </w:style>
  <w:style w:type="table" w:customStyle="1" w:styleId="TableGrid3">
    <w:name w:val="Table Grid3"/>
    <w:basedOn w:val="TableNormal"/>
    <w:next w:val="TableGrid"/>
    <w:uiPriority w:val="59"/>
    <w:rsid w:val="00A96C8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C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0C7F"/>
  </w:style>
  <w:style w:type="paragraph" w:styleId="Footer">
    <w:name w:val="footer"/>
    <w:basedOn w:val="Normal"/>
    <w:link w:val="FooterChar"/>
    <w:uiPriority w:val="99"/>
    <w:unhideWhenUsed/>
    <w:rsid w:val="00BB0C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0C7F"/>
  </w:style>
  <w:style w:type="character" w:customStyle="1" w:styleId="apple-converted-space">
    <w:name w:val="apple-converted-space"/>
    <w:basedOn w:val="DefaultParagraphFont"/>
    <w:rsid w:val="00971CDB"/>
  </w:style>
  <w:style w:type="paragraph" w:customStyle="1" w:styleId="naisf">
    <w:name w:val="naisf"/>
    <w:basedOn w:val="Normal"/>
    <w:link w:val="naisfChar"/>
    <w:rsid w:val="00205C3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205C36"/>
    <w:rPr>
      <w:rFonts w:ascii="Times New Roman" w:eastAsia="Times New Roman" w:hAnsi="Times New Roman" w:cs="Times New Roman"/>
      <w:sz w:val="24"/>
      <w:szCs w:val="24"/>
      <w:lang w:eastAsia="lv-LV"/>
    </w:rPr>
  </w:style>
  <w:style w:type="character" w:customStyle="1" w:styleId="c1">
    <w:name w:val="c1"/>
    <w:rsid w:val="008D6A40"/>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6C"/>
  </w:style>
  <w:style w:type="paragraph" w:styleId="Heading1">
    <w:name w:val="heading 1"/>
    <w:basedOn w:val="Normal"/>
    <w:next w:val="Normal"/>
    <w:link w:val="Heading1Char"/>
    <w:uiPriority w:val="9"/>
    <w:qFormat/>
    <w:rsid w:val="00435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5B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5B96"/>
    <w:pPr>
      <w:ind w:left="720"/>
      <w:contextualSpacing/>
    </w:pPr>
  </w:style>
  <w:style w:type="paragraph" w:styleId="NormalWeb">
    <w:name w:val="Normal (Web)"/>
    <w:aliases w:val="sākums"/>
    <w:basedOn w:val="Normal"/>
    <w:uiPriority w:val="99"/>
    <w:unhideWhenUsed/>
    <w:rsid w:val="001E101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A20424"/>
    <w:rPr>
      <w:rFonts w:asciiTheme="majorHAnsi" w:eastAsiaTheme="majorEastAsia" w:hAnsiTheme="majorHAnsi" w:cstheme="majorBidi"/>
      <w:b/>
      <w:bCs/>
      <w:color w:val="4F81BD" w:themeColor="accent1"/>
    </w:rPr>
  </w:style>
  <w:style w:type="paragraph" w:customStyle="1" w:styleId="naiskr">
    <w:name w:val="naiskr"/>
    <w:basedOn w:val="Normal"/>
    <w:rsid w:val="008B6288"/>
    <w:pPr>
      <w:spacing w:before="75" w:after="75" w:line="240" w:lineRule="auto"/>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8B6288"/>
    <w:pPr>
      <w:autoSpaceDE w:val="0"/>
      <w:autoSpaceDN w:val="0"/>
      <w:adjustRightInd w:val="0"/>
      <w:spacing w:after="0" w:line="240" w:lineRule="auto"/>
    </w:pPr>
    <w:rPr>
      <w:rFonts w:ascii="EUAlbertina" w:hAnsi="EUAlbertina"/>
      <w:sz w:val="24"/>
      <w:szCs w:val="24"/>
    </w:rPr>
  </w:style>
  <w:style w:type="paragraph" w:customStyle="1" w:styleId="Default">
    <w:name w:val="Default"/>
    <w:rsid w:val="00FB30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236302"/>
    <w:rPr>
      <w:rFonts w:ascii="EUAlbertina" w:hAnsi="EUAlbertina" w:cstheme="minorBidi"/>
      <w:color w:val="auto"/>
    </w:rPr>
  </w:style>
  <w:style w:type="paragraph" w:styleId="BalloonText">
    <w:name w:val="Balloon Text"/>
    <w:basedOn w:val="Normal"/>
    <w:link w:val="BalloonTextChar"/>
    <w:uiPriority w:val="99"/>
    <w:semiHidden/>
    <w:unhideWhenUsed/>
    <w:rsid w:val="00B51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FD"/>
    <w:rPr>
      <w:rFonts w:ascii="Tahoma" w:hAnsi="Tahoma" w:cs="Tahoma"/>
      <w:sz w:val="16"/>
      <w:szCs w:val="16"/>
    </w:rPr>
  </w:style>
  <w:style w:type="character" w:styleId="Hyperlink">
    <w:name w:val="Hyperlink"/>
    <w:basedOn w:val="DefaultParagraphFont"/>
    <w:uiPriority w:val="99"/>
    <w:unhideWhenUsed/>
    <w:rsid w:val="000E4AD4"/>
    <w:rPr>
      <w:strike w:val="0"/>
      <w:dstrike w:val="0"/>
      <w:color w:val="7C0F0F"/>
      <w:u w:val="none"/>
      <w:effect w:val="none"/>
    </w:rPr>
  </w:style>
  <w:style w:type="paragraph" w:styleId="TOCHeading">
    <w:name w:val="TOC Heading"/>
    <w:basedOn w:val="Heading1"/>
    <w:next w:val="Normal"/>
    <w:uiPriority w:val="39"/>
    <w:semiHidden/>
    <w:unhideWhenUsed/>
    <w:qFormat/>
    <w:rsid w:val="00F333E9"/>
    <w:pPr>
      <w:outlineLvl w:val="9"/>
    </w:pPr>
    <w:rPr>
      <w:lang w:val="en-US" w:eastAsia="ja-JP"/>
    </w:rPr>
  </w:style>
  <w:style w:type="paragraph" w:styleId="TOC1">
    <w:name w:val="toc 1"/>
    <w:basedOn w:val="Normal"/>
    <w:next w:val="Normal"/>
    <w:autoRedefine/>
    <w:uiPriority w:val="39"/>
    <w:unhideWhenUsed/>
    <w:rsid w:val="00F333E9"/>
    <w:pPr>
      <w:spacing w:after="100"/>
    </w:pPr>
  </w:style>
  <w:style w:type="paragraph" w:styleId="TOC2">
    <w:name w:val="toc 2"/>
    <w:basedOn w:val="Normal"/>
    <w:next w:val="Normal"/>
    <w:autoRedefine/>
    <w:uiPriority w:val="39"/>
    <w:unhideWhenUsed/>
    <w:rsid w:val="00F333E9"/>
    <w:pPr>
      <w:spacing w:after="100"/>
      <w:ind w:left="220"/>
    </w:pPr>
  </w:style>
  <w:style w:type="paragraph" w:styleId="TOC3">
    <w:name w:val="toc 3"/>
    <w:basedOn w:val="Normal"/>
    <w:next w:val="Normal"/>
    <w:autoRedefine/>
    <w:uiPriority w:val="39"/>
    <w:unhideWhenUsed/>
    <w:rsid w:val="00F333E9"/>
    <w:pPr>
      <w:tabs>
        <w:tab w:val="right" w:leader="dot" w:pos="9016"/>
      </w:tabs>
      <w:spacing w:after="100"/>
      <w:ind w:left="440"/>
    </w:pPr>
    <w:rPr>
      <w:rFonts w:ascii="Times New Roman" w:hAnsi="Times New Roman" w:cs="Times New Roman"/>
      <w:noProof/>
    </w:rPr>
  </w:style>
  <w:style w:type="table" w:styleId="TableGrid">
    <w:name w:val="Table Grid"/>
    <w:basedOn w:val="TableNormal"/>
    <w:uiPriority w:val="59"/>
    <w:rsid w:val="009F4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47FA"/>
    <w:rPr>
      <w:sz w:val="16"/>
      <w:szCs w:val="16"/>
    </w:rPr>
  </w:style>
  <w:style w:type="paragraph" w:styleId="CommentText">
    <w:name w:val="annotation text"/>
    <w:basedOn w:val="Normal"/>
    <w:link w:val="CommentTextChar"/>
    <w:uiPriority w:val="99"/>
    <w:semiHidden/>
    <w:unhideWhenUsed/>
    <w:rsid w:val="002847FA"/>
    <w:pPr>
      <w:spacing w:line="240" w:lineRule="auto"/>
    </w:pPr>
    <w:rPr>
      <w:sz w:val="20"/>
      <w:szCs w:val="20"/>
    </w:rPr>
  </w:style>
  <w:style w:type="character" w:customStyle="1" w:styleId="CommentTextChar">
    <w:name w:val="Comment Text Char"/>
    <w:basedOn w:val="DefaultParagraphFont"/>
    <w:link w:val="CommentText"/>
    <w:uiPriority w:val="99"/>
    <w:semiHidden/>
    <w:rsid w:val="002847FA"/>
    <w:rPr>
      <w:sz w:val="20"/>
      <w:szCs w:val="20"/>
    </w:rPr>
  </w:style>
  <w:style w:type="paragraph" w:styleId="CommentSubject">
    <w:name w:val="annotation subject"/>
    <w:basedOn w:val="CommentText"/>
    <w:next w:val="CommentText"/>
    <w:link w:val="CommentSubjectChar"/>
    <w:uiPriority w:val="99"/>
    <w:semiHidden/>
    <w:unhideWhenUsed/>
    <w:rsid w:val="002847FA"/>
    <w:rPr>
      <w:b/>
      <w:bCs/>
    </w:rPr>
  </w:style>
  <w:style w:type="character" w:customStyle="1" w:styleId="CommentSubjectChar">
    <w:name w:val="Comment Subject Char"/>
    <w:basedOn w:val="CommentTextChar"/>
    <w:link w:val="CommentSubject"/>
    <w:uiPriority w:val="99"/>
    <w:semiHidden/>
    <w:rsid w:val="002847FA"/>
    <w:rPr>
      <w:b/>
      <w:bCs/>
      <w:sz w:val="20"/>
      <w:szCs w:val="20"/>
    </w:rPr>
  </w:style>
  <w:style w:type="table" w:customStyle="1" w:styleId="TableGrid1">
    <w:name w:val="Table Grid1"/>
    <w:basedOn w:val="TableNormal"/>
    <w:next w:val="TableGrid"/>
    <w:uiPriority w:val="59"/>
    <w:rsid w:val="00174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3E58"/>
    <w:rPr>
      <w:b/>
      <w:bCs/>
    </w:rPr>
  </w:style>
  <w:style w:type="paragraph" w:styleId="BodyText">
    <w:name w:val="Body Text"/>
    <w:aliases w:val=" Rakstz."/>
    <w:basedOn w:val="Normal"/>
    <w:link w:val="BodyTextChar"/>
    <w:rsid w:val="00D51C5B"/>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 Rakstz. Char"/>
    <w:basedOn w:val="DefaultParagraphFont"/>
    <w:link w:val="BodyText"/>
    <w:rsid w:val="00D51C5B"/>
    <w:rPr>
      <w:rFonts w:ascii="Times New Roman" w:eastAsia="Times New Roman" w:hAnsi="Times New Roman" w:cs="Times New Roman"/>
      <w:sz w:val="24"/>
      <w:szCs w:val="24"/>
    </w:rPr>
  </w:style>
  <w:style w:type="paragraph" w:customStyle="1" w:styleId="BodyTEXT0">
    <w:name w:val="BodyTEXT"/>
    <w:basedOn w:val="Normal"/>
    <w:autoRedefine/>
    <w:qFormat/>
    <w:rsid w:val="009C3911"/>
    <w:pPr>
      <w:spacing w:before="120" w:after="120" w:line="240" w:lineRule="auto"/>
      <w:jc w:val="both"/>
    </w:pPr>
    <w:rPr>
      <w:rFonts w:ascii="Times New Roman" w:eastAsia="Times New Roman" w:hAnsi="Times New Roman" w:cs="Times New Roman"/>
      <w:sz w:val="28"/>
      <w:szCs w:val="28"/>
      <w:lang w:bidi="en-US"/>
    </w:rPr>
  </w:style>
  <w:style w:type="paragraph" w:customStyle="1" w:styleId="CM4">
    <w:name w:val="CM4"/>
    <w:basedOn w:val="Default"/>
    <w:next w:val="Default"/>
    <w:uiPriority w:val="99"/>
    <w:rsid w:val="00FE646D"/>
    <w:rPr>
      <w:rFonts w:ascii="EUAlbertina" w:hAnsi="EUAlbertina" w:cstheme="minorBidi"/>
      <w:color w:val="auto"/>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locked/>
    <w:rsid w:val="00C20D70"/>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C20D70"/>
    <w:pPr>
      <w:spacing w:after="0" w:line="240" w:lineRule="auto"/>
    </w:pPr>
  </w:style>
  <w:style w:type="character" w:customStyle="1" w:styleId="FootnoteTextChar1">
    <w:name w:val="Footnote Text Char1"/>
    <w:basedOn w:val="DefaultParagraphFont"/>
    <w:uiPriority w:val="99"/>
    <w:semiHidden/>
    <w:rsid w:val="00C20D70"/>
    <w:rPr>
      <w:sz w:val="20"/>
      <w:szCs w:val="20"/>
    </w:rPr>
  </w:style>
  <w:style w:type="character" w:styleId="FootnoteReference">
    <w:name w:val="footnote reference"/>
    <w:aliases w:val="Footnote Reference Number,SUPERS"/>
    <w:basedOn w:val="DefaultParagraphFont"/>
    <w:uiPriority w:val="99"/>
    <w:unhideWhenUsed/>
    <w:rsid w:val="00C20D70"/>
    <w:rPr>
      <w:vertAlign w:val="superscript"/>
    </w:rPr>
  </w:style>
  <w:style w:type="paragraph" w:styleId="Title">
    <w:name w:val="Title"/>
    <w:basedOn w:val="Normal"/>
    <w:next w:val="Normal"/>
    <w:link w:val="TitleChar"/>
    <w:autoRedefine/>
    <w:uiPriority w:val="10"/>
    <w:qFormat/>
    <w:rsid w:val="00BA5104"/>
    <w:pPr>
      <w:spacing w:after="30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basedOn w:val="DefaultParagraphFont"/>
    <w:link w:val="Title"/>
    <w:uiPriority w:val="10"/>
    <w:rsid w:val="00BA5104"/>
    <w:rPr>
      <w:rFonts w:ascii="Times New Roman" w:eastAsiaTheme="majorEastAsia" w:hAnsi="Times New Roman" w:cstheme="majorBidi"/>
      <w:b/>
      <w:spacing w:val="5"/>
      <w:kern w:val="28"/>
      <w:sz w:val="32"/>
      <w:szCs w:val="52"/>
    </w:rPr>
  </w:style>
  <w:style w:type="table" w:customStyle="1" w:styleId="TableGrid2">
    <w:name w:val="Table Grid2"/>
    <w:basedOn w:val="TableNormal"/>
    <w:next w:val="TableGrid"/>
    <w:uiPriority w:val="59"/>
    <w:rsid w:val="00A561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731BC"/>
    <w:pPr>
      <w:spacing w:after="0" w:line="240" w:lineRule="auto"/>
    </w:pPr>
    <w:rPr>
      <w:rFonts w:ascii="Times New Roman" w:eastAsia="Calibri" w:hAnsi="Times New Roman" w:cs="Times New Roman"/>
      <w:color w:val="000000" w:themeColor="text1" w:themeShade="BF"/>
      <w:sz w:val="20"/>
      <w:szCs w:val="20"/>
      <w:lang w:eastAsia="lv-LV"/>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1">
    <w:name w:val="tv2131"/>
    <w:basedOn w:val="Normal"/>
    <w:rsid w:val="000A74BB"/>
    <w:pPr>
      <w:spacing w:before="240" w:after="0" w:line="360" w:lineRule="auto"/>
      <w:ind w:firstLine="300"/>
      <w:jc w:val="both"/>
    </w:pPr>
    <w:rPr>
      <w:rFonts w:ascii="Verdana" w:eastAsia="Times New Roman" w:hAnsi="Verdana" w:cs="Times New Roman"/>
      <w:sz w:val="18"/>
      <w:szCs w:val="18"/>
      <w:lang w:eastAsia="lv-LV"/>
    </w:rPr>
  </w:style>
  <w:style w:type="paragraph" w:customStyle="1" w:styleId="tv212">
    <w:name w:val="tv212"/>
    <w:basedOn w:val="Normal"/>
    <w:rsid w:val="00335677"/>
    <w:pPr>
      <w:spacing w:before="100" w:beforeAutospacing="1" w:after="100" w:afterAutospacing="1" w:line="240" w:lineRule="auto"/>
    </w:pPr>
    <w:rPr>
      <w:rFonts w:ascii="Times New Roman" w:hAnsi="Times New Roman" w:cs="Times New Roman"/>
      <w:sz w:val="24"/>
      <w:szCs w:val="24"/>
      <w:lang w:eastAsia="lv-LV"/>
    </w:rPr>
  </w:style>
  <w:style w:type="table" w:customStyle="1" w:styleId="TableGrid3">
    <w:name w:val="Table Grid3"/>
    <w:basedOn w:val="TableNormal"/>
    <w:next w:val="TableGrid"/>
    <w:uiPriority w:val="59"/>
    <w:rsid w:val="00A96C8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C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0C7F"/>
  </w:style>
  <w:style w:type="paragraph" w:styleId="Footer">
    <w:name w:val="footer"/>
    <w:basedOn w:val="Normal"/>
    <w:link w:val="FooterChar"/>
    <w:uiPriority w:val="99"/>
    <w:unhideWhenUsed/>
    <w:rsid w:val="00BB0C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0C7F"/>
  </w:style>
  <w:style w:type="character" w:customStyle="1" w:styleId="apple-converted-space">
    <w:name w:val="apple-converted-space"/>
    <w:basedOn w:val="DefaultParagraphFont"/>
    <w:rsid w:val="00971CDB"/>
  </w:style>
  <w:style w:type="paragraph" w:customStyle="1" w:styleId="naisf">
    <w:name w:val="naisf"/>
    <w:basedOn w:val="Normal"/>
    <w:link w:val="naisfChar"/>
    <w:rsid w:val="00205C3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205C36"/>
    <w:rPr>
      <w:rFonts w:ascii="Times New Roman" w:eastAsia="Times New Roman" w:hAnsi="Times New Roman" w:cs="Times New Roman"/>
      <w:sz w:val="24"/>
      <w:szCs w:val="24"/>
      <w:lang w:eastAsia="lv-LV"/>
    </w:rPr>
  </w:style>
  <w:style w:type="character" w:customStyle="1" w:styleId="c1">
    <w:name w:val="c1"/>
    <w:rsid w:val="008D6A4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48">
      <w:bodyDiv w:val="1"/>
      <w:marLeft w:val="0"/>
      <w:marRight w:val="0"/>
      <w:marTop w:val="0"/>
      <w:marBottom w:val="0"/>
      <w:divBdr>
        <w:top w:val="none" w:sz="0" w:space="0" w:color="auto"/>
        <w:left w:val="none" w:sz="0" w:space="0" w:color="auto"/>
        <w:bottom w:val="none" w:sz="0" w:space="0" w:color="auto"/>
        <w:right w:val="none" w:sz="0" w:space="0" w:color="auto"/>
      </w:divBdr>
    </w:div>
    <w:div w:id="55671828">
      <w:bodyDiv w:val="1"/>
      <w:marLeft w:val="0"/>
      <w:marRight w:val="0"/>
      <w:marTop w:val="0"/>
      <w:marBottom w:val="0"/>
      <w:divBdr>
        <w:top w:val="none" w:sz="0" w:space="0" w:color="auto"/>
        <w:left w:val="none" w:sz="0" w:space="0" w:color="auto"/>
        <w:bottom w:val="none" w:sz="0" w:space="0" w:color="auto"/>
        <w:right w:val="none" w:sz="0" w:space="0" w:color="auto"/>
      </w:divBdr>
    </w:div>
    <w:div w:id="86973263">
      <w:bodyDiv w:val="1"/>
      <w:marLeft w:val="0"/>
      <w:marRight w:val="0"/>
      <w:marTop w:val="0"/>
      <w:marBottom w:val="0"/>
      <w:divBdr>
        <w:top w:val="none" w:sz="0" w:space="0" w:color="auto"/>
        <w:left w:val="none" w:sz="0" w:space="0" w:color="auto"/>
        <w:bottom w:val="none" w:sz="0" w:space="0" w:color="auto"/>
        <w:right w:val="none" w:sz="0" w:space="0" w:color="auto"/>
      </w:divBdr>
    </w:div>
    <w:div w:id="402679363">
      <w:bodyDiv w:val="1"/>
      <w:marLeft w:val="0"/>
      <w:marRight w:val="0"/>
      <w:marTop w:val="0"/>
      <w:marBottom w:val="0"/>
      <w:divBdr>
        <w:top w:val="none" w:sz="0" w:space="0" w:color="auto"/>
        <w:left w:val="none" w:sz="0" w:space="0" w:color="auto"/>
        <w:bottom w:val="none" w:sz="0" w:space="0" w:color="auto"/>
        <w:right w:val="none" w:sz="0" w:space="0" w:color="auto"/>
      </w:divBdr>
      <w:divsChild>
        <w:div w:id="699356447">
          <w:marLeft w:val="0"/>
          <w:marRight w:val="0"/>
          <w:marTop w:val="0"/>
          <w:marBottom w:val="0"/>
          <w:divBdr>
            <w:top w:val="none" w:sz="0" w:space="0" w:color="auto"/>
            <w:left w:val="none" w:sz="0" w:space="0" w:color="auto"/>
            <w:bottom w:val="none" w:sz="0" w:space="0" w:color="auto"/>
            <w:right w:val="none" w:sz="0" w:space="0" w:color="auto"/>
          </w:divBdr>
          <w:divsChild>
            <w:div w:id="710150042">
              <w:marLeft w:val="0"/>
              <w:marRight w:val="0"/>
              <w:marTop w:val="0"/>
              <w:marBottom w:val="0"/>
              <w:divBdr>
                <w:top w:val="none" w:sz="0" w:space="0" w:color="auto"/>
                <w:left w:val="none" w:sz="0" w:space="0" w:color="auto"/>
                <w:bottom w:val="none" w:sz="0" w:space="0" w:color="auto"/>
                <w:right w:val="none" w:sz="0" w:space="0" w:color="auto"/>
              </w:divBdr>
              <w:divsChild>
                <w:div w:id="503937163">
                  <w:marLeft w:val="-3735"/>
                  <w:marRight w:val="0"/>
                  <w:marTop w:val="0"/>
                  <w:marBottom w:val="0"/>
                  <w:divBdr>
                    <w:top w:val="none" w:sz="0" w:space="0" w:color="auto"/>
                    <w:left w:val="none" w:sz="0" w:space="0" w:color="auto"/>
                    <w:bottom w:val="none" w:sz="0" w:space="0" w:color="auto"/>
                    <w:right w:val="none" w:sz="0" w:space="0" w:color="auto"/>
                  </w:divBdr>
                  <w:divsChild>
                    <w:div w:id="628901623">
                      <w:marLeft w:val="3735"/>
                      <w:marRight w:val="0"/>
                      <w:marTop w:val="0"/>
                      <w:marBottom w:val="0"/>
                      <w:divBdr>
                        <w:top w:val="none" w:sz="0" w:space="0" w:color="auto"/>
                        <w:left w:val="none" w:sz="0" w:space="0" w:color="auto"/>
                        <w:bottom w:val="none" w:sz="0" w:space="0" w:color="auto"/>
                        <w:right w:val="none" w:sz="0" w:space="0" w:color="auto"/>
                      </w:divBdr>
                      <w:divsChild>
                        <w:div w:id="412120557">
                          <w:marLeft w:val="0"/>
                          <w:marRight w:val="0"/>
                          <w:marTop w:val="0"/>
                          <w:marBottom w:val="0"/>
                          <w:divBdr>
                            <w:top w:val="single" w:sz="6" w:space="0" w:color="E3E3E3"/>
                            <w:left w:val="none" w:sz="0" w:space="0" w:color="auto"/>
                            <w:bottom w:val="none" w:sz="0" w:space="0" w:color="auto"/>
                            <w:right w:val="none" w:sz="0" w:space="0" w:color="auto"/>
                          </w:divBdr>
                          <w:divsChild>
                            <w:div w:id="2106804400">
                              <w:marLeft w:val="0"/>
                              <w:marRight w:val="0"/>
                              <w:marTop w:val="0"/>
                              <w:marBottom w:val="0"/>
                              <w:divBdr>
                                <w:top w:val="none" w:sz="0" w:space="0" w:color="auto"/>
                                <w:left w:val="none" w:sz="0" w:space="0" w:color="auto"/>
                                <w:bottom w:val="none" w:sz="0" w:space="0" w:color="auto"/>
                                <w:right w:val="none" w:sz="0" w:space="0" w:color="auto"/>
                              </w:divBdr>
                              <w:divsChild>
                                <w:div w:id="1665620962">
                                  <w:marLeft w:val="0"/>
                                  <w:marRight w:val="0"/>
                                  <w:marTop w:val="0"/>
                                  <w:marBottom w:val="0"/>
                                  <w:divBdr>
                                    <w:top w:val="none" w:sz="0" w:space="0" w:color="auto"/>
                                    <w:left w:val="none" w:sz="0" w:space="0" w:color="auto"/>
                                    <w:bottom w:val="none" w:sz="0" w:space="0" w:color="auto"/>
                                    <w:right w:val="none" w:sz="0" w:space="0" w:color="auto"/>
                                  </w:divBdr>
                                  <w:divsChild>
                                    <w:div w:id="1110392408">
                                      <w:marLeft w:val="0"/>
                                      <w:marRight w:val="0"/>
                                      <w:marTop w:val="0"/>
                                      <w:marBottom w:val="0"/>
                                      <w:divBdr>
                                        <w:top w:val="none" w:sz="0" w:space="0" w:color="auto"/>
                                        <w:left w:val="none" w:sz="0" w:space="0" w:color="auto"/>
                                        <w:bottom w:val="none" w:sz="0" w:space="0" w:color="auto"/>
                                        <w:right w:val="none" w:sz="0" w:space="0" w:color="auto"/>
                                      </w:divBdr>
                                      <w:divsChild>
                                        <w:div w:id="1708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376065">
      <w:bodyDiv w:val="1"/>
      <w:marLeft w:val="0"/>
      <w:marRight w:val="0"/>
      <w:marTop w:val="0"/>
      <w:marBottom w:val="0"/>
      <w:divBdr>
        <w:top w:val="none" w:sz="0" w:space="0" w:color="auto"/>
        <w:left w:val="none" w:sz="0" w:space="0" w:color="auto"/>
        <w:bottom w:val="none" w:sz="0" w:space="0" w:color="auto"/>
        <w:right w:val="none" w:sz="0" w:space="0" w:color="auto"/>
      </w:divBdr>
    </w:div>
    <w:div w:id="479469520">
      <w:bodyDiv w:val="1"/>
      <w:marLeft w:val="0"/>
      <w:marRight w:val="0"/>
      <w:marTop w:val="0"/>
      <w:marBottom w:val="0"/>
      <w:divBdr>
        <w:top w:val="none" w:sz="0" w:space="0" w:color="auto"/>
        <w:left w:val="none" w:sz="0" w:space="0" w:color="auto"/>
        <w:bottom w:val="none" w:sz="0" w:space="0" w:color="auto"/>
        <w:right w:val="none" w:sz="0" w:space="0" w:color="auto"/>
      </w:divBdr>
    </w:div>
    <w:div w:id="1183397792">
      <w:bodyDiv w:val="1"/>
      <w:marLeft w:val="0"/>
      <w:marRight w:val="0"/>
      <w:marTop w:val="0"/>
      <w:marBottom w:val="0"/>
      <w:divBdr>
        <w:top w:val="none" w:sz="0" w:space="0" w:color="auto"/>
        <w:left w:val="none" w:sz="0" w:space="0" w:color="auto"/>
        <w:bottom w:val="none" w:sz="0" w:space="0" w:color="auto"/>
        <w:right w:val="none" w:sz="0" w:space="0" w:color="auto"/>
      </w:divBdr>
      <w:divsChild>
        <w:div w:id="1966499499">
          <w:marLeft w:val="0"/>
          <w:marRight w:val="0"/>
          <w:marTop w:val="0"/>
          <w:marBottom w:val="0"/>
          <w:divBdr>
            <w:top w:val="none" w:sz="0" w:space="0" w:color="auto"/>
            <w:left w:val="single" w:sz="18" w:space="5" w:color="FFFFFF"/>
            <w:bottom w:val="none" w:sz="0" w:space="0" w:color="auto"/>
            <w:right w:val="single" w:sz="18" w:space="5" w:color="FFFFFF"/>
          </w:divBdr>
          <w:divsChild>
            <w:div w:id="283460652">
              <w:marLeft w:val="300"/>
              <w:marRight w:val="225"/>
              <w:marTop w:val="0"/>
              <w:marBottom w:val="0"/>
              <w:divBdr>
                <w:top w:val="none" w:sz="0" w:space="0" w:color="auto"/>
                <w:left w:val="none" w:sz="0" w:space="0" w:color="auto"/>
                <w:bottom w:val="none" w:sz="0" w:space="0" w:color="auto"/>
                <w:right w:val="none" w:sz="0" w:space="0" w:color="auto"/>
              </w:divBdr>
              <w:divsChild>
                <w:div w:id="1828672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93830992">
      <w:bodyDiv w:val="1"/>
      <w:marLeft w:val="0"/>
      <w:marRight w:val="0"/>
      <w:marTop w:val="0"/>
      <w:marBottom w:val="0"/>
      <w:divBdr>
        <w:top w:val="none" w:sz="0" w:space="0" w:color="auto"/>
        <w:left w:val="none" w:sz="0" w:space="0" w:color="auto"/>
        <w:bottom w:val="none" w:sz="0" w:space="0" w:color="auto"/>
        <w:right w:val="none" w:sz="0" w:space="0" w:color="auto"/>
      </w:divBdr>
      <w:divsChild>
        <w:div w:id="908685595">
          <w:marLeft w:val="0"/>
          <w:marRight w:val="0"/>
          <w:marTop w:val="0"/>
          <w:marBottom w:val="0"/>
          <w:divBdr>
            <w:top w:val="none" w:sz="0" w:space="0" w:color="auto"/>
            <w:left w:val="none" w:sz="0" w:space="0" w:color="auto"/>
            <w:bottom w:val="none" w:sz="0" w:space="0" w:color="auto"/>
            <w:right w:val="none" w:sz="0" w:space="0" w:color="auto"/>
          </w:divBdr>
          <w:divsChild>
            <w:div w:id="1397971248">
              <w:marLeft w:val="0"/>
              <w:marRight w:val="0"/>
              <w:marTop w:val="0"/>
              <w:marBottom w:val="0"/>
              <w:divBdr>
                <w:top w:val="none" w:sz="0" w:space="0" w:color="auto"/>
                <w:left w:val="none" w:sz="0" w:space="0" w:color="auto"/>
                <w:bottom w:val="none" w:sz="0" w:space="0" w:color="auto"/>
                <w:right w:val="none" w:sz="0" w:space="0" w:color="auto"/>
              </w:divBdr>
              <w:divsChild>
                <w:div w:id="1678802481">
                  <w:marLeft w:val="0"/>
                  <w:marRight w:val="0"/>
                  <w:marTop w:val="0"/>
                  <w:marBottom w:val="0"/>
                  <w:divBdr>
                    <w:top w:val="none" w:sz="0" w:space="0" w:color="auto"/>
                    <w:left w:val="none" w:sz="0" w:space="0" w:color="auto"/>
                    <w:bottom w:val="none" w:sz="0" w:space="0" w:color="auto"/>
                    <w:right w:val="none" w:sz="0" w:space="0" w:color="auto"/>
                  </w:divBdr>
                  <w:divsChild>
                    <w:div w:id="2123183417">
                      <w:marLeft w:val="0"/>
                      <w:marRight w:val="0"/>
                      <w:marTop w:val="0"/>
                      <w:marBottom w:val="0"/>
                      <w:divBdr>
                        <w:top w:val="none" w:sz="0" w:space="0" w:color="auto"/>
                        <w:left w:val="none" w:sz="0" w:space="0" w:color="auto"/>
                        <w:bottom w:val="none" w:sz="0" w:space="0" w:color="auto"/>
                        <w:right w:val="none" w:sz="0" w:space="0" w:color="auto"/>
                      </w:divBdr>
                      <w:divsChild>
                        <w:div w:id="291257523">
                          <w:marLeft w:val="0"/>
                          <w:marRight w:val="0"/>
                          <w:marTop w:val="300"/>
                          <w:marBottom w:val="0"/>
                          <w:divBdr>
                            <w:top w:val="none" w:sz="0" w:space="0" w:color="auto"/>
                            <w:left w:val="none" w:sz="0" w:space="0" w:color="auto"/>
                            <w:bottom w:val="none" w:sz="0" w:space="0" w:color="auto"/>
                            <w:right w:val="none" w:sz="0" w:space="0" w:color="auto"/>
                          </w:divBdr>
                          <w:divsChild>
                            <w:div w:id="21068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067494">
      <w:bodyDiv w:val="1"/>
      <w:marLeft w:val="0"/>
      <w:marRight w:val="0"/>
      <w:marTop w:val="0"/>
      <w:marBottom w:val="0"/>
      <w:divBdr>
        <w:top w:val="none" w:sz="0" w:space="0" w:color="auto"/>
        <w:left w:val="none" w:sz="0" w:space="0" w:color="auto"/>
        <w:bottom w:val="none" w:sz="0" w:space="0" w:color="auto"/>
        <w:right w:val="none" w:sz="0" w:space="0" w:color="auto"/>
      </w:divBdr>
      <w:divsChild>
        <w:div w:id="1994406495">
          <w:marLeft w:val="0"/>
          <w:marRight w:val="0"/>
          <w:marTop w:val="0"/>
          <w:marBottom w:val="0"/>
          <w:divBdr>
            <w:top w:val="none" w:sz="0" w:space="0" w:color="auto"/>
            <w:left w:val="single" w:sz="18" w:space="5" w:color="FFFFFF"/>
            <w:bottom w:val="none" w:sz="0" w:space="0" w:color="auto"/>
            <w:right w:val="single" w:sz="18" w:space="5" w:color="FFFFFF"/>
          </w:divBdr>
          <w:divsChild>
            <w:div w:id="344527279">
              <w:marLeft w:val="300"/>
              <w:marRight w:val="225"/>
              <w:marTop w:val="0"/>
              <w:marBottom w:val="0"/>
              <w:divBdr>
                <w:top w:val="none" w:sz="0" w:space="0" w:color="auto"/>
                <w:left w:val="none" w:sz="0" w:space="0" w:color="auto"/>
                <w:bottom w:val="none" w:sz="0" w:space="0" w:color="auto"/>
                <w:right w:val="none" w:sz="0" w:space="0" w:color="auto"/>
              </w:divBdr>
              <w:divsChild>
                <w:div w:id="1911385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65809817">
      <w:bodyDiv w:val="1"/>
      <w:marLeft w:val="0"/>
      <w:marRight w:val="0"/>
      <w:marTop w:val="0"/>
      <w:marBottom w:val="0"/>
      <w:divBdr>
        <w:top w:val="none" w:sz="0" w:space="0" w:color="auto"/>
        <w:left w:val="none" w:sz="0" w:space="0" w:color="auto"/>
        <w:bottom w:val="none" w:sz="0" w:space="0" w:color="auto"/>
        <w:right w:val="none" w:sz="0" w:space="0" w:color="auto"/>
      </w:divBdr>
    </w:div>
    <w:div w:id="1546679949">
      <w:bodyDiv w:val="1"/>
      <w:marLeft w:val="0"/>
      <w:marRight w:val="0"/>
      <w:marTop w:val="0"/>
      <w:marBottom w:val="0"/>
      <w:divBdr>
        <w:top w:val="none" w:sz="0" w:space="0" w:color="auto"/>
        <w:left w:val="none" w:sz="0" w:space="0" w:color="auto"/>
        <w:bottom w:val="none" w:sz="0" w:space="0" w:color="auto"/>
        <w:right w:val="none" w:sz="0" w:space="0" w:color="auto"/>
      </w:divBdr>
      <w:divsChild>
        <w:div w:id="1274022838">
          <w:marLeft w:val="0"/>
          <w:marRight w:val="0"/>
          <w:marTop w:val="0"/>
          <w:marBottom w:val="0"/>
          <w:divBdr>
            <w:top w:val="none" w:sz="0" w:space="0" w:color="auto"/>
            <w:left w:val="single" w:sz="18" w:space="5" w:color="FFFFFF"/>
            <w:bottom w:val="none" w:sz="0" w:space="0" w:color="auto"/>
            <w:right w:val="single" w:sz="18" w:space="5" w:color="FFFFFF"/>
          </w:divBdr>
          <w:divsChild>
            <w:div w:id="90049632">
              <w:marLeft w:val="300"/>
              <w:marRight w:val="225"/>
              <w:marTop w:val="0"/>
              <w:marBottom w:val="0"/>
              <w:divBdr>
                <w:top w:val="none" w:sz="0" w:space="0" w:color="auto"/>
                <w:left w:val="none" w:sz="0" w:space="0" w:color="auto"/>
                <w:bottom w:val="none" w:sz="0" w:space="0" w:color="auto"/>
                <w:right w:val="none" w:sz="0" w:space="0" w:color="auto"/>
              </w:divBdr>
              <w:divsChild>
                <w:div w:id="8748495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3925574">
      <w:bodyDiv w:val="1"/>
      <w:marLeft w:val="0"/>
      <w:marRight w:val="0"/>
      <w:marTop w:val="0"/>
      <w:marBottom w:val="0"/>
      <w:divBdr>
        <w:top w:val="none" w:sz="0" w:space="0" w:color="auto"/>
        <w:left w:val="none" w:sz="0" w:space="0" w:color="auto"/>
        <w:bottom w:val="none" w:sz="0" w:space="0" w:color="auto"/>
        <w:right w:val="none" w:sz="0" w:space="0" w:color="auto"/>
      </w:divBdr>
      <w:divsChild>
        <w:div w:id="629433070">
          <w:marLeft w:val="0"/>
          <w:marRight w:val="0"/>
          <w:marTop w:val="0"/>
          <w:marBottom w:val="0"/>
          <w:divBdr>
            <w:top w:val="none" w:sz="0" w:space="0" w:color="auto"/>
            <w:left w:val="single" w:sz="18" w:space="5" w:color="FFFFFF"/>
            <w:bottom w:val="none" w:sz="0" w:space="0" w:color="auto"/>
            <w:right w:val="single" w:sz="18" w:space="5" w:color="FFFFFF"/>
          </w:divBdr>
          <w:divsChild>
            <w:div w:id="697123742">
              <w:marLeft w:val="300"/>
              <w:marRight w:val="225"/>
              <w:marTop w:val="0"/>
              <w:marBottom w:val="0"/>
              <w:divBdr>
                <w:top w:val="none" w:sz="0" w:space="0" w:color="auto"/>
                <w:left w:val="none" w:sz="0" w:space="0" w:color="auto"/>
                <w:bottom w:val="none" w:sz="0" w:space="0" w:color="auto"/>
                <w:right w:val="none" w:sz="0" w:space="0" w:color="auto"/>
              </w:divBdr>
              <w:divsChild>
                <w:div w:id="901796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7898549">
      <w:bodyDiv w:val="1"/>
      <w:marLeft w:val="0"/>
      <w:marRight w:val="0"/>
      <w:marTop w:val="0"/>
      <w:marBottom w:val="0"/>
      <w:divBdr>
        <w:top w:val="none" w:sz="0" w:space="0" w:color="auto"/>
        <w:left w:val="none" w:sz="0" w:space="0" w:color="auto"/>
        <w:bottom w:val="none" w:sz="0" w:space="0" w:color="auto"/>
        <w:right w:val="none" w:sz="0" w:space="0" w:color="auto"/>
      </w:divBdr>
      <w:divsChild>
        <w:div w:id="69928072">
          <w:marLeft w:val="0"/>
          <w:marRight w:val="0"/>
          <w:marTop w:val="0"/>
          <w:marBottom w:val="0"/>
          <w:divBdr>
            <w:top w:val="none" w:sz="0" w:space="0" w:color="auto"/>
            <w:left w:val="single" w:sz="18" w:space="5" w:color="FFFFFF"/>
            <w:bottom w:val="none" w:sz="0" w:space="0" w:color="auto"/>
            <w:right w:val="single" w:sz="18" w:space="5" w:color="FFFFFF"/>
          </w:divBdr>
          <w:divsChild>
            <w:div w:id="694699183">
              <w:marLeft w:val="300"/>
              <w:marRight w:val="225"/>
              <w:marTop w:val="0"/>
              <w:marBottom w:val="0"/>
              <w:divBdr>
                <w:top w:val="none" w:sz="0" w:space="0" w:color="auto"/>
                <w:left w:val="none" w:sz="0" w:space="0" w:color="auto"/>
                <w:bottom w:val="none" w:sz="0" w:space="0" w:color="auto"/>
                <w:right w:val="none" w:sz="0" w:space="0" w:color="auto"/>
              </w:divBdr>
              <w:divsChild>
                <w:div w:id="13339935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12542372">
      <w:bodyDiv w:val="1"/>
      <w:marLeft w:val="0"/>
      <w:marRight w:val="0"/>
      <w:marTop w:val="0"/>
      <w:marBottom w:val="0"/>
      <w:divBdr>
        <w:top w:val="none" w:sz="0" w:space="0" w:color="auto"/>
        <w:left w:val="none" w:sz="0" w:space="0" w:color="auto"/>
        <w:bottom w:val="none" w:sz="0" w:space="0" w:color="auto"/>
        <w:right w:val="none" w:sz="0" w:space="0" w:color="auto"/>
      </w:divBdr>
    </w:div>
    <w:div w:id="21167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lis.Beihmanis@e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zela.petersone@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25363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E:\Parejie\Pira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eihmanisK\Desktop\Merkis%207_pa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40"/>
      <c:rotY val="0"/>
      <c:depthPercent val="100"/>
      <c:rAngAx val="0"/>
      <c:perspective val="10"/>
    </c:view3D>
    <c:floor>
      <c:thickness val="0"/>
    </c:floor>
    <c:sideWall>
      <c:thickness val="0"/>
    </c:sideWall>
    <c:backWall>
      <c:thickness val="0"/>
    </c:backWall>
    <c:plotArea>
      <c:layout/>
      <c:pie3DChart>
        <c:varyColors val="1"/>
        <c:ser>
          <c:idx val="1"/>
          <c:order val="0"/>
          <c:dPt>
            <c:idx val="0"/>
            <c:bubble3D val="0"/>
            <c:spPr>
              <a:pattFill prst="lgGrid">
                <a:fgClr>
                  <a:schemeClr val="accent1"/>
                </a:fgClr>
                <a:bgClr>
                  <a:schemeClr val="bg1"/>
                </a:bgClr>
              </a:pattFill>
            </c:spPr>
          </c:dPt>
          <c:dPt>
            <c:idx val="1"/>
            <c:bubble3D val="0"/>
            <c:spPr>
              <a:pattFill prst="dashHorz">
                <a:fgClr>
                  <a:schemeClr val="accent1"/>
                </a:fgClr>
                <a:bgClr>
                  <a:schemeClr val="bg1"/>
                </a:bgClr>
              </a:pattFill>
            </c:spPr>
          </c:dPt>
          <c:dPt>
            <c:idx val="2"/>
            <c:bubble3D val="0"/>
            <c:spPr>
              <a:pattFill prst="trellis">
                <a:fgClr>
                  <a:schemeClr val="accent1"/>
                </a:fgClr>
                <a:bgClr>
                  <a:schemeClr val="bg1"/>
                </a:bgClr>
              </a:pattFill>
            </c:spPr>
          </c:dPt>
          <c:dPt>
            <c:idx val="3"/>
            <c:bubble3D val="0"/>
            <c:spPr>
              <a:pattFill prst="pct80">
                <a:fgClr>
                  <a:schemeClr val="accent1"/>
                </a:fgClr>
                <a:bgClr>
                  <a:schemeClr val="bg1"/>
                </a:bgClr>
              </a:pattFill>
            </c:spPr>
          </c:dPt>
          <c:dLbls>
            <c:dLbl>
              <c:idx val="0"/>
              <c:layout/>
              <c:tx>
                <c:rich>
                  <a:bodyPr/>
                  <a:lstStyle/>
                  <a:p>
                    <a:r>
                      <a:rPr lang="lv-LV"/>
                      <a:t>186</a:t>
                    </a:r>
                    <a:r>
                      <a:rPr lang="en-US"/>
                      <a:t>; 7%</a:t>
                    </a:r>
                  </a:p>
                </c:rich>
              </c:tx>
              <c:showLegendKey val="0"/>
              <c:showVal val="0"/>
              <c:showCatName val="0"/>
              <c:showSerName val="1"/>
              <c:showPercent val="1"/>
              <c:showBubbleSize val="0"/>
            </c:dLbl>
            <c:dLbl>
              <c:idx val="1"/>
              <c:layout>
                <c:manualLayout>
                  <c:x val="-2.8966155119327239E-2"/>
                  <c:y val="-1.83191337984802E-2"/>
                </c:manualLayout>
              </c:layout>
              <c:tx>
                <c:rich>
                  <a:bodyPr/>
                  <a:lstStyle/>
                  <a:p>
                    <a:r>
                      <a:rPr lang="lv-LV"/>
                      <a:t>263</a:t>
                    </a:r>
                    <a:r>
                      <a:rPr lang="en-US"/>
                      <a:t>; 11%</a:t>
                    </a:r>
                  </a:p>
                </c:rich>
              </c:tx>
              <c:showLegendKey val="0"/>
              <c:showVal val="0"/>
              <c:showCatName val="0"/>
              <c:showSerName val="1"/>
              <c:showPercent val="1"/>
              <c:showBubbleSize val="0"/>
            </c:dLbl>
            <c:dLbl>
              <c:idx val="2"/>
              <c:layout/>
              <c:tx>
                <c:rich>
                  <a:bodyPr/>
                  <a:lstStyle/>
                  <a:p>
                    <a:r>
                      <a:rPr lang="en-US"/>
                      <a:t>2</a:t>
                    </a:r>
                    <a:r>
                      <a:rPr lang="lv-LV"/>
                      <a:t>7</a:t>
                    </a:r>
                    <a:r>
                      <a:rPr lang="en-US"/>
                      <a:t>; 1%</a:t>
                    </a:r>
                  </a:p>
                </c:rich>
              </c:tx>
              <c:showLegendKey val="0"/>
              <c:showVal val="0"/>
              <c:showCatName val="0"/>
              <c:showSerName val="1"/>
              <c:showPercent val="1"/>
              <c:showBubbleSize val="0"/>
            </c:dLbl>
            <c:dLbl>
              <c:idx val="3"/>
              <c:layout/>
              <c:tx>
                <c:rich>
                  <a:bodyPr/>
                  <a:lstStyle/>
                  <a:p>
                    <a:r>
                      <a:rPr lang="lv-LV"/>
                      <a:t>1998</a:t>
                    </a:r>
                    <a:r>
                      <a:rPr lang="en-US"/>
                      <a:t>; 81%</a:t>
                    </a:r>
                  </a:p>
                </c:rich>
              </c:tx>
              <c:dLblPos val="bestFit"/>
              <c:showLegendKey val="0"/>
              <c:showVal val="0"/>
              <c:showCatName val="0"/>
              <c:showSerName val="1"/>
              <c:showPercent val="1"/>
              <c:showBubbleSize val="0"/>
            </c:dLbl>
            <c:txPr>
              <a:bodyPr/>
              <a:lstStyle/>
              <a:p>
                <a:pPr>
                  <a:defRPr sz="1400" b="1"/>
                </a:pPr>
                <a:endParaRPr lang="lv-LV"/>
              </a:p>
            </c:txPr>
            <c:showLegendKey val="0"/>
            <c:showVal val="0"/>
            <c:showCatName val="0"/>
            <c:showSerName val="1"/>
            <c:showPercent val="1"/>
            <c:showBubbleSize val="0"/>
            <c:showLeaderLines val="1"/>
          </c:dLbls>
          <c:cat>
            <c:strRef>
              <c:f>Sheet1!$D$3:$D$6</c:f>
              <c:strCache>
                <c:ptCount val="4"/>
                <c:pt idx="0">
                  <c:v>Publisko ēku energoefektivitātes pasākumi</c:v>
                </c:pt>
                <c:pt idx="1">
                  <c:v>Daudzdzīvokļu ēku renovācija energoefektivitātes paaugstināšanai</c:v>
                </c:pt>
                <c:pt idx="2">
                  <c:v>Energoefektivitātes uzlabošana apstrādes rūpniecības komersantiem</c:v>
                </c:pt>
                <c:pt idx="3">
                  <c:v>Energoefektivitātes pienākumu shēma enerģijas mazumtirdzniecības uzņēmumiem vai papildu alternatīvie pasākumi</c:v>
                </c:pt>
              </c:strCache>
            </c:strRef>
          </c:cat>
          <c:val>
            <c:numRef>
              <c:f>Sheet1!$C$3:$C$6</c:f>
              <c:numCache>
                <c:formatCode>General</c:formatCode>
                <c:ptCount val="4"/>
                <c:pt idx="0">
                  <c:v>1.6013775000000001E-2</c:v>
                </c:pt>
                <c:pt idx="1">
                  <c:v>2.2569750000000003E-2</c:v>
                </c:pt>
                <c:pt idx="2">
                  <c:v>2.3429550000000003E-3</c:v>
                </c:pt>
                <c:pt idx="3">
                  <c:v>0.17180756008927855</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lv-LV" sz="1200" b="1" i="0" u="none" strike="noStrike" baseline="0">
                <a:effectLst/>
              </a:rPr>
              <a:t>Latvijas obligātā kumulatīvā enerģijas ietaupījuma mērķa aprēķins pa soļiem</a:t>
            </a:r>
            <a:endParaRPr lang="lv-LV"/>
          </a:p>
        </c:rich>
      </c:tx>
      <c:layout>
        <c:manualLayout>
          <c:xMode val="edge"/>
          <c:yMode val="edge"/>
          <c:x val="0.11579124896571043"/>
          <c:y val="8.0977745834770284E-2"/>
        </c:manualLayout>
      </c:layout>
      <c:overlay val="0"/>
      <c:spPr>
        <a:noFill/>
        <a:ln w="25400">
          <a:noFill/>
        </a:ln>
      </c:spPr>
    </c:title>
    <c:autoTitleDeleted val="0"/>
    <c:plotArea>
      <c:layout>
        <c:manualLayout>
          <c:layoutTarget val="inner"/>
          <c:xMode val="edge"/>
          <c:yMode val="edge"/>
          <c:x val="8.1926966137248827E-2"/>
          <c:y val="0.32119463627959277"/>
          <c:w val="0.89012445007330088"/>
          <c:h val="0.29340054889163886"/>
        </c:manualLayout>
      </c:layout>
      <c:barChart>
        <c:barDir val="col"/>
        <c:grouping val="clustered"/>
        <c:varyColors val="0"/>
        <c:ser>
          <c:idx val="0"/>
          <c:order val="0"/>
          <c:spPr>
            <a:solidFill>
              <a:srgbClr val="9999FF"/>
            </a:solidFill>
            <a:ln w="12700">
              <a:solidFill>
                <a:srgbClr val="000000"/>
              </a:solidFill>
              <a:prstDash val="solid"/>
            </a:ln>
          </c:spPr>
          <c:invertIfNegative val="0"/>
          <c:dLbls>
            <c:showLegendKey val="0"/>
            <c:showVal val="1"/>
            <c:showCatName val="0"/>
            <c:showSerName val="0"/>
            <c:showPercent val="0"/>
            <c:showBubbleSize val="0"/>
            <c:showLeaderLines val="0"/>
          </c:dLbls>
          <c:cat>
            <c:strRef>
              <c:f>'Sheet1 (2)'!$B$5:$B$8</c:f>
              <c:strCache>
                <c:ptCount val="4"/>
                <c:pt idx="0">
                  <c:v>Kopējais enerģijas gala patēriņš</c:v>
                </c:pt>
                <c:pt idx="1">
                  <c:v>Enerģijas gala patēriņš bez transporta sektora</c:v>
                </c:pt>
                <c:pt idx="2">
                  <c:v>Enerģijas gala patēriņš bez transporta sektora un pašsagatavotās koksnes mājsaimniecībās</c:v>
                </c:pt>
                <c:pt idx="3">
                  <c:v>Samazināta likme un 60% no rūpniecības ETS izskatīti no patēriņa</c:v>
                </c:pt>
              </c:strCache>
            </c:strRef>
          </c:cat>
          <c:val>
            <c:numRef>
              <c:f>'Sheet1 (2)'!$C$5:$C$8</c:f>
              <c:numCache>
                <c:formatCode>0</c:formatCode>
                <c:ptCount val="4"/>
                <c:pt idx="0">
                  <c:v>19391.152883692797</c:v>
                </c:pt>
                <c:pt idx="1">
                  <c:v>13971.342044620798</c:v>
                </c:pt>
                <c:pt idx="2">
                  <c:v>13194.044043532798</c:v>
                </c:pt>
                <c:pt idx="3">
                  <c:v>9896.9081223204703</c:v>
                </c:pt>
              </c:numCache>
            </c:numRef>
          </c:val>
        </c:ser>
        <c:dLbls>
          <c:showLegendKey val="0"/>
          <c:showVal val="0"/>
          <c:showCatName val="0"/>
          <c:showSerName val="0"/>
          <c:showPercent val="0"/>
          <c:showBubbleSize val="0"/>
        </c:dLbls>
        <c:gapWidth val="150"/>
        <c:axId val="279310336"/>
        <c:axId val="279312256"/>
      </c:barChart>
      <c:catAx>
        <c:axId val="27931033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lv-LV"/>
                  <a:t>GWh</a:t>
                </a:r>
              </a:p>
            </c:rich>
          </c:tx>
          <c:layout>
            <c:manualLayout>
              <c:xMode val="edge"/>
              <c:yMode val="edge"/>
              <c:x val="1.2141223625403206E-2"/>
              <c:y val="0.2084521777435163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lv-LV"/>
          </a:p>
        </c:txPr>
        <c:crossAx val="279312256"/>
        <c:crosses val="autoZero"/>
        <c:auto val="1"/>
        <c:lblAlgn val="ctr"/>
        <c:lblOffset val="100"/>
        <c:tickLblSkip val="1"/>
        <c:tickMarkSkip val="1"/>
        <c:noMultiLvlLbl val="0"/>
      </c:catAx>
      <c:valAx>
        <c:axId val="27931225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lv-LV"/>
          </a:p>
        </c:txPr>
        <c:crossAx val="279310336"/>
        <c:crosses val="autoZero"/>
        <c:crossBetween val="between"/>
      </c:valAx>
      <c:spPr>
        <a:solidFill>
          <a:srgbClr val="FFFFCC"/>
        </a:solidFill>
        <a:ln w="12700">
          <a:solidFill>
            <a:srgbClr val="808080"/>
          </a:solidFill>
          <a:prstDash val="solid"/>
        </a:ln>
      </c:spPr>
    </c:plotArea>
    <c:plotVisOnly val="1"/>
    <c:dispBlanksAs val="gap"/>
    <c:showDLblsOverMax val="0"/>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F464-928D-4948-9137-E819374C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39</Pages>
  <Words>11483</Words>
  <Characters>80843</Characters>
  <Application>Microsoft Office Word</Application>
  <DocSecurity>0</DocSecurity>
  <Lines>2072</Lines>
  <Paragraphs>607</Paragraphs>
  <ScaleCrop>false</ScaleCrop>
  <HeadingPairs>
    <vt:vector size="2" baseType="variant">
      <vt:variant>
        <vt:lpstr>Title</vt:lpstr>
      </vt:variant>
      <vt:variant>
        <vt:i4>1</vt:i4>
      </vt:variant>
    </vt:vector>
  </HeadingPairs>
  <TitlesOfParts>
    <vt:vector size="1" baseType="lpstr">
      <vt:lpstr>EMKonc_06092013_VSS_665; Koncepcija par Direktīvas 2012/27/ES par energoefektivitāti  prasību pārņemšanu normatīvajos aktos</vt:lpstr>
    </vt:vector>
  </TitlesOfParts>
  <Company>EM</Company>
  <LinksUpToDate>false</LinksUpToDate>
  <CharactersWithSpaces>91719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EMKonc_06092013_VSS_665; Koncepcija par Direktīvas 2012/27/ES par energoefektivitāti  prasību pārņemšanu normatīvajos aktos</dc:title>
  <dc:creator>Kārlis Beihmanis</dc:creator>
  <cp:lastModifiedBy>Kārlis Beihmanis</cp:lastModifiedBy>
  <cp:revision>18</cp:revision>
  <cp:lastPrinted>2013-11-19T15:04:00Z</cp:lastPrinted>
  <dcterms:created xsi:type="dcterms:W3CDTF">2013-11-13T14:04:00Z</dcterms:created>
  <dcterms:modified xsi:type="dcterms:W3CDTF">2013-11-19T15:18:00Z</dcterms:modified>
</cp:coreProperties>
</file>