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0" w:rsidRDefault="006A6320"/>
    <w:p w:rsidR="006A6320" w:rsidRDefault="006A6320"/>
    <w:p w:rsidR="006A6320" w:rsidRDefault="006A6320" w:rsidP="006A6320">
      <w:pPr>
        <w:spacing w:after="120"/>
        <w:rPr>
          <w:sz w:val="28"/>
        </w:rPr>
      </w:pPr>
    </w:p>
    <w:tbl>
      <w:tblPr>
        <w:tblW w:w="9288" w:type="dxa"/>
        <w:tblLayout w:type="fixed"/>
        <w:tblLook w:val="0000"/>
      </w:tblPr>
      <w:tblGrid>
        <w:gridCol w:w="3652"/>
        <w:gridCol w:w="2835"/>
        <w:gridCol w:w="2801"/>
      </w:tblGrid>
      <w:tr w:rsidR="006A6320" w:rsidTr="00B777FB">
        <w:tc>
          <w:tcPr>
            <w:tcW w:w="3652" w:type="dxa"/>
          </w:tcPr>
          <w:p w:rsidR="006A6320" w:rsidRDefault="006A6320" w:rsidP="00B777FB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2011.gada ____ . ________</w:t>
            </w:r>
          </w:p>
          <w:p w:rsidR="006A6320" w:rsidRDefault="006A6320" w:rsidP="00B777FB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Rīgā</w:t>
            </w:r>
          </w:p>
        </w:tc>
        <w:tc>
          <w:tcPr>
            <w:tcW w:w="2835" w:type="dxa"/>
          </w:tcPr>
          <w:p w:rsidR="006A6320" w:rsidRDefault="006A6320" w:rsidP="00B777FB">
            <w:pPr>
              <w:spacing w:after="120"/>
              <w:rPr>
                <w:sz w:val="28"/>
              </w:rPr>
            </w:pPr>
          </w:p>
        </w:tc>
        <w:tc>
          <w:tcPr>
            <w:tcW w:w="2801" w:type="dxa"/>
          </w:tcPr>
          <w:p w:rsidR="006A6320" w:rsidRDefault="006A6320" w:rsidP="00B777FB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Noteikumi Nr._____</w:t>
            </w:r>
          </w:p>
          <w:p w:rsidR="006A6320" w:rsidRDefault="006A6320" w:rsidP="00B777FB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(prot. Nr.__     ___. §)</w:t>
            </w:r>
          </w:p>
        </w:tc>
      </w:tr>
    </w:tbl>
    <w:p w:rsidR="006A6320" w:rsidRPr="00077170" w:rsidRDefault="006A6320" w:rsidP="006A6320">
      <w:pPr>
        <w:ind w:left="-540" w:right="-694" w:firstLine="540"/>
        <w:jc w:val="right"/>
        <w:rPr>
          <w:sz w:val="28"/>
          <w:szCs w:val="28"/>
        </w:rPr>
      </w:pPr>
    </w:p>
    <w:p w:rsidR="006A6320" w:rsidRDefault="006A6320" w:rsidP="006A6320">
      <w:pPr>
        <w:ind w:left="-540" w:right="-694" w:firstLine="540"/>
        <w:jc w:val="center"/>
        <w:rPr>
          <w:b/>
          <w:sz w:val="28"/>
          <w:szCs w:val="28"/>
        </w:rPr>
      </w:pPr>
      <w:bookmarkStart w:id="0" w:name="OLE_LINK1"/>
      <w:bookmarkStart w:id="1" w:name="OLE_LINK2"/>
    </w:p>
    <w:p w:rsidR="006A6320" w:rsidRDefault="006A6320" w:rsidP="006A6320">
      <w:pPr>
        <w:ind w:left="-540" w:right="-694" w:firstLine="540"/>
        <w:jc w:val="center"/>
        <w:rPr>
          <w:sz w:val="28"/>
        </w:rPr>
      </w:pPr>
      <w:bookmarkStart w:id="2" w:name="OLE_LINK3"/>
      <w:bookmarkStart w:id="3" w:name="OLE_LINK4"/>
      <w:r w:rsidRPr="00077170">
        <w:rPr>
          <w:b/>
          <w:sz w:val="28"/>
          <w:szCs w:val="28"/>
        </w:rPr>
        <w:t>Grozījum</w:t>
      </w:r>
      <w:r w:rsidR="00A976FD">
        <w:rPr>
          <w:b/>
          <w:sz w:val="28"/>
          <w:szCs w:val="28"/>
        </w:rPr>
        <w:t>i</w:t>
      </w:r>
      <w:r w:rsidRPr="00077170">
        <w:rPr>
          <w:b/>
          <w:sz w:val="28"/>
          <w:szCs w:val="28"/>
        </w:rPr>
        <w:t xml:space="preserve"> Ministru kabineta 200</w:t>
      </w:r>
      <w:r>
        <w:rPr>
          <w:b/>
          <w:sz w:val="28"/>
          <w:szCs w:val="28"/>
        </w:rPr>
        <w:t>6</w:t>
      </w:r>
      <w:r w:rsidRPr="000771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gada 5.decembra </w:t>
      </w:r>
      <w:r w:rsidRPr="00077170">
        <w:rPr>
          <w:b/>
          <w:sz w:val="28"/>
          <w:szCs w:val="28"/>
        </w:rPr>
        <w:t>noteikumos Nr.</w:t>
      </w:r>
      <w:r>
        <w:rPr>
          <w:b/>
          <w:sz w:val="28"/>
          <w:szCs w:val="28"/>
        </w:rPr>
        <w:t>982</w:t>
      </w:r>
      <w:r w:rsidRPr="00077170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Enerģētikas infrastruktūras objektu aizsargjoslu noteikšanas metodika</w:t>
      </w:r>
      <w:r w:rsidRPr="00077170">
        <w:rPr>
          <w:b/>
          <w:sz w:val="28"/>
          <w:szCs w:val="28"/>
        </w:rPr>
        <w:t>”</w:t>
      </w:r>
      <w:bookmarkEnd w:id="0"/>
      <w:bookmarkEnd w:id="1"/>
    </w:p>
    <w:bookmarkEnd w:id="2"/>
    <w:bookmarkEnd w:id="3"/>
    <w:p w:rsidR="006A6320" w:rsidRDefault="006A6320" w:rsidP="006A6320">
      <w:pPr>
        <w:ind w:left="-151" w:right="-625" w:firstLine="151"/>
        <w:jc w:val="right"/>
        <w:rPr>
          <w:sz w:val="28"/>
        </w:rPr>
      </w:pPr>
      <w:r>
        <w:rPr>
          <w:sz w:val="28"/>
        </w:rPr>
        <w:t xml:space="preserve">  </w:t>
      </w:r>
    </w:p>
    <w:p w:rsidR="006A6320" w:rsidRDefault="006A6320" w:rsidP="006A6320">
      <w:pPr>
        <w:ind w:left="-151" w:right="-625" w:firstLine="151"/>
        <w:jc w:val="right"/>
        <w:rPr>
          <w:sz w:val="28"/>
        </w:rPr>
      </w:pPr>
    </w:p>
    <w:p w:rsidR="006A6320" w:rsidRPr="00DD5347" w:rsidRDefault="006A6320" w:rsidP="006A6320">
      <w:pPr>
        <w:ind w:left="-151" w:right="-625" w:firstLine="151"/>
        <w:jc w:val="right"/>
        <w:rPr>
          <w:sz w:val="28"/>
        </w:rPr>
      </w:pPr>
      <w:r>
        <w:rPr>
          <w:sz w:val="28"/>
        </w:rPr>
        <w:t>I</w:t>
      </w:r>
      <w:r w:rsidRPr="00DD5347">
        <w:rPr>
          <w:sz w:val="28"/>
        </w:rPr>
        <w:t xml:space="preserve">zdoti saskaņā ar Aizsargjoslu likuma </w:t>
      </w:r>
    </w:p>
    <w:p w:rsidR="006A6320" w:rsidRPr="00077170" w:rsidRDefault="006A6320" w:rsidP="006A6320">
      <w:pPr>
        <w:ind w:left="-540" w:right="-694" w:firstLine="540"/>
        <w:jc w:val="right"/>
        <w:rPr>
          <w:b/>
          <w:sz w:val="28"/>
          <w:szCs w:val="28"/>
        </w:rPr>
      </w:pPr>
      <w:r>
        <w:rPr>
          <w:sz w:val="28"/>
        </w:rPr>
        <w:t>59</w:t>
      </w:r>
      <w:r w:rsidRPr="00DD5347">
        <w:rPr>
          <w:sz w:val="28"/>
        </w:rPr>
        <w:t>.pant</w:t>
      </w:r>
      <w:r>
        <w:rPr>
          <w:sz w:val="28"/>
        </w:rPr>
        <w:t>a pirmo daļu</w:t>
      </w:r>
    </w:p>
    <w:p w:rsidR="006A6320" w:rsidRDefault="006A6320" w:rsidP="006A6320">
      <w:pPr>
        <w:ind w:left="-540" w:right="-694" w:firstLine="540"/>
        <w:jc w:val="both"/>
        <w:rPr>
          <w:sz w:val="28"/>
          <w:szCs w:val="28"/>
        </w:rPr>
      </w:pPr>
    </w:p>
    <w:p w:rsidR="006A6320" w:rsidRDefault="006A6320" w:rsidP="006A6320">
      <w:pPr>
        <w:ind w:left="-540" w:right="-694" w:firstLine="540"/>
        <w:jc w:val="both"/>
        <w:rPr>
          <w:sz w:val="28"/>
          <w:szCs w:val="28"/>
        </w:rPr>
      </w:pPr>
    </w:p>
    <w:p w:rsidR="00117557" w:rsidRDefault="006A6320" w:rsidP="00117557">
      <w:pPr>
        <w:ind w:left="-540" w:right="-694" w:firstLine="540"/>
        <w:jc w:val="both"/>
        <w:rPr>
          <w:sz w:val="28"/>
          <w:szCs w:val="28"/>
        </w:rPr>
      </w:pPr>
      <w:r w:rsidRPr="00117557">
        <w:rPr>
          <w:sz w:val="28"/>
          <w:szCs w:val="28"/>
        </w:rPr>
        <w:t>Izdarīt Ministru kabineta 2006.gada 5.decembra noteikumos Nr.982 „Enerģētikas infrastruktūras objektu aizsargjoslu noteikšanas metodika” ( Latvijas Vēstnesis, 2006, 195.nr.) šādu</w:t>
      </w:r>
      <w:r w:rsidR="00383014" w:rsidRPr="00117557">
        <w:rPr>
          <w:sz w:val="28"/>
          <w:szCs w:val="28"/>
        </w:rPr>
        <w:t>s</w:t>
      </w:r>
      <w:r w:rsidRPr="00117557">
        <w:rPr>
          <w:sz w:val="28"/>
          <w:szCs w:val="28"/>
        </w:rPr>
        <w:t xml:space="preserve"> grozījumu</w:t>
      </w:r>
      <w:r w:rsidR="00383014" w:rsidRPr="00117557">
        <w:rPr>
          <w:sz w:val="28"/>
          <w:szCs w:val="28"/>
        </w:rPr>
        <w:t>s</w:t>
      </w:r>
      <w:r w:rsidRPr="00117557">
        <w:rPr>
          <w:sz w:val="28"/>
          <w:szCs w:val="28"/>
        </w:rPr>
        <w:t>:</w:t>
      </w:r>
    </w:p>
    <w:p w:rsidR="00177140" w:rsidRPr="009E4107" w:rsidRDefault="00177140" w:rsidP="002D60BC">
      <w:pPr>
        <w:pStyle w:val="ListParagraph"/>
        <w:numPr>
          <w:ilvl w:val="0"/>
          <w:numId w:val="2"/>
        </w:numPr>
        <w:ind w:left="714" w:right="-692" w:hanging="357"/>
        <w:jc w:val="both"/>
        <w:rPr>
          <w:sz w:val="28"/>
          <w:szCs w:val="28"/>
        </w:rPr>
      </w:pPr>
      <w:r w:rsidRPr="0029187F">
        <w:rPr>
          <w:sz w:val="28"/>
        </w:rPr>
        <w:t xml:space="preserve">Aizstāt visā </w:t>
      </w:r>
      <w:r w:rsidR="0029187F" w:rsidRPr="0029187F">
        <w:rPr>
          <w:sz w:val="28"/>
        </w:rPr>
        <w:t xml:space="preserve">metodikā </w:t>
      </w:r>
      <w:r w:rsidRPr="0029187F">
        <w:rPr>
          <w:sz w:val="28"/>
        </w:rPr>
        <w:t>vārdus „vēja ģenerators” (attiecīgā locījumā) ar vārdiem „vēja elektrostacija” (attiecīgā locījumā);</w:t>
      </w:r>
    </w:p>
    <w:p w:rsidR="009E4107" w:rsidRPr="009E4107" w:rsidRDefault="009E4107" w:rsidP="002D60BC">
      <w:pPr>
        <w:ind w:left="357" w:right="-692"/>
        <w:jc w:val="both"/>
        <w:rPr>
          <w:sz w:val="28"/>
          <w:szCs w:val="28"/>
        </w:rPr>
      </w:pPr>
    </w:p>
    <w:p w:rsidR="00117557" w:rsidRPr="00117557" w:rsidRDefault="00117557" w:rsidP="002D60BC">
      <w:pPr>
        <w:pStyle w:val="ListParagraph"/>
        <w:numPr>
          <w:ilvl w:val="0"/>
          <w:numId w:val="2"/>
        </w:numPr>
        <w:ind w:left="714" w:right="-692" w:hanging="357"/>
        <w:jc w:val="both"/>
        <w:rPr>
          <w:sz w:val="28"/>
          <w:szCs w:val="28"/>
        </w:rPr>
      </w:pPr>
      <w:r w:rsidRPr="00117557">
        <w:rPr>
          <w:sz w:val="28"/>
          <w:szCs w:val="28"/>
        </w:rPr>
        <w:t>Izteikt 2.5.punktu šādā redakcijā:</w:t>
      </w:r>
    </w:p>
    <w:p w:rsidR="00117557" w:rsidRDefault="0029187F" w:rsidP="002D60BC">
      <w:pPr>
        <w:ind w:right="-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7557" w:rsidRPr="00A976FD">
        <w:rPr>
          <w:sz w:val="28"/>
          <w:szCs w:val="28"/>
        </w:rPr>
        <w:t>„2.5. drošības aizsargjoslas ap vēja elektrostacijām</w:t>
      </w:r>
      <w:r w:rsidR="00A976FD" w:rsidRPr="00A976FD">
        <w:rPr>
          <w:sz w:val="28"/>
          <w:szCs w:val="28"/>
        </w:rPr>
        <w:t>.</w:t>
      </w:r>
      <w:r w:rsidR="00117557" w:rsidRPr="00A976FD">
        <w:rPr>
          <w:sz w:val="28"/>
          <w:szCs w:val="28"/>
        </w:rPr>
        <w:t>”</w:t>
      </w:r>
    </w:p>
    <w:p w:rsidR="009E4107" w:rsidRDefault="009E4107" w:rsidP="002D60BC">
      <w:pPr>
        <w:ind w:right="-692"/>
        <w:jc w:val="both"/>
        <w:rPr>
          <w:sz w:val="28"/>
          <w:szCs w:val="28"/>
        </w:rPr>
      </w:pPr>
    </w:p>
    <w:p w:rsidR="00383014" w:rsidRPr="00FF616B" w:rsidRDefault="00117557" w:rsidP="002D60BC">
      <w:pPr>
        <w:pStyle w:val="ListParagraph"/>
        <w:numPr>
          <w:ilvl w:val="0"/>
          <w:numId w:val="2"/>
        </w:numPr>
        <w:ind w:right="-692"/>
        <w:jc w:val="both"/>
        <w:rPr>
          <w:sz w:val="28"/>
          <w:szCs w:val="28"/>
        </w:rPr>
      </w:pPr>
      <w:r w:rsidRPr="00FF616B">
        <w:rPr>
          <w:sz w:val="28"/>
          <w:szCs w:val="28"/>
        </w:rPr>
        <w:t xml:space="preserve">Papildināt noteikumus ar </w:t>
      </w:r>
      <w:r w:rsidR="00E75A9B" w:rsidRPr="00FF616B">
        <w:rPr>
          <w:sz w:val="28"/>
          <w:szCs w:val="28"/>
        </w:rPr>
        <w:t>7</w:t>
      </w:r>
      <w:r w:rsidR="007F1EF3" w:rsidRPr="00FF616B">
        <w:rPr>
          <w:sz w:val="28"/>
          <w:szCs w:val="28"/>
        </w:rPr>
        <w:t>8</w:t>
      </w:r>
      <w:r w:rsidR="00E75A9B" w:rsidRPr="00FF616B">
        <w:rPr>
          <w:sz w:val="28"/>
          <w:szCs w:val="28"/>
        </w:rPr>
        <w:t>.¹ un 7</w:t>
      </w:r>
      <w:r w:rsidR="007F1EF3" w:rsidRPr="00FF616B">
        <w:rPr>
          <w:sz w:val="28"/>
          <w:szCs w:val="28"/>
        </w:rPr>
        <w:t>8</w:t>
      </w:r>
      <w:r w:rsidR="00E75A9B" w:rsidRPr="00FF616B">
        <w:rPr>
          <w:sz w:val="28"/>
          <w:szCs w:val="28"/>
        </w:rPr>
        <w:t>.² punkt</w:t>
      </w:r>
      <w:r w:rsidR="00196673" w:rsidRPr="00FF616B">
        <w:rPr>
          <w:sz w:val="28"/>
          <w:szCs w:val="28"/>
        </w:rPr>
        <w:t>iem šādā redakcijā:</w:t>
      </w:r>
    </w:p>
    <w:p w:rsidR="00A544CB" w:rsidRPr="00FF616B" w:rsidRDefault="005F2DF2" w:rsidP="00A544CB">
      <w:pPr>
        <w:ind w:left="567"/>
        <w:jc w:val="both"/>
        <w:rPr>
          <w:sz w:val="28"/>
          <w:szCs w:val="28"/>
        </w:rPr>
      </w:pPr>
      <w:r w:rsidRPr="00FF616B">
        <w:rPr>
          <w:sz w:val="28"/>
          <w:szCs w:val="28"/>
        </w:rPr>
        <w:t>„</w:t>
      </w:r>
      <w:r w:rsidR="0084582D" w:rsidRPr="00FF616B">
        <w:rPr>
          <w:sz w:val="28"/>
          <w:szCs w:val="28"/>
        </w:rPr>
        <w:t>7</w:t>
      </w:r>
      <w:r w:rsidR="00FF616B">
        <w:rPr>
          <w:sz w:val="28"/>
          <w:szCs w:val="28"/>
        </w:rPr>
        <w:t>8</w:t>
      </w:r>
      <w:r w:rsidR="0084582D" w:rsidRPr="003E21F0">
        <w:rPr>
          <w:sz w:val="28"/>
          <w:szCs w:val="28"/>
        </w:rPr>
        <w:t>.¹</w:t>
      </w:r>
      <w:r w:rsidR="00A544CB" w:rsidRPr="003E21F0">
        <w:rPr>
          <w:sz w:val="28"/>
          <w:szCs w:val="28"/>
        </w:rPr>
        <w:t xml:space="preserve"> </w:t>
      </w:r>
      <w:r w:rsidR="00A570EA" w:rsidRPr="003E21F0">
        <w:rPr>
          <w:sz w:val="28"/>
          <w:szCs w:val="28"/>
        </w:rPr>
        <w:t>V</w:t>
      </w:r>
      <w:r w:rsidRPr="003E21F0">
        <w:rPr>
          <w:sz w:val="28"/>
          <w:szCs w:val="28"/>
        </w:rPr>
        <w:t>ēja elektrostacijas blīvi apdzīvotās teritorijās</w:t>
      </w:r>
      <w:r w:rsidR="001A07E4" w:rsidRPr="003E21F0">
        <w:rPr>
          <w:sz w:val="28"/>
          <w:szCs w:val="28"/>
        </w:rPr>
        <w:t xml:space="preserve"> pie </w:t>
      </w:r>
      <w:proofErr w:type="spellStart"/>
      <w:r w:rsidR="006B03BA" w:rsidRPr="003E21F0">
        <w:rPr>
          <w:sz w:val="28"/>
          <w:szCs w:val="28"/>
        </w:rPr>
        <w:t>mazstāvu</w:t>
      </w:r>
      <w:proofErr w:type="spellEnd"/>
      <w:r w:rsidR="006B03BA" w:rsidRPr="003E21F0">
        <w:rPr>
          <w:sz w:val="28"/>
          <w:szCs w:val="28"/>
        </w:rPr>
        <w:t xml:space="preserve"> dzīvojamām mājām un palīgēkām </w:t>
      </w:r>
      <w:r w:rsidR="0084582D" w:rsidRPr="003E21F0">
        <w:rPr>
          <w:sz w:val="28"/>
          <w:szCs w:val="28"/>
        </w:rPr>
        <w:t xml:space="preserve">atļauts </w:t>
      </w:r>
      <w:r w:rsidRPr="003E21F0">
        <w:rPr>
          <w:sz w:val="28"/>
          <w:szCs w:val="28"/>
        </w:rPr>
        <w:t>būvēt</w:t>
      </w:r>
      <w:r w:rsidR="001A07E4" w:rsidRPr="003E21F0">
        <w:rPr>
          <w:sz w:val="28"/>
          <w:szCs w:val="28"/>
        </w:rPr>
        <w:t xml:space="preserve"> tā</w:t>
      </w:r>
      <w:r w:rsidRPr="003E21F0">
        <w:rPr>
          <w:sz w:val="28"/>
          <w:szCs w:val="28"/>
        </w:rPr>
        <w:t xml:space="preserve">, </w:t>
      </w:r>
      <w:r w:rsidR="001A07E4" w:rsidRPr="003E21F0">
        <w:rPr>
          <w:sz w:val="28"/>
          <w:szCs w:val="28"/>
        </w:rPr>
        <w:t>lai vēja elektrostacijas</w:t>
      </w:r>
      <w:r w:rsidR="00252937">
        <w:rPr>
          <w:sz w:val="28"/>
          <w:szCs w:val="28"/>
        </w:rPr>
        <w:t xml:space="preserve"> </w:t>
      </w:r>
      <w:r w:rsidR="001A07E4" w:rsidRPr="003E21F0">
        <w:rPr>
          <w:sz w:val="28"/>
          <w:szCs w:val="28"/>
        </w:rPr>
        <w:t>augstums</w:t>
      </w:r>
      <w:r w:rsidR="00252937">
        <w:rPr>
          <w:sz w:val="28"/>
          <w:szCs w:val="28"/>
        </w:rPr>
        <w:t xml:space="preserve"> </w:t>
      </w:r>
      <w:r w:rsidRPr="003E21F0">
        <w:rPr>
          <w:sz w:val="28"/>
          <w:szCs w:val="28"/>
        </w:rPr>
        <w:t xml:space="preserve">nepārsniedz </w:t>
      </w:r>
      <w:r w:rsidR="001A07E4" w:rsidRPr="003E21F0">
        <w:rPr>
          <w:sz w:val="28"/>
          <w:szCs w:val="28"/>
        </w:rPr>
        <w:t xml:space="preserve">attālumu līdz </w:t>
      </w:r>
      <w:r w:rsidR="00F817A3" w:rsidRPr="003E21F0">
        <w:rPr>
          <w:sz w:val="28"/>
          <w:szCs w:val="28"/>
        </w:rPr>
        <w:t>vēja elektrostacijas īpašnieka</w:t>
      </w:r>
      <w:r w:rsidR="00EB42B3" w:rsidRPr="003E21F0">
        <w:rPr>
          <w:sz w:val="28"/>
          <w:szCs w:val="28"/>
        </w:rPr>
        <w:t xml:space="preserve"> </w:t>
      </w:r>
      <w:r w:rsidRPr="003E21F0">
        <w:rPr>
          <w:sz w:val="28"/>
          <w:szCs w:val="28"/>
        </w:rPr>
        <w:t xml:space="preserve"> īpašuma robež</w:t>
      </w:r>
      <w:r w:rsidR="001A07E4" w:rsidRPr="003E21F0">
        <w:rPr>
          <w:sz w:val="28"/>
          <w:szCs w:val="28"/>
        </w:rPr>
        <w:t>ām</w:t>
      </w:r>
      <w:r w:rsidRPr="003E21F0">
        <w:rPr>
          <w:sz w:val="28"/>
          <w:szCs w:val="28"/>
        </w:rPr>
        <w:t>.</w:t>
      </w:r>
      <w:r w:rsidR="00A570EA" w:rsidRPr="00FF616B">
        <w:rPr>
          <w:sz w:val="28"/>
          <w:szCs w:val="28"/>
        </w:rPr>
        <w:t xml:space="preserve"> </w:t>
      </w:r>
    </w:p>
    <w:p w:rsidR="00EB42B3" w:rsidRDefault="00A570EA" w:rsidP="00A544CB">
      <w:pPr>
        <w:ind w:left="426"/>
        <w:jc w:val="both"/>
        <w:rPr>
          <w:sz w:val="28"/>
          <w:szCs w:val="28"/>
        </w:rPr>
      </w:pPr>
      <w:r w:rsidRPr="00FF616B">
        <w:rPr>
          <w:sz w:val="28"/>
          <w:szCs w:val="28"/>
        </w:rPr>
        <w:t xml:space="preserve">  </w:t>
      </w:r>
      <w:r w:rsidR="00A544CB" w:rsidRPr="00FF616B">
        <w:rPr>
          <w:sz w:val="28"/>
          <w:szCs w:val="28"/>
        </w:rPr>
        <w:t xml:space="preserve">  7</w:t>
      </w:r>
      <w:r w:rsidR="00FF616B">
        <w:rPr>
          <w:sz w:val="28"/>
          <w:szCs w:val="28"/>
        </w:rPr>
        <w:t>8</w:t>
      </w:r>
      <w:r w:rsidR="00A544CB" w:rsidRPr="00FF616B">
        <w:rPr>
          <w:sz w:val="28"/>
          <w:szCs w:val="28"/>
        </w:rPr>
        <w:t>.²</w:t>
      </w:r>
      <w:r w:rsidR="00FF616B">
        <w:rPr>
          <w:sz w:val="28"/>
          <w:szCs w:val="28"/>
        </w:rPr>
        <w:t xml:space="preserve"> </w:t>
      </w:r>
      <w:r w:rsidRPr="00FF616B">
        <w:rPr>
          <w:sz w:val="28"/>
          <w:szCs w:val="28"/>
        </w:rPr>
        <w:t>Vēja elektrostacijas uz daudzdzīvokļu</w:t>
      </w:r>
      <w:r>
        <w:rPr>
          <w:sz w:val="28"/>
          <w:szCs w:val="28"/>
        </w:rPr>
        <w:t xml:space="preserve"> mājām uzstādīt </w:t>
      </w:r>
      <w:r w:rsidR="00EB42B3">
        <w:rPr>
          <w:sz w:val="28"/>
          <w:szCs w:val="28"/>
        </w:rPr>
        <w:t>aizliegts</w:t>
      </w:r>
      <w:r>
        <w:rPr>
          <w:sz w:val="28"/>
          <w:szCs w:val="28"/>
        </w:rPr>
        <w:t>.</w:t>
      </w:r>
      <w:r w:rsidR="005F2DF2" w:rsidRPr="005F2DF2">
        <w:rPr>
          <w:sz w:val="28"/>
          <w:szCs w:val="28"/>
        </w:rPr>
        <w:t>”</w:t>
      </w:r>
    </w:p>
    <w:p w:rsidR="00EB42B3" w:rsidRPr="00EB42B3" w:rsidRDefault="00EB42B3" w:rsidP="00EB42B3">
      <w:pPr>
        <w:rPr>
          <w:sz w:val="28"/>
          <w:szCs w:val="28"/>
        </w:rPr>
      </w:pPr>
    </w:p>
    <w:p w:rsidR="00BE1965" w:rsidRPr="001A08DE" w:rsidRDefault="00BE1965" w:rsidP="00BE1965">
      <w:pPr>
        <w:rPr>
          <w:sz w:val="28"/>
        </w:rPr>
      </w:pPr>
      <w:r w:rsidRPr="001A08DE">
        <w:rPr>
          <w:sz w:val="28"/>
        </w:rPr>
        <w:t>Iesniedzējs:</w:t>
      </w:r>
    </w:p>
    <w:p w:rsidR="00BE1965" w:rsidRPr="001A08DE" w:rsidRDefault="00BE1965" w:rsidP="00BE1965">
      <w:pPr>
        <w:rPr>
          <w:sz w:val="10"/>
          <w:szCs w:val="10"/>
          <w:highlight w:val="yellow"/>
        </w:rPr>
      </w:pPr>
    </w:p>
    <w:p w:rsidR="00BE1965" w:rsidRPr="001B1D36" w:rsidRDefault="00BE1965" w:rsidP="00BE1965">
      <w:pPr>
        <w:pStyle w:val="EnvelopeReturn"/>
        <w:tabs>
          <w:tab w:val="right" w:pos="8789"/>
          <w:tab w:val="right" w:pos="14034"/>
        </w:tabs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Ekonomikas ministrs                                                                 </w:t>
      </w:r>
      <w:r w:rsidRPr="001B1D36">
        <w:rPr>
          <w:sz w:val="28"/>
          <w:szCs w:val="28"/>
          <w:lang w:val="lv-LV"/>
        </w:rPr>
        <w:tab/>
        <w:t>A.Kampars</w:t>
      </w:r>
    </w:p>
    <w:p w:rsidR="00BE1965" w:rsidRDefault="00BE1965" w:rsidP="00BE1965">
      <w:pPr>
        <w:pStyle w:val="EnvelopeReturn"/>
        <w:tabs>
          <w:tab w:val="right" w:pos="8789"/>
          <w:tab w:val="right" w:pos="14034"/>
        </w:tabs>
        <w:spacing w:before="0"/>
        <w:rPr>
          <w:sz w:val="28"/>
          <w:szCs w:val="28"/>
          <w:lang w:val="lv-LV"/>
        </w:rPr>
      </w:pPr>
    </w:p>
    <w:p w:rsidR="00BE1965" w:rsidRPr="00DE29A5" w:rsidRDefault="00BE1965" w:rsidP="00BE1965">
      <w:pPr>
        <w:pStyle w:val="EnvelopeReturn"/>
        <w:tabs>
          <w:tab w:val="right" w:pos="8789"/>
          <w:tab w:val="right" w:pos="14034"/>
        </w:tabs>
        <w:spacing w:before="0"/>
        <w:rPr>
          <w:sz w:val="28"/>
          <w:szCs w:val="28"/>
          <w:lang w:val="lv-LV"/>
        </w:rPr>
      </w:pPr>
      <w:r w:rsidRPr="00DE29A5">
        <w:rPr>
          <w:sz w:val="28"/>
          <w:szCs w:val="28"/>
          <w:lang w:val="lv-LV"/>
        </w:rPr>
        <w:t>Vīza: Valsts sekretārs</w:t>
      </w:r>
      <w:r w:rsidRPr="00DE29A5">
        <w:rPr>
          <w:sz w:val="28"/>
          <w:szCs w:val="28"/>
          <w:lang w:val="lv-LV"/>
        </w:rPr>
        <w:tab/>
        <w:t>J.Pūce</w:t>
      </w:r>
    </w:p>
    <w:p w:rsidR="00BE1965" w:rsidRDefault="00BE1965" w:rsidP="00BE1965">
      <w:pPr>
        <w:jc w:val="both"/>
        <w:rPr>
          <w:color w:val="FF0000"/>
        </w:rPr>
      </w:pPr>
    </w:p>
    <w:p w:rsidR="00BE1965" w:rsidRDefault="00BE1965" w:rsidP="00BE1965">
      <w:pPr>
        <w:jc w:val="both"/>
        <w:rPr>
          <w:color w:val="FF0000"/>
        </w:rPr>
      </w:pPr>
    </w:p>
    <w:p w:rsidR="00BE1965" w:rsidRPr="00252937" w:rsidRDefault="003E21F0" w:rsidP="00BE1965">
      <w:pPr>
        <w:jc w:val="both"/>
      </w:pPr>
      <w:r w:rsidRPr="00252937">
        <w:t>0</w:t>
      </w:r>
      <w:r w:rsidR="00CD7A5D" w:rsidRPr="00252937">
        <w:t>3</w:t>
      </w:r>
      <w:r w:rsidR="00BE1965" w:rsidRPr="00252937">
        <w:t>.</w:t>
      </w:r>
      <w:r w:rsidRPr="00252937">
        <w:t>1</w:t>
      </w:r>
      <w:r w:rsidR="00BE1965" w:rsidRPr="00252937">
        <w:t>0.2011</w:t>
      </w:r>
    </w:p>
    <w:p w:rsidR="00CD7A5D" w:rsidRPr="00252937" w:rsidRDefault="00CD7A5D" w:rsidP="00BE1965">
      <w:pPr>
        <w:jc w:val="both"/>
      </w:pPr>
      <w:r w:rsidRPr="00252937">
        <w:t>1</w:t>
      </w:r>
      <w:r w:rsidR="003E21F0" w:rsidRPr="00252937">
        <w:t>37</w:t>
      </w:r>
    </w:p>
    <w:p w:rsidR="006A6320" w:rsidRPr="00EB42B3" w:rsidRDefault="00BE1965" w:rsidP="003E21F0">
      <w:pPr>
        <w:jc w:val="both"/>
        <w:rPr>
          <w:sz w:val="28"/>
          <w:szCs w:val="28"/>
        </w:rPr>
      </w:pPr>
      <w:r w:rsidRPr="00856E32">
        <w:t>D.Rekšāne</w:t>
      </w:r>
      <w:r w:rsidR="00A544CB">
        <w:t xml:space="preserve"> </w:t>
      </w:r>
      <w:r w:rsidRPr="001A08DE">
        <w:t>67013218; Dace.Reksane@em.gov.lv</w:t>
      </w:r>
      <w:r w:rsidRPr="001A08DE">
        <w:rPr>
          <w:sz w:val="28"/>
          <w:szCs w:val="28"/>
        </w:rPr>
        <w:t>  </w:t>
      </w:r>
    </w:p>
    <w:sectPr w:rsidR="006A6320" w:rsidRPr="00EB42B3" w:rsidSect="00F93A7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F8" w:rsidRDefault="001D76F8" w:rsidP="008323D7">
      <w:r>
        <w:separator/>
      </w:r>
    </w:p>
  </w:endnote>
  <w:endnote w:type="continuationSeparator" w:id="0">
    <w:p w:rsidR="001D76F8" w:rsidRDefault="001D76F8" w:rsidP="0083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D7" w:rsidRPr="008323D7" w:rsidRDefault="008323D7" w:rsidP="008323D7">
    <w:pPr>
      <w:ind w:left="-539" w:right="-692" w:firstLine="539"/>
      <w:jc w:val="both"/>
      <w:rPr>
        <w:sz w:val="24"/>
        <w:szCs w:val="24"/>
      </w:rPr>
    </w:pPr>
    <w:r w:rsidRPr="008323D7">
      <w:rPr>
        <w:sz w:val="24"/>
        <w:szCs w:val="24"/>
      </w:rPr>
      <w:t>EM</w:t>
    </w:r>
    <w:r w:rsidR="00D94440">
      <w:rPr>
        <w:sz w:val="24"/>
        <w:szCs w:val="24"/>
      </w:rPr>
      <w:t>N</w:t>
    </w:r>
    <w:r w:rsidRPr="008323D7">
      <w:rPr>
        <w:sz w:val="24"/>
        <w:szCs w:val="24"/>
      </w:rPr>
      <w:t>ot_</w:t>
    </w:r>
    <w:r w:rsidR="00D94440">
      <w:rPr>
        <w:sz w:val="24"/>
        <w:szCs w:val="24"/>
      </w:rPr>
      <w:t>0310</w:t>
    </w:r>
    <w:r w:rsidRPr="008323D7">
      <w:rPr>
        <w:sz w:val="24"/>
        <w:szCs w:val="24"/>
      </w:rPr>
      <w:t>11_groz982; Grozījumi Ministru kabineta 2006. gada 5.decembra noteikumos Nr.982 „Enerģētikas infrastruktūras objektu aizsargjoslu noteikšanas metodika”</w:t>
    </w:r>
  </w:p>
  <w:p w:rsidR="008323D7" w:rsidRDefault="008323D7">
    <w:pPr>
      <w:pStyle w:val="Footer"/>
    </w:pPr>
  </w:p>
  <w:p w:rsidR="008323D7" w:rsidRDefault="00832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F8" w:rsidRDefault="001D76F8" w:rsidP="008323D7">
      <w:r>
        <w:separator/>
      </w:r>
    </w:p>
  </w:footnote>
  <w:footnote w:type="continuationSeparator" w:id="0">
    <w:p w:rsidR="001D76F8" w:rsidRDefault="001D76F8" w:rsidP="00832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627"/>
    <w:multiLevelType w:val="hybridMultilevel"/>
    <w:tmpl w:val="46E091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A7765"/>
    <w:multiLevelType w:val="hybridMultilevel"/>
    <w:tmpl w:val="E19A7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20"/>
    <w:rsid w:val="00091103"/>
    <w:rsid w:val="00117557"/>
    <w:rsid w:val="0012766C"/>
    <w:rsid w:val="00177140"/>
    <w:rsid w:val="00196673"/>
    <w:rsid w:val="001A07E4"/>
    <w:rsid w:val="001B1D36"/>
    <w:rsid w:val="001D76F8"/>
    <w:rsid w:val="00233A48"/>
    <w:rsid w:val="00252937"/>
    <w:rsid w:val="00262DA2"/>
    <w:rsid w:val="00272368"/>
    <w:rsid w:val="0029187F"/>
    <w:rsid w:val="002D1377"/>
    <w:rsid w:val="002D60BC"/>
    <w:rsid w:val="002F16CA"/>
    <w:rsid w:val="003366FE"/>
    <w:rsid w:val="00383014"/>
    <w:rsid w:val="003E21F0"/>
    <w:rsid w:val="00462340"/>
    <w:rsid w:val="0052217E"/>
    <w:rsid w:val="005F2DF2"/>
    <w:rsid w:val="00614883"/>
    <w:rsid w:val="006A6320"/>
    <w:rsid w:val="006B03BA"/>
    <w:rsid w:val="006D2C5F"/>
    <w:rsid w:val="00741718"/>
    <w:rsid w:val="007745DD"/>
    <w:rsid w:val="007F1EF3"/>
    <w:rsid w:val="007F5469"/>
    <w:rsid w:val="008323D7"/>
    <w:rsid w:val="0084582D"/>
    <w:rsid w:val="00864126"/>
    <w:rsid w:val="008A7D44"/>
    <w:rsid w:val="008B11DA"/>
    <w:rsid w:val="0096705D"/>
    <w:rsid w:val="009756B0"/>
    <w:rsid w:val="009B4168"/>
    <w:rsid w:val="009E4107"/>
    <w:rsid w:val="00A32ADE"/>
    <w:rsid w:val="00A544CB"/>
    <w:rsid w:val="00A570EA"/>
    <w:rsid w:val="00A976FD"/>
    <w:rsid w:val="00AE5CA8"/>
    <w:rsid w:val="00B97603"/>
    <w:rsid w:val="00BA4A8F"/>
    <w:rsid w:val="00BE1965"/>
    <w:rsid w:val="00C10CDD"/>
    <w:rsid w:val="00CD7A5D"/>
    <w:rsid w:val="00D61086"/>
    <w:rsid w:val="00D94440"/>
    <w:rsid w:val="00E11C27"/>
    <w:rsid w:val="00E5540D"/>
    <w:rsid w:val="00E75A9B"/>
    <w:rsid w:val="00EB42B3"/>
    <w:rsid w:val="00F817A3"/>
    <w:rsid w:val="00F93A70"/>
    <w:rsid w:val="00FA7E67"/>
    <w:rsid w:val="00FB6F81"/>
    <w:rsid w:val="00FC0E97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23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3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23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D7"/>
    <w:rPr>
      <w:rFonts w:ascii="Tahoma" w:eastAsia="Times New Roman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BE1965"/>
    <w:pPr>
      <w:keepLines/>
      <w:widowControl w:val="0"/>
      <w:spacing w:before="600"/>
    </w:pPr>
    <w:rPr>
      <w:sz w:val="2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D553-00F6-475D-A691-8CE74A28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 gada 5.decembra noteikumos Nr.982 „Enerģētikas infrastruktūras objektu aizsargjoslu noteikšanas metodika”</vt:lpstr>
    </vt:vector>
  </TitlesOfParts>
  <Company>LR Ekonomikas ministrija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5.decembra noteikumos Nr.982 „Enerģētikas infrastruktūras objektu aizsargjoslu noteikšanas metodika”</dc:title>
  <dc:subject>MK noteikumu projekts</dc:subject>
  <dc:creator>ReksaneD</dc:creator>
  <cp:keywords/>
  <dc:description>D.Reksāne 
67013218</dc:description>
  <cp:lastModifiedBy>ReksaneD</cp:lastModifiedBy>
  <cp:revision>11</cp:revision>
  <dcterms:created xsi:type="dcterms:W3CDTF">2011-10-03T05:54:00Z</dcterms:created>
  <dcterms:modified xsi:type="dcterms:W3CDTF">2011-10-03T08:46:00Z</dcterms:modified>
</cp:coreProperties>
</file>