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B4" w:rsidRDefault="002F15B4" w:rsidP="002A7BD9">
      <w:pPr>
        <w:tabs>
          <w:tab w:val="left" w:pos="6480"/>
        </w:tabs>
        <w:jc w:val="right"/>
        <w:rPr>
          <w:i/>
          <w:sz w:val="28"/>
          <w:szCs w:val="24"/>
          <w:lang w:eastAsia="en-US"/>
        </w:rPr>
      </w:pPr>
    </w:p>
    <w:p w:rsidR="002F15B4" w:rsidRDefault="002F15B4" w:rsidP="002A7BD9">
      <w:pPr>
        <w:tabs>
          <w:tab w:val="left" w:pos="6480"/>
        </w:tabs>
        <w:jc w:val="right"/>
        <w:rPr>
          <w:i/>
          <w:sz w:val="28"/>
          <w:szCs w:val="24"/>
          <w:lang w:eastAsia="en-US"/>
        </w:rPr>
      </w:pPr>
    </w:p>
    <w:p w:rsidR="002A7BD9" w:rsidRPr="004220BB" w:rsidRDefault="002A7BD9" w:rsidP="002A7BD9">
      <w:pPr>
        <w:tabs>
          <w:tab w:val="left" w:pos="6480"/>
        </w:tabs>
        <w:jc w:val="right"/>
        <w:rPr>
          <w:sz w:val="28"/>
          <w:szCs w:val="24"/>
          <w:lang w:eastAsia="en-US"/>
        </w:rPr>
      </w:pPr>
      <w:r w:rsidRPr="004220BB">
        <w:rPr>
          <w:i/>
          <w:sz w:val="28"/>
          <w:szCs w:val="24"/>
          <w:lang w:eastAsia="en-US"/>
        </w:rPr>
        <w:t>Projekts</w:t>
      </w:r>
    </w:p>
    <w:p w:rsidR="002A7BD9" w:rsidRDefault="002A7BD9" w:rsidP="002A7BD9">
      <w:pPr>
        <w:tabs>
          <w:tab w:val="left" w:pos="6480"/>
        </w:tabs>
        <w:rPr>
          <w:sz w:val="28"/>
          <w:lang w:eastAsia="en-US"/>
        </w:rPr>
      </w:pPr>
    </w:p>
    <w:p w:rsidR="001154F8" w:rsidRPr="004220BB" w:rsidRDefault="001154F8" w:rsidP="002A7BD9">
      <w:pPr>
        <w:tabs>
          <w:tab w:val="left" w:pos="6480"/>
        </w:tabs>
        <w:rPr>
          <w:sz w:val="28"/>
          <w:lang w:eastAsia="en-US"/>
        </w:rPr>
      </w:pPr>
    </w:p>
    <w:p w:rsidR="002A7BD9" w:rsidRPr="004220BB" w:rsidRDefault="002A7BD9" w:rsidP="002A7BD9">
      <w:pPr>
        <w:tabs>
          <w:tab w:val="left" w:pos="6480"/>
        </w:tabs>
        <w:rPr>
          <w:sz w:val="28"/>
          <w:lang w:eastAsia="en-US"/>
        </w:rPr>
      </w:pPr>
      <w:r w:rsidRPr="004220BB">
        <w:rPr>
          <w:sz w:val="28"/>
          <w:lang w:eastAsia="en-US"/>
        </w:rPr>
        <w:t>2013.gada</w:t>
      </w:r>
      <w:r w:rsidR="00DE5369" w:rsidRPr="004220BB">
        <w:rPr>
          <w:sz w:val="28"/>
          <w:lang w:eastAsia="en-US"/>
        </w:rPr>
        <w:t xml:space="preserve"> __.________</w:t>
      </w:r>
      <w:r w:rsidRPr="004220BB">
        <w:rPr>
          <w:sz w:val="28"/>
          <w:lang w:eastAsia="en-US"/>
        </w:rPr>
        <w:tab/>
        <w:t>Noteikumi Nr.</w:t>
      </w:r>
    </w:p>
    <w:p w:rsidR="002A7BD9" w:rsidRPr="004220BB" w:rsidRDefault="002A7BD9" w:rsidP="002A7BD9">
      <w:pPr>
        <w:tabs>
          <w:tab w:val="left" w:pos="6480"/>
        </w:tabs>
        <w:rPr>
          <w:sz w:val="28"/>
          <w:szCs w:val="24"/>
          <w:lang w:eastAsia="en-US"/>
        </w:rPr>
      </w:pPr>
      <w:r w:rsidRPr="004220BB">
        <w:rPr>
          <w:sz w:val="28"/>
          <w:szCs w:val="24"/>
          <w:lang w:eastAsia="en-US"/>
        </w:rPr>
        <w:t>Rīgā</w:t>
      </w:r>
      <w:r w:rsidRPr="004220BB">
        <w:rPr>
          <w:sz w:val="28"/>
          <w:szCs w:val="24"/>
          <w:lang w:eastAsia="en-US"/>
        </w:rPr>
        <w:tab/>
        <w:t>(prot. Nr.</w:t>
      </w:r>
      <w:r w:rsidRPr="004220BB" w:rsidDel="00CB436E">
        <w:rPr>
          <w:sz w:val="28"/>
          <w:szCs w:val="24"/>
          <w:lang w:eastAsia="en-US"/>
        </w:rPr>
        <w:t xml:space="preserve"> </w:t>
      </w:r>
      <w:r w:rsidRPr="004220BB">
        <w:rPr>
          <w:sz w:val="28"/>
          <w:szCs w:val="24"/>
          <w:lang w:eastAsia="en-US"/>
        </w:rPr>
        <w:t xml:space="preserve"> .§)</w:t>
      </w:r>
    </w:p>
    <w:p w:rsidR="002A7BD9" w:rsidRPr="004220BB" w:rsidRDefault="002A7BD9" w:rsidP="002A7BD9">
      <w:pPr>
        <w:jc w:val="center"/>
        <w:rPr>
          <w:b/>
          <w:sz w:val="28"/>
          <w:szCs w:val="28"/>
          <w:lang w:eastAsia="en-US"/>
        </w:rPr>
      </w:pPr>
    </w:p>
    <w:p w:rsidR="002A7BD9" w:rsidRPr="004220BB" w:rsidRDefault="002A7BD9" w:rsidP="002A7BD9">
      <w:pPr>
        <w:jc w:val="center"/>
        <w:rPr>
          <w:b/>
          <w:sz w:val="28"/>
          <w:szCs w:val="28"/>
          <w:lang w:eastAsia="en-US"/>
        </w:rPr>
      </w:pPr>
    </w:p>
    <w:p w:rsidR="002A7BD9" w:rsidRPr="004220BB" w:rsidRDefault="00A878E8" w:rsidP="005C4E05">
      <w:pPr>
        <w:jc w:val="center"/>
        <w:rPr>
          <w:b/>
          <w:sz w:val="28"/>
          <w:szCs w:val="28"/>
          <w:lang w:eastAsia="en-US"/>
        </w:rPr>
      </w:pPr>
      <w:r>
        <w:rPr>
          <w:b/>
          <w:sz w:val="28"/>
          <w:szCs w:val="28"/>
          <w:lang w:eastAsia="en-US"/>
        </w:rPr>
        <w:t>Grozījumi</w:t>
      </w:r>
      <w:r w:rsidR="00DE5369" w:rsidRPr="004220BB">
        <w:rPr>
          <w:b/>
          <w:sz w:val="28"/>
          <w:szCs w:val="28"/>
          <w:lang w:eastAsia="en-US"/>
        </w:rPr>
        <w:t xml:space="preserve"> Ministru kabineta 20</w:t>
      </w:r>
      <w:r>
        <w:rPr>
          <w:b/>
          <w:sz w:val="28"/>
          <w:szCs w:val="28"/>
          <w:lang w:eastAsia="en-US"/>
        </w:rPr>
        <w:t>11</w:t>
      </w:r>
      <w:r w:rsidR="002A7BD9" w:rsidRPr="004220BB">
        <w:rPr>
          <w:b/>
          <w:sz w:val="28"/>
          <w:szCs w:val="28"/>
          <w:lang w:eastAsia="en-US"/>
        </w:rPr>
        <w:t xml:space="preserve">.gada </w:t>
      </w:r>
      <w:r>
        <w:rPr>
          <w:b/>
          <w:sz w:val="28"/>
          <w:szCs w:val="28"/>
          <w:lang w:eastAsia="en-US"/>
        </w:rPr>
        <w:t>20.decembra</w:t>
      </w:r>
      <w:r w:rsidR="002A7BD9" w:rsidRPr="004220BB">
        <w:rPr>
          <w:b/>
          <w:sz w:val="28"/>
          <w:szCs w:val="28"/>
          <w:lang w:eastAsia="en-US"/>
        </w:rPr>
        <w:t xml:space="preserve"> noteikumos Nr.</w:t>
      </w:r>
      <w:r>
        <w:rPr>
          <w:b/>
          <w:sz w:val="28"/>
          <w:szCs w:val="28"/>
          <w:lang w:eastAsia="en-US"/>
        </w:rPr>
        <w:t>976</w:t>
      </w:r>
      <w:r w:rsidR="00727D66">
        <w:rPr>
          <w:b/>
          <w:sz w:val="28"/>
          <w:szCs w:val="28"/>
          <w:lang w:eastAsia="en-US"/>
        </w:rPr>
        <w:t xml:space="preserve"> </w:t>
      </w:r>
      <w:r w:rsidR="002A7BD9" w:rsidRPr="004220BB">
        <w:rPr>
          <w:b/>
          <w:sz w:val="28"/>
          <w:szCs w:val="28"/>
          <w:lang w:eastAsia="en-US"/>
        </w:rPr>
        <w:t>„</w:t>
      </w:r>
      <w:r w:rsidRPr="00A878E8">
        <w:rPr>
          <w:b/>
          <w:sz w:val="28"/>
          <w:szCs w:val="28"/>
          <w:lang w:eastAsia="en-US"/>
        </w:rPr>
        <w:t>Kārtība, kādā veicami atskaitījumi Privatizācijas aģentūrai par valsts īpašuma privatizāciju, valsts kapitāla daļu atsavināšanu un citām normatīvajos aktos noteiktajām darbībām, izveidojams un izlietojams rezerves fonds un veicami maksājumi valsts budžetā</w:t>
      </w:r>
      <w:r w:rsidR="002A7BD9" w:rsidRPr="004220BB">
        <w:rPr>
          <w:b/>
          <w:sz w:val="28"/>
          <w:szCs w:val="28"/>
          <w:lang w:eastAsia="en-US"/>
        </w:rPr>
        <w:t>”</w:t>
      </w:r>
    </w:p>
    <w:p w:rsidR="00577F0C" w:rsidRPr="002A7BD9" w:rsidRDefault="00577F0C" w:rsidP="002A7BD9">
      <w:pPr>
        <w:jc w:val="right"/>
        <w:rPr>
          <w:color w:val="00B050"/>
          <w:sz w:val="28"/>
          <w:szCs w:val="28"/>
          <w:lang w:eastAsia="en-US"/>
        </w:rPr>
      </w:pPr>
    </w:p>
    <w:p w:rsidR="00A878E8" w:rsidRPr="002A7BD9" w:rsidRDefault="00A878E8" w:rsidP="002A7BD9">
      <w:pPr>
        <w:rPr>
          <w:color w:val="00B050"/>
          <w:sz w:val="28"/>
          <w:szCs w:val="28"/>
          <w:lang w:eastAsia="en-US"/>
        </w:rPr>
      </w:pPr>
    </w:p>
    <w:p w:rsidR="00A878E8" w:rsidRPr="00A878E8" w:rsidRDefault="00A878E8" w:rsidP="00A878E8">
      <w:pPr>
        <w:contextualSpacing/>
        <w:jc w:val="right"/>
        <w:rPr>
          <w:sz w:val="28"/>
          <w:szCs w:val="28"/>
          <w:lang w:eastAsia="en-US"/>
        </w:rPr>
      </w:pPr>
      <w:r w:rsidRPr="00A878E8">
        <w:rPr>
          <w:sz w:val="28"/>
          <w:szCs w:val="28"/>
          <w:lang w:eastAsia="en-US"/>
        </w:rPr>
        <w:t>Izdoti saskaņā ar likuma "Par valsts un</w:t>
      </w:r>
    </w:p>
    <w:p w:rsidR="00A878E8" w:rsidRPr="00A878E8" w:rsidRDefault="00A878E8" w:rsidP="00A878E8">
      <w:pPr>
        <w:contextualSpacing/>
        <w:jc w:val="right"/>
        <w:rPr>
          <w:sz w:val="28"/>
          <w:szCs w:val="28"/>
          <w:lang w:eastAsia="en-US"/>
        </w:rPr>
      </w:pPr>
      <w:r w:rsidRPr="00A878E8">
        <w:rPr>
          <w:sz w:val="28"/>
          <w:szCs w:val="28"/>
          <w:lang w:eastAsia="en-US"/>
        </w:rPr>
        <w:t>pašvaldību īpašuma objektu privatizāciju" 6.panta trešo daļu,</w:t>
      </w:r>
    </w:p>
    <w:p w:rsidR="00A878E8" w:rsidRPr="00A878E8" w:rsidRDefault="00A878E8" w:rsidP="00A878E8">
      <w:pPr>
        <w:contextualSpacing/>
        <w:jc w:val="right"/>
        <w:rPr>
          <w:sz w:val="28"/>
          <w:szCs w:val="28"/>
          <w:lang w:eastAsia="en-US"/>
        </w:rPr>
      </w:pPr>
      <w:r w:rsidRPr="00A878E8">
        <w:rPr>
          <w:sz w:val="28"/>
          <w:szCs w:val="28"/>
          <w:lang w:eastAsia="en-US"/>
        </w:rPr>
        <w:t>11.panta pirmo un trešo daļu un likuma "Par valsts un pašvaldību kapitāla</w:t>
      </w:r>
    </w:p>
    <w:p w:rsidR="004C11CC" w:rsidRDefault="00A878E8" w:rsidP="00A878E8">
      <w:pPr>
        <w:contextualSpacing/>
        <w:jc w:val="right"/>
        <w:rPr>
          <w:sz w:val="28"/>
          <w:szCs w:val="28"/>
          <w:lang w:eastAsia="en-US"/>
        </w:rPr>
      </w:pPr>
      <w:r w:rsidRPr="00A878E8">
        <w:rPr>
          <w:sz w:val="28"/>
          <w:szCs w:val="28"/>
          <w:lang w:eastAsia="en-US"/>
        </w:rPr>
        <w:t>daļām un kapitāls</w:t>
      </w:r>
      <w:r w:rsidR="004C11CC">
        <w:rPr>
          <w:sz w:val="28"/>
          <w:szCs w:val="28"/>
          <w:lang w:eastAsia="en-US"/>
        </w:rPr>
        <w:t xml:space="preserve">abiedrībām" 125.panta otro daļu </w:t>
      </w:r>
    </w:p>
    <w:p w:rsidR="004606ED" w:rsidRPr="004C11CC" w:rsidRDefault="00A878E8" w:rsidP="00A878E8">
      <w:pPr>
        <w:contextualSpacing/>
        <w:jc w:val="right"/>
        <w:rPr>
          <w:sz w:val="28"/>
          <w:szCs w:val="28"/>
          <w:lang w:eastAsia="en-US"/>
        </w:rPr>
      </w:pPr>
      <w:r w:rsidRPr="00A878E8">
        <w:rPr>
          <w:sz w:val="28"/>
          <w:szCs w:val="28"/>
          <w:lang w:eastAsia="en-US"/>
        </w:rPr>
        <w:t>un 129.panta devīto daļu</w:t>
      </w:r>
    </w:p>
    <w:p w:rsidR="00A878E8" w:rsidRDefault="00A878E8" w:rsidP="004606ED">
      <w:pPr>
        <w:contextualSpacing/>
        <w:jc w:val="both"/>
        <w:rPr>
          <w:color w:val="00B050"/>
          <w:sz w:val="28"/>
          <w:szCs w:val="28"/>
          <w:lang w:eastAsia="en-US"/>
        </w:rPr>
      </w:pPr>
    </w:p>
    <w:p w:rsidR="001154F8" w:rsidRPr="002A7BD9" w:rsidRDefault="001154F8" w:rsidP="004606ED">
      <w:pPr>
        <w:contextualSpacing/>
        <w:jc w:val="both"/>
        <w:rPr>
          <w:color w:val="00B050"/>
          <w:sz w:val="28"/>
          <w:szCs w:val="28"/>
          <w:lang w:eastAsia="en-US"/>
        </w:rPr>
      </w:pPr>
    </w:p>
    <w:p w:rsidR="001E7B37" w:rsidRPr="001E7B37" w:rsidRDefault="002A7BD9" w:rsidP="001E7B37">
      <w:pPr>
        <w:pStyle w:val="ListParagraph"/>
        <w:numPr>
          <w:ilvl w:val="0"/>
          <w:numId w:val="6"/>
        </w:numPr>
        <w:spacing w:after="120"/>
        <w:jc w:val="both"/>
        <w:rPr>
          <w:sz w:val="28"/>
          <w:szCs w:val="28"/>
          <w:lang w:eastAsia="en-US"/>
        </w:rPr>
      </w:pPr>
      <w:r w:rsidRPr="005F18F4">
        <w:rPr>
          <w:sz w:val="28"/>
          <w:szCs w:val="28"/>
          <w:lang w:eastAsia="en-US"/>
        </w:rPr>
        <w:t xml:space="preserve">Izdarīt Ministru </w:t>
      </w:r>
      <w:r w:rsidR="00DE5369" w:rsidRPr="005F18F4">
        <w:rPr>
          <w:sz w:val="28"/>
          <w:szCs w:val="28"/>
          <w:lang w:eastAsia="en-US"/>
        </w:rPr>
        <w:t>kabineta 20</w:t>
      </w:r>
      <w:r w:rsidR="00A878E8">
        <w:rPr>
          <w:sz w:val="28"/>
          <w:szCs w:val="28"/>
          <w:lang w:eastAsia="en-US"/>
        </w:rPr>
        <w:t>11</w:t>
      </w:r>
      <w:r w:rsidRPr="005F18F4">
        <w:rPr>
          <w:sz w:val="28"/>
          <w:szCs w:val="28"/>
          <w:lang w:eastAsia="en-US"/>
        </w:rPr>
        <w:t xml:space="preserve">.gada </w:t>
      </w:r>
      <w:r w:rsidR="00A878E8">
        <w:rPr>
          <w:sz w:val="28"/>
          <w:szCs w:val="28"/>
          <w:lang w:eastAsia="en-US"/>
        </w:rPr>
        <w:t>20.decembra</w:t>
      </w:r>
      <w:r w:rsidRPr="005F18F4">
        <w:rPr>
          <w:sz w:val="28"/>
          <w:szCs w:val="28"/>
          <w:lang w:eastAsia="en-US"/>
        </w:rPr>
        <w:t xml:space="preserve"> noteikumos Nr.</w:t>
      </w:r>
      <w:r w:rsidR="00A878E8">
        <w:rPr>
          <w:sz w:val="28"/>
          <w:szCs w:val="28"/>
          <w:lang w:eastAsia="en-US"/>
        </w:rPr>
        <w:t>976</w:t>
      </w:r>
      <w:r w:rsidRPr="005F18F4">
        <w:rPr>
          <w:sz w:val="28"/>
          <w:szCs w:val="28"/>
          <w:lang w:eastAsia="en-US"/>
        </w:rPr>
        <w:t xml:space="preserve"> „</w:t>
      </w:r>
      <w:r w:rsidR="00A878E8" w:rsidRPr="00A878E8">
        <w:rPr>
          <w:sz w:val="28"/>
          <w:szCs w:val="28"/>
          <w:lang w:eastAsia="en-US"/>
        </w:rPr>
        <w:t>Kārtība, kādā veicami atskaitījumi Privatizācijas aģentūrai par valsts īpašuma privatizāciju, valsts kapitāla daļu atsavināšanu un citām normatīvajos aktos noteiktajām darbībām, izveidojams un izlietojams rezerves fonds un veicami maksājumi valsts budžetā</w:t>
      </w:r>
      <w:r w:rsidRPr="005F18F4">
        <w:rPr>
          <w:sz w:val="28"/>
          <w:szCs w:val="28"/>
          <w:lang w:eastAsia="en-US"/>
        </w:rPr>
        <w:t>” (Latvijas Vēstnesis, 20</w:t>
      </w:r>
      <w:r w:rsidR="00A878E8">
        <w:rPr>
          <w:sz w:val="28"/>
          <w:szCs w:val="28"/>
          <w:lang w:eastAsia="en-US"/>
        </w:rPr>
        <w:t>11</w:t>
      </w:r>
      <w:r w:rsidRPr="005F18F4">
        <w:rPr>
          <w:sz w:val="28"/>
          <w:szCs w:val="28"/>
          <w:lang w:eastAsia="en-US"/>
        </w:rPr>
        <w:t xml:space="preserve">, </w:t>
      </w:r>
      <w:r w:rsidR="00A878E8">
        <w:rPr>
          <w:sz w:val="28"/>
          <w:szCs w:val="28"/>
          <w:lang w:eastAsia="en-US"/>
        </w:rPr>
        <w:t>202</w:t>
      </w:r>
      <w:r w:rsidRPr="005F18F4">
        <w:rPr>
          <w:sz w:val="28"/>
          <w:szCs w:val="28"/>
          <w:lang w:eastAsia="en-US"/>
        </w:rPr>
        <w:t xml:space="preserve">.nr.) </w:t>
      </w:r>
      <w:r w:rsidR="00A878E8">
        <w:rPr>
          <w:sz w:val="28"/>
          <w:szCs w:val="28"/>
          <w:lang w:eastAsia="en-US"/>
        </w:rPr>
        <w:t xml:space="preserve">šādus grozījumus: </w:t>
      </w:r>
    </w:p>
    <w:p w:rsidR="001E7B37" w:rsidRPr="004C11CC" w:rsidRDefault="004C11CC" w:rsidP="004C11CC">
      <w:pPr>
        <w:numPr>
          <w:ilvl w:val="1"/>
          <w:numId w:val="7"/>
        </w:numPr>
        <w:spacing w:after="120"/>
        <w:ind w:right="-239"/>
        <w:jc w:val="both"/>
        <w:rPr>
          <w:sz w:val="28"/>
          <w:szCs w:val="28"/>
        </w:rPr>
      </w:pPr>
      <w:r>
        <w:rPr>
          <w:color w:val="000000"/>
          <w:sz w:val="28"/>
          <w:szCs w:val="28"/>
        </w:rPr>
        <w:t>Svītrot noteikumu izdošanas tiesiskajā pamatā skaitli un vārdus „127.panta ceturto daļu”.</w:t>
      </w:r>
    </w:p>
    <w:p w:rsidR="004C11CC" w:rsidRPr="004C11CC" w:rsidRDefault="005E5BA5" w:rsidP="004C11CC">
      <w:pPr>
        <w:pStyle w:val="ListParagraph"/>
        <w:numPr>
          <w:ilvl w:val="1"/>
          <w:numId w:val="7"/>
        </w:numPr>
        <w:spacing w:after="120"/>
        <w:rPr>
          <w:color w:val="000000"/>
          <w:sz w:val="28"/>
          <w:szCs w:val="28"/>
        </w:rPr>
      </w:pPr>
      <w:r>
        <w:rPr>
          <w:color w:val="000000"/>
          <w:sz w:val="28"/>
          <w:szCs w:val="28"/>
        </w:rPr>
        <w:t xml:space="preserve">Svītrot </w:t>
      </w:r>
      <w:r w:rsidR="004C11CC">
        <w:rPr>
          <w:color w:val="000000"/>
          <w:sz w:val="28"/>
          <w:szCs w:val="28"/>
        </w:rPr>
        <w:t>7.un 17.punktu</w:t>
      </w:r>
      <w:r w:rsidR="004C11CC" w:rsidRPr="004C11CC">
        <w:rPr>
          <w:color w:val="000000"/>
          <w:sz w:val="28"/>
          <w:szCs w:val="28"/>
        </w:rPr>
        <w:t xml:space="preserve">. </w:t>
      </w:r>
    </w:p>
    <w:p w:rsidR="00A878E8" w:rsidRDefault="00CC0BE9" w:rsidP="004C11CC">
      <w:pPr>
        <w:numPr>
          <w:ilvl w:val="1"/>
          <w:numId w:val="7"/>
        </w:numPr>
        <w:spacing w:after="120"/>
        <w:ind w:right="-239"/>
        <w:jc w:val="both"/>
        <w:rPr>
          <w:sz w:val="28"/>
          <w:szCs w:val="28"/>
        </w:rPr>
      </w:pPr>
      <w:r w:rsidRPr="00CC0BE9">
        <w:rPr>
          <w:color w:val="000000"/>
          <w:sz w:val="28"/>
          <w:szCs w:val="28"/>
        </w:rPr>
        <w:t xml:space="preserve">Izteikt </w:t>
      </w:r>
      <w:r w:rsidR="002F15B4">
        <w:rPr>
          <w:color w:val="000000"/>
          <w:sz w:val="28"/>
          <w:szCs w:val="28"/>
        </w:rPr>
        <w:t xml:space="preserve">18. un 19.punktu </w:t>
      </w:r>
      <w:r>
        <w:rPr>
          <w:color w:val="000000"/>
          <w:sz w:val="28"/>
          <w:szCs w:val="28"/>
        </w:rPr>
        <w:t>jaunā redakcijā.</w:t>
      </w:r>
    </w:p>
    <w:p w:rsidR="00CC0BE9" w:rsidRPr="00CC0BE9" w:rsidRDefault="00F60AF3" w:rsidP="00354EEA">
      <w:pPr>
        <w:spacing w:after="120"/>
        <w:ind w:left="709" w:right="-239" w:firstLine="11"/>
        <w:jc w:val="both"/>
        <w:rPr>
          <w:sz w:val="28"/>
          <w:szCs w:val="28"/>
        </w:rPr>
      </w:pPr>
      <w:r>
        <w:rPr>
          <w:sz w:val="28"/>
          <w:szCs w:val="28"/>
        </w:rPr>
        <w:t>„</w:t>
      </w:r>
      <w:r w:rsidR="00CC0BE9" w:rsidRPr="00CC0BE9">
        <w:rPr>
          <w:sz w:val="28"/>
          <w:szCs w:val="28"/>
        </w:rPr>
        <w:t xml:space="preserve">18. Privatizācijas, likvidācijas un kapitāla daļu atsavināšanas lietas vešanai un juridiskajiem pakalpojumiem, valsts īpašuma (izņemot nekustamos īpašumus un zemi) privatizācijas noteikumu, konkursa noteikumu, līguma un citu ar tiem saistīto dokumentu nosacījumu izpildes nodrošināšanai, pamatojoties uz valsts īpašumu lietas nodošanas un pieņemšanas aktu, noteikti šādi atskaitījumu normatīvi (ja valsts kapitāla daļa privātā kapitālsabiedrībā ir mazāka par 25 procentiem, minētos normatīvus reizina </w:t>
      </w:r>
      <w:r w:rsidR="00CC0BE9">
        <w:rPr>
          <w:sz w:val="28"/>
          <w:szCs w:val="28"/>
        </w:rPr>
        <w:t>ar koeficientu 0,75):</w:t>
      </w:r>
    </w:p>
    <w:p w:rsidR="00CC0BE9" w:rsidRPr="00CC0BE9" w:rsidRDefault="00CC0BE9" w:rsidP="00354EEA">
      <w:pPr>
        <w:spacing w:after="120"/>
        <w:ind w:left="709" w:right="-239" w:firstLine="11"/>
        <w:jc w:val="both"/>
        <w:rPr>
          <w:sz w:val="28"/>
          <w:szCs w:val="28"/>
        </w:rPr>
      </w:pPr>
      <w:r w:rsidRPr="00CC0BE9">
        <w:rPr>
          <w:sz w:val="28"/>
          <w:szCs w:val="28"/>
        </w:rPr>
        <w:t>18.1. mazāk par 100 darbin</w:t>
      </w:r>
      <w:r w:rsidR="001154F8">
        <w:rPr>
          <w:sz w:val="28"/>
          <w:szCs w:val="28"/>
        </w:rPr>
        <w:t xml:space="preserve">iekiem – </w:t>
      </w:r>
      <w:r w:rsidR="00642B70" w:rsidRPr="00642B70">
        <w:rPr>
          <w:sz w:val="28"/>
          <w:szCs w:val="28"/>
        </w:rPr>
        <w:t>4325,53</w:t>
      </w:r>
      <w:r w:rsidR="001154F8">
        <w:rPr>
          <w:sz w:val="28"/>
          <w:szCs w:val="28"/>
        </w:rPr>
        <w:t xml:space="preserve"> </w:t>
      </w:r>
      <w:r w:rsidR="00642B70" w:rsidRPr="00642B70">
        <w:rPr>
          <w:i/>
          <w:sz w:val="28"/>
          <w:szCs w:val="28"/>
        </w:rPr>
        <w:t>euro</w:t>
      </w:r>
      <w:r w:rsidR="001154F8">
        <w:rPr>
          <w:sz w:val="28"/>
          <w:szCs w:val="28"/>
        </w:rPr>
        <w:t xml:space="preserve"> par objektu;</w:t>
      </w:r>
    </w:p>
    <w:p w:rsidR="00CC0BE9" w:rsidRPr="00CC0BE9" w:rsidRDefault="00CC0BE9" w:rsidP="00354EEA">
      <w:pPr>
        <w:spacing w:after="120"/>
        <w:ind w:left="709" w:right="-239" w:firstLine="11"/>
        <w:jc w:val="both"/>
        <w:rPr>
          <w:sz w:val="28"/>
          <w:szCs w:val="28"/>
        </w:rPr>
      </w:pPr>
      <w:r w:rsidRPr="00CC0BE9">
        <w:rPr>
          <w:sz w:val="28"/>
          <w:szCs w:val="28"/>
        </w:rPr>
        <w:t>18.2. no 100 līdz 499 darbin</w:t>
      </w:r>
      <w:r>
        <w:rPr>
          <w:sz w:val="28"/>
          <w:szCs w:val="28"/>
        </w:rPr>
        <w:t xml:space="preserve">iekiem – </w:t>
      </w:r>
      <w:r w:rsidR="00642B70" w:rsidRPr="00642B70">
        <w:rPr>
          <w:sz w:val="28"/>
          <w:szCs w:val="28"/>
        </w:rPr>
        <w:t>11041,49</w:t>
      </w:r>
      <w:r>
        <w:rPr>
          <w:sz w:val="28"/>
          <w:szCs w:val="28"/>
        </w:rPr>
        <w:t xml:space="preserve"> </w:t>
      </w:r>
      <w:r w:rsidR="00642B70" w:rsidRPr="00642B70">
        <w:rPr>
          <w:i/>
          <w:sz w:val="28"/>
          <w:szCs w:val="28"/>
        </w:rPr>
        <w:t>euro</w:t>
      </w:r>
      <w:r>
        <w:rPr>
          <w:sz w:val="28"/>
          <w:szCs w:val="28"/>
        </w:rPr>
        <w:t xml:space="preserve"> par objektu;</w:t>
      </w:r>
    </w:p>
    <w:p w:rsidR="00CC0BE9" w:rsidRPr="00CC0BE9" w:rsidRDefault="00CC0BE9" w:rsidP="00354EEA">
      <w:pPr>
        <w:spacing w:after="120"/>
        <w:ind w:left="709" w:right="-239" w:firstLine="11"/>
        <w:jc w:val="both"/>
        <w:rPr>
          <w:sz w:val="28"/>
          <w:szCs w:val="28"/>
        </w:rPr>
      </w:pPr>
      <w:r w:rsidRPr="00CC0BE9">
        <w:rPr>
          <w:sz w:val="28"/>
          <w:szCs w:val="28"/>
        </w:rPr>
        <w:lastRenderedPageBreak/>
        <w:t>18.3. no 500 līdz 999 darbini</w:t>
      </w:r>
      <w:r>
        <w:rPr>
          <w:sz w:val="28"/>
          <w:szCs w:val="28"/>
        </w:rPr>
        <w:t xml:space="preserve">ekiem – </w:t>
      </w:r>
      <w:r w:rsidR="00642B70" w:rsidRPr="00642B70">
        <w:rPr>
          <w:sz w:val="28"/>
          <w:szCs w:val="28"/>
        </w:rPr>
        <w:t>21422,76</w:t>
      </w:r>
      <w:r>
        <w:rPr>
          <w:sz w:val="28"/>
          <w:szCs w:val="28"/>
        </w:rPr>
        <w:t xml:space="preserve"> </w:t>
      </w:r>
      <w:r w:rsidR="00642B70" w:rsidRPr="00642B70">
        <w:rPr>
          <w:i/>
          <w:sz w:val="28"/>
          <w:szCs w:val="28"/>
        </w:rPr>
        <w:t>euro</w:t>
      </w:r>
      <w:r>
        <w:rPr>
          <w:sz w:val="28"/>
          <w:szCs w:val="28"/>
        </w:rPr>
        <w:t xml:space="preserve"> par objektu;</w:t>
      </w:r>
    </w:p>
    <w:p w:rsidR="00CC0BE9" w:rsidRPr="00CC0BE9" w:rsidRDefault="00CC0BE9" w:rsidP="00354EEA">
      <w:pPr>
        <w:spacing w:after="120"/>
        <w:ind w:left="709" w:right="-239" w:firstLine="11"/>
        <w:jc w:val="both"/>
        <w:rPr>
          <w:sz w:val="28"/>
          <w:szCs w:val="28"/>
        </w:rPr>
      </w:pPr>
      <w:r w:rsidRPr="00CC0BE9">
        <w:rPr>
          <w:sz w:val="28"/>
          <w:szCs w:val="28"/>
        </w:rPr>
        <w:t xml:space="preserve">18.4. 1000 darbinieku un vairāk – </w:t>
      </w:r>
      <w:r w:rsidR="00354EEA" w:rsidRPr="00354EEA">
        <w:rPr>
          <w:sz w:val="28"/>
          <w:szCs w:val="28"/>
        </w:rPr>
        <w:t>35924,67</w:t>
      </w:r>
      <w:r w:rsidR="00354EEA">
        <w:rPr>
          <w:sz w:val="28"/>
          <w:szCs w:val="28"/>
        </w:rPr>
        <w:t xml:space="preserve"> </w:t>
      </w:r>
      <w:r w:rsidR="00354EEA" w:rsidRPr="00354EEA">
        <w:rPr>
          <w:i/>
          <w:sz w:val="28"/>
          <w:szCs w:val="28"/>
        </w:rPr>
        <w:t>euro</w:t>
      </w:r>
      <w:r w:rsidRPr="00CC0BE9">
        <w:rPr>
          <w:sz w:val="28"/>
          <w:szCs w:val="28"/>
        </w:rPr>
        <w:t xml:space="preserve"> par objektu.</w:t>
      </w:r>
    </w:p>
    <w:p w:rsidR="00CC0BE9" w:rsidRPr="00CC0BE9" w:rsidRDefault="00CC0BE9" w:rsidP="00354EEA">
      <w:pPr>
        <w:spacing w:after="120"/>
        <w:ind w:left="709" w:right="-239" w:firstLine="11"/>
        <w:jc w:val="both"/>
        <w:rPr>
          <w:sz w:val="28"/>
          <w:szCs w:val="28"/>
        </w:rPr>
      </w:pPr>
      <w:r w:rsidRPr="00CC0BE9">
        <w:rPr>
          <w:sz w:val="28"/>
          <w:szCs w:val="28"/>
        </w:rPr>
        <w:t>19. Privatizējamo vai atsavināmo valsts īpašumu (izņemot nekustamos īpašumus un zemi) novērtēšanas finansēšanai noteikti šādi atskaitījumu normatīvi:</w:t>
      </w:r>
    </w:p>
    <w:p w:rsidR="00CC0BE9" w:rsidRPr="00CC0BE9" w:rsidRDefault="00CC0BE9" w:rsidP="00354EEA">
      <w:pPr>
        <w:spacing w:after="120"/>
        <w:ind w:left="709" w:right="-239" w:firstLine="11"/>
        <w:jc w:val="both"/>
        <w:rPr>
          <w:sz w:val="28"/>
          <w:szCs w:val="28"/>
        </w:rPr>
      </w:pPr>
      <w:r w:rsidRPr="00CC0BE9">
        <w:rPr>
          <w:sz w:val="28"/>
          <w:szCs w:val="28"/>
        </w:rPr>
        <w:t>19.1. pēc īpašuma fiziskās substances (aktīvu) metodes – 1,3 procenti no valsts kapitālsabiedrības pamatlīdzekļu atlikuma bilances vērtības, ka</w:t>
      </w:r>
      <w:r w:rsidR="001154F8">
        <w:rPr>
          <w:sz w:val="28"/>
          <w:szCs w:val="28"/>
        </w:rPr>
        <w:t>s norādīta pirmajā novērtējumā;</w:t>
      </w:r>
    </w:p>
    <w:p w:rsidR="00CC0BE9" w:rsidRPr="00CC0BE9" w:rsidRDefault="00CC0BE9" w:rsidP="00354EEA">
      <w:pPr>
        <w:spacing w:after="120"/>
        <w:ind w:left="709" w:right="-239" w:firstLine="11"/>
        <w:jc w:val="both"/>
        <w:rPr>
          <w:sz w:val="28"/>
          <w:szCs w:val="28"/>
        </w:rPr>
      </w:pPr>
      <w:r w:rsidRPr="00CC0BE9">
        <w:rPr>
          <w:sz w:val="28"/>
          <w:szCs w:val="28"/>
        </w:rPr>
        <w:t>19.2</w:t>
      </w:r>
      <w:r w:rsidR="001154F8">
        <w:rPr>
          <w:sz w:val="28"/>
          <w:szCs w:val="28"/>
        </w:rPr>
        <w:t>. pēc citām vērtēšanas metodēm:</w:t>
      </w:r>
    </w:p>
    <w:p w:rsidR="00CC0BE9" w:rsidRPr="00CC0BE9" w:rsidRDefault="00CC0BE9" w:rsidP="00354EEA">
      <w:pPr>
        <w:spacing w:after="120"/>
        <w:ind w:left="709" w:right="-239" w:firstLine="11"/>
        <w:jc w:val="both"/>
        <w:rPr>
          <w:sz w:val="28"/>
          <w:szCs w:val="28"/>
        </w:rPr>
      </w:pPr>
      <w:r w:rsidRPr="00CC0BE9">
        <w:rPr>
          <w:sz w:val="28"/>
          <w:szCs w:val="28"/>
        </w:rPr>
        <w:t>19.2.1. līdz 999 darbin</w:t>
      </w:r>
      <w:r w:rsidR="001154F8">
        <w:rPr>
          <w:sz w:val="28"/>
          <w:szCs w:val="28"/>
        </w:rPr>
        <w:t xml:space="preserve">iekiem – </w:t>
      </w:r>
      <w:r w:rsidR="00354EEA" w:rsidRPr="00354EEA">
        <w:rPr>
          <w:sz w:val="28"/>
          <w:szCs w:val="28"/>
        </w:rPr>
        <w:t>1434,25</w:t>
      </w:r>
      <w:r w:rsidR="001154F8">
        <w:rPr>
          <w:sz w:val="28"/>
          <w:szCs w:val="28"/>
        </w:rPr>
        <w:t xml:space="preserve"> </w:t>
      </w:r>
      <w:r w:rsidR="00354EEA" w:rsidRPr="00354EEA">
        <w:rPr>
          <w:i/>
          <w:sz w:val="28"/>
          <w:szCs w:val="28"/>
        </w:rPr>
        <w:t>euro</w:t>
      </w:r>
      <w:r w:rsidR="001154F8">
        <w:rPr>
          <w:sz w:val="28"/>
          <w:szCs w:val="28"/>
        </w:rPr>
        <w:t xml:space="preserve"> par objektu;</w:t>
      </w:r>
    </w:p>
    <w:p w:rsidR="00CC0BE9" w:rsidRPr="00CC0BE9" w:rsidRDefault="00CC0BE9" w:rsidP="00354EEA">
      <w:pPr>
        <w:spacing w:after="120"/>
        <w:ind w:left="709" w:right="-239" w:firstLine="11"/>
        <w:jc w:val="both"/>
        <w:rPr>
          <w:sz w:val="28"/>
          <w:szCs w:val="28"/>
        </w:rPr>
      </w:pPr>
      <w:r w:rsidRPr="00CC0BE9">
        <w:rPr>
          <w:sz w:val="28"/>
          <w:szCs w:val="28"/>
        </w:rPr>
        <w:t>19.2.2. 1000 darbinieku un vairāk</w:t>
      </w:r>
      <w:r w:rsidR="001154F8">
        <w:rPr>
          <w:sz w:val="28"/>
          <w:szCs w:val="28"/>
        </w:rPr>
        <w:t xml:space="preserve"> – </w:t>
      </w:r>
      <w:r w:rsidR="00354EEA" w:rsidRPr="00354EEA">
        <w:rPr>
          <w:sz w:val="28"/>
          <w:szCs w:val="28"/>
        </w:rPr>
        <w:t>3585,64</w:t>
      </w:r>
      <w:r w:rsidR="001154F8">
        <w:rPr>
          <w:sz w:val="28"/>
          <w:szCs w:val="28"/>
        </w:rPr>
        <w:t xml:space="preserve"> </w:t>
      </w:r>
      <w:r w:rsidR="00354EEA" w:rsidRPr="00354EEA">
        <w:rPr>
          <w:i/>
          <w:sz w:val="28"/>
          <w:szCs w:val="28"/>
        </w:rPr>
        <w:t>euro</w:t>
      </w:r>
      <w:r w:rsidR="001154F8">
        <w:rPr>
          <w:sz w:val="28"/>
          <w:szCs w:val="28"/>
        </w:rPr>
        <w:t xml:space="preserve"> par objektu;</w:t>
      </w:r>
    </w:p>
    <w:p w:rsidR="00CC0BE9" w:rsidRPr="00CC0BE9" w:rsidRDefault="00CC0BE9" w:rsidP="00354EEA">
      <w:pPr>
        <w:spacing w:after="120"/>
        <w:ind w:left="709" w:right="-238" w:firstLine="11"/>
        <w:jc w:val="both"/>
        <w:rPr>
          <w:sz w:val="28"/>
          <w:szCs w:val="28"/>
        </w:rPr>
      </w:pPr>
      <w:r w:rsidRPr="00CC0BE9">
        <w:rPr>
          <w:sz w:val="28"/>
          <w:szCs w:val="28"/>
        </w:rPr>
        <w:t>19.3. ja novērtēšana veikta pēc īpašuma fiziskās substances (aktīvu) metodes un citām vērtēšanas metodēm, piemēro gan šo noteikumu 19.1.apakšpunktā, gan 19.2.apakšpunktā n</w:t>
      </w:r>
      <w:r w:rsidR="001154F8">
        <w:rPr>
          <w:sz w:val="28"/>
          <w:szCs w:val="28"/>
        </w:rPr>
        <w:t>oteikto atskaitījumu normatīvu.</w:t>
      </w:r>
      <w:r w:rsidR="00F60AF3">
        <w:rPr>
          <w:sz w:val="28"/>
          <w:szCs w:val="28"/>
        </w:rPr>
        <w:t>”</w:t>
      </w:r>
    </w:p>
    <w:p w:rsidR="00CC0BE9" w:rsidRPr="002F15B4" w:rsidRDefault="002F15B4" w:rsidP="002F15B4">
      <w:pPr>
        <w:numPr>
          <w:ilvl w:val="1"/>
          <w:numId w:val="7"/>
        </w:numPr>
        <w:spacing w:after="120"/>
        <w:ind w:right="-238"/>
        <w:jc w:val="both"/>
        <w:rPr>
          <w:color w:val="00B050"/>
          <w:sz w:val="28"/>
          <w:szCs w:val="28"/>
          <w:lang w:eastAsia="en-US"/>
        </w:rPr>
      </w:pPr>
      <w:r w:rsidRPr="002F15B4">
        <w:rPr>
          <w:sz w:val="28"/>
          <w:szCs w:val="28"/>
        </w:rPr>
        <w:t>Aizstāt noteikumu 20.</w:t>
      </w:r>
      <w:r>
        <w:rPr>
          <w:sz w:val="28"/>
          <w:szCs w:val="28"/>
        </w:rPr>
        <w:t>punktā skaitli un vārdu „1000 latu</w:t>
      </w:r>
      <w:r w:rsidRPr="002F15B4">
        <w:rPr>
          <w:sz w:val="28"/>
          <w:szCs w:val="28"/>
        </w:rPr>
        <w:t>” ar skaitli un vārdu „</w:t>
      </w:r>
      <w:r w:rsidR="00354EEA" w:rsidRPr="002F15B4">
        <w:rPr>
          <w:sz w:val="28"/>
          <w:szCs w:val="28"/>
        </w:rPr>
        <w:t xml:space="preserve">1422,87 </w:t>
      </w:r>
      <w:r w:rsidR="00354EEA" w:rsidRPr="002F15B4">
        <w:rPr>
          <w:i/>
          <w:sz w:val="28"/>
          <w:szCs w:val="28"/>
        </w:rPr>
        <w:t>euro</w:t>
      </w:r>
      <w:r>
        <w:rPr>
          <w:i/>
          <w:sz w:val="28"/>
          <w:szCs w:val="28"/>
        </w:rPr>
        <w:t>”.</w:t>
      </w:r>
    </w:p>
    <w:p w:rsidR="001E7B37" w:rsidRPr="002C57B8" w:rsidRDefault="002F15B4" w:rsidP="001E7B37">
      <w:pPr>
        <w:numPr>
          <w:ilvl w:val="1"/>
          <w:numId w:val="7"/>
        </w:numPr>
        <w:spacing w:after="120"/>
        <w:ind w:right="-238"/>
        <w:jc w:val="both"/>
        <w:rPr>
          <w:color w:val="00B050"/>
          <w:sz w:val="28"/>
          <w:szCs w:val="28"/>
          <w:lang w:eastAsia="en-US"/>
        </w:rPr>
      </w:pPr>
      <w:r>
        <w:rPr>
          <w:color w:val="000000"/>
          <w:sz w:val="28"/>
          <w:szCs w:val="28"/>
        </w:rPr>
        <w:t>Aizstāt noteikumu 21.</w:t>
      </w:r>
      <w:r w:rsidR="001E7B37">
        <w:rPr>
          <w:color w:val="000000"/>
          <w:sz w:val="28"/>
          <w:szCs w:val="28"/>
        </w:rPr>
        <w:t>un 25.</w:t>
      </w:r>
      <w:r>
        <w:rPr>
          <w:color w:val="000000"/>
          <w:sz w:val="28"/>
          <w:szCs w:val="28"/>
        </w:rPr>
        <w:t>punktā skaitli un vārdu „76 lati” ar skaitli un vārdu „</w:t>
      </w:r>
      <w:r w:rsidRPr="00354EEA">
        <w:rPr>
          <w:color w:val="000000"/>
          <w:sz w:val="28"/>
          <w:szCs w:val="28"/>
        </w:rPr>
        <w:t>108,14</w:t>
      </w:r>
      <w:r>
        <w:rPr>
          <w:color w:val="000000"/>
          <w:sz w:val="28"/>
          <w:szCs w:val="28"/>
        </w:rPr>
        <w:t xml:space="preserve"> </w:t>
      </w:r>
      <w:r w:rsidRPr="001154F8">
        <w:rPr>
          <w:i/>
          <w:color w:val="000000"/>
          <w:sz w:val="28"/>
          <w:szCs w:val="28"/>
        </w:rPr>
        <w:t>euro</w:t>
      </w:r>
      <w:r>
        <w:rPr>
          <w:color w:val="000000"/>
          <w:sz w:val="28"/>
          <w:szCs w:val="28"/>
        </w:rPr>
        <w:t>”.</w:t>
      </w:r>
    </w:p>
    <w:p w:rsidR="00F11552" w:rsidRPr="00CA272F" w:rsidRDefault="00A77541" w:rsidP="005F18F4">
      <w:pPr>
        <w:pStyle w:val="NormalWeb"/>
        <w:numPr>
          <w:ilvl w:val="0"/>
          <w:numId w:val="6"/>
        </w:numPr>
        <w:spacing w:before="0" w:after="0"/>
        <w:rPr>
          <w:sz w:val="28"/>
          <w:szCs w:val="28"/>
        </w:rPr>
      </w:pPr>
      <w:r>
        <w:rPr>
          <w:sz w:val="28"/>
          <w:szCs w:val="28"/>
        </w:rPr>
        <w:t>Noteikumi</w:t>
      </w:r>
      <w:r w:rsidRPr="00CA272F">
        <w:rPr>
          <w:sz w:val="28"/>
          <w:szCs w:val="28"/>
        </w:rPr>
        <w:t xml:space="preserve"> </w:t>
      </w:r>
      <w:r w:rsidR="00F11552" w:rsidRPr="00CA272F">
        <w:rPr>
          <w:sz w:val="28"/>
          <w:szCs w:val="28"/>
        </w:rPr>
        <w:t xml:space="preserve">stājas spēkā </w:t>
      </w:r>
      <w:r w:rsidR="005C4E05" w:rsidRPr="005C4E05">
        <w:rPr>
          <w:sz w:val="28"/>
          <w:szCs w:val="28"/>
        </w:rPr>
        <w:t>2014.gada 1.janvārī.</w:t>
      </w:r>
    </w:p>
    <w:p w:rsidR="00354EEA" w:rsidRDefault="00354EEA" w:rsidP="00354EEA">
      <w:pPr>
        <w:tabs>
          <w:tab w:val="left" w:pos="6946"/>
        </w:tabs>
        <w:spacing w:after="120"/>
        <w:rPr>
          <w:rFonts w:eastAsia="Calibri"/>
          <w:b/>
          <w:sz w:val="28"/>
          <w:szCs w:val="28"/>
          <w:lang w:eastAsia="en-US"/>
        </w:rPr>
      </w:pPr>
    </w:p>
    <w:p w:rsidR="001F584B" w:rsidRPr="00AF77FE" w:rsidRDefault="001F584B" w:rsidP="00354EEA">
      <w:pPr>
        <w:tabs>
          <w:tab w:val="left" w:pos="6946"/>
        </w:tabs>
        <w:spacing w:after="120"/>
        <w:rPr>
          <w:rFonts w:eastAsia="Calibri"/>
          <w:b/>
          <w:sz w:val="28"/>
          <w:szCs w:val="28"/>
          <w:lang w:eastAsia="en-US"/>
        </w:rPr>
      </w:pPr>
      <w:r>
        <w:rPr>
          <w:rFonts w:eastAsia="Calibri"/>
          <w:b/>
          <w:sz w:val="28"/>
          <w:szCs w:val="28"/>
          <w:lang w:eastAsia="en-US"/>
        </w:rPr>
        <w:t>Ministru prezidents</w:t>
      </w:r>
      <w:r>
        <w:rPr>
          <w:rFonts w:eastAsia="Calibri"/>
          <w:b/>
          <w:sz w:val="28"/>
          <w:szCs w:val="28"/>
          <w:lang w:eastAsia="en-US"/>
        </w:rPr>
        <w:tab/>
      </w:r>
      <w:r w:rsidRPr="00AF77FE">
        <w:rPr>
          <w:rFonts w:eastAsia="Calibri"/>
          <w:b/>
          <w:sz w:val="28"/>
          <w:szCs w:val="28"/>
          <w:lang w:eastAsia="en-US"/>
        </w:rPr>
        <w:t>V.Dombrovskis</w:t>
      </w:r>
    </w:p>
    <w:p w:rsidR="001F584B" w:rsidRPr="00AF77FE" w:rsidRDefault="001F584B" w:rsidP="004606ED">
      <w:pPr>
        <w:tabs>
          <w:tab w:val="left" w:pos="6946"/>
        </w:tabs>
        <w:spacing w:after="240"/>
        <w:rPr>
          <w:rFonts w:eastAsia="Calibri"/>
          <w:b/>
          <w:sz w:val="28"/>
          <w:szCs w:val="28"/>
          <w:lang w:eastAsia="en-US"/>
        </w:rPr>
      </w:pPr>
      <w:r w:rsidRPr="00AF77FE">
        <w:rPr>
          <w:rFonts w:eastAsia="Calibri"/>
          <w:b/>
          <w:sz w:val="28"/>
          <w:szCs w:val="28"/>
          <w:lang w:eastAsia="en-US"/>
        </w:rPr>
        <w:t>Ekonomikas ministrs</w:t>
      </w:r>
      <w:r w:rsidRPr="00AF77FE">
        <w:rPr>
          <w:rFonts w:eastAsia="Calibri"/>
          <w:b/>
          <w:sz w:val="28"/>
          <w:szCs w:val="28"/>
          <w:lang w:eastAsia="en-US"/>
        </w:rPr>
        <w:tab/>
        <w:t>D.Pavļuts</w:t>
      </w:r>
    </w:p>
    <w:p w:rsidR="001F584B" w:rsidRPr="00AF77FE" w:rsidRDefault="001F584B" w:rsidP="004606ED">
      <w:pPr>
        <w:spacing w:after="240"/>
        <w:rPr>
          <w:rFonts w:eastAsia="Calibri"/>
          <w:b/>
          <w:sz w:val="28"/>
          <w:szCs w:val="28"/>
          <w:lang w:eastAsia="en-US"/>
        </w:rPr>
      </w:pPr>
      <w:r w:rsidRPr="00AF77FE">
        <w:rPr>
          <w:rFonts w:eastAsia="Calibri"/>
          <w:b/>
          <w:sz w:val="28"/>
          <w:szCs w:val="28"/>
          <w:lang w:eastAsia="en-US"/>
        </w:rPr>
        <w:t>Iesniedzējs:</w:t>
      </w:r>
    </w:p>
    <w:p w:rsidR="004606ED" w:rsidRDefault="001F584B" w:rsidP="004606ED">
      <w:pPr>
        <w:tabs>
          <w:tab w:val="left" w:pos="6946"/>
        </w:tabs>
        <w:spacing w:after="240"/>
        <w:rPr>
          <w:rFonts w:eastAsia="Calibri"/>
          <w:b/>
          <w:sz w:val="28"/>
          <w:szCs w:val="28"/>
          <w:lang w:eastAsia="en-US"/>
        </w:rPr>
      </w:pPr>
      <w:r w:rsidRPr="00AF77FE">
        <w:rPr>
          <w:rFonts w:eastAsia="Calibri"/>
          <w:b/>
          <w:sz w:val="28"/>
          <w:szCs w:val="28"/>
          <w:lang w:eastAsia="en-US"/>
        </w:rPr>
        <w:t>Ekonomikas ministrs</w:t>
      </w:r>
      <w:r w:rsidRPr="00AF77FE">
        <w:rPr>
          <w:rFonts w:eastAsia="Calibri"/>
          <w:b/>
          <w:sz w:val="28"/>
          <w:szCs w:val="28"/>
          <w:lang w:eastAsia="en-US"/>
        </w:rPr>
        <w:tab/>
        <w:t>D.Pavļuts</w:t>
      </w:r>
    </w:p>
    <w:p w:rsidR="00376289" w:rsidRPr="00376289" w:rsidRDefault="001F584B" w:rsidP="00376289">
      <w:pPr>
        <w:tabs>
          <w:tab w:val="left" w:pos="7655"/>
        </w:tabs>
        <w:ind w:right="-522"/>
        <w:rPr>
          <w:b/>
          <w:sz w:val="28"/>
        </w:rPr>
      </w:pPr>
      <w:r>
        <w:rPr>
          <w:rFonts w:eastAsia="Calibri"/>
          <w:b/>
          <w:sz w:val="28"/>
          <w:szCs w:val="28"/>
          <w:lang w:eastAsia="en-US"/>
        </w:rPr>
        <w:t xml:space="preserve">Vīza: </w:t>
      </w:r>
      <w:r w:rsidR="00376289" w:rsidRPr="00376289">
        <w:rPr>
          <w:b/>
          <w:sz w:val="28"/>
        </w:rPr>
        <w:t xml:space="preserve">valsts sekretāra </w:t>
      </w:r>
    </w:p>
    <w:p w:rsidR="00376289" w:rsidRPr="00376289" w:rsidRDefault="00376289" w:rsidP="00376289">
      <w:pPr>
        <w:tabs>
          <w:tab w:val="left" w:pos="7655"/>
        </w:tabs>
        <w:ind w:right="-521"/>
        <w:rPr>
          <w:b/>
          <w:sz w:val="28"/>
        </w:rPr>
      </w:pPr>
      <w:r w:rsidRPr="00376289">
        <w:rPr>
          <w:b/>
          <w:sz w:val="28"/>
        </w:rPr>
        <w:t xml:space="preserve">pienākumu izpildītājs - </w:t>
      </w:r>
    </w:p>
    <w:p w:rsidR="00376289" w:rsidRPr="00376289" w:rsidRDefault="00376289" w:rsidP="00376289">
      <w:pPr>
        <w:tabs>
          <w:tab w:val="left" w:pos="6946"/>
        </w:tabs>
        <w:rPr>
          <w:rFonts w:eastAsia="Calibri"/>
          <w:b/>
          <w:sz w:val="28"/>
          <w:szCs w:val="28"/>
          <w:lang w:eastAsia="en-US"/>
        </w:rPr>
      </w:pPr>
      <w:r w:rsidRPr="00376289">
        <w:rPr>
          <w:b/>
          <w:sz w:val="28"/>
        </w:rPr>
        <w:t xml:space="preserve">valsts sekretāra vietnieks                             </w:t>
      </w:r>
      <w:r w:rsidRPr="00376289">
        <w:rPr>
          <w:b/>
          <w:sz w:val="28"/>
        </w:rPr>
        <w:tab/>
      </w:r>
      <w:r w:rsidRPr="00376289">
        <w:rPr>
          <w:b/>
          <w:sz w:val="28"/>
        </w:rPr>
        <w:tab/>
        <w:t>A.Liepiņš</w:t>
      </w:r>
    </w:p>
    <w:p w:rsidR="00376289" w:rsidRDefault="00376289" w:rsidP="00376289">
      <w:pPr>
        <w:tabs>
          <w:tab w:val="left" w:pos="6946"/>
        </w:tabs>
        <w:spacing w:after="240"/>
        <w:rPr>
          <w:szCs w:val="24"/>
        </w:rPr>
      </w:pPr>
    </w:p>
    <w:p w:rsidR="00376289" w:rsidRDefault="00927FB6" w:rsidP="00376289">
      <w:pPr>
        <w:tabs>
          <w:tab w:val="left" w:pos="6946"/>
        </w:tabs>
        <w:rPr>
          <w:szCs w:val="24"/>
        </w:rPr>
      </w:pPr>
      <w:r>
        <w:rPr>
          <w:szCs w:val="24"/>
        </w:rPr>
        <w:t>06</w:t>
      </w:r>
      <w:r w:rsidR="00376289">
        <w:rPr>
          <w:szCs w:val="24"/>
        </w:rPr>
        <w:t>.12</w:t>
      </w:r>
      <w:r w:rsidR="00907653" w:rsidRPr="004220BB">
        <w:rPr>
          <w:szCs w:val="24"/>
        </w:rPr>
        <w:t xml:space="preserve">.2013. </w:t>
      </w:r>
      <w:r>
        <w:rPr>
          <w:szCs w:val="24"/>
        </w:rPr>
        <w:t>11</w:t>
      </w:r>
      <w:r w:rsidR="00907653" w:rsidRPr="004220BB">
        <w:rPr>
          <w:szCs w:val="24"/>
        </w:rPr>
        <w:t>:00</w:t>
      </w:r>
    </w:p>
    <w:p w:rsidR="00907653" w:rsidRPr="00376289" w:rsidRDefault="00376289" w:rsidP="00376289">
      <w:pPr>
        <w:tabs>
          <w:tab w:val="left" w:pos="6946"/>
        </w:tabs>
        <w:rPr>
          <w:szCs w:val="24"/>
        </w:rPr>
      </w:pPr>
      <w:r>
        <w:rPr>
          <w:szCs w:val="24"/>
        </w:rPr>
        <w:t>396</w:t>
      </w:r>
      <w:bookmarkStart w:id="0" w:name="_GoBack"/>
      <w:bookmarkEnd w:id="0"/>
    </w:p>
    <w:p w:rsidR="00907653" w:rsidRPr="004220BB" w:rsidRDefault="00907653" w:rsidP="00376289">
      <w:pPr>
        <w:pStyle w:val="naisf"/>
        <w:spacing w:before="0" w:after="0"/>
        <w:ind w:firstLine="0"/>
      </w:pPr>
      <w:r w:rsidRPr="004220BB">
        <w:t>Drāke</w:t>
      </w:r>
    </w:p>
    <w:p w:rsidR="00F60AF3" w:rsidRDefault="00907653" w:rsidP="00376289">
      <w:pPr>
        <w:pStyle w:val="naisf"/>
        <w:spacing w:before="0" w:after="0"/>
        <w:ind w:firstLine="0"/>
      </w:pPr>
      <w:r w:rsidRPr="004220BB">
        <w:t>67013162, Martins.Drake@em.gov.lv</w:t>
      </w:r>
    </w:p>
    <w:p w:rsidR="00F60AF3" w:rsidRPr="00F60AF3" w:rsidRDefault="00F60AF3" w:rsidP="00F60AF3"/>
    <w:p w:rsidR="006F500B" w:rsidRPr="00F60AF3" w:rsidRDefault="006F500B" w:rsidP="00F60AF3">
      <w:pPr>
        <w:tabs>
          <w:tab w:val="left" w:pos="1290"/>
        </w:tabs>
      </w:pPr>
    </w:p>
    <w:sectPr w:rsidR="006F500B" w:rsidRPr="00F60AF3" w:rsidSect="001154F8">
      <w:footerReference w:type="default" r:id="rId9"/>
      <w:pgSz w:w="11906" w:h="16838"/>
      <w:pgMar w:top="567" w:right="1276"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6F" w:rsidRDefault="00BC2A6F">
      <w:r>
        <w:separator/>
      </w:r>
    </w:p>
  </w:endnote>
  <w:endnote w:type="continuationSeparator" w:id="0">
    <w:p w:rsidR="00BC2A6F" w:rsidRDefault="00BC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433DE5" w:rsidRDefault="00EA7C62" w:rsidP="004606ED">
    <w:pPr>
      <w:jc w:val="both"/>
      <w:rPr>
        <w:sz w:val="20"/>
      </w:rPr>
    </w:pPr>
    <w:r>
      <w:rPr>
        <w:sz w:val="20"/>
      </w:rPr>
      <w:t>EMNot_</w:t>
    </w:r>
    <w:r w:rsidR="00927FB6">
      <w:rPr>
        <w:sz w:val="20"/>
      </w:rPr>
      <w:t>06</w:t>
    </w:r>
    <w:r w:rsidR="00376289">
      <w:rPr>
        <w:sz w:val="20"/>
      </w:rPr>
      <w:t>12</w:t>
    </w:r>
    <w:r>
      <w:rPr>
        <w:sz w:val="20"/>
      </w:rPr>
      <w:t>13</w:t>
    </w:r>
    <w:r w:rsidRPr="00433DE5">
      <w:rPr>
        <w:sz w:val="20"/>
      </w:rPr>
      <w:t xml:space="preserve">; Ministru kabineta noteikumu projekts </w:t>
    </w:r>
    <w:r>
      <w:rPr>
        <w:sz w:val="20"/>
      </w:rPr>
      <w:t>„</w:t>
    </w:r>
    <w:r w:rsidR="00A878E8">
      <w:rPr>
        <w:sz w:val="20"/>
      </w:rPr>
      <w:t>Grozījumi Ministru kabineta 2011</w:t>
    </w:r>
    <w:r w:rsidR="004606ED" w:rsidRPr="004606ED">
      <w:rPr>
        <w:sz w:val="20"/>
      </w:rPr>
      <w:t xml:space="preserve">.gada </w:t>
    </w:r>
    <w:r w:rsidR="00A878E8">
      <w:rPr>
        <w:sz w:val="20"/>
      </w:rPr>
      <w:t>20.decembra noteikumos Nr.976</w:t>
    </w:r>
    <w:r w:rsidR="004606ED" w:rsidRPr="004606ED">
      <w:rPr>
        <w:sz w:val="20"/>
      </w:rPr>
      <w:t xml:space="preserve"> „</w:t>
    </w:r>
    <w:r w:rsidR="00A878E8" w:rsidRPr="00A878E8">
      <w:rPr>
        <w:sz w:val="20"/>
      </w:rPr>
      <w:t>Kārtība, kādā veicami atskaitījumi Privatizācijas aģentūrai par valsts īpašuma privatizāciju, valsts kapitāla daļu atsavināšanu un citām normatīvajos aktos noteiktajām darbībām, izveidojams un izlietojams rezerves fonds un veicami maksājumi valsts budžetā</w:t>
    </w:r>
    <w:r w:rsidR="004606E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6F" w:rsidRDefault="00BC2A6F">
      <w:r>
        <w:separator/>
      </w:r>
    </w:p>
  </w:footnote>
  <w:footnote w:type="continuationSeparator" w:id="0">
    <w:p w:rsidR="00BC2A6F" w:rsidRDefault="00BC2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3C"/>
    <w:multiLevelType w:val="multilevel"/>
    <w:tmpl w:val="42BA4678"/>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0FC3CCB"/>
    <w:multiLevelType w:val="hybridMultilevel"/>
    <w:tmpl w:val="EFCE6DEE"/>
    <w:lvl w:ilvl="0" w:tplc="40A8EB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E9D792F"/>
    <w:multiLevelType w:val="hybridMultilevel"/>
    <w:tmpl w:val="CFDA886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B9B611F"/>
    <w:multiLevelType w:val="multilevel"/>
    <w:tmpl w:val="624C6C0C"/>
    <w:lvl w:ilvl="0">
      <w:start w:val="1"/>
      <w:numFmt w:val="decimal"/>
      <w:lvlText w:val="%1."/>
      <w:lvlJc w:val="left"/>
      <w:pPr>
        <w:ind w:left="1070" w:hanging="360"/>
      </w:pPr>
      <w:rPr>
        <w:rFonts w:hint="default"/>
        <w:b w:val="0"/>
      </w:rPr>
    </w:lvl>
    <w:lvl w:ilvl="1">
      <w:start w:val="2"/>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453E12E6"/>
    <w:multiLevelType w:val="hybridMultilevel"/>
    <w:tmpl w:val="885EF88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53622D49"/>
    <w:multiLevelType w:val="hybridMultilevel"/>
    <w:tmpl w:val="4BFEE87A"/>
    <w:lvl w:ilvl="0" w:tplc="40A8EB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6772440"/>
    <w:multiLevelType w:val="hybridMultilevel"/>
    <w:tmpl w:val="620AA188"/>
    <w:lvl w:ilvl="0" w:tplc="C7D028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11"/>
    <w:rsid w:val="0001364C"/>
    <w:rsid w:val="00040176"/>
    <w:rsid w:val="001154F8"/>
    <w:rsid w:val="00132166"/>
    <w:rsid w:val="00133BF8"/>
    <w:rsid w:val="0018115E"/>
    <w:rsid w:val="00196975"/>
    <w:rsid w:val="001E7B37"/>
    <w:rsid w:val="001F584B"/>
    <w:rsid w:val="00231397"/>
    <w:rsid w:val="00264B6B"/>
    <w:rsid w:val="002A7BD9"/>
    <w:rsid w:val="002B749D"/>
    <w:rsid w:val="002C57B8"/>
    <w:rsid w:val="002F15B4"/>
    <w:rsid w:val="00330E57"/>
    <w:rsid w:val="00354EEA"/>
    <w:rsid w:val="00376289"/>
    <w:rsid w:val="003A79B1"/>
    <w:rsid w:val="003C0EBC"/>
    <w:rsid w:val="003C53F0"/>
    <w:rsid w:val="003D4C21"/>
    <w:rsid w:val="004024EC"/>
    <w:rsid w:val="004220BB"/>
    <w:rsid w:val="004606ED"/>
    <w:rsid w:val="004751C4"/>
    <w:rsid w:val="004C11CC"/>
    <w:rsid w:val="00505C53"/>
    <w:rsid w:val="00513321"/>
    <w:rsid w:val="00577F0C"/>
    <w:rsid w:val="0058055A"/>
    <w:rsid w:val="005C4E05"/>
    <w:rsid w:val="005E5BA5"/>
    <w:rsid w:val="005F18F4"/>
    <w:rsid w:val="00642B70"/>
    <w:rsid w:val="0067227B"/>
    <w:rsid w:val="00685175"/>
    <w:rsid w:val="006B6D02"/>
    <w:rsid w:val="006D6847"/>
    <w:rsid w:val="006F500B"/>
    <w:rsid w:val="00727D66"/>
    <w:rsid w:val="007A34FD"/>
    <w:rsid w:val="007D7F21"/>
    <w:rsid w:val="008126E4"/>
    <w:rsid w:val="00904769"/>
    <w:rsid w:val="00907653"/>
    <w:rsid w:val="00916326"/>
    <w:rsid w:val="00926C40"/>
    <w:rsid w:val="00927DD2"/>
    <w:rsid w:val="00927FB6"/>
    <w:rsid w:val="00951448"/>
    <w:rsid w:val="00982E36"/>
    <w:rsid w:val="009A1411"/>
    <w:rsid w:val="009D7A06"/>
    <w:rsid w:val="00A03F79"/>
    <w:rsid w:val="00A14BA6"/>
    <w:rsid w:val="00A15C38"/>
    <w:rsid w:val="00A41042"/>
    <w:rsid w:val="00A768A5"/>
    <w:rsid w:val="00A77541"/>
    <w:rsid w:val="00A862E7"/>
    <w:rsid w:val="00A878E8"/>
    <w:rsid w:val="00AB3F7B"/>
    <w:rsid w:val="00AC33BB"/>
    <w:rsid w:val="00B4276E"/>
    <w:rsid w:val="00B46B4E"/>
    <w:rsid w:val="00BB2631"/>
    <w:rsid w:val="00BB2679"/>
    <w:rsid w:val="00BC2A6F"/>
    <w:rsid w:val="00BD166B"/>
    <w:rsid w:val="00BE128D"/>
    <w:rsid w:val="00C31D65"/>
    <w:rsid w:val="00C766A0"/>
    <w:rsid w:val="00CC0BE9"/>
    <w:rsid w:val="00CC388A"/>
    <w:rsid w:val="00CC6CB7"/>
    <w:rsid w:val="00D06393"/>
    <w:rsid w:val="00D1579D"/>
    <w:rsid w:val="00D4223D"/>
    <w:rsid w:val="00D42E62"/>
    <w:rsid w:val="00D44D7A"/>
    <w:rsid w:val="00D7367D"/>
    <w:rsid w:val="00D80D45"/>
    <w:rsid w:val="00D82902"/>
    <w:rsid w:val="00DE5369"/>
    <w:rsid w:val="00E4558A"/>
    <w:rsid w:val="00EA20C0"/>
    <w:rsid w:val="00EA6DEF"/>
    <w:rsid w:val="00EA7C62"/>
    <w:rsid w:val="00EB4312"/>
    <w:rsid w:val="00EF16C9"/>
    <w:rsid w:val="00F043B8"/>
    <w:rsid w:val="00F11552"/>
    <w:rsid w:val="00F60AF3"/>
    <w:rsid w:val="00FD5ADA"/>
    <w:rsid w:val="00FF17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1"/>
    <w:rPr>
      <w:rFonts w:eastAsia="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A1411"/>
    <w:pPr>
      <w:ind w:firstLine="567"/>
      <w:jc w:val="both"/>
    </w:pPr>
  </w:style>
  <w:style w:type="character" w:customStyle="1" w:styleId="BodyTextIndentChar">
    <w:name w:val="Body Text Indent Char"/>
    <w:basedOn w:val="DefaultParagraphFont"/>
    <w:link w:val="BodyTextIndent"/>
    <w:semiHidden/>
    <w:rsid w:val="009A1411"/>
    <w:rPr>
      <w:rFonts w:eastAsia="Times New Roman" w:cs="Times New Roman"/>
      <w:sz w:val="24"/>
      <w:szCs w:val="20"/>
      <w:lang w:eastAsia="lv-LV"/>
    </w:rPr>
  </w:style>
  <w:style w:type="paragraph" w:customStyle="1" w:styleId="naisf">
    <w:name w:val="naisf"/>
    <w:basedOn w:val="Normal"/>
    <w:rsid w:val="009A1411"/>
    <w:pPr>
      <w:spacing w:before="75" w:after="75"/>
      <w:ind w:firstLine="375"/>
      <w:jc w:val="both"/>
    </w:pPr>
    <w:rPr>
      <w:szCs w:val="24"/>
    </w:rPr>
  </w:style>
  <w:style w:type="paragraph" w:customStyle="1" w:styleId="StyleRight">
    <w:name w:val="Style Right"/>
    <w:basedOn w:val="Normal"/>
    <w:rsid w:val="009A1411"/>
    <w:pPr>
      <w:spacing w:after="120"/>
      <w:ind w:firstLine="720"/>
      <w:jc w:val="right"/>
    </w:pPr>
    <w:rPr>
      <w:sz w:val="28"/>
      <w:szCs w:val="28"/>
      <w:lang w:eastAsia="en-US"/>
    </w:rPr>
  </w:style>
  <w:style w:type="paragraph" w:styleId="Footer">
    <w:name w:val="footer"/>
    <w:basedOn w:val="Normal"/>
    <w:link w:val="FooterChar"/>
    <w:uiPriority w:val="99"/>
    <w:unhideWhenUsed/>
    <w:rsid w:val="009A1411"/>
    <w:pPr>
      <w:tabs>
        <w:tab w:val="center" w:pos="4153"/>
        <w:tab w:val="right" w:pos="8306"/>
      </w:tabs>
    </w:pPr>
  </w:style>
  <w:style w:type="character" w:customStyle="1" w:styleId="FooterChar">
    <w:name w:val="Footer Char"/>
    <w:basedOn w:val="DefaultParagraphFont"/>
    <w:link w:val="Footer"/>
    <w:uiPriority w:val="99"/>
    <w:rsid w:val="009A1411"/>
    <w:rPr>
      <w:rFonts w:eastAsia="Times New Roman" w:cs="Times New Roman"/>
      <w:sz w:val="24"/>
      <w:szCs w:val="20"/>
      <w:lang w:eastAsia="lv-LV"/>
    </w:rPr>
  </w:style>
  <w:style w:type="paragraph" w:styleId="BodyText">
    <w:name w:val="Body Text"/>
    <w:basedOn w:val="Normal"/>
    <w:link w:val="BodyTextChar"/>
    <w:uiPriority w:val="99"/>
    <w:semiHidden/>
    <w:unhideWhenUsed/>
    <w:rsid w:val="002A7BD9"/>
    <w:pPr>
      <w:spacing w:after="120"/>
    </w:pPr>
  </w:style>
  <w:style w:type="character" w:customStyle="1" w:styleId="BodyTextChar">
    <w:name w:val="Body Text Char"/>
    <w:basedOn w:val="DefaultParagraphFont"/>
    <w:link w:val="BodyText"/>
    <w:uiPriority w:val="99"/>
    <w:semiHidden/>
    <w:rsid w:val="002A7BD9"/>
    <w:rPr>
      <w:rFonts w:eastAsia="Times New Roman" w:cs="Times New Roman"/>
      <w:sz w:val="24"/>
      <w:szCs w:val="20"/>
      <w:lang w:eastAsia="lv-LV"/>
    </w:rPr>
  </w:style>
  <w:style w:type="paragraph" w:styleId="Header">
    <w:name w:val="header"/>
    <w:basedOn w:val="Normal"/>
    <w:link w:val="HeaderChar"/>
    <w:uiPriority w:val="99"/>
    <w:rsid w:val="002A7BD9"/>
    <w:pPr>
      <w:tabs>
        <w:tab w:val="center" w:pos="4153"/>
        <w:tab w:val="right" w:pos="8306"/>
      </w:tabs>
    </w:pPr>
    <w:rPr>
      <w:szCs w:val="24"/>
      <w:lang w:eastAsia="en-US"/>
    </w:rPr>
  </w:style>
  <w:style w:type="character" w:customStyle="1" w:styleId="HeaderChar">
    <w:name w:val="Header Char"/>
    <w:basedOn w:val="DefaultParagraphFont"/>
    <w:link w:val="Header"/>
    <w:uiPriority w:val="99"/>
    <w:rsid w:val="002A7BD9"/>
    <w:rPr>
      <w:rFonts w:eastAsia="Times New Roman" w:cs="Times New Roman"/>
      <w:sz w:val="24"/>
      <w:szCs w:val="24"/>
    </w:rPr>
  </w:style>
  <w:style w:type="character" w:styleId="PageNumber">
    <w:name w:val="page number"/>
    <w:basedOn w:val="DefaultParagraphFont"/>
    <w:rsid w:val="002A7BD9"/>
  </w:style>
  <w:style w:type="paragraph" w:styleId="ListParagraph">
    <w:name w:val="List Paragraph"/>
    <w:basedOn w:val="Normal"/>
    <w:uiPriority w:val="34"/>
    <w:qFormat/>
    <w:rsid w:val="00BB2679"/>
    <w:pPr>
      <w:ind w:left="720"/>
      <w:contextualSpacing/>
    </w:pPr>
  </w:style>
  <w:style w:type="paragraph" w:styleId="NormalWeb">
    <w:name w:val="Normal (Web)"/>
    <w:basedOn w:val="Normal"/>
    <w:uiPriority w:val="99"/>
    <w:rsid w:val="0001364C"/>
    <w:pPr>
      <w:spacing w:before="75" w:after="75"/>
      <w:ind w:firstLine="375"/>
      <w:jc w:val="both"/>
    </w:pPr>
    <w:rPr>
      <w:szCs w:val="24"/>
    </w:rPr>
  </w:style>
  <w:style w:type="paragraph" w:styleId="BalloonText">
    <w:name w:val="Balloon Text"/>
    <w:basedOn w:val="Normal"/>
    <w:link w:val="BalloonTextChar"/>
    <w:uiPriority w:val="99"/>
    <w:semiHidden/>
    <w:unhideWhenUsed/>
    <w:rsid w:val="00EA6DEF"/>
    <w:rPr>
      <w:rFonts w:ascii="Tahoma" w:hAnsi="Tahoma" w:cs="Tahoma"/>
      <w:sz w:val="16"/>
      <w:szCs w:val="16"/>
    </w:rPr>
  </w:style>
  <w:style w:type="character" w:customStyle="1" w:styleId="BalloonTextChar">
    <w:name w:val="Balloon Text Char"/>
    <w:basedOn w:val="DefaultParagraphFont"/>
    <w:link w:val="BalloonText"/>
    <w:uiPriority w:val="99"/>
    <w:semiHidden/>
    <w:rsid w:val="00EA6DEF"/>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6DEF"/>
    <w:rPr>
      <w:sz w:val="16"/>
      <w:szCs w:val="16"/>
    </w:rPr>
  </w:style>
  <w:style w:type="paragraph" w:styleId="CommentText">
    <w:name w:val="annotation text"/>
    <w:basedOn w:val="Normal"/>
    <w:link w:val="CommentTextChar"/>
    <w:uiPriority w:val="99"/>
    <w:semiHidden/>
    <w:unhideWhenUsed/>
    <w:rsid w:val="00EA6DEF"/>
    <w:rPr>
      <w:sz w:val="20"/>
    </w:rPr>
  </w:style>
  <w:style w:type="character" w:customStyle="1" w:styleId="CommentTextChar">
    <w:name w:val="Comment Text Char"/>
    <w:basedOn w:val="DefaultParagraphFont"/>
    <w:link w:val="CommentText"/>
    <w:uiPriority w:val="99"/>
    <w:semiHidden/>
    <w:rsid w:val="00EA6DE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6DEF"/>
    <w:rPr>
      <w:b/>
      <w:bCs/>
    </w:rPr>
  </w:style>
  <w:style w:type="character" w:customStyle="1" w:styleId="CommentSubjectChar">
    <w:name w:val="Comment Subject Char"/>
    <w:basedOn w:val="CommentTextChar"/>
    <w:link w:val="CommentSubject"/>
    <w:uiPriority w:val="99"/>
    <w:semiHidden/>
    <w:rsid w:val="00EA6DEF"/>
    <w:rPr>
      <w:rFonts w:eastAsia="Times New Roman" w:cs="Times New Roman"/>
      <w:b/>
      <w:bCs/>
      <w:sz w:val="20"/>
      <w:szCs w:val="20"/>
      <w:lang w:eastAsia="lv-LV"/>
    </w:rPr>
  </w:style>
  <w:style w:type="paragraph" w:customStyle="1" w:styleId="tv213">
    <w:name w:val="tv213"/>
    <w:basedOn w:val="Normal"/>
    <w:rsid w:val="001E7B37"/>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1"/>
    <w:rPr>
      <w:rFonts w:eastAsia="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A1411"/>
    <w:pPr>
      <w:ind w:firstLine="567"/>
      <w:jc w:val="both"/>
    </w:pPr>
  </w:style>
  <w:style w:type="character" w:customStyle="1" w:styleId="BodyTextIndentChar">
    <w:name w:val="Body Text Indent Char"/>
    <w:basedOn w:val="DefaultParagraphFont"/>
    <w:link w:val="BodyTextIndent"/>
    <w:semiHidden/>
    <w:rsid w:val="009A1411"/>
    <w:rPr>
      <w:rFonts w:eastAsia="Times New Roman" w:cs="Times New Roman"/>
      <w:sz w:val="24"/>
      <w:szCs w:val="20"/>
      <w:lang w:eastAsia="lv-LV"/>
    </w:rPr>
  </w:style>
  <w:style w:type="paragraph" w:customStyle="1" w:styleId="naisf">
    <w:name w:val="naisf"/>
    <w:basedOn w:val="Normal"/>
    <w:rsid w:val="009A1411"/>
    <w:pPr>
      <w:spacing w:before="75" w:after="75"/>
      <w:ind w:firstLine="375"/>
      <w:jc w:val="both"/>
    </w:pPr>
    <w:rPr>
      <w:szCs w:val="24"/>
    </w:rPr>
  </w:style>
  <w:style w:type="paragraph" w:customStyle="1" w:styleId="StyleRight">
    <w:name w:val="Style Right"/>
    <w:basedOn w:val="Normal"/>
    <w:rsid w:val="009A1411"/>
    <w:pPr>
      <w:spacing w:after="120"/>
      <w:ind w:firstLine="720"/>
      <w:jc w:val="right"/>
    </w:pPr>
    <w:rPr>
      <w:sz w:val="28"/>
      <w:szCs w:val="28"/>
      <w:lang w:eastAsia="en-US"/>
    </w:rPr>
  </w:style>
  <w:style w:type="paragraph" w:styleId="Footer">
    <w:name w:val="footer"/>
    <w:basedOn w:val="Normal"/>
    <w:link w:val="FooterChar"/>
    <w:uiPriority w:val="99"/>
    <w:unhideWhenUsed/>
    <w:rsid w:val="009A1411"/>
    <w:pPr>
      <w:tabs>
        <w:tab w:val="center" w:pos="4153"/>
        <w:tab w:val="right" w:pos="8306"/>
      </w:tabs>
    </w:pPr>
  </w:style>
  <w:style w:type="character" w:customStyle="1" w:styleId="FooterChar">
    <w:name w:val="Footer Char"/>
    <w:basedOn w:val="DefaultParagraphFont"/>
    <w:link w:val="Footer"/>
    <w:uiPriority w:val="99"/>
    <w:rsid w:val="009A1411"/>
    <w:rPr>
      <w:rFonts w:eastAsia="Times New Roman" w:cs="Times New Roman"/>
      <w:sz w:val="24"/>
      <w:szCs w:val="20"/>
      <w:lang w:eastAsia="lv-LV"/>
    </w:rPr>
  </w:style>
  <w:style w:type="paragraph" w:styleId="BodyText">
    <w:name w:val="Body Text"/>
    <w:basedOn w:val="Normal"/>
    <w:link w:val="BodyTextChar"/>
    <w:uiPriority w:val="99"/>
    <w:semiHidden/>
    <w:unhideWhenUsed/>
    <w:rsid w:val="002A7BD9"/>
    <w:pPr>
      <w:spacing w:after="120"/>
    </w:pPr>
  </w:style>
  <w:style w:type="character" w:customStyle="1" w:styleId="BodyTextChar">
    <w:name w:val="Body Text Char"/>
    <w:basedOn w:val="DefaultParagraphFont"/>
    <w:link w:val="BodyText"/>
    <w:uiPriority w:val="99"/>
    <w:semiHidden/>
    <w:rsid w:val="002A7BD9"/>
    <w:rPr>
      <w:rFonts w:eastAsia="Times New Roman" w:cs="Times New Roman"/>
      <w:sz w:val="24"/>
      <w:szCs w:val="20"/>
      <w:lang w:eastAsia="lv-LV"/>
    </w:rPr>
  </w:style>
  <w:style w:type="paragraph" w:styleId="Header">
    <w:name w:val="header"/>
    <w:basedOn w:val="Normal"/>
    <w:link w:val="HeaderChar"/>
    <w:uiPriority w:val="99"/>
    <w:rsid w:val="002A7BD9"/>
    <w:pPr>
      <w:tabs>
        <w:tab w:val="center" w:pos="4153"/>
        <w:tab w:val="right" w:pos="8306"/>
      </w:tabs>
    </w:pPr>
    <w:rPr>
      <w:szCs w:val="24"/>
      <w:lang w:eastAsia="en-US"/>
    </w:rPr>
  </w:style>
  <w:style w:type="character" w:customStyle="1" w:styleId="HeaderChar">
    <w:name w:val="Header Char"/>
    <w:basedOn w:val="DefaultParagraphFont"/>
    <w:link w:val="Header"/>
    <w:uiPriority w:val="99"/>
    <w:rsid w:val="002A7BD9"/>
    <w:rPr>
      <w:rFonts w:eastAsia="Times New Roman" w:cs="Times New Roman"/>
      <w:sz w:val="24"/>
      <w:szCs w:val="24"/>
    </w:rPr>
  </w:style>
  <w:style w:type="character" w:styleId="PageNumber">
    <w:name w:val="page number"/>
    <w:basedOn w:val="DefaultParagraphFont"/>
    <w:rsid w:val="002A7BD9"/>
  </w:style>
  <w:style w:type="paragraph" w:styleId="ListParagraph">
    <w:name w:val="List Paragraph"/>
    <w:basedOn w:val="Normal"/>
    <w:uiPriority w:val="34"/>
    <w:qFormat/>
    <w:rsid w:val="00BB2679"/>
    <w:pPr>
      <w:ind w:left="720"/>
      <w:contextualSpacing/>
    </w:pPr>
  </w:style>
  <w:style w:type="paragraph" w:styleId="NormalWeb">
    <w:name w:val="Normal (Web)"/>
    <w:basedOn w:val="Normal"/>
    <w:uiPriority w:val="99"/>
    <w:rsid w:val="0001364C"/>
    <w:pPr>
      <w:spacing w:before="75" w:after="75"/>
      <w:ind w:firstLine="375"/>
      <w:jc w:val="both"/>
    </w:pPr>
    <w:rPr>
      <w:szCs w:val="24"/>
    </w:rPr>
  </w:style>
  <w:style w:type="paragraph" w:styleId="BalloonText">
    <w:name w:val="Balloon Text"/>
    <w:basedOn w:val="Normal"/>
    <w:link w:val="BalloonTextChar"/>
    <w:uiPriority w:val="99"/>
    <w:semiHidden/>
    <w:unhideWhenUsed/>
    <w:rsid w:val="00EA6DEF"/>
    <w:rPr>
      <w:rFonts w:ascii="Tahoma" w:hAnsi="Tahoma" w:cs="Tahoma"/>
      <w:sz w:val="16"/>
      <w:szCs w:val="16"/>
    </w:rPr>
  </w:style>
  <w:style w:type="character" w:customStyle="1" w:styleId="BalloonTextChar">
    <w:name w:val="Balloon Text Char"/>
    <w:basedOn w:val="DefaultParagraphFont"/>
    <w:link w:val="BalloonText"/>
    <w:uiPriority w:val="99"/>
    <w:semiHidden/>
    <w:rsid w:val="00EA6DEF"/>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6DEF"/>
    <w:rPr>
      <w:sz w:val="16"/>
      <w:szCs w:val="16"/>
    </w:rPr>
  </w:style>
  <w:style w:type="paragraph" w:styleId="CommentText">
    <w:name w:val="annotation text"/>
    <w:basedOn w:val="Normal"/>
    <w:link w:val="CommentTextChar"/>
    <w:uiPriority w:val="99"/>
    <w:semiHidden/>
    <w:unhideWhenUsed/>
    <w:rsid w:val="00EA6DEF"/>
    <w:rPr>
      <w:sz w:val="20"/>
    </w:rPr>
  </w:style>
  <w:style w:type="character" w:customStyle="1" w:styleId="CommentTextChar">
    <w:name w:val="Comment Text Char"/>
    <w:basedOn w:val="DefaultParagraphFont"/>
    <w:link w:val="CommentText"/>
    <w:uiPriority w:val="99"/>
    <w:semiHidden/>
    <w:rsid w:val="00EA6DE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6DEF"/>
    <w:rPr>
      <w:b/>
      <w:bCs/>
    </w:rPr>
  </w:style>
  <w:style w:type="character" w:customStyle="1" w:styleId="CommentSubjectChar">
    <w:name w:val="Comment Subject Char"/>
    <w:basedOn w:val="CommentTextChar"/>
    <w:link w:val="CommentSubject"/>
    <w:uiPriority w:val="99"/>
    <w:semiHidden/>
    <w:rsid w:val="00EA6DEF"/>
    <w:rPr>
      <w:rFonts w:eastAsia="Times New Roman" w:cs="Times New Roman"/>
      <w:b/>
      <w:bCs/>
      <w:sz w:val="20"/>
      <w:szCs w:val="20"/>
      <w:lang w:eastAsia="lv-LV"/>
    </w:rPr>
  </w:style>
  <w:style w:type="paragraph" w:customStyle="1" w:styleId="tv213">
    <w:name w:val="tv213"/>
    <w:basedOn w:val="Normal"/>
    <w:rsid w:val="001E7B3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4407">
      <w:bodyDiv w:val="1"/>
      <w:marLeft w:val="0"/>
      <w:marRight w:val="0"/>
      <w:marTop w:val="0"/>
      <w:marBottom w:val="0"/>
      <w:divBdr>
        <w:top w:val="none" w:sz="0" w:space="0" w:color="auto"/>
        <w:left w:val="none" w:sz="0" w:space="0" w:color="auto"/>
        <w:bottom w:val="none" w:sz="0" w:space="0" w:color="auto"/>
        <w:right w:val="none" w:sz="0" w:space="0" w:color="auto"/>
      </w:divBdr>
    </w:div>
    <w:div w:id="743602106">
      <w:bodyDiv w:val="1"/>
      <w:marLeft w:val="0"/>
      <w:marRight w:val="0"/>
      <w:marTop w:val="0"/>
      <w:marBottom w:val="0"/>
      <w:divBdr>
        <w:top w:val="none" w:sz="0" w:space="0" w:color="auto"/>
        <w:left w:val="none" w:sz="0" w:space="0" w:color="auto"/>
        <w:bottom w:val="none" w:sz="0" w:space="0" w:color="auto"/>
        <w:right w:val="none" w:sz="0" w:space="0" w:color="auto"/>
      </w:divBdr>
      <w:divsChild>
        <w:div w:id="807238136">
          <w:marLeft w:val="0"/>
          <w:marRight w:val="0"/>
          <w:marTop w:val="0"/>
          <w:marBottom w:val="0"/>
          <w:divBdr>
            <w:top w:val="none" w:sz="0" w:space="0" w:color="auto"/>
            <w:left w:val="none" w:sz="0" w:space="0" w:color="auto"/>
            <w:bottom w:val="none" w:sz="0" w:space="0" w:color="auto"/>
            <w:right w:val="none" w:sz="0" w:space="0" w:color="auto"/>
          </w:divBdr>
        </w:div>
        <w:div w:id="1396270576">
          <w:marLeft w:val="0"/>
          <w:marRight w:val="0"/>
          <w:marTop w:val="0"/>
          <w:marBottom w:val="0"/>
          <w:divBdr>
            <w:top w:val="none" w:sz="0" w:space="0" w:color="auto"/>
            <w:left w:val="none" w:sz="0" w:space="0" w:color="auto"/>
            <w:bottom w:val="none" w:sz="0" w:space="0" w:color="auto"/>
            <w:right w:val="none" w:sz="0" w:space="0" w:color="auto"/>
          </w:divBdr>
        </w:div>
        <w:div w:id="1025326607">
          <w:marLeft w:val="0"/>
          <w:marRight w:val="0"/>
          <w:marTop w:val="0"/>
          <w:marBottom w:val="0"/>
          <w:divBdr>
            <w:top w:val="none" w:sz="0" w:space="0" w:color="auto"/>
            <w:left w:val="none" w:sz="0" w:space="0" w:color="auto"/>
            <w:bottom w:val="none" w:sz="0" w:space="0" w:color="auto"/>
            <w:right w:val="none" w:sz="0" w:space="0" w:color="auto"/>
          </w:divBdr>
        </w:div>
        <w:div w:id="1517619355">
          <w:marLeft w:val="0"/>
          <w:marRight w:val="0"/>
          <w:marTop w:val="0"/>
          <w:marBottom w:val="0"/>
          <w:divBdr>
            <w:top w:val="none" w:sz="0" w:space="0" w:color="auto"/>
            <w:left w:val="none" w:sz="0" w:space="0" w:color="auto"/>
            <w:bottom w:val="none" w:sz="0" w:space="0" w:color="auto"/>
            <w:right w:val="none" w:sz="0" w:space="0" w:color="auto"/>
          </w:divBdr>
        </w:div>
      </w:divsChild>
    </w:div>
    <w:div w:id="11135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6A76-9C97-4063-9813-01F92A10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2019</Words>
  <Characters>1151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Grozījums Ministru kabineta 2008.gada 2.decembra noteikumos Nr.986 „Kārtība, kādā veicama privatizācija ar nodokļu parādu kapitalizācijas metodi”</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2008.gada 2.decembra noteikumos Nr.986 „Kārtība, kādā veicama privatizācija ar nodokļu parādu kapitalizācijas metodi”</dc:title>
  <dc:subject>MK Noteikumu grozījums</dc:subject>
  <dc:creator>Mārtiņš Drāke</dc:creator>
  <dc:description>Martins.Drake@em.gov.lv;
67013162</dc:description>
  <cp:lastModifiedBy>Mārtiņš Drāke</cp:lastModifiedBy>
  <cp:revision>8</cp:revision>
  <dcterms:created xsi:type="dcterms:W3CDTF">2013-11-12T08:27:00Z</dcterms:created>
  <dcterms:modified xsi:type="dcterms:W3CDTF">2013-12-06T09:16:00Z</dcterms:modified>
</cp:coreProperties>
</file>